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中国人民银行</w:t>
      </w:r>
      <w:r>
        <w:rPr>
          <w:sz w:val="48"/>
          <w:b/>
        </w:rPr>
        <w:t>BankFocus全球银行及金融机构数据库使用权采购</w:t>
      </w:r>
    </w:p>
    <w:p>
      <w:pPr>
        <w:pStyle w:val="null3"/>
        <w:jc w:val="center"/>
        <w:outlineLvl w:val="0"/>
      </w:pPr>
      <w:r>
        <w:rPr>
          <w:sz w:val="48"/>
          <w:b/>
        </w:rPr>
        <w:t>单一来源采购文件</w:t>
      </w:r>
    </w:p>
    <w:p>
      <w:pPr>
        <w:pStyle w:val="null3"/>
        <w:jc w:val="center"/>
        <w:outlineLvl w:val="0"/>
      </w:pPr>
      <w:r>
        <w:rPr>
          <w:sz w:val="48"/>
          <w:b/>
        </w:rPr>
        <w:t>（服务类）</w:t>
      </w:r>
    </w:p>
    <w:p>
      <w:pPr>
        <w:pStyle w:val="null3"/>
        <w:jc w:val="center"/>
      </w:pPr>
      <w:r>
        <w:rPr>
          <w:b/>
        </w:rPr>
        <w:t xml:space="preserve"> 项目编号： </w:t>
      </w:r>
      <w:r>
        <w:rPr>
          <w:b/>
        </w:rPr>
        <w:t>RH-DY2025009</w:t>
      </w:r>
    </w:p>
    <w:p>
      <w:pPr>
        <w:pStyle w:val="null3"/>
        <w:jc w:val="center"/>
      </w:pPr>
      <w:r>
        <w:rPr/>
        <w:t>中国人民银行集中采购中心</w:t>
      </w:r>
    </w:p>
    <w:p>
      <w:pPr>
        <w:pStyle w:val="null3"/>
        <w:jc w:val="center"/>
      </w:pPr>
      <w:r>
        <w:rPr/>
        <w:t>2026年01月06日</w:t>
      </w:r>
    </w:p>
    <w:p>
      <w:pPr>
        <w:pStyle w:val="null3"/>
      </w:pPr>
      <w:r>
        <w:rPr/>
        <w:t xml:space="preserve"> </w:t>
      </w:r>
    </w:p>
    <w:p>
      <w:pPr>
        <w:pStyle w:val="null3"/>
        <w:jc w:val="center"/>
        <w:outlineLvl w:val="1"/>
      </w:pPr>
      <w:r>
        <w:rPr>
          <w:sz w:val="36"/>
          <w:b/>
        </w:rPr>
        <w:t>第一章 协商邀请</w:t>
      </w:r>
    </w:p>
    <w:p>
      <w:pPr>
        <w:pStyle w:val="null3"/>
        <w:ind w:firstLine="480"/>
      </w:pPr>
      <w:r>
        <w:rPr/>
        <w:t xml:space="preserve">中国人民银行集中采购中心现采取单一来源的方式，就“ </w:t>
      </w:r>
      <w:r>
        <w:rPr/>
        <w:t>BankFocus全球银行及金融机构数据库使用权采购</w:t>
      </w:r>
      <w:r>
        <w:rPr/>
        <w:t xml:space="preserve"> ”（项目编号： </w:t>
      </w:r>
      <w:r>
        <w:rPr/>
        <w:t>RH-DY2025009</w:t>
      </w:r>
      <w:r>
        <w:rPr/>
        <w:t xml:space="preserve"> ）邀请合格投标人参加单一来源协商。本项目 </w:t>
      </w:r>
      <w:r>
        <w:rPr/>
        <w:t>落实</w:t>
      </w:r>
      <w:r>
        <w:rPr/>
        <w:t xml:space="preserve"> 《政府采购法》、《政府采购法实施条例》、《政府采购促进中小企业发展管理办法》及政府采购领域相关程序。</w:t>
      </w:r>
    </w:p>
    <w:p>
      <w:pPr>
        <w:pStyle w:val="null3"/>
        <w:ind w:firstLine="480"/>
        <w:jc w:val="left"/>
        <w:outlineLvl w:val="2"/>
      </w:pPr>
      <w:r>
        <w:rPr>
          <w:sz w:val="28"/>
          <w:b/>
        </w:rPr>
        <w:t>1.1 采购标的</w:t>
      </w:r>
    </w:p>
    <w:p>
      <w:pPr>
        <w:pStyle w:val="null3"/>
        <w:ind w:firstLine="480"/>
        <w:jc w:val="both"/>
      </w:pPr>
      <w:r>
        <w:rPr/>
        <w:t>1.1.1本次协商标的</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序号</w:t>
            </w:r>
          </w:p>
        </w:tc>
        <w:tc>
          <w:tcPr>
            <w:tcW w:type="dxa" w:w="923"/>
          </w:tcPr>
          <w:p>
            <w:pPr>
              <w:pStyle w:val="null3"/>
              <w:jc w:val="left"/>
            </w:pPr>
            <w:r>
              <w:rPr/>
              <w:t>标的名称</w:t>
            </w:r>
          </w:p>
        </w:tc>
        <w:tc>
          <w:tcPr>
            <w:tcW w:type="dxa" w:w="923"/>
          </w:tcPr>
          <w:p>
            <w:pPr>
              <w:pStyle w:val="null3"/>
              <w:jc w:val="left"/>
            </w:pPr>
            <w:r>
              <w:rPr/>
              <w:t>品目名称</w:t>
            </w:r>
          </w:p>
        </w:tc>
        <w:tc>
          <w:tcPr>
            <w:tcW w:type="dxa" w:w="923"/>
          </w:tcPr>
          <w:p>
            <w:pPr>
              <w:pStyle w:val="null3"/>
              <w:jc w:val="left"/>
            </w:pPr>
            <w:r>
              <w:rPr/>
              <w:t>品目分类编码</w:t>
            </w:r>
          </w:p>
        </w:tc>
        <w:tc>
          <w:tcPr>
            <w:tcW w:type="dxa" w:w="923"/>
          </w:tcPr>
          <w:p>
            <w:pPr>
              <w:pStyle w:val="null3"/>
              <w:jc w:val="left"/>
            </w:pPr>
            <w:r>
              <w:rPr/>
              <w:t>计量单位</w:t>
            </w:r>
          </w:p>
        </w:tc>
        <w:tc>
          <w:tcPr>
            <w:tcW w:type="dxa" w:w="923"/>
          </w:tcPr>
          <w:p>
            <w:pPr>
              <w:pStyle w:val="null3"/>
              <w:jc w:val="left"/>
            </w:pPr>
            <w:r>
              <w:rPr/>
              <w:t>数量</w:t>
            </w:r>
          </w:p>
        </w:tc>
        <w:tc>
          <w:tcPr>
            <w:tcW w:type="dxa" w:w="923"/>
          </w:tcPr>
          <w:p>
            <w:pPr>
              <w:pStyle w:val="null3"/>
              <w:jc w:val="left"/>
            </w:pPr>
            <w:r>
              <w:rPr/>
              <w:t>是否允许进口产品</w:t>
            </w:r>
          </w:p>
        </w:tc>
        <w:tc>
          <w:tcPr>
            <w:tcW w:type="dxa" w:w="923"/>
          </w:tcPr>
          <w:p>
            <w:pPr>
              <w:pStyle w:val="null3"/>
              <w:jc w:val="left"/>
            </w:pPr>
            <w:r>
              <w:rPr/>
              <w:t>最高限价</w:t>
            </w:r>
          </w:p>
        </w:tc>
        <w:tc>
          <w:tcPr>
            <w:tcW w:type="dxa" w:w="923"/>
          </w:tcPr>
          <w:p>
            <w:pPr>
              <w:pStyle w:val="null3"/>
              <w:jc w:val="left"/>
            </w:pPr>
            <w:r>
              <w:rPr/>
              <w:t>备注</w:t>
            </w:r>
          </w:p>
        </w:tc>
      </w:tr>
      <w:tr>
        <w:tc>
          <w:tcPr>
            <w:tcW w:type="dxa" w:w="923"/>
          </w:tcPr>
          <w:p>
            <w:pPr>
              <w:pStyle w:val="null3"/>
              <w:jc w:val="left"/>
            </w:pPr>
            <w:r>
              <w:rPr/>
              <w:t>1</w:t>
            </w:r>
          </w:p>
        </w:tc>
        <w:tc>
          <w:tcPr>
            <w:tcW w:type="dxa" w:w="923"/>
          </w:tcPr>
          <w:p>
            <w:pPr>
              <w:pStyle w:val="null3"/>
              <w:jc w:val="left"/>
            </w:pPr>
            <w:r>
              <w:rPr/>
              <w:t>Bank Focus全球银行及金融机构数据库使用权</w:t>
            </w:r>
          </w:p>
        </w:tc>
        <w:tc>
          <w:tcPr>
            <w:tcW w:type="dxa" w:w="923"/>
          </w:tcPr>
          <w:p>
            <w:pPr>
              <w:pStyle w:val="null3"/>
              <w:jc w:val="left"/>
            </w:pPr>
            <w:r>
              <w:rPr/>
              <w:t>C99000000 其他服务</w:t>
            </w:r>
          </w:p>
        </w:tc>
        <w:tc>
          <w:tcPr>
            <w:tcW w:type="dxa" w:w="923"/>
          </w:tcPr>
          <w:p>
            <w:pPr>
              <w:pStyle w:val="null3"/>
              <w:jc w:val="left"/>
            </w:pPr>
            <w:r>
              <w:rPr/>
              <w:t>C99000000</w:t>
            </w:r>
          </w:p>
        </w:tc>
        <w:tc>
          <w:tcPr>
            <w:tcW w:type="dxa" w:w="923"/>
          </w:tcPr>
          <w:p>
            <w:pPr>
              <w:pStyle w:val="null3"/>
              <w:jc w:val="left"/>
            </w:pPr>
            <w:r>
              <w:rPr/>
              <w:t>年</w:t>
            </w:r>
          </w:p>
        </w:tc>
        <w:tc>
          <w:tcPr>
            <w:tcW w:type="dxa" w:w="923"/>
          </w:tcPr>
          <w:p>
            <w:pPr>
              <w:pStyle w:val="null3"/>
              <w:jc w:val="right"/>
            </w:pPr>
            <w:r>
              <w:rPr/>
              <w:t>1.00</w:t>
            </w:r>
          </w:p>
        </w:tc>
        <w:tc>
          <w:tcPr>
            <w:tcW w:type="dxa" w:w="923"/>
          </w:tcPr>
          <w:p>
            <w:pPr>
              <w:pStyle w:val="null3"/>
              <w:jc w:val="left"/>
            </w:pPr>
            <w:r>
              <w:rPr/>
              <w:t>否</w:t>
            </w:r>
          </w:p>
        </w:tc>
        <w:tc>
          <w:tcPr>
            <w:tcW w:type="dxa" w:w="923"/>
          </w:tcPr>
          <w:p>
            <w:pPr>
              <w:pStyle w:val="null3"/>
              <w:jc w:val="left"/>
            </w:pPr>
            <w:r>
              <w:rPr/>
              <w:t>不公开</w:t>
            </w:r>
          </w:p>
        </w:tc>
        <w:tc>
          <w:tcPr>
            <w:tcW w:type="dxa" w:w="923"/>
          </w:tcPr>
          <w:p/>
        </w:tc>
      </w:tr>
    </w:tbl>
    <w:p>
      <w:pPr>
        <w:pStyle w:val="null3"/>
        <w:ind w:firstLine="480"/>
        <w:jc w:val="left"/>
      </w:pPr>
      <w:r>
        <w:rPr/>
        <w:t xml:space="preserve"> 根据《中华人民共和国政府采购法》和财政部《政府采购进口产品管理办法》的有关规定，本次协商 </w:t>
      </w:r>
      <w:r>
        <w:rPr/>
        <w:t>不允许</w:t>
      </w:r>
      <w:r>
        <w:rPr/>
        <w:t xml:space="preserve"> 进口产品响应。</w:t>
      </w:r>
    </w:p>
    <w:p>
      <w:pPr>
        <w:pStyle w:val="null3"/>
        <w:ind w:firstLine="480"/>
        <w:jc w:val="both"/>
      </w:pPr>
      <w:r>
        <w:rPr/>
        <w:t>1.1.2中小企业政策</w:t>
      </w:r>
    </w:p>
    <w:p>
      <w:pPr>
        <w:pStyle w:val="null3"/>
        <w:ind w:firstLine="480"/>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供应商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left"/>
      </w:pPr>
      <w:r>
        <w:rPr/>
        <w:t xml:space="preserve"> 本项目对应的中小企业划分标准所属行业(服务类): </w:t>
      </w:r>
      <w:r>
        <w:rPr/>
        <w:t>软件和信息技术服务业</w:t>
      </w:r>
    </w:p>
    <w:p>
      <w:pPr>
        <w:pStyle w:val="null3"/>
        <w:ind w:firstLine="480"/>
        <w:jc w:val="left"/>
        <w:outlineLvl w:val="2"/>
      </w:pPr>
      <w:r>
        <w:rPr>
          <w:sz w:val="28"/>
          <w:b/>
        </w:rPr>
        <w:t>1.2 供应商资格要求：</w:t>
      </w:r>
    </w:p>
    <w:p>
      <w:pPr>
        <w:pStyle w:val="null3"/>
        <w:ind w:firstLine="480"/>
      </w:pPr>
      <w:r>
        <w:rPr/>
        <w:t>1.2.1信用核查</w:t>
      </w:r>
    </w:p>
    <w:p>
      <w:pPr>
        <w:pStyle w:val="null3"/>
        <w:ind w:firstLine="480"/>
      </w:pPr>
      <w:r>
        <w:rPr/>
        <w:t>必须为未被列入信用中国网站(www.creditchina.gov.cn)、中国政府采购网(www.ccgp.gov.cn)渠道信用记录失信被执行人、重大税收违法案件当事人名单、政府采购严重违法失信行为记录名单的供应商，否则其响应将被拒绝。</w:t>
      </w:r>
    </w:p>
    <w:p>
      <w:pPr>
        <w:pStyle w:val="null3"/>
        <w:ind w:firstLine="480"/>
      </w:pPr>
      <w:r>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法人或者其他组织的营业执照等证明文件，自然人的身份证明；</w:t>
            </w:r>
          </w:p>
        </w:tc>
        <w:tc>
          <w:tcPr>
            <w:tcW w:type="dxa" w:w="4153"/>
          </w:tcPr>
          <w:p>
            <w:pPr>
              <w:pStyle w:val="null3"/>
              <w:jc w:val="left"/>
            </w:pPr>
            <w:r>
              <w:rPr/>
              <w:t>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财务状况报告，依法缴纳税收和社会保障资金的相关材料；(供应商应提供书面承诺)</w:t>
            </w:r>
          </w:p>
        </w:tc>
        <w:tc>
          <w:tcPr>
            <w:tcW w:type="dxa" w:w="4153"/>
          </w:tcPr>
          <w:p>
            <w:pPr>
              <w:pStyle w:val="null3"/>
              <w:jc w:val="left"/>
            </w:pPr>
            <w:r>
              <w:rPr/>
              <w:t>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具备履行合同所必需的设备和专业技术能力的证明材料；(供应商应提供书面承诺)</w:t>
            </w:r>
          </w:p>
        </w:tc>
        <w:tc>
          <w:tcPr>
            <w:tcW w:type="dxa" w:w="4153"/>
          </w:tcPr>
          <w:p>
            <w:pPr>
              <w:pStyle w:val="null3"/>
              <w:jc w:val="left"/>
            </w:pPr>
            <w:r>
              <w:rPr/>
              <w:t>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参加政府采购活动前3年内在经营活动中没有重大违法记录的书面声明；(供应商应提供书面承诺)</w:t>
            </w:r>
          </w:p>
        </w:tc>
        <w:tc>
          <w:tcPr>
            <w:tcW w:type="dxa" w:w="4153"/>
          </w:tcPr>
          <w:p>
            <w:pPr>
              <w:pStyle w:val="null3"/>
              <w:jc w:val="left"/>
            </w:pPr>
            <w:r>
              <w:rPr/>
              <w:t>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具备法律、行政法规规定的其他条件的证明材料。</w:t>
            </w:r>
          </w:p>
        </w:tc>
        <w:tc>
          <w:tcPr>
            <w:tcW w:type="dxa" w:w="4153"/>
          </w:tcPr>
          <w:p>
            <w:pPr>
              <w:pStyle w:val="null3"/>
              <w:jc w:val="left"/>
            </w:pPr>
            <w:r>
              <w:rPr/>
              <w:t>具备法律、行政法规规定的其他条件的证明材料。</w:t>
            </w:r>
          </w:p>
        </w:tc>
      </w:tr>
    </w:tbl>
    <w:p>
      <w:pPr>
        <w:pStyle w:val="null3"/>
        <w:ind w:firstLine="480"/>
      </w:pPr>
      <w:r>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ind w:firstLine="480"/>
        <w:jc w:val="left"/>
        <w:outlineLvl w:val="2"/>
      </w:pPr>
      <w:r>
        <w:rPr>
          <w:sz w:val="28"/>
          <w:b/>
        </w:rPr>
        <w:t>1.3 邀请供应商的方式</w:t>
      </w:r>
    </w:p>
    <w:p>
      <w:pPr>
        <w:pStyle w:val="null3"/>
        <w:ind w:firstLine="480"/>
      </w:pPr>
      <w:r>
        <w:rPr/>
        <w:t>本次协商邀请由采购人通过项目电子化交易系统发送邀请书和单一来源采购文件。</w:t>
      </w:r>
    </w:p>
    <w:p>
      <w:pPr>
        <w:pStyle w:val="null3"/>
        <w:ind w:firstLine="480"/>
        <w:jc w:val="left"/>
        <w:outlineLvl w:val="2"/>
      </w:pPr>
      <w:r>
        <w:rPr>
          <w:sz w:val="28"/>
          <w:b/>
        </w:rPr>
        <w:t>1.4 电子化采购相关事项</w:t>
      </w:r>
    </w:p>
    <w:p>
      <w:pPr>
        <w:pStyle w:val="null3"/>
        <w:ind w:firstLine="480"/>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ind w:firstLine="480"/>
        <w:jc w:val="both"/>
      </w:pPr>
      <w:r>
        <w:rPr/>
        <w:t>（一）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ind w:firstLine="480"/>
        <w:jc w:val="both"/>
      </w:pPr>
      <w:r>
        <w:rPr/>
        <w:t>（二）供应商应登录项目电子化交易系统获取采购文件。</w:t>
      </w:r>
    </w:p>
    <w:p>
      <w:pPr>
        <w:pStyle w:val="null3"/>
        <w:ind w:firstLine="480"/>
        <w:jc w:val="both"/>
      </w:pPr>
      <w:r>
        <w:rPr/>
        <w:t>未按上述要求成功获取采购文件的供应商，自行承担不利后果。</w:t>
      </w:r>
    </w:p>
    <w:p>
      <w:pPr>
        <w:pStyle w:val="null3"/>
        <w:ind w:firstLine="480"/>
        <w:jc w:val="both"/>
      </w:pPr>
      <w:r>
        <w:rPr/>
        <w:t>（三）供应商应使用系统公告-《关于供应商办理CA数字证书及电子签章的通知》中指定供应商签发的数字证书（CA）和电子签章。供应商使用数字证书(CA)及电子签章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jc w:val="both"/>
      </w:pPr>
      <w:r>
        <w:rPr/>
        <w:t>（四）供应商应当加强数字证书(CA)及电子签章日常校验和妥善保管，确保在参加采购活动期间数字证书（CA）及签章能够正常使用；供应商应当严格数字证书（CA）及签章的内部授权管理，防止非授权操作。</w:t>
      </w:r>
    </w:p>
    <w:p>
      <w:pPr>
        <w:pStyle w:val="null3"/>
        <w:ind w:firstLine="480"/>
        <w:jc w:val="both"/>
      </w:pPr>
      <w:r>
        <w:rPr/>
        <w:t>（五）供应商参加现场协商会议，解密响应文件。</w:t>
      </w:r>
    </w:p>
    <w:p>
      <w:pPr>
        <w:pStyle w:val="null3"/>
        <w:ind w:firstLine="480"/>
        <w:jc w:val="both"/>
      </w:pPr>
      <w:r>
        <w:rPr/>
        <w:t>（六）项目电子化交易系统技术支持：</w:t>
      </w:r>
    </w:p>
    <w:p>
      <w:pPr>
        <w:pStyle w:val="null3"/>
        <w:ind w:firstLine="480"/>
        <w:jc w:val="both"/>
      </w:pPr>
      <w:r>
        <w:rPr/>
        <w:t>电话：010-66195993</w:t>
      </w:r>
    </w:p>
    <w:p>
      <w:pPr>
        <w:pStyle w:val="null3"/>
        <w:ind w:firstLine="480"/>
      </w:pPr>
      <w:r>
        <w:rPr/>
        <w:t>CA及签章服务：详见项目电子化交易系统-系统公告中《关于供应商办理CA数字证书及电子签章的通知》。</w:t>
      </w:r>
    </w:p>
    <w:p>
      <w:pPr>
        <w:pStyle w:val="null3"/>
        <w:ind w:firstLine="480"/>
        <w:jc w:val="left"/>
        <w:outlineLvl w:val="2"/>
      </w:pPr>
      <w:r>
        <w:rPr>
          <w:sz w:val="28"/>
          <w:b/>
        </w:rPr>
        <w:t>1.5 单一来源采购文件获取时间、方式及地址：</w:t>
      </w:r>
    </w:p>
    <w:p>
      <w:pPr>
        <w:pStyle w:val="null3"/>
        <w:ind w:firstLine="480"/>
        <w:jc w:val="both"/>
      </w:pPr>
      <w:r>
        <w:rPr/>
        <w:t>1.5.1单一来源采购文件获取时间：详见采购公告或邀请书。</w:t>
      </w:r>
    </w:p>
    <w:p>
      <w:pPr>
        <w:pStyle w:val="null3"/>
        <w:ind w:firstLine="480"/>
        <w:jc w:val="both"/>
      </w:pPr>
      <w:r>
        <w:rPr/>
        <w:t>1.5.2单一来源采购文件获取方式：在单一来源采购文件获取开始时间前，采购人或代理机构将本项目采购文件上传至项目电子化交易系统，免费向供应商提供。供应商通过项目电子化交易系统获取采购文件。成功获取采购文件的，供应商将收到已获取采购文件的回执函。</w:t>
      </w:r>
    </w:p>
    <w:p>
      <w:pPr>
        <w:pStyle w:val="null3"/>
        <w:ind w:firstLine="480"/>
        <w:jc w:val="both"/>
      </w:pPr>
      <w:r>
        <w:rPr/>
        <w:t>在响应文件提交截止时间前，采购人或者代理机构可以对已发出的采购文件进行必要的澄清或者修改。如澄清或者修改的内容可能影响响应文件编制的，采购人或代理机构将通过项目电子化交易系统发布澄清或者修改后的采购文件。供应商应当登录项目电子化交易系统重新获取采购文件。供应商未重新获取采购文件或者未按照澄清或者修改后的采购文件编制响应文件进行响应的，自行承担不利后果。</w:t>
      </w:r>
    </w:p>
    <w:p>
      <w:pPr>
        <w:pStyle w:val="null3"/>
        <w:ind w:firstLine="480"/>
        <w:jc w:val="both"/>
      </w:pPr>
      <w:r>
        <w:rPr/>
        <w:t>注：获取的采购文件主体格式包括pdf、word两种格式版本，其中以pdf格式为准。</w:t>
      </w:r>
    </w:p>
    <w:p>
      <w:pPr>
        <w:pStyle w:val="null3"/>
        <w:ind w:firstLine="480"/>
        <w:jc w:val="left"/>
        <w:outlineLvl w:val="2"/>
      </w:pPr>
      <w:r>
        <w:rPr>
          <w:sz w:val="28"/>
          <w:b/>
        </w:rPr>
        <w:t>1.6 响应文件提交截止时间及开启时间、地点、方式</w:t>
      </w:r>
    </w:p>
    <w:p>
      <w:pPr>
        <w:pStyle w:val="null3"/>
        <w:ind w:firstLine="480"/>
        <w:jc w:val="both"/>
      </w:pPr>
      <w:r>
        <w:rPr/>
        <w:t>1.6.1响应文件提交截止时间及开启时间：详见邀请书。</w:t>
      </w:r>
    </w:p>
    <w:p>
      <w:pPr>
        <w:pStyle w:val="null3"/>
        <w:ind w:firstLine="480"/>
        <w:jc w:val="both"/>
      </w:pPr>
      <w:r>
        <w:rPr/>
        <w:t>1.6.2响应文件开启地点：详见采购公告或邀请书。</w:t>
      </w:r>
    </w:p>
    <w:p>
      <w:pPr>
        <w:pStyle w:val="null3"/>
        <w:ind w:firstLine="480"/>
        <w:jc w:val="both"/>
      </w:pPr>
      <w:r>
        <w:rPr/>
        <w:t>1.6.3响应文件提交方式：详见响应文件“2.4.10 响应文件的提交”</w:t>
      </w:r>
    </w:p>
    <w:p>
      <w:pPr>
        <w:pStyle w:val="null3"/>
        <w:ind w:firstLine="480"/>
        <w:jc w:val="left"/>
        <w:outlineLvl w:val="2"/>
      </w:pPr>
      <w:r>
        <w:rPr>
          <w:sz w:val="28"/>
          <w:b/>
        </w:rPr>
        <w:t>1.7 协商方式</w:t>
      </w:r>
    </w:p>
    <w:p>
      <w:pPr>
        <w:pStyle w:val="null3"/>
        <w:ind w:firstLine="480"/>
        <w:jc w:val="both"/>
      </w:pPr>
      <w:r>
        <w:rPr/>
        <w:t>本项目协商小组与供应商通过项目电子化交易系统在本采购文件规定的协商地点在线方式进行协商。协商会议由协商小组在线主持，供应商代表在线参加。供应商应随时关注项目电子化交易系统信息，及时参与在线协商。供应商登录项目电子化交易系统，与协商小组进行在线协商、提交供应商响应表，供应商响应表应加盖供应商（法定名称）电子印章。</w:t>
      </w:r>
    </w:p>
    <w:p>
      <w:pPr>
        <w:pStyle w:val="null3"/>
        <w:jc w:val="left"/>
        <w:outlineLvl w:val="2"/>
      </w:pPr>
      <w:r>
        <w:rPr>
          <w:sz w:val="28"/>
          <w:b/>
        </w:rPr>
        <w:t>1.8 采购人及采购代理机构信息</w:t>
      </w:r>
    </w:p>
    <w:p>
      <w:pPr>
        <w:pStyle w:val="null3"/>
        <w:ind w:firstLine="480"/>
      </w:pPr>
      <w:r>
        <w:rPr/>
        <w:t>1.8.1采购人：</w:t>
      </w:r>
    </w:p>
    <w:p>
      <w:pPr>
        <w:pStyle w:val="null3"/>
      </w:pPr>
      <w:r>
        <w:rPr/>
        <w:t>中国人民银行</w:t>
      </w:r>
    </w:p>
    <w:p>
      <w:pPr>
        <w:pStyle w:val="null3"/>
      </w:pPr>
      <w:r>
        <w:rPr/>
        <w:t xml:space="preserve"> 地址： </w:t>
      </w:r>
      <w:r>
        <w:rPr/>
        <w:t>北京市西城区成方街32号</w:t>
      </w:r>
    </w:p>
    <w:p>
      <w:pPr>
        <w:pStyle w:val="null3"/>
      </w:pPr>
      <w:r>
        <w:rPr/>
        <w:t xml:space="preserve"> 邮编： </w:t>
      </w:r>
      <w:r>
        <w:rPr/>
        <w:t>100032</w:t>
      </w:r>
    </w:p>
    <w:p>
      <w:pPr>
        <w:pStyle w:val="null3"/>
      </w:pPr>
      <w:r>
        <w:rPr/>
        <w:t xml:space="preserve"> 联系人： </w:t>
      </w:r>
      <w:r>
        <w:rPr/>
        <w:t>张靖峰</w:t>
      </w:r>
    </w:p>
    <w:p>
      <w:pPr>
        <w:pStyle w:val="null3"/>
      </w:pPr>
      <w:r>
        <w:rPr/>
        <w:t xml:space="preserve"> 联系电话： </w:t>
      </w:r>
      <w:r>
        <w:rPr/>
        <w:t>66194775</w:t>
      </w:r>
    </w:p>
    <w:p>
      <w:pPr>
        <w:pStyle w:val="null3"/>
        <w:ind w:firstLine="480"/>
      </w:pPr>
      <w:r>
        <w:rPr/>
        <w:t>1.8.2代理机构：</w:t>
      </w:r>
    </w:p>
    <w:p>
      <w:pPr>
        <w:pStyle w:val="null3"/>
      </w:pPr>
      <w:r>
        <w:rPr/>
        <w:t>中国人民银行集中采购中心</w:t>
      </w:r>
    </w:p>
    <w:p>
      <w:pPr>
        <w:pStyle w:val="null3"/>
      </w:pPr>
      <w:r>
        <w:rPr/>
        <w:t xml:space="preserve"> 地址： </w:t>
      </w:r>
      <w:r>
        <w:rPr/>
        <w:t>北京市西城区成方街32号</w:t>
      </w:r>
    </w:p>
    <w:p>
      <w:pPr>
        <w:pStyle w:val="null3"/>
      </w:pPr>
      <w:r>
        <w:rPr/>
        <w:t xml:space="preserve"> 邮编： </w:t>
      </w:r>
      <w:r>
        <w:rPr/>
        <w:t>100032</w:t>
      </w:r>
    </w:p>
    <w:p>
      <w:pPr>
        <w:pStyle w:val="null3"/>
      </w:pPr>
      <w:r>
        <w:rPr/>
        <w:t xml:space="preserve"> 联系人（文件发放、开标前咨询）： </w:t>
      </w:r>
      <w:r>
        <w:rPr/>
        <w:t>郭先生</w:t>
      </w:r>
    </w:p>
    <w:p>
      <w:pPr>
        <w:pStyle w:val="null3"/>
      </w:pPr>
      <w:r>
        <w:rPr/>
        <w:t xml:space="preserve"> 联系电话（文件发放、开标前咨询）： </w:t>
      </w:r>
      <w:r>
        <w:rPr/>
        <w:t>66195911</w:t>
      </w:r>
    </w:p>
    <w:p>
      <w:pPr>
        <w:pStyle w:val="null3"/>
      </w:pPr>
      <w:r>
        <w:rPr/>
        <w:t xml:space="preserve"> 联系人（开、评标咨询）： </w:t>
      </w:r>
      <w:r>
        <w:rPr/>
        <w:t>赵女士</w:t>
      </w:r>
    </w:p>
    <w:p>
      <w:pPr>
        <w:pStyle w:val="null3"/>
      </w:pPr>
      <w:r>
        <w:rPr/>
        <w:t xml:space="preserve"> 联系电话（开、评标咨询）： </w:t>
      </w:r>
      <w:r>
        <w:rPr/>
        <w:t>66195465</w:t>
      </w:r>
    </w:p>
    <w:p>
      <w:pPr>
        <w:pStyle w:val="null3"/>
      </w:pPr>
      <w:r>
        <w:rPr/>
        <w:t xml:space="preserve"> </w:t>
      </w:r>
    </w:p>
    <w:p>
      <w:pPr>
        <w:pStyle w:val="null3"/>
        <w:jc w:val="center"/>
        <w:outlineLvl w:val="1"/>
      </w:pPr>
      <w:r>
        <w:rPr>
          <w:sz w:val="36"/>
          <w:b/>
        </w:rPr>
        <w:t>第二章 供应商须知 供应商须知附表</w:t>
      </w:r>
    </w:p>
    <w:p>
      <w:pPr>
        <w:pStyle w:val="null3"/>
        <w:jc w:val="left"/>
        <w:outlineLvl w:val="2"/>
      </w:pPr>
      <w:r>
        <w:rPr>
          <w:sz w:val="28"/>
          <w:b/>
        </w:rPr>
        <w:t>2.1 供应商须知附表</w:t>
      </w:r>
    </w:p>
    <w:tbl>
      <w:tblPr>
        <w:tblW w:w="0" w:type="auto"/>
        <w:tblBorders>
          <w:top w:val="single"/>
          <w:left w:val="single"/>
          <w:bottom w:val="single"/>
          <w:right w:val="single"/>
          <w:insideH w:val="single"/>
          <w:insideV w:val="single"/>
        </w:tblBorders>
      </w:tblPr>
      <w:tblGrid>
        <w:gridCol w:w="602"/>
        <w:gridCol w:w="1923"/>
        <w:gridCol w:w="5781"/>
      </w:tblGrid>
      <w:tr>
        <w:tc>
          <w:tcPr>
            <w:tcW w:type="dxa" w:w="602"/>
          </w:tcPr>
          <w:p>
            <w:pPr>
              <w:pStyle w:val="null3"/>
            </w:pPr>
            <w:r>
              <w:rPr/>
              <w:t>序号</w:t>
            </w:r>
          </w:p>
        </w:tc>
        <w:tc>
          <w:tcPr>
            <w:tcW w:type="dxa" w:w="1923"/>
          </w:tcPr>
          <w:p>
            <w:pPr>
              <w:pStyle w:val="null3"/>
            </w:pPr>
            <w:r>
              <w:rPr/>
              <w:t>应知事项</w:t>
            </w:r>
          </w:p>
        </w:tc>
        <w:tc>
          <w:tcPr>
            <w:tcW w:type="dxa" w:w="5781"/>
          </w:tcPr>
          <w:p>
            <w:pPr>
              <w:pStyle w:val="null3"/>
            </w:pPr>
            <w:r>
              <w:rPr/>
              <w:t>说明和要求</w:t>
            </w:r>
          </w:p>
        </w:tc>
      </w:tr>
      <w:tr>
        <w:tc>
          <w:tcPr>
            <w:tcW w:type="dxa" w:w="602"/>
          </w:tcPr>
          <w:p>
            <w:pPr>
              <w:pStyle w:val="null3"/>
            </w:pPr>
            <w:r>
              <w:rPr/>
              <w:t>1</w:t>
            </w:r>
          </w:p>
        </w:tc>
        <w:tc>
          <w:tcPr>
            <w:tcW w:type="dxa" w:w="1923"/>
          </w:tcPr>
          <w:p>
            <w:pPr>
              <w:pStyle w:val="null3"/>
            </w:pPr>
            <w:r>
              <w:rPr/>
              <w:t>响应文件制作、提交与补充、修改、撤回</w:t>
            </w:r>
          </w:p>
        </w:tc>
        <w:tc>
          <w:tcPr>
            <w:tcW w:type="dxa" w:w="5781"/>
          </w:tcPr>
          <w:p>
            <w:pPr>
              <w:pStyle w:val="null3"/>
            </w:pPr>
            <w:r>
              <w:rPr/>
              <w:t>详见“2.4.9 响应文件的制作、签章和加密”、“2.4.10 响应文件的提交”、“2.4.11 响应文件的补充、修改、撤回”。</w:t>
            </w:r>
          </w:p>
        </w:tc>
      </w:tr>
      <w:tr>
        <w:tc>
          <w:tcPr>
            <w:tcW w:type="dxa" w:w="602"/>
          </w:tcPr>
          <w:p>
            <w:pPr>
              <w:pStyle w:val="null3"/>
            </w:pPr>
            <w:r>
              <w:rPr/>
              <w:t>2</w:t>
            </w:r>
          </w:p>
        </w:tc>
        <w:tc>
          <w:tcPr>
            <w:tcW w:type="dxa" w:w="1923"/>
          </w:tcPr>
          <w:p>
            <w:pPr>
              <w:pStyle w:val="null3"/>
            </w:pPr>
            <w:r>
              <w:rPr/>
              <w:t>协商保证金</w:t>
            </w:r>
          </w:p>
        </w:tc>
        <w:tc>
          <w:tcPr>
            <w:tcW w:type="dxa" w:w="5781"/>
          </w:tcPr>
          <w:p>
            <w:pPr>
              <w:pStyle w:val="null3"/>
            </w:pPr>
            <w:r>
              <w:rPr/>
              <w:t>本项目不收取协商保证金。</w:t>
            </w:r>
          </w:p>
        </w:tc>
      </w:tr>
      <w:tr>
        <w:tc>
          <w:tcPr>
            <w:tcW w:type="dxa" w:w="602"/>
          </w:tcPr>
          <w:p>
            <w:pPr>
              <w:pStyle w:val="null3"/>
            </w:pPr>
            <w:r>
              <w:rPr/>
              <w:t>3</w:t>
            </w:r>
          </w:p>
        </w:tc>
        <w:tc>
          <w:tcPr>
            <w:tcW w:type="dxa" w:w="1923"/>
          </w:tcPr>
          <w:p>
            <w:pPr>
              <w:pStyle w:val="null3"/>
            </w:pPr>
            <w:r>
              <w:rPr/>
              <w:t>采购响应文件有效期</w:t>
            </w:r>
          </w:p>
        </w:tc>
        <w:tc>
          <w:tcPr>
            <w:tcW w:type="dxa" w:w="5781"/>
          </w:tcPr>
          <w:p>
            <w:pPr>
              <w:pStyle w:val="null3"/>
            </w:pPr>
            <w:r>
              <w:rPr/>
              <w:t>协商后</w:t>
            </w:r>
            <w:r>
              <w:rPr/>
              <w:t>90</w:t>
            </w:r>
            <w:r>
              <w:rPr/>
              <w:t>天。</w:t>
            </w:r>
          </w:p>
        </w:tc>
      </w:tr>
      <w:tr>
        <w:tc>
          <w:tcPr>
            <w:tcW w:type="dxa" w:w="602"/>
          </w:tcPr>
          <w:p>
            <w:pPr>
              <w:pStyle w:val="null3"/>
            </w:pPr>
            <w:r>
              <w:rPr/>
              <w:t>4</w:t>
            </w:r>
          </w:p>
        </w:tc>
        <w:tc>
          <w:tcPr>
            <w:tcW w:type="dxa" w:w="1923"/>
          </w:tcPr>
          <w:p>
            <w:pPr>
              <w:pStyle w:val="null3"/>
            </w:pPr>
            <w:r>
              <w:rPr/>
              <w:t>协商小组人数</w:t>
            </w:r>
          </w:p>
        </w:tc>
        <w:tc>
          <w:tcPr>
            <w:tcW w:type="dxa" w:w="5781"/>
          </w:tcPr>
          <w:p>
            <w:pPr>
              <w:pStyle w:val="null3"/>
            </w:pPr>
            <w:r>
              <w:rPr/>
              <w:t>共3人，</w:t>
            </w:r>
            <w:r>
              <w:rPr/>
              <w:t>其中评审专家2人，</w:t>
            </w:r>
            <w:r>
              <w:rPr/>
              <w:t>采购人代表1人。</w:t>
            </w:r>
          </w:p>
        </w:tc>
      </w:tr>
      <w:tr>
        <w:tc>
          <w:tcPr>
            <w:tcW w:type="dxa" w:w="602"/>
          </w:tcPr>
          <w:p>
            <w:pPr>
              <w:pStyle w:val="null3"/>
            </w:pPr>
            <w:r>
              <w:rPr/>
              <w:t>5</w:t>
            </w:r>
          </w:p>
        </w:tc>
        <w:tc>
          <w:tcPr>
            <w:tcW w:type="dxa" w:w="1923"/>
          </w:tcPr>
          <w:p>
            <w:pPr>
              <w:pStyle w:val="null3"/>
            </w:pPr>
            <w:r>
              <w:rPr/>
              <w:t>评审方法</w:t>
            </w:r>
          </w:p>
        </w:tc>
        <w:tc>
          <w:tcPr>
            <w:tcW w:type="dxa" w:w="5781"/>
          </w:tcPr>
          <w:p>
            <w:pPr>
              <w:pStyle w:val="null3"/>
            </w:pPr>
            <w:r>
              <w:rPr/>
              <w:t>按政府采购相关制度执行</w:t>
            </w:r>
          </w:p>
        </w:tc>
      </w:tr>
      <w:tr>
        <w:tc>
          <w:tcPr>
            <w:tcW w:type="dxa" w:w="602"/>
          </w:tcPr>
          <w:p>
            <w:pPr>
              <w:pStyle w:val="null3"/>
            </w:pPr>
            <w:r>
              <w:rPr/>
              <w:t>6</w:t>
            </w:r>
          </w:p>
        </w:tc>
        <w:tc>
          <w:tcPr>
            <w:tcW w:type="dxa" w:w="1923"/>
          </w:tcPr>
          <w:p>
            <w:pPr>
              <w:pStyle w:val="null3"/>
            </w:pPr>
            <w:r>
              <w:rPr/>
              <w:t>是否接受联合体</w:t>
            </w:r>
          </w:p>
        </w:tc>
        <w:tc>
          <w:tcPr>
            <w:tcW w:type="dxa" w:w="5781"/>
          </w:tcPr>
          <w:p>
            <w:pPr>
              <w:pStyle w:val="null3"/>
            </w:pPr>
            <w:r>
              <w:rPr/>
              <w:t>不接受</w:t>
            </w:r>
          </w:p>
        </w:tc>
      </w:tr>
      <w:tr>
        <w:tc>
          <w:tcPr>
            <w:tcW w:type="dxa" w:w="602"/>
          </w:tcPr>
          <w:p>
            <w:pPr>
              <w:pStyle w:val="null3"/>
            </w:pPr>
            <w:r>
              <w:rPr/>
              <w:t>7</w:t>
            </w:r>
          </w:p>
        </w:tc>
        <w:tc>
          <w:tcPr>
            <w:tcW w:type="dxa" w:w="1923"/>
          </w:tcPr>
          <w:p>
            <w:pPr>
              <w:pStyle w:val="null3"/>
            </w:pPr>
            <w:r>
              <w:rPr/>
              <w:t>是否允许合同分包</w:t>
            </w:r>
          </w:p>
        </w:tc>
        <w:tc>
          <w:tcPr>
            <w:tcW w:type="dxa" w:w="5781"/>
          </w:tcPr>
          <w:p>
            <w:pPr>
              <w:pStyle w:val="null3"/>
            </w:pPr>
            <w:r>
              <w:rPr/>
              <w:t>不允许合同分包；</w:t>
            </w:r>
          </w:p>
        </w:tc>
      </w:tr>
      <w:tr>
        <w:tc>
          <w:tcPr>
            <w:tcW w:type="dxa" w:w="602"/>
          </w:tcPr>
          <w:p>
            <w:pPr>
              <w:pStyle w:val="null3"/>
            </w:pPr>
            <w:r>
              <w:rPr/>
              <w:t>8</w:t>
            </w:r>
          </w:p>
        </w:tc>
        <w:tc>
          <w:tcPr>
            <w:tcW w:type="dxa" w:w="1923"/>
          </w:tcPr>
          <w:p>
            <w:pPr>
              <w:pStyle w:val="null3"/>
            </w:pPr>
            <w:r>
              <w:rPr/>
              <w:t>确认成交方式</w:t>
            </w:r>
          </w:p>
        </w:tc>
        <w:tc>
          <w:tcPr>
            <w:tcW w:type="dxa" w:w="5781"/>
          </w:tcPr>
          <w:p>
            <w:pPr>
              <w:pStyle w:val="null3"/>
            </w:pPr>
            <w:r>
              <w:rPr/>
              <w:t>采购人授权协商小组按照评审原则直接确定成交供应商。</w:t>
            </w:r>
          </w:p>
          <w:p>
            <w:pPr>
              <w:pStyle w:val="null3"/>
            </w:pPr>
            <w:r>
              <w:rPr/>
              <w:t>无</w:t>
            </w:r>
          </w:p>
          <w:p>
            <w:pPr>
              <w:pStyle w:val="null3"/>
            </w:pPr>
          </w:p>
        </w:tc>
      </w:tr>
      <w:tr>
        <w:tc>
          <w:tcPr>
            <w:tcW w:type="dxa" w:w="602"/>
          </w:tcPr>
          <w:p>
            <w:pPr>
              <w:pStyle w:val="null3"/>
            </w:pPr>
            <w:r>
              <w:rPr/>
              <w:t>9</w:t>
            </w:r>
          </w:p>
        </w:tc>
        <w:tc>
          <w:tcPr>
            <w:tcW w:type="dxa" w:w="1923"/>
          </w:tcPr>
          <w:p>
            <w:pPr>
              <w:pStyle w:val="null3"/>
            </w:pPr>
            <w:r>
              <w:rPr/>
              <w:t>信息公示渠道</w:t>
            </w:r>
          </w:p>
        </w:tc>
        <w:tc>
          <w:tcPr>
            <w:tcW w:type="dxa" w:w="5781"/>
          </w:tcPr>
          <w:p>
            <w:pPr>
              <w:pStyle w:val="null3"/>
            </w:pPr>
            <w:r>
              <w:rPr/>
              <w:t>中国人民银行集中采购中心互联网采购交易系统</w:t>
            </w:r>
            <w:r>
              <w:rPr/>
              <w:t>、</w:t>
            </w:r>
            <w:r>
              <w:rPr/>
              <w:t>中国政府采购网</w:t>
            </w:r>
          </w:p>
        </w:tc>
      </w:tr>
      <w:tr>
        <w:tc>
          <w:tcPr>
            <w:tcW w:type="dxa" w:w="602"/>
          </w:tcPr>
          <w:p>
            <w:pPr>
              <w:pStyle w:val="null3"/>
            </w:pPr>
            <w:r>
              <w:rPr/>
              <w:t>10</w:t>
            </w:r>
          </w:p>
        </w:tc>
        <w:tc>
          <w:tcPr>
            <w:tcW w:type="dxa" w:w="1923"/>
          </w:tcPr>
          <w:p>
            <w:pPr>
              <w:pStyle w:val="null3"/>
            </w:pPr>
            <w:r>
              <w:rPr/>
              <w:t>成交通知书领取</w:t>
            </w:r>
          </w:p>
        </w:tc>
        <w:tc>
          <w:tcPr>
            <w:tcW w:type="dxa" w:w="5781"/>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602"/>
          </w:tcPr>
          <w:p>
            <w:pPr>
              <w:pStyle w:val="null3"/>
            </w:pPr>
            <w:r>
              <w:rPr/>
              <w:t>11</w:t>
            </w:r>
          </w:p>
        </w:tc>
        <w:tc>
          <w:tcPr>
            <w:tcW w:type="dxa" w:w="1923"/>
          </w:tcPr>
          <w:p>
            <w:pPr>
              <w:pStyle w:val="null3"/>
            </w:pPr>
            <w:r>
              <w:rPr/>
              <w:t>是否为“一签三年”项目</w:t>
            </w:r>
          </w:p>
        </w:tc>
        <w:tc>
          <w:tcPr>
            <w:tcW w:type="dxa" w:w="5781"/>
          </w:tcPr>
          <w:p>
            <w:pPr>
              <w:pStyle w:val="null3"/>
            </w:pPr>
            <w:r>
              <w:rPr/>
              <w:t>本次不是一签三年项目。</w:t>
            </w:r>
          </w:p>
        </w:tc>
      </w:tr>
      <w:tr>
        <w:tc>
          <w:tcPr>
            <w:tcW w:type="dxa" w:w="602"/>
          </w:tcPr>
          <w:p>
            <w:pPr>
              <w:pStyle w:val="null3"/>
            </w:pPr>
            <w:r>
              <w:rPr/>
              <w:t>12</w:t>
            </w:r>
          </w:p>
        </w:tc>
        <w:tc>
          <w:tcPr>
            <w:tcW w:type="dxa" w:w="1923"/>
          </w:tcPr>
          <w:p>
            <w:pPr>
              <w:pStyle w:val="null3"/>
            </w:pPr>
            <w:r>
              <w:rPr/>
              <w:t>履约保证金</w:t>
            </w:r>
          </w:p>
        </w:tc>
        <w:tc>
          <w:tcPr>
            <w:tcW w:type="dxa" w:w="5781"/>
          </w:tcPr>
          <w:p>
            <w:pPr>
              <w:pStyle w:val="null3"/>
            </w:pPr>
            <w:r>
              <w:rPr/>
              <w:t>无</w:t>
            </w:r>
          </w:p>
        </w:tc>
      </w:tr>
      <w:tr>
        <w:tc>
          <w:tcPr>
            <w:tcW w:type="dxa" w:w="602"/>
          </w:tcPr>
          <w:p>
            <w:pPr>
              <w:pStyle w:val="null3"/>
            </w:pPr>
            <w:r>
              <w:rPr/>
              <w:t>13</w:t>
            </w:r>
          </w:p>
        </w:tc>
        <w:tc>
          <w:tcPr>
            <w:tcW w:type="dxa" w:w="1923"/>
          </w:tcPr>
          <w:p>
            <w:pPr>
              <w:pStyle w:val="null3"/>
            </w:pPr>
            <w:r>
              <w:rPr/>
              <w:t>供应商质疑</w:t>
            </w:r>
          </w:p>
        </w:tc>
        <w:tc>
          <w:tcPr>
            <w:tcW w:type="dxa" w:w="5781"/>
          </w:tcPr>
          <w:p>
            <w:pPr>
              <w:pStyle w:val="null3"/>
            </w:pPr>
            <w:r>
              <w:rPr/>
              <w:t>供应商在法定质疑期内一次性提出针对同一采购程序环节的质疑</w:t>
            </w:r>
          </w:p>
        </w:tc>
      </w:tr>
      <w:tr>
        <w:tc>
          <w:tcPr>
            <w:tcW w:type="dxa" w:w="602"/>
          </w:tcPr>
          <w:p>
            <w:pPr>
              <w:pStyle w:val="null3"/>
            </w:pPr>
            <w:r>
              <w:rPr/>
              <w:t>14</w:t>
            </w:r>
          </w:p>
        </w:tc>
        <w:tc>
          <w:tcPr>
            <w:tcW w:type="dxa" w:w="1923"/>
          </w:tcPr>
          <w:p>
            <w:pPr>
              <w:pStyle w:val="null3"/>
            </w:pPr>
            <w:r>
              <w:rPr/>
              <w:t>特殊情况</w:t>
            </w:r>
          </w:p>
        </w:tc>
        <w:tc>
          <w:tcPr>
            <w:tcW w:type="dxa" w:w="5781"/>
          </w:tcPr>
          <w:p>
            <w:pPr>
              <w:pStyle w:val="null3"/>
            </w:pPr>
            <w:r>
              <w:rPr/>
              <w:t>出现下列情形之一的，采购人或者代理机构根据实际情况启用纸质协商文件开展：</w:t>
            </w:r>
          </w:p>
          <w:p>
            <w:pPr>
              <w:pStyle w:val="null3"/>
            </w:pPr>
            <w:r>
              <w:rPr/>
              <w:t>交易系统发生故障（包括感染病毒、应用或数据库出错）而无法正常使用的；如启用纸质响应文件，则以纸质响应文件为准。</w:t>
            </w:r>
          </w:p>
        </w:tc>
      </w:tr>
      <w:tr>
        <w:tc>
          <w:tcPr>
            <w:tcW w:type="dxa" w:w="602"/>
          </w:tcPr>
          <w:p>
            <w:pPr>
              <w:pStyle w:val="null3"/>
            </w:pPr>
            <w:r>
              <w:rPr/>
              <w:t>15</w:t>
            </w:r>
          </w:p>
        </w:tc>
        <w:tc>
          <w:tcPr>
            <w:tcW w:type="dxa" w:w="1923"/>
          </w:tcPr>
          <w:p>
            <w:pPr>
              <w:pStyle w:val="null3"/>
            </w:pPr>
            <w:r>
              <w:rPr/>
              <w:t>报价/分值精确度</w:t>
            </w:r>
          </w:p>
        </w:tc>
        <w:tc>
          <w:tcPr>
            <w:tcW w:type="dxa" w:w="5781"/>
          </w:tcPr>
          <w:p>
            <w:pPr>
              <w:pStyle w:val="null3"/>
            </w:pPr>
            <w:r>
              <w:rPr/>
              <w:t>报价/分值精确度仅保留“所有数据项默认最多可输入/展示至小数点后2位，超出小数点位的数值采用四舍五入的方式进行精确。”</w:t>
            </w:r>
          </w:p>
        </w:tc>
      </w:tr>
    </w:tbl>
    <w:p>
      <w:pPr>
        <w:pStyle w:val="null3"/>
        <w:jc w:val="left"/>
        <w:outlineLvl w:val="2"/>
      </w:pPr>
      <w:r>
        <w:rPr>
          <w:sz w:val="28"/>
          <w:b/>
        </w:rPr>
        <w:t>2.2 总则</w:t>
      </w:r>
    </w:p>
    <w:p>
      <w:pPr>
        <w:pStyle w:val="null3"/>
        <w:jc w:val="left"/>
        <w:outlineLvl w:val="3"/>
      </w:pPr>
      <w:r>
        <w:rPr>
          <w:sz w:val="24"/>
          <w:b/>
        </w:rPr>
        <w:t>2.2.1适用范围</w:t>
      </w:r>
    </w:p>
    <w:p>
      <w:pPr>
        <w:pStyle w:val="null3"/>
        <w:ind w:firstLine="480"/>
        <w:jc w:val="both"/>
      </w:pPr>
      <w:r>
        <w:rPr/>
        <w:t>一、本采购文件仅适用于本次单一来源采购项目。</w:t>
      </w:r>
    </w:p>
    <w:p>
      <w:pPr>
        <w:pStyle w:val="null3"/>
        <w:ind w:firstLine="480"/>
        <w:jc w:val="both"/>
      </w:pPr>
      <w:r>
        <w:rPr/>
        <w:t>二、本采购文件的解释权属于采购代理机构。</w:t>
      </w:r>
    </w:p>
    <w:p>
      <w:pPr>
        <w:pStyle w:val="null3"/>
        <w:jc w:val="left"/>
        <w:outlineLvl w:val="3"/>
      </w:pPr>
      <w:r>
        <w:rPr>
          <w:sz w:val="24"/>
          <w:b/>
        </w:rPr>
        <w:t>2.2.2有关定义</w:t>
      </w:r>
    </w:p>
    <w:p>
      <w:pPr>
        <w:pStyle w:val="null3"/>
        <w:ind w:firstLine="480"/>
        <w:jc w:val="both"/>
      </w:pPr>
      <w:r>
        <w:rPr/>
        <w:t>一、“供应商”是指按照采购文件规定获取采购文件，拟参加响应和向采购人提供货物或服务的法人、其他组织或自然人。</w:t>
      </w:r>
    </w:p>
    <w:p>
      <w:pPr>
        <w:pStyle w:val="null3"/>
        <w:ind w:firstLine="480"/>
        <w:jc w:val="both"/>
      </w:pPr>
      <w:r>
        <w:rPr/>
        <w:t>二、“现场线上开启”是指代理机构通过项目电子化交易系统在线完成开启响应文件活动，供应商到达邀请书规定的开启地点，登陆项目电子化交易系统，在线完成响应文件解密。</w:t>
      </w:r>
    </w:p>
    <w:p>
      <w:pPr>
        <w:pStyle w:val="null3"/>
        <w:ind w:firstLine="480"/>
        <w:jc w:val="both"/>
      </w:pPr>
      <w:r>
        <w:rPr/>
        <w:t>三、“电子协商”是指通过项目电子化交易系统在线完成协商小组组建，开展供应商审查、协商、出具协商报告、推荐成交候选供应商等活动。</w:t>
      </w:r>
    </w:p>
    <w:p>
      <w:pPr>
        <w:pStyle w:val="null3"/>
        <w:jc w:val="left"/>
        <w:outlineLvl w:val="3"/>
      </w:pPr>
      <w:r>
        <w:rPr>
          <w:sz w:val="24"/>
          <w:b/>
        </w:rPr>
        <w:t>2.2.3协商费用</w:t>
      </w:r>
    </w:p>
    <w:p>
      <w:pPr>
        <w:pStyle w:val="null3"/>
        <w:ind w:firstLine="480"/>
      </w:pPr>
      <w:r>
        <w:rPr/>
        <w:t>供应商应自行承担参加本次投标所涉及的一切费用。</w:t>
      </w:r>
    </w:p>
    <w:p>
      <w:pPr>
        <w:pStyle w:val="null3"/>
        <w:jc w:val="left"/>
        <w:outlineLvl w:val="2"/>
      </w:pPr>
      <w:r>
        <w:rPr>
          <w:sz w:val="28"/>
          <w:b/>
        </w:rPr>
        <w:t>2.3 采购文件</w:t>
      </w:r>
    </w:p>
    <w:p>
      <w:pPr>
        <w:pStyle w:val="null3"/>
        <w:jc w:val="left"/>
        <w:outlineLvl w:val="3"/>
      </w:pPr>
      <w:r>
        <w:rPr>
          <w:sz w:val="24"/>
          <w:b/>
        </w:rPr>
        <w:t>2.3.1采购文件的构成</w:t>
      </w:r>
    </w:p>
    <w:p>
      <w:pPr>
        <w:pStyle w:val="null3"/>
        <w:ind w:firstLine="480"/>
        <w:jc w:val="both"/>
      </w:pPr>
      <w:r>
        <w:rPr/>
        <w:t>一、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jc w:val="left"/>
      </w:pPr>
      <w:r>
        <w:rPr/>
        <w:t>（七）附则</w:t>
      </w:r>
    </w:p>
    <w:p>
      <w:pPr>
        <w:pStyle w:val="null3"/>
        <w:ind w:firstLine="480"/>
        <w:jc w:val="both"/>
      </w:pPr>
      <w:r>
        <w:rPr/>
        <w:t>二、供应商应认真阅读和充分理解采购文件中所有的事项、格式条款和规范要求。供应商没有对采购文件全面作出实质性响应所产生的风险由供应商承担。</w:t>
      </w:r>
    </w:p>
    <w:p>
      <w:pPr>
        <w:pStyle w:val="null3"/>
        <w:jc w:val="left"/>
        <w:outlineLvl w:val="3"/>
      </w:pPr>
      <w:r>
        <w:rPr>
          <w:sz w:val="24"/>
          <w:b/>
        </w:rPr>
        <w:t>2.3.2采购文件的澄清和修改</w:t>
      </w:r>
    </w:p>
    <w:p>
      <w:pPr>
        <w:pStyle w:val="null3"/>
        <w:ind w:firstLine="480"/>
        <w:jc w:val="both"/>
      </w:pPr>
      <w:r>
        <w:rPr/>
        <w:t>一、供应商要求澄清采购文件的，请于澄清截止期限前由参加报名的供应商持法人代表授权书，向采购代理机构正式提出（加盖单位公章的书面文件）。采购代理机构将予以答复，逾期提交的不予受理。</w:t>
      </w:r>
    </w:p>
    <w:p>
      <w:pPr>
        <w:pStyle w:val="null3"/>
        <w:ind w:firstLine="480"/>
        <w:jc w:val="both"/>
      </w:pPr>
      <w:r>
        <w:rPr/>
        <w:t>二、在响应文件提交截止时间前，采购人或者代理机构可以对已发出的采购文件进行必要的澄清或者修改。澄清或者修改的内容为采购文件的组成部分，对采购代理机构和供应商都具有约束力。</w:t>
      </w:r>
    </w:p>
    <w:p>
      <w:pPr>
        <w:pStyle w:val="null3"/>
        <w:ind w:firstLine="480"/>
        <w:jc w:val="both"/>
      </w:pPr>
      <w:r>
        <w:rPr/>
        <w:t>三、澄清或者修改的内容可能影响响应文件编制的，采购人或者代理机构将通过项目电子化交易系统发布更正后的采购文件，采购人或者代理机构应将澄清或者修改的内容告知所在系统中成功获取采购文件的潜在供应商。供应商应依据更正后的采购文件编制响应文件。若供应商未按前述要求进行响应的，自行承担不利后果。</w:t>
      </w:r>
    </w:p>
    <w:p>
      <w:pPr>
        <w:pStyle w:val="null3"/>
        <w:jc w:val="left"/>
        <w:outlineLvl w:val="2"/>
      </w:pPr>
      <w:r>
        <w:rPr>
          <w:sz w:val="28"/>
          <w:b/>
        </w:rPr>
        <w:t>2.4 响应文件</w:t>
      </w:r>
    </w:p>
    <w:p>
      <w:pPr>
        <w:pStyle w:val="null3"/>
        <w:jc w:val="left"/>
        <w:outlineLvl w:val="3"/>
      </w:pPr>
      <w:r>
        <w:rPr>
          <w:sz w:val="24"/>
          <w:b/>
        </w:rPr>
        <w:t>2.4.1响应文件的语言</w:t>
      </w:r>
    </w:p>
    <w:p>
      <w:pPr>
        <w:pStyle w:val="null3"/>
        <w:ind w:firstLine="480"/>
        <w:jc w:val="both"/>
      </w:pPr>
      <w:r>
        <w:rPr/>
        <w:t>供应商提交的响应文件以及供应商与协商小组在协商过程中的所有来往书面文件均须使用简体中文。</w:t>
      </w:r>
    </w:p>
    <w:p>
      <w:pPr>
        <w:pStyle w:val="null3"/>
        <w:jc w:val="left"/>
        <w:outlineLvl w:val="3"/>
      </w:pPr>
      <w:r>
        <w:rPr>
          <w:sz w:val="24"/>
          <w:b/>
        </w:rPr>
        <w:t>2.4.2计量单位</w:t>
      </w:r>
    </w:p>
    <w:p>
      <w:pPr>
        <w:pStyle w:val="null3"/>
        <w:ind w:firstLine="480"/>
        <w:jc w:val="both"/>
      </w:pPr>
      <w:r>
        <w:rPr/>
        <w:t>除采购文件另有规定外，采购响应文件的计量单位应使用中华人民共和国法定计量单位。</w:t>
      </w:r>
    </w:p>
    <w:p>
      <w:pPr>
        <w:pStyle w:val="null3"/>
        <w:jc w:val="left"/>
        <w:outlineLvl w:val="3"/>
      </w:pPr>
      <w:r>
        <w:rPr>
          <w:sz w:val="24"/>
          <w:b/>
        </w:rPr>
        <w:t>2.4.3响应货币</w:t>
      </w:r>
    </w:p>
    <w:p>
      <w:pPr>
        <w:pStyle w:val="null3"/>
        <w:ind w:firstLine="480"/>
        <w:jc w:val="both"/>
      </w:pPr>
      <w:r>
        <w:rPr/>
        <w:t>本次项目总价和单价均以人民币报价。</w:t>
      </w:r>
    </w:p>
    <w:p>
      <w:pPr>
        <w:pStyle w:val="null3"/>
        <w:jc w:val="left"/>
        <w:outlineLvl w:val="3"/>
      </w:pPr>
      <w:r>
        <w:rPr>
          <w:sz w:val="24"/>
          <w:b/>
        </w:rPr>
        <w:t>2.4.4知识产权</w:t>
      </w:r>
    </w:p>
    <w:p>
      <w:pPr>
        <w:pStyle w:val="null3"/>
        <w:ind w:firstLine="480"/>
        <w:jc w:val="both"/>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jc w:val="both"/>
      </w:pPr>
      <w:r>
        <w:rPr/>
        <w:t>二、如采用供应商所不拥有的知识产权，则在报价中必须包括合法使用该知识产权的相关费用。</w:t>
      </w:r>
    </w:p>
    <w:p>
      <w:pPr>
        <w:pStyle w:val="null3"/>
        <w:jc w:val="left"/>
        <w:outlineLvl w:val="3"/>
      </w:pPr>
      <w:r>
        <w:rPr>
          <w:sz w:val="24"/>
          <w:b/>
        </w:rPr>
        <w:t>2.4.5响应文件的组成</w:t>
      </w:r>
    </w:p>
    <w:p>
      <w:pPr>
        <w:pStyle w:val="null3"/>
        <w:ind w:firstLine="480"/>
      </w:pPr>
      <w:r>
        <w:rPr/>
        <w:t>一、供应商应按照采购文件的规定和要求编制响应文件。</w:t>
      </w:r>
    </w:p>
    <w:p>
      <w:pPr>
        <w:pStyle w:val="null3"/>
        <w:ind w:firstLine="480"/>
        <w:jc w:val="both"/>
      </w:pPr>
      <w:r>
        <w:rPr/>
        <w:t>二、响应文件具体内容详见第五章。</w:t>
      </w:r>
    </w:p>
    <w:p>
      <w:pPr>
        <w:pStyle w:val="null3"/>
        <w:jc w:val="left"/>
        <w:outlineLvl w:val="3"/>
      </w:pPr>
      <w:r>
        <w:rPr>
          <w:sz w:val="24"/>
          <w:b/>
        </w:rPr>
        <w:t>2.4.6响应文件格式</w:t>
      </w:r>
    </w:p>
    <w:p>
      <w:pPr>
        <w:pStyle w:val="null3"/>
        <w:ind w:firstLine="480"/>
      </w:pPr>
      <w:r>
        <w:rPr/>
        <w:t>一、供应商应按照采购文件第五章中提供的“响应文件格式”填写相关内容。采购文件格式中签字、盖章等具体要求的，从其要求后，扫描成电子版，再纳入响应文件。</w:t>
      </w:r>
    </w:p>
    <w:p>
      <w:pPr>
        <w:pStyle w:val="null3"/>
        <w:ind w:firstLine="480"/>
      </w:pPr>
      <w:r>
        <w:rPr/>
        <w:t>二、对于没有格式要求的响应文件由供应商自行编写。</w:t>
      </w:r>
    </w:p>
    <w:p>
      <w:pPr>
        <w:pStyle w:val="null3"/>
        <w:jc w:val="left"/>
        <w:outlineLvl w:val="3"/>
      </w:pPr>
      <w:r>
        <w:rPr>
          <w:sz w:val="24"/>
          <w:b/>
        </w:rPr>
        <w:t>2.4.7响应报价</w:t>
      </w:r>
    </w:p>
    <w:p>
      <w:pPr>
        <w:pStyle w:val="null3"/>
        <w:ind w:firstLine="480"/>
      </w:pPr>
      <w:r>
        <w:rPr/>
        <w:t>一、供应商按协商小组的要求在项目电子化交易系统中提供最终报价，最终报价应是响应采购项目要求的全部工作内容的价格体现，包括供应商完成本项目所需的一切费用。</w:t>
      </w:r>
    </w:p>
    <w:p>
      <w:pPr>
        <w:pStyle w:val="null3"/>
        <w:ind w:firstLine="480"/>
      </w:pPr>
      <w:r>
        <w:rPr/>
        <w:t>二、供应商必须在“协商分项报价表”中报出拟提供服务的分项单价。对采购文件要求提供的服务，而供应商未提供分项报价的，视为已包含进合同总金额中</w:t>
      </w:r>
    </w:p>
    <w:p>
      <w:pPr>
        <w:pStyle w:val="null3"/>
        <w:ind w:firstLine="480"/>
      </w:pPr>
      <w:r>
        <w:rPr/>
        <w:t>三、采购人不接受供应商提供的选择性报价、赠送，每种货物或服务只允许有一个报价。否则，在协商时将其视为无效响应。</w:t>
      </w:r>
    </w:p>
    <w:p>
      <w:pPr>
        <w:pStyle w:val="null3"/>
        <w:ind w:firstLine="480"/>
      </w:pPr>
      <w:r>
        <w:rPr/>
        <w:t>四、在协商过程中，供应商可以修改其报价。供应商按协商程序规定提交最终报价后，此最终报价不得变动。</w:t>
      </w:r>
    </w:p>
    <w:p>
      <w:pPr>
        <w:pStyle w:val="null3"/>
        <w:jc w:val="left"/>
        <w:outlineLvl w:val="3"/>
      </w:pPr>
      <w:r>
        <w:rPr>
          <w:sz w:val="24"/>
          <w:b/>
        </w:rPr>
        <w:t>2.4.8响应文件有效期</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jc w:val="left"/>
        <w:outlineLvl w:val="3"/>
      </w:pPr>
      <w:r>
        <w:rPr>
          <w:sz w:val="24"/>
          <w:b/>
        </w:rPr>
        <w:t>2.4.9响应文件的制作、签章和加密</w:t>
      </w:r>
    </w:p>
    <w:p>
      <w:pPr>
        <w:pStyle w:val="null3"/>
        <w:ind w:firstLine="480"/>
        <w:jc w:val="both"/>
      </w:pPr>
      <w:r>
        <w:rPr/>
        <w:t>一、电子响应文件的编制、签章和加密</w:t>
      </w:r>
    </w:p>
    <w:p>
      <w:pPr>
        <w:pStyle w:val="null3"/>
        <w:ind w:firstLine="480"/>
        <w:jc w:val="both"/>
      </w:pPr>
      <w:r>
        <w:rPr/>
        <w:t>（一）编制。响应文件应当根据采购文件的规定进行编制。供应商应登陆项目电子化交易系统后，进入“项目交易”-“附件资料”下载投标（响应）客户端，按照客户端操作要求，编制响应文件。</w:t>
      </w:r>
    </w:p>
    <w:p>
      <w:pPr>
        <w:pStyle w:val="null3"/>
        <w:ind w:firstLine="480"/>
        <w:jc w:val="both"/>
      </w:pPr>
      <w:r>
        <w:rPr/>
        <w:t>（二）签章。供应商完成响应文件编制后，应按照采购文件第一章明确的签章要求，使用供应商（法定名称）电子签章对响应文件进行签章。</w:t>
      </w:r>
    </w:p>
    <w:p>
      <w:pPr>
        <w:pStyle w:val="null3"/>
        <w:ind w:firstLine="480"/>
        <w:jc w:val="both"/>
      </w:pPr>
      <w:r>
        <w:rPr/>
        <w:t>供应商采用联合体方式响应的，电子响应文件均需加盖供应商联合体各自单位（法定名称）电子签章。</w:t>
      </w:r>
    </w:p>
    <w:p>
      <w:pPr>
        <w:pStyle w:val="null3"/>
        <w:ind w:firstLine="480"/>
        <w:jc w:val="both"/>
      </w:pPr>
      <w:r>
        <w:rPr/>
        <w:t>（三）加密。供应商完成响应文件签章后，使用供应商数字证书(CA）对响应文件进行加密。</w:t>
      </w:r>
    </w:p>
    <w:p>
      <w:pPr>
        <w:pStyle w:val="null3"/>
        <w:ind w:firstLine="480"/>
        <w:jc w:val="both"/>
      </w:pPr>
      <w:r>
        <w:rPr/>
        <w:t>（四）响应文件编制工具会生成加密响应文件和密封的非加密电子响应文件。</w:t>
      </w:r>
    </w:p>
    <w:p>
      <w:pPr>
        <w:pStyle w:val="null3"/>
        <w:ind w:firstLine="480"/>
        <w:jc w:val="both"/>
      </w:pPr>
      <w:r>
        <w:rPr/>
        <w:t>供应商须携带加密响应文件的数字证书（CA）和非加密电子响应文件参加协商会议。</w:t>
      </w:r>
    </w:p>
    <w:p>
      <w:pPr>
        <w:pStyle w:val="null3"/>
        <w:ind w:firstLine="480"/>
        <w:jc w:val="both"/>
      </w:pPr>
      <w:r>
        <w:rPr/>
        <w:t>二、纸质响应文件</w:t>
      </w:r>
    </w:p>
    <w:p>
      <w:pPr>
        <w:pStyle w:val="null3"/>
        <w:ind w:firstLine="480"/>
        <w:jc w:val="both"/>
      </w:pPr>
      <w:r>
        <w:rPr/>
        <w:t>（一）编制。供应商还应制作纸质响应文件1份。纸质响应文件不得行间插字、涂改或增删，如有修改，必须由供应商法人代表或经其正式授权代表签名或盖单位公章。</w:t>
      </w:r>
    </w:p>
    <w:p>
      <w:pPr>
        <w:pStyle w:val="null3"/>
        <w:ind w:firstLine="480"/>
        <w:jc w:val="both"/>
      </w:pPr>
      <w:r>
        <w:rPr/>
        <w:t>纸质响应文件应与电子响应文件一致。因纸质响应文件与电子响应文件内容不一致而导致的不利后果由供应商承担。</w:t>
      </w:r>
    </w:p>
    <w:p>
      <w:pPr>
        <w:pStyle w:val="null3"/>
        <w:ind w:firstLine="480"/>
        <w:jc w:val="both"/>
      </w:pPr>
      <w:r>
        <w:rPr/>
        <w:t>（二）签章。纸质响应文件应由供应商法人代表或经其正式授权代表逐页签名或逐页盖单位公章。正式授权代表签字的，响应文件中需附有“法人代表授权书”。</w:t>
      </w:r>
    </w:p>
    <w:p>
      <w:pPr>
        <w:pStyle w:val="null3"/>
        <w:ind w:firstLine="480"/>
        <w:jc w:val="both"/>
      </w:pPr>
      <w:r>
        <w:rPr/>
        <w:t>供应商采用联合体方式响应的，纸质响应文件需加盖供应商联合体各自单位公章。</w:t>
      </w:r>
    </w:p>
    <w:p>
      <w:pPr>
        <w:pStyle w:val="null3"/>
        <w:ind w:firstLine="480"/>
        <w:jc w:val="both"/>
      </w:pPr>
      <w:r>
        <w:rPr/>
        <w:t>纸质响应文件应由供应商法人代表或经其正式授权代表逐页签名或逐页盖单位公章。正式授权代表签字的，响应文件中需附有“法定代表人授权书”。</w:t>
      </w:r>
    </w:p>
    <w:p>
      <w:pPr>
        <w:pStyle w:val="null3"/>
        <w:ind w:firstLine="480"/>
        <w:jc w:val="both"/>
      </w:pPr>
      <w:r>
        <w:rPr/>
        <w:t>纸质响应文件中的盖章、公章仅指与供应商名称全称相一致的标准单位公章，而非响应专用章等其他非公章。如使用响应专用章，须提供特别说明函，明确该响应专用章作为响应文件的签章其效力等同于单位公章（该特别说明函须同时加盖供应商单位公章和供应商响应专用章）。“法定代表人授权书、法定代表人和被授权人身份证明”必须按采购文件要求加盖与供应商名称全称相一致的标准单位公章。</w:t>
      </w:r>
    </w:p>
    <w:p>
      <w:pPr>
        <w:pStyle w:val="null3"/>
        <w:ind w:firstLine="480"/>
        <w:jc w:val="left"/>
      </w:pPr>
      <w:r>
        <w:rPr/>
        <w:t>（三）纸质响应文件启用情形：</w:t>
      </w:r>
    </w:p>
    <w:p>
      <w:pPr>
        <w:pStyle w:val="null3"/>
        <w:ind w:firstLine="480"/>
        <w:jc w:val="left"/>
      </w:pPr>
      <w:r>
        <w:rPr/>
        <w:t>当出现“供应商须知前附表”中“特殊情况”所述情形，采购人或采购代理机构根据实际情况启用纸质响应文件。</w:t>
      </w:r>
    </w:p>
    <w:p>
      <w:pPr>
        <w:pStyle w:val="null3"/>
        <w:ind w:firstLine="480"/>
        <w:jc w:val="both"/>
      </w:pPr>
      <w:r>
        <w:rPr/>
        <w:t>三、非加密电子响应文件和纸质响应文件的密封</w:t>
      </w:r>
    </w:p>
    <w:p>
      <w:pPr>
        <w:pStyle w:val="null3"/>
        <w:ind w:firstLine="480"/>
        <w:jc w:val="both"/>
      </w:pPr>
      <w:r>
        <w:rPr/>
        <w:t>1. 外层信封应：</w:t>
      </w:r>
    </w:p>
    <w:p>
      <w:pPr>
        <w:pStyle w:val="null3"/>
        <w:ind w:firstLine="480"/>
        <w:jc w:val="both"/>
      </w:pPr>
      <w:r>
        <w:rPr/>
        <w:t>（1）写明项目名称、项目编号、供应商名称、地址和邮政编码，并于袋口密封处加盖公章。</w:t>
      </w:r>
    </w:p>
    <w:p>
      <w:pPr>
        <w:pStyle w:val="null3"/>
        <w:ind w:firstLine="480"/>
        <w:jc w:val="both"/>
      </w:pPr>
      <w:r>
        <w:rPr/>
        <w:t>（2）注明 “请勿在202 年 月 日 时 00 分（开标协商时间）之前启封”的字样。</w:t>
      </w:r>
    </w:p>
    <w:p>
      <w:pPr>
        <w:pStyle w:val="null3"/>
        <w:ind w:firstLine="480"/>
        <w:jc w:val="both"/>
      </w:pPr>
      <w:r>
        <w:rPr/>
        <w:t>2.外层包装没有按上述规定密封的纸质响应文件和非加密的电子版投标文件将会被拒绝。</w:t>
      </w:r>
    </w:p>
    <w:p>
      <w:pPr>
        <w:pStyle w:val="null3"/>
        <w:ind w:firstLine="480"/>
        <w:jc w:val="both"/>
      </w:pPr>
      <w:r>
        <w:rPr/>
        <w:t>3.电报、电话、传真、邮件形式的纸质响应文件概不接受。</w:t>
      </w:r>
    </w:p>
    <w:p>
      <w:pPr>
        <w:pStyle w:val="null3"/>
        <w:ind w:firstLine="480"/>
        <w:jc w:val="both"/>
      </w:pPr>
      <w:r>
        <w:rPr/>
        <w:t>未按照采购文件要求密封的，采购人、采购代理机构应当拒收。</w:t>
      </w:r>
    </w:p>
    <w:p>
      <w:pPr>
        <w:pStyle w:val="null3"/>
        <w:ind w:firstLine="480"/>
        <w:jc w:val="left"/>
      </w:pPr>
      <w:r>
        <w:rPr/>
        <w:t>4.出现下列情况之一的采购响应文件按无效响应处理：</w:t>
      </w:r>
    </w:p>
    <w:p>
      <w:pPr>
        <w:pStyle w:val="null3"/>
        <w:ind w:firstLine="480"/>
        <w:jc w:val="left"/>
      </w:pPr>
      <w:r>
        <w:rPr/>
        <w:t>供应商未能按采购文件要求提供采购响应文件纸质版和电子版（包括线上加密和现场递交的非加密电子版）；</w:t>
      </w:r>
    </w:p>
    <w:p>
      <w:pPr>
        <w:pStyle w:val="null3"/>
        <w:ind w:firstLine="480"/>
        <w:jc w:val="left"/>
      </w:pPr>
      <w:r>
        <w:rPr/>
        <w:t>采购响应文件电子版未按要求加盖《关于供应商办理CA数字证书及电子签章的通知》中指定供应商签发的单位电子签章（如遇启用纸质采购响应文件时，纸质采购响应文件未按要求加盖公章）</w:t>
      </w:r>
    </w:p>
    <w:p>
      <w:pPr>
        <w:pStyle w:val="null3"/>
        <w:jc w:val="left"/>
        <w:outlineLvl w:val="3"/>
      </w:pPr>
      <w:r>
        <w:rPr>
          <w:sz w:val="24"/>
          <w:b/>
        </w:rPr>
        <w:t>2.4.10响应文件的提交</w:t>
      </w:r>
    </w:p>
    <w:p>
      <w:pPr>
        <w:pStyle w:val="null3"/>
        <w:ind w:firstLine="480"/>
        <w:jc w:val="both"/>
      </w:pPr>
      <w:r>
        <w:rPr/>
        <w:t>一、通过项目电子化交易系统上传提交</w:t>
      </w:r>
    </w:p>
    <w:p>
      <w:pPr>
        <w:pStyle w:val="null3"/>
        <w:ind w:firstLine="480"/>
        <w:jc w:val="both"/>
      </w:pPr>
      <w:r>
        <w:rPr/>
        <w:t>供应商应当在首次响应截止时间前，通过项目电子化交易系统上传提交加密的电子响应文件1份。</w:t>
      </w:r>
    </w:p>
    <w:p>
      <w:pPr>
        <w:pStyle w:val="null3"/>
        <w:ind w:firstLine="480"/>
        <w:jc w:val="both"/>
      </w:pPr>
      <w:r>
        <w:rPr/>
        <w:t>首次响应截止时间后，供应商未成功通过项目电子化交易系统上传提交已加密的电子响应文件的，将视为未提交响应文件，采购代理机构不再接收其他任何形式的响应文件，供应商已递交的其他任何形式的响应文件视为无效提交。</w:t>
      </w:r>
    </w:p>
    <w:p>
      <w:pPr>
        <w:pStyle w:val="null3"/>
        <w:ind w:firstLine="480"/>
      </w:pPr>
      <w:r>
        <w:rPr/>
        <w:t>成功通过项目电子化交易系统上传提交电子加密响应文件是指在首次响应截止时间前，上传提交按照最终版本采购文件编制加密的响应文件，并获取相应的《投标（响应）文件签收回执单》。</w:t>
      </w:r>
    </w:p>
    <w:p>
      <w:pPr>
        <w:pStyle w:val="null3"/>
        <w:ind w:firstLine="480"/>
      </w:pPr>
      <w:r>
        <w:rPr/>
        <w:t>二、现场递交</w:t>
      </w:r>
    </w:p>
    <w:p>
      <w:pPr>
        <w:pStyle w:val="null3"/>
        <w:ind w:firstLine="480"/>
      </w:pPr>
      <w:r>
        <w:rPr/>
        <w:t>（一）供应商授权代表现场递交文件及参加协商时，应须另行单独递交法定代表人授权书（无需密封，含法定代表人、被授权人身份证复印件）。</w:t>
      </w:r>
    </w:p>
    <w:p>
      <w:pPr>
        <w:pStyle w:val="null3"/>
        <w:ind w:firstLine="480"/>
      </w:pPr>
      <w:r>
        <w:rPr/>
        <w:t>供应商未递交法定代表人授权书、有效身份证复印件或法定代表人授权书未加盖单位公章的，其现场递交的响应文件将被拒绝。</w:t>
      </w:r>
    </w:p>
    <w:p>
      <w:pPr>
        <w:pStyle w:val="null3"/>
        <w:ind w:firstLine="480"/>
        <w:jc w:val="both"/>
      </w:pPr>
      <w:r>
        <w:rPr/>
        <w:t>（二）现场递交响应文件</w:t>
      </w:r>
    </w:p>
    <w:p>
      <w:pPr>
        <w:pStyle w:val="null3"/>
        <w:ind w:firstLine="480"/>
      </w:pPr>
      <w:r>
        <w:rPr/>
        <w:t>1.非加密电子响应文件：</w:t>
      </w:r>
    </w:p>
    <w:p>
      <w:pPr>
        <w:pStyle w:val="null3"/>
        <w:ind w:firstLine="480"/>
        <w:jc w:val="both"/>
      </w:pPr>
      <w:r>
        <w:rPr/>
        <w:t>供应商成功通过项目电子化交易系统上传提交已加密的电子响应文件后，响应文件递交截止时间前，须现场递交密封的存有非加密电子响应文件的移动存储介质1份。非加密电子响应文件应与加密电子响应文件一致。</w:t>
      </w:r>
    </w:p>
    <w:p>
      <w:pPr>
        <w:pStyle w:val="null3"/>
        <w:ind w:firstLine="480"/>
      </w:pPr>
      <w:r>
        <w:rPr/>
        <w:t>2.纸质响应文件：</w:t>
      </w:r>
    </w:p>
    <w:p>
      <w:pPr>
        <w:pStyle w:val="null3"/>
        <w:ind w:firstLine="480"/>
        <w:jc w:val="both"/>
      </w:pPr>
      <w:r>
        <w:rPr/>
        <w:t>供应商成功通过项目电子化交易系统上传提交已加密的电子响应文件后，响应文件递交截止时间前，须现场递交密封的纸质响应文件1份。纸质响应文件应与电子响应文件一致。</w:t>
      </w:r>
    </w:p>
    <w:p>
      <w:pPr>
        <w:pStyle w:val="null3"/>
        <w:jc w:val="left"/>
        <w:outlineLvl w:val="3"/>
      </w:pPr>
      <w:r>
        <w:rPr>
          <w:sz w:val="24"/>
          <w:b/>
        </w:rPr>
        <w:t>2.4.11响应文件的补充、修改、撤回</w:t>
      </w:r>
    </w:p>
    <w:p>
      <w:pPr>
        <w:pStyle w:val="null3"/>
        <w:ind w:firstLine="480"/>
        <w:jc w:val="both"/>
      </w:pPr>
      <w:r>
        <w:rPr/>
        <w:t>首次提交响应文件截止时间前，供应商可以补充、修改或者撤回已成功通过项目电子化交易系统上传提交加密电子响应文件。</w:t>
      </w:r>
    </w:p>
    <w:p>
      <w:pPr>
        <w:pStyle w:val="null3"/>
        <w:ind w:firstLine="480"/>
        <w:jc w:val="both"/>
      </w:pPr>
      <w:r>
        <w:rPr/>
        <w:t>对响应文件进行补充、修改的，应当先行撤回已上传提交的加密电子响应文件，通过投标（响应）文件编制工具进行补充、修改后，加盖电子签章和加密，重新通过项目电子化交易系统上传提交。</w:t>
      </w:r>
    </w:p>
    <w:p>
      <w:pPr>
        <w:pStyle w:val="null3"/>
        <w:ind w:firstLine="480"/>
        <w:jc w:val="both"/>
      </w:pPr>
      <w:r>
        <w:rPr/>
        <w:t>供应商通过项目电子化交易系统撤回响应文件后，视为未提交过响应文件。</w:t>
      </w:r>
    </w:p>
    <w:p>
      <w:pPr>
        <w:pStyle w:val="null3"/>
        <w:jc w:val="left"/>
        <w:outlineLvl w:val="2"/>
      </w:pPr>
      <w:r>
        <w:rPr>
          <w:sz w:val="28"/>
          <w:b/>
        </w:rPr>
        <w:t>2.5 开启、审查、协商和成交</w:t>
      </w:r>
    </w:p>
    <w:p>
      <w:pPr>
        <w:pStyle w:val="null3"/>
        <w:jc w:val="left"/>
        <w:outlineLvl w:val="3"/>
      </w:pPr>
      <w:r>
        <w:rPr>
          <w:sz w:val="24"/>
          <w:b/>
        </w:rPr>
        <w:t>2.5.1开启程序</w:t>
      </w:r>
    </w:p>
    <w:p>
      <w:pPr>
        <w:pStyle w:val="null3"/>
        <w:ind w:firstLine="480"/>
      </w:pPr>
      <w:r>
        <w:rPr/>
        <w:t>一、本项目在采购文件中规定的时间和地点组织协商现场通过电子化交易系统线上开启。协商时间为首次提交响应文件截止时间。</w:t>
      </w:r>
    </w:p>
    <w:p>
      <w:pPr>
        <w:pStyle w:val="null3"/>
        <w:ind w:firstLine="480"/>
      </w:pPr>
      <w:r>
        <w:rPr/>
        <w:t>二、开启准备工作</w:t>
      </w:r>
    </w:p>
    <w:p>
      <w:pPr>
        <w:pStyle w:val="null3"/>
        <w:ind w:firstLine="480"/>
      </w:pPr>
      <w:r>
        <w:rPr/>
        <w:t>响应文件提交截止时间前30分钟，供应商登录项目电子化交易系统-“开标/开启大厅”参与开启。</w:t>
      </w:r>
    </w:p>
    <w:p>
      <w:pPr>
        <w:pStyle w:val="null3"/>
        <w:ind w:firstLine="480"/>
      </w:pPr>
      <w:r>
        <w:rPr/>
        <w:t>三、解密响应文件</w:t>
      </w:r>
    </w:p>
    <w:p>
      <w:pPr>
        <w:pStyle w:val="null3"/>
        <w:ind w:firstLine="480"/>
      </w:pPr>
      <w:r>
        <w:rPr/>
        <w:t>（一）响应文件提交截止时间后，拟邀请参加本项目协商的供应商成功提交响应文件的，代理机构将启动响应文件解密程序。</w:t>
      </w:r>
    </w:p>
    <w:p>
      <w:pPr>
        <w:pStyle w:val="null3"/>
        <w:ind w:firstLine="480"/>
      </w:pPr>
      <w:r>
        <w:rPr/>
        <w:t>（二）响应文件解密时限为30分钟；供应商应在规定的解密时限内，登录项目电子化交易系统，使用加密电子响应文件时使用的数字证书（CA)对电子响应文件解密。</w:t>
      </w:r>
    </w:p>
    <w:p>
      <w:pPr>
        <w:pStyle w:val="null3"/>
        <w:ind w:firstLine="480"/>
      </w:pPr>
      <w:r>
        <w:rPr/>
        <w:t>如供应商在规定的解密时限内CA解密失败的，代理机构现场开封并上传供应商已现场递交的备用非加密电子响应文件。</w:t>
      </w:r>
    </w:p>
    <w:p>
      <w:pPr>
        <w:pStyle w:val="null3"/>
        <w:ind w:firstLine="480"/>
      </w:pPr>
      <w:r>
        <w:rPr/>
        <w:t>（三）解密过程中出现下列情形，响应文件提交无效：</w:t>
      </w:r>
    </w:p>
    <w:p>
      <w:pPr>
        <w:pStyle w:val="null3"/>
        <w:ind w:firstLine="480"/>
      </w:pPr>
      <w:r>
        <w:rPr/>
        <w:t>1. 未在规定的解密时限时间内完成解密。</w:t>
      </w:r>
    </w:p>
    <w:p>
      <w:pPr>
        <w:pStyle w:val="null3"/>
        <w:ind w:firstLine="480"/>
      </w:pPr>
      <w:r>
        <w:rPr/>
        <w:t>2.CA解密失败且备用非加密电子响应文件上传失败。</w:t>
      </w:r>
    </w:p>
    <w:p>
      <w:pPr>
        <w:pStyle w:val="null3"/>
        <w:jc w:val="left"/>
        <w:outlineLvl w:val="3"/>
      </w:pPr>
      <w:r>
        <w:rPr>
          <w:sz w:val="24"/>
          <w:b/>
        </w:rPr>
        <w:t>2.5.2查询及使用信用记录</w:t>
      </w:r>
    </w:p>
    <w:p>
      <w:pPr>
        <w:pStyle w:val="null3"/>
        <w:ind w:firstLine="480"/>
      </w:pPr>
      <w:r>
        <w:rPr/>
        <w:t>必须为未被列入信用中国网站(www.creditchina.gov.cn)、中国政府采购网(www.ccgp.gov.cn)渠道信用记录失信被执行人、重大税收违法案件当事人名单、政府采购严重违法失信行为记录名单的供应商，否则其响应将被拒绝。</w:t>
      </w:r>
    </w:p>
    <w:p>
      <w:pPr>
        <w:pStyle w:val="null3"/>
        <w:ind w:firstLine="480"/>
      </w:pPr>
      <w:r>
        <w:rPr/>
        <w:t>信用信息查询记录和证据留存的方式：信用信息查询记录和证据必须留存，并与该采购文件一并保存。</w:t>
      </w:r>
    </w:p>
    <w:p>
      <w:pPr>
        <w:pStyle w:val="null3"/>
        <w:ind w:firstLine="480"/>
        <w:jc w:val="left"/>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jc w:val="left"/>
        <w:outlineLvl w:val="3"/>
      </w:pPr>
      <w:r>
        <w:rPr>
          <w:sz w:val="24"/>
          <w:b/>
        </w:rPr>
        <w:t>2.5.3供应商审查</w:t>
      </w:r>
    </w:p>
    <w:p>
      <w:pPr>
        <w:pStyle w:val="null3"/>
        <w:ind w:firstLine="480"/>
        <w:jc w:val="both"/>
      </w:pPr>
      <w:r>
        <w:rPr/>
        <w:t>详见响应文件第四章。</w:t>
      </w:r>
    </w:p>
    <w:p>
      <w:pPr>
        <w:pStyle w:val="null3"/>
        <w:jc w:val="left"/>
        <w:outlineLvl w:val="3"/>
      </w:pPr>
      <w:r>
        <w:rPr>
          <w:sz w:val="24"/>
          <w:b/>
        </w:rPr>
        <w:t>2.5.4协商</w:t>
      </w:r>
    </w:p>
    <w:p>
      <w:pPr>
        <w:pStyle w:val="null3"/>
        <w:ind w:firstLine="480"/>
        <w:jc w:val="both"/>
      </w:pPr>
      <w:r>
        <w:rPr/>
        <w:t>详见响应文件第四章。</w:t>
      </w:r>
    </w:p>
    <w:p>
      <w:pPr>
        <w:pStyle w:val="null3"/>
        <w:jc w:val="left"/>
        <w:outlineLvl w:val="3"/>
      </w:pPr>
      <w:r>
        <w:rPr>
          <w:sz w:val="24"/>
          <w:b/>
        </w:rPr>
        <w:t>2.5.5供应商最终报价</w:t>
      </w:r>
    </w:p>
    <w:p>
      <w:pPr>
        <w:pStyle w:val="null3"/>
        <w:ind w:firstLine="480"/>
      </w:pPr>
      <w:r>
        <w:rPr/>
        <w:t>详见响应文件第四章。</w:t>
      </w:r>
    </w:p>
    <w:p>
      <w:pPr>
        <w:pStyle w:val="null3"/>
        <w:jc w:val="left"/>
        <w:outlineLvl w:val="3"/>
      </w:pPr>
      <w:r>
        <w:rPr>
          <w:sz w:val="24"/>
          <w:b/>
        </w:rPr>
        <w:t>2.5.6成交通知书</w:t>
      </w:r>
    </w:p>
    <w:p>
      <w:pPr>
        <w:pStyle w:val="null3"/>
        <w:ind w:firstLine="480"/>
        <w:jc w:val="both"/>
      </w:pPr>
      <w:r>
        <w:rPr/>
        <w:t>一、采购人或者协商小组确认成交供应商后，代理机构在供应商须知前附表“信息发布渠道”发布成交结果公告、通过项目电子化交易系统发出成交通知书，成交供应商通过项目电子化交易系统获取成交通知书。</w:t>
      </w:r>
    </w:p>
    <w:p>
      <w:pPr>
        <w:pStyle w:val="null3"/>
        <w:ind w:firstLine="480"/>
        <w:jc w:val="both"/>
      </w:pPr>
      <w:r>
        <w:rPr/>
        <w:t>二、成交通知书是采购人和成交供应商签订政府采购合同的依据，是合同的有效组成部分。</w:t>
      </w:r>
    </w:p>
    <w:p>
      <w:pPr>
        <w:pStyle w:val="null3"/>
        <w:ind w:firstLine="480"/>
        <w:jc w:val="both"/>
      </w:pPr>
      <w:r>
        <w:rPr/>
        <w:t>三、成交通知书对采购人和成交供应商均具有法律效力。</w:t>
      </w:r>
    </w:p>
    <w:p>
      <w:pPr>
        <w:pStyle w:val="null3"/>
        <w:jc w:val="left"/>
        <w:outlineLvl w:val="2"/>
      </w:pPr>
      <w:r>
        <w:rPr>
          <w:sz w:val="28"/>
          <w:b/>
        </w:rPr>
        <w:t>2.6 签订及履行合同和验收 签订合同</w:t>
      </w:r>
    </w:p>
    <w:p>
      <w:pPr>
        <w:pStyle w:val="null3"/>
        <w:ind w:firstLine="480"/>
        <w:jc w:val="both"/>
      </w:pPr>
      <w:r>
        <w:rPr/>
        <w:t>一、成交供应商应当自收到成交通知书之日起30日内，与采购人完成合同的起草和签订工作。</w:t>
      </w:r>
    </w:p>
    <w:p>
      <w:pPr>
        <w:pStyle w:val="null3"/>
        <w:ind w:firstLine="480"/>
        <w:jc w:val="both"/>
      </w:pPr>
      <w:r>
        <w:rPr/>
        <w:t>二、采购文件、成交供应商的采购响应文件及其补充澄清文件、最终报价文件，均为合同的组成部分。</w:t>
      </w:r>
    </w:p>
    <w:p>
      <w:pPr>
        <w:pStyle w:val="null3"/>
      </w:pPr>
      <w:r>
        <w:rPr/>
        <w:t xml:space="preserve"> </w:t>
      </w:r>
    </w:p>
    <w:p>
      <w:pPr>
        <w:pStyle w:val="null3"/>
        <w:jc w:val="center"/>
        <w:outlineLvl w:val="1"/>
      </w:pPr>
      <w:r>
        <w:rPr>
          <w:sz w:val="36"/>
          <w:b/>
        </w:rPr>
        <w:t>第三章 采购项目技术、服务、商务及其他要求</w:t>
      </w:r>
    </w:p>
    <w:p>
      <w:pPr>
        <w:pStyle w:val="null3"/>
        <w:ind w:firstLine="480"/>
        <w:jc w:val="left"/>
      </w:pPr>
      <w:r>
        <w:rPr/>
        <w:t>（带“★”的参数需求为实质性要求，供应商必须响应并满足的参数需求，采购人、采购代理机构应当根据项目实际需求合理设定，并明确具体要求。）</w:t>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left"/>
            </w:pPr>
            <w:r>
              <w:rPr>
                <w:b/>
              </w:rPr>
              <w:t>序号</w:t>
            </w:r>
          </w:p>
        </w:tc>
        <w:tc>
          <w:tcPr>
            <w:tcW w:type="dxa" w:w="2492"/>
          </w:tcPr>
          <w:p>
            <w:pPr>
              <w:pStyle w:val="null3"/>
              <w:jc w:val="left"/>
            </w:pPr>
            <w:r>
              <w:rPr>
                <w:b/>
              </w:rPr>
              <w:t>内 容</w:t>
            </w:r>
          </w:p>
        </w:tc>
        <w:tc>
          <w:tcPr>
            <w:tcW w:type="dxa" w:w="4984"/>
          </w:tcPr>
          <w:p>
            <w:pPr>
              <w:pStyle w:val="null3"/>
              <w:jc w:val="left"/>
            </w:pPr>
            <w:r>
              <w:rPr>
                <w:b/>
              </w:rPr>
              <w:t>说    明</w:t>
            </w:r>
          </w:p>
        </w:tc>
      </w:tr>
      <w:tr>
        <w:tc>
          <w:tcPr>
            <w:tcW w:type="dxa" w:w="831"/>
          </w:tcPr>
          <w:p>
            <w:pPr>
              <w:pStyle w:val="null3"/>
              <w:jc w:val="left"/>
            </w:pPr>
            <w:r>
              <w:rPr/>
              <w:t>1</w:t>
            </w:r>
          </w:p>
        </w:tc>
        <w:tc>
          <w:tcPr>
            <w:tcW w:type="dxa" w:w="2492"/>
          </w:tcPr>
          <w:p>
            <w:pPr>
              <w:pStyle w:val="null3"/>
              <w:jc w:val="left"/>
            </w:pPr>
            <w:r>
              <w:rPr/>
              <w:t>项目背景</w:t>
            </w:r>
          </w:p>
        </w:tc>
        <w:tc>
          <w:tcPr>
            <w:tcW w:type="dxa" w:w="4984"/>
          </w:tcPr>
          <w:p>
            <w:pPr>
              <w:pStyle w:val="null3"/>
              <w:jc w:val="left"/>
            </w:pPr>
            <w:r>
              <w:rPr/>
              <w:t>为了满足职工研究与业务工作需要，2025年中国人民银行将根据信息化项目任务要求，采购Bank Focus全球银行及金融机构数据库为期一年的使用权。</w:t>
            </w:r>
          </w:p>
        </w:tc>
      </w:tr>
      <w:tr>
        <w:tc>
          <w:tcPr>
            <w:tcW w:type="dxa" w:w="831"/>
          </w:tcPr>
          <w:p>
            <w:pPr>
              <w:pStyle w:val="null3"/>
              <w:jc w:val="left"/>
            </w:pPr>
            <w:r>
              <w:rPr/>
              <w:t>2</w:t>
            </w:r>
          </w:p>
        </w:tc>
        <w:tc>
          <w:tcPr>
            <w:tcW w:type="dxa" w:w="2492"/>
          </w:tcPr>
          <w:p>
            <w:pPr>
              <w:pStyle w:val="null3"/>
              <w:jc w:val="left"/>
            </w:pPr>
            <w:r>
              <w:rPr/>
              <w:t>执行依据</w:t>
            </w:r>
          </w:p>
        </w:tc>
        <w:tc>
          <w:tcPr>
            <w:tcW w:type="dxa" w:w="4984"/>
          </w:tcPr>
          <w:p>
            <w:pPr>
              <w:pStyle w:val="null3"/>
              <w:jc w:val="left"/>
            </w:pPr>
            <w:r>
              <w:rPr/>
              <w:t>已通过总行信息化项目立项。</w:t>
            </w:r>
          </w:p>
        </w:tc>
      </w:tr>
      <w:tr>
        <w:tc>
          <w:tcPr>
            <w:tcW w:type="dxa" w:w="831"/>
          </w:tcPr>
          <w:p>
            <w:pPr>
              <w:pStyle w:val="null3"/>
              <w:jc w:val="left"/>
            </w:pPr>
            <w:r>
              <w:rPr/>
              <w:t>3</w:t>
            </w:r>
          </w:p>
        </w:tc>
        <w:tc>
          <w:tcPr>
            <w:tcW w:type="dxa" w:w="2492"/>
          </w:tcPr>
          <w:p>
            <w:pPr>
              <w:pStyle w:val="null3"/>
              <w:jc w:val="left"/>
            </w:pPr>
            <w:r>
              <w:rPr/>
              <w:t>项目目标</w:t>
            </w:r>
          </w:p>
        </w:tc>
        <w:tc>
          <w:tcPr>
            <w:tcW w:type="dxa" w:w="4984"/>
          </w:tcPr>
          <w:p>
            <w:pPr>
              <w:pStyle w:val="null3"/>
              <w:jc w:val="left"/>
            </w:pPr>
            <w:r>
              <w:rPr/>
              <w:t>采购Bank Focus全球银行及金融机构数据库一年使用权，供中国人民银行总行职工使用，确保对总行金融研究和业务工作的微观数据支撑。</w:t>
            </w:r>
          </w:p>
        </w:tc>
      </w:tr>
      <w:tr>
        <w:tc>
          <w:tcPr>
            <w:tcW w:type="dxa" w:w="831"/>
          </w:tcPr>
          <w:p>
            <w:pPr>
              <w:pStyle w:val="null3"/>
              <w:jc w:val="left"/>
            </w:pPr>
            <w:r>
              <w:rPr/>
              <w:t>4</w:t>
            </w:r>
          </w:p>
        </w:tc>
        <w:tc>
          <w:tcPr>
            <w:tcW w:type="dxa" w:w="2492"/>
          </w:tcPr>
          <w:p>
            <w:pPr>
              <w:pStyle w:val="null3"/>
              <w:jc w:val="left"/>
            </w:pPr>
            <w:r>
              <w:rPr/>
              <w:t>项目内容</w:t>
            </w:r>
          </w:p>
        </w:tc>
        <w:tc>
          <w:tcPr>
            <w:tcW w:type="dxa" w:w="4984"/>
          </w:tcPr>
          <w:p>
            <w:pPr>
              <w:pStyle w:val="null3"/>
              <w:jc w:val="left"/>
            </w:pPr>
            <w:r>
              <w:rPr/>
              <w:t>采购Bank Focus全球银行及金融机构数据库一年使用权，供中国人民银行总行职工使用。</w:t>
            </w:r>
          </w:p>
        </w:tc>
      </w:tr>
      <w:tr>
        <w:tc>
          <w:tcPr>
            <w:tcW w:type="dxa" w:w="831"/>
          </w:tcPr>
          <w:p>
            <w:pPr>
              <w:pStyle w:val="null3"/>
              <w:jc w:val="left"/>
            </w:pPr>
            <w:r>
              <w:rPr/>
              <w:t>5</w:t>
            </w:r>
          </w:p>
        </w:tc>
        <w:tc>
          <w:tcPr>
            <w:tcW w:type="dxa" w:w="2492"/>
          </w:tcPr>
          <w:p>
            <w:pPr>
              <w:pStyle w:val="null3"/>
              <w:jc w:val="left"/>
            </w:pPr>
            <w:r>
              <w:rPr/>
              <w:t>项目范围</w:t>
            </w:r>
          </w:p>
        </w:tc>
        <w:tc>
          <w:tcPr>
            <w:tcW w:type="dxa" w:w="4984"/>
          </w:tcPr>
          <w:p>
            <w:pPr>
              <w:pStyle w:val="null3"/>
              <w:jc w:val="left"/>
            </w:pPr>
            <w:r>
              <w:rPr/>
              <w:t>中国人民银行总行。</w:t>
            </w:r>
          </w:p>
        </w:tc>
      </w:tr>
      <w:tr>
        <w:tc>
          <w:tcPr>
            <w:tcW w:type="dxa" w:w="831"/>
          </w:tcPr>
          <w:p>
            <w:pPr>
              <w:pStyle w:val="null3"/>
              <w:jc w:val="left"/>
            </w:pPr>
            <w:r>
              <w:rPr/>
              <w:t>6</w:t>
            </w:r>
          </w:p>
        </w:tc>
        <w:tc>
          <w:tcPr>
            <w:tcW w:type="dxa" w:w="2492"/>
          </w:tcPr>
          <w:p>
            <w:pPr>
              <w:pStyle w:val="null3"/>
              <w:jc w:val="left"/>
            </w:pPr>
            <w:r>
              <w:rPr/>
              <w:t>重要性分析</w:t>
            </w:r>
          </w:p>
        </w:tc>
        <w:tc>
          <w:tcPr>
            <w:tcW w:type="dxa" w:w="4984"/>
          </w:tcPr>
          <w:p>
            <w:pPr>
              <w:pStyle w:val="null3"/>
              <w:jc w:val="left"/>
            </w:pPr>
            <w:r>
              <w:rPr/>
              <w:t>Bank Focus全球银行及金融机构数据库所包含的覆盖全球大部分金融机构的微观数据已成为业务工作和研究工作的有力支撑。</w:t>
            </w:r>
          </w:p>
        </w:tc>
      </w:tr>
      <w:tr>
        <w:tc>
          <w:tcPr>
            <w:tcW w:type="dxa" w:w="831"/>
          </w:tcPr>
          <w:p>
            <w:pPr>
              <w:pStyle w:val="null3"/>
              <w:jc w:val="left"/>
            </w:pPr>
            <w:r>
              <w:rPr/>
              <w:t>7</w:t>
            </w:r>
          </w:p>
        </w:tc>
        <w:tc>
          <w:tcPr>
            <w:tcW w:type="dxa" w:w="2492"/>
          </w:tcPr>
          <w:p>
            <w:pPr>
              <w:pStyle w:val="null3"/>
              <w:jc w:val="left"/>
            </w:pPr>
            <w:r>
              <w:rPr/>
              <w:t>与前期项目的关系</w:t>
            </w:r>
          </w:p>
        </w:tc>
        <w:tc>
          <w:tcPr>
            <w:tcW w:type="dxa" w:w="4984"/>
          </w:tcPr>
          <w:p>
            <w:pPr>
              <w:pStyle w:val="null3"/>
              <w:jc w:val="left"/>
            </w:pPr>
            <w:r>
              <w:rPr/>
              <w:t>与2023年所提供服务一致。</w:t>
            </w:r>
          </w:p>
        </w:tc>
      </w:tr>
    </w:tbl>
    <w:p>
      <w:pPr>
        <w:pStyle w:val="null3"/>
        <w:jc w:val="left"/>
        <w:outlineLvl w:val="2"/>
      </w:pPr>
      <w:r>
        <w:rPr>
          <w:sz w:val="28"/>
          <w:b/>
        </w:rPr>
        <w:t>3.2 技术及商务要求</w:t>
      </w:r>
    </w:p>
    <w:p>
      <w:pPr>
        <w:pStyle w:val="null3"/>
        <w:jc w:val="left"/>
      </w:pPr>
      <w:r>
        <w:rPr/>
        <w:t>本技术要求共有“★”指标9个，”#”指标0个，“▲”指标0个。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t xml:space="preserve"> 序号</w:t>
            </w:r>
          </w:p>
        </w:tc>
        <w:tc>
          <w:tcPr>
            <w:tcW w:type="dxa" w:w="1038"/>
          </w:tcPr>
          <w:p>
            <w:pPr>
              <w:pStyle w:val="null3"/>
              <w:jc w:val="left"/>
            </w:pPr>
            <w:r>
              <w:rPr/>
              <w:t xml:space="preserve"> 分类</w:t>
            </w:r>
          </w:p>
        </w:tc>
        <w:tc>
          <w:tcPr>
            <w:tcW w:type="dxa" w:w="1038"/>
          </w:tcPr>
          <w:p>
            <w:pPr>
              <w:pStyle w:val="null3"/>
              <w:jc w:val="left"/>
            </w:pPr>
            <w:r>
              <w:rPr/>
              <w:t xml:space="preserve"> 重要性</w:t>
            </w:r>
          </w:p>
        </w:tc>
        <w:tc>
          <w:tcPr>
            <w:tcW w:type="dxa" w:w="1038"/>
          </w:tcPr>
          <w:p>
            <w:pPr>
              <w:pStyle w:val="null3"/>
              <w:jc w:val="left"/>
            </w:pPr>
            <w:r>
              <w:rPr/>
              <w:t xml:space="preserve"> 指标项</w:t>
            </w:r>
          </w:p>
        </w:tc>
        <w:tc>
          <w:tcPr>
            <w:tcW w:type="dxa" w:w="1038"/>
          </w:tcPr>
          <w:p>
            <w:pPr>
              <w:pStyle w:val="null3"/>
              <w:jc w:val="left"/>
            </w:pPr>
            <w:r>
              <w:rPr/>
              <w:t xml:space="preserve"> 二级指标</w:t>
            </w:r>
          </w:p>
        </w:tc>
        <w:tc>
          <w:tcPr>
            <w:tcW w:type="dxa" w:w="1038"/>
          </w:tcPr>
          <w:p>
            <w:pPr>
              <w:pStyle w:val="null3"/>
              <w:jc w:val="left"/>
            </w:pPr>
            <w:r>
              <w:rPr/>
              <w:t xml:space="preserve"> 指标要求</w:t>
            </w:r>
          </w:p>
        </w:tc>
        <w:tc>
          <w:tcPr>
            <w:tcW w:type="dxa" w:w="1038"/>
          </w:tcPr>
          <w:p>
            <w:pPr>
              <w:pStyle w:val="null3"/>
              <w:jc w:val="left"/>
            </w:pPr>
            <w:r>
              <w:rPr/>
              <w:t xml:space="preserve"> 是否提供证明材料</w:t>
            </w:r>
          </w:p>
        </w:tc>
        <w:tc>
          <w:tcPr>
            <w:tcW w:type="dxa" w:w="1038"/>
          </w:tcPr>
          <w:p>
            <w:pPr>
              <w:pStyle w:val="null3"/>
              <w:jc w:val="left"/>
            </w:pPr>
            <w:r>
              <w:rPr/>
              <w:t xml:space="preserve"> 提供方式</w:t>
            </w:r>
          </w:p>
        </w:tc>
      </w:tr>
      <w:tr>
        <w:tc>
          <w:tcPr>
            <w:tcW w:type="dxa" w:w="1038"/>
          </w:tcPr>
          <w:p>
            <w:pPr>
              <w:pStyle w:val="null3"/>
              <w:jc w:val="left"/>
            </w:pPr>
            <w:r>
              <w:rPr/>
              <w:t>1</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基础模块</w:t>
            </w:r>
          </w:p>
        </w:tc>
        <w:tc>
          <w:tcPr>
            <w:tcW w:type="dxa" w:w="1038"/>
          </w:tcPr>
          <w:p/>
        </w:tc>
        <w:tc>
          <w:tcPr>
            <w:tcW w:type="dxa" w:w="1038"/>
          </w:tcPr>
          <w:p>
            <w:pPr>
              <w:pStyle w:val="null3"/>
              <w:jc w:val="left"/>
            </w:pPr>
            <w:r>
              <w:rPr/>
              <w:t>包含55,700家银行及金融机构的基本信息、财务数据；（北美地区30,700, 欧洲地区16,000，亚太地区4,700以及拉美地区4,300家银行数据）。数据显示及输出功能（Excel, Word，RTF格式等）；图表显示及输出功能；分析功能（根据用户自定义的变量和时间段对一家或一组银行进行深入分析，包括：同业银行组对比分析、数据合并、项目排序、求和、分布和线性回归等）</w:t>
            </w:r>
          </w:p>
        </w:tc>
        <w:tc>
          <w:tcPr>
            <w:tcW w:type="dxa" w:w="1038"/>
          </w:tcPr>
          <w:p>
            <w:pPr>
              <w:pStyle w:val="null3"/>
              <w:jc w:val="left"/>
            </w:pPr>
            <w:r>
              <w:rPr/>
              <w:t>否</w:t>
            </w:r>
          </w:p>
        </w:tc>
        <w:tc>
          <w:tcPr>
            <w:tcW w:type="dxa" w:w="1038"/>
          </w:tcPr>
          <w:p/>
        </w:tc>
      </w:tr>
      <w:tr>
        <w:tc>
          <w:tcPr>
            <w:tcW w:type="dxa" w:w="1038"/>
          </w:tcPr>
          <w:p>
            <w:pPr>
              <w:pStyle w:val="null3"/>
              <w:jc w:val="left"/>
            </w:pPr>
            <w:r>
              <w:rPr/>
              <w:t>2</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评级模块</w:t>
            </w:r>
          </w:p>
        </w:tc>
        <w:tc>
          <w:tcPr>
            <w:tcW w:type="dxa" w:w="1038"/>
          </w:tcPr>
          <w:p/>
        </w:tc>
        <w:tc>
          <w:tcPr>
            <w:tcW w:type="dxa" w:w="1038"/>
          </w:tcPr>
          <w:p>
            <w:pPr>
              <w:pStyle w:val="null3"/>
              <w:jc w:val="left"/>
            </w:pPr>
            <w:r>
              <w:rPr/>
              <w:t>可以浏览评级信息（穆迪）。</w:t>
            </w:r>
          </w:p>
        </w:tc>
        <w:tc>
          <w:tcPr>
            <w:tcW w:type="dxa" w:w="1038"/>
          </w:tcPr>
          <w:p>
            <w:pPr>
              <w:pStyle w:val="null3"/>
              <w:jc w:val="left"/>
            </w:pPr>
            <w:r>
              <w:rPr/>
              <w:t>否</w:t>
            </w:r>
          </w:p>
        </w:tc>
        <w:tc>
          <w:tcPr>
            <w:tcW w:type="dxa" w:w="1038"/>
          </w:tcPr>
          <w:p/>
        </w:tc>
      </w:tr>
      <w:tr>
        <w:tc>
          <w:tcPr>
            <w:tcW w:type="dxa" w:w="1038"/>
          </w:tcPr>
          <w:p>
            <w:pPr>
              <w:pStyle w:val="null3"/>
              <w:jc w:val="left"/>
            </w:pPr>
            <w:r>
              <w:rPr/>
              <w:t>3</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股权结构模块</w:t>
            </w:r>
          </w:p>
        </w:tc>
        <w:tc>
          <w:tcPr>
            <w:tcW w:type="dxa" w:w="1038"/>
          </w:tcPr>
          <w:p/>
        </w:tc>
        <w:tc>
          <w:tcPr>
            <w:tcW w:type="dxa" w:w="1038"/>
          </w:tcPr>
          <w:p>
            <w:pPr>
              <w:pStyle w:val="null3"/>
              <w:jc w:val="left"/>
            </w:pPr>
            <w:r>
              <w:rPr/>
              <w:t>上述银行及金融机构的详细股东及银行附属机构、受益人、实际控制人等信息。</w:t>
            </w:r>
          </w:p>
        </w:tc>
        <w:tc>
          <w:tcPr>
            <w:tcW w:type="dxa" w:w="1038"/>
          </w:tcPr>
          <w:p>
            <w:pPr>
              <w:pStyle w:val="null3"/>
              <w:jc w:val="left"/>
            </w:pPr>
            <w:r>
              <w:rPr/>
              <w:t>否</w:t>
            </w:r>
          </w:p>
        </w:tc>
        <w:tc>
          <w:tcPr>
            <w:tcW w:type="dxa" w:w="1038"/>
          </w:tcPr>
          <w:p/>
        </w:tc>
      </w:tr>
      <w:tr>
        <w:tc>
          <w:tcPr>
            <w:tcW w:type="dxa" w:w="1038"/>
          </w:tcPr>
          <w:p>
            <w:pPr>
              <w:pStyle w:val="null3"/>
              <w:jc w:val="left"/>
            </w:pPr>
            <w:r>
              <w:rPr/>
              <w:t>4</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Add-In模块</w:t>
            </w:r>
          </w:p>
        </w:tc>
        <w:tc>
          <w:tcPr>
            <w:tcW w:type="dxa" w:w="1038"/>
          </w:tcPr>
          <w:p/>
        </w:tc>
        <w:tc>
          <w:tcPr>
            <w:tcW w:type="dxa" w:w="1038"/>
          </w:tcPr>
          <w:p>
            <w:pPr>
              <w:pStyle w:val="null3"/>
              <w:jc w:val="left"/>
            </w:pPr>
            <w:r>
              <w:rPr/>
              <w:t>用户可以直接在自己的电子表格（Excel、Lotus或Access）中抓取数据库中的数据。数据库更新时，电子表格中的数据也会自动更新。</w:t>
            </w:r>
          </w:p>
        </w:tc>
        <w:tc>
          <w:tcPr>
            <w:tcW w:type="dxa" w:w="1038"/>
          </w:tcPr>
          <w:p>
            <w:pPr>
              <w:pStyle w:val="null3"/>
              <w:jc w:val="left"/>
            </w:pPr>
            <w:r>
              <w:rPr/>
              <w:t>否</w:t>
            </w:r>
          </w:p>
        </w:tc>
        <w:tc>
          <w:tcPr>
            <w:tcW w:type="dxa" w:w="1038"/>
          </w:tcPr>
          <w:p/>
        </w:tc>
      </w:tr>
      <w:tr>
        <w:tc>
          <w:tcPr>
            <w:tcW w:type="dxa" w:w="1038"/>
          </w:tcPr>
          <w:p>
            <w:pPr>
              <w:pStyle w:val="null3"/>
              <w:jc w:val="left"/>
            </w:pPr>
            <w:r>
              <w:rPr/>
              <w:t>5</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中期财务数据</w:t>
            </w:r>
          </w:p>
        </w:tc>
        <w:tc>
          <w:tcPr>
            <w:tcW w:type="dxa" w:w="1038"/>
          </w:tcPr>
          <w:p/>
        </w:tc>
        <w:tc>
          <w:tcPr>
            <w:tcW w:type="dxa" w:w="1038"/>
          </w:tcPr>
          <w:p>
            <w:pPr>
              <w:pStyle w:val="null3"/>
              <w:jc w:val="left"/>
            </w:pPr>
            <w:r>
              <w:rPr/>
              <w:t>在财务信息里增加中期财务数值。</w:t>
            </w:r>
          </w:p>
        </w:tc>
        <w:tc>
          <w:tcPr>
            <w:tcW w:type="dxa" w:w="1038"/>
          </w:tcPr>
          <w:p>
            <w:pPr>
              <w:pStyle w:val="null3"/>
              <w:jc w:val="left"/>
            </w:pPr>
            <w:r>
              <w:rPr/>
              <w:t>否</w:t>
            </w:r>
          </w:p>
        </w:tc>
        <w:tc>
          <w:tcPr>
            <w:tcW w:type="dxa" w:w="1038"/>
          </w:tcPr>
          <w:p/>
        </w:tc>
      </w:tr>
      <w:tr>
        <w:tc>
          <w:tcPr>
            <w:tcW w:type="dxa" w:w="1038"/>
          </w:tcPr>
          <w:p>
            <w:pPr>
              <w:pStyle w:val="null3"/>
              <w:jc w:val="left"/>
            </w:pPr>
            <w:r>
              <w:rPr/>
              <w:t>6</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高管模块</w:t>
            </w:r>
          </w:p>
        </w:tc>
        <w:tc>
          <w:tcPr>
            <w:tcW w:type="dxa" w:w="1038"/>
          </w:tcPr>
          <w:p/>
        </w:tc>
        <w:tc>
          <w:tcPr>
            <w:tcW w:type="dxa" w:w="1038"/>
          </w:tcPr>
          <w:p>
            <w:pPr>
              <w:pStyle w:val="null3"/>
              <w:jc w:val="left"/>
            </w:pPr>
            <w:r>
              <w:rPr/>
              <w:t>上述银行及金融机构的详细高管信息，包括主要当前高管和经理、历史高管和经理、审计公司、银行及其他顾问等信息。</w:t>
            </w:r>
          </w:p>
        </w:tc>
        <w:tc>
          <w:tcPr>
            <w:tcW w:type="dxa" w:w="1038"/>
          </w:tcPr>
          <w:p>
            <w:pPr>
              <w:pStyle w:val="null3"/>
              <w:jc w:val="left"/>
            </w:pPr>
            <w:r>
              <w:rPr/>
              <w:t>否</w:t>
            </w:r>
          </w:p>
        </w:tc>
        <w:tc>
          <w:tcPr>
            <w:tcW w:type="dxa" w:w="1038"/>
          </w:tcPr>
          <w:p/>
        </w:tc>
      </w:tr>
      <w:tr>
        <w:tc>
          <w:tcPr>
            <w:tcW w:type="dxa" w:w="1038"/>
          </w:tcPr>
          <w:p>
            <w:pPr>
              <w:pStyle w:val="null3"/>
              <w:jc w:val="left"/>
            </w:pPr>
            <w:r>
              <w:rPr/>
              <w:t>7</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反洗钱合规风险提示模块</w:t>
            </w:r>
          </w:p>
        </w:tc>
        <w:tc>
          <w:tcPr>
            <w:tcW w:type="dxa" w:w="1038"/>
          </w:tcPr>
          <w:p/>
        </w:tc>
        <w:tc>
          <w:tcPr>
            <w:tcW w:type="dxa" w:w="1038"/>
          </w:tcPr>
          <w:p>
            <w:pPr>
              <w:pStyle w:val="null3"/>
              <w:jc w:val="left"/>
            </w:pPr>
            <w:r>
              <w:rPr/>
              <w:t>包含被制裁信息、政治敏感人物提示、执行案件信息、国有控股机构SOEs等风险提示信息。</w:t>
            </w:r>
          </w:p>
        </w:tc>
        <w:tc>
          <w:tcPr>
            <w:tcW w:type="dxa" w:w="1038"/>
          </w:tcPr>
          <w:p>
            <w:pPr>
              <w:pStyle w:val="null3"/>
              <w:jc w:val="left"/>
            </w:pPr>
            <w:r>
              <w:rPr/>
              <w:t>否</w:t>
            </w:r>
          </w:p>
        </w:tc>
        <w:tc>
          <w:tcPr>
            <w:tcW w:type="dxa" w:w="1038"/>
          </w:tcPr>
          <w:p/>
        </w:tc>
      </w:tr>
      <w:tr>
        <w:tc>
          <w:tcPr>
            <w:tcW w:type="dxa" w:w="1038"/>
          </w:tcPr>
          <w:p>
            <w:pPr>
              <w:pStyle w:val="null3"/>
              <w:jc w:val="left"/>
            </w:pPr>
            <w:r>
              <w:rPr/>
              <w:t>8</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最终受益人模块</w:t>
            </w:r>
          </w:p>
        </w:tc>
        <w:tc>
          <w:tcPr>
            <w:tcW w:type="dxa" w:w="1038"/>
          </w:tcPr>
          <w:p/>
        </w:tc>
        <w:tc>
          <w:tcPr>
            <w:tcW w:type="dxa" w:w="1038"/>
          </w:tcPr>
          <w:p>
            <w:pPr>
              <w:pStyle w:val="null3"/>
              <w:jc w:val="left"/>
            </w:pPr>
            <w:r>
              <w:rPr/>
              <w:t>展示银行的最终受益</w:t>
            </w:r>
            <w:r>
              <w:rPr/>
              <w:t>人信息。</w:t>
            </w:r>
          </w:p>
        </w:tc>
        <w:tc>
          <w:tcPr>
            <w:tcW w:type="dxa" w:w="1038"/>
          </w:tcPr>
          <w:p>
            <w:pPr>
              <w:pStyle w:val="null3"/>
              <w:jc w:val="left"/>
            </w:pPr>
            <w:r>
              <w:rPr/>
              <w:t>否</w:t>
            </w:r>
          </w:p>
        </w:tc>
        <w:tc>
          <w:tcPr>
            <w:tcW w:type="dxa" w:w="1038"/>
          </w:tcPr>
          <w:p/>
        </w:tc>
      </w:tr>
      <w:tr>
        <w:tc>
          <w:tcPr>
            <w:tcW w:type="dxa" w:w="1038"/>
          </w:tcPr>
          <w:p>
            <w:pPr>
              <w:pStyle w:val="null3"/>
              <w:jc w:val="left"/>
            </w:pPr>
            <w:r>
              <w:rPr/>
              <w:t>9</w:t>
            </w:r>
          </w:p>
        </w:tc>
        <w:tc>
          <w:tcPr>
            <w:tcW w:type="dxa" w:w="1038"/>
          </w:tcPr>
          <w:p>
            <w:pPr>
              <w:pStyle w:val="null3"/>
              <w:jc w:val="left"/>
            </w:pPr>
            <w:r>
              <w:rPr/>
              <w:t>技术要求</w:t>
            </w:r>
          </w:p>
        </w:tc>
        <w:tc>
          <w:tcPr>
            <w:tcW w:type="dxa" w:w="1038"/>
          </w:tcPr>
          <w:p>
            <w:pPr>
              <w:pStyle w:val="null3"/>
              <w:jc w:val="left"/>
            </w:pPr>
            <w:r>
              <w:rPr/>
              <w:t>★</w:t>
            </w:r>
          </w:p>
        </w:tc>
        <w:tc>
          <w:tcPr>
            <w:tcW w:type="dxa" w:w="1038"/>
          </w:tcPr>
          <w:p>
            <w:pPr>
              <w:pStyle w:val="null3"/>
              <w:jc w:val="left"/>
            </w:pPr>
            <w:r>
              <w:rPr/>
              <w:t>账号数量</w:t>
            </w:r>
          </w:p>
        </w:tc>
        <w:tc>
          <w:tcPr>
            <w:tcW w:type="dxa" w:w="1038"/>
          </w:tcPr>
          <w:p/>
        </w:tc>
        <w:tc>
          <w:tcPr>
            <w:tcW w:type="dxa" w:w="1038"/>
          </w:tcPr>
          <w:p>
            <w:pPr>
              <w:pStyle w:val="null3"/>
              <w:jc w:val="left"/>
            </w:pPr>
            <w:r>
              <w:rPr/>
              <w:t>不低于2个（含）账号为期一年基于互联网的B/S不限量访问及数据下载。</w:t>
            </w:r>
          </w:p>
        </w:tc>
        <w:tc>
          <w:tcPr>
            <w:tcW w:type="dxa" w:w="1038"/>
          </w:tcPr>
          <w:p>
            <w:pPr>
              <w:pStyle w:val="null3"/>
              <w:jc w:val="left"/>
            </w:pPr>
            <w:r>
              <w:rPr/>
              <w:t>否</w:t>
            </w:r>
          </w:p>
        </w:tc>
        <w:tc>
          <w:tcPr>
            <w:tcW w:type="dxa" w:w="1038"/>
          </w:tcPr>
          <w:p/>
        </w:tc>
      </w:tr>
    </w:tbl>
    <w:p>
      <w:pPr>
        <w:pStyle w:val="null3"/>
        <w:jc w:val="left"/>
      </w:pPr>
      <w:r>
        <w:rPr/>
        <w:t>本商务要求共有“★”指标2个，”#”指标0个，“▲”指标8个。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t xml:space="preserve"> 序号</w:t>
            </w:r>
          </w:p>
        </w:tc>
        <w:tc>
          <w:tcPr>
            <w:tcW w:type="dxa" w:w="1038"/>
          </w:tcPr>
          <w:p>
            <w:pPr>
              <w:pStyle w:val="null3"/>
              <w:jc w:val="left"/>
            </w:pPr>
            <w:r>
              <w:rPr/>
              <w:t xml:space="preserve"> 分类</w:t>
            </w:r>
          </w:p>
        </w:tc>
        <w:tc>
          <w:tcPr>
            <w:tcW w:type="dxa" w:w="1038"/>
          </w:tcPr>
          <w:p>
            <w:pPr>
              <w:pStyle w:val="null3"/>
              <w:jc w:val="left"/>
            </w:pPr>
            <w:r>
              <w:rPr/>
              <w:t xml:space="preserve"> 重要性</w:t>
            </w:r>
          </w:p>
        </w:tc>
        <w:tc>
          <w:tcPr>
            <w:tcW w:type="dxa" w:w="1038"/>
          </w:tcPr>
          <w:p>
            <w:pPr>
              <w:pStyle w:val="null3"/>
              <w:jc w:val="left"/>
            </w:pPr>
            <w:r>
              <w:rPr/>
              <w:t xml:space="preserve"> 内容</w:t>
            </w:r>
          </w:p>
        </w:tc>
        <w:tc>
          <w:tcPr>
            <w:tcW w:type="dxa" w:w="1038"/>
          </w:tcPr>
          <w:p>
            <w:pPr>
              <w:pStyle w:val="null3"/>
              <w:jc w:val="left"/>
            </w:pPr>
            <w:r>
              <w:rPr/>
              <w:t xml:space="preserve"> 二级指标</w:t>
            </w:r>
          </w:p>
        </w:tc>
        <w:tc>
          <w:tcPr>
            <w:tcW w:type="dxa" w:w="1038"/>
          </w:tcPr>
          <w:p>
            <w:pPr>
              <w:pStyle w:val="null3"/>
              <w:jc w:val="left"/>
            </w:pPr>
            <w:r>
              <w:rPr/>
              <w:t xml:space="preserve"> 服务要求标准</w:t>
            </w:r>
          </w:p>
        </w:tc>
        <w:tc>
          <w:tcPr>
            <w:tcW w:type="dxa" w:w="1038"/>
          </w:tcPr>
          <w:p>
            <w:pPr>
              <w:pStyle w:val="null3"/>
              <w:jc w:val="left"/>
            </w:pPr>
            <w:r>
              <w:rPr/>
              <w:t xml:space="preserve"> 是否提供证明材料</w:t>
            </w:r>
          </w:p>
        </w:tc>
        <w:tc>
          <w:tcPr>
            <w:tcW w:type="dxa" w:w="1038"/>
          </w:tcPr>
          <w:p>
            <w:pPr>
              <w:pStyle w:val="null3"/>
              <w:jc w:val="left"/>
            </w:pPr>
            <w:r>
              <w:rPr/>
              <w:t xml:space="preserve"> 提供方式</w:t>
            </w:r>
          </w:p>
        </w:tc>
      </w:tr>
      <w:tr>
        <w:tc>
          <w:tcPr>
            <w:tcW w:type="dxa" w:w="1038"/>
          </w:tcPr>
          <w:p>
            <w:pPr>
              <w:pStyle w:val="null3"/>
              <w:jc w:val="left"/>
            </w:pPr>
            <w:r>
              <w:rPr/>
              <w:t>1</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谈判响应服务要求</w:t>
            </w:r>
          </w:p>
        </w:tc>
        <w:tc>
          <w:tcPr>
            <w:tcW w:type="dxa" w:w="1038"/>
          </w:tcPr>
          <w:p/>
        </w:tc>
        <w:tc>
          <w:tcPr>
            <w:tcW w:type="dxa" w:w="1038"/>
          </w:tcPr>
          <w:p>
            <w:pPr>
              <w:pStyle w:val="null3"/>
              <w:jc w:val="left"/>
            </w:pPr>
            <w:r>
              <w:rPr/>
              <w:t xml:space="preserve">1.1 </w:t>
            </w:r>
            <w:r>
              <w:rPr/>
              <w:t>提供满足本谈判文件技术要求的数据库数据服务。</w:t>
            </w:r>
          </w:p>
          <w:p>
            <w:pPr>
              <w:pStyle w:val="null3"/>
              <w:jc w:val="left"/>
            </w:pPr>
            <w:r>
              <w:rPr/>
              <w:t xml:space="preserve">1.2 </w:t>
            </w:r>
            <w:r>
              <w:rPr/>
              <w:t>逐一列出该技术服务在满足需求书的技术指标要求下，各个服务的详细说明及其单价，否则将被视为免费提供。</w:t>
            </w:r>
          </w:p>
          <w:p>
            <w:pPr>
              <w:pStyle w:val="null3"/>
              <w:jc w:val="left"/>
            </w:pPr>
            <w:r>
              <w:rPr/>
              <w:t xml:space="preserve">1.3 </w:t>
            </w:r>
            <w:r>
              <w:rPr/>
              <w:t>提供的技术服务必须符合中华人民共和国相关法律法规许可销售。</w:t>
            </w:r>
          </w:p>
        </w:tc>
        <w:tc>
          <w:tcPr>
            <w:tcW w:type="dxa" w:w="1038"/>
          </w:tcPr>
          <w:p>
            <w:pPr>
              <w:pStyle w:val="null3"/>
              <w:jc w:val="left"/>
            </w:pPr>
            <w:r>
              <w:rPr/>
              <w:t>否</w:t>
            </w:r>
          </w:p>
        </w:tc>
        <w:tc>
          <w:tcPr>
            <w:tcW w:type="dxa" w:w="1038"/>
          </w:tcPr>
          <w:p/>
        </w:tc>
      </w:tr>
      <w:tr>
        <w:tc>
          <w:tcPr>
            <w:tcW w:type="dxa" w:w="1038"/>
          </w:tcPr>
          <w:p>
            <w:pPr>
              <w:pStyle w:val="null3"/>
              <w:jc w:val="left"/>
            </w:pPr>
            <w:r>
              <w:rPr/>
              <w:t>2</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项目配合要求</w:t>
            </w:r>
          </w:p>
        </w:tc>
        <w:tc>
          <w:tcPr>
            <w:tcW w:type="dxa" w:w="1038"/>
          </w:tcPr>
          <w:p/>
        </w:tc>
        <w:tc>
          <w:tcPr>
            <w:tcW w:type="dxa" w:w="1038"/>
          </w:tcPr>
          <w:p>
            <w:pPr>
              <w:pStyle w:val="null3"/>
              <w:jc w:val="left"/>
            </w:pPr>
            <w:r>
              <w:rPr/>
              <w:t>2.1</w:t>
            </w:r>
            <w:r>
              <w:rPr/>
              <w:t>项目配合要求一节中所涉及的工作，不计入现场服务时间。</w:t>
            </w:r>
          </w:p>
          <w:p>
            <w:pPr>
              <w:pStyle w:val="null3"/>
              <w:jc w:val="left"/>
            </w:pPr>
            <w:r>
              <w:rPr/>
              <w:t>2.2</w:t>
            </w:r>
            <w:r>
              <w:rPr/>
              <w:t>协助、配合项目建设单位的工作，按照项目建设单位提出并经用户同意的技术要求和实施计划要求，配合其开展实施工作。</w:t>
            </w:r>
          </w:p>
          <w:p>
            <w:pPr>
              <w:pStyle w:val="null3"/>
              <w:jc w:val="left"/>
            </w:pPr>
            <w:r>
              <w:rPr/>
              <w:t>2.3</w:t>
            </w:r>
            <w:r>
              <w:rPr/>
              <w:t>在项目实施过程中，服从项目建设单位的统一管理，严格执行人民银行的相关管理制度和标准规范。</w:t>
            </w:r>
          </w:p>
        </w:tc>
        <w:tc>
          <w:tcPr>
            <w:tcW w:type="dxa" w:w="1038"/>
          </w:tcPr>
          <w:p>
            <w:pPr>
              <w:pStyle w:val="null3"/>
              <w:jc w:val="left"/>
            </w:pPr>
            <w:r>
              <w:rPr/>
              <w:t>否</w:t>
            </w:r>
          </w:p>
        </w:tc>
        <w:tc>
          <w:tcPr>
            <w:tcW w:type="dxa" w:w="1038"/>
          </w:tcPr>
          <w:p/>
        </w:tc>
      </w:tr>
      <w:tr>
        <w:tc>
          <w:tcPr>
            <w:tcW w:type="dxa" w:w="1038"/>
          </w:tcPr>
          <w:p>
            <w:pPr>
              <w:pStyle w:val="null3"/>
              <w:jc w:val="left"/>
            </w:pPr>
            <w:r>
              <w:rPr/>
              <w:t>3</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技术服务要求（总则）</w:t>
            </w:r>
          </w:p>
        </w:tc>
        <w:tc>
          <w:tcPr>
            <w:tcW w:type="dxa" w:w="1038"/>
          </w:tcPr>
          <w:p/>
        </w:tc>
        <w:tc>
          <w:tcPr>
            <w:tcW w:type="dxa" w:w="1038"/>
          </w:tcPr>
          <w:p>
            <w:pPr>
              <w:pStyle w:val="null3"/>
              <w:jc w:val="left"/>
            </w:pPr>
            <w:r>
              <w:br/>
            </w:r>
            <w:r>
              <w:rPr/>
              <w:t xml:space="preserve"> 3.1技术支持服务的提供商以下简称为“技术服务提供商”。本次采购的技术服务提供商为产品原厂商。</w:t>
            </w:r>
            <w:r>
              <w:br/>
            </w:r>
            <w:r>
              <w:rPr/>
              <w:t xml:space="preserve">  3.2供应商应详细阐述技术服务提供商在技术支持服务期内的技术支持服务的内容、方式与范围，并指出在技术支持服务期内哪些服务是免费的，哪些服务是收费的，对于收费服务，供应商应列出费用，并计入报价。</w:t>
            </w:r>
            <w:r>
              <w:br/>
            </w:r>
            <w:r>
              <w:rPr/>
              <w:t xml:space="preserve">  3.3 技术服务提供商须针对人民银行使用的</w:t>
            </w:r>
            <w:r>
              <w:rPr/>
              <w:t>Bank Focus</w:t>
            </w:r>
            <w:r>
              <w:rPr/>
              <w:t>全球银行及金融机构数据库</w:t>
            </w:r>
            <w:r>
              <w:rPr/>
              <w:t>产品派遣有经验、负责任的工程师和项目经理参与本项目工作，成立专门项目组，熟悉本项目产品的专业技术工程师至少2人以上（含2人），并将其成员名单、联系方式、职责、专长等体现在谈判文件中。其中1人为固定联系人，用户可通过电话、电子邮件等各种方式提出支持请求，固定联系人须负责协调、组织并跟踪故障处理全过程，向用户及时反馈问题处理情况。用户有权要求更换服务人员。如因特殊情况有人员变动，技术服务提供商应提前书面通知用户并在取得用户的同意后更换人员。</w:t>
            </w:r>
          </w:p>
        </w:tc>
        <w:tc>
          <w:tcPr>
            <w:tcW w:type="dxa" w:w="1038"/>
          </w:tcPr>
          <w:p>
            <w:pPr>
              <w:pStyle w:val="null3"/>
              <w:jc w:val="left"/>
            </w:pPr>
            <w:r>
              <w:rPr/>
              <w:t>否</w:t>
            </w:r>
          </w:p>
        </w:tc>
        <w:tc>
          <w:tcPr>
            <w:tcW w:type="dxa" w:w="1038"/>
          </w:tcPr>
          <w:p/>
        </w:tc>
      </w:tr>
      <w:tr>
        <w:tc>
          <w:tcPr>
            <w:tcW w:type="dxa" w:w="1038"/>
          </w:tcPr>
          <w:p>
            <w:pPr>
              <w:pStyle w:val="null3"/>
              <w:jc w:val="left"/>
            </w:pPr>
            <w:r>
              <w:rPr/>
              <w:t>4</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维护服务要求</w:t>
            </w:r>
          </w:p>
        </w:tc>
        <w:tc>
          <w:tcPr>
            <w:tcW w:type="dxa" w:w="1038"/>
          </w:tcPr>
          <w:p/>
        </w:tc>
        <w:tc>
          <w:tcPr>
            <w:tcW w:type="dxa" w:w="1038"/>
          </w:tcPr>
          <w:p>
            <w:pPr>
              <w:pStyle w:val="null3"/>
              <w:jc w:val="left"/>
            </w:pPr>
            <w:r>
              <w:rPr/>
              <w:t>4.1技术服务提供商应协助用户完成日常系统及应用的维护工作，保证系统的正常运行。</w:t>
            </w:r>
            <w:r>
              <w:br/>
            </w:r>
            <w:r>
              <w:rPr/>
              <w:t xml:space="preserve">  4.2 技术服务提供商应提供7*24小时互联网/电子邮件技术支持、5*8小时远程电话支持；对用户提出的预防性维护要求应在24小时内做出实质性响应，及时解决系统运行中的问题。对用户提出的故障性维护要求应在24小时内做出实质性响应。（或在用户要求的期限内及时解决系统运行中的问题。否则，由此而带来的损失，由技术服务提供商承担相应责任。）</w:t>
            </w:r>
            <w:r>
              <w:br/>
            </w:r>
            <w:r>
              <w:rPr/>
              <w:t xml:space="preserve">  4.3系统运行过程中如果出现技术故障（如服务中断、数据丢失、主要功能不能正常工作等）或与其他产品发生冲突，技术服务提供商应保证提供24小时内解决此类问题的紧急预案方案，以恢复故障，使系统得以正常运行。</w:t>
            </w:r>
            <w:r>
              <w:br/>
            </w:r>
            <w:r>
              <w:rPr/>
              <w:t xml:space="preserve">  4.4系统运行过程中如果发生故障，技术服务提供商需启动公司的多层技术资源支持，帮助客户排查问题，直到问题最终获得妥善处理。对于客户系统的重要问题，技术服务提供商至少每天汇报一次问题解决情况。在整个系统设计没有单点故障的情况下，故障恢复期间应确保系统不中断。</w:t>
            </w:r>
            <w:r>
              <w:br/>
            </w:r>
            <w:r>
              <w:rPr/>
              <w:t xml:space="preserve">  4.5 技术服务提供商须协助用户进行问题定位，就解决问题所需要相关系统信息的收集方法，指导用户的技术人员。</w:t>
            </w:r>
            <w:r>
              <w:br/>
            </w:r>
            <w:r>
              <w:rPr/>
              <w:t xml:space="preserve">  4.6 技术服务提供商须帮助用户进行问题根源的分析和诊断，提出解决问题的建议方案。</w:t>
            </w:r>
            <w:r>
              <w:br/>
            </w:r>
            <w:r>
              <w:rPr/>
              <w:t xml:space="preserve">  4.7对于曾发生的重大技术问题，技术服务提供商应及时与用户进行交流，跟踪问题的进展。</w:t>
            </w:r>
            <w:r>
              <w:br/>
            </w:r>
            <w:r>
              <w:rPr/>
              <w:t xml:space="preserve">  4.8按照用户要求，完成该产品在指定硬件环境上的安装、部署。</w:t>
            </w:r>
          </w:p>
        </w:tc>
        <w:tc>
          <w:tcPr>
            <w:tcW w:type="dxa" w:w="1038"/>
          </w:tcPr>
          <w:p>
            <w:pPr>
              <w:pStyle w:val="null3"/>
              <w:jc w:val="left"/>
            </w:pPr>
            <w:r>
              <w:rPr/>
              <w:t>否</w:t>
            </w:r>
          </w:p>
        </w:tc>
        <w:tc>
          <w:tcPr>
            <w:tcW w:type="dxa" w:w="1038"/>
          </w:tcPr>
          <w:p/>
        </w:tc>
      </w:tr>
      <w:tr>
        <w:tc>
          <w:tcPr>
            <w:tcW w:type="dxa" w:w="1038"/>
          </w:tcPr>
          <w:p>
            <w:pPr>
              <w:pStyle w:val="null3"/>
              <w:jc w:val="left"/>
            </w:pPr>
            <w:r>
              <w:rPr/>
              <w:t>5</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现场技术支持服务要求</w:t>
            </w:r>
          </w:p>
        </w:tc>
        <w:tc>
          <w:tcPr>
            <w:tcW w:type="dxa" w:w="1038"/>
          </w:tcPr>
          <w:p/>
        </w:tc>
        <w:tc>
          <w:tcPr>
            <w:tcW w:type="dxa" w:w="1038"/>
          </w:tcPr>
          <w:p>
            <w:pPr>
              <w:pStyle w:val="null3"/>
              <w:jc w:val="left"/>
            </w:pPr>
            <w:r>
              <w:rPr/>
              <w:t>技术服务提供商提供的现场技术支持服务包括但不限于下述内容：问题、故障的诊断与排除，系统配置和辅助应用系统部署与维护等。</w:t>
            </w:r>
            <w:r>
              <w:br/>
            </w:r>
            <w:r>
              <w:rPr/>
              <w:t xml:space="preserve"> 5.1本次购买的现场技术支持服务人天数为2人2天。</w:t>
            </w:r>
            <w:r>
              <w:br/>
            </w:r>
            <w:r>
              <w:rPr/>
              <w:t xml:space="preserve"> 5.2 现场技术支持服务需由用户统一调配并批准使用。</w:t>
            </w:r>
            <w:r>
              <w:br/>
            </w:r>
            <w:r>
              <w:rPr/>
              <w:t xml:space="preserve"> 5.3 技术服务提供商服务人员应在收到用户故障通知并经用户方负责人批准后尽快赶到现场，并同时提供远程服务。如果产品部署在北京，须在4小时内赶到现场。全国其它地区必须根据实际交通工具和交通情况尽快到达故障现场。</w:t>
            </w:r>
          </w:p>
        </w:tc>
        <w:tc>
          <w:tcPr>
            <w:tcW w:type="dxa" w:w="1038"/>
          </w:tcPr>
          <w:p>
            <w:pPr>
              <w:pStyle w:val="null3"/>
              <w:jc w:val="left"/>
            </w:pPr>
            <w:r>
              <w:rPr/>
              <w:t>否</w:t>
            </w:r>
          </w:p>
        </w:tc>
        <w:tc>
          <w:tcPr>
            <w:tcW w:type="dxa" w:w="1038"/>
          </w:tcPr>
          <w:p/>
        </w:tc>
      </w:tr>
      <w:tr>
        <w:tc>
          <w:tcPr>
            <w:tcW w:type="dxa" w:w="1038"/>
          </w:tcPr>
          <w:p>
            <w:pPr>
              <w:pStyle w:val="null3"/>
              <w:jc w:val="left"/>
            </w:pPr>
            <w:r>
              <w:rPr/>
              <w:t>6</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版本升级服务要求</w:t>
            </w:r>
          </w:p>
        </w:tc>
        <w:tc>
          <w:tcPr>
            <w:tcW w:type="dxa" w:w="1038"/>
          </w:tcPr>
          <w:p/>
        </w:tc>
        <w:tc>
          <w:tcPr>
            <w:tcW w:type="dxa" w:w="1038"/>
          </w:tcPr>
          <w:p>
            <w:pPr>
              <w:pStyle w:val="null3"/>
              <w:jc w:val="left"/>
            </w:pPr>
            <w:r>
              <w:rPr/>
              <w:t>技术服务提供商应向用户免费提供并授权使用最新推出的版本、小版本升级、补丁和相应软件。技术服务提供商应及时向用户通报软件升级情况及升级建议，提供软件升级补丁和远程电话支持升级服务。技术服务提供商把测试稳定的版本、说明文档（如补丁说明、新增功能说明、对应用的影响说明等文档）分发给用户，如果用户有升级的需求，技术服务提供商将协助用户进行升级的测试、安装、调试，确保系统稳定、健康运行。</w:t>
            </w:r>
          </w:p>
        </w:tc>
        <w:tc>
          <w:tcPr>
            <w:tcW w:type="dxa" w:w="1038"/>
          </w:tcPr>
          <w:p>
            <w:pPr>
              <w:pStyle w:val="null3"/>
              <w:jc w:val="left"/>
            </w:pPr>
            <w:r>
              <w:rPr/>
              <w:t>否</w:t>
            </w:r>
          </w:p>
        </w:tc>
        <w:tc>
          <w:tcPr>
            <w:tcW w:type="dxa" w:w="1038"/>
          </w:tcPr>
          <w:p/>
        </w:tc>
      </w:tr>
      <w:tr>
        <w:tc>
          <w:tcPr>
            <w:tcW w:type="dxa" w:w="1038"/>
          </w:tcPr>
          <w:p>
            <w:pPr>
              <w:pStyle w:val="null3"/>
              <w:jc w:val="left"/>
            </w:pPr>
            <w:r>
              <w:rPr/>
              <w:t>7</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技术交流服务要求</w:t>
            </w:r>
          </w:p>
        </w:tc>
        <w:tc>
          <w:tcPr>
            <w:tcW w:type="dxa" w:w="1038"/>
          </w:tcPr>
          <w:p/>
        </w:tc>
        <w:tc>
          <w:tcPr>
            <w:tcW w:type="dxa" w:w="1038"/>
          </w:tcPr>
          <w:p>
            <w:pPr>
              <w:pStyle w:val="null3"/>
              <w:jc w:val="left"/>
            </w:pPr>
            <w:r>
              <w:rPr/>
              <w:t xml:space="preserve">7.1 </w:t>
            </w:r>
            <w:r>
              <w:rPr/>
              <w:t>技术服务提供商根据用户要求和系统运行不同周期，派专人与用户进行技术交流。</w:t>
            </w:r>
          </w:p>
          <w:p>
            <w:pPr>
              <w:pStyle w:val="null3"/>
              <w:jc w:val="left"/>
            </w:pPr>
            <w:r>
              <w:rPr/>
              <w:t xml:space="preserve">7.2 </w:t>
            </w:r>
            <w:r>
              <w:rPr/>
              <w:t>技术服务提供商应组织技术支持专家会与用户详细讨论技术支持方案,为用户制定完全针对用户实际业务的支持计划。</w:t>
            </w:r>
          </w:p>
        </w:tc>
        <w:tc>
          <w:tcPr>
            <w:tcW w:type="dxa" w:w="1038"/>
          </w:tcPr>
          <w:p>
            <w:pPr>
              <w:pStyle w:val="null3"/>
              <w:jc w:val="left"/>
            </w:pPr>
            <w:r>
              <w:rPr/>
              <w:t>否</w:t>
            </w:r>
          </w:p>
        </w:tc>
        <w:tc>
          <w:tcPr>
            <w:tcW w:type="dxa" w:w="1038"/>
          </w:tcPr>
          <w:p/>
        </w:tc>
      </w:tr>
      <w:tr>
        <w:tc>
          <w:tcPr>
            <w:tcW w:type="dxa" w:w="1038"/>
          </w:tcPr>
          <w:p>
            <w:pPr>
              <w:pStyle w:val="null3"/>
              <w:jc w:val="left"/>
            </w:pPr>
            <w:r>
              <w:rPr/>
              <w:t>8</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保密要求</w:t>
            </w:r>
          </w:p>
        </w:tc>
        <w:tc>
          <w:tcPr>
            <w:tcW w:type="dxa" w:w="1038"/>
          </w:tcPr>
          <w:p/>
        </w:tc>
        <w:tc>
          <w:tcPr>
            <w:tcW w:type="dxa" w:w="1038"/>
          </w:tcPr>
          <w:p>
            <w:pPr>
              <w:pStyle w:val="null3"/>
              <w:jc w:val="left"/>
            </w:pPr>
            <w:r>
              <w:rPr/>
              <w:t>8.1 供应商及技术服务提供商应严守用户的机密，不经用户批准不得以任何的形式将用户资料及信息带出工作现场及透露给第三方。</w:t>
            </w:r>
            <w:r>
              <w:br/>
            </w:r>
            <w:r>
              <w:rPr/>
              <w:t xml:space="preserve"> 8.2供应商及技术服务提供商应与人民银行签订保密协议，并根据需要建立经人民银行总行保密办等主管部门认可的保密工作制度，对本单位参与人员出具保函，并要求在人民银行规定的保密期内不发生失泄密。如果参与人员在规定的保密期内发生失泄密行为，供应商及技术服务提供商应承担全部责任。</w:t>
            </w:r>
          </w:p>
        </w:tc>
        <w:tc>
          <w:tcPr>
            <w:tcW w:type="dxa" w:w="1038"/>
          </w:tcPr>
          <w:p>
            <w:pPr>
              <w:pStyle w:val="null3"/>
              <w:jc w:val="left"/>
            </w:pPr>
            <w:r>
              <w:rPr/>
              <w:t>否</w:t>
            </w:r>
          </w:p>
        </w:tc>
        <w:tc>
          <w:tcPr>
            <w:tcW w:type="dxa" w:w="1038"/>
          </w:tcPr>
          <w:p/>
        </w:tc>
      </w:tr>
      <w:tr>
        <w:tc>
          <w:tcPr>
            <w:tcW w:type="dxa" w:w="1038"/>
          </w:tcPr>
          <w:p>
            <w:pPr>
              <w:pStyle w:val="null3"/>
              <w:jc w:val="left"/>
            </w:pPr>
            <w:r>
              <w:rPr/>
              <w:t>9</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技术支持服务方案和软件应急方案要求</w:t>
            </w:r>
          </w:p>
        </w:tc>
        <w:tc>
          <w:tcPr>
            <w:tcW w:type="dxa" w:w="1038"/>
          </w:tcPr>
          <w:p/>
        </w:tc>
        <w:tc>
          <w:tcPr>
            <w:tcW w:type="dxa" w:w="1038"/>
          </w:tcPr>
          <w:p>
            <w:pPr>
              <w:pStyle w:val="null3"/>
              <w:jc w:val="left"/>
            </w:pPr>
            <w:r>
              <w:rPr/>
              <w:t>供应商须认真理解上述技术支持服务要求，详细列出技术支持服务方案和软件应急方案，一经应答将作为合同的一部分。</w:t>
            </w:r>
          </w:p>
        </w:tc>
        <w:tc>
          <w:tcPr>
            <w:tcW w:type="dxa" w:w="1038"/>
          </w:tcPr>
          <w:p>
            <w:pPr>
              <w:pStyle w:val="null3"/>
              <w:jc w:val="left"/>
            </w:pPr>
            <w:r>
              <w:rPr/>
              <w:t>否</w:t>
            </w:r>
          </w:p>
        </w:tc>
        <w:tc>
          <w:tcPr>
            <w:tcW w:type="dxa" w:w="1038"/>
          </w:tcPr>
          <w:p/>
        </w:tc>
      </w:tr>
      <w:tr>
        <w:tc>
          <w:tcPr>
            <w:tcW w:type="dxa" w:w="1038"/>
          </w:tcPr>
          <w:p>
            <w:pPr>
              <w:pStyle w:val="null3"/>
              <w:jc w:val="left"/>
            </w:pPr>
            <w:r>
              <w:rPr/>
              <w:t>10</w:t>
            </w:r>
          </w:p>
        </w:tc>
        <w:tc>
          <w:tcPr>
            <w:tcW w:type="dxa" w:w="1038"/>
          </w:tcPr>
          <w:p>
            <w:pPr>
              <w:pStyle w:val="null3"/>
              <w:jc w:val="left"/>
            </w:pPr>
            <w:r>
              <w:rPr/>
              <w:t>服务要求</w:t>
            </w:r>
          </w:p>
        </w:tc>
        <w:tc>
          <w:tcPr>
            <w:tcW w:type="dxa" w:w="1038"/>
          </w:tcPr>
          <w:p>
            <w:pPr>
              <w:pStyle w:val="null3"/>
              <w:jc w:val="left"/>
            </w:pPr>
            <w:r>
              <w:rPr/>
              <w:t>▲</w:t>
            </w:r>
          </w:p>
        </w:tc>
        <w:tc>
          <w:tcPr>
            <w:tcW w:type="dxa" w:w="1038"/>
          </w:tcPr>
          <w:p>
            <w:pPr>
              <w:pStyle w:val="null3"/>
              <w:jc w:val="left"/>
            </w:pPr>
            <w:r>
              <w:rPr/>
              <w:t>技术培训要求</w:t>
            </w:r>
          </w:p>
        </w:tc>
        <w:tc>
          <w:tcPr>
            <w:tcW w:type="dxa" w:w="1038"/>
          </w:tcPr>
          <w:p/>
        </w:tc>
        <w:tc>
          <w:tcPr>
            <w:tcW w:type="dxa" w:w="1038"/>
          </w:tcPr>
          <w:p>
            <w:pPr>
              <w:pStyle w:val="null3"/>
              <w:jc w:val="left"/>
            </w:pPr>
            <w:r>
              <w:rPr/>
              <w:t>供应商应向用户管理人员、使用人员等提供相关培训，保证用户能够进行数据库的浏览检索、操作、维护等工作。</w:t>
            </w:r>
            <w:r>
              <w:br/>
            </w:r>
            <w:r>
              <w:rPr/>
              <w:t xml:space="preserve"> 具体要求如下：</w:t>
            </w:r>
            <w:r>
              <w:br/>
            </w:r>
            <w:r>
              <w:rPr/>
              <w:t xml:space="preserve"> ① 培训对象：用户及与本项目有关的其他人员；</w:t>
            </w:r>
            <w:r>
              <w:br/>
            </w:r>
            <w:r>
              <w:rPr/>
              <w:t xml:space="preserve"> ② 培训内容：产品原厂商提供的Bank Focus全球银行及金融机构数据库产品的标准基础课程及中高级课程，包括软件安装、配置、管理、使用技巧等。</w:t>
            </w:r>
            <w:r>
              <w:br/>
            </w:r>
            <w:r>
              <w:rPr/>
              <w:t xml:space="preserve"> ③ 培训师资：满足产品原厂商的培训资格要求；</w:t>
            </w:r>
            <w:r>
              <w:br/>
            </w:r>
            <w:r>
              <w:rPr/>
              <w:t xml:space="preserve"> ④ 培训日期：由用户和供应商商定；</w:t>
            </w:r>
            <w:r>
              <w:br/>
            </w:r>
            <w:r>
              <w:rPr/>
              <w:t xml:space="preserve"> ⑤ 培训天数：每种产品实际培训天数为2天（每年）；</w:t>
            </w:r>
            <w:r>
              <w:br/>
            </w:r>
            <w:r>
              <w:rPr/>
              <w:t xml:space="preserve"> ⑥ 培训人数：每种产品培训人数为30人。</w:t>
            </w:r>
            <w:r>
              <w:br/>
            </w:r>
            <w:r>
              <w:rPr/>
              <w:t xml:space="preserve"> ⑦ 培训地点：用户单位现场培训或线上培训。</w:t>
            </w:r>
            <w:r>
              <w:br/>
            </w:r>
            <w:r>
              <w:rPr/>
              <w:t xml:space="preserve">  </w:t>
            </w:r>
          </w:p>
        </w:tc>
        <w:tc>
          <w:tcPr>
            <w:tcW w:type="dxa" w:w="1038"/>
          </w:tcPr>
          <w:p>
            <w:pPr>
              <w:pStyle w:val="null3"/>
              <w:jc w:val="left"/>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预付款</w:t>
            </w:r>
          </w:p>
        </w:tc>
        <w:tc>
          <w:tcPr>
            <w:tcW w:type="dxa" w:w="1384"/>
          </w:tcPr>
          <w:p>
            <w:pPr>
              <w:pStyle w:val="null3"/>
              <w:jc w:val="left"/>
            </w:pPr>
            <w:r>
              <w:rPr/>
              <w:t>合同生效后，采购需求部门在收到乙方提供的合同相当金额的发票以及双方约定的相关单据后十（10）个工作日内。</w:t>
            </w:r>
          </w:p>
        </w:tc>
        <w:tc>
          <w:tcPr>
            <w:tcW w:type="dxa" w:w="1384"/>
          </w:tcPr>
          <w:p>
            <w:pPr>
              <w:pStyle w:val="null3"/>
              <w:jc w:val="left"/>
            </w:pPr>
            <w:r>
              <w:rPr/>
              <w:t>20.00</w:t>
            </w:r>
            <w:r>
              <w:rPr/>
              <w:t>%</w:t>
            </w:r>
          </w:p>
        </w:tc>
        <w:tc>
          <w:tcPr>
            <w:tcW w:type="dxa" w:w="1384"/>
          </w:tcPr>
          <w:p>
            <w:pPr>
              <w:pStyle w:val="null3"/>
              <w:jc w:val="left"/>
            </w:pPr>
            <w:r>
              <w:rPr/>
              <w:t>转账</w:t>
            </w:r>
          </w:p>
        </w:tc>
        <w:tc>
          <w:tcPr>
            <w:tcW w:type="dxa" w:w="1384"/>
          </w:tcPr>
          <w:p>
            <w:pPr>
              <w:pStyle w:val="null3"/>
              <w:jc w:val="left"/>
            </w:pPr>
            <w:r>
              <w:rPr/>
              <w:t>无</w:t>
            </w:r>
          </w:p>
        </w:tc>
      </w:tr>
      <w:tr>
        <w:tc>
          <w:tcPr>
            <w:tcW w:type="dxa" w:w="1384"/>
          </w:tcPr>
          <w:p>
            <w:pPr>
              <w:pStyle w:val="null3"/>
              <w:jc w:val="left"/>
            </w:pPr>
            <w:r>
              <w:rPr/>
              <w:t>2</w:t>
            </w:r>
          </w:p>
        </w:tc>
        <w:tc>
          <w:tcPr>
            <w:tcW w:type="dxa" w:w="1384"/>
          </w:tcPr>
          <w:p>
            <w:pPr>
              <w:pStyle w:val="null3"/>
              <w:jc w:val="left"/>
            </w:pPr>
            <w:r>
              <w:rPr/>
              <w:t>中期付款</w:t>
            </w:r>
          </w:p>
        </w:tc>
        <w:tc>
          <w:tcPr>
            <w:tcW w:type="dxa" w:w="1384"/>
          </w:tcPr>
          <w:p>
            <w:pPr>
              <w:pStyle w:val="null3"/>
              <w:jc w:val="left"/>
            </w:pPr>
            <w:r>
              <w:rPr/>
              <w:t>乙方向采购需求部门提供服务时间且服务内容过半后，采购需求部门在收到乙方提供的合同相当金额的发票以及双方约定的相关单据后十（10）个工作日内。</w:t>
            </w:r>
          </w:p>
        </w:tc>
        <w:tc>
          <w:tcPr>
            <w:tcW w:type="dxa" w:w="1384"/>
          </w:tcPr>
          <w:p>
            <w:pPr>
              <w:pStyle w:val="null3"/>
              <w:jc w:val="left"/>
            </w:pPr>
            <w:r>
              <w:rPr/>
              <w:t>40.00</w:t>
            </w:r>
            <w:r>
              <w:rPr/>
              <w:t>%</w:t>
            </w:r>
          </w:p>
        </w:tc>
        <w:tc>
          <w:tcPr>
            <w:tcW w:type="dxa" w:w="1384"/>
          </w:tcPr>
          <w:p>
            <w:pPr>
              <w:pStyle w:val="null3"/>
              <w:jc w:val="left"/>
            </w:pPr>
            <w:r>
              <w:rPr/>
              <w:t>转账</w:t>
            </w:r>
          </w:p>
        </w:tc>
        <w:tc>
          <w:tcPr>
            <w:tcW w:type="dxa" w:w="1384"/>
          </w:tcPr>
          <w:p>
            <w:pPr>
              <w:pStyle w:val="null3"/>
              <w:jc w:val="left"/>
            </w:pPr>
            <w:r>
              <w:rPr/>
              <w:t>无</w:t>
            </w:r>
          </w:p>
        </w:tc>
      </w:tr>
      <w:tr>
        <w:tc>
          <w:tcPr>
            <w:tcW w:type="dxa" w:w="1384"/>
          </w:tcPr>
          <w:p>
            <w:pPr>
              <w:pStyle w:val="null3"/>
              <w:jc w:val="left"/>
            </w:pPr>
            <w:r>
              <w:rPr/>
              <w:t>3</w:t>
            </w:r>
          </w:p>
        </w:tc>
        <w:tc>
          <w:tcPr>
            <w:tcW w:type="dxa" w:w="1384"/>
          </w:tcPr>
          <w:p>
            <w:pPr>
              <w:pStyle w:val="null3"/>
              <w:jc w:val="left"/>
            </w:pPr>
            <w:r>
              <w:rPr/>
              <w:t>最终付款</w:t>
            </w:r>
          </w:p>
        </w:tc>
        <w:tc>
          <w:tcPr>
            <w:tcW w:type="dxa" w:w="1384"/>
          </w:tcPr>
          <w:p>
            <w:pPr>
              <w:pStyle w:val="null3"/>
              <w:jc w:val="left"/>
            </w:pPr>
            <w:r>
              <w:rPr/>
              <w:t>乙方服务期限结束且服务内容完成后，采购需求部门在收到乙方提供的合同相当金额的发票以及双方约定的相关单据后十（10）个工作日内。</w:t>
            </w:r>
          </w:p>
        </w:tc>
        <w:tc>
          <w:tcPr>
            <w:tcW w:type="dxa" w:w="1384"/>
          </w:tcPr>
          <w:p>
            <w:pPr>
              <w:pStyle w:val="null3"/>
              <w:jc w:val="left"/>
            </w:pPr>
            <w:r>
              <w:rPr/>
              <w:t>40.00</w:t>
            </w:r>
            <w:r>
              <w:rPr/>
              <w:t>%</w:t>
            </w:r>
          </w:p>
        </w:tc>
        <w:tc>
          <w:tcPr>
            <w:tcW w:type="dxa" w:w="1384"/>
          </w:tcPr>
          <w:p>
            <w:pPr>
              <w:pStyle w:val="null3"/>
              <w:jc w:val="left"/>
            </w:pPr>
            <w:r>
              <w:rPr/>
              <w:t>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left"/>
      </w:pPr>
      <w:r>
        <w:rPr/>
        <w:t>（1）验收主体</w:t>
      </w:r>
    </w:p>
    <w:p>
      <w:pPr>
        <w:pStyle w:val="null3"/>
        <w:jc w:val="left"/>
      </w:pPr>
      <w:r>
        <w:rPr/>
        <w:t>采购人（需求部门）</w:t>
      </w:r>
      <w:r>
        <w:rPr>
          <w:u w:val="single"/>
        </w:rPr>
        <w:t>研究局（参事室）</w:t>
      </w:r>
    </w:p>
    <w:p>
      <w:pPr>
        <w:pStyle w:val="null3"/>
        <w:jc w:val="left"/>
      </w:pPr>
      <w:r>
        <w:rPr/>
        <w:t>采购人（需求部门）拟邀请（</w:t>
      </w:r>
      <w:r>
        <w:rPr/>
        <w:t>专家</w:t>
      </w:r>
      <w:r>
        <w:rPr/>
        <w:t>服务对象</w:t>
      </w:r>
      <w:r>
        <w:rPr/>
        <w:t>）</w:t>
      </w:r>
    </w:p>
    <w:p>
      <w:pPr>
        <w:pStyle w:val="null3"/>
        <w:jc w:val="left"/>
      </w:pPr>
      <w:r>
        <w:rPr/>
        <w:t>（2）验收时间</w:t>
      </w:r>
      <w:r>
        <w:rPr>
          <w:u w:val="single"/>
        </w:rPr>
        <w:t>中期验收：自服务时间且服务内容过半后10个工作日内 最终验收：服务期限结束且服务内容完成后10个工作日</w:t>
      </w:r>
    </w:p>
    <w:p>
      <w:pPr>
        <w:pStyle w:val="null3"/>
        <w:jc w:val="left"/>
      </w:pPr>
      <w:r>
        <w:rPr/>
        <w:t>（3）验收方式</w:t>
      </w:r>
      <w:r>
        <w:rPr>
          <w:u w:val="single"/>
        </w:rPr>
        <w:t>分阶段验收</w:t>
      </w:r>
    </w:p>
    <w:p>
      <w:pPr>
        <w:pStyle w:val="null3"/>
        <w:jc w:val="left"/>
      </w:pPr>
      <w:r>
        <w:rPr/>
        <w:t>（4）验收程序</w:t>
      </w:r>
      <w:r>
        <w:rPr>
          <w:u w:val="single"/>
        </w:rPr>
        <w:t xml:space="preserve"> a.组建验收小组，验收小组人数应为3人（含）以上单数，相关从业人员人数不少于成员总数三分之二； b.验收小组根据采购需求等合同约定内容编制验收清单，逐项验收； c.验收结束后，验收小组出具验收报告。 d.验收报告经验收小组、合同乙方认定后，由采购需求部门最终确认。</w:t>
      </w:r>
    </w:p>
    <w:p>
      <w:pPr>
        <w:pStyle w:val="null3"/>
        <w:jc w:val="left"/>
      </w:pPr>
      <w:r>
        <w:rPr/>
        <w:t>（5）验收内容</w:t>
      </w:r>
      <w:r>
        <w:rPr>
          <w:u w:val="single"/>
        </w:rPr>
        <w:t>a.访问账号权限开通情况； b.账号访问量及下载量统计； c.培训讲座、现场及远程维护、产品升级情况。</w:t>
      </w:r>
    </w:p>
    <w:p>
      <w:pPr>
        <w:pStyle w:val="null3"/>
        <w:jc w:val="left"/>
      </w:pPr>
      <w:r>
        <w:rPr/>
        <w:t>（6）验收标准</w:t>
      </w:r>
      <w:r>
        <w:rPr>
          <w:u w:val="single"/>
        </w:rPr>
        <w:t>访问账号权限开通情况、培训讲座次数符合合同约定内容；使用情况评价采用问卷调查方式开展。</w:t>
      </w:r>
    </w:p>
    <w:p>
      <w:pPr>
        <w:pStyle w:val="null3"/>
        <w:jc w:val="left"/>
      </w:pPr>
      <w:r>
        <w:rPr/>
        <w:t>（7）其他事项（如有）</w:t>
      </w:r>
      <w:r>
        <w:rPr>
          <w:u w:val="single"/>
        </w:rPr>
        <w:t>无。</w:t>
      </w:r>
    </w:p>
    <w:p>
      <w:pPr>
        <w:pStyle w:val="null3"/>
        <w:jc w:val="left"/>
      </w:pPr>
      <w:r>
        <w:rPr/>
        <w:t>无。</w:t>
      </w:r>
    </w:p>
    <w:p>
      <w:pPr>
        <w:pStyle w:val="null3"/>
      </w:pPr>
      <w:r>
        <w:rPr/>
        <w:t xml:space="preserve"> </w:t>
      </w:r>
    </w:p>
    <w:p>
      <w:pPr>
        <w:pStyle w:val="null3"/>
        <w:jc w:val="center"/>
        <w:outlineLvl w:val="1"/>
      </w:pPr>
      <w:r>
        <w:rPr>
          <w:sz w:val="36"/>
          <w:b/>
        </w:rPr>
        <w:t>第四章 协商办法</w:t>
      </w:r>
    </w:p>
    <w:p>
      <w:pPr>
        <w:pStyle w:val="null3"/>
        <w:jc w:val="left"/>
        <w:outlineLvl w:val="2"/>
      </w:pPr>
      <w:r>
        <w:rPr>
          <w:sz w:val="28"/>
          <w:b/>
        </w:rPr>
        <w:t>4.1 总则</w:t>
      </w:r>
    </w:p>
    <w:p>
      <w:pPr>
        <w:pStyle w:val="null3"/>
        <w:ind w:firstLine="480"/>
        <w:jc w:val="both"/>
      </w:pPr>
      <w:r>
        <w:rPr/>
        <w:t>一、根据《中华人民共和国政府采购法》《中华人民共和国政府采购法实施条例》《政府采购非招标采购方式管理办法》等法律规章，结合采购项目特点制定本办法。</w:t>
      </w:r>
    </w:p>
    <w:p>
      <w:pPr>
        <w:pStyle w:val="null3"/>
        <w:ind w:firstLine="480"/>
        <w:jc w:val="both"/>
      </w:pPr>
      <w:r>
        <w:rPr/>
        <w:t>二、评审工作由代理机构负责组织，具体协商事务依法组建的协商小组负责。</w:t>
      </w:r>
    </w:p>
    <w:p>
      <w:pPr>
        <w:pStyle w:val="null3"/>
        <w:ind w:firstLine="480"/>
        <w:jc w:val="both"/>
      </w:pPr>
      <w:r>
        <w:rPr/>
        <w:t>三、评审工作应遵循客观、公正、审慎的原则，并以相同的协商程序和标准对待所有的供应商。</w:t>
      </w:r>
    </w:p>
    <w:p>
      <w:pPr>
        <w:pStyle w:val="null3"/>
        <w:ind w:firstLine="480"/>
        <w:jc w:val="both"/>
      </w:pPr>
      <w:r>
        <w:rPr/>
        <w:t>四、本项目采取电子评审，通过项目电子化交易系统完成评审工作。协商小组成员和供应商应当按照本采购文件规定和项目电子化交易系统操作要求开展或者参加协商活动。</w:t>
      </w:r>
    </w:p>
    <w:p>
      <w:pPr>
        <w:pStyle w:val="null3"/>
        <w:ind w:firstLine="480"/>
        <w:jc w:val="both"/>
      </w:pPr>
      <w:r>
        <w:rPr/>
        <w:t>五、评审过程中的书面材料往来均通过项目电子化交易系统传递，供应商通过数字证书（CA）及签章加盖其电子印章后生效。出现无法在线签章的特殊情况，协商小组成员可以线下签署评审报告，由代理机构对原件扫描后以附件形式上传。</w:t>
      </w:r>
    </w:p>
    <w:p>
      <w:pPr>
        <w:pStyle w:val="null3"/>
        <w:ind w:firstLine="480"/>
        <w:jc w:val="both"/>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jc w:val="left"/>
        <w:outlineLvl w:val="2"/>
      </w:pPr>
      <w:r>
        <w:rPr>
          <w:sz w:val="28"/>
          <w:b/>
        </w:rPr>
        <w:t>4.2 协商小组</w:t>
      </w:r>
    </w:p>
    <w:p>
      <w:pPr>
        <w:pStyle w:val="null3"/>
        <w:ind w:firstLine="480"/>
        <w:jc w:val="both"/>
      </w:pPr>
      <w:r>
        <w:rPr/>
        <w:t>一、本项目协商小组成员人数详见第二章“供应商须知前附表”。</w:t>
      </w:r>
    </w:p>
    <w:p>
      <w:pPr>
        <w:pStyle w:val="null3"/>
        <w:ind w:firstLine="480"/>
        <w:jc w:val="both"/>
      </w:pPr>
      <w:r>
        <w:rPr/>
        <w:t>二、协商小组成员应当满足并适应电子化采购评审的工作需要，登录项目电子化交易系统进入项目评审功能模块确认身份、签到、推荐协商小组组长。</w:t>
      </w:r>
    </w:p>
    <w:p>
      <w:pPr>
        <w:pStyle w:val="null3"/>
        <w:ind w:firstLine="480"/>
        <w:jc w:val="both"/>
      </w:pPr>
      <w:r>
        <w:rPr/>
        <w:t>三、协商小组成员获取解密后的响应文件，开展评审活动。出现应当回避的情形时，协商小组成员应当主动回避；代理机构按规定申请补充抽取评审专家；无法及时补充抽取的，采购人或者代理机构应当封存供应商响应文件，按规定重新组建协商小组，开展评审活动。</w:t>
      </w:r>
    </w:p>
    <w:p>
      <w:pPr>
        <w:pStyle w:val="null3"/>
        <w:ind w:firstLine="480"/>
        <w:jc w:val="both"/>
      </w:pPr>
      <w:r>
        <w:rPr/>
        <w:t>四、采用单一来源采购方式采购的，采购人、采购代理机构应当组织协商小组与供应商商定合理的成交价格并保证采购项目质量。</w:t>
      </w:r>
    </w:p>
    <w:p>
      <w:pPr>
        <w:pStyle w:val="null3"/>
        <w:jc w:val="left"/>
        <w:outlineLvl w:val="2"/>
      </w:pPr>
      <w:r>
        <w:rPr>
          <w:sz w:val="28"/>
          <w:b/>
        </w:rPr>
        <w:t>4.3 协商程序</w:t>
      </w:r>
    </w:p>
    <w:p>
      <w:pPr>
        <w:pStyle w:val="null3"/>
        <w:jc w:val="left"/>
        <w:outlineLvl w:val="3"/>
      </w:pPr>
      <w:r>
        <w:rPr>
          <w:sz w:val="24"/>
          <w:b/>
        </w:rPr>
        <w:t>4.3.1确认和熟悉理解采购文件</w:t>
      </w:r>
    </w:p>
    <w:p>
      <w:pPr>
        <w:pStyle w:val="null3"/>
        <w:ind w:firstLine="480"/>
      </w:pPr>
      <w:r>
        <w:rPr/>
        <w:t>一、协商小组正式评审前，应当对协商文件进行确认和熟悉理解，内容主要包括采购文件中供应商资格条件要求、采购项目技术、服务和商务要求、评审办法和标准、政府采购政策要求以及政府采购合同主要条款等。</w:t>
      </w:r>
    </w:p>
    <w:p>
      <w:pPr>
        <w:pStyle w:val="null3"/>
        <w:jc w:val="left"/>
        <w:outlineLvl w:val="3"/>
      </w:pPr>
      <w:r>
        <w:rPr>
          <w:sz w:val="24"/>
          <w:b/>
        </w:rPr>
        <w:t>4.3.2供应商审查</w:t>
      </w:r>
    </w:p>
    <w:p>
      <w:pPr>
        <w:pStyle w:val="null3"/>
        <w:ind w:firstLine="480"/>
        <w:jc w:val="both"/>
      </w:pPr>
      <w:r>
        <w:rPr/>
        <w:t>一、资格性审查</w:t>
      </w:r>
    </w:p>
    <w:p>
      <w:pPr>
        <w:pStyle w:val="null3"/>
        <w:ind w:firstLine="480"/>
        <w:jc w:val="both"/>
      </w:pPr>
      <w:r>
        <w:rPr/>
        <w:t>响应文件解密完成后，由协商小组对提交响应文件的供应商进行资格性审查。协商小组在资格审查过程中，协商小组成员对供应商资格是否符合规定存在争议的，应当以少数服从多数的原则处理，但不得违反政府采购法和采购文件规定。</w:t>
      </w:r>
    </w:p>
    <w:p>
      <w:pPr>
        <w:pStyle w:val="null3"/>
        <w:ind w:firstLine="480"/>
        <w:jc w:val="both"/>
      </w:pPr>
      <w:r>
        <w:rPr/>
        <w:t>（一）一般资格性审查：</w:t>
      </w:r>
    </w:p>
    <w:p>
      <w:pPr>
        <w:pStyle w:val="null3"/>
      </w:pPr>
      <w:r>
        <w:rPr/>
        <w:t>详见响应文件第一章“1.2.2一般资格要求”</w:t>
      </w:r>
    </w:p>
    <w:p>
      <w:pPr>
        <w:pStyle w:val="null3"/>
        <w:ind w:firstLine="480"/>
        <w:jc w:val="both"/>
      </w:pPr>
      <w:r>
        <w:rPr/>
        <w:t>（二）需求单位要求的资格审查：</w:t>
      </w:r>
    </w:p>
    <w:p>
      <w:pPr>
        <w:pStyle w:val="null3"/>
        <w:jc w:val="both"/>
      </w:pPr>
      <w:r>
        <w:rPr/>
        <w:t>详见响应文件第一章“1.2.3需求单位要求的资格条件”</w:t>
      </w:r>
    </w:p>
    <w:p>
      <w:pPr>
        <w:pStyle w:val="null3"/>
        <w:ind w:firstLine="480"/>
        <w:jc w:val="both"/>
      </w:pPr>
      <w:r>
        <w:rPr/>
        <w:t>二、实质性要求审核</w:t>
      </w:r>
    </w:p>
    <w:p>
      <w:pPr>
        <w:pStyle w:val="null3"/>
        <w:ind w:firstLine="480"/>
        <w:jc w:val="both"/>
      </w:pPr>
      <w:r>
        <w:rPr/>
        <w:t>协商小组依据本采购文件的实质性要求，对符合资格的响应文件进行审查，以确定其是否满足本采购文件的实质性要求。本项目的符合性审查事项必须以本采购文件的明确规定的实质性要求为依据。</w:t>
      </w:r>
    </w:p>
    <w:p>
      <w:pPr>
        <w:pStyle w:val="null3"/>
        <w:ind w:firstLine="480"/>
        <w:jc w:val="both"/>
      </w:pPr>
      <w:r>
        <w:rPr/>
        <w:t>在实质性审查过程中，如果出现协商小组成员意见不一致的情况，按照少数服从多数的原则确定，但不得违背政府采购基本原则和采购文件规定。</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pPr>
            <w:r>
              <w:rPr/>
              <w:t xml:space="preserve"> 序号</w:t>
            </w:r>
          </w:p>
        </w:tc>
        <w:tc>
          <w:tcPr>
            <w:tcW w:type="dxa" w:w="3322"/>
          </w:tcPr>
          <w:p>
            <w:pPr>
              <w:pStyle w:val="null3"/>
            </w:pPr>
            <w:r>
              <w:rPr/>
              <w:t xml:space="preserve"> 符合审查要求概况</w:t>
            </w:r>
          </w:p>
        </w:tc>
        <w:tc>
          <w:tcPr>
            <w:tcW w:type="dxa" w:w="4153"/>
          </w:tcPr>
          <w:p>
            <w:pPr>
              <w:pStyle w:val="null3"/>
            </w:pPr>
            <w:r>
              <w:rPr/>
              <w:t xml:space="preserve"> 评审点具体描述</w:t>
            </w:r>
          </w:p>
        </w:tc>
      </w:tr>
      <w:tr>
        <w:tc>
          <w:tcPr>
            <w:tcW w:type="dxa" w:w="831"/>
          </w:tcPr>
          <w:p>
            <w:pPr>
              <w:pStyle w:val="null3"/>
            </w:pPr>
            <w:r>
              <w:rPr/>
              <w:t>1</w:t>
            </w:r>
          </w:p>
        </w:tc>
        <w:tc>
          <w:tcPr>
            <w:tcW w:type="dxa" w:w="3322"/>
          </w:tcPr>
          <w:p>
            <w:pPr>
              <w:pStyle w:val="null3"/>
            </w:pPr>
            <w:r>
              <w:rPr/>
              <w:t>选择性报价</w:t>
            </w:r>
          </w:p>
        </w:tc>
        <w:tc>
          <w:tcPr>
            <w:tcW w:type="dxa" w:w="4153"/>
          </w:tcPr>
          <w:p>
            <w:pPr>
              <w:pStyle w:val="null3"/>
            </w:pPr>
            <w:r>
              <w:rPr/>
              <w:t>采购人不接受供应商提供的选择性报价、赠送，每种货物或服务只允许有一个报价。否则将其视为无效响应</w:t>
            </w:r>
          </w:p>
        </w:tc>
      </w:tr>
      <w:tr>
        <w:tc>
          <w:tcPr>
            <w:tcW w:type="dxa" w:w="831"/>
          </w:tcPr>
          <w:p>
            <w:pPr>
              <w:pStyle w:val="null3"/>
            </w:pPr>
            <w:r>
              <w:rPr/>
              <w:t>2</w:t>
            </w:r>
          </w:p>
        </w:tc>
        <w:tc>
          <w:tcPr>
            <w:tcW w:type="dxa" w:w="3322"/>
          </w:tcPr>
          <w:p>
            <w:pPr>
              <w:pStyle w:val="null3"/>
            </w:pPr>
            <w:r>
              <w:rPr/>
              <w:t>联合体响应</w:t>
            </w:r>
          </w:p>
        </w:tc>
        <w:tc>
          <w:tcPr>
            <w:tcW w:type="dxa" w:w="4153"/>
          </w:tcPr>
          <w:p>
            <w:pPr>
              <w:pStyle w:val="null3"/>
            </w:pPr>
            <w:r>
              <w:rPr/>
              <w:t>本项目不接受联合体响应</w:t>
            </w:r>
          </w:p>
        </w:tc>
      </w:tr>
      <w:tr>
        <w:tc>
          <w:tcPr>
            <w:tcW w:type="dxa" w:w="831"/>
          </w:tcPr>
          <w:p>
            <w:pPr>
              <w:pStyle w:val="null3"/>
            </w:pPr>
            <w:r>
              <w:rPr/>
              <w:t>3</w:t>
            </w:r>
          </w:p>
        </w:tc>
        <w:tc>
          <w:tcPr>
            <w:tcW w:type="dxa" w:w="3322"/>
          </w:tcPr>
          <w:p>
            <w:pPr>
              <w:pStyle w:val="null3"/>
            </w:pPr>
            <w:r>
              <w:rPr/>
              <w:t>本项目接受/不接受进口产品响应</w:t>
            </w:r>
          </w:p>
        </w:tc>
        <w:tc>
          <w:tcPr>
            <w:tcW w:type="dxa" w:w="4153"/>
          </w:tcPr>
          <w:p>
            <w:pPr>
              <w:pStyle w:val="null3"/>
            </w:pPr>
            <w:r>
              <w:rPr/>
              <w:t>根据《中华人民共和国政府采购法》和财政部《政府采购进口产品管理办法》的有关规定，本项目不接受进口产品响应</w:t>
            </w:r>
          </w:p>
        </w:tc>
      </w:tr>
      <w:tr>
        <w:tc>
          <w:tcPr>
            <w:tcW w:type="dxa" w:w="831"/>
          </w:tcPr>
          <w:p>
            <w:pPr>
              <w:pStyle w:val="null3"/>
            </w:pPr>
            <w:r>
              <w:rPr/>
              <w:t>4</w:t>
            </w:r>
          </w:p>
        </w:tc>
        <w:tc>
          <w:tcPr>
            <w:tcW w:type="dxa" w:w="3322"/>
          </w:tcPr>
          <w:p>
            <w:pPr>
              <w:pStyle w:val="null3"/>
            </w:pPr>
            <w:r>
              <w:rPr/>
              <w:t>本项目接受/不接受接受分包形式履行合同</w:t>
            </w:r>
          </w:p>
        </w:tc>
        <w:tc>
          <w:tcPr>
            <w:tcW w:type="dxa" w:w="4153"/>
          </w:tcPr>
          <w:p>
            <w:pPr>
              <w:pStyle w:val="null3"/>
            </w:pPr>
            <w:r>
              <w:rPr/>
              <w:t>本项目不接受分包形式履行合同</w:t>
            </w:r>
          </w:p>
        </w:tc>
      </w:tr>
      <w:tr>
        <w:tc>
          <w:tcPr>
            <w:tcW w:type="dxa" w:w="831"/>
          </w:tcPr>
          <w:p>
            <w:pPr>
              <w:pStyle w:val="null3"/>
            </w:pPr>
            <w:r>
              <w:rPr/>
              <w:t>5</w:t>
            </w:r>
          </w:p>
        </w:tc>
        <w:tc>
          <w:tcPr>
            <w:tcW w:type="dxa" w:w="3322"/>
          </w:tcPr>
          <w:p>
            <w:pPr>
              <w:pStyle w:val="null3"/>
            </w:pPr>
            <w:r>
              <w:rPr/>
              <w:t>响应文件加盖电子签章或公章</w:t>
            </w:r>
          </w:p>
        </w:tc>
        <w:tc>
          <w:tcPr>
            <w:tcW w:type="dxa" w:w="4153"/>
          </w:tcPr>
          <w:p>
            <w:pPr>
              <w:pStyle w:val="null3"/>
            </w:pPr>
            <w:r>
              <w:rPr/>
              <w:t>响应文件电子版未按要求加盖《关于供应商办理CA数字证书及电子签章的通知》中指定供应商签发的单位电子签章（如遇启用纸质响应文件时，纸质响应文件未按要求加盖公章）视为无效响应。</w:t>
            </w:r>
          </w:p>
        </w:tc>
      </w:tr>
      <w:tr>
        <w:tc>
          <w:tcPr>
            <w:tcW w:type="dxa" w:w="831"/>
          </w:tcPr>
          <w:p>
            <w:pPr>
              <w:pStyle w:val="null3"/>
            </w:pPr>
            <w:r>
              <w:rPr/>
              <w:t>6</w:t>
            </w:r>
          </w:p>
        </w:tc>
        <w:tc>
          <w:tcPr>
            <w:tcW w:type="dxa" w:w="3322"/>
          </w:tcPr>
          <w:p>
            <w:pPr>
              <w:pStyle w:val="null3"/>
            </w:pPr>
            <w:r>
              <w:rPr/>
              <w:t>提供电子、纸质响应文件</w:t>
            </w:r>
          </w:p>
        </w:tc>
        <w:tc>
          <w:tcPr>
            <w:tcW w:type="dxa" w:w="4153"/>
          </w:tcPr>
          <w:p>
            <w:pPr>
              <w:pStyle w:val="null3"/>
            </w:pPr>
            <w:r>
              <w:rPr/>
              <w:t>供应商未能按采购文件要求提供响应文件纸质版和电子版（包括线上加密和现场递交的非加密电子版）视为无效响应。</w:t>
            </w:r>
          </w:p>
        </w:tc>
      </w:tr>
      <w:tr>
        <w:tc>
          <w:tcPr>
            <w:tcW w:type="dxa" w:w="831"/>
          </w:tcPr>
          <w:p>
            <w:pPr>
              <w:pStyle w:val="null3"/>
            </w:pPr>
            <w:r>
              <w:rPr/>
              <w:t>7</w:t>
            </w:r>
          </w:p>
        </w:tc>
        <w:tc>
          <w:tcPr>
            <w:tcW w:type="dxa" w:w="3322"/>
          </w:tcPr>
          <w:p>
            <w:pPr>
              <w:pStyle w:val="null3"/>
            </w:pPr>
            <w:r>
              <w:rPr/>
              <w:t>响应文件有效期的合格性</w:t>
            </w:r>
          </w:p>
        </w:tc>
        <w:tc>
          <w:tcPr>
            <w:tcW w:type="dxa" w:w="4153"/>
          </w:tcPr>
          <w:p>
            <w:pPr>
              <w:pStyle w:val="null3"/>
            </w:pPr>
            <w:r>
              <w:rPr/>
              <w:t>响应文件有效期的合格性</w:t>
            </w:r>
          </w:p>
        </w:tc>
      </w:tr>
      <w:tr>
        <w:tc>
          <w:tcPr>
            <w:tcW w:type="dxa" w:w="831"/>
          </w:tcPr>
          <w:p>
            <w:pPr>
              <w:pStyle w:val="null3"/>
            </w:pPr>
            <w:r>
              <w:rPr/>
              <w:t>8</w:t>
            </w:r>
          </w:p>
        </w:tc>
        <w:tc>
          <w:tcPr>
            <w:tcW w:type="dxa" w:w="3322"/>
          </w:tcPr>
          <w:p>
            <w:pPr>
              <w:pStyle w:val="null3"/>
            </w:pPr>
            <w:r>
              <w:rPr/>
              <w:t>满足★号指标要求</w:t>
            </w:r>
          </w:p>
        </w:tc>
        <w:tc>
          <w:tcPr>
            <w:tcW w:type="dxa" w:w="4153"/>
          </w:tcPr>
          <w:p>
            <w:pPr>
              <w:pStyle w:val="null3"/>
            </w:pPr>
            <w:r>
              <w:rPr/>
              <w:t>满足★号指标要求</w:t>
            </w:r>
          </w:p>
        </w:tc>
      </w:tr>
      <w:tr>
        <w:tc>
          <w:tcPr>
            <w:tcW w:type="dxa" w:w="831"/>
          </w:tcPr>
          <w:p>
            <w:pPr>
              <w:pStyle w:val="null3"/>
            </w:pPr>
            <w:r>
              <w:rPr/>
              <w:t>9</w:t>
            </w:r>
          </w:p>
        </w:tc>
        <w:tc>
          <w:tcPr>
            <w:tcW w:type="dxa" w:w="3322"/>
          </w:tcPr>
          <w:p>
            <w:pPr>
              <w:pStyle w:val="null3"/>
            </w:pPr>
            <w:r>
              <w:rPr/>
              <w:t>实质性响应采购文件要求</w:t>
            </w:r>
          </w:p>
        </w:tc>
        <w:tc>
          <w:tcPr>
            <w:tcW w:type="dxa" w:w="4153"/>
          </w:tcPr>
          <w:p>
            <w:pPr>
              <w:pStyle w:val="null3"/>
            </w:pPr>
            <w:r>
              <w:rPr/>
              <w:t>实质性响应采购文件要求</w:t>
            </w:r>
          </w:p>
        </w:tc>
      </w:tr>
    </w:tbl>
    <w:p>
      <w:pPr>
        <w:pStyle w:val="null3"/>
        <w:ind w:firstLine="480"/>
      </w:pPr>
      <w:r>
        <w:rPr/>
        <w:t>供应商应当按协商小组的要求进行澄清、说明或者更正。代理机构宣布评审结束之前，供应商应通过项目电子化交易系统随时关注评审消息提示，及时响应协商小组发出的澄清、说明或更正要求。供应商未能及时响应的，自行承担不利后果。</w:t>
      </w:r>
    </w:p>
    <w:p>
      <w:pPr>
        <w:pStyle w:val="null3"/>
        <w:jc w:val="left"/>
        <w:outlineLvl w:val="3"/>
      </w:pPr>
      <w:r>
        <w:rPr>
          <w:sz w:val="24"/>
          <w:b/>
        </w:rPr>
        <w:t>4.3.3协商</w:t>
      </w:r>
    </w:p>
    <w:p>
      <w:pPr>
        <w:pStyle w:val="null3"/>
        <w:ind w:firstLine="480"/>
        <w:jc w:val="both"/>
      </w:pPr>
      <w:r>
        <w:rPr/>
        <w:t>一、协商小组与供应商代表就以上采购内容进行协商（商谈、报价），协商小组可以自行决定进行商谈、报价共最多不超过三轮的协商。供应商代表对协商小组提出的质疑，应提供书面的应答或澄清材料，供应商代表也可就有关采购事项向协商小组提议协商。</w:t>
      </w:r>
    </w:p>
    <w:p>
      <w:pPr>
        <w:pStyle w:val="null3"/>
        <w:ind w:firstLine="480"/>
      </w:pPr>
      <w:r>
        <w:rPr/>
        <w:t>二、如在本文件通知的协商时间内无法完成协商的，协商小组可以决定另行安排二次协商，但应将下次协商的时间、地点准确告知供应商代表。协商中，协商的任何一方不得透露与协商有关的其他供应商的技术资料、价格和其他信息。</w:t>
      </w:r>
    </w:p>
    <w:p>
      <w:pPr>
        <w:pStyle w:val="null3"/>
        <w:ind w:firstLine="480"/>
      </w:pPr>
      <w:r>
        <w:rPr/>
        <w:t>三、协商过程中，供应商应随时关注项目电子化交易系统信息，及时参与在线协商。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供应商可以根据协商情况决定修改报价和其他技术、商务承诺的，通过项目电子化交易系统提交协商小组。“供应商响应内容”作为响应文件的一部分，应加盖供应商（法定名称）电子印章，否则无效。</w:t>
      </w:r>
    </w:p>
    <w:p>
      <w:pPr>
        <w:pStyle w:val="null3"/>
        <w:jc w:val="left"/>
        <w:outlineLvl w:val="3"/>
      </w:pPr>
      <w:r>
        <w:rPr>
          <w:sz w:val="24"/>
          <w:b/>
        </w:rPr>
        <w:t>4.3.4供应商最后报价</w:t>
      </w:r>
    </w:p>
    <w:p>
      <w:pPr>
        <w:pStyle w:val="null3"/>
        <w:ind w:firstLine="480"/>
        <w:jc w:val="both"/>
      </w:pPr>
      <w:r>
        <w:rPr/>
        <w:t>一、供应商应随时关注项目电子化交易系统信息，登录项目电子化交易系统，通过“等候大厅”进行报价并签章后提交。</w:t>
      </w:r>
    </w:p>
    <w:p>
      <w:pPr>
        <w:pStyle w:val="null3"/>
        <w:ind w:firstLine="480"/>
        <w:jc w:val="both"/>
      </w:pPr>
      <w:r>
        <w:rPr/>
        <w:t>二、在终止协商后，按照协商小组要求的期限，供应商代表应出具经供应商协商代表签字的最终报价文件。</w:t>
      </w:r>
    </w:p>
    <w:p>
      <w:pPr>
        <w:pStyle w:val="null3"/>
        <w:jc w:val="left"/>
        <w:outlineLvl w:val="3"/>
      </w:pPr>
      <w:r>
        <w:rPr>
          <w:sz w:val="24"/>
          <w:b/>
        </w:rPr>
        <w:t>4.3.5编写协商报告</w:t>
      </w:r>
    </w:p>
    <w:p>
      <w:pPr>
        <w:pStyle w:val="null3"/>
        <w:ind w:firstLine="480"/>
      </w:pPr>
      <w:r>
        <w:rPr/>
        <w:t>协商小组在项目电子化交易系统中编制协商情况，生成协商报告。协商报告是协商小组根据全体成员签字的原始协商记录和协商结果编写的报告。</w:t>
      </w:r>
    </w:p>
    <w:p>
      <w:pPr>
        <w:pStyle w:val="null3"/>
        <w:ind w:firstLine="480"/>
      </w:pPr>
      <w:r>
        <w:rPr/>
        <w:t>协商小组在协商报告上签字，对自己的意见承担法律责任。对需要共同认定的事项存在争议的，按照少数服从多数的原则做出结论。对协商报告有异议的，在协商报告上签署不同意见，并说明理由，否则视为同意协商报告。</w:t>
      </w:r>
    </w:p>
    <w:p>
      <w:pPr>
        <w:pStyle w:val="null3"/>
        <w:jc w:val="left"/>
        <w:outlineLvl w:val="2"/>
      </w:pPr>
      <w:r>
        <w:rPr>
          <w:sz w:val="28"/>
          <w:b/>
        </w:rPr>
        <w:t>4.4 终止采购活动情形</w:t>
      </w:r>
    </w:p>
    <w:p>
      <w:pPr>
        <w:pStyle w:val="null3"/>
        <w:ind w:firstLine="480"/>
      </w:pPr>
      <w:r>
        <w:rPr/>
        <w:t>出现下列情况之一的，采购人或者采购代理机构应当终止采购活动，发布项目终止公告并说明原因，重新开展采购活动：</w:t>
      </w:r>
    </w:p>
    <w:p>
      <w:pPr>
        <w:pStyle w:val="null3"/>
        <w:ind w:firstLine="480"/>
      </w:pPr>
      <w:r>
        <w:rPr/>
        <w:t>1.因情况变化，不再符合规定的单一来源采购方式使用情形的；</w:t>
      </w:r>
    </w:p>
    <w:p>
      <w:pPr>
        <w:pStyle w:val="null3"/>
        <w:ind w:firstLine="480"/>
      </w:pPr>
      <w:r>
        <w:rPr/>
        <w:t>2.出现影响采购公正的违法、违规行为的；</w:t>
      </w:r>
    </w:p>
    <w:p>
      <w:pPr>
        <w:pStyle w:val="null3"/>
        <w:ind w:firstLine="480"/>
      </w:pPr>
      <w:r>
        <w:rPr/>
        <w:t>3.报价超过采购预算的。</w:t>
      </w:r>
    </w:p>
    <w:p>
      <w:pPr>
        <w:pStyle w:val="null3"/>
        <w:jc w:val="left"/>
        <w:outlineLvl w:val="2"/>
      </w:pPr>
      <w:r>
        <w:rPr>
          <w:sz w:val="28"/>
          <w:b/>
        </w:rPr>
        <w:t>4.5 确定成交供应商</w:t>
      </w:r>
    </w:p>
    <w:p>
      <w:pPr>
        <w:pStyle w:val="null3"/>
        <w:ind w:firstLine="480"/>
      </w:pPr>
      <w:r>
        <w:rPr/>
        <w:t>详见响应文件第二章“供应商须知前附表”中“确认成交方式”。</w:t>
      </w:r>
    </w:p>
    <w:p>
      <w:pPr>
        <w:pStyle w:val="null3"/>
      </w:pPr>
      <w:r>
        <w:rPr/>
        <w:t xml:space="preserve"> </w:t>
      </w:r>
    </w:p>
    <w:p>
      <w:pPr>
        <w:pStyle w:val="null3"/>
        <w:jc w:val="center"/>
        <w:outlineLvl w:val="1"/>
      </w:pPr>
      <w:r>
        <w:rPr>
          <w:sz w:val="36"/>
          <w:b/>
        </w:rPr>
        <w:t>第五章 响应文件格式</w:t>
      </w:r>
    </w:p>
    <w:p>
      <w:pPr>
        <w:pStyle w:val="null3"/>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详见附件：服务说明一览表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详见附件：供应商其他证明文件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详见附件：履约保证金保函</w:t>
      </w:r>
    </w:p>
    <w:p>
      <w:pPr>
        <w:pStyle w:val="null3"/>
        <w:ind w:firstLine="960"/>
      </w:pPr>
      <w:r>
        <w:rPr/>
        <w:t>详见附件：法人或者其他组织的营业执照等证明文件，自然人的身份证明</w:t>
      </w:r>
    </w:p>
    <w:p>
      <w:pPr>
        <w:pStyle w:val="null3"/>
      </w:pPr>
      <w:r>
        <w:rPr/>
        <w:t xml:space="preserve"> </w:t>
      </w:r>
    </w:p>
    <w:p>
      <w:pPr>
        <w:pStyle w:val="null3"/>
        <w:jc w:val="center"/>
        <w:outlineLvl w:val="1"/>
      </w:pPr>
      <w:r>
        <w:rPr>
          <w:sz w:val="36"/>
          <w:b/>
        </w:rPr>
        <w:t>第六章 拟签订的合同文本</w:t>
      </w:r>
    </w:p>
    <w:p>
      <w:pPr>
        <w:pStyle w:val="null3"/>
      </w:pPr>
      <w:r>
        <w:br/>
      </w:r>
      <w:r>
        <w:br/>
      </w:r>
      <w:r>
        <w:br/>
      </w:r>
      <w:r>
        <w:br/>
      </w:r>
    </w:p>
    <w:p>
      <w:pPr>
        <w:pStyle w:val="null3"/>
        <w:jc w:val="center"/>
      </w:pPr>
      <w:r>
        <w:rPr>
          <w:sz w:val="33"/>
          <w:b/>
        </w:rPr>
        <w:t>采购项目采购合同</w:t>
      </w:r>
      <w:r>
        <w:br/>
      </w:r>
    </w:p>
    <w:p>
      <w:pPr>
        <w:pStyle w:val="null3"/>
      </w:pPr>
      <w:r>
        <w:rPr>
          <w:sz w:val="30"/>
          <w:b/>
        </w:rPr>
        <w:t xml:space="preserve"> 合同编号：</w:t>
      </w:r>
      <w:r>
        <w:br/>
      </w:r>
      <w:r>
        <w:br/>
      </w:r>
      <w:r>
        <w:br/>
      </w:r>
      <w:r>
        <w:br/>
      </w:r>
      <w:r>
        <w:br/>
      </w:r>
      <w:r>
        <w:br/>
      </w:r>
      <w:r>
        <w:br/>
      </w:r>
      <w:r>
        <w:br/>
      </w:r>
      <w:r>
        <w:br/>
      </w:r>
      <w:r>
        <w:br/>
      </w:r>
      <w:r>
        <w:br/>
      </w:r>
      <w:r>
        <w:br/>
      </w:r>
      <w:r>
        <w:br/>
      </w:r>
    </w:p>
    <w:p>
      <w:pPr>
        <w:pStyle w:val="null3"/>
        <w:ind w:left="0"/>
      </w:pPr>
      <w:r>
        <w:rPr>
          <w:sz w:val="27"/>
          <w:b/>
        </w:rPr>
        <w:t>甲方：</w:t>
      </w:r>
    </w:p>
    <w:p>
      <w:pPr>
        <w:pStyle w:val="null3"/>
        <w:ind w:left="0"/>
      </w:pPr>
      <w:r>
        <w:rPr>
          <w:sz w:val="27"/>
          <w:b/>
        </w:rPr>
        <w:t>乙方：</w:t>
      </w:r>
      <w:r>
        <w:br/>
      </w:r>
    </w:p>
    <w:p>
      <w:pPr>
        <w:pStyle w:val="null3"/>
        <w:jc w:val="center"/>
      </w:pPr>
      <w:r>
        <w:rPr>
          <w:sz w:val="27"/>
          <w:b/>
        </w:rPr>
        <w:t>202 年 月</w:t>
      </w:r>
    </w:p>
    <w:p>
      <w:pPr>
        <w:pStyle w:val="null3"/>
      </w:pPr>
      <w:r>
        <w:rPr/>
        <w:t xml:space="preserve"> </w:t>
      </w:r>
    </w:p>
    <w:p>
      <w:pPr>
        <w:pStyle w:val="null3"/>
      </w:pPr>
      <w:r>
        <w:rPr>
          <w:b/>
        </w:rPr>
        <w:t>甲方：</w:t>
      </w:r>
    </w:p>
    <w:p>
      <w:pPr>
        <w:pStyle w:val="null3"/>
      </w:pPr>
      <w:r>
        <w:rPr/>
        <w:t>法定代表人：</w:t>
      </w:r>
    </w:p>
    <w:p>
      <w:pPr>
        <w:pStyle w:val="null3"/>
      </w:pPr>
      <w:r>
        <w:rPr/>
        <w:t>地址：</w:t>
      </w:r>
    </w:p>
    <w:p>
      <w:pPr>
        <w:pStyle w:val="null3"/>
      </w:pPr>
      <w:r>
        <w:rPr/>
        <w:t>联系人：</w:t>
      </w:r>
    </w:p>
    <w:p>
      <w:pPr>
        <w:pStyle w:val="null3"/>
      </w:pPr>
      <w:r>
        <w:rPr/>
        <w:t>联系电话：</w:t>
      </w:r>
    </w:p>
    <w:p>
      <w:pPr>
        <w:pStyle w:val="null3"/>
      </w:pPr>
      <w:r>
        <w:rPr/>
        <w:t>传真：</w:t>
      </w:r>
      <w:r>
        <w:br/>
      </w:r>
    </w:p>
    <w:p>
      <w:pPr>
        <w:pStyle w:val="null3"/>
        <w:ind w:left="0"/>
      </w:pPr>
      <w:r>
        <w:rPr>
          <w:b/>
        </w:rPr>
        <w:t>乙方：</w:t>
      </w:r>
    </w:p>
    <w:p>
      <w:pPr>
        <w:pStyle w:val="null3"/>
      </w:pPr>
      <w:r>
        <w:rPr/>
        <w:t>法定代表人：</w:t>
      </w:r>
    </w:p>
    <w:p>
      <w:pPr>
        <w:pStyle w:val="null3"/>
      </w:pPr>
      <w:r>
        <w:rPr/>
        <w:t>注册地址：</w:t>
      </w:r>
    </w:p>
    <w:p>
      <w:pPr>
        <w:pStyle w:val="null3"/>
      </w:pPr>
      <w:r>
        <w:rPr/>
        <w:t>邮寄及办公地址：</w:t>
      </w:r>
    </w:p>
    <w:p>
      <w:pPr>
        <w:pStyle w:val="null3"/>
      </w:pPr>
      <w:r>
        <w:rPr/>
        <w:t>联系人：</w:t>
      </w:r>
    </w:p>
    <w:p>
      <w:pPr>
        <w:pStyle w:val="null3"/>
      </w:pPr>
      <w:r>
        <w:rPr/>
        <w:t>联系电话：</w:t>
      </w:r>
    </w:p>
    <w:p>
      <w:pPr>
        <w:pStyle w:val="null3"/>
      </w:pPr>
      <w:r>
        <w:rPr/>
        <w:t>传真号码：</w:t>
      </w:r>
    </w:p>
    <w:p>
      <w:pPr>
        <w:pStyle w:val="null3"/>
      </w:pPr>
      <w:r>
        <w:rPr/>
        <w:t>开户银行：</w:t>
      </w:r>
    </w:p>
    <w:p>
      <w:pPr>
        <w:pStyle w:val="null3"/>
      </w:pPr>
      <w:r>
        <w:rPr/>
        <w:t>开户账号：</w:t>
      </w:r>
    </w:p>
    <w:p>
      <w:pPr>
        <w:pStyle w:val="null3"/>
      </w:pPr>
      <w:r>
        <w:rPr/>
        <w:t>税号：</w:t>
      </w:r>
      <w:r>
        <w:br/>
      </w:r>
    </w:p>
    <w:p>
      <w:pPr>
        <w:pStyle w:val="null3"/>
      </w:pPr>
      <w:r>
        <w:rPr>
          <w:b/>
        </w:rPr>
        <w:t xml:space="preserve"> 采购需求部门：</w:t>
      </w:r>
    </w:p>
    <w:p>
      <w:pPr>
        <w:pStyle w:val="null3"/>
      </w:pPr>
      <w:r>
        <w:rPr/>
        <w:t>联 系 人：</w:t>
      </w:r>
    </w:p>
    <w:p>
      <w:pPr>
        <w:pStyle w:val="null3"/>
      </w:pPr>
      <w:r>
        <w:rPr/>
        <w:t>联系电话：</w:t>
      </w:r>
    </w:p>
    <w:p>
      <w:pPr>
        <w:pStyle w:val="null3"/>
      </w:pPr>
      <w:r>
        <w:rPr/>
        <w:t xml:space="preserve"> </w:t>
      </w:r>
    </w:p>
    <w:p>
      <w:pPr>
        <w:pStyle w:val="null3"/>
      </w:pPr>
      <w:r>
        <w:rPr/>
        <w:t xml:space="preserve"> 甲方根据采购需求部门</w:t>
      </w:r>
      <w:r>
        <w:rPr/>
        <w:t xml:space="preserve">    </w:t>
      </w:r>
      <w:r>
        <w:rPr/>
        <w:t>的委托，依据“</w:t>
      </w:r>
      <w:r>
        <w:rPr/>
        <w:t xml:space="preserve">    </w:t>
      </w:r>
      <w:r>
        <w:rPr/>
        <w:t>”（项目编号：</w:t>
      </w:r>
      <w:r>
        <w:rPr/>
        <w:t xml:space="preserve">    </w:t>
      </w:r>
      <w:r>
        <w:rPr/>
        <w:t>）的</w:t>
      </w:r>
      <w:r>
        <w:rPr/>
        <w:t xml:space="preserve">    </w:t>
      </w:r>
      <w:r>
        <w:rPr/>
        <w:t>结果，与乙方经过充分协商，本着自愿、平等、互利、诚实信用的原则，现授权各自代表按照下述条款签署本合同。</w:t>
      </w:r>
    </w:p>
    <w:p>
      <w:pPr>
        <w:pStyle w:val="null3"/>
        <w:jc w:val="center"/>
        <w:outlineLvl w:val="2"/>
      </w:pPr>
      <w:r>
        <w:rPr>
          <w:sz w:val="28"/>
          <w:b/>
        </w:rPr>
        <w:t xml:space="preserve"> 第一部分 合同的组成</w:t>
      </w:r>
    </w:p>
    <w:p>
      <w:pPr>
        <w:pStyle w:val="null3"/>
      </w:pPr>
      <w:r>
        <w:rPr/>
        <w:t>1.1 下述文件是构成本合同不可分割的部分:</w:t>
      </w:r>
    </w:p>
    <w:p>
      <w:pPr>
        <w:pStyle w:val="null3"/>
      </w:pPr>
      <w:r>
        <w:rPr/>
        <w:t>（1）本合同条款及其所有附件；</w:t>
      </w:r>
    </w:p>
    <w:p>
      <w:pPr>
        <w:pStyle w:val="null3"/>
      </w:pPr>
      <w:r>
        <w:rPr/>
        <w:t>（2）甲方的招标/谈判/询价/磋商文件及澄清文件；</w:t>
      </w:r>
    </w:p>
    <w:p>
      <w:pPr>
        <w:pStyle w:val="null3"/>
      </w:pPr>
      <w:r>
        <w:rPr/>
        <w:t>（3）乙方的投标/响应文件及质疑解答文件；</w:t>
      </w:r>
    </w:p>
    <w:p>
      <w:pPr>
        <w:pStyle w:val="null3"/>
      </w:pPr>
      <w:r>
        <w:rPr/>
        <w:t>（4）中标/成交通知书；</w:t>
      </w:r>
    </w:p>
    <w:p>
      <w:pPr>
        <w:pStyle w:val="null3"/>
      </w:pPr>
      <w:r>
        <w:rPr/>
        <w:t>（5）法定代表人授权书；</w:t>
      </w:r>
    </w:p>
    <w:p>
      <w:pPr>
        <w:pStyle w:val="null3"/>
      </w:pPr>
      <w:r>
        <w:rPr/>
        <w:t>（6）双方与合同有关的往来信函、传真经双方法定代表人或其授权代表签字并加盖单位公章确认后视为本合同的组成部分。</w:t>
      </w:r>
    </w:p>
    <w:p>
      <w:pPr>
        <w:pStyle w:val="null3"/>
      </w:pPr>
      <w:r>
        <w:rPr/>
        <w:t>（7）经双方法定代表人或其授权代表签字并加盖单位公章确认的补充协议。</w:t>
      </w:r>
    </w:p>
    <w:p>
      <w:pPr>
        <w:pStyle w:val="null3"/>
      </w:pPr>
      <w:r>
        <w:rPr/>
        <w:t>1.2 如果乙方的投标/响应文件及质疑解答文件内容高于甲方招标/谈判/询价/磋商文件要求，则以乙方的投标/响应文件及质疑解答文件内容为准。如果合同条款与合同附件有矛盾之处，以合同条款内容为准。如果合同附件之间有矛盾之处，以有利于甲方的附件内容为准。</w:t>
      </w:r>
    </w:p>
    <w:p>
      <w:pPr>
        <w:pStyle w:val="null3"/>
      </w:pPr>
      <w:r>
        <w:rPr/>
        <w:t>1.3 上述合同文件应能够相互解释、相互说明。如合同文件之间出现不一致，除本合同另有约定外，1.1条第（1）款至（6）款的排列顺序就是合同文件的优先解释顺序。对于第（7）款中双方达成的补充协议与原合同（包括1.1条（1）-（6）款中所列的所有文件）存在不一致，以签订日期在后的补充协议为准。</w:t>
      </w:r>
    </w:p>
    <w:p>
      <w:pPr>
        <w:pStyle w:val="null3"/>
        <w:jc w:val="center"/>
        <w:outlineLvl w:val="2"/>
      </w:pPr>
      <w:r>
        <w:rPr>
          <w:sz w:val="28"/>
          <w:b/>
        </w:rPr>
        <w:t xml:space="preserve"> 第二部分 服务内容及范围</w:t>
      </w:r>
    </w:p>
    <w:p>
      <w:pPr>
        <w:pStyle w:val="null3"/>
      </w:pPr>
      <w:r>
        <w:br/>
      </w:r>
    </w:p>
    <w:p>
      <w:pPr>
        <w:pStyle w:val="null3"/>
        <w:jc w:val="center"/>
        <w:outlineLvl w:val="2"/>
      </w:pPr>
      <w:r>
        <w:rPr>
          <w:sz w:val="28"/>
          <w:b/>
        </w:rPr>
        <w:t xml:space="preserve"> 第三部分 服务方式及标准</w:t>
      </w:r>
    </w:p>
    <w:p>
      <w:pPr>
        <w:pStyle w:val="null3"/>
      </w:pPr>
      <w:r>
        <w:rPr/>
        <w:t>乙方保证为采购需求部门提供优质的数据库纠错维护服务、版本、访问统计及分析等服务，服务及产品的各项指标均能符合本合同规定的要求。服务期内，乙方保证提供甲方在需求文件中要求的全部服务。详见甲方的招标/谈判/询价/磋商文件及澄清文件。</w:t>
      </w:r>
    </w:p>
    <w:p>
      <w:pPr>
        <w:pStyle w:val="null3"/>
        <w:jc w:val="center"/>
        <w:outlineLvl w:val="2"/>
      </w:pPr>
      <w:r>
        <w:rPr>
          <w:sz w:val="28"/>
          <w:b/>
        </w:rPr>
        <w:t xml:space="preserve"> 第四部分 履行期限、服务地点</w:t>
      </w:r>
    </w:p>
    <w:p>
      <w:pPr>
        <w:pStyle w:val="null3"/>
      </w:pPr>
      <w:r>
        <w:rPr/>
        <w:t>4.1服务时间：</w:t>
      </w:r>
      <w:r>
        <w:rPr/>
        <w:t>自合同签订之日起一年。</w:t>
      </w:r>
    </w:p>
    <w:p>
      <w:pPr>
        <w:pStyle w:val="null3"/>
      </w:pPr>
      <w:r>
        <w:rPr/>
        <w:t>4.2服务地点：北京。</w:t>
      </w:r>
    </w:p>
    <w:p>
      <w:pPr>
        <w:pStyle w:val="null3"/>
        <w:jc w:val="center"/>
        <w:outlineLvl w:val="2"/>
      </w:pPr>
      <w:r>
        <w:rPr>
          <w:sz w:val="28"/>
          <w:b/>
        </w:rPr>
        <w:t xml:space="preserve"> 第五部分 合同总金额及其支付方式</w:t>
      </w:r>
    </w:p>
    <w:p>
      <w:pPr>
        <w:pStyle w:val="null3"/>
      </w:pPr>
      <w:r>
        <w:rPr/>
        <w:t>5.1根据本项目中标（成交）通知书，本合同的总金额为人民币</w:t>
      </w:r>
      <w:r>
        <w:rPr/>
        <w:t xml:space="preserve">    </w:t>
      </w:r>
      <w:r>
        <w:rPr/>
        <w:t>元整(大写：</w:t>
      </w:r>
      <w:r>
        <w:rPr/>
        <w:t xml:space="preserve">    </w:t>
      </w:r>
      <w:r>
        <w:rPr/>
        <w:t>）。合同总金额包括技术服务费以及与履行本合同义务有关的所有费用，合同总金额也是甲方和/或采购需求部门依据本合同应向乙方支付的全部价款。</w:t>
      </w:r>
    </w:p>
    <w:p>
      <w:pPr>
        <w:pStyle w:val="null3"/>
      </w:pPr>
      <w:r>
        <w:rPr/>
        <w:t>5.2除上述金额外，甲方或采购需求部门不再向乙方支付其他任何费用。</w:t>
      </w:r>
    </w:p>
    <w:p>
      <w:pPr>
        <w:pStyle w:val="null3"/>
      </w:pPr>
      <w:r>
        <w:rPr/>
        <w:t>5.3支付方式</w:t>
      </w:r>
    </w:p>
    <w:p>
      <w:pPr>
        <w:pStyle w:val="null3"/>
      </w:pPr>
      <w:r>
        <w:rPr/>
        <w:t>5.4乙方收到各阶段付款后，应于付款到达乙方指定账户十（10）日内，向甲方提供已收到付款证明材料。</w:t>
      </w:r>
    </w:p>
    <w:p>
      <w:pPr>
        <w:pStyle w:val="null3"/>
        <w:jc w:val="center"/>
        <w:outlineLvl w:val="2"/>
      </w:pPr>
      <w:r>
        <w:rPr>
          <w:sz w:val="28"/>
          <w:b/>
        </w:rPr>
        <w:t xml:space="preserve"> 第六部分 各方责任</w:t>
      </w:r>
    </w:p>
    <w:p>
      <w:pPr>
        <w:pStyle w:val="null3"/>
      </w:pPr>
      <w:r>
        <w:rPr/>
        <w:t>6.1 对于因非正版软件或硬件引发的故障，乙方只负责判断故障原因，并将故障情况反映给甲方及采购需求部门相关负责人。</w:t>
      </w:r>
    </w:p>
    <w:p>
      <w:pPr>
        <w:pStyle w:val="null3"/>
      </w:pPr>
      <w:r>
        <w:rPr/>
        <w:t>6.2 乙方所维护软件由采购需求部门提供，不承担因软件版权纠纷所引起的法律责任。</w:t>
      </w:r>
    </w:p>
    <w:p>
      <w:pPr>
        <w:pStyle w:val="null3"/>
      </w:pPr>
      <w:r>
        <w:rPr/>
        <w:t>6.3 合同资料的使用：</w:t>
      </w:r>
    </w:p>
    <w:p>
      <w:pPr>
        <w:pStyle w:val="null3"/>
      </w:pPr>
      <w:r>
        <w:rPr/>
        <w:t>6.3.1 乙方有义务严守甲方及采购需求部门的商业秘密、国家秘密、工作秘密及内部资料和信息，不以任何的形式将甲方及采购需求部门数据资料带出工作现场。</w:t>
      </w:r>
    </w:p>
    <w:p>
      <w:pPr>
        <w:pStyle w:val="null3"/>
      </w:pPr>
      <w:r>
        <w:rPr/>
        <w:t>6.3.2 由采购需求部门提供给乙方的所有资料始终为采购需求部门的财产，乙方应于合同义务履行完毕后将上述资料包括副本退还给采购需求部门，并办理正式移交手续。</w:t>
      </w:r>
    </w:p>
    <w:p>
      <w:pPr>
        <w:pStyle w:val="null3"/>
      </w:pPr>
      <w:r>
        <w:rPr/>
        <w:t>6.4乙方在维护过程中如果对甲方、采购需求部门及中国人民银行其他部门运行正常的硬件因误操作造成损坏，乙方应负责修复及更换，确保甲方、采购需求部门及中国人民银行其他部门的正常使用并赔偿甲方、采购需求部门及中国人民银行其他部门的损失。</w:t>
      </w:r>
    </w:p>
    <w:p>
      <w:pPr>
        <w:pStyle w:val="null3"/>
      </w:pPr>
      <w:r>
        <w:rPr/>
        <w:t>6.5违约责任</w:t>
      </w:r>
    </w:p>
    <w:p>
      <w:pPr>
        <w:pStyle w:val="null3"/>
      </w:pPr>
      <w:r>
        <w:rPr/>
        <w:t>6.5.1乙方未按合同要求向甲方（或采购需求部门）提供服务时，应向甲方另行支付违约金。其计算方法为：乙方未能完成甲方（或采购需求部门）要求的服务工作的，乙方每次出现该种情况，应均向甲方支付不低于合同总金额的2.5‰（千分之二点五）的违约金，具体违约金金额由甲方确定。乙方违反本合同约定</w:t>
      </w:r>
      <w:r>
        <w:rPr>
          <w:shd w:fill="F1C40F" w:val="clear"/>
        </w:rPr>
        <w:t>[ 3]（请采购需求部门确定）次（</w:t>
      </w:r>
      <w:r>
        <w:rPr/>
        <w:t>含）及以上的，甲方有权解除合同。乙方应在接到甲方书面通知二十（20）个工作日内退还采购需求部门已经支付的全部费用，并向甲方支付合同总金额5%（百分之五）的违约金，违约金不足以弥补甲方及采购需求部门损失的，乙方给予补足。</w:t>
      </w:r>
    </w:p>
    <w:p>
      <w:pPr>
        <w:pStyle w:val="null3"/>
      </w:pPr>
      <w:r>
        <w:rPr/>
        <w:t>6.5.2乙方工作人员在提供服务时或提供服务外给采购需求部门设施、材料或采购需求部门客户、物品造成损坏的，由乙方承担损坏物品的赔偿责任。</w:t>
      </w:r>
    </w:p>
    <w:p>
      <w:pPr>
        <w:pStyle w:val="null3"/>
      </w:pPr>
      <w:r>
        <w:rPr/>
        <w:t>6.5.3采购需求部门未按照合同规定期限支付服务费用的，经乙方书面催告后，无正当理由拒绝支付的，每逾期一日应按应付未付款金额的1‰(千分之一)向乙方支付违约金，但最高不超过合同总金额的5%（百分之五）。</w:t>
      </w:r>
    </w:p>
    <w:p>
      <w:pPr>
        <w:pStyle w:val="null3"/>
      </w:pPr>
      <w:r>
        <w:rPr/>
        <w:t>6.5.4甲乙双方承担违约责任并不影响双方继续履行合同未履行的部分。</w:t>
      </w:r>
    </w:p>
    <w:p>
      <w:pPr>
        <w:pStyle w:val="null3"/>
      </w:pPr>
      <w:r>
        <w:rPr/>
        <w:t>6.5.5采购需求部门对乙方的有效投诉超过三（3）次以上,从第四（4）次起算，乙方每次应按合同总金额的1‰（千分之一）向甲方支付违约金。有效投诉是指乙方未按照合同及附件规定的方式、时间提供技术服务和培训,采购需求部门向甲方书面提出并经甲方核实情况属实的投诉。</w:t>
      </w:r>
    </w:p>
    <w:p>
      <w:pPr>
        <w:pStyle w:val="null3"/>
      </w:pPr>
      <w:r>
        <w:rPr/>
        <w:t>6.5.6乙方未按约定擅自将本合同项下权利义务转包或分包给第三方的，甲方有权解除合同。乙方应在接到甲方书面通知二十（20）个工作日内退还采购需求部门已经支付的全部费用，并向甲方支付合同总金额5%（百分之五）的违约金，违约金不足以弥补甲方及采购需求部门损失的，乙方应给予补足。</w:t>
      </w:r>
    </w:p>
    <w:p>
      <w:pPr>
        <w:pStyle w:val="null3"/>
      </w:pPr>
      <w:r>
        <w:rPr/>
        <w:t>6.5.7乙方提供的服务侵犯第三方知识产权的，甲方有权解除合同。乙方应在接到甲方书面通知二十（20）个工作日内退还采购需求部门已经支付的全部费用，并向甲方支付合同总金额5%的违约金，违约金不足以弥补甲方及采购需求部门损失的，乙方应给予补足。除非法律规定或合同另行约定，履约过程中产生的知识产权归属于甲方。</w:t>
      </w:r>
    </w:p>
    <w:p>
      <w:pPr>
        <w:pStyle w:val="null3"/>
      </w:pPr>
      <w:r>
        <w:rPr/>
        <w:t>6.5.8乙方未按照合同约定擅自变换项目组成人员（详见乙方投标/响应文件）的，甲方有权解除合同。乙方应在接到甲方书面通知二十（20）个工作日内退还采购需求部门已经支付的全部费用，并向甲方支付合同总金额5%（百分之五）的违约金，违约金不足以弥补甲方及采购需求部门损失的，乙方应给予补足。</w:t>
      </w:r>
    </w:p>
    <w:p>
      <w:pPr>
        <w:pStyle w:val="null3"/>
      </w:pPr>
      <w:r>
        <w:rPr/>
        <w:t>6.6 任何一方在其违约情形出现之后的三（3）个月内未采取合理有效的补救措施，另一方有权解除合同并提出索赔，双方将根据《中华人民共和国民法典》《中华人民共和国政府采购法》等处理善后事宜。</w:t>
      </w:r>
    </w:p>
    <w:p>
      <w:pPr>
        <w:pStyle w:val="null3"/>
      </w:pPr>
      <w:r>
        <w:rPr/>
        <w:t>6.7 如果违约方在收到守约方正式书面通知的违约金额十（10）个日历日内没有书面答复，则守约方提出的违约金额将视为被违约方接受。</w:t>
      </w:r>
    </w:p>
    <w:p>
      <w:pPr>
        <w:pStyle w:val="null3"/>
      </w:pPr>
      <w:r>
        <w:rPr/>
        <w:t>6.8 乙方承诺及时向https://jzcg.pbc.gov.cn/电子化系统上传本合同相关的真实的履约资料。</w:t>
      </w:r>
    </w:p>
    <w:p>
      <w:pPr>
        <w:pStyle w:val="null3"/>
        <w:jc w:val="center"/>
        <w:outlineLvl w:val="2"/>
      </w:pPr>
      <w:r>
        <w:rPr>
          <w:sz w:val="28"/>
          <w:b/>
        </w:rPr>
        <w:t xml:space="preserve"> 第七部分 不可抗力</w:t>
      </w:r>
    </w:p>
    <w:p>
      <w:pPr>
        <w:pStyle w:val="null3"/>
      </w:pPr>
      <w:r>
        <w:rPr/>
        <w:t>不可抗力系指合同双方缔结合同时所不能预见、并且它的发生及其后果是不能克服和不能避免的，并导致合同不能履行或部分不能履行的客观情况（如战争、火灾、洪水、台风、地震等重大自然灾害）。受影响方应在不可抗力事件发生后尽快以书面形式通知另一方，并于事件影响停止或消除后十（10）个日历日内将有关部门出具的证明文件、详细情况报告以及不可抗力对合同影响程度的说明用特快专递或挂号信的形式寄给另一方，并积极采取措施防止损失扩大。如果不可抗力因素的影响将持续六十(60) 个日历日以上，甲乙双方应该通过友好协商，在合理的时间内，就本合同的进一步实施尽快达成一致。对因不可抗力造成的损失，双方互不承担违约责任。</w:t>
      </w:r>
    </w:p>
    <w:p>
      <w:pPr>
        <w:pStyle w:val="null3"/>
        <w:jc w:val="center"/>
        <w:outlineLvl w:val="2"/>
      </w:pPr>
      <w:r>
        <w:rPr>
          <w:sz w:val="28"/>
          <w:b/>
        </w:rPr>
        <w:t xml:space="preserve"> 第八部分 保密约定</w:t>
      </w:r>
    </w:p>
    <w:p>
      <w:pPr>
        <w:pStyle w:val="null3"/>
      </w:pPr>
      <w:r>
        <w:rPr/>
        <w:t>8.1 乙方应对在本合同履行过程中知悉的有关对方的国家秘密、工作秘密等承担保密义务。除经秘密所有方的同意或法律、法规另有规定，乙方不得向本合同以外的任何第三人提供、泄漏上述秘密，由此给秘密所有方造成损失的，乙方应承担相应责任。</w:t>
      </w:r>
    </w:p>
    <w:p>
      <w:pPr>
        <w:pStyle w:val="null3"/>
      </w:pPr>
      <w:r>
        <w:rPr/>
        <w:t>8.2 不论合同是否解除或终止，本部分条款持续有效。</w:t>
      </w:r>
    </w:p>
    <w:p>
      <w:pPr>
        <w:pStyle w:val="null3"/>
      </w:pPr>
      <w:r>
        <w:rPr/>
        <w:t>8.3 乙方应出具本公司参与本合同履行人员应尽有保密义务的保密协议并做出保密承诺，详见附件一。</w:t>
      </w:r>
    </w:p>
    <w:p>
      <w:pPr>
        <w:pStyle w:val="null3"/>
      </w:pPr>
      <w:r>
        <w:rPr/>
        <w:t>8.4 采购需求部门在合同履行过程中涉及到乙方使用中国人民银行内部资料、信息时，应向乙方明确其内部资料、信息的保密范围、保密期限。</w:t>
      </w:r>
    </w:p>
    <w:p>
      <w:pPr>
        <w:pStyle w:val="null3"/>
      </w:pPr>
      <w:r>
        <w:rPr/>
        <w:t>8.5 甲、乙双方和采购需求部门在提出相关争议，以及在争议协商处理、仲裁或诉讼、投诉中，均有权在必要的范围内不受限制地以口头或书面引述、以及以其它合理方式利用本合同的整体及/或任何部分条款内容。</w:t>
      </w:r>
    </w:p>
    <w:p>
      <w:pPr>
        <w:pStyle w:val="null3"/>
        <w:jc w:val="center"/>
        <w:outlineLvl w:val="2"/>
      </w:pPr>
      <w:r>
        <w:rPr>
          <w:sz w:val="28"/>
          <w:b/>
        </w:rPr>
        <w:t xml:space="preserve"> 第九部分 争议的解决</w:t>
      </w:r>
    </w:p>
    <w:p>
      <w:pPr>
        <w:pStyle w:val="null3"/>
      </w:pPr>
      <w:r>
        <w:rPr/>
        <w:t>9.1 在执行本合同中所发生的争议，或与本合同有关的一切争议，甲乙双方应通过协商解决。如通过协商方式仍不能解决争议，双方同意依法向甲方所在地的人民法院提起诉讼。</w:t>
      </w:r>
    </w:p>
    <w:p>
      <w:pPr>
        <w:pStyle w:val="null3"/>
      </w:pPr>
      <w:r>
        <w:rPr/>
        <w:t>9.2 在诉讼期间，除正在进行诉讼部分外，本合同其他部分应继续执行。</w:t>
      </w:r>
    </w:p>
    <w:p>
      <w:pPr>
        <w:pStyle w:val="null3"/>
        <w:jc w:val="center"/>
        <w:outlineLvl w:val="2"/>
      </w:pPr>
      <w:r>
        <w:rPr>
          <w:sz w:val="28"/>
          <w:b/>
        </w:rPr>
        <w:t xml:space="preserve"> 第十部分 合同的终止</w:t>
      </w:r>
    </w:p>
    <w:p>
      <w:pPr>
        <w:pStyle w:val="null3"/>
      </w:pPr>
      <w:r>
        <w:rPr/>
        <w:t>10.1 出现下列情况时本合同自行终止：</w:t>
      </w:r>
    </w:p>
    <w:p>
      <w:pPr>
        <w:pStyle w:val="null3"/>
      </w:pPr>
      <w:r>
        <w:rPr/>
        <w:t>10.1.1本合同正常履行完毕；</w:t>
      </w:r>
    </w:p>
    <w:p>
      <w:pPr>
        <w:pStyle w:val="null3"/>
      </w:pPr>
      <w:r>
        <w:rPr/>
        <w:t>10.1.2甲乙双方在不违反法律、法规规定的情况下协商一致终止本合同的履行；</w:t>
      </w:r>
    </w:p>
    <w:p>
      <w:pPr>
        <w:pStyle w:val="null3"/>
      </w:pPr>
      <w:r>
        <w:rPr/>
        <w:t>10.1.3不可抗力导致本合同无法履行或履行不必要时，合同自不可抗力发生之日起终止；</w:t>
      </w:r>
    </w:p>
    <w:p>
      <w:pPr>
        <w:pStyle w:val="null3"/>
      </w:pPr>
      <w:r>
        <w:rPr/>
        <w:t>10.1.4若出现如下情形,在甲方对乙方违约行为而采取的任何补救措施不受影响的情况下，甲方可向乙方发出书面通知书，提出终止部分或全部合同:</w:t>
      </w:r>
    </w:p>
    <w:p>
      <w:pPr>
        <w:pStyle w:val="null3"/>
      </w:pPr>
      <w:r>
        <w:rPr/>
        <w:t>A 经财政部裁决乙方在本合同的招标过程中有违反政府采购相关法律、法规和欺诈行为的；</w:t>
      </w:r>
    </w:p>
    <w:p>
      <w:pPr>
        <w:pStyle w:val="null3"/>
      </w:pPr>
      <w:r>
        <w:rPr/>
        <w:t>B 乙方在履约过程中发生重大事故对履约有直接影响，或甲方有证据证明乙方在履约过程中有违反政府采购相关法律、法规和欺诈行为的；</w:t>
      </w:r>
    </w:p>
    <w:p>
      <w:pPr>
        <w:pStyle w:val="null3"/>
      </w:pPr>
      <w:r>
        <w:rPr/>
        <w:t>C 一方不履行或不按约定履行合同主要义务或其他违约行为，致使合同目的无法实现，另一方有权终止合同，并有权要求违约方承担损失赔偿等违约责任。</w:t>
      </w:r>
    </w:p>
    <w:p>
      <w:pPr>
        <w:pStyle w:val="null3"/>
      </w:pPr>
      <w:r>
        <w:rPr/>
        <w:t>10.2 乙方违反本合同保密约定或附件一《保密协议》（《保密承诺》）的，甲方有权单方终止合同。乙方应在接到甲方书面通知二十（20）个工作日内退还甲方和采购需求部门已经支付的全部费用，并赔偿因此给甲方或采购需求部门造成的全部损失。乙方若因违反保密法律规定和合同条款，导致泄密事件，应立即查处并通知甲方和采购需求部门，所产生的法律责任和相应损失由乙方承担。</w:t>
      </w:r>
    </w:p>
    <w:p>
      <w:pPr>
        <w:pStyle w:val="null3"/>
      </w:pPr>
      <w:r>
        <w:rPr/>
        <w:t>10.3 合同的变更、解除或终止按国家法律法规及《中国人民银行总行政府集中采购合同管理办法（试行）》（详见https://jzcg.pbc.gov.cn/电子化系统）执行。</w:t>
      </w:r>
    </w:p>
    <w:p>
      <w:pPr>
        <w:pStyle w:val="null3"/>
      </w:pPr>
      <w:r>
        <w:rPr/>
        <w:t>10.4 合同的终止并不影响甲乙双方承担其他法律责任。</w:t>
      </w:r>
    </w:p>
    <w:p>
      <w:pPr>
        <w:pStyle w:val="null3"/>
      </w:pPr>
      <w:r>
        <w:rPr/>
        <w:t>10.5 如因一方违约行为导致合同解除，另一方可以要求违约方承担违约责任，包括但不限于主张赔偿损失、支付违约金等。违约责任本合同有约定的按约定，本合同未约定的按《民法典》相关规定执行。</w:t>
      </w:r>
    </w:p>
    <w:p>
      <w:pPr>
        <w:pStyle w:val="null3"/>
        <w:jc w:val="center"/>
        <w:outlineLvl w:val="2"/>
      </w:pPr>
      <w:r>
        <w:rPr>
          <w:sz w:val="28"/>
          <w:b/>
        </w:rPr>
        <w:t xml:space="preserve"> 第十一部分 法律适用</w:t>
      </w:r>
    </w:p>
    <w:p>
      <w:pPr>
        <w:pStyle w:val="null3"/>
      </w:pPr>
      <w:r>
        <w:rPr/>
        <w:t>本合同应适用中华人民共和国法律。</w:t>
      </w:r>
    </w:p>
    <w:p>
      <w:pPr>
        <w:pStyle w:val="null3"/>
        <w:jc w:val="center"/>
        <w:outlineLvl w:val="2"/>
      </w:pPr>
      <w:r>
        <w:rPr>
          <w:sz w:val="28"/>
          <w:b/>
        </w:rPr>
        <w:t xml:space="preserve"> 第十二部分 其他</w:t>
      </w:r>
    </w:p>
    <w:p>
      <w:pPr>
        <w:pStyle w:val="null3"/>
      </w:pPr>
      <w:r>
        <w:rPr/>
        <w:t>12.1 乙方不得部分转让或全部转让其应履行的合同义务。</w:t>
      </w:r>
    </w:p>
    <w:p>
      <w:pPr>
        <w:pStyle w:val="null3"/>
      </w:pPr>
      <w:r>
        <w:rPr/>
        <w:t>12.2 甲、乙双方当事人所发出的邮件，需依据本合同约定的邮寄地址发出，以邮件签收之日视为送达之日；邮件交邮后另一方拒收的，以邮件交邮后的第7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一方如变更地址或联系方式，应当书面通知对方。</w:t>
      </w:r>
    </w:p>
    <w:p>
      <w:pPr>
        <w:pStyle w:val="null3"/>
      </w:pPr>
      <w:r>
        <w:rPr/>
        <w:t>12.3 合同如有未尽事宜，须经甲乙双方共同协商，做出书面补充规定，与本合同具有同等法律效力。</w:t>
      </w:r>
    </w:p>
    <w:p>
      <w:pPr>
        <w:pStyle w:val="null3"/>
      </w:pPr>
      <w:r>
        <w:rPr/>
        <w:t>12.4 本合同及其附件一式六份，甲方持二份，乙方持二份，中国人民银行采购管理部门持一份，采购需求部门持一份，经甲乙双方法定代表人或其授权代表签字并盖章（合同专用章或公章）时开始生效。</w:t>
      </w:r>
    </w:p>
    <w:p>
      <w:pPr>
        <w:pStyle w:val="null3"/>
        <w:jc w:val="center"/>
        <w:outlineLvl w:val="2"/>
      </w:pPr>
      <w:r>
        <w:rPr>
          <w:sz w:val="28"/>
          <w:b/>
        </w:rPr>
        <w:t xml:space="preserve"> 第十三部分 附件</w:t>
      </w:r>
    </w:p>
    <w:p>
      <w:pPr>
        <w:pStyle w:val="null3"/>
      </w:pPr>
      <w:r>
        <w:rPr/>
        <w:t>合同附件与合同正文具有同等法律效力。</w:t>
      </w:r>
    </w:p>
    <w:p>
      <w:pPr>
        <w:pStyle w:val="null3"/>
      </w:pPr>
      <w:r>
        <w:rPr/>
        <w:t>合同附件目录如下：</w:t>
      </w:r>
    </w:p>
    <w:p>
      <w:pPr>
        <w:pStyle w:val="null3"/>
      </w:pPr>
      <w:r>
        <w:rPr/>
        <w:t>（如合同为线下签章）</w:t>
      </w:r>
    </w:p>
    <w:p>
      <w:pPr>
        <w:pStyle w:val="null3"/>
      </w:pPr>
      <w:r>
        <w:rPr/>
        <w:t>附件一、保密协议/保密承诺</w:t>
      </w:r>
    </w:p>
    <w:p>
      <w:pPr>
        <w:pStyle w:val="null3"/>
      </w:pPr>
      <w:r>
        <w:rPr/>
        <w:t>附件二、合同清单及价格</w:t>
      </w:r>
    </w:p>
    <w:p>
      <w:pPr>
        <w:pStyle w:val="null3"/>
      </w:pPr>
      <w:r>
        <w:rPr/>
        <w:t>附件三、甲方的业务需求及技术规范</w:t>
      </w:r>
    </w:p>
    <w:p>
      <w:pPr>
        <w:pStyle w:val="null3"/>
      </w:pPr>
      <w:r>
        <w:rPr/>
        <w:t>附件四、乙方维护服务及质量保证承诺</w:t>
      </w:r>
    </w:p>
    <w:p>
      <w:pPr>
        <w:pStyle w:val="null3"/>
      </w:pPr>
      <w:r>
        <w:rPr/>
        <w:t>附件五、甲方履约验收方案</w:t>
      </w:r>
    </w:p>
    <w:p>
      <w:pPr>
        <w:pStyle w:val="null3"/>
      </w:pPr>
      <w:r>
        <w:rPr/>
        <w:t>附件六、针对合同履行风险的处置措施和替代方案（如有）</w:t>
      </w:r>
    </w:p>
    <w:p>
      <w:pPr>
        <w:pStyle w:val="null3"/>
      </w:pPr>
      <w:r>
        <w:br/>
      </w:r>
      <w:r>
        <w:rPr/>
        <w:t xml:space="preserve"> （如合同为线上签章）</w:t>
      </w:r>
    </w:p>
    <w:p>
      <w:pPr>
        <w:pStyle w:val="null3"/>
      </w:pPr>
      <w:r>
        <w:rPr/>
        <w:t>附件一、保密协议/保密承诺</w:t>
      </w:r>
    </w:p>
    <w:p>
      <w:pPr>
        <w:pStyle w:val="null3"/>
      </w:pPr>
      <w:r>
        <w:rPr/>
        <w:t>附件二、针对合同履行风险的处置措施和替代方案</w:t>
      </w:r>
    </w:p>
    <w:p>
      <w:pPr>
        <w:pStyle w:val="null3"/>
      </w:pPr>
      <w:r>
        <w:rPr/>
        <w:t>附件三、招标/谈判/询价/磋商文件及澄清文件</w:t>
      </w:r>
    </w:p>
    <w:p>
      <w:pPr>
        <w:pStyle w:val="null3"/>
      </w:pPr>
      <w:r>
        <w:rPr/>
        <w:t>附件四、投标/响应文件及质疑解答文件</w:t>
      </w:r>
    </w:p>
    <w:p>
      <w:pPr>
        <w:pStyle w:val="null3"/>
      </w:pPr>
      <w:r>
        <w:rPr/>
        <w:t>附件五、评审报告</w:t>
      </w:r>
    </w:p>
    <w:p>
      <w:pPr>
        <w:pStyle w:val="null3"/>
      </w:pPr>
      <w:r>
        <w:rPr/>
        <w:t xml:space="preserve"> </w:t>
      </w:r>
    </w:p>
    <w:p>
      <w:pPr>
        <w:pStyle w:val="null3"/>
        <w:jc w:val="both"/>
      </w:pPr>
      <w:r>
        <w:rPr>
          <w:rFonts w:ascii="宋体" w:hAnsi="宋体" w:cs="宋体" w:eastAsia="宋体"/>
          <w:sz w:val="30"/>
          <w:b/>
        </w:rPr>
        <w:t>附件一</w:t>
      </w:r>
    </w:p>
    <w:p>
      <w:pPr>
        <w:pStyle w:val="null3"/>
        <w:jc w:val="center"/>
      </w:pPr>
      <w:r>
        <w:rPr>
          <w:rFonts w:ascii="宋体" w:hAnsi="宋体" w:cs="宋体" w:eastAsia="宋体"/>
          <w:sz w:val="30"/>
          <w:b/>
        </w:rPr>
        <w:t>保密协议</w:t>
      </w:r>
    </w:p>
    <w:p>
      <w:pPr>
        <w:pStyle w:val="null3"/>
        <w:ind w:firstLine="480"/>
        <w:jc w:val="both"/>
      </w:pP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（从事本项目人员</w:t>
      </w:r>
      <w:r>
        <w:rPr>
          <w:rFonts w:ascii="宋体" w:hAnsi="宋体" w:cs="宋体" w:eastAsia="宋体"/>
          <w:sz w:val="24"/>
          <w:u w:val="single"/>
        </w:rPr>
        <w:t>）</w:t>
      </w:r>
      <w:r>
        <w:rPr>
          <w:rFonts w:ascii="宋体" w:hAnsi="宋体" w:cs="宋体" w:eastAsia="宋体"/>
          <w:sz w:val="24"/>
        </w:rPr>
        <w:t>等作为</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公司</w:t>
      </w:r>
      <w:r>
        <w:rPr>
          <w:rFonts w:ascii="宋体" w:hAnsi="宋体" w:cs="宋体" w:eastAsia="宋体"/>
          <w:sz w:val="24"/>
        </w:rPr>
        <w:t>的工作人员，按照中国人民银行集中采购中心与</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公司</w:t>
      </w:r>
      <w:r>
        <w:rPr>
          <w:rFonts w:ascii="宋体" w:hAnsi="宋体" w:cs="宋体" w:eastAsia="宋体"/>
          <w:sz w:val="24"/>
        </w:rPr>
        <w:t>签订的合同规定，提供</w:t>
      </w:r>
      <w:r>
        <w:rPr>
          <w:rFonts w:ascii="&quot;times new roman&quot;, times, serif" w:hAnsi="&quot;times new roman&quot;, times, serif" w:cs="&quot;times new roman&quot;, times, serif" w:eastAsia="&quot;times new roman&quot;, times, serif"/>
          <w:sz w:val="24"/>
        </w:rPr>
        <w:t>“</w:t>
      </w:r>
      <w:r>
        <w:rPr>
          <w:rFonts w:ascii="宋体" w:hAnsi="宋体" w:cs="宋体" w:eastAsia="宋体"/>
          <w:sz w:val="24"/>
        </w:rPr>
        <w:t>中国人民银行</w:t>
      </w:r>
      <w:r>
        <w:rPr>
          <w:rFonts w:ascii="times new roman, times, serif" w:hAnsi="times new roman, times, serif" w:cs="times new roman, times, serif" w:eastAsia="times new roman, times, serif"/>
          <w:sz w:val="24"/>
          <w:u w:val="single"/>
        </w:rPr>
        <w:t xml:space="preserve">                 </w:t>
      </w:r>
      <w:r>
        <w:rPr>
          <w:rFonts w:ascii="宋体" w:hAnsi="宋体" w:cs="宋体" w:eastAsia="宋体"/>
          <w:sz w:val="24"/>
        </w:rPr>
        <w:t>采购项目</w:t>
      </w:r>
      <w:r>
        <w:rPr>
          <w:rFonts w:ascii="&quot;times new roman&quot;, times, serif" w:hAnsi="&quot;times new roman&quot;, times, serif" w:cs="&quot;times new roman&quot;, times, serif" w:eastAsia="&quot;times new roman&quot;, times, serif"/>
          <w:sz w:val="24"/>
        </w:rPr>
        <w:t>”</w:t>
      </w:r>
      <w:r>
        <w:rPr>
          <w:rFonts w:ascii="宋体" w:hAnsi="宋体" w:cs="宋体" w:eastAsia="宋体"/>
          <w:sz w:val="24"/>
        </w:rPr>
        <w:t>的技术咨询服务、编写并提交咨询文档、参与采购需求部门主管部门组织的验收工作。</w:t>
      </w:r>
    </w:p>
    <w:p>
      <w:pPr>
        <w:pStyle w:val="null3"/>
        <w:ind w:firstLine="480"/>
        <w:jc w:val="both"/>
      </w:pP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公司</w:t>
      </w:r>
      <w:r>
        <w:rPr>
          <w:rFonts w:ascii="宋体" w:hAnsi="宋体" w:cs="宋体" w:eastAsia="宋体"/>
          <w:sz w:val="24"/>
        </w:rPr>
        <w:t>承诺与</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（从事本项目人员</w:t>
      </w:r>
      <w:r>
        <w:rPr>
          <w:rFonts w:ascii="宋体" w:hAnsi="宋体" w:cs="宋体" w:eastAsia="宋体"/>
          <w:sz w:val="24"/>
          <w:u w:val="single"/>
        </w:rPr>
        <w:t>）</w:t>
      </w:r>
      <w:r>
        <w:rPr>
          <w:rFonts w:ascii="宋体" w:hAnsi="宋体" w:cs="宋体" w:eastAsia="宋体"/>
          <w:sz w:val="24"/>
          <w:b/>
        </w:rPr>
        <w:t>签订保密协议，明确保密管理要求</w:t>
      </w:r>
      <w:r>
        <w:rPr>
          <w:rFonts w:ascii="宋体" w:hAnsi="宋体" w:cs="宋体" w:eastAsia="宋体"/>
          <w:sz w:val="24"/>
        </w:rPr>
        <w:t>，保证</w:t>
      </w:r>
      <w:r>
        <w:rPr>
          <w:rFonts w:ascii="&quot;times new roman&quot;" w:hAnsi="&quot;times new roman&quot;" w:cs="&quot;times new roman&quot;" w:eastAsia="&quot;times new roman&quot;"/>
          <w:sz w:val="24"/>
          <w:u w:val="single"/>
        </w:rPr>
        <w:t xml:space="preserve">      </w:t>
      </w:r>
      <w:r>
        <w:rPr>
          <w:rFonts w:ascii="宋体" w:hAnsi="宋体" w:cs="宋体" w:eastAsia="宋体"/>
          <w:sz w:val="24"/>
          <w:u w:val="single"/>
        </w:rPr>
        <w:t>（从事本项目人员</w:t>
      </w:r>
      <w:r>
        <w:rPr>
          <w:rFonts w:ascii="宋体" w:hAnsi="宋体" w:cs="宋体" w:eastAsia="宋体"/>
          <w:sz w:val="24"/>
          <w:u w:val="single"/>
        </w:rPr>
        <w:t>）</w:t>
      </w:r>
      <w:r>
        <w:rPr>
          <w:rFonts w:ascii="宋体" w:hAnsi="宋体" w:cs="宋体" w:eastAsia="宋体"/>
          <w:sz w:val="24"/>
        </w:rPr>
        <w:t>从事上述工作时和工作完成后，遵守有关保密规定，对获得的内部资料、信息不泄露、不传播，若要向与项目有关人员提供，需事先获得甲方和采购需求部门同意，同时应注意保密并限于履行合同的范围，并自愿承担因本人原因导致的人民银行内部资料、信息外泄引起的法律责任。</w:t>
      </w:r>
    </w:p>
    <w:p>
      <w:pPr>
        <w:pStyle w:val="null3"/>
        <w:ind w:firstLine="482"/>
        <w:jc w:val="both"/>
      </w:pPr>
      <w:r>
        <w:rPr>
          <w:rFonts w:ascii="宋体" w:hAnsi="宋体" w:cs="宋体" w:eastAsia="宋体"/>
          <w:sz w:val="24"/>
          <w:b/>
        </w:rPr>
        <w:t>从事本项目人员身份证复印件交甲方存档。</w:t>
      </w:r>
    </w:p>
    <w:p>
      <w:pPr>
        <w:pStyle w:val="null3"/>
        <w:ind w:firstLine="720"/>
        <w:jc w:val="both"/>
      </w:pPr>
      <w:r>
        <w:rPr>
          <w:rFonts w:ascii="calibri" w:hAnsi="calibri" w:cs="calibri" w:eastAsia="calibri"/>
          <w:sz w:val="21"/>
          <w:u w:val="single"/>
        </w:rPr>
        <w:t xml:space="preserve">         </w:t>
      </w:r>
      <w:r>
        <w:rPr>
          <w:rFonts w:ascii="宋体" w:hAnsi="宋体" w:cs="宋体" w:eastAsia="宋体"/>
          <w:sz w:val="24"/>
        </w:rPr>
        <w:t>公司</w:t>
      </w:r>
    </w:p>
    <w:p>
      <w:pPr>
        <w:pStyle w:val="null3"/>
        <w:ind w:firstLine="5460"/>
        <w:jc w:val="both"/>
      </w:pPr>
      <w:r>
        <w:rPr>
          <w:rFonts w:ascii="宋体" w:hAnsi="宋体" w:cs="宋体" w:eastAsia="宋体"/>
          <w:sz w:val="24"/>
        </w:rPr>
        <w:t>单位盖章：</w:t>
      </w:r>
    </w:p>
    <w:p>
      <w:pPr>
        <w:pStyle w:val="null3"/>
        <w:ind w:firstLine="5460"/>
        <w:jc w:val="both"/>
      </w:pPr>
      <w:r>
        <w:rPr>
          <w:rFonts w:ascii="宋体" w:hAnsi="宋体" w:cs="宋体" w:eastAsia="宋体"/>
          <w:sz w:val="24"/>
        </w:rPr>
        <w:t>代表签字：</w:t>
      </w:r>
    </w:p>
    <w:p>
      <w:pPr>
        <w:pStyle w:val="null3"/>
        <w:ind w:firstLine="5460"/>
        <w:jc w:val="both"/>
      </w:pPr>
      <w:r>
        <w:rPr>
          <w:rFonts w:ascii="宋体" w:hAnsi="宋体" w:cs="宋体" w:eastAsia="宋体"/>
          <w:sz w:val="24"/>
        </w:rPr>
        <w:t>日期：</w:t>
      </w:r>
      <w:r>
        <w:br/>
      </w:r>
    </w:p>
    <w:p>
      <w:pPr>
        <w:pStyle w:val="null3"/>
      </w:pPr>
      <w:r>
        <w:rPr>
          <w:b/>
        </w:rPr>
        <w:t>甲方：（盖章）</w:t>
      </w:r>
    </w:p>
    <w:p>
      <w:pPr>
        <w:pStyle w:val="null3"/>
      </w:pPr>
      <w:r>
        <w:rPr/>
        <w:t>法定代表人或</w:t>
      </w:r>
    </w:p>
    <w:p>
      <w:pPr>
        <w:pStyle w:val="null3"/>
      </w:pPr>
      <w:r>
        <w:rPr/>
        <w:t>其授权代表签字：</w:t>
      </w:r>
    </w:p>
    <w:p>
      <w:pPr>
        <w:pStyle w:val="null3"/>
      </w:pPr>
      <w:r>
        <w:rPr/>
        <w:t>日期：</w:t>
      </w:r>
    </w:p>
    <w:p>
      <w:pPr>
        <w:pStyle w:val="null3"/>
      </w:pPr>
      <w:r>
        <w:rPr>
          <w:b/>
        </w:rPr>
        <w:t>乙方： （盖章）</w:t>
      </w:r>
    </w:p>
    <w:p>
      <w:pPr>
        <w:pStyle w:val="null3"/>
      </w:pPr>
      <w:r>
        <w:rPr/>
        <w:t>法定代表人或</w:t>
      </w:r>
    </w:p>
    <w:p>
      <w:pPr>
        <w:pStyle w:val="null3"/>
      </w:pPr>
      <w:r>
        <w:rPr/>
        <w:t>其授权代表签字：</w:t>
      </w:r>
    </w:p>
    <w:p>
      <w:pPr>
        <w:pStyle w:val="null3"/>
      </w:pPr>
      <w:r>
        <w:rPr/>
        <w:t>日期：</w:t>
      </w:r>
    </w:p>
    <w:p>
      <w:pPr>
        <w:pStyle w:val="null3"/>
      </w:pPr>
      <w:r>
        <w:rPr/>
        <w:t xml:space="preserve"> </w:t>
      </w:r>
    </w:p>
    <w:p>
      <w:pPr>
        <w:pStyle w:val="null3"/>
        <w:jc w:val="center"/>
        <w:outlineLvl w:val="1"/>
      </w:pPr>
      <w:r>
        <w:rPr>
          <w:sz w:val="36"/>
          <w:b/>
        </w:rPr>
        <w:t>第七章 附 则</w:t>
      </w:r>
    </w:p>
    <w:p>
      <w:pPr>
        <w:pStyle w:val="null3"/>
        <w:jc w:val="left"/>
        <w:outlineLvl w:val="2"/>
      </w:pPr>
      <w:r>
        <w:rPr>
          <w:sz w:val="28"/>
          <w:b/>
        </w:rPr>
        <w:t>7.1 解释权</w:t>
      </w:r>
    </w:p>
    <w:p>
      <w:pPr>
        <w:pStyle w:val="null3"/>
        <w:ind w:firstLine="480"/>
        <w:jc w:val="both"/>
      </w:pPr>
      <w:r>
        <w:rPr/>
        <w:t>本采购文件的解释权属于采购代理机构。</w:t>
      </w:r>
    </w:p>
    <w:p>
      <w:pPr>
        <w:pStyle w:val="null3"/>
        <w:jc w:val="left"/>
        <w:outlineLvl w:val="2"/>
      </w:pPr>
      <w:r>
        <w:rPr>
          <w:sz w:val="28"/>
          <w:b/>
        </w:rPr>
        <w:t>7.2 未尽事宜</w:t>
      </w:r>
    </w:p>
    <w:p>
      <w:pPr>
        <w:pStyle w:val="null3"/>
        <w:ind w:firstLine="480"/>
      </w:pPr>
      <w:r>
        <w:rPr/>
        <w:t xml:space="preserve"> 本采购文件未尽事宜按照《中华人民共和国政府采购法》及其它有关法律法规的规定执行。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