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ind w:left="7" w:firstLine="442"/>
        <w:jc w:val="center"/>
        <w:outlineLvl w:val="0"/>
        <w:rPr>
          <w:rFonts w:ascii="宋体" w:hAnsi="宋体"/>
          <w:b/>
          <w:bCs/>
          <w:sz w:val="44"/>
          <w:szCs w:val="44"/>
        </w:rPr>
      </w:pPr>
    </w:p>
    <w:p>
      <w:pPr>
        <w:autoSpaceDE w:val="0"/>
        <w:autoSpaceDN w:val="0"/>
        <w:ind w:left="7" w:firstLine="442"/>
        <w:jc w:val="center"/>
        <w:outlineLvl w:val="0"/>
        <w:rPr>
          <w:rFonts w:ascii="宋体" w:hAnsi="宋体"/>
          <w:b/>
          <w:bCs/>
          <w:sz w:val="44"/>
          <w:szCs w:val="44"/>
        </w:rPr>
      </w:pPr>
    </w:p>
    <w:p>
      <w:pPr>
        <w:autoSpaceDE w:val="0"/>
        <w:autoSpaceDN w:val="0"/>
        <w:ind w:left="7" w:firstLine="442"/>
        <w:jc w:val="center"/>
        <w:outlineLvl w:val="0"/>
        <w:rPr>
          <w:rFonts w:ascii="宋体" w:hAnsi="宋体"/>
          <w:b/>
          <w:bCs/>
          <w:sz w:val="44"/>
          <w:szCs w:val="44"/>
        </w:rPr>
      </w:pPr>
    </w:p>
    <w:p>
      <w:pPr>
        <w:autoSpaceDE w:val="0"/>
        <w:autoSpaceDN w:val="0"/>
        <w:ind w:left="7" w:firstLine="442"/>
        <w:jc w:val="center"/>
        <w:outlineLvl w:val="0"/>
        <w:rPr>
          <w:rFonts w:ascii="宋体" w:hAnsi="宋体"/>
          <w:b/>
          <w:bCs/>
          <w:sz w:val="44"/>
          <w:szCs w:val="44"/>
        </w:rPr>
      </w:pPr>
    </w:p>
    <w:p>
      <w:pPr>
        <w:autoSpaceDE w:val="0"/>
        <w:autoSpaceDN w:val="0"/>
        <w:ind w:left="7" w:firstLine="442"/>
        <w:jc w:val="center"/>
        <w:outlineLvl w:val="0"/>
        <w:rPr>
          <w:rFonts w:ascii="宋体" w:hAnsi="宋体"/>
          <w:b/>
          <w:bCs/>
          <w:sz w:val="44"/>
          <w:szCs w:val="44"/>
        </w:rPr>
      </w:pPr>
    </w:p>
    <w:p>
      <w:pPr>
        <w:autoSpaceDE w:val="0"/>
        <w:autoSpaceDN w:val="0"/>
        <w:ind w:left="7" w:firstLine="442"/>
        <w:jc w:val="center"/>
        <w:outlineLvl w:val="0"/>
        <w:rPr>
          <w:rFonts w:ascii="宋体" w:hAnsi="宋体"/>
          <w:b/>
          <w:bCs/>
          <w:sz w:val="44"/>
          <w:szCs w:val="44"/>
        </w:rPr>
      </w:pPr>
    </w:p>
    <w:p>
      <w:pPr>
        <w:autoSpaceDE w:val="0"/>
        <w:autoSpaceDN w:val="0"/>
        <w:jc w:val="center"/>
        <w:outlineLvl w:val="0"/>
        <w:rPr>
          <w:rFonts w:ascii="宋体" w:hAnsi="宋体"/>
          <w:b/>
          <w:bCs/>
          <w:sz w:val="44"/>
          <w:szCs w:val="44"/>
        </w:rPr>
      </w:pPr>
      <w:r>
        <w:rPr>
          <w:rFonts w:hint="eastAsia" w:ascii="宋体" w:hAnsi="宋体"/>
          <w:b/>
          <w:bCs/>
          <w:sz w:val="44"/>
          <w:szCs w:val="44"/>
        </w:rPr>
        <w:t>中国人民银行征信中心2</w:t>
      </w:r>
      <w:r>
        <w:rPr>
          <w:rFonts w:ascii="宋体" w:hAnsi="宋体"/>
          <w:b/>
          <w:bCs/>
          <w:sz w:val="44"/>
          <w:szCs w:val="44"/>
        </w:rPr>
        <w:t>02</w:t>
      </w:r>
      <w:r>
        <w:rPr>
          <w:rFonts w:hint="eastAsia" w:ascii="宋体" w:hAnsi="宋体"/>
          <w:b/>
          <w:bCs/>
          <w:sz w:val="44"/>
          <w:szCs w:val="44"/>
        </w:rPr>
        <w:t>4年上海地区物业配套服务项目</w:t>
      </w:r>
      <w:r>
        <w:rPr>
          <w:rFonts w:ascii="宋体" w:hAnsi="宋体"/>
          <w:b/>
          <w:bCs/>
          <w:sz w:val="44"/>
          <w:szCs w:val="44"/>
        </w:rPr>
        <w:t>合同</w:t>
      </w:r>
    </w:p>
    <w:p>
      <w:pPr>
        <w:autoSpaceDE w:val="0"/>
        <w:autoSpaceDN w:val="0"/>
        <w:ind w:left="-5" w:firstLine="321"/>
        <w:jc w:val="center"/>
        <w:rPr>
          <w:rFonts w:ascii="宋体" w:cs="宋体"/>
          <w:b/>
          <w:szCs w:val="21"/>
        </w:rPr>
      </w:pPr>
    </w:p>
    <w:p>
      <w:pPr>
        <w:autoSpaceDE w:val="0"/>
        <w:autoSpaceDN w:val="0"/>
        <w:ind w:left="-5" w:firstLine="321"/>
        <w:jc w:val="center"/>
        <w:rPr>
          <w:rFonts w:ascii="宋体" w:cs="宋体"/>
          <w:b/>
          <w:szCs w:val="21"/>
        </w:rPr>
      </w:pPr>
    </w:p>
    <w:p>
      <w:pPr>
        <w:autoSpaceDE w:val="0"/>
        <w:autoSpaceDN w:val="0"/>
        <w:ind w:left="-5" w:firstLine="321"/>
        <w:jc w:val="center"/>
        <w:rPr>
          <w:rFonts w:ascii="宋体" w:cs="宋体"/>
          <w:b/>
          <w:szCs w:val="21"/>
        </w:rPr>
      </w:pPr>
    </w:p>
    <w:p>
      <w:pPr>
        <w:autoSpaceDE w:val="0"/>
        <w:autoSpaceDN w:val="0"/>
        <w:ind w:firstLine="321"/>
        <w:jc w:val="center"/>
        <w:rPr>
          <w:rFonts w:ascii="宋体" w:cs="宋体"/>
          <w:b/>
          <w:sz w:val="32"/>
          <w:szCs w:val="21"/>
          <w:lang w:val="zh-CN"/>
        </w:rPr>
      </w:pPr>
      <w:r>
        <w:rPr>
          <w:rFonts w:hint="eastAsia" w:ascii="宋体" w:cs="宋体"/>
          <w:b/>
          <w:sz w:val="32"/>
          <w:szCs w:val="21"/>
          <w:lang w:val="zh-CN"/>
        </w:rPr>
        <w:t>合同编号：ZXZX-2024-</w:t>
      </w:r>
    </w:p>
    <w:p>
      <w:pPr>
        <w:autoSpaceDE w:val="0"/>
        <w:autoSpaceDN w:val="0"/>
        <w:ind w:left="-5" w:firstLine="241"/>
        <w:rPr>
          <w:rFonts w:ascii="宋体" w:cs="宋体"/>
          <w:b/>
          <w:bCs/>
          <w:lang w:val="zh-CN"/>
        </w:rPr>
      </w:pPr>
    </w:p>
    <w:p>
      <w:pPr>
        <w:autoSpaceDE w:val="0"/>
        <w:autoSpaceDN w:val="0"/>
        <w:ind w:left="-5" w:firstLine="241"/>
        <w:rPr>
          <w:rFonts w:ascii="宋体" w:cs="宋体"/>
          <w:b/>
          <w:bCs/>
          <w:lang w:val="zh-CN"/>
        </w:rPr>
      </w:pPr>
    </w:p>
    <w:p>
      <w:pPr>
        <w:autoSpaceDE w:val="0"/>
        <w:autoSpaceDN w:val="0"/>
        <w:ind w:left="-5" w:firstLine="241"/>
        <w:rPr>
          <w:rFonts w:ascii="宋体" w:cs="宋体"/>
          <w:b/>
          <w:bCs/>
          <w:lang w:val="zh-CN"/>
        </w:rPr>
      </w:pPr>
    </w:p>
    <w:p>
      <w:pPr>
        <w:autoSpaceDE w:val="0"/>
        <w:autoSpaceDN w:val="0"/>
        <w:rPr>
          <w:rFonts w:ascii="宋体" w:cs="宋体"/>
          <w:b/>
          <w:bCs/>
          <w:lang w:val="zh-CN"/>
        </w:rPr>
      </w:pPr>
    </w:p>
    <w:p>
      <w:pPr>
        <w:autoSpaceDE w:val="0"/>
        <w:autoSpaceDN w:val="0"/>
        <w:ind w:left="-5" w:firstLine="241"/>
        <w:rPr>
          <w:rFonts w:ascii="宋体" w:cs="宋体"/>
          <w:b/>
          <w:bCs/>
          <w:lang w:val="zh-CN"/>
        </w:rPr>
      </w:pPr>
    </w:p>
    <w:p>
      <w:pPr>
        <w:autoSpaceDE w:val="0"/>
        <w:autoSpaceDN w:val="0"/>
        <w:ind w:left="-5" w:firstLine="241"/>
        <w:rPr>
          <w:rFonts w:ascii="宋体" w:cs="宋体"/>
          <w:b/>
          <w:bCs/>
          <w:lang w:val="zh-CN"/>
        </w:rPr>
      </w:pPr>
    </w:p>
    <w:p>
      <w:pPr>
        <w:autoSpaceDE w:val="0"/>
        <w:autoSpaceDN w:val="0"/>
        <w:ind w:left="-5" w:firstLine="241"/>
        <w:rPr>
          <w:rFonts w:ascii="宋体" w:cs="宋体"/>
          <w:b/>
          <w:bCs/>
          <w:lang w:val="zh-CN"/>
        </w:rPr>
      </w:pPr>
    </w:p>
    <w:p>
      <w:pPr>
        <w:autoSpaceDE w:val="0"/>
        <w:autoSpaceDN w:val="0"/>
        <w:ind w:left="487" w:leftChars="203" w:firstLine="2891" w:firstLineChars="1200"/>
        <w:rPr>
          <w:rFonts w:ascii="宋体" w:cs="宋体"/>
          <w:b/>
          <w:bCs/>
          <w:lang w:val="zh-CN"/>
        </w:rPr>
      </w:pPr>
    </w:p>
    <w:p>
      <w:pPr>
        <w:autoSpaceDE w:val="0"/>
        <w:autoSpaceDN w:val="0"/>
        <w:ind w:left="487" w:leftChars="203" w:firstLine="2891" w:firstLineChars="1200"/>
        <w:rPr>
          <w:rFonts w:ascii="宋体" w:cs="宋体"/>
          <w:b/>
          <w:bCs/>
          <w:lang w:val="zh-CN"/>
        </w:rPr>
      </w:pPr>
    </w:p>
    <w:p>
      <w:pPr>
        <w:autoSpaceDE w:val="0"/>
        <w:autoSpaceDN w:val="0"/>
        <w:ind w:left="487" w:leftChars="203" w:firstLine="2891" w:firstLineChars="1200"/>
        <w:rPr>
          <w:rFonts w:ascii="宋体" w:cs="宋体"/>
          <w:b/>
          <w:bCs/>
          <w:lang w:val="zh-CN"/>
        </w:rPr>
      </w:pPr>
    </w:p>
    <w:p>
      <w:pPr>
        <w:autoSpaceDE w:val="0"/>
        <w:autoSpaceDN w:val="0"/>
        <w:ind w:left="487" w:leftChars="203" w:firstLine="2891" w:firstLineChars="1200"/>
        <w:rPr>
          <w:rFonts w:ascii="宋体" w:cs="宋体"/>
          <w:b/>
          <w:bCs/>
          <w:lang w:val="zh-CN"/>
        </w:rPr>
      </w:pPr>
    </w:p>
    <w:p>
      <w:pPr>
        <w:autoSpaceDE w:val="0"/>
        <w:autoSpaceDN w:val="0"/>
        <w:ind w:left="487" w:leftChars="203" w:firstLine="2891" w:firstLineChars="1200"/>
        <w:rPr>
          <w:rFonts w:ascii="宋体" w:cs="宋体"/>
          <w:b/>
          <w:bCs/>
          <w:lang w:val="zh-CN"/>
        </w:rPr>
      </w:pPr>
    </w:p>
    <w:p>
      <w:pPr>
        <w:autoSpaceDE w:val="0"/>
        <w:autoSpaceDN w:val="0"/>
        <w:ind w:left="487" w:leftChars="203" w:firstLine="2891" w:firstLineChars="1200"/>
        <w:rPr>
          <w:rFonts w:ascii="宋体" w:cs="宋体"/>
          <w:b/>
          <w:bCs/>
          <w:lang w:val="zh-CN"/>
        </w:rPr>
      </w:pPr>
      <w:r>
        <w:rPr>
          <w:rFonts w:hint="eastAsia" w:ascii="宋体" w:cs="宋体"/>
          <w:b/>
          <w:bCs/>
          <w:lang w:val="zh-CN"/>
        </w:rPr>
        <w:t>甲方：中国人民银行征信中心</w:t>
      </w:r>
    </w:p>
    <w:p>
      <w:pPr>
        <w:autoSpaceDE w:val="0"/>
        <w:autoSpaceDN w:val="0"/>
        <w:ind w:left="-5" w:firstLine="241"/>
        <w:rPr>
          <w:rFonts w:ascii="宋体" w:cs="宋体"/>
          <w:b/>
          <w:bCs/>
          <w:lang w:val="zh-CN"/>
        </w:rPr>
      </w:pPr>
    </w:p>
    <w:p>
      <w:pPr>
        <w:autoSpaceDE w:val="0"/>
        <w:autoSpaceDN w:val="0"/>
        <w:ind w:left="487" w:leftChars="203" w:firstLine="2891" w:firstLineChars="1200"/>
        <w:rPr>
          <w:bCs/>
          <w:color w:val="000000"/>
          <w:sz w:val="32"/>
        </w:rPr>
      </w:pPr>
      <w:r>
        <w:rPr>
          <w:rFonts w:hint="eastAsia" w:ascii="宋体" w:cs="宋体"/>
          <w:b/>
          <w:bCs/>
          <w:lang w:val="zh-CN"/>
        </w:rPr>
        <w:t>乙方：</w:t>
      </w:r>
      <w:r>
        <w:rPr>
          <w:rFonts w:hint="eastAsia" w:ascii="宋体" w:cs="宋体"/>
          <w:b/>
          <w:bCs/>
        </w:rPr>
        <w:t>上海明华智慧城市运营管理有限公司</w:t>
      </w:r>
    </w:p>
    <w:p>
      <w:pPr>
        <w:autoSpaceDE w:val="0"/>
        <w:autoSpaceDN w:val="0"/>
        <w:ind w:left="-5" w:firstLine="241"/>
        <w:rPr>
          <w:rFonts w:ascii="宋体" w:cs="宋体"/>
          <w:b/>
          <w:bCs/>
          <w:lang w:val="zh-CN"/>
        </w:rPr>
      </w:pPr>
    </w:p>
    <w:p>
      <w:pPr>
        <w:widowControl/>
        <w:rPr>
          <w:rFonts w:ascii="宋体" w:cs="宋体"/>
          <w:b/>
          <w:bCs/>
          <w:lang w:val="zh-CN"/>
        </w:rPr>
      </w:pPr>
    </w:p>
    <w:p>
      <w:pPr>
        <w:widowControl/>
        <w:ind w:left="-5" w:firstLine="241"/>
        <w:jc w:val="center"/>
        <w:rPr>
          <w:rFonts w:ascii="宋体" w:hAnsi="宋体"/>
          <w:b/>
          <w:color w:val="000000"/>
        </w:rPr>
      </w:pPr>
      <w:r>
        <w:rPr>
          <w:rFonts w:hint="eastAsia" w:ascii="宋体" w:cs="宋体"/>
          <w:b/>
          <w:bCs/>
          <w:lang w:val="zh-CN"/>
        </w:rPr>
        <w:t>二〇</w:t>
      </w:r>
      <w:r>
        <w:rPr>
          <w:rFonts w:hint="eastAsia" w:ascii="宋体" w:cs="宋体"/>
          <w:b/>
          <w:bCs/>
        </w:rPr>
        <w:t>二四</w:t>
      </w:r>
      <w:r>
        <w:rPr>
          <w:rFonts w:hint="eastAsia" w:ascii="宋体" w:cs="宋体"/>
          <w:b/>
          <w:bCs/>
          <w:lang w:val="zh-CN"/>
        </w:rPr>
        <w:t xml:space="preserve"> 年  月</w:t>
      </w:r>
    </w:p>
    <w:p>
      <w:pPr>
        <w:ind w:left="-5" w:firstLine="241"/>
        <w:jc w:val="center"/>
        <w:rPr>
          <w:rFonts w:ascii="宋体" w:hAnsi="宋体"/>
          <w:b/>
          <w:color w:val="000000"/>
        </w:rPr>
      </w:pPr>
      <w:r>
        <w:rPr>
          <w:rFonts w:hint="eastAsia" w:ascii="宋体" w:hAnsi="宋体"/>
          <w:b/>
          <w:color w:val="000000"/>
        </w:rPr>
        <w:t>签订地点：上海</w:t>
      </w:r>
    </w:p>
    <w:p>
      <w:pPr>
        <w:pStyle w:val="10"/>
        <w:ind w:left="-5" w:firstLine="643"/>
        <w:rPr>
          <w:rFonts w:ascii="宋体" w:hAnsi="宋体"/>
          <w:b/>
          <w:bCs/>
          <w:color w:val="000000" w:themeColor="text1"/>
          <w:szCs w:val="24"/>
          <w14:textFill>
            <w14:solidFill>
              <w14:schemeClr w14:val="tx1"/>
            </w14:solidFill>
          </w14:textFill>
        </w:rPr>
      </w:pPr>
    </w:p>
    <w:p>
      <w:pPr>
        <w:pStyle w:val="10"/>
        <w:ind w:left="-5" w:firstLine="643"/>
        <w:rPr>
          <w:rFonts w:ascii="宋体" w:hAnsi="宋体"/>
          <w:b/>
          <w:bCs/>
          <w:color w:val="000000" w:themeColor="text1"/>
          <w:szCs w:val="24"/>
          <w14:textFill>
            <w14:solidFill>
              <w14:schemeClr w14:val="tx1"/>
            </w14:solidFill>
          </w14:textFill>
        </w:rPr>
      </w:pPr>
    </w:p>
    <w:p>
      <w:pPr>
        <w:pStyle w:val="10"/>
        <w:ind w:left="-5" w:firstLine="643"/>
        <w:rPr>
          <w:rFonts w:ascii="宋体" w:hAnsi="宋体"/>
          <w:b/>
          <w:bCs/>
          <w:color w:val="000000" w:themeColor="text1"/>
          <w:szCs w:val="24"/>
          <w14:textFill>
            <w14:solidFill>
              <w14:schemeClr w14:val="tx1"/>
            </w14:solidFill>
          </w14:textFill>
        </w:rPr>
      </w:pPr>
    </w:p>
    <w:p>
      <w:pPr>
        <w:widowControl/>
        <w:spacing w:line="320" w:lineRule="atLeast"/>
        <w:ind w:left="-5"/>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甲    方：中国人民银行征信中心</w:t>
      </w:r>
    </w:p>
    <w:p>
      <w:pPr>
        <w:widowControl/>
        <w:spacing w:line="320" w:lineRule="atLeast"/>
        <w:ind w:left="-5"/>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法定代表人：陈建华</w:t>
      </w:r>
    </w:p>
    <w:p>
      <w:pPr>
        <w:widowControl/>
        <w:spacing w:line="320" w:lineRule="atLeast"/>
        <w:ind w:left="-5"/>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地    址：上海市浦东新区繁昌路298号</w:t>
      </w:r>
    </w:p>
    <w:p>
      <w:pPr>
        <w:widowControl/>
        <w:spacing w:line="320" w:lineRule="atLeast"/>
        <w:ind w:left="-5"/>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邮政编码：</w:t>
      </w:r>
    </w:p>
    <w:p>
      <w:pPr>
        <w:widowControl/>
        <w:spacing w:line="320" w:lineRule="atLeast"/>
        <w:ind w:left="-5"/>
        <w:rPr>
          <w:rFonts w:hint="eastAsia" w:ascii="宋体" w:hAnsi="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联 系 人：</w:t>
      </w:r>
    </w:p>
    <w:p>
      <w:pPr>
        <w:widowControl/>
        <w:spacing w:line="320" w:lineRule="atLeast"/>
        <w:ind w:left="-5"/>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联系电话：</w:t>
      </w:r>
    </w:p>
    <w:p>
      <w:pPr>
        <w:widowControl/>
        <w:spacing w:line="320" w:lineRule="atLeast"/>
        <w:ind w:left="-5"/>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传真号码：</w:t>
      </w:r>
    </w:p>
    <w:p>
      <w:pPr>
        <w:widowControl/>
        <w:spacing w:line="320" w:lineRule="atLeast"/>
        <w:ind w:left="-5"/>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开户银行：</w:t>
      </w:r>
    </w:p>
    <w:p>
      <w:pPr>
        <w:widowControl/>
        <w:spacing w:line="320" w:lineRule="atLeast"/>
        <w:ind w:left="-5"/>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银行账号：</w:t>
      </w:r>
    </w:p>
    <w:p>
      <w:pPr>
        <w:rPr>
          <w:rFonts w:ascii="宋体" w:hAnsi="宋体"/>
          <w:b/>
          <w:color w:val="000000" w:themeColor="text1"/>
          <w14:textFill>
            <w14:solidFill>
              <w14:schemeClr w14:val="tx1"/>
            </w14:solidFill>
          </w14:textFill>
        </w:rPr>
      </w:pPr>
    </w:p>
    <w:p>
      <w:pPr>
        <w:ind w:left="-5" w:firstLine="321"/>
        <w:rPr>
          <w:rFonts w:ascii="宋体" w:hAnsi="宋体"/>
          <w:b/>
          <w:color w:val="000000" w:themeColor="text1"/>
          <w14:textFill>
            <w14:solidFill>
              <w14:schemeClr w14:val="tx1"/>
            </w14:solidFill>
          </w14:textFill>
        </w:rPr>
      </w:pPr>
    </w:p>
    <w:p>
      <w:pPr>
        <w:ind w:left="-5" w:firstLine="321"/>
        <w:rPr>
          <w:rFonts w:ascii="宋体" w:hAnsi="宋体"/>
          <w:b/>
          <w:color w:val="000000" w:themeColor="text1"/>
          <w14:textFill>
            <w14:solidFill>
              <w14:schemeClr w14:val="tx1"/>
            </w14:solidFill>
          </w14:textFill>
        </w:rPr>
      </w:pPr>
    </w:p>
    <w:p>
      <w:pPr>
        <w:autoSpaceDE w:val="0"/>
        <w:autoSpaceDN w:val="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乙    方：</w:t>
      </w:r>
      <w:r>
        <w:rPr>
          <w:rFonts w:hint="eastAsia" w:ascii="宋体" w:cs="宋体"/>
          <w:b/>
          <w:bCs/>
        </w:rPr>
        <w:t>上海明华智慧城市运营管理有限公司</w:t>
      </w:r>
    </w:p>
    <w:p>
      <w:pPr>
        <w:widowControl/>
        <w:spacing w:line="320" w:lineRule="atLeast"/>
        <w:ind w:left="-5"/>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法定代表人：李涛</w:t>
      </w:r>
    </w:p>
    <w:p>
      <w:pPr>
        <w:widowControl/>
        <w:spacing w:line="320" w:lineRule="atLeast"/>
        <w:ind w:left="-5"/>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地    址：上海市黄浦区延安东路110号底层</w:t>
      </w:r>
    </w:p>
    <w:p>
      <w:pPr>
        <w:widowControl/>
        <w:spacing w:line="320" w:lineRule="atLeast"/>
        <w:ind w:left="-5"/>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邮政编码：</w:t>
      </w:r>
    </w:p>
    <w:p>
      <w:pPr>
        <w:widowControl/>
        <w:spacing w:line="320" w:lineRule="atLeast"/>
        <w:ind w:left="-5"/>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联 系 人：</w:t>
      </w:r>
    </w:p>
    <w:p>
      <w:pPr>
        <w:widowControl/>
        <w:spacing w:line="320" w:lineRule="atLeast"/>
        <w:ind w:left="-5"/>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联系电话：</w:t>
      </w:r>
    </w:p>
    <w:p>
      <w:pPr>
        <w:widowControl/>
        <w:spacing w:line="320" w:lineRule="atLeast"/>
        <w:ind w:left="-5"/>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传真号码：</w:t>
      </w:r>
    </w:p>
    <w:p>
      <w:pPr>
        <w:widowControl/>
        <w:spacing w:line="320" w:lineRule="atLeast"/>
        <w:ind w:left="-5"/>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开户银行：</w:t>
      </w:r>
    </w:p>
    <w:p>
      <w:pPr>
        <w:widowControl/>
        <w:spacing w:line="320" w:lineRule="atLeast"/>
        <w:ind w:left="-5"/>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银行账号：</w:t>
      </w:r>
    </w:p>
    <w:p>
      <w:pPr>
        <w:widowControl/>
        <w:spacing w:line="320" w:lineRule="atLeast"/>
        <w:ind w:left="-5"/>
        <w:rPr>
          <w:rFonts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税    号：</w:t>
      </w:r>
      <w:bookmarkStart w:id="5" w:name="_GoBack"/>
      <w:bookmarkEnd w:id="5"/>
    </w:p>
    <w:p>
      <w:pPr>
        <w:tabs>
          <w:tab w:val="left" w:pos="7410"/>
        </w:tabs>
        <w:autoSpaceDE w:val="0"/>
        <w:autoSpaceDN w:val="0"/>
        <w:spacing w:line="360" w:lineRule="auto"/>
        <w:ind w:left="-5" w:firstLine="32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ab/>
      </w:r>
    </w:p>
    <w:p>
      <w:pPr>
        <w:ind w:left="-5"/>
        <w:rPr>
          <w:rFonts w:ascii="宋体" w:hAnsi="宋体"/>
          <w:color w:val="000000" w:themeColor="text1"/>
          <w14:textFill>
            <w14:solidFill>
              <w14:schemeClr w14:val="tx1"/>
            </w14:solidFill>
          </w14:textFill>
        </w:rPr>
      </w:pPr>
    </w:p>
    <w:p>
      <w:pPr>
        <w:ind w:left="-5"/>
        <w:rPr>
          <w:rFonts w:ascii="宋体" w:hAnsi="宋体"/>
          <w:color w:val="000000" w:themeColor="text1"/>
          <w14:textFill>
            <w14:solidFill>
              <w14:schemeClr w14:val="tx1"/>
            </w14:solidFill>
          </w14:textFill>
        </w:rPr>
        <w:sectPr>
          <w:footerReference r:id="rId5" w:type="even"/>
          <w:pgSz w:w="11906" w:h="16838"/>
          <w:pgMar w:top="1588" w:right="1021" w:bottom="1474" w:left="1021" w:header="851" w:footer="992" w:gutter="340"/>
          <w:cols w:space="720" w:num="1"/>
          <w:docGrid w:linePitch="312" w:charSpace="0"/>
        </w:sectPr>
      </w:pPr>
    </w:p>
    <w:p>
      <w:pPr>
        <w:autoSpaceDE w:val="0"/>
        <w:autoSpaceDN w:val="0"/>
        <w:spacing w:line="360" w:lineRule="auto"/>
        <w:ind w:left="-5" w:firstLine="3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甲乙双方依据“中国人民银行征信中心2024年上海地区物业配套服务项目（项目编号：</w:t>
      </w:r>
      <w:r>
        <w:rPr>
          <w:rFonts w:hint="eastAsia" w:ascii="宋体" w:hAnsi="宋体"/>
          <w:i/>
          <w:iCs/>
          <w:color w:val="000000" w:themeColor="text1"/>
          <w14:textFill>
            <w14:solidFill>
              <w14:schemeClr w14:val="tx1"/>
            </w14:solidFill>
          </w14:textFill>
        </w:rPr>
        <w:t>2306089026</w:t>
      </w:r>
      <w:r>
        <w:rPr>
          <w:rFonts w:hint="eastAsia" w:ascii="宋体" w:hAnsi="宋体"/>
          <w:color w:val="000000" w:themeColor="text1"/>
          <w14:textFill>
            <w14:solidFill>
              <w14:schemeClr w14:val="tx1"/>
            </w14:solidFill>
          </w14:textFill>
        </w:rPr>
        <w:t>）”招标采购的结果，本着自愿、平等、互利、诚实信用的原则，</w:t>
      </w:r>
      <w:r>
        <w:rPr>
          <w:rFonts w:ascii="宋体" w:hAnsi="宋体"/>
          <w:color w:val="000000" w:themeColor="text1"/>
          <w14:textFill>
            <w14:solidFill>
              <w14:schemeClr w14:val="tx1"/>
            </w14:solidFill>
          </w14:textFill>
        </w:rPr>
        <w:t>通过友好协商，现授权各自代表按照下述条款签署本合同</w:t>
      </w:r>
      <w:r>
        <w:rPr>
          <w:rFonts w:hint="eastAsia" w:ascii="宋体" w:hAnsi="宋体"/>
          <w:color w:val="000000" w:themeColor="text1"/>
          <w14:textFill>
            <w14:solidFill>
              <w14:schemeClr w14:val="tx1"/>
            </w14:solidFill>
          </w14:textFill>
        </w:rPr>
        <w:t>。</w:t>
      </w:r>
    </w:p>
    <w:p>
      <w:pPr>
        <w:spacing w:before="120" w:beforeLines="50" w:line="360" w:lineRule="auto"/>
        <w:ind w:left="-2" w:firstLine="281"/>
        <w:jc w:val="center"/>
        <w:outlineLvl w:val="1"/>
        <w:rPr>
          <w:b/>
          <w:bCs/>
          <w:color w:val="000000" w:themeColor="text1"/>
          <w:sz w:val="28"/>
          <w14:textFill>
            <w14:solidFill>
              <w14:schemeClr w14:val="tx1"/>
            </w14:solidFill>
          </w14:textFill>
        </w:rPr>
      </w:pPr>
      <w:r>
        <w:rPr>
          <w:rFonts w:hint="eastAsia"/>
          <w:b/>
          <w:bCs/>
          <w:color w:val="000000" w:themeColor="text1"/>
          <w:sz w:val="28"/>
          <w14:textFill>
            <w14:solidFill>
              <w14:schemeClr w14:val="tx1"/>
            </w14:solidFill>
          </w14:textFill>
        </w:rPr>
        <w:t xml:space="preserve">  第一部分 合同的组成</w:t>
      </w:r>
    </w:p>
    <w:p>
      <w:pPr>
        <w:autoSpaceDE w:val="0"/>
        <w:autoSpaceDN w:val="0"/>
        <w:spacing w:line="360" w:lineRule="auto"/>
        <w:ind w:left="-5"/>
        <w:rPr>
          <w:rFonts w:ascii="宋体" w:cs="宋体"/>
          <w:b/>
          <w:bCs/>
          <w:color w:val="000000" w:themeColor="text1"/>
          <w:sz w:val="28"/>
          <w:szCs w:val="28"/>
          <w14:textFill>
            <w14:solidFill>
              <w14:schemeClr w14:val="tx1"/>
            </w14:solidFill>
          </w14:textFill>
        </w:rPr>
      </w:pPr>
      <w:r>
        <w:rPr>
          <w:rFonts w:hint="eastAsia" w:ascii="宋体" w:cs="宋体"/>
          <w:color w:val="000000" w:themeColor="text1"/>
          <w14:textFill>
            <w14:solidFill>
              <w14:schemeClr w14:val="tx1"/>
            </w14:solidFill>
          </w14:textFill>
        </w:rPr>
        <w:t>1.1</w:t>
      </w:r>
      <w:r>
        <w:rPr>
          <w:rFonts w:hint="eastAsia" w:ascii="宋体" w:cs="宋体"/>
          <w:color w:val="000000" w:themeColor="text1"/>
          <w:lang w:val="zh-CN"/>
          <w14:textFill>
            <w14:solidFill>
              <w14:schemeClr w14:val="tx1"/>
            </w14:solidFill>
          </w14:textFill>
        </w:rPr>
        <w:t>下述文件是构成本合同不可分割的部分</w:t>
      </w:r>
      <w:r>
        <w:rPr>
          <w:rFonts w:hint="eastAsia" w:ascii="宋体" w:cs="宋体"/>
          <w:color w:val="000000" w:themeColor="text1"/>
          <w14:textFill>
            <w14:solidFill>
              <w14:schemeClr w14:val="tx1"/>
            </w14:solidFill>
          </w14:textFill>
        </w:rPr>
        <w:t>:</w:t>
      </w:r>
    </w:p>
    <w:p>
      <w:pPr>
        <w:numPr>
          <w:ilvl w:val="0"/>
          <w:numId w:val="1"/>
        </w:numPr>
        <w:autoSpaceDE w:val="0"/>
        <w:autoSpaceDN w:val="0"/>
        <w:adjustRightInd/>
        <w:spacing w:line="360" w:lineRule="auto"/>
        <w:ind w:left="-5"/>
        <w:textAlignment w:val="auto"/>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本合同条款及其所有附件；</w:t>
      </w:r>
    </w:p>
    <w:p>
      <w:pPr>
        <w:numPr>
          <w:ilvl w:val="0"/>
          <w:numId w:val="1"/>
        </w:numPr>
        <w:autoSpaceDE w:val="0"/>
        <w:autoSpaceDN w:val="0"/>
        <w:adjustRightInd/>
        <w:spacing w:line="360" w:lineRule="auto"/>
        <w:ind w:left="-5"/>
        <w:textAlignment w:val="auto"/>
        <w:rPr>
          <w:rFonts w:ascii="宋体" w:cs="宋体"/>
          <w:color w:val="000000" w:themeColor="text1"/>
          <w:lang w:val="zh-CN"/>
          <w14:textFill>
            <w14:solidFill>
              <w14:schemeClr w14:val="tx1"/>
            </w14:solidFill>
          </w14:textFill>
        </w:rPr>
      </w:pPr>
      <w:r>
        <w:rPr>
          <w:rFonts w:hint="eastAsia" w:ascii="宋体" w:cs="宋体"/>
          <w:color w:val="000000" w:themeColor="text1"/>
          <w14:textFill>
            <w14:solidFill>
              <w14:schemeClr w14:val="tx1"/>
            </w14:solidFill>
          </w14:textFill>
        </w:rPr>
        <w:t>甲方的招标文件及澄清文件；</w:t>
      </w:r>
    </w:p>
    <w:p>
      <w:pPr>
        <w:numPr>
          <w:ilvl w:val="0"/>
          <w:numId w:val="1"/>
        </w:numPr>
        <w:autoSpaceDE w:val="0"/>
        <w:autoSpaceDN w:val="0"/>
        <w:adjustRightInd/>
        <w:spacing w:line="360" w:lineRule="auto"/>
        <w:ind w:left="-5"/>
        <w:textAlignment w:val="auto"/>
        <w:rPr>
          <w:rFonts w:ascii="宋体" w:cs="宋体"/>
          <w:color w:val="000000" w:themeColor="text1"/>
          <w:lang w:val="zh-CN"/>
          <w14:textFill>
            <w14:solidFill>
              <w14:schemeClr w14:val="tx1"/>
            </w14:solidFill>
          </w14:textFill>
        </w:rPr>
      </w:pPr>
      <w:r>
        <w:rPr>
          <w:rFonts w:hint="eastAsia" w:ascii="宋体" w:cs="宋体"/>
          <w:color w:val="000000" w:themeColor="text1"/>
          <w14:textFill>
            <w14:solidFill>
              <w14:schemeClr w14:val="tx1"/>
            </w14:solidFill>
          </w14:textFill>
        </w:rPr>
        <w:t>乙方的投标文件及质疑解答文件；</w:t>
      </w:r>
    </w:p>
    <w:p>
      <w:pPr>
        <w:numPr>
          <w:ilvl w:val="0"/>
          <w:numId w:val="1"/>
        </w:numPr>
        <w:autoSpaceDE w:val="0"/>
        <w:autoSpaceDN w:val="0"/>
        <w:adjustRightInd/>
        <w:spacing w:line="360" w:lineRule="auto"/>
        <w:ind w:left="-5"/>
        <w:textAlignment w:val="auto"/>
        <w:rPr>
          <w:rFonts w:ascii="宋体" w:cs="宋体"/>
          <w:color w:val="000000" w:themeColor="text1"/>
          <w:lang w:val="zh-CN"/>
          <w14:textFill>
            <w14:solidFill>
              <w14:schemeClr w14:val="tx1"/>
            </w14:solidFill>
          </w14:textFill>
        </w:rPr>
      </w:pPr>
      <w:r>
        <w:rPr>
          <w:rFonts w:hint="eastAsia" w:ascii="宋体" w:cs="宋体"/>
          <w:color w:val="000000" w:themeColor="text1"/>
          <w14:textFill>
            <w14:solidFill>
              <w14:schemeClr w14:val="tx1"/>
            </w14:solidFill>
          </w14:textFill>
        </w:rPr>
        <w:t>中标通知书；</w:t>
      </w:r>
    </w:p>
    <w:p>
      <w:pPr>
        <w:numPr>
          <w:ilvl w:val="0"/>
          <w:numId w:val="1"/>
        </w:numPr>
        <w:autoSpaceDE w:val="0"/>
        <w:autoSpaceDN w:val="0"/>
        <w:adjustRightInd/>
        <w:spacing w:line="360" w:lineRule="auto"/>
        <w:ind w:left="-5"/>
        <w:textAlignment w:val="auto"/>
        <w:rPr>
          <w:rFonts w:ascii="宋体" w:hAns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法定代表人授权书；</w:t>
      </w:r>
    </w:p>
    <w:p>
      <w:pPr>
        <w:numPr>
          <w:ilvl w:val="0"/>
          <w:numId w:val="1"/>
        </w:numPr>
        <w:autoSpaceDE w:val="0"/>
        <w:autoSpaceDN w:val="0"/>
        <w:adjustRightInd/>
        <w:spacing w:line="360" w:lineRule="auto"/>
        <w:ind w:left="-5"/>
        <w:textAlignment w:val="auto"/>
        <w:rPr>
          <w:rFonts w:ascii="宋体" w:cs="宋体"/>
          <w:color w:val="000000" w:themeColor="text1"/>
          <w:lang w:val="zh-CN"/>
          <w14:textFill>
            <w14:solidFill>
              <w14:schemeClr w14:val="tx1"/>
            </w14:solidFill>
          </w14:textFill>
        </w:rPr>
      </w:pPr>
      <w:r>
        <w:rPr>
          <w:rFonts w:hint="eastAsia" w:ascii="宋体" w:hAnsi="宋体"/>
          <w:color w:val="000000" w:themeColor="text1"/>
          <w14:textFill>
            <w14:solidFill>
              <w14:schemeClr w14:val="tx1"/>
            </w14:solidFill>
          </w14:textFill>
        </w:rPr>
        <w:t>双方与合同有关的往来信函、传真,经双方法定代表人或其授权代表签字并加盖单位公章确认后,视为本合同的组成部分；</w:t>
      </w:r>
    </w:p>
    <w:p>
      <w:pPr>
        <w:numPr>
          <w:ilvl w:val="0"/>
          <w:numId w:val="1"/>
        </w:numPr>
        <w:autoSpaceDE w:val="0"/>
        <w:autoSpaceDN w:val="0"/>
        <w:adjustRightInd/>
        <w:spacing w:line="360" w:lineRule="auto"/>
        <w:ind w:left="-5"/>
        <w:textAlignment w:val="auto"/>
        <w:rPr>
          <w:rFonts w:ascii="宋体" w:cs="宋体"/>
          <w:color w:val="000000" w:themeColor="text1"/>
          <w:lang w:val="zh-CN"/>
          <w14:textFill>
            <w14:solidFill>
              <w14:schemeClr w14:val="tx1"/>
            </w14:solidFill>
          </w14:textFill>
        </w:rPr>
      </w:pPr>
      <w:r>
        <w:rPr>
          <w:rFonts w:hint="eastAsia" w:ascii="宋体" w:hAnsi="宋体"/>
          <w:color w:val="000000" w:themeColor="text1"/>
          <w14:textFill>
            <w14:solidFill>
              <w14:schemeClr w14:val="tx1"/>
            </w14:solidFill>
          </w14:textFill>
        </w:rPr>
        <w:t>经双方法定代表人或其授权代表签字并加盖单位公章或合同专用章确认的补充协议。</w:t>
      </w:r>
    </w:p>
    <w:p>
      <w:pPr>
        <w:spacing w:line="360" w:lineRule="auto"/>
        <w:ind w:left="-19" w:firstLine="48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1.2上述合同文件应能够相互解释、相互说明。如合同文件之间出现不一致，除本合同另有约定外，第1.1款第（1）项至（6）项的排列顺序就是合同文件的优先解释顺序；对于第（7）项中双方达成的补充协议与原合同（包括第1.1款（1）-（6）项中所列的所有文件）存在不一致，以签订日期在后的补充协议为准。</w:t>
      </w:r>
    </w:p>
    <w:p>
      <w:pPr>
        <w:spacing w:before="120" w:beforeLines="50" w:line="360" w:lineRule="auto"/>
        <w:ind w:left="-2" w:firstLine="281"/>
        <w:jc w:val="center"/>
        <w:outlineLvl w:val="1"/>
        <w:rPr>
          <w:rFonts w:ascii="宋体" w:hAnsi="宋体" w:cs="宋体"/>
          <w:b/>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 xml:space="preserve">第二部分 </w:t>
      </w:r>
      <w:r>
        <w:rPr>
          <w:rFonts w:hint="eastAsia" w:ascii="宋体" w:hAnsi="宋体" w:cs="宋体"/>
          <w:b/>
          <w:color w:val="000000" w:themeColor="text1"/>
          <w:sz w:val="28"/>
          <w:szCs w:val="28"/>
          <w14:textFill>
            <w14:solidFill>
              <w14:schemeClr w14:val="tx1"/>
            </w14:solidFill>
          </w14:textFill>
        </w:rPr>
        <w:t>物业基本情况</w:t>
      </w:r>
    </w:p>
    <w:p>
      <w:pPr>
        <w:spacing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物业基本情况</w:t>
      </w:r>
    </w:p>
    <w:p>
      <w:pPr>
        <w:spacing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物业名称：中国人民银行征信中心上海地区配套物业，物业构成明细详见合同附件二。</w:t>
      </w:r>
    </w:p>
    <w:p>
      <w:pPr>
        <w:spacing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.1.1</w:t>
      </w:r>
      <w:r>
        <w:rPr>
          <w:rFonts w:hint="eastAsia" w:ascii="宋体" w:hAnsi="宋体" w:cs="宋体"/>
          <w:color w:val="000000" w:themeColor="text1"/>
          <w14:textFill>
            <w14:solidFill>
              <w14:schemeClr w14:val="tx1"/>
            </w14:solidFill>
          </w14:textFill>
        </w:rPr>
        <w:t>上海数据中心</w:t>
      </w:r>
    </w:p>
    <w:p>
      <w:pPr>
        <w:spacing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服务类型：数据中心园区物业服务</w:t>
      </w:r>
    </w:p>
    <w:p>
      <w:pPr>
        <w:spacing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座落位置：上海市浦东新区繁昌路298号</w:t>
      </w:r>
    </w:p>
    <w:p>
      <w:pPr>
        <w:spacing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占地面积：</w:t>
      </w:r>
      <w:r>
        <w:rPr>
          <w:rFonts w:ascii="宋体" w:hAnsi="宋体" w:cs="宋体"/>
          <w:color w:val="000000" w:themeColor="text1"/>
          <w14:textFill>
            <w14:solidFill>
              <w14:schemeClr w14:val="tx1"/>
            </w14:solidFill>
          </w14:textFill>
        </w:rPr>
        <w:t>144.47</w:t>
      </w:r>
      <w:r>
        <w:rPr>
          <w:rFonts w:hint="eastAsia" w:ascii="宋体" w:hAnsi="宋体" w:cs="宋体"/>
          <w:color w:val="000000" w:themeColor="text1"/>
          <w14:textFill>
            <w14:solidFill>
              <w14:schemeClr w14:val="tx1"/>
            </w14:solidFill>
          </w14:textFill>
        </w:rPr>
        <w:t>亩</w:t>
      </w:r>
    </w:p>
    <w:p>
      <w:pPr>
        <w:spacing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建筑面积：</w:t>
      </w:r>
      <w:r>
        <w:rPr>
          <w:rFonts w:ascii="宋体" w:hAnsi="宋体" w:cs="宋体"/>
          <w:color w:val="000000" w:themeColor="text1"/>
          <w14:textFill>
            <w14:solidFill>
              <w14:schemeClr w14:val="tx1"/>
            </w14:solidFill>
          </w14:textFill>
        </w:rPr>
        <w:t>79422</w:t>
      </w:r>
      <w:r>
        <w:rPr>
          <w:rFonts w:hint="eastAsia" w:ascii="宋体" w:hAnsi="宋体" w:cs="宋体"/>
          <w:color w:val="000000" w:themeColor="text1"/>
          <w14:textFill>
            <w14:solidFill>
              <w14:schemeClr w14:val="tx1"/>
            </w14:solidFill>
          </w14:textFill>
        </w:rPr>
        <w:t>㎡，另有35KV开关站650㎡</w:t>
      </w:r>
    </w:p>
    <w:p>
      <w:pPr>
        <w:spacing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.1.2</w:t>
      </w:r>
      <w:r>
        <w:rPr>
          <w:rFonts w:hint="eastAsia" w:ascii="宋体" w:hAnsi="宋体" w:cs="宋体"/>
          <w:color w:val="000000" w:themeColor="text1"/>
          <w14:textFill>
            <w14:solidFill>
              <w14:schemeClr w14:val="tx1"/>
            </w14:solidFill>
          </w14:textFill>
        </w:rPr>
        <w:t>上海同城数据中心</w:t>
      </w:r>
    </w:p>
    <w:p>
      <w:pPr>
        <w:spacing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服务类型：数据中心机房物业服务</w:t>
      </w:r>
    </w:p>
    <w:p>
      <w:pPr>
        <w:spacing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座落位置：上海市静安区海宁路889号B座</w:t>
      </w:r>
    </w:p>
    <w:p>
      <w:pPr>
        <w:spacing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建筑面积：</w:t>
      </w:r>
      <w:r>
        <w:rPr>
          <w:rFonts w:ascii="宋体" w:hAnsi="宋体" w:cs="宋体"/>
          <w:color w:val="000000" w:themeColor="text1"/>
          <w14:textFill>
            <w14:solidFill>
              <w14:schemeClr w14:val="tx1"/>
            </w14:solidFill>
          </w14:textFill>
        </w:rPr>
        <w:t>4239</w:t>
      </w:r>
      <w:r>
        <w:rPr>
          <w:rFonts w:hint="eastAsia" w:ascii="宋体" w:hAnsi="宋体" w:cs="宋体"/>
          <w:color w:val="000000" w:themeColor="text1"/>
          <w14:textFill>
            <w14:solidFill>
              <w14:schemeClr w14:val="tx1"/>
            </w14:solidFill>
          </w14:textFill>
        </w:rPr>
        <w:t>㎡，另有4</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个车位</w:t>
      </w:r>
    </w:p>
    <w:p>
      <w:pPr>
        <w:spacing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3上海周转房</w:t>
      </w:r>
    </w:p>
    <w:p>
      <w:pPr>
        <w:spacing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服务类型：周转房物业服务</w:t>
      </w:r>
    </w:p>
    <w:p>
      <w:pPr>
        <w:wordWrap w:val="0"/>
        <w:overflowPunct w:val="0"/>
        <w:topLinePunct/>
        <w:autoSpaceDE w:val="0"/>
        <w:autoSpaceDN w:val="0"/>
        <w:snapToGrid w:val="0"/>
        <w:spacing w:before="120" w:beforeLines="50" w:after="120" w:afterLines="50"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座落位置：上海市浦东新区龙汇路55弄12号楼的</w:t>
      </w:r>
      <w:r>
        <w:rPr>
          <w:rFonts w:ascii="宋体" w:hAnsi="宋体" w:cs="宋体"/>
          <w:color w:val="000000" w:themeColor="text1"/>
          <w14:textFill>
            <w14:solidFill>
              <w14:schemeClr w14:val="tx1"/>
            </w14:solidFill>
          </w14:textFill>
        </w:rPr>
        <w:t>古北御庭</w:t>
      </w:r>
      <w:r>
        <w:rPr>
          <w:rFonts w:hint="eastAsia" w:ascii="宋体" w:hAnsi="宋体" w:cs="宋体"/>
          <w:color w:val="000000" w:themeColor="text1"/>
          <w14:textFill>
            <w14:solidFill>
              <w14:schemeClr w14:val="tx1"/>
            </w14:solidFill>
          </w14:textFill>
        </w:rPr>
        <w:t>周转房（9套）</w:t>
      </w:r>
    </w:p>
    <w:p>
      <w:pPr>
        <w:wordWrap w:val="0"/>
        <w:overflowPunct w:val="0"/>
        <w:topLinePunct/>
        <w:autoSpaceDE w:val="0"/>
        <w:autoSpaceDN w:val="0"/>
        <w:snapToGrid w:val="0"/>
        <w:spacing w:before="120" w:beforeLines="50" w:after="120" w:afterLines="50" w:line="360" w:lineRule="auto"/>
        <w:ind w:left="-19" w:firstLine="1680" w:firstLineChars="7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上海市浦东新区成山路1488弄17号楼的</w:t>
      </w:r>
      <w:r>
        <w:rPr>
          <w:rFonts w:ascii="宋体" w:hAnsi="宋体" w:cs="宋体"/>
          <w:color w:val="000000" w:themeColor="text1"/>
          <w14:textFill>
            <w14:solidFill>
              <w14:schemeClr w14:val="tx1"/>
            </w14:solidFill>
          </w14:textFill>
        </w:rPr>
        <w:t>大华锦绣</w:t>
      </w:r>
      <w:r>
        <w:rPr>
          <w:rFonts w:hint="eastAsia" w:ascii="宋体" w:hAnsi="宋体" w:cs="宋体"/>
          <w:color w:val="000000" w:themeColor="text1"/>
          <w14:textFill>
            <w14:solidFill>
              <w14:schemeClr w14:val="tx1"/>
            </w14:solidFill>
          </w14:textFill>
        </w:rPr>
        <w:t>周转房（2</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套）</w:t>
      </w:r>
    </w:p>
    <w:p>
      <w:pPr>
        <w:wordWrap w:val="0"/>
        <w:overflowPunct w:val="0"/>
        <w:topLinePunct/>
        <w:autoSpaceDE w:val="0"/>
        <w:autoSpaceDN w:val="0"/>
        <w:snapToGrid w:val="0"/>
        <w:spacing w:before="120" w:beforeLines="50" w:after="120" w:afterLines="50" w:line="360" w:lineRule="auto"/>
        <w:ind w:left="1680" w:leftChars="7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上海</w:t>
      </w:r>
      <w:r>
        <w:rPr>
          <w:rFonts w:hint="eastAsia" w:ascii="宋体" w:hAnsi="宋体" w:cs="宋体"/>
          <w:color w:val="000000" w:themeColor="text1"/>
          <w14:textFill>
            <w14:solidFill>
              <w14:schemeClr w14:val="tx1"/>
            </w14:solidFill>
          </w14:textFill>
        </w:rPr>
        <w:t>市浦东新区上丰路1483弄36号楼和37号楼的</w:t>
      </w:r>
      <w:r>
        <w:rPr>
          <w:rFonts w:ascii="宋体" w:hAnsi="宋体" w:cs="宋体"/>
          <w:color w:val="000000" w:themeColor="text1"/>
          <w14:textFill>
            <w14:solidFill>
              <w14:schemeClr w14:val="tx1"/>
            </w14:solidFill>
          </w14:textFill>
        </w:rPr>
        <w:t>金融家</w:t>
      </w:r>
      <w:r>
        <w:rPr>
          <w:rFonts w:hint="eastAsia" w:ascii="宋体" w:hAnsi="宋体" w:cs="宋体"/>
          <w:color w:val="000000" w:themeColor="text1"/>
          <w14:textFill>
            <w14:solidFill>
              <w14:schemeClr w14:val="tx1"/>
            </w14:solidFill>
          </w14:textFill>
        </w:rPr>
        <w:t>周转房（6</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套）</w:t>
      </w:r>
    </w:p>
    <w:p>
      <w:pPr>
        <w:wordWrap w:val="0"/>
        <w:overflowPunct w:val="0"/>
        <w:topLinePunct/>
        <w:autoSpaceDE w:val="0"/>
        <w:autoSpaceDN w:val="0"/>
        <w:snapToGrid w:val="0"/>
        <w:spacing w:before="120" w:beforeLines="50" w:after="120" w:afterLines="50"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建筑面积：</w:t>
      </w:r>
      <w:r>
        <w:rPr>
          <w:rFonts w:ascii="宋体" w:hAnsi="宋体" w:cs="宋体"/>
          <w:color w:val="000000" w:themeColor="text1"/>
          <w14:textFill>
            <w14:solidFill>
              <w14:schemeClr w14:val="tx1"/>
            </w14:solidFill>
          </w14:textFill>
        </w:rPr>
        <w:t>994</w:t>
      </w:r>
      <w:r>
        <w:rPr>
          <w:rFonts w:hint="eastAsia" w:ascii="宋体" w:hAnsi="宋体" w:cs="宋体"/>
          <w:color w:val="000000" w:themeColor="text1"/>
          <w14:textFill>
            <w14:solidFill>
              <w14:schemeClr w14:val="tx1"/>
            </w14:solidFill>
          </w14:textFill>
        </w:rPr>
        <w:t>6</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94㎡（</w:t>
      </w:r>
      <w:r>
        <w:rPr>
          <w:rFonts w:ascii="宋体" w:hAnsi="宋体" w:cs="宋体"/>
          <w:color w:val="000000" w:themeColor="text1"/>
          <w14:textFill>
            <w14:solidFill>
              <w14:schemeClr w14:val="tx1"/>
            </w14:solidFill>
          </w14:textFill>
        </w:rPr>
        <w:t>97</w:t>
      </w:r>
      <w:r>
        <w:rPr>
          <w:rFonts w:hint="eastAsia" w:ascii="宋体" w:hAnsi="宋体" w:cs="宋体"/>
          <w:color w:val="000000" w:themeColor="text1"/>
          <w14:textFill>
            <w14:solidFill>
              <w14:schemeClr w14:val="tx1"/>
            </w14:solidFill>
          </w14:textFill>
        </w:rPr>
        <w:t>套），另有9个车位</w:t>
      </w:r>
    </w:p>
    <w:p>
      <w:pPr>
        <w:spacing w:line="360" w:lineRule="auto"/>
        <w:ind w:left="-19" w:firstLine="480" w:firstLineChars="200"/>
        <w:rPr>
          <w:rFonts w:ascii="宋体" w:hAnsi="宋体" w:cs="宋体"/>
          <w:color w:val="000000" w:themeColor="text1"/>
          <w14:textFill>
            <w14:solidFill>
              <w14:schemeClr w14:val="tx1"/>
            </w14:solidFill>
          </w14:textFill>
        </w:rPr>
      </w:pPr>
      <w:bookmarkStart w:id="0" w:name="OLE_LINK5"/>
      <w:r>
        <w:rPr>
          <w:rFonts w:hint="eastAsia"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服务内容</w:t>
      </w:r>
    </w:p>
    <w:p>
      <w:pPr>
        <w:spacing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物业服务的主要内容包括但不限于基础管理、</w:t>
      </w:r>
      <w:r>
        <w:rPr>
          <w:rFonts w:hint="eastAsia" w:ascii="等线" w:hAnsi="等线"/>
          <w:color w:val="000000" w:themeColor="text1"/>
          <w14:textFill>
            <w14:solidFill>
              <w14:schemeClr w14:val="tx1"/>
            </w14:solidFill>
          </w14:textFill>
        </w:rPr>
        <w:t>卫生保洁服务、绿化服务、会议服务、传达收发服务、各类维修服务</w:t>
      </w:r>
      <w:r>
        <w:rPr>
          <w:rFonts w:hint="eastAsia" w:ascii="宋体" w:hAnsi="宋体" w:cs="宋体"/>
          <w:color w:val="000000" w:themeColor="text1"/>
          <w14:textFill>
            <w14:solidFill>
              <w14:schemeClr w14:val="tx1"/>
            </w14:solidFill>
          </w14:textFill>
        </w:rPr>
        <w:t>以及对甲方独立发包项的配合等。</w:t>
      </w:r>
    </w:p>
    <w:p>
      <w:pPr>
        <w:spacing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基础管理服务包括但不限于日常管理、人事管理、财务管理、仓库管理、档案管理、管理质量控制、报修受理、客户意见征询。</w:t>
      </w:r>
    </w:p>
    <w:p>
      <w:pPr>
        <w:spacing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.2.2</w:t>
      </w:r>
      <w:r>
        <w:rPr>
          <w:rFonts w:hint="eastAsia" w:ascii="宋体" w:hAnsi="宋体" w:cs="宋体"/>
          <w:color w:val="000000" w:themeColor="text1"/>
          <w14:textFill>
            <w14:solidFill>
              <w14:schemeClr w14:val="tx1"/>
            </w14:solidFill>
          </w14:textFill>
        </w:rPr>
        <w:t>卫生保洁服务包括但不限于园区室外日常清洁服务、园区景观池的清洁服务、楼内公共区域及所有房间、功能区的日常清洁服务、运动场馆区域的卫生清洁、园区垃圾房的日常清洁服务、垃圾分类管理服务、生活及餐厨余垃圾清运服务、室内外管网清洗、生活水箱清洗、特殊材质（石材、地毯）的专业维护、虫害防治服务、外墙清洗服务、以及配套低值易耗品的提供等。</w:t>
      </w:r>
    </w:p>
    <w:p>
      <w:pPr>
        <w:spacing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.2.3</w:t>
      </w:r>
      <w:r>
        <w:rPr>
          <w:rFonts w:hint="eastAsia" w:ascii="宋体" w:hAnsi="宋体" w:cs="宋体"/>
          <w:color w:val="000000" w:themeColor="text1"/>
          <w14:textFill>
            <w14:solidFill>
              <w14:schemeClr w14:val="tx1"/>
            </w14:solidFill>
          </w14:textFill>
        </w:rPr>
        <w:t>绿化服务包括但不限于楼内公共区域及所有功能区的绿植布放及养护、室外公共区域及人工湖的绿化养护。</w:t>
      </w:r>
    </w:p>
    <w:p>
      <w:pPr>
        <w:spacing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会议服务包括但不限于前台接待服务、会务服务、培训接待服务、活动保障服务和配套低值易耗品的提供。</w:t>
      </w:r>
    </w:p>
    <w:p>
      <w:pPr>
        <w:spacing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传达收发服务包括但不限客服热线服务、理发服务、周转房管理、住宿用房管理、统筹协调及应急保障服务。</w:t>
      </w:r>
    </w:p>
    <w:p>
      <w:pPr>
        <w:spacing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6维修服务包括但不限物业服务区域建筑物的检查和维修养护、建筑及装饰类的日常维修服务、</w:t>
      </w:r>
      <w:r>
        <w:rPr>
          <w:rFonts w:hint="eastAsia"/>
          <w:color w:val="000000" w:themeColor="text1"/>
          <w14:textFill>
            <w14:solidFill>
              <w14:schemeClr w14:val="tx1"/>
            </w14:solidFill>
          </w14:textFill>
        </w:rPr>
        <w:t>水电燃气类的日常维修服务、园区</w:t>
      </w:r>
      <w:r>
        <w:rPr>
          <w:rFonts w:hint="eastAsia" w:ascii="宋体" w:hAnsi="宋体" w:cs="宋体"/>
          <w:color w:val="000000" w:themeColor="text1"/>
          <w14:textFill>
            <w14:solidFill>
              <w14:schemeClr w14:val="tx1"/>
            </w14:solidFill>
          </w14:textFill>
        </w:rPr>
        <w:t>给水管道及设备的日常巡检、维修保养服务、园区排水排污管道的巡检、维修保养服务、河道取水系统维护保养、绿化灌溉系统维修保养、喷泉系统维保、园区燃气报警设备的维护保养及检测服务、楼内饮水机维修保养、园区东门北门移动式铁门维修保养、业务楼擦窗机维保、能源管理、同城数据中心给排水末端设备设施维修、同城数据中心及周转房零星修缮服务，</w:t>
      </w:r>
      <w:r>
        <w:rPr>
          <w:rFonts w:hint="eastAsia"/>
          <w:color w:val="000000" w:themeColor="text1"/>
          <w14:textFill>
            <w14:solidFill>
              <w14:schemeClr w14:val="tx1"/>
            </w14:solidFill>
          </w14:textFill>
        </w:rPr>
        <w:t>以及</w:t>
      </w:r>
      <w:r>
        <w:rPr>
          <w:rFonts w:hint="eastAsia" w:ascii="宋体" w:hAnsi="宋体" w:cs="宋体"/>
          <w:color w:val="000000" w:themeColor="text1"/>
          <w14:textFill>
            <w14:solidFill>
              <w14:schemeClr w14:val="tx1"/>
            </w14:solidFill>
          </w14:textFill>
        </w:rPr>
        <w:t>配套低值易耗品的提供。</w:t>
      </w:r>
    </w:p>
    <w:p>
      <w:pPr>
        <w:spacing w:line="360" w:lineRule="auto"/>
        <w:ind w:left="-5" w:firstLine="3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7配合甲方要求做好突发事件应急处置。</w:t>
      </w:r>
    </w:p>
    <w:p>
      <w:pPr>
        <w:spacing w:line="360" w:lineRule="auto"/>
        <w:ind w:left="-5" w:firstLine="3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8甲方交办的其他工作。</w:t>
      </w:r>
    </w:p>
    <w:p>
      <w:pPr>
        <w:spacing w:line="360" w:lineRule="auto"/>
        <w:ind w:left="-5" w:firstLine="3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服务范围</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676"/>
        <w:gridCol w:w="2626"/>
        <w:gridCol w:w="1244"/>
        <w:gridCol w:w="1185"/>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0" w:type="pct"/>
            <w:vMerge w:val="restart"/>
            <w:shd w:val="clear" w:color="auto" w:fill="auto"/>
            <w:noWrap/>
            <w:vAlign w:val="center"/>
          </w:tcPr>
          <w:p>
            <w:pPr>
              <w:spacing w:line="360" w:lineRule="auto"/>
              <w:jc w:val="center"/>
              <w:rPr>
                <w:rFonts w:ascii="宋体" w:hAnsi="宋体" w:cs="宋体"/>
                <w:b/>
                <w:bCs/>
                <w:sz w:val="18"/>
                <w:szCs w:val="18"/>
              </w:rPr>
            </w:pPr>
            <w:bookmarkStart w:id="1" w:name="_Hlk166834253"/>
            <w:r>
              <w:rPr>
                <w:rFonts w:hint="eastAsia" w:ascii="宋体" w:hAnsi="宋体" w:cs="宋体"/>
                <w:b/>
                <w:bCs/>
                <w:sz w:val="18"/>
                <w:szCs w:val="18"/>
              </w:rPr>
              <w:t>序号</w:t>
            </w:r>
          </w:p>
        </w:tc>
        <w:tc>
          <w:tcPr>
            <w:tcW w:w="2524" w:type="pct"/>
            <w:gridSpan w:val="2"/>
            <w:vMerge w:val="restart"/>
            <w:shd w:val="clear" w:color="auto" w:fill="auto"/>
            <w:noWrap/>
            <w:vAlign w:val="center"/>
          </w:tcPr>
          <w:p>
            <w:pPr>
              <w:spacing w:line="360" w:lineRule="auto"/>
              <w:jc w:val="center"/>
              <w:rPr>
                <w:rFonts w:ascii="宋体" w:hAnsi="宋体" w:cs="宋体"/>
                <w:b/>
                <w:bCs/>
                <w:sz w:val="18"/>
                <w:szCs w:val="18"/>
              </w:rPr>
            </w:pPr>
            <w:r>
              <w:rPr>
                <w:rFonts w:hint="eastAsia" w:ascii="宋体" w:hAnsi="宋体" w:cs="宋体"/>
                <w:b/>
                <w:bCs/>
                <w:sz w:val="18"/>
                <w:szCs w:val="18"/>
              </w:rPr>
              <w:t>委托服务内容</w:t>
            </w:r>
          </w:p>
        </w:tc>
        <w:tc>
          <w:tcPr>
            <w:tcW w:w="2125" w:type="pct"/>
            <w:gridSpan w:val="3"/>
            <w:shd w:val="clear" w:color="auto" w:fill="auto"/>
            <w:noWrap/>
            <w:vAlign w:val="center"/>
          </w:tcPr>
          <w:p>
            <w:pPr>
              <w:spacing w:line="360" w:lineRule="auto"/>
              <w:jc w:val="center"/>
              <w:rPr>
                <w:rFonts w:ascii="宋体" w:hAnsi="宋体" w:cs="宋体"/>
                <w:b/>
                <w:bCs/>
                <w:sz w:val="18"/>
                <w:szCs w:val="18"/>
              </w:rPr>
            </w:pPr>
            <w:r>
              <w:rPr>
                <w:rFonts w:hint="eastAsia" w:ascii="宋体" w:hAnsi="宋体" w:cs="宋体"/>
                <w:b/>
                <w:bCs/>
                <w:sz w:val="18"/>
                <w:szCs w:val="18"/>
              </w:rPr>
              <w:t>所属区域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350" w:type="pct"/>
            <w:vMerge w:val="continue"/>
            <w:shd w:val="clear" w:color="auto" w:fill="auto"/>
            <w:noWrap/>
            <w:vAlign w:val="center"/>
          </w:tcPr>
          <w:p>
            <w:pPr>
              <w:spacing w:line="360" w:lineRule="auto"/>
              <w:ind w:firstLine="651"/>
              <w:jc w:val="center"/>
              <w:rPr>
                <w:rFonts w:ascii="宋体" w:hAnsi="宋体" w:cs="宋体"/>
                <w:b/>
                <w:bCs/>
                <w:sz w:val="18"/>
                <w:szCs w:val="18"/>
              </w:rPr>
            </w:pPr>
          </w:p>
        </w:tc>
        <w:tc>
          <w:tcPr>
            <w:tcW w:w="2524" w:type="pct"/>
            <w:gridSpan w:val="2"/>
            <w:vMerge w:val="continue"/>
            <w:shd w:val="clear" w:color="auto" w:fill="auto"/>
            <w:noWrap/>
            <w:vAlign w:val="center"/>
          </w:tcPr>
          <w:p>
            <w:pPr>
              <w:spacing w:line="360" w:lineRule="auto"/>
              <w:ind w:firstLine="651"/>
              <w:jc w:val="center"/>
              <w:rPr>
                <w:rFonts w:ascii="宋体" w:hAnsi="宋体" w:cs="宋体"/>
                <w:b/>
                <w:bCs/>
                <w:sz w:val="18"/>
                <w:szCs w:val="18"/>
              </w:rPr>
            </w:pPr>
          </w:p>
        </w:tc>
        <w:tc>
          <w:tcPr>
            <w:tcW w:w="730" w:type="pct"/>
            <w:shd w:val="clear" w:color="auto" w:fill="auto"/>
            <w:noWrap/>
            <w:vAlign w:val="center"/>
          </w:tcPr>
          <w:p>
            <w:pPr>
              <w:spacing w:line="360" w:lineRule="auto"/>
              <w:rPr>
                <w:rFonts w:ascii="宋体" w:hAnsi="宋体" w:cs="宋体"/>
                <w:b/>
                <w:bCs/>
                <w:sz w:val="18"/>
                <w:szCs w:val="18"/>
              </w:rPr>
            </w:pPr>
            <w:r>
              <w:rPr>
                <w:rFonts w:hint="eastAsia" w:ascii="宋体" w:hAnsi="宋体" w:cs="宋体"/>
                <w:b/>
                <w:bCs/>
                <w:sz w:val="18"/>
                <w:szCs w:val="18"/>
              </w:rPr>
              <w:t>上海数据中心</w:t>
            </w:r>
          </w:p>
        </w:tc>
        <w:tc>
          <w:tcPr>
            <w:tcW w:w="695" w:type="pct"/>
            <w:shd w:val="clear" w:color="auto" w:fill="auto"/>
            <w:noWrap/>
            <w:vAlign w:val="center"/>
          </w:tcPr>
          <w:p>
            <w:pPr>
              <w:spacing w:line="360" w:lineRule="auto"/>
              <w:jc w:val="center"/>
              <w:rPr>
                <w:rFonts w:ascii="宋体" w:hAnsi="宋体" w:cs="宋体"/>
                <w:b/>
                <w:bCs/>
                <w:sz w:val="18"/>
                <w:szCs w:val="18"/>
              </w:rPr>
            </w:pPr>
            <w:r>
              <w:rPr>
                <w:rFonts w:hint="eastAsia" w:ascii="宋体" w:hAnsi="宋体" w:cs="宋体"/>
                <w:b/>
                <w:bCs/>
                <w:sz w:val="18"/>
                <w:szCs w:val="18"/>
              </w:rPr>
              <w:t>上海同城数据中心</w:t>
            </w:r>
          </w:p>
        </w:tc>
        <w:tc>
          <w:tcPr>
            <w:tcW w:w="700" w:type="pct"/>
            <w:shd w:val="clear" w:color="auto" w:fill="auto"/>
            <w:noWrap/>
            <w:vAlign w:val="center"/>
          </w:tcPr>
          <w:p>
            <w:pPr>
              <w:spacing w:line="360" w:lineRule="auto"/>
              <w:jc w:val="center"/>
              <w:rPr>
                <w:rFonts w:ascii="宋体" w:hAnsi="宋体" w:cs="宋体"/>
                <w:b/>
                <w:bCs/>
                <w:sz w:val="18"/>
                <w:szCs w:val="18"/>
              </w:rPr>
            </w:pPr>
            <w:r>
              <w:rPr>
                <w:rFonts w:hint="eastAsia" w:ascii="宋体" w:hAnsi="宋体" w:cs="宋体"/>
                <w:b/>
                <w:bCs/>
                <w:sz w:val="18"/>
                <w:szCs w:val="18"/>
              </w:rPr>
              <w:t>上海周转房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0" w:type="pct"/>
            <w:shd w:val="clear" w:color="auto" w:fill="auto"/>
            <w:noWrap/>
            <w:vAlign w:val="center"/>
          </w:tcPr>
          <w:p>
            <w:pPr>
              <w:spacing w:line="360" w:lineRule="auto"/>
              <w:ind w:firstLine="651"/>
              <w:jc w:val="center"/>
              <w:rPr>
                <w:rFonts w:ascii="宋体" w:hAnsi="宋体" w:cs="宋体"/>
                <w:b/>
                <w:bCs/>
                <w:sz w:val="18"/>
                <w:szCs w:val="18"/>
              </w:rPr>
            </w:pPr>
            <w:r>
              <w:rPr>
                <w:rFonts w:ascii="宋体" w:hAnsi="宋体" w:cs="宋体"/>
                <w:b/>
                <w:bCs/>
                <w:sz w:val="18"/>
                <w:szCs w:val="18"/>
              </w:rPr>
              <w:t>1</w:t>
            </w:r>
            <w:r>
              <w:rPr>
                <w:rFonts w:ascii="宋体" w:hAnsi="宋体" w:cs="宋体"/>
                <w:bCs/>
                <w:sz w:val="18"/>
                <w:szCs w:val="18"/>
              </w:rPr>
              <w:t>1</w:t>
            </w:r>
          </w:p>
        </w:tc>
        <w:tc>
          <w:tcPr>
            <w:tcW w:w="2524" w:type="pct"/>
            <w:gridSpan w:val="2"/>
            <w:shd w:val="clear" w:color="auto" w:fill="auto"/>
            <w:noWrap/>
            <w:vAlign w:val="center"/>
          </w:tcPr>
          <w:p>
            <w:pPr>
              <w:spacing w:line="360" w:lineRule="auto"/>
              <w:rPr>
                <w:rFonts w:ascii="宋体" w:hAnsi="宋体" w:cs="宋体"/>
                <w:b/>
                <w:bCs/>
                <w:sz w:val="18"/>
                <w:szCs w:val="18"/>
              </w:rPr>
            </w:pPr>
            <w:r>
              <w:rPr>
                <w:rFonts w:hint="eastAsia" w:ascii="宋体" w:hAnsi="宋体" w:cs="宋体"/>
                <w:b/>
                <w:bCs/>
                <w:sz w:val="18"/>
                <w:szCs w:val="18"/>
              </w:rPr>
              <w:t>基础服务</w:t>
            </w:r>
          </w:p>
        </w:tc>
        <w:tc>
          <w:tcPr>
            <w:tcW w:w="730" w:type="pct"/>
            <w:shd w:val="clear" w:color="auto" w:fill="auto"/>
            <w:noWrap/>
            <w:vAlign w:val="center"/>
          </w:tcPr>
          <w:p>
            <w:pPr>
              <w:spacing w:line="360" w:lineRule="auto"/>
              <w:jc w:val="center"/>
              <w:rPr>
                <w:rFonts w:ascii="宋体" w:hAnsi="宋体" w:cs="宋体"/>
                <w:b/>
                <w:bCs/>
                <w:sz w:val="18"/>
                <w:szCs w:val="18"/>
              </w:rPr>
            </w:pPr>
            <w:r>
              <w:rPr>
                <w:rFonts w:hint="eastAsia" w:ascii="宋体" w:hAnsi="宋体" w:cs="宋体"/>
                <w:sz w:val="18"/>
                <w:szCs w:val="18"/>
              </w:rPr>
              <w:t>√</w:t>
            </w:r>
          </w:p>
        </w:tc>
        <w:tc>
          <w:tcPr>
            <w:tcW w:w="695" w:type="pct"/>
            <w:shd w:val="clear" w:color="auto" w:fill="auto"/>
            <w:noWrap/>
            <w:vAlign w:val="center"/>
          </w:tcPr>
          <w:p>
            <w:pPr>
              <w:spacing w:line="360" w:lineRule="auto"/>
              <w:jc w:val="center"/>
              <w:rPr>
                <w:rFonts w:ascii="宋体" w:hAnsi="宋体" w:cs="宋体"/>
                <w:b/>
                <w:bCs/>
                <w:sz w:val="18"/>
                <w:szCs w:val="18"/>
              </w:rPr>
            </w:pPr>
            <w:r>
              <w:rPr>
                <w:rFonts w:hint="eastAsia" w:ascii="宋体" w:hAnsi="宋体" w:cs="宋体"/>
                <w:sz w:val="18"/>
                <w:szCs w:val="18"/>
              </w:rPr>
              <w:t>√</w:t>
            </w:r>
          </w:p>
        </w:tc>
        <w:tc>
          <w:tcPr>
            <w:tcW w:w="700" w:type="pct"/>
            <w:shd w:val="clear" w:color="auto" w:fill="auto"/>
            <w:noWrap/>
            <w:vAlign w:val="center"/>
          </w:tcPr>
          <w:p>
            <w:pPr>
              <w:spacing w:line="360" w:lineRule="auto"/>
              <w:jc w:val="center"/>
              <w:rPr>
                <w:rFonts w:ascii="宋体" w:hAnsi="宋体" w:cs="宋体"/>
                <w:b/>
                <w:bCs/>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0" w:type="pct"/>
            <w:shd w:val="clear" w:color="auto" w:fill="auto"/>
            <w:noWrap/>
            <w:vAlign w:val="center"/>
          </w:tcPr>
          <w:p>
            <w:pPr>
              <w:spacing w:line="360" w:lineRule="auto"/>
              <w:jc w:val="center"/>
              <w:rPr>
                <w:rFonts w:ascii="宋体" w:hAnsi="宋体" w:cs="宋体"/>
                <w:sz w:val="18"/>
                <w:szCs w:val="18"/>
              </w:rPr>
            </w:pPr>
            <w:r>
              <w:rPr>
                <w:rFonts w:hint="eastAsia" w:ascii="宋体" w:hAnsi="宋体" w:cs="宋体"/>
                <w:sz w:val="18"/>
                <w:szCs w:val="18"/>
              </w:rPr>
              <w:t>2</w:t>
            </w:r>
          </w:p>
        </w:tc>
        <w:tc>
          <w:tcPr>
            <w:tcW w:w="2524" w:type="pct"/>
            <w:gridSpan w:val="2"/>
            <w:shd w:val="clear" w:color="auto" w:fill="auto"/>
            <w:noWrap/>
            <w:vAlign w:val="center"/>
          </w:tcPr>
          <w:p>
            <w:pPr>
              <w:spacing w:line="360" w:lineRule="auto"/>
              <w:jc w:val="left"/>
              <w:rPr>
                <w:rFonts w:ascii="宋体" w:hAnsi="宋体" w:cs="宋体"/>
                <w:sz w:val="18"/>
                <w:szCs w:val="18"/>
              </w:rPr>
            </w:pPr>
            <w:r>
              <w:rPr>
                <w:rFonts w:hint="eastAsia" w:ascii="宋体" w:hAnsi="宋体" w:cs="宋体"/>
                <w:sz w:val="18"/>
                <w:szCs w:val="18"/>
              </w:rPr>
              <w:t>卫生保洁服务</w:t>
            </w:r>
          </w:p>
        </w:tc>
        <w:tc>
          <w:tcPr>
            <w:tcW w:w="730" w:type="pct"/>
            <w:shd w:val="clear" w:color="auto" w:fill="auto"/>
            <w:noWrap/>
            <w:vAlign w:val="center"/>
          </w:tcPr>
          <w:p>
            <w:pPr>
              <w:spacing w:line="360" w:lineRule="auto"/>
              <w:jc w:val="center"/>
              <w:rPr>
                <w:rFonts w:ascii="宋体" w:hAnsi="宋体" w:cs="宋体"/>
                <w:sz w:val="18"/>
                <w:szCs w:val="18"/>
              </w:rPr>
            </w:pPr>
            <w:r>
              <w:rPr>
                <w:rFonts w:hint="eastAsia" w:ascii="宋体" w:hAnsi="宋体" w:cs="宋体"/>
                <w:sz w:val="18"/>
                <w:szCs w:val="18"/>
              </w:rPr>
              <w:t>√</w:t>
            </w:r>
          </w:p>
        </w:tc>
        <w:tc>
          <w:tcPr>
            <w:tcW w:w="695" w:type="pct"/>
            <w:shd w:val="clear" w:color="auto" w:fill="auto"/>
            <w:noWrap/>
            <w:vAlign w:val="center"/>
          </w:tcPr>
          <w:p>
            <w:pPr>
              <w:spacing w:line="360" w:lineRule="auto"/>
              <w:jc w:val="center"/>
              <w:rPr>
                <w:rFonts w:ascii="宋体" w:hAnsi="宋体" w:cs="宋体"/>
                <w:sz w:val="18"/>
                <w:szCs w:val="18"/>
              </w:rPr>
            </w:pPr>
            <w:r>
              <w:rPr>
                <w:rFonts w:hint="eastAsia" w:ascii="宋体" w:hAnsi="宋体" w:cs="宋体"/>
                <w:sz w:val="18"/>
                <w:szCs w:val="18"/>
              </w:rPr>
              <w:t>√</w:t>
            </w:r>
          </w:p>
        </w:tc>
        <w:tc>
          <w:tcPr>
            <w:tcW w:w="700" w:type="pct"/>
            <w:shd w:val="clear" w:color="auto" w:fill="auto"/>
            <w:noWrap/>
            <w:vAlign w:val="center"/>
          </w:tcPr>
          <w:p>
            <w:pPr>
              <w:spacing w:line="360" w:lineRule="auto"/>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0" w:type="pct"/>
            <w:vMerge w:val="restart"/>
            <w:shd w:val="clear" w:color="auto" w:fill="auto"/>
            <w:noWrap/>
            <w:vAlign w:val="center"/>
          </w:tcPr>
          <w:p>
            <w:pPr>
              <w:spacing w:line="360" w:lineRule="auto"/>
              <w:jc w:val="center"/>
              <w:rPr>
                <w:rFonts w:ascii="宋体" w:hAnsi="宋体" w:cs="宋体"/>
                <w:sz w:val="18"/>
                <w:szCs w:val="18"/>
              </w:rPr>
            </w:pPr>
            <w:r>
              <w:rPr>
                <w:rFonts w:hint="eastAsia" w:ascii="宋体" w:hAnsi="宋体" w:cs="宋体"/>
                <w:sz w:val="18"/>
                <w:szCs w:val="18"/>
              </w:rPr>
              <w:t>3</w:t>
            </w:r>
          </w:p>
        </w:tc>
        <w:tc>
          <w:tcPr>
            <w:tcW w:w="983" w:type="pct"/>
            <w:vMerge w:val="restart"/>
            <w:shd w:val="clear" w:color="auto" w:fill="auto"/>
            <w:noWrap/>
            <w:vAlign w:val="center"/>
          </w:tcPr>
          <w:p>
            <w:pPr>
              <w:spacing w:line="360" w:lineRule="auto"/>
              <w:jc w:val="left"/>
              <w:rPr>
                <w:rFonts w:ascii="宋体" w:hAnsi="宋体" w:cs="宋体"/>
                <w:sz w:val="18"/>
                <w:szCs w:val="18"/>
              </w:rPr>
            </w:pPr>
            <w:r>
              <w:rPr>
                <w:rFonts w:hint="eastAsia" w:ascii="宋体" w:hAnsi="宋体" w:cs="宋体"/>
                <w:sz w:val="18"/>
                <w:szCs w:val="18"/>
              </w:rPr>
              <w:t>绿化服务</w:t>
            </w:r>
          </w:p>
        </w:tc>
        <w:tc>
          <w:tcPr>
            <w:tcW w:w="1541" w:type="pct"/>
            <w:shd w:val="clear" w:color="auto" w:fill="auto"/>
            <w:noWrap/>
            <w:vAlign w:val="center"/>
          </w:tcPr>
          <w:p>
            <w:pPr>
              <w:spacing w:line="360" w:lineRule="auto"/>
              <w:jc w:val="left"/>
              <w:rPr>
                <w:rFonts w:ascii="宋体" w:hAnsi="宋体" w:cs="宋体"/>
                <w:sz w:val="18"/>
                <w:szCs w:val="18"/>
              </w:rPr>
            </w:pPr>
            <w:r>
              <w:rPr>
                <w:rFonts w:hint="eastAsia" w:ascii="宋体" w:hAnsi="宋体" w:cs="宋体"/>
                <w:sz w:val="18"/>
                <w:szCs w:val="18"/>
              </w:rPr>
              <w:t>室内绿化摆放</w:t>
            </w:r>
          </w:p>
        </w:tc>
        <w:tc>
          <w:tcPr>
            <w:tcW w:w="730" w:type="pct"/>
            <w:shd w:val="clear" w:color="auto" w:fill="auto"/>
            <w:noWrap/>
            <w:vAlign w:val="center"/>
          </w:tcPr>
          <w:p>
            <w:pPr>
              <w:spacing w:line="360" w:lineRule="auto"/>
              <w:jc w:val="center"/>
              <w:rPr>
                <w:rFonts w:ascii="宋体" w:hAnsi="宋体" w:cs="宋体"/>
                <w:sz w:val="18"/>
                <w:szCs w:val="18"/>
              </w:rPr>
            </w:pPr>
            <w:r>
              <w:rPr>
                <w:rFonts w:hint="eastAsia" w:ascii="宋体" w:hAnsi="宋体" w:cs="宋体"/>
                <w:sz w:val="18"/>
                <w:szCs w:val="18"/>
              </w:rPr>
              <w:t>√</w:t>
            </w:r>
          </w:p>
        </w:tc>
        <w:tc>
          <w:tcPr>
            <w:tcW w:w="695" w:type="pct"/>
            <w:shd w:val="clear" w:color="auto" w:fill="auto"/>
            <w:noWrap/>
            <w:vAlign w:val="center"/>
          </w:tcPr>
          <w:p>
            <w:pPr>
              <w:spacing w:line="360" w:lineRule="auto"/>
              <w:jc w:val="center"/>
              <w:rPr>
                <w:rFonts w:ascii="宋体" w:hAnsi="宋体" w:cs="宋体"/>
                <w:sz w:val="18"/>
                <w:szCs w:val="18"/>
              </w:rPr>
            </w:pPr>
            <w:r>
              <w:rPr>
                <w:rFonts w:hint="eastAsia" w:ascii="宋体" w:hAnsi="宋体" w:cs="宋体"/>
                <w:sz w:val="18"/>
                <w:szCs w:val="18"/>
              </w:rPr>
              <w:t>√</w:t>
            </w:r>
          </w:p>
        </w:tc>
        <w:tc>
          <w:tcPr>
            <w:tcW w:w="700" w:type="pct"/>
            <w:shd w:val="clear" w:color="auto" w:fill="auto"/>
            <w:noWrap/>
            <w:vAlign w:val="center"/>
          </w:tcPr>
          <w:p>
            <w:pPr>
              <w:spacing w:line="360" w:lineRule="auto"/>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0" w:type="pct"/>
            <w:vMerge w:val="continue"/>
            <w:shd w:val="clear" w:color="auto" w:fill="auto"/>
            <w:noWrap/>
            <w:vAlign w:val="center"/>
          </w:tcPr>
          <w:p>
            <w:pPr>
              <w:spacing w:line="360" w:lineRule="auto"/>
              <w:jc w:val="center"/>
              <w:rPr>
                <w:rFonts w:ascii="宋体" w:hAnsi="宋体" w:cs="宋体"/>
                <w:sz w:val="18"/>
                <w:szCs w:val="18"/>
              </w:rPr>
            </w:pPr>
          </w:p>
        </w:tc>
        <w:tc>
          <w:tcPr>
            <w:tcW w:w="983" w:type="pct"/>
            <w:vMerge w:val="continue"/>
            <w:shd w:val="clear" w:color="auto" w:fill="auto"/>
            <w:noWrap/>
            <w:vAlign w:val="center"/>
          </w:tcPr>
          <w:p>
            <w:pPr>
              <w:spacing w:line="360" w:lineRule="auto"/>
              <w:jc w:val="left"/>
              <w:rPr>
                <w:rFonts w:ascii="宋体" w:hAnsi="宋体" w:cs="宋体"/>
                <w:sz w:val="18"/>
                <w:szCs w:val="18"/>
              </w:rPr>
            </w:pPr>
          </w:p>
        </w:tc>
        <w:tc>
          <w:tcPr>
            <w:tcW w:w="1541" w:type="pct"/>
            <w:shd w:val="clear" w:color="auto" w:fill="auto"/>
            <w:noWrap/>
            <w:vAlign w:val="center"/>
          </w:tcPr>
          <w:p>
            <w:pPr>
              <w:spacing w:line="360" w:lineRule="auto"/>
              <w:jc w:val="left"/>
              <w:rPr>
                <w:rFonts w:ascii="宋体" w:hAnsi="宋体" w:cs="宋体"/>
                <w:sz w:val="18"/>
                <w:szCs w:val="18"/>
              </w:rPr>
            </w:pPr>
            <w:r>
              <w:rPr>
                <w:rFonts w:hint="eastAsia" w:ascii="宋体" w:hAnsi="宋体" w:cs="宋体"/>
                <w:sz w:val="18"/>
                <w:szCs w:val="18"/>
              </w:rPr>
              <w:t>室外绿化养护</w:t>
            </w:r>
          </w:p>
        </w:tc>
        <w:tc>
          <w:tcPr>
            <w:tcW w:w="730" w:type="pct"/>
            <w:shd w:val="clear" w:color="auto" w:fill="auto"/>
            <w:noWrap/>
            <w:vAlign w:val="center"/>
          </w:tcPr>
          <w:p>
            <w:pPr>
              <w:spacing w:line="360" w:lineRule="auto"/>
              <w:jc w:val="center"/>
              <w:rPr>
                <w:rFonts w:ascii="宋体" w:hAnsi="宋体" w:cs="宋体"/>
                <w:sz w:val="18"/>
                <w:szCs w:val="18"/>
              </w:rPr>
            </w:pPr>
            <w:r>
              <w:rPr>
                <w:rFonts w:hint="eastAsia" w:ascii="宋体" w:hAnsi="宋体" w:cs="宋体"/>
                <w:sz w:val="18"/>
                <w:szCs w:val="18"/>
              </w:rPr>
              <w:t>√</w:t>
            </w:r>
          </w:p>
        </w:tc>
        <w:tc>
          <w:tcPr>
            <w:tcW w:w="695" w:type="pct"/>
            <w:shd w:val="clear" w:color="auto" w:fill="auto"/>
            <w:noWrap/>
            <w:vAlign w:val="center"/>
          </w:tcPr>
          <w:p>
            <w:pPr>
              <w:spacing w:line="360" w:lineRule="auto"/>
              <w:jc w:val="center"/>
              <w:rPr>
                <w:rFonts w:ascii="宋体" w:hAnsi="宋体" w:cs="宋体"/>
                <w:sz w:val="18"/>
                <w:szCs w:val="18"/>
              </w:rPr>
            </w:pPr>
            <w:r>
              <w:rPr>
                <w:rFonts w:hint="eastAsia" w:ascii="宋体" w:hAnsi="宋体" w:cs="宋体"/>
                <w:sz w:val="18"/>
                <w:szCs w:val="18"/>
              </w:rPr>
              <w:t>√</w:t>
            </w:r>
          </w:p>
        </w:tc>
        <w:tc>
          <w:tcPr>
            <w:tcW w:w="700" w:type="pct"/>
            <w:shd w:val="clear" w:color="auto" w:fill="auto"/>
            <w:noWrap/>
            <w:vAlign w:val="center"/>
          </w:tcPr>
          <w:p>
            <w:pPr>
              <w:spacing w:line="360" w:lineRule="auto"/>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350" w:type="pct"/>
            <w:shd w:val="clear" w:color="auto" w:fill="auto"/>
            <w:noWrap/>
            <w:vAlign w:val="center"/>
          </w:tcPr>
          <w:p>
            <w:pPr>
              <w:spacing w:line="360" w:lineRule="auto"/>
              <w:jc w:val="center"/>
              <w:rPr>
                <w:rFonts w:ascii="宋体" w:hAnsi="宋体" w:cs="宋体"/>
                <w:sz w:val="18"/>
                <w:szCs w:val="18"/>
              </w:rPr>
            </w:pPr>
            <w:r>
              <w:rPr>
                <w:rFonts w:hint="eastAsia" w:ascii="宋体" w:hAnsi="宋体" w:cs="宋体"/>
                <w:sz w:val="18"/>
                <w:szCs w:val="18"/>
              </w:rPr>
              <w:t>4</w:t>
            </w:r>
          </w:p>
        </w:tc>
        <w:tc>
          <w:tcPr>
            <w:tcW w:w="983" w:type="pct"/>
            <w:shd w:val="clear" w:color="auto" w:fill="auto"/>
            <w:noWrap/>
            <w:vAlign w:val="center"/>
          </w:tcPr>
          <w:p>
            <w:pPr>
              <w:spacing w:line="360" w:lineRule="auto"/>
              <w:jc w:val="left"/>
              <w:rPr>
                <w:rFonts w:ascii="宋体" w:hAnsi="宋体" w:cs="宋体"/>
                <w:sz w:val="18"/>
                <w:szCs w:val="18"/>
              </w:rPr>
            </w:pPr>
            <w:r>
              <w:rPr>
                <w:rFonts w:hint="eastAsia" w:ascii="宋体" w:hAnsi="宋体" w:cs="宋体"/>
                <w:sz w:val="18"/>
                <w:szCs w:val="18"/>
              </w:rPr>
              <w:t>会议服务</w:t>
            </w:r>
          </w:p>
        </w:tc>
        <w:tc>
          <w:tcPr>
            <w:tcW w:w="1541" w:type="pct"/>
            <w:shd w:val="clear" w:color="auto" w:fill="auto"/>
            <w:noWrap/>
            <w:vAlign w:val="center"/>
          </w:tcPr>
          <w:p>
            <w:pPr>
              <w:spacing w:line="360" w:lineRule="auto"/>
              <w:jc w:val="left"/>
              <w:rPr>
                <w:rFonts w:ascii="宋体" w:hAnsi="宋体" w:cs="宋体"/>
                <w:sz w:val="18"/>
                <w:szCs w:val="18"/>
              </w:rPr>
            </w:pPr>
            <w:r>
              <w:rPr>
                <w:rFonts w:hint="eastAsia" w:ascii="宋体" w:hAnsi="宋体" w:cs="宋体"/>
                <w:sz w:val="18"/>
                <w:szCs w:val="18"/>
              </w:rPr>
              <w:t>接待服务、会议保障、培训保障、活动保障、应急保障</w:t>
            </w:r>
          </w:p>
        </w:tc>
        <w:tc>
          <w:tcPr>
            <w:tcW w:w="730" w:type="pct"/>
            <w:shd w:val="clear" w:color="auto" w:fill="auto"/>
            <w:noWrap/>
            <w:vAlign w:val="center"/>
          </w:tcPr>
          <w:p>
            <w:pPr>
              <w:spacing w:line="360" w:lineRule="auto"/>
              <w:jc w:val="center"/>
              <w:rPr>
                <w:rFonts w:ascii="宋体" w:hAnsi="宋体" w:cs="宋体"/>
                <w:sz w:val="18"/>
                <w:szCs w:val="18"/>
              </w:rPr>
            </w:pPr>
            <w:r>
              <w:rPr>
                <w:rFonts w:hint="eastAsia" w:ascii="宋体" w:hAnsi="宋体" w:cs="宋体"/>
                <w:sz w:val="18"/>
                <w:szCs w:val="18"/>
              </w:rPr>
              <w:t>√</w:t>
            </w:r>
          </w:p>
        </w:tc>
        <w:tc>
          <w:tcPr>
            <w:tcW w:w="695" w:type="pct"/>
            <w:shd w:val="clear" w:color="auto" w:fill="auto"/>
            <w:noWrap/>
            <w:vAlign w:val="center"/>
          </w:tcPr>
          <w:p>
            <w:pPr>
              <w:spacing w:line="360" w:lineRule="auto"/>
              <w:jc w:val="center"/>
              <w:rPr>
                <w:rFonts w:ascii="宋体" w:hAnsi="宋体" w:cs="宋体"/>
                <w:sz w:val="18"/>
                <w:szCs w:val="18"/>
              </w:rPr>
            </w:pPr>
            <w:r>
              <w:rPr>
                <w:rFonts w:hint="eastAsia" w:ascii="宋体" w:hAnsi="宋体" w:cs="宋体"/>
                <w:sz w:val="18"/>
                <w:szCs w:val="18"/>
              </w:rPr>
              <w:t>√</w:t>
            </w:r>
          </w:p>
        </w:tc>
        <w:tc>
          <w:tcPr>
            <w:tcW w:w="700" w:type="pct"/>
            <w:shd w:val="clear" w:color="auto" w:fill="auto"/>
            <w:noWrap/>
            <w:vAlign w:val="center"/>
          </w:tcPr>
          <w:p>
            <w:pPr>
              <w:spacing w:line="360" w:lineRule="auto"/>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0" w:type="pct"/>
            <w:shd w:val="clear" w:color="auto" w:fill="auto"/>
            <w:noWrap/>
            <w:vAlign w:val="center"/>
          </w:tcPr>
          <w:p>
            <w:pPr>
              <w:spacing w:line="360" w:lineRule="auto"/>
              <w:jc w:val="center"/>
              <w:rPr>
                <w:rFonts w:ascii="宋体" w:hAnsi="宋体" w:cs="宋体"/>
                <w:sz w:val="18"/>
                <w:szCs w:val="18"/>
              </w:rPr>
            </w:pPr>
            <w:r>
              <w:rPr>
                <w:rFonts w:hint="eastAsia" w:ascii="宋体" w:hAnsi="宋体" w:cs="宋体"/>
                <w:sz w:val="18"/>
                <w:szCs w:val="18"/>
              </w:rPr>
              <w:t>5</w:t>
            </w:r>
          </w:p>
        </w:tc>
        <w:tc>
          <w:tcPr>
            <w:tcW w:w="983" w:type="pct"/>
            <w:shd w:val="clear" w:color="auto" w:fill="auto"/>
            <w:noWrap/>
            <w:vAlign w:val="center"/>
          </w:tcPr>
          <w:p>
            <w:pPr>
              <w:spacing w:line="360" w:lineRule="auto"/>
              <w:jc w:val="left"/>
              <w:rPr>
                <w:rFonts w:ascii="宋体" w:hAnsi="宋体" w:cs="宋体"/>
                <w:sz w:val="18"/>
                <w:szCs w:val="18"/>
              </w:rPr>
            </w:pPr>
            <w:r>
              <w:rPr>
                <w:rFonts w:hint="eastAsia" w:ascii="宋体" w:hAnsi="宋体" w:cs="宋体"/>
                <w:sz w:val="18"/>
                <w:szCs w:val="18"/>
              </w:rPr>
              <w:t>传达收发服务</w:t>
            </w:r>
          </w:p>
        </w:tc>
        <w:tc>
          <w:tcPr>
            <w:tcW w:w="1541" w:type="pct"/>
            <w:shd w:val="clear" w:color="auto" w:fill="auto"/>
            <w:noWrap/>
            <w:vAlign w:val="center"/>
          </w:tcPr>
          <w:p>
            <w:pPr>
              <w:spacing w:line="360" w:lineRule="auto"/>
              <w:jc w:val="left"/>
              <w:rPr>
                <w:rFonts w:ascii="宋体" w:hAnsi="宋体" w:cs="宋体"/>
                <w:sz w:val="18"/>
                <w:szCs w:val="18"/>
              </w:rPr>
            </w:pPr>
            <w:r>
              <w:rPr>
                <w:rFonts w:hint="eastAsia" w:ascii="宋体" w:hAnsi="宋体" w:cs="宋体"/>
                <w:sz w:val="18"/>
                <w:szCs w:val="18"/>
              </w:rPr>
              <w:t>服务热线、周转房服务、园区住宿用房管理、统筹协调</w:t>
            </w:r>
          </w:p>
        </w:tc>
        <w:tc>
          <w:tcPr>
            <w:tcW w:w="730" w:type="pct"/>
            <w:shd w:val="clear" w:color="auto" w:fill="auto"/>
            <w:noWrap/>
            <w:vAlign w:val="center"/>
          </w:tcPr>
          <w:p>
            <w:pPr>
              <w:spacing w:line="360" w:lineRule="auto"/>
              <w:jc w:val="center"/>
              <w:rPr>
                <w:rFonts w:ascii="宋体" w:hAnsi="宋体" w:cs="宋体"/>
                <w:sz w:val="18"/>
                <w:szCs w:val="18"/>
              </w:rPr>
            </w:pPr>
            <w:r>
              <w:rPr>
                <w:rFonts w:hint="eastAsia" w:ascii="宋体" w:hAnsi="宋体" w:cs="宋体"/>
                <w:sz w:val="18"/>
                <w:szCs w:val="18"/>
              </w:rPr>
              <w:t>√</w:t>
            </w:r>
          </w:p>
        </w:tc>
        <w:tc>
          <w:tcPr>
            <w:tcW w:w="695" w:type="pct"/>
            <w:shd w:val="clear" w:color="auto" w:fill="auto"/>
            <w:noWrap/>
            <w:vAlign w:val="center"/>
          </w:tcPr>
          <w:p>
            <w:pPr>
              <w:spacing w:line="360" w:lineRule="auto"/>
              <w:jc w:val="center"/>
              <w:rPr>
                <w:rFonts w:ascii="宋体" w:hAnsi="宋体" w:cs="宋体"/>
                <w:sz w:val="18"/>
                <w:szCs w:val="18"/>
              </w:rPr>
            </w:pPr>
            <w:r>
              <w:rPr>
                <w:rFonts w:hint="eastAsia" w:ascii="宋体" w:hAnsi="宋体" w:cs="宋体"/>
                <w:sz w:val="18"/>
                <w:szCs w:val="18"/>
              </w:rPr>
              <w:t>√</w:t>
            </w:r>
          </w:p>
        </w:tc>
        <w:tc>
          <w:tcPr>
            <w:tcW w:w="700" w:type="pct"/>
            <w:shd w:val="clear" w:color="auto" w:fill="auto"/>
            <w:noWrap/>
            <w:vAlign w:val="center"/>
          </w:tcPr>
          <w:p>
            <w:pPr>
              <w:spacing w:line="360" w:lineRule="auto"/>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0" w:type="pct"/>
            <w:vMerge w:val="restart"/>
            <w:shd w:val="clear" w:color="auto" w:fill="auto"/>
            <w:noWrap/>
            <w:vAlign w:val="center"/>
          </w:tcPr>
          <w:p>
            <w:pPr>
              <w:spacing w:line="360" w:lineRule="auto"/>
              <w:jc w:val="center"/>
              <w:rPr>
                <w:rFonts w:ascii="宋体" w:hAnsi="宋体" w:cs="宋体"/>
                <w:sz w:val="18"/>
                <w:szCs w:val="18"/>
              </w:rPr>
            </w:pPr>
            <w:r>
              <w:rPr>
                <w:rFonts w:hint="eastAsia" w:ascii="宋体" w:hAnsi="宋体" w:cs="宋体"/>
                <w:sz w:val="18"/>
                <w:szCs w:val="18"/>
              </w:rPr>
              <w:t>6</w:t>
            </w:r>
          </w:p>
        </w:tc>
        <w:tc>
          <w:tcPr>
            <w:tcW w:w="983" w:type="pct"/>
            <w:vMerge w:val="restart"/>
            <w:shd w:val="clear" w:color="auto" w:fill="auto"/>
            <w:noWrap/>
            <w:vAlign w:val="center"/>
          </w:tcPr>
          <w:p>
            <w:pPr>
              <w:spacing w:line="360" w:lineRule="auto"/>
              <w:jc w:val="left"/>
              <w:rPr>
                <w:rFonts w:ascii="宋体" w:hAnsi="宋体" w:cs="宋体"/>
                <w:sz w:val="18"/>
                <w:szCs w:val="18"/>
              </w:rPr>
            </w:pPr>
            <w:r>
              <w:rPr>
                <w:rFonts w:hint="eastAsia" w:ascii="宋体" w:hAnsi="宋体" w:cs="宋体"/>
                <w:sz w:val="18"/>
                <w:szCs w:val="18"/>
              </w:rPr>
              <w:t>各类维修服务</w:t>
            </w:r>
          </w:p>
        </w:tc>
        <w:tc>
          <w:tcPr>
            <w:tcW w:w="1541" w:type="pct"/>
            <w:shd w:val="clear" w:color="auto" w:fill="auto"/>
            <w:noWrap/>
            <w:vAlign w:val="center"/>
          </w:tcPr>
          <w:p>
            <w:pPr>
              <w:spacing w:line="360" w:lineRule="auto"/>
              <w:jc w:val="left"/>
              <w:rPr>
                <w:rFonts w:ascii="宋体" w:hAnsi="宋体" w:cs="宋体"/>
                <w:sz w:val="18"/>
                <w:szCs w:val="18"/>
              </w:rPr>
            </w:pPr>
            <w:r>
              <w:rPr>
                <w:rFonts w:hint="eastAsia" w:ascii="宋体" w:hAnsi="宋体" w:cs="宋体"/>
                <w:sz w:val="18"/>
                <w:szCs w:val="18"/>
              </w:rPr>
              <w:t>房屋养护修缮</w:t>
            </w:r>
          </w:p>
        </w:tc>
        <w:tc>
          <w:tcPr>
            <w:tcW w:w="730" w:type="pct"/>
            <w:shd w:val="clear" w:color="auto" w:fill="auto"/>
            <w:noWrap/>
            <w:vAlign w:val="center"/>
          </w:tcPr>
          <w:p>
            <w:pPr>
              <w:spacing w:line="360" w:lineRule="auto"/>
              <w:jc w:val="center"/>
              <w:rPr>
                <w:rFonts w:ascii="宋体" w:hAnsi="宋体" w:cs="宋体"/>
                <w:sz w:val="18"/>
                <w:szCs w:val="18"/>
              </w:rPr>
            </w:pPr>
            <w:r>
              <w:rPr>
                <w:rFonts w:hint="eastAsia" w:ascii="宋体" w:hAnsi="宋体" w:cs="宋体"/>
                <w:sz w:val="18"/>
                <w:szCs w:val="18"/>
              </w:rPr>
              <w:t>√</w:t>
            </w:r>
          </w:p>
        </w:tc>
        <w:tc>
          <w:tcPr>
            <w:tcW w:w="695" w:type="pct"/>
            <w:shd w:val="clear" w:color="auto" w:fill="auto"/>
            <w:noWrap/>
            <w:vAlign w:val="center"/>
          </w:tcPr>
          <w:p>
            <w:pPr>
              <w:spacing w:line="360" w:lineRule="auto"/>
              <w:jc w:val="center"/>
              <w:rPr>
                <w:rFonts w:ascii="宋体" w:hAnsi="宋体" w:cs="宋体"/>
                <w:sz w:val="18"/>
                <w:szCs w:val="18"/>
              </w:rPr>
            </w:pPr>
            <w:r>
              <w:rPr>
                <w:rFonts w:hint="eastAsia" w:ascii="宋体" w:hAnsi="宋体" w:cs="宋体"/>
                <w:sz w:val="18"/>
                <w:szCs w:val="18"/>
              </w:rPr>
              <w:t>√</w:t>
            </w:r>
          </w:p>
        </w:tc>
        <w:tc>
          <w:tcPr>
            <w:tcW w:w="700" w:type="pct"/>
            <w:shd w:val="clear" w:color="auto" w:fill="auto"/>
            <w:noWrap/>
            <w:vAlign w:val="center"/>
          </w:tcPr>
          <w:p>
            <w:pPr>
              <w:spacing w:line="360" w:lineRule="auto"/>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0" w:type="pct"/>
            <w:vMerge w:val="continue"/>
            <w:shd w:val="clear" w:color="auto" w:fill="auto"/>
            <w:noWrap/>
            <w:vAlign w:val="center"/>
          </w:tcPr>
          <w:p>
            <w:pPr>
              <w:spacing w:line="360" w:lineRule="auto"/>
              <w:jc w:val="center"/>
              <w:rPr>
                <w:rFonts w:ascii="宋体" w:hAnsi="宋体" w:cs="宋体"/>
                <w:sz w:val="18"/>
                <w:szCs w:val="18"/>
              </w:rPr>
            </w:pPr>
          </w:p>
        </w:tc>
        <w:tc>
          <w:tcPr>
            <w:tcW w:w="983" w:type="pct"/>
            <w:vMerge w:val="continue"/>
            <w:shd w:val="clear" w:color="auto" w:fill="auto"/>
            <w:noWrap/>
            <w:vAlign w:val="center"/>
          </w:tcPr>
          <w:p>
            <w:pPr>
              <w:spacing w:line="360" w:lineRule="auto"/>
              <w:jc w:val="left"/>
              <w:rPr>
                <w:rFonts w:ascii="宋体" w:hAnsi="宋体" w:cs="宋体"/>
                <w:sz w:val="18"/>
                <w:szCs w:val="18"/>
              </w:rPr>
            </w:pPr>
          </w:p>
        </w:tc>
        <w:tc>
          <w:tcPr>
            <w:tcW w:w="1541" w:type="pct"/>
            <w:shd w:val="clear" w:color="auto" w:fill="auto"/>
            <w:noWrap/>
            <w:vAlign w:val="center"/>
          </w:tcPr>
          <w:p>
            <w:pPr>
              <w:spacing w:line="360" w:lineRule="auto"/>
              <w:jc w:val="left"/>
              <w:rPr>
                <w:rFonts w:ascii="宋体" w:hAnsi="宋体" w:cs="宋体"/>
                <w:sz w:val="18"/>
                <w:szCs w:val="18"/>
              </w:rPr>
            </w:pPr>
            <w:r>
              <w:rPr>
                <w:rFonts w:hint="eastAsia" w:ascii="宋体" w:hAnsi="宋体" w:cs="宋体"/>
                <w:sz w:val="18"/>
                <w:szCs w:val="18"/>
              </w:rPr>
              <w:t>给排水系统运维</w:t>
            </w:r>
          </w:p>
        </w:tc>
        <w:tc>
          <w:tcPr>
            <w:tcW w:w="730" w:type="pct"/>
            <w:shd w:val="clear" w:color="auto" w:fill="auto"/>
            <w:noWrap/>
            <w:vAlign w:val="center"/>
          </w:tcPr>
          <w:p>
            <w:pPr>
              <w:spacing w:line="360" w:lineRule="auto"/>
              <w:jc w:val="center"/>
              <w:rPr>
                <w:rFonts w:ascii="宋体" w:hAnsi="宋体" w:cs="宋体"/>
                <w:sz w:val="18"/>
                <w:szCs w:val="18"/>
              </w:rPr>
            </w:pPr>
            <w:r>
              <w:rPr>
                <w:rFonts w:hint="eastAsia" w:ascii="宋体" w:hAnsi="宋体" w:cs="宋体"/>
                <w:sz w:val="18"/>
                <w:szCs w:val="18"/>
              </w:rPr>
              <w:t>√</w:t>
            </w:r>
          </w:p>
        </w:tc>
        <w:tc>
          <w:tcPr>
            <w:tcW w:w="695" w:type="pct"/>
            <w:shd w:val="clear" w:color="auto" w:fill="auto"/>
            <w:noWrap/>
            <w:vAlign w:val="center"/>
          </w:tcPr>
          <w:p>
            <w:pPr>
              <w:spacing w:line="360" w:lineRule="auto"/>
              <w:jc w:val="center"/>
              <w:rPr>
                <w:rFonts w:ascii="宋体" w:hAnsi="宋体" w:cs="宋体"/>
                <w:sz w:val="18"/>
                <w:szCs w:val="18"/>
              </w:rPr>
            </w:pPr>
            <w:r>
              <w:rPr>
                <w:rFonts w:hint="eastAsia" w:ascii="宋体" w:hAnsi="宋体" w:cs="宋体"/>
                <w:sz w:val="18"/>
                <w:szCs w:val="18"/>
              </w:rPr>
              <w:t>√</w:t>
            </w:r>
          </w:p>
        </w:tc>
        <w:tc>
          <w:tcPr>
            <w:tcW w:w="700" w:type="pct"/>
            <w:shd w:val="clear" w:color="auto" w:fill="auto"/>
            <w:noWrap/>
            <w:vAlign w:val="center"/>
          </w:tcPr>
          <w:p>
            <w:pPr>
              <w:spacing w:line="360" w:lineRule="auto"/>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0" w:type="pct"/>
            <w:vMerge w:val="continue"/>
            <w:shd w:val="clear" w:color="auto" w:fill="auto"/>
            <w:noWrap/>
            <w:vAlign w:val="center"/>
          </w:tcPr>
          <w:p>
            <w:pPr>
              <w:spacing w:line="360" w:lineRule="auto"/>
              <w:jc w:val="center"/>
              <w:rPr>
                <w:rFonts w:ascii="宋体" w:hAnsi="宋体" w:cs="宋体"/>
                <w:sz w:val="18"/>
                <w:szCs w:val="18"/>
              </w:rPr>
            </w:pPr>
          </w:p>
        </w:tc>
        <w:tc>
          <w:tcPr>
            <w:tcW w:w="983" w:type="pct"/>
            <w:vMerge w:val="continue"/>
            <w:shd w:val="clear" w:color="auto" w:fill="auto"/>
            <w:noWrap/>
            <w:vAlign w:val="center"/>
          </w:tcPr>
          <w:p>
            <w:pPr>
              <w:spacing w:line="360" w:lineRule="auto"/>
              <w:jc w:val="left"/>
              <w:rPr>
                <w:rFonts w:ascii="宋体" w:hAnsi="宋体" w:cs="宋体"/>
                <w:sz w:val="18"/>
                <w:szCs w:val="18"/>
              </w:rPr>
            </w:pPr>
          </w:p>
        </w:tc>
        <w:tc>
          <w:tcPr>
            <w:tcW w:w="1541" w:type="pct"/>
            <w:shd w:val="clear" w:color="auto" w:fill="auto"/>
            <w:noWrap/>
            <w:vAlign w:val="center"/>
          </w:tcPr>
          <w:p>
            <w:pPr>
              <w:spacing w:line="360" w:lineRule="auto"/>
              <w:jc w:val="left"/>
              <w:rPr>
                <w:rFonts w:ascii="宋体" w:hAnsi="宋体" w:cs="宋体"/>
                <w:sz w:val="18"/>
                <w:szCs w:val="18"/>
              </w:rPr>
            </w:pPr>
            <w:r>
              <w:rPr>
                <w:rFonts w:hint="eastAsia" w:ascii="宋体" w:hAnsi="宋体" w:cs="宋体"/>
                <w:sz w:val="18"/>
                <w:szCs w:val="18"/>
              </w:rPr>
              <w:t>0.4KV出线供电线路及末端设备维修</w:t>
            </w:r>
          </w:p>
        </w:tc>
        <w:tc>
          <w:tcPr>
            <w:tcW w:w="730" w:type="pct"/>
            <w:shd w:val="clear" w:color="auto" w:fill="auto"/>
            <w:noWrap/>
            <w:vAlign w:val="center"/>
          </w:tcPr>
          <w:p>
            <w:pPr>
              <w:spacing w:line="360" w:lineRule="auto"/>
              <w:jc w:val="center"/>
              <w:rPr>
                <w:rFonts w:ascii="宋体" w:hAnsi="宋体" w:cs="宋体"/>
                <w:sz w:val="18"/>
                <w:szCs w:val="18"/>
              </w:rPr>
            </w:pPr>
            <w:r>
              <w:rPr>
                <w:rFonts w:hint="eastAsia" w:ascii="宋体" w:hAnsi="宋体" w:cs="宋体"/>
                <w:sz w:val="18"/>
                <w:szCs w:val="18"/>
              </w:rPr>
              <w:t>√</w:t>
            </w:r>
          </w:p>
        </w:tc>
        <w:tc>
          <w:tcPr>
            <w:tcW w:w="695" w:type="pct"/>
            <w:shd w:val="clear" w:color="auto" w:fill="auto"/>
            <w:noWrap/>
            <w:vAlign w:val="center"/>
          </w:tcPr>
          <w:p>
            <w:pPr>
              <w:spacing w:line="360" w:lineRule="auto"/>
              <w:jc w:val="center"/>
              <w:rPr>
                <w:rFonts w:ascii="宋体" w:hAnsi="宋体" w:cs="宋体"/>
                <w:sz w:val="18"/>
                <w:szCs w:val="18"/>
              </w:rPr>
            </w:pPr>
            <w:r>
              <w:rPr>
                <w:rFonts w:hint="eastAsia" w:ascii="宋体" w:hAnsi="宋体" w:cs="宋体"/>
                <w:sz w:val="18"/>
                <w:szCs w:val="18"/>
              </w:rPr>
              <w:t>√</w:t>
            </w:r>
          </w:p>
        </w:tc>
        <w:tc>
          <w:tcPr>
            <w:tcW w:w="700" w:type="pct"/>
            <w:shd w:val="clear" w:color="auto" w:fill="auto"/>
            <w:noWrap/>
            <w:vAlign w:val="center"/>
          </w:tcPr>
          <w:p>
            <w:pPr>
              <w:spacing w:line="360" w:lineRule="auto"/>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350" w:type="pct"/>
            <w:vMerge w:val="continue"/>
            <w:shd w:val="clear" w:color="auto" w:fill="auto"/>
            <w:noWrap/>
            <w:vAlign w:val="center"/>
          </w:tcPr>
          <w:p>
            <w:pPr>
              <w:spacing w:line="360" w:lineRule="auto"/>
              <w:jc w:val="center"/>
              <w:rPr>
                <w:rFonts w:ascii="宋体" w:hAnsi="宋体" w:cs="宋体"/>
                <w:sz w:val="18"/>
                <w:szCs w:val="18"/>
              </w:rPr>
            </w:pPr>
          </w:p>
        </w:tc>
        <w:tc>
          <w:tcPr>
            <w:tcW w:w="983" w:type="pct"/>
            <w:vMerge w:val="continue"/>
            <w:shd w:val="clear" w:color="auto" w:fill="auto"/>
            <w:noWrap/>
            <w:vAlign w:val="center"/>
          </w:tcPr>
          <w:p>
            <w:pPr>
              <w:spacing w:line="360" w:lineRule="auto"/>
              <w:jc w:val="left"/>
              <w:rPr>
                <w:rFonts w:ascii="宋体" w:hAnsi="宋体" w:cs="宋体"/>
                <w:sz w:val="18"/>
                <w:szCs w:val="18"/>
              </w:rPr>
            </w:pPr>
          </w:p>
        </w:tc>
        <w:tc>
          <w:tcPr>
            <w:tcW w:w="1541" w:type="pct"/>
            <w:shd w:val="clear" w:color="auto" w:fill="auto"/>
            <w:noWrap/>
            <w:vAlign w:val="center"/>
          </w:tcPr>
          <w:p>
            <w:pPr>
              <w:spacing w:line="360" w:lineRule="auto"/>
              <w:jc w:val="left"/>
              <w:rPr>
                <w:rFonts w:ascii="宋体" w:hAnsi="宋体" w:cs="宋体"/>
                <w:sz w:val="18"/>
                <w:szCs w:val="18"/>
              </w:rPr>
            </w:pPr>
            <w:r>
              <w:rPr>
                <w:rFonts w:hint="eastAsia" w:ascii="宋体" w:hAnsi="宋体" w:cs="宋体"/>
                <w:sz w:val="18"/>
                <w:szCs w:val="18"/>
              </w:rPr>
              <w:t>燃气报警设备维保</w:t>
            </w:r>
          </w:p>
        </w:tc>
        <w:tc>
          <w:tcPr>
            <w:tcW w:w="730" w:type="pct"/>
            <w:shd w:val="clear" w:color="auto" w:fill="auto"/>
            <w:noWrap/>
            <w:vAlign w:val="center"/>
          </w:tcPr>
          <w:p>
            <w:pPr>
              <w:spacing w:line="360" w:lineRule="auto"/>
              <w:jc w:val="center"/>
              <w:rPr>
                <w:rFonts w:ascii="宋体" w:hAnsi="宋体" w:cs="宋体"/>
                <w:sz w:val="18"/>
                <w:szCs w:val="18"/>
              </w:rPr>
            </w:pPr>
            <w:r>
              <w:rPr>
                <w:rFonts w:hint="eastAsia" w:ascii="宋体" w:hAnsi="宋体" w:cs="宋体"/>
                <w:sz w:val="18"/>
                <w:szCs w:val="18"/>
              </w:rPr>
              <w:t>√</w:t>
            </w:r>
          </w:p>
        </w:tc>
        <w:tc>
          <w:tcPr>
            <w:tcW w:w="695" w:type="pct"/>
            <w:shd w:val="clear" w:color="auto" w:fill="auto"/>
            <w:noWrap/>
            <w:vAlign w:val="center"/>
          </w:tcPr>
          <w:p>
            <w:pPr>
              <w:spacing w:line="360" w:lineRule="auto"/>
              <w:jc w:val="center"/>
              <w:rPr>
                <w:rFonts w:ascii="宋体" w:hAnsi="宋体" w:cs="宋体"/>
                <w:sz w:val="18"/>
                <w:szCs w:val="18"/>
              </w:rPr>
            </w:pPr>
            <w:r>
              <w:rPr>
                <w:rFonts w:hint="eastAsia" w:ascii="宋体" w:hAnsi="宋体" w:cs="宋体"/>
                <w:sz w:val="18"/>
                <w:szCs w:val="18"/>
              </w:rPr>
              <w:t>/</w:t>
            </w:r>
          </w:p>
        </w:tc>
        <w:tc>
          <w:tcPr>
            <w:tcW w:w="700" w:type="pct"/>
            <w:shd w:val="clear" w:color="auto" w:fill="auto"/>
            <w:noWrap/>
            <w:vAlign w:val="center"/>
          </w:tcPr>
          <w:p>
            <w:pPr>
              <w:spacing w:line="360" w:lineRule="auto"/>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0" w:type="pct"/>
            <w:vMerge w:val="continue"/>
            <w:shd w:val="clear" w:color="auto" w:fill="auto"/>
            <w:noWrap/>
            <w:vAlign w:val="center"/>
          </w:tcPr>
          <w:p>
            <w:pPr>
              <w:spacing w:line="360" w:lineRule="auto"/>
              <w:jc w:val="center"/>
              <w:rPr>
                <w:rFonts w:ascii="宋体" w:hAnsi="宋体" w:cs="宋体"/>
                <w:sz w:val="18"/>
                <w:szCs w:val="18"/>
              </w:rPr>
            </w:pPr>
          </w:p>
        </w:tc>
        <w:tc>
          <w:tcPr>
            <w:tcW w:w="983" w:type="pct"/>
            <w:vMerge w:val="continue"/>
            <w:shd w:val="clear" w:color="auto" w:fill="auto"/>
            <w:noWrap/>
            <w:vAlign w:val="center"/>
          </w:tcPr>
          <w:p>
            <w:pPr>
              <w:spacing w:line="360" w:lineRule="auto"/>
              <w:jc w:val="left"/>
              <w:rPr>
                <w:rFonts w:ascii="宋体" w:hAnsi="宋体" w:cs="宋体"/>
                <w:sz w:val="18"/>
                <w:szCs w:val="18"/>
              </w:rPr>
            </w:pPr>
          </w:p>
        </w:tc>
        <w:tc>
          <w:tcPr>
            <w:tcW w:w="1541" w:type="pct"/>
            <w:shd w:val="clear" w:color="auto" w:fill="auto"/>
            <w:noWrap/>
            <w:vAlign w:val="center"/>
          </w:tcPr>
          <w:p>
            <w:pPr>
              <w:spacing w:line="360" w:lineRule="auto"/>
              <w:jc w:val="left"/>
              <w:rPr>
                <w:rFonts w:ascii="宋体" w:hAnsi="宋体" w:cs="宋体"/>
                <w:sz w:val="18"/>
                <w:szCs w:val="18"/>
              </w:rPr>
            </w:pPr>
            <w:r>
              <w:rPr>
                <w:rFonts w:hint="eastAsia" w:ascii="宋体" w:hAnsi="宋体" w:cs="宋体"/>
                <w:sz w:val="18"/>
                <w:szCs w:val="18"/>
              </w:rPr>
              <w:t>办公家具及饮水机维修</w:t>
            </w:r>
          </w:p>
        </w:tc>
        <w:tc>
          <w:tcPr>
            <w:tcW w:w="730" w:type="pct"/>
            <w:shd w:val="clear" w:color="auto" w:fill="auto"/>
            <w:noWrap/>
            <w:vAlign w:val="center"/>
          </w:tcPr>
          <w:p>
            <w:pPr>
              <w:spacing w:line="360" w:lineRule="auto"/>
              <w:jc w:val="center"/>
              <w:rPr>
                <w:rFonts w:ascii="宋体" w:hAnsi="宋体" w:cs="宋体"/>
                <w:sz w:val="18"/>
                <w:szCs w:val="18"/>
              </w:rPr>
            </w:pPr>
            <w:r>
              <w:rPr>
                <w:rFonts w:hint="eastAsia" w:ascii="宋体" w:hAnsi="宋体" w:cs="宋体"/>
                <w:sz w:val="18"/>
                <w:szCs w:val="18"/>
              </w:rPr>
              <w:t>√</w:t>
            </w:r>
          </w:p>
        </w:tc>
        <w:tc>
          <w:tcPr>
            <w:tcW w:w="695" w:type="pct"/>
            <w:shd w:val="clear" w:color="auto" w:fill="auto"/>
            <w:noWrap/>
            <w:vAlign w:val="center"/>
          </w:tcPr>
          <w:p>
            <w:pPr>
              <w:spacing w:line="360" w:lineRule="auto"/>
              <w:jc w:val="center"/>
              <w:rPr>
                <w:rFonts w:ascii="宋体" w:hAnsi="宋体" w:cs="宋体"/>
                <w:sz w:val="18"/>
                <w:szCs w:val="18"/>
              </w:rPr>
            </w:pPr>
            <w:r>
              <w:rPr>
                <w:rFonts w:hint="eastAsia" w:ascii="宋体" w:hAnsi="宋体" w:cs="宋体"/>
                <w:sz w:val="18"/>
                <w:szCs w:val="18"/>
              </w:rPr>
              <w:t>√</w:t>
            </w:r>
          </w:p>
        </w:tc>
        <w:tc>
          <w:tcPr>
            <w:tcW w:w="700" w:type="pct"/>
            <w:shd w:val="clear" w:color="auto" w:fill="auto"/>
            <w:noWrap/>
            <w:vAlign w:val="center"/>
          </w:tcPr>
          <w:p>
            <w:pPr>
              <w:spacing w:line="360" w:lineRule="auto"/>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0" w:type="pct"/>
            <w:shd w:val="clear" w:color="auto" w:fill="auto"/>
            <w:noWrap/>
            <w:vAlign w:val="center"/>
          </w:tcPr>
          <w:p>
            <w:pPr>
              <w:spacing w:line="360" w:lineRule="auto"/>
              <w:jc w:val="center"/>
              <w:rPr>
                <w:rFonts w:ascii="宋体" w:hAnsi="宋体" w:cs="宋体"/>
                <w:sz w:val="18"/>
                <w:szCs w:val="18"/>
              </w:rPr>
            </w:pPr>
            <w:r>
              <w:rPr>
                <w:rFonts w:hint="eastAsia" w:ascii="宋体" w:hAnsi="宋体" w:cs="宋体"/>
                <w:sz w:val="18"/>
                <w:szCs w:val="18"/>
              </w:rPr>
              <w:t>7</w:t>
            </w:r>
          </w:p>
        </w:tc>
        <w:tc>
          <w:tcPr>
            <w:tcW w:w="983" w:type="pct"/>
            <w:shd w:val="clear" w:color="auto" w:fill="auto"/>
            <w:noWrap/>
            <w:vAlign w:val="center"/>
          </w:tcPr>
          <w:p>
            <w:pPr>
              <w:spacing w:line="360" w:lineRule="auto"/>
              <w:jc w:val="left"/>
              <w:rPr>
                <w:rFonts w:ascii="宋体" w:hAnsi="宋体" w:cs="宋体"/>
                <w:sz w:val="18"/>
                <w:szCs w:val="18"/>
              </w:rPr>
            </w:pPr>
            <w:r>
              <w:rPr>
                <w:rFonts w:hint="eastAsia" w:ascii="宋体" w:hAnsi="宋体" w:cs="宋体"/>
                <w:sz w:val="18"/>
                <w:szCs w:val="18"/>
              </w:rPr>
              <w:t>对甲方独立发包项的配合</w:t>
            </w:r>
          </w:p>
        </w:tc>
        <w:tc>
          <w:tcPr>
            <w:tcW w:w="1541" w:type="pct"/>
            <w:shd w:val="clear" w:color="auto" w:fill="auto"/>
            <w:noWrap/>
            <w:vAlign w:val="center"/>
          </w:tcPr>
          <w:p>
            <w:pPr>
              <w:spacing w:line="360" w:lineRule="auto"/>
              <w:jc w:val="left"/>
              <w:rPr>
                <w:rFonts w:ascii="宋体" w:hAnsi="宋体" w:cs="宋体"/>
                <w:sz w:val="18"/>
                <w:szCs w:val="18"/>
              </w:rPr>
            </w:pPr>
          </w:p>
        </w:tc>
        <w:tc>
          <w:tcPr>
            <w:tcW w:w="730" w:type="pct"/>
            <w:shd w:val="clear" w:color="auto" w:fill="auto"/>
            <w:noWrap/>
            <w:vAlign w:val="center"/>
          </w:tcPr>
          <w:p>
            <w:pPr>
              <w:spacing w:line="360" w:lineRule="auto"/>
              <w:jc w:val="center"/>
              <w:rPr>
                <w:rFonts w:ascii="宋体" w:hAnsi="宋体" w:cs="宋体"/>
                <w:sz w:val="18"/>
                <w:szCs w:val="18"/>
              </w:rPr>
            </w:pPr>
            <w:r>
              <w:rPr>
                <w:rFonts w:hint="eastAsia" w:ascii="宋体" w:hAnsi="宋体" w:cs="宋体"/>
                <w:sz w:val="18"/>
                <w:szCs w:val="18"/>
              </w:rPr>
              <w:t>√</w:t>
            </w:r>
          </w:p>
        </w:tc>
        <w:tc>
          <w:tcPr>
            <w:tcW w:w="695" w:type="pct"/>
            <w:shd w:val="clear" w:color="auto" w:fill="auto"/>
            <w:noWrap/>
            <w:vAlign w:val="center"/>
          </w:tcPr>
          <w:p>
            <w:pPr>
              <w:spacing w:line="360" w:lineRule="auto"/>
              <w:jc w:val="center"/>
              <w:rPr>
                <w:rFonts w:ascii="宋体" w:hAnsi="宋体" w:cs="宋体"/>
                <w:sz w:val="18"/>
                <w:szCs w:val="18"/>
              </w:rPr>
            </w:pPr>
            <w:r>
              <w:rPr>
                <w:rFonts w:hint="eastAsia" w:ascii="宋体" w:hAnsi="宋体" w:cs="宋体"/>
                <w:sz w:val="18"/>
                <w:szCs w:val="18"/>
              </w:rPr>
              <w:t>√</w:t>
            </w:r>
          </w:p>
        </w:tc>
        <w:tc>
          <w:tcPr>
            <w:tcW w:w="700" w:type="pct"/>
            <w:shd w:val="clear" w:color="auto" w:fill="auto"/>
            <w:noWrap/>
            <w:vAlign w:val="center"/>
          </w:tcPr>
          <w:p>
            <w:pPr>
              <w:spacing w:line="360" w:lineRule="auto"/>
              <w:jc w:val="center"/>
              <w:rPr>
                <w:rFonts w:ascii="宋体" w:hAnsi="宋体" w:cs="宋体"/>
                <w:sz w:val="18"/>
                <w:szCs w:val="18"/>
              </w:rPr>
            </w:pPr>
            <w:r>
              <w:rPr>
                <w:rFonts w:hint="eastAsia" w:ascii="宋体" w:hAnsi="宋体" w:cs="宋体"/>
                <w:sz w:val="18"/>
                <w:szCs w:val="18"/>
              </w:rPr>
              <w:t>√</w:t>
            </w:r>
          </w:p>
        </w:tc>
      </w:tr>
      <w:bookmarkEnd w:id="1"/>
    </w:tbl>
    <w:p>
      <w:pPr>
        <w:spacing w:line="360" w:lineRule="auto"/>
        <w:ind w:left="-5" w:firstLine="320"/>
        <w:rPr>
          <w:rFonts w:ascii="宋体" w:hAnsi="宋体" w:cs="宋体"/>
          <w:color w:val="000000" w:themeColor="text1"/>
          <w14:textFill>
            <w14:solidFill>
              <w14:schemeClr w14:val="tx1"/>
            </w14:solidFill>
          </w14:textFill>
        </w:rPr>
      </w:pPr>
    </w:p>
    <w:p>
      <w:pPr>
        <w:spacing w:line="360" w:lineRule="auto"/>
        <w:ind w:left="-2" w:firstLine="281"/>
        <w:jc w:val="center"/>
        <w:rPr>
          <w:rFonts w:ascii="宋体" w:hAnsi="宋体" w:cs="宋体"/>
          <w:b/>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 xml:space="preserve">第三部分 </w:t>
      </w:r>
      <w:r>
        <w:rPr>
          <w:rFonts w:hint="eastAsia" w:ascii="宋体" w:hAnsi="宋体" w:cs="宋体"/>
          <w:b/>
          <w:color w:val="000000" w:themeColor="text1"/>
          <w:sz w:val="28"/>
          <w:szCs w:val="28"/>
          <w14:textFill>
            <w14:solidFill>
              <w14:schemeClr w14:val="tx1"/>
            </w14:solidFill>
          </w14:textFill>
        </w:rPr>
        <w:t>服务内容与质量</w:t>
      </w:r>
    </w:p>
    <w:p>
      <w:pPr>
        <w:spacing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物业服务内容及质量按照本合同的采购需求和保证承诺提供，具体内容详见附件三和附件四。</w:t>
      </w:r>
    </w:p>
    <w:bookmarkEnd w:id="0"/>
    <w:p>
      <w:pPr>
        <w:spacing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3.2物业管理目标：为项目创造文明、洁净的工作环境，提供舒适、温馨、周到的综合服务。</w:t>
      </w:r>
    </w:p>
    <w:p>
      <w:pPr>
        <w:spacing w:line="360" w:lineRule="auto"/>
        <w:ind w:left="-19" w:firstLine="480" w:firstLineChars="200"/>
        <w:rPr>
          <w:rFonts w:ascii="宋体" w:hAnsi="宋体" w:cs="宋体"/>
          <w:color w:val="000000" w:themeColor="text1"/>
          <w14:textFill>
            <w14:solidFill>
              <w14:schemeClr w14:val="tx1"/>
            </w14:solidFill>
          </w14:textFill>
        </w:rPr>
      </w:pPr>
    </w:p>
    <w:p>
      <w:pPr>
        <w:spacing w:line="360" w:lineRule="auto"/>
        <w:ind w:left="-2" w:firstLine="281"/>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第四部分 履行期限</w:t>
      </w:r>
    </w:p>
    <w:p>
      <w:pPr>
        <w:wordWrap w:val="0"/>
        <w:overflowPunct w:val="0"/>
        <w:topLinePunct/>
        <w:autoSpaceDE w:val="0"/>
        <w:autoSpaceDN w:val="0"/>
        <w:snapToGrid w:val="0"/>
        <w:spacing w:line="360" w:lineRule="auto"/>
        <w:ind w:left="-19" w:firstLine="48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4.1本合同履约期限自合同签订之日起，至合同签订后一年止。</w:t>
      </w:r>
    </w:p>
    <w:p>
      <w:pPr>
        <w:pStyle w:val="11"/>
        <w:spacing w:line="360" w:lineRule="auto"/>
        <w:ind w:left="-19" w:firstLine="480"/>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4.2履约考核。合同期内，甲方对乙方进行考核</w:t>
      </w:r>
      <w:bookmarkStart w:id="2" w:name="OLE_LINK12"/>
      <w:r>
        <w:rPr>
          <w:rFonts w:hint="eastAsia"/>
          <w:color w:val="000000" w:themeColor="text1"/>
          <w:szCs w:val="21"/>
          <w14:textFill>
            <w14:solidFill>
              <w14:schemeClr w14:val="tx1"/>
            </w14:solidFill>
          </w14:textFill>
        </w:rPr>
        <w:t>，考核内容详见附件六。</w:t>
      </w:r>
      <w:r>
        <w:rPr>
          <w:rFonts w:hint="eastAsia"/>
          <w:bCs/>
          <w:color w:val="000000" w:themeColor="text1"/>
          <w:szCs w:val="21"/>
          <w14:textFill>
            <w14:solidFill>
              <w14:schemeClr w14:val="tx1"/>
            </w14:solidFill>
          </w14:textFill>
        </w:rPr>
        <w:t>季度考核合格则支付本季度物业费</w:t>
      </w:r>
      <w:bookmarkEnd w:id="2"/>
      <w:r>
        <w:rPr>
          <w:rFonts w:hint="eastAsia"/>
          <w:bCs/>
          <w:color w:val="000000" w:themeColor="text1"/>
          <w:szCs w:val="21"/>
          <w14:textFill>
            <w14:solidFill>
              <w14:schemeClr w14:val="tx1"/>
            </w14:solidFill>
          </w14:textFill>
        </w:rPr>
        <w:t>；连续二次季度考核不合格，甲方可单方面终止合同，并不向乙方支付任何赔偿费用。</w:t>
      </w:r>
    </w:p>
    <w:p>
      <w:pPr>
        <w:spacing w:before="259" w:line="371" w:lineRule="auto"/>
        <w:ind w:left="-5" w:right="413" w:firstLine="32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4.3续签条款。若乙方的服务质量满足甲方要求，在服务内容和要求不变情况下，甲方可根据实际需要续签服务合同，最多续签2次。续签前甲乙双方可在合同到期前就本项目服务下年度续签进行商务谈判议定价格，合同续签内容以甲乙双方正式签订的书面合同为准，原则上只有在上海市最低工资标准上调的情形方可调整续签合同价款；如无其他特殊情况，原则上续签合同价款不得高于本合同价款。</w:t>
      </w:r>
    </w:p>
    <w:p>
      <w:pPr>
        <w:spacing w:line="360" w:lineRule="auto"/>
        <w:ind w:left="-19" w:firstLine="48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物业服务终止时，乙方应向甲方移交运行良好的设备、状态完好的设施、干净整洁</w:t>
      </w:r>
      <w:r>
        <w:rPr>
          <w:rFonts w:hint="eastAsia" w:ascii="宋体" w:hAnsi="宋体" w:cs="宋体"/>
          <w:color w:val="000000" w:themeColor="text1"/>
          <w:szCs w:val="24"/>
          <w14:textFill>
            <w14:solidFill>
              <w14:schemeClr w14:val="tx1"/>
            </w14:solidFill>
          </w14:textFill>
        </w:rPr>
        <w:t>的工作区域，并应将物业服务用房、设备设施及物业服务相关资料等属于甲方所有的财物及时完整地移交给甲方。</w:t>
      </w:r>
    </w:p>
    <w:p>
      <w:pPr>
        <w:spacing w:line="360" w:lineRule="auto"/>
        <w:ind w:left="-19" w:firstLine="480" w:firstLineChars="200"/>
        <w:rPr>
          <w:rFonts w:ascii="宋体" w:hAnsi="宋体" w:cs="宋体"/>
          <w:color w:val="000000" w:themeColor="text1"/>
          <w14:textFill>
            <w14:solidFill>
              <w14:schemeClr w14:val="tx1"/>
            </w14:solidFill>
          </w14:textFill>
        </w:rPr>
      </w:pPr>
    </w:p>
    <w:p>
      <w:pPr>
        <w:spacing w:line="360" w:lineRule="auto"/>
        <w:ind w:left="-2" w:firstLine="281"/>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第五部分合同价款及支付方式</w:t>
      </w:r>
    </w:p>
    <w:p>
      <w:pPr>
        <w:tabs>
          <w:tab w:val="left" w:pos="900"/>
        </w:tabs>
        <w:spacing w:line="480" w:lineRule="exact"/>
        <w:ind w:left="-19"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5.1根据中标通知书，本合同的总金额为人民币（含税）：￥</w:t>
      </w:r>
      <w:r>
        <w:rPr>
          <w:rFonts w:hint="eastAsia" w:ascii="宋体" w:hAnsi="宋体"/>
          <w:color w:val="000000" w:themeColor="text1"/>
          <w:u w:val="single"/>
          <w14:textFill>
            <w14:solidFill>
              <w14:schemeClr w14:val="tx1"/>
            </w14:solidFill>
          </w14:textFill>
        </w:rPr>
        <w:t xml:space="preserve"> 11998072.9               </w:t>
      </w:r>
      <w:r>
        <w:rPr>
          <w:rFonts w:hint="eastAsia" w:ascii="宋体" w:hAnsi="宋体"/>
          <w:color w:val="000000" w:themeColor="text1"/>
          <w14:textFill>
            <w14:solidFill>
              <w14:schemeClr w14:val="tx1"/>
            </w14:solidFill>
          </w14:textFill>
        </w:rPr>
        <w:t>元整</w:t>
      </w:r>
      <w:r>
        <w:rPr>
          <w:rFonts w:ascii="宋体" w:hAnsi="宋体"/>
          <w:color w:val="000000" w:themeColor="text1"/>
          <w14:textFill>
            <w14:solidFill>
              <w14:schemeClr w14:val="tx1"/>
            </w14:solidFill>
          </w14:textFill>
        </w:rPr>
        <w:t>(大写：</w:t>
      </w:r>
      <w:r>
        <w:rPr>
          <w:rFonts w:hint="eastAsia" w:ascii="宋体" w:hAnsi="宋体"/>
          <w:color w:val="000000" w:themeColor="text1"/>
          <w14:textFill>
            <w14:solidFill>
              <w14:schemeClr w14:val="tx1"/>
            </w14:solidFill>
          </w14:textFill>
        </w:rPr>
        <w:t>人民币</w:t>
      </w:r>
      <w:r>
        <w:rPr>
          <w:rFonts w:hint="eastAsia" w:ascii="宋体" w:hAnsi="宋体"/>
          <w:color w:val="000000" w:themeColor="text1"/>
          <w:u w:val="single"/>
          <w14:textFill>
            <w14:solidFill>
              <w14:schemeClr w14:val="tx1"/>
            </w14:solidFill>
          </w14:textFill>
        </w:rPr>
        <w:t xml:space="preserve">  壹仟壹佰玖拾玖万捌仟零柒拾贰元玖角 </w:t>
      </w:r>
      <w:r>
        <w:rPr>
          <w:rFonts w:hint="eastAsia" w:ascii="宋体" w:hAnsi="宋体"/>
          <w:color w:val="000000" w:themeColor="text1"/>
          <w14:textFill>
            <w14:solidFill>
              <w14:schemeClr w14:val="tx1"/>
            </w14:solidFill>
          </w14:textFill>
        </w:rPr>
        <w:t>整</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，具体内容详见附件二。</w:t>
      </w:r>
    </w:p>
    <w:p>
      <w:pPr>
        <w:tabs>
          <w:tab w:val="left" w:pos="900"/>
        </w:tabs>
        <w:spacing w:line="480" w:lineRule="exact"/>
        <w:ind w:left="-19"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合同总金额为乙方在正确地完全履行本合同项下的义务后，甲方应支付给乙方的全部价款的数额，包括但不限于：人员费用、单次单件500元（含）以内的低值易耗品费用（不限次数）、单次单件500元（含）以内（不限次数）的维修零配件材料费、专业外包费用、聘请第三方机构开展专业工作的费用、行政办公费用、管理费用、</w:t>
      </w:r>
      <w:r>
        <w:rPr>
          <w:rFonts w:hint="eastAsia" w:ascii="宋体" w:hAnsi="宋体" w:cs="宋体"/>
          <w:color w:val="000000" w:themeColor="text1"/>
          <w14:textFill>
            <w14:solidFill>
              <w14:schemeClr w14:val="tx1"/>
            </w14:solidFill>
          </w14:textFill>
        </w:rPr>
        <w:t>固定资产及工具折旧摊销费用</w:t>
      </w:r>
      <w:r>
        <w:rPr>
          <w:rFonts w:hint="eastAsia" w:ascii="宋体" w:hAnsi="宋体"/>
          <w:color w:val="000000" w:themeColor="text1"/>
          <w14:textFill>
            <w14:solidFill>
              <w14:schemeClr w14:val="tx1"/>
            </w14:solidFill>
          </w14:textFill>
        </w:rPr>
        <w:t>、法定税费以及与履行本合同义务有关的所有费用。除上述金额外，甲方不再向乙方支付其他任何费用。</w:t>
      </w:r>
    </w:p>
    <w:p>
      <w:pPr>
        <w:tabs>
          <w:tab w:val="left" w:pos="900"/>
        </w:tabs>
        <w:spacing w:line="480" w:lineRule="exact"/>
        <w:ind w:left="-19"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单次单件超过500元的维修零配件材料，乙方需向甲方申请安装维修申报故障，经甲方批准后实施。</w:t>
      </w:r>
    </w:p>
    <w:p>
      <w:pPr>
        <w:tabs>
          <w:tab w:val="left" w:pos="900"/>
        </w:tabs>
        <w:spacing w:line="480" w:lineRule="exact"/>
        <w:ind w:left="-19"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5.2付款方式</w:t>
      </w:r>
    </w:p>
    <w:p>
      <w:pPr>
        <w:overflowPunct w:val="0"/>
        <w:topLinePunct/>
        <w:autoSpaceDE w:val="0"/>
        <w:autoSpaceDN w:val="0"/>
        <w:snapToGrid w:val="0"/>
        <w:spacing w:before="120" w:beforeLines="50" w:after="120" w:afterLines="50" w:line="360" w:lineRule="auto"/>
        <w:ind w:left="-19" w:firstLine="480" w:firstLineChars="200"/>
        <w:jc w:val="left"/>
        <w:rPr>
          <w:rFonts w:ascii="宋体" w:hAnsi="宋体"/>
          <w:color w:val="000000" w:themeColor="text1"/>
          <w14:textFill>
            <w14:solidFill>
              <w14:schemeClr w14:val="tx1"/>
            </w14:solidFill>
          </w14:textFill>
        </w:rPr>
      </w:pPr>
      <w:r>
        <w:rPr>
          <w:rFonts w:hint="eastAsia" w:ascii="宋体" w:hAnsi="宋体"/>
          <w:kern w:val="2"/>
        </w:rPr>
        <w:t>服务费实行按季付制，前三季度每季度支付服务费人民币￥</w:t>
      </w:r>
      <w:r>
        <w:rPr>
          <w:rFonts w:ascii="宋体" w:hAnsi="宋体"/>
          <w:kern w:val="2"/>
          <w:u w:val="single"/>
        </w:rPr>
        <w:t xml:space="preserve"> </w:t>
      </w:r>
      <w:r>
        <w:rPr>
          <w:rFonts w:hint="eastAsia" w:ascii="宋体" w:hAnsi="宋体"/>
          <w:kern w:val="2"/>
          <w:u w:val="single"/>
        </w:rPr>
        <w:t>2999518.23</w:t>
      </w:r>
      <w:r>
        <w:rPr>
          <w:rFonts w:ascii="宋体" w:hAnsi="宋体"/>
          <w:kern w:val="2"/>
          <w:u w:val="single"/>
        </w:rPr>
        <w:t xml:space="preserve"> </w:t>
      </w:r>
      <w:r>
        <w:rPr>
          <w:rFonts w:hint="eastAsia" w:ascii="宋体" w:hAnsi="宋体"/>
          <w:kern w:val="2"/>
        </w:rPr>
        <w:t>元（大写：</w:t>
      </w:r>
      <w:r>
        <w:rPr>
          <w:rFonts w:hint="eastAsia" w:ascii="宋体" w:hAnsi="宋体"/>
          <w:kern w:val="2"/>
          <w:u w:val="single"/>
        </w:rPr>
        <w:t xml:space="preserve"> 贰佰玖拾玖万玖仟伍佰壹拾捌元贰角叁分</w:t>
      </w:r>
      <w:r>
        <w:rPr>
          <w:rFonts w:hint="eastAsia" w:ascii="宋体" w:hAnsi="宋体"/>
          <w:kern w:val="2"/>
        </w:rPr>
        <w:t>整</w:t>
      </w:r>
      <w:r>
        <w:rPr>
          <w:rFonts w:ascii="宋体" w:hAnsi="宋体"/>
          <w:kern w:val="2"/>
        </w:rPr>
        <w:t xml:space="preserve"> </w:t>
      </w:r>
      <w:r>
        <w:rPr>
          <w:rFonts w:hint="eastAsia" w:ascii="宋体" w:hAnsi="宋体"/>
          <w:kern w:val="2"/>
        </w:rPr>
        <w:t>），第四季度支付服务费￥</w:t>
      </w:r>
      <w:r>
        <w:rPr>
          <w:rFonts w:ascii="宋体" w:hAnsi="宋体"/>
          <w:kern w:val="2"/>
          <w:u w:val="single"/>
        </w:rPr>
        <w:t xml:space="preserve"> </w:t>
      </w:r>
      <w:r>
        <w:rPr>
          <w:rFonts w:hint="eastAsia" w:ascii="宋体" w:hAnsi="宋体"/>
          <w:kern w:val="2"/>
          <w:u w:val="single"/>
        </w:rPr>
        <w:t>2999518.21</w:t>
      </w:r>
      <w:r>
        <w:rPr>
          <w:rFonts w:ascii="宋体" w:hAnsi="宋体"/>
          <w:kern w:val="2"/>
          <w:u w:val="single"/>
        </w:rPr>
        <w:t xml:space="preserve"> </w:t>
      </w:r>
      <w:r>
        <w:rPr>
          <w:rFonts w:hint="eastAsia" w:ascii="宋体" w:hAnsi="宋体"/>
          <w:kern w:val="2"/>
        </w:rPr>
        <w:t>元（大写：</w:t>
      </w:r>
      <w:r>
        <w:rPr>
          <w:rFonts w:hint="eastAsia" w:ascii="宋体" w:hAnsi="宋体"/>
          <w:kern w:val="2"/>
          <w:u w:val="single"/>
        </w:rPr>
        <w:t xml:space="preserve"> 贰佰玖拾玖万玖仟伍佰壹拾捌元贰角壹分</w:t>
      </w:r>
      <w:r>
        <w:rPr>
          <w:rFonts w:hint="eastAsia" w:ascii="宋体" w:hAnsi="宋体"/>
          <w:kern w:val="2"/>
        </w:rPr>
        <w:t>整）。</w:t>
      </w:r>
      <w:r>
        <w:rPr>
          <w:rFonts w:hint="eastAsia" w:ascii="宋体" w:hAnsi="宋体" w:cs="宋体"/>
          <w:color w:val="000000" w:themeColor="text1"/>
          <w14:textFill>
            <w14:solidFill>
              <w14:schemeClr w14:val="tx1"/>
            </w14:solidFill>
          </w14:textFill>
        </w:rPr>
        <w:t>在乙方完成每个季度物业服务，经甲方考核合格后，</w:t>
      </w:r>
      <w:r>
        <w:rPr>
          <w:rFonts w:hint="eastAsia" w:ascii="宋体" w:hAnsi="宋体"/>
          <w:color w:val="000000" w:themeColor="text1"/>
          <w14:textFill>
            <w14:solidFill>
              <w14:schemeClr w14:val="tx1"/>
            </w14:solidFill>
          </w14:textFill>
        </w:rPr>
        <w:t>甲方在收到乙方提供的</w:t>
      </w:r>
      <w:r>
        <w:rPr>
          <w:rFonts w:hint="eastAsia" w:ascii="宋体" w:cs="宋体"/>
          <w:color w:val="000000" w:themeColor="text1"/>
          <w:lang w:val="zh-CN"/>
          <w14:textFill>
            <w14:solidFill>
              <w14:schemeClr w14:val="tx1"/>
            </w14:solidFill>
          </w14:textFill>
        </w:rPr>
        <w:t>与本阶段付款金额等值的正式发票、甲方考评完成的履约</w:t>
      </w:r>
      <w:r>
        <w:rPr>
          <w:rFonts w:hint="eastAsia" w:ascii="宋体" w:hAnsi="宋体"/>
          <w:color w:val="000000" w:themeColor="text1"/>
          <w14:textFill>
            <w14:solidFill>
              <w14:schemeClr w14:val="tx1"/>
            </w14:solidFill>
          </w14:textFill>
        </w:rPr>
        <w:t>考核结果及需附档案（若有），以及乙方加盖单位公章的</w:t>
      </w:r>
      <w:r>
        <w:rPr>
          <w:rFonts w:hint="eastAsia" w:ascii="宋体" w:hAnsi="宋体"/>
          <w:bCs/>
          <w:color w:val="000000" w:themeColor="text1"/>
          <w14:textFill>
            <w14:solidFill>
              <w14:schemeClr w14:val="tx1"/>
            </w14:solidFill>
          </w14:textFill>
        </w:rPr>
        <w:t>《付款申请》</w:t>
      </w:r>
      <w:r>
        <w:rPr>
          <w:rFonts w:hint="eastAsia" w:ascii="宋体" w:hAnsi="宋体"/>
          <w:color w:val="000000" w:themeColor="text1"/>
          <w14:textFill>
            <w14:solidFill>
              <w14:schemeClr w14:val="tx1"/>
            </w14:solidFill>
          </w14:textFill>
        </w:rPr>
        <w:t>后二十（</w:t>
      </w:r>
      <w:r>
        <w:rPr>
          <w:rFonts w:ascii="宋体" w:hAnsi="宋体"/>
          <w:color w:val="000000" w:themeColor="text1"/>
          <w14:textFill>
            <w14:solidFill>
              <w14:schemeClr w14:val="tx1"/>
            </w14:solidFill>
          </w14:textFill>
        </w:rPr>
        <w:t>20</w:t>
      </w:r>
      <w:r>
        <w:rPr>
          <w:rFonts w:hint="eastAsia" w:ascii="宋体" w:hAnsi="宋体"/>
          <w:color w:val="000000" w:themeColor="text1"/>
          <w14:textFill>
            <w14:solidFill>
              <w14:schemeClr w14:val="tx1"/>
            </w14:solidFill>
          </w14:textFill>
        </w:rPr>
        <w:t>）个工作日内，向乙方支付本季度物业服务费。</w:t>
      </w:r>
    </w:p>
    <w:p>
      <w:pPr>
        <w:overflowPunct w:val="0"/>
        <w:topLinePunct/>
        <w:autoSpaceDE w:val="0"/>
        <w:autoSpaceDN w:val="0"/>
        <w:snapToGrid w:val="0"/>
        <w:spacing w:before="120" w:beforeLines="50" w:after="120" w:afterLines="50" w:line="360" w:lineRule="auto"/>
        <w:ind w:left="-19" w:firstLine="480" w:firstLineChars="200"/>
        <w:jc w:val="left"/>
        <w:rPr>
          <w:rFonts w:ascii="宋体" w:hAnsi="宋体" w:eastAsiaTheme="minorEastAsia"/>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除本合同另有约定外，经甲方考核不合格的，乙方整改完成后，甲方在收到乙方提供的与本阶段付款金额等值的正式发票、甲方考评完成的履约考核结果及需附档案（若有），以及乙方加盖单位公章的《付款申请》后二十（20）个工作日内，扣除乙方需承担的违约金、赔偿金后向乙方支付本季度物业服务费。</w:t>
      </w:r>
    </w:p>
    <w:p>
      <w:pPr>
        <w:pStyle w:val="2"/>
      </w:pPr>
    </w:p>
    <w:p>
      <w:pPr>
        <w:spacing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如因法定不可抗力原因引起的服务中断，则甲方按照乙方实际服务周期及服务工作量向乙方支付服务费用。</w:t>
      </w:r>
    </w:p>
    <w:p>
      <w:pPr>
        <w:spacing w:line="520" w:lineRule="exact"/>
        <w:ind w:left="-19" w:firstLine="480" w:firstLineChars="200"/>
        <w:rPr>
          <w:rFonts w:hAnsi="宋体"/>
          <w:b/>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5.3本条中的“收到”是指甲方实际接收到乙方交付的发票和</w:t>
      </w:r>
      <w:r>
        <w:rPr>
          <w:rFonts w:hint="eastAsia" w:ascii="宋体" w:hAnsi="宋体"/>
          <w:bCs/>
          <w:color w:val="000000" w:themeColor="text1"/>
          <w14:textFill>
            <w14:solidFill>
              <w14:schemeClr w14:val="tx1"/>
            </w14:solidFill>
          </w14:textFill>
        </w:rPr>
        <w:t>《付款申请》</w:t>
      </w:r>
      <w:r>
        <w:rPr>
          <w:rFonts w:hint="eastAsia" w:ascii="宋体" w:hAnsi="宋体" w:cs="宋体"/>
          <w:color w:val="000000" w:themeColor="text1"/>
          <w14:textFill>
            <w14:solidFill>
              <w14:schemeClr w14:val="tx1"/>
            </w14:solidFill>
          </w14:textFill>
        </w:rPr>
        <w:t>，收到日不以发票和/或</w:t>
      </w:r>
      <w:r>
        <w:rPr>
          <w:rFonts w:hint="eastAsia" w:ascii="宋体" w:hAnsi="宋体"/>
          <w:bCs/>
          <w:color w:val="000000" w:themeColor="text1"/>
          <w14:textFill>
            <w14:solidFill>
              <w14:schemeClr w14:val="tx1"/>
            </w14:solidFill>
          </w14:textFill>
        </w:rPr>
        <w:t>《付款申请》中载明的日期为准。双方对甲方是否“收到”及收到日有争议的，由乙方负责证明甲方已经“收到”及收到日。</w:t>
      </w:r>
    </w:p>
    <w:p>
      <w:pPr>
        <w:spacing w:line="360" w:lineRule="auto"/>
        <w:ind w:left="-19" w:firstLine="480" w:firstLineChars="200"/>
        <w:rPr>
          <w:rFonts w:ascii="宋体" w:hAnsi="宋体" w:cs="宋体"/>
          <w:color w:val="000000" w:themeColor="text1"/>
          <w14:textFill>
            <w14:solidFill>
              <w14:schemeClr w14:val="tx1"/>
            </w14:solidFill>
          </w14:textFill>
        </w:rPr>
      </w:pPr>
    </w:p>
    <w:p>
      <w:pPr>
        <w:spacing w:before="120" w:beforeLines="50" w:line="360" w:lineRule="auto"/>
        <w:ind w:left="-2" w:firstLine="281"/>
        <w:jc w:val="center"/>
        <w:outlineLvl w:val="1"/>
        <w:rPr>
          <w:b/>
          <w:bCs/>
          <w:color w:val="000000" w:themeColor="text1"/>
          <w:sz w:val="28"/>
          <w14:textFill>
            <w14:solidFill>
              <w14:schemeClr w14:val="tx1"/>
            </w14:solidFill>
          </w14:textFill>
        </w:rPr>
      </w:pPr>
      <w:r>
        <w:rPr>
          <w:rFonts w:hint="eastAsia"/>
          <w:b/>
          <w:bCs/>
          <w:color w:val="000000" w:themeColor="text1"/>
          <w:sz w:val="28"/>
          <w14:textFill>
            <w14:solidFill>
              <w14:schemeClr w14:val="tx1"/>
            </w14:solidFill>
          </w14:textFill>
        </w:rPr>
        <w:t>第六部分履约保证</w:t>
      </w:r>
    </w:p>
    <w:p>
      <w:pPr>
        <w:spacing w:line="360" w:lineRule="auto"/>
        <w:ind w:left="-19"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 乙方应于签订合同的同时向甲方提交下述金额的履约保证。</w:t>
      </w:r>
    </w:p>
    <w:p>
      <w:pPr>
        <w:spacing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 履约保证金为合同总金额的5％（百分之五）即人民币</w:t>
      </w:r>
      <w:r>
        <w:rPr>
          <w:rFonts w:hint="eastAsia" w:ascii="宋体" w:hAnsi="宋体"/>
          <w:color w:val="000000" w:themeColor="text1"/>
          <w14:textFill>
            <w14:solidFill>
              <w14:schemeClr w14:val="tx1"/>
            </w14:solidFill>
          </w14:textFill>
        </w:rPr>
        <w:t>￥</w:t>
      </w:r>
      <w:r>
        <w:rPr>
          <w:rFonts w:hint="eastAsia" w:ascii="宋体" w:hAnsi="宋体"/>
          <w:color w:val="000000" w:themeColor="text1"/>
          <w:u w:val="single"/>
          <w14:textFill>
            <w14:solidFill>
              <w14:schemeClr w14:val="tx1"/>
            </w14:solidFill>
          </w14:textFill>
        </w:rPr>
        <w:t xml:space="preserve"> 599903.65  </w:t>
      </w:r>
      <w:r>
        <w:rPr>
          <w:rFonts w:hint="eastAsia" w:ascii="宋体" w:hAnsi="宋体" w:cs="宋体"/>
          <w:color w:val="000000" w:themeColor="text1"/>
          <w14:textFill>
            <w14:solidFill>
              <w14:schemeClr w14:val="tx1"/>
            </w14:solidFill>
          </w14:textFill>
        </w:rPr>
        <w:t>元整(大写:人民币</w:t>
      </w:r>
      <w:r>
        <w:rPr>
          <w:rFonts w:hint="eastAsia" w:ascii="宋体" w:hAnsi="宋体" w:cs="宋体"/>
          <w:color w:val="000000" w:themeColor="text1"/>
          <w:u w:val="single"/>
          <w14:textFill>
            <w14:solidFill>
              <w14:schemeClr w14:val="tx1"/>
            </w14:solidFill>
          </w14:textFill>
        </w:rPr>
        <w:t>伍拾玖万玖仟玖佰零叁元陆角伍分</w:t>
      </w:r>
      <w:r>
        <w:rPr>
          <w:rFonts w:hint="eastAsia" w:ascii="宋体" w:hAnsi="宋体" w:cs="宋体"/>
          <w:color w:val="000000" w:themeColor="text1"/>
          <w14:textFill>
            <w14:solidFill>
              <w14:schemeClr w14:val="tx1"/>
            </w14:solidFill>
          </w14:textFill>
        </w:rPr>
        <w:t>)，其有效期截止本合同履约期限届满。履约保证金用以保证乙方履行合同规定的所有义务。</w:t>
      </w:r>
    </w:p>
    <w:p>
      <w:pPr>
        <w:spacing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6.3 除非双方另有协定，在履约保证金有效期届满后，甲方接到乙方提请退还履约保证金的书面申请和双方约定的有关单据后十五（</w:t>
      </w:r>
      <w:r>
        <w:rPr>
          <w:rFonts w:ascii="宋体" w:hAnsi="宋体" w:cs="宋体"/>
          <w:color w:val="000000" w:themeColor="text1"/>
          <w14:textFill>
            <w14:solidFill>
              <w14:schemeClr w14:val="tx1"/>
            </w14:solidFill>
          </w14:textFill>
        </w:rPr>
        <w:t>15）</w:t>
      </w:r>
      <w:r>
        <w:rPr>
          <w:rFonts w:hint="eastAsia" w:ascii="宋体" w:hAnsi="宋体" w:cs="宋体"/>
          <w:color w:val="000000" w:themeColor="text1"/>
          <w14:textFill>
            <w14:solidFill>
              <w14:schemeClr w14:val="tx1"/>
            </w14:solidFill>
          </w14:textFill>
        </w:rPr>
        <w:t>个工作日内，应将履约保证金或扣除违约金后剩余的履约保证金退还乙方(不计息)。</w:t>
      </w:r>
    </w:p>
    <w:p>
      <w:pPr>
        <w:spacing w:line="360" w:lineRule="auto"/>
        <w:ind w:left="-19" w:firstLine="540" w:firstLineChars="22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6.4履约保证金可采取银行电汇或支票倒存的方式汇入或存入甲方指定的账户。</w:t>
      </w:r>
    </w:p>
    <w:p>
      <w:pPr>
        <w:spacing w:line="360" w:lineRule="auto"/>
        <w:ind w:left="-19" w:firstLine="540" w:firstLineChars="225"/>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14:textFill>
            <w14:solidFill>
              <w14:schemeClr w14:val="tx1"/>
            </w14:solidFill>
          </w14:textFill>
        </w:rPr>
        <w:t>6.5</w:t>
      </w:r>
      <w:r>
        <w:rPr>
          <w:rFonts w:hint="eastAsia" w:ascii="宋体" w:hAnsi="宋体" w:cs="宋体"/>
          <w:color w:val="000000" w:themeColor="text1"/>
          <w14:textFill>
            <w14:solidFill>
              <w14:schemeClr w14:val="tx1"/>
            </w14:solidFill>
          </w14:textFill>
        </w:rPr>
        <w:t>履约保证金以同等金额银行保函形式提交甲方的，保函有效期不得早于合同期满后的一个月。</w:t>
      </w:r>
    </w:p>
    <w:p>
      <w:pPr>
        <w:spacing w:line="360" w:lineRule="auto"/>
        <w:ind w:left="-19" w:firstLine="480" w:firstLineChars="200"/>
        <w:rPr>
          <w:rFonts w:ascii="宋体" w:hAnsi="宋体" w:cs="宋体"/>
          <w:color w:val="000000" w:themeColor="text1"/>
          <w14:textFill>
            <w14:solidFill>
              <w14:schemeClr w14:val="tx1"/>
            </w14:solidFill>
          </w14:textFill>
        </w:rPr>
      </w:pPr>
    </w:p>
    <w:p>
      <w:pPr>
        <w:spacing w:line="360" w:lineRule="auto"/>
        <w:ind w:left="-2" w:firstLine="281"/>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第七部分 使用与维护</w:t>
      </w:r>
    </w:p>
    <w:p>
      <w:pPr>
        <w:tabs>
          <w:tab w:val="left" w:pos="1800"/>
        </w:tabs>
        <w:spacing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乙方应配合甲方制定本合同约定物业服务区域内物业共用部位和共用设施设备的使用、公共秩序和环境卫生的维护等方面的规章制度。乙方根据规章制度提供管理服务时，甲方应给予必要配合。</w:t>
      </w:r>
    </w:p>
    <w:p>
      <w:pPr>
        <w:tabs>
          <w:tab w:val="left" w:pos="1800"/>
        </w:tabs>
        <w:spacing w:line="360" w:lineRule="auto"/>
        <w:ind w:left="-19"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乙方可采取规劝、告诫等必要措施，制止物业使用人违反本合同规定和物业服务区域内物业服务规章制度的行为。</w:t>
      </w:r>
    </w:p>
    <w:p>
      <w:pPr>
        <w:tabs>
          <w:tab w:val="left" w:pos="1800"/>
        </w:tabs>
        <w:spacing w:line="360" w:lineRule="auto"/>
        <w:ind w:left="-19"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乙方应及时向甲方通告本物业服务区域内有关物业服务的重大事项，及时处理投诉，接受甲方的监督。</w:t>
      </w:r>
    </w:p>
    <w:p>
      <w:pPr>
        <w:tabs>
          <w:tab w:val="left" w:pos="1800"/>
        </w:tabs>
        <w:spacing w:line="360" w:lineRule="auto"/>
        <w:ind w:left="-19" w:firstLine="480" w:firstLineChars="200"/>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7.4</w:t>
      </w:r>
      <w:r>
        <w:rPr>
          <w:rFonts w:hint="eastAsia" w:ascii="宋体" w:hAnsi="宋体" w:cs="宋体"/>
          <w:color w:val="000000" w:themeColor="text1"/>
          <w14:textFill>
            <w14:solidFill>
              <w14:schemeClr w14:val="tx1"/>
            </w14:solidFill>
          </w14:textFill>
        </w:rPr>
        <w:t>乙方确需临时占用、挖掘本物业服务区域内道路、场地的，应征得甲方的同意，并签订相关书面文件。临时占用、挖掘本物业服务区域内道路、场地的，应在前述书面文件约定期限内恢复原状。</w:t>
      </w:r>
    </w:p>
    <w:p>
      <w:pPr>
        <w:spacing w:line="360" w:lineRule="auto"/>
        <w:ind w:left="-19"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甲方应在乙方正式交接时，向乙方提供在物业服务区域内的能够直接投入使用的服务用房。</w:t>
      </w:r>
    </w:p>
    <w:p>
      <w:pPr>
        <w:tabs>
          <w:tab w:val="left" w:pos="1800"/>
        </w:tabs>
        <w:spacing w:line="360" w:lineRule="auto"/>
        <w:ind w:left="-19"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物业服务用房属甲方所有，乙方在本合同期限内无偿使用，但不得改变其用途。</w:t>
      </w:r>
    </w:p>
    <w:p>
      <w:pPr>
        <w:spacing w:line="360" w:lineRule="auto"/>
        <w:ind w:left="-19" w:firstLine="480" w:firstLineChars="200"/>
        <w:rPr>
          <w:rFonts w:ascii="宋体" w:hAnsi="宋体" w:cs="宋体"/>
          <w:color w:val="000000" w:themeColor="text1"/>
          <w14:textFill>
            <w14:solidFill>
              <w14:schemeClr w14:val="tx1"/>
            </w14:solidFill>
          </w14:textFill>
        </w:rPr>
      </w:pPr>
    </w:p>
    <w:p>
      <w:pPr>
        <w:spacing w:line="360" w:lineRule="auto"/>
        <w:ind w:left="-2" w:firstLine="281"/>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第八部分双方权利义务</w:t>
      </w:r>
    </w:p>
    <w:p>
      <w:pPr>
        <w:tabs>
          <w:tab w:val="left" w:pos="1800"/>
        </w:tabs>
        <w:spacing w:line="360" w:lineRule="auto"/>
        <w:ind w:left="-19" w:firstLine="48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8.1</w:t>
      </w:r>
      <w:r>
        <w:rPr>
          <w:rFonts w:hint="eastAsia" w:ascii="宋体" w:hAnsi="宋体" w:cs="宋体"/>
          <w:color w:val="000000" w:themeColor="text1"/>
          <w14:textFill>
            <w14:solidFill>
              <w14:schemeClr w14:val="tx1"/>
            </w14:solidFill>
          </w14:textFill>
        </w:rPr>
        <w:t>甲方权利义务</w:t>
      </w:r>
    </w:p>
    <w:p>
      <w:pPr>
        <w:tabs>
          <w:tab w:val="left" w:pos="1800"/>
        </w:tabs>
        <w:spacing w:line="360" w:lineRule="auto"/>
        <w:ind w:left="-19" w:firstLine="48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8.1.1</w:t>
      </w:r>
      <w:r>
        <w:rPr>
          <w:rFonts w:hint="eastAsia" w:ascii="宋体" w:hAnsi="宋体" w:cs="宋体"/>
          <w:color w:val="000000" w:themeColor="text1"/>
          <w14:textFill>
            <w14:solidFill>
              <w14:schemeClr w14:val="tx1"/>
            </w14:solidFill>
          </w14:textFill>
        </w:rPr>
        <w:t>按照合同约定的内容和标准督促验收乙方的服务过程和结果，检查核实乙方工作人员配置、在岗情况、持证情况。有权要求乙方对不称职的员工按合同所要求的资格条件进行更换，并可追究由此给甲方造成的实际损失。</w:t>
      </w:r>
    </w:p>
    <w:p>
      <w:pPr>
        <w:spacing w:line="360" w:lineRule="auto"/>
        <w:ind w:left="-19"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w:t>
      </w:r>
      <w:r>
        <w:rPr>
          <w:rFonts w:ascii="宋体" w:hAnsi="宋体" w:cs="宋体"/>
          <w:color w:val="000000" w:themeColor="text1"/>
          <w14:textFill>
            <w14:solidFill>
              <w14:schemeClr w14:val="tx1"/>
            </w14:solidFill>
          </w14:textFill>
        </w:rPr>
        <w:t>.1.2</w:t>
      </w:r>
      <w:r>
        <w:rPr>
          <w:rFonts w:hint="eastAsia" w:ascii="宋体" w:hAnsi="宋体" w:cs="宋体"/>
          <w:color w:val="000000" w:themeColor="text1"/>
          <w14:textFill>
            <w14:solidFill>
              <w14:schemeClr w14:val="tx1"/>
            </w14:solidFill>
          </w14:textFill>
        </w:rPr>
        <w:t>按照合同要求及时向乙方支付物业服务费。</w:t>
      </w:r>
    </w:p>
    <w:p>
      <w:pPr>
        <w:spacing w:line="360" w:lineRule="auto"/>
        <w:ind w:left="-19"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w:t>
      </w:r>
      <w:r>
        <w:rPr>
          <w:rFonts w:ascii="宋体" w:hAnsi="宋体" w:cs="宋体"/>
          <w:color w:val="000000" w:themeColor="text1"/>
          <w14:textFill>
            <w14:solidFill>
              <w14:schemeClr w14:val="tx1"/>
            </w14:solidFill>
          </w14:textFill>
        </w:rPr>
        <w:t>.1.3协助乙方项目管理部做好物业管理服务工作。</w:t>
      </w:r>
    </w:p>
    <w:p>
      <w:pPr>
        <w:spacing w:line="360" w:lineRule="auto"/>
        <w:ind w:left="-19" w:firstLine="480" w:firstLineChars="200"/>
        <w:jc w:val="left"/>
        <w:rPr>
          <w:rFonts w:ascii="宋体" w:hAnsi="宋体" w:cs="宋体"/>
          <w:color w:val="000000" w:themeColor="text1"/>
          <w14:textFill>
            <w14:solidFill>
              <w14:schemeClr w14:val="tx1"/>
            </w14:solidFill>
          </w14:textFill>
        </w:rPr>
      </w:pPr>
      <w:bookmarkStart w:id="3" w:name="_Hlk67909773"/>
      <w:r>
        <w:rPr>
          <w:rFonts w:hint="eastAsia" w:ascii="宋体" w:hAnsi="宋体" w:cs="宋体"/>
          <w:color w:val="000000" w:themeColor="text1"/>
          <w14:textFill>
            <w14:solidFill>
              <w14:schemeClr w14:val="tx1"/>
            </w14:solidFill>
          </w14:textFill>
        </w:rPr>
        <w:t>8</w:t>
      </w:r>
      <w:r>
        <w:rPr>
          <w:rFonts w:ascii="宋体" w:hAnsi="宋体" w:cs="宋体"/>
          <w:color w:val="000000" w:themeColor="text1"/>
          <w14:textFill>
            <w14:solidFill>
              <w14:schemeClr w14:val="tx1"/>
            </w14:solidFill>
          </w14:textFill>
        </w:rPr>
        <w:t>.1.</w:t>
      </w:r>
      <w:bookmarkEnd w:id="3"/>
      <w:r>
        <w:rPr>
          <w:rFonts w:ascii="宋体" w:hAnsi="宋体" w:cs="宋体"/>
          <w:color w:val="000000" w:themeColor="text1"/>
          <w14:textFill>
            <w14:solidFill>
              <w14:schemeClr w14:val="tx1"/>
            </w14:solidFill>
          </w14:textFill>
        </w:rPr>
        <w:t>4委托乙方管理的设备、设施应达到国家或地方相关的</w:t>
      </w:r>
      <w:r>
        <w:rPr>
          <w:rFonts w:hint="eastAsia" w:ascii="宋体" w:hAnsi="宋体" w:cs="宋体"/>
          <w:color w:val="000000" w:themeColor="text1"/>
          <w14:textFill>
            <w14:solidFill>
              <w14:schemeClr w14:val="tx1"/>
            </w14:solidFill>
          </w14:textFill>
        </w:rPr>
        <w:t>运维</w:t>
      </w:r>
      <w:r>
        <w:rPr>
          <w:rFonts w:ascii="宋体" w:hAnsi="宋体" w:cs="宋体"/>
          <w:color w:val="000000" w:themeColor="text1"/>
          <w14:textFill>
            <w14:solidFill>
              <w14:schemeClr w14:val="tx1"/>
            </w14:solidFill>
          </w14:textFill>
        </w:rPr>
        <w:t>标准，如存在因</w:t>
      </w:r>
      <w:r>
        <w:rPr>
          <w:rFonts w:hint="eastAsia" w:ascii="宋体" w:hAnsi="宋体" w:cs="宋体"/>
          <w:color w:val="000000" w:themeColor="text1"/>
          <w14:textFill>
            <w14:solidFill>
              <w14:schemeClr w14:val="tx1"/>
            </w14:solidFill>
          </w14:textFill>
        </w:rPr>
        <w:t>乙方</w:t>
      </w:r>
      <w:r>
        <w:rPr>
          <w:rFonts w:ascii="宋体" w:hAnsi="宋体" w:cs="宋体"/>
          <w:color w:val="000000" w:themeColor="text1"/>
          <w14:textFill>
            <w14:solidFill>
              <w14:schemeClr w14:val="tx1"/>
            </w14:solidFill>
          </w14:textFill>
        </w:rPr>
        <w:t>管理</w:t>
      </w:r>
      <w:r>
        <w:rPr>
          <w:rFonts w:hint="eastAsia" w:ascii="宋体" w:hAnsi="宋体" w:cs="宋体"/>
          <w:color w:val="000000" w:themeColor="text1"/>
          <w14:textFill>
            <w14:solidFill>
              <w14:schemeClr w14:val="tx1"/>
            </w14:solidFill>
          </w14:textFill>
        </w:rPr>
        <w:t>操作</w:t>
      </w:r>
      <w:r>
        <w:rPr>
          <w:rFonts w:ascii="宋体" w:hAnsi="宋体" w:cs="宋体"/>
          <w:color w:val="000000" w:themeColor="text1"/>
          <w14:textFill>
            <w14:solidFill>
              <w14:schemeClr w14:val="tx1"/>
            </w14:solidFill>
          </w14:textFill>
        </w:rPr>
        <w:t>原因造成的</w:t>
      </w:r>
      <w:r>
        <w:rPr>
          <w:rFonts w:hint="eastAsia" w:ascii="宋体" w:hAnsi="宋体" w:cs="宋体"/>
          <w:color w:val="000000" w:themeColor="text1"/>
          <w14:textFill>
            <w14:solidFill>
              <w14:schemeClr w14:val="tx1"/>
            </w14:solidFill>
          </w14:textFill>
        </w:rPr>
        <w:t>运维</w:t>
      </w:r>
      <w:r>
        <w:rPr>
          <w:rFonts w:ascii="宋体" w:hAnsi="宋体" w:cs="宋体"/>
          <w:color w:val="000000" w:themeColor="text1"/>
          <w14:textFill>
            <w14:solidFill>
              <w14:schemeClr w14:val="tx1"/>
            </w14:solidFill>
          </w14:textFill>
        </w:rPr>
        <w:t>问题，甲方</w:t>
      </w:r>
      <w:r>
        <w:rPr>
          <w:rFonts w:hint="eastAsia" w:ascii="宋体" w:hAnsi="宋体" w:cs="宋体"/>
          <w:color w:val="000000" w:themeColor="text1"/>
          <w14:textFill>
            <w14:solidFill>
              <w14:schemeClr w14:val="tx1"/>
            </w14:solidFill>
          </w14:textFill>
        </w:rPr>
        <w:t>有权</w:t>
      </w:r>
      <w:r>
        <w:rPr>
          <w:rFonts w:ascii="宋体" w:hAnsi="宋体" w:cs="宋体"/>
          <w:color w:val="000000" w:themeColor="text1"/>
          <w14:textFill>
            <w14:solidFill>
              <w14:schemeClr w14:val="tx1"/>
            </w14:solidFill>
          </w14:textFill>
        </w:rPr>
        <w:t>要求乙方尽快</w:t>
      </w:r>
      <w:r>
        <w:rPr>
          <w:rFonts w:hint="eastAsia" w:ascii="宋体" w:hAnsi="宋体" w:cs="宋体"/>
          <w:color w:val="000000" w:themeColor="text1"/>
          <w14:textFill>
            <w14:solidFill>
              <w14:schemeClr w14:val="tx1"/>
            </w14:solidFill>
          </w14:textFill>
        </w:rPr>
        <w:t>恢复设备、设施的正常运行使用，如需更换零配件，则所更换的零配件需经甲方物业服务部门审核认可后方可使用</w:t>
      </w:r>
      <w:r>
        <w:rPr>
          <w:rFonts w:ascii="宋体" w:hAnsi="宋体" w:cs="宋体"/>
          <w:color w:val="000000" w:themeColor="text1"/>
          <w14:textFill>
            <w14:solidFill>
              <w14:schemeClr w14:val="tx1"/>
            </w14:solidFill>
          </w14:textFill>
        </w:rPr>
        <w:t>；造成甲方损失的，甲方有权要求乙方</w:t>
      </w:r>
      <w:r>
        <w:rPr>
          <w:rFonts w:hint="eastAsia" w:ascii="宋体" w:hAnsi="宋体" w:cs="宋体"/>
          <w:color w:val="000000" w:themeColor="text1"/>
          <w14:textFill>
            <w14:solidFill>
              <w14:schemeClr w14:val="tx1"/>
            </w14:solidFill>
          </w14:textFill>
        </w:rPr>
        <w:t>承担甲方</w:t>
      </w:r>
      <w:r>
        <w:rPr>
          <w:rFonts w:ascii="宋体" w:hAnsi="宋体" w:cs="宋体"/>
          <w:color w:val="000000" w:themeColor="text1"/>
          <w14:textFill>
            <w14:solidFill>
              <w14:schemeClr w14:val="tx1"/>
            </w14:solidFill>
          </w14:textFill>
        </w:rPr>
        <w:t>实际损失</w:t>
      </w:r>
      <w:r>
        <w:rPr>
          <w:rFonts w:hint="eastAsia" w:ascii="宋体" w:hAnsi="宋体" w:cs="宋体"/>
          <w:color w:val="000000" w:themeColor="text1"/>
          <w14:textFill>
            <w14:solidFill>
              <w14:schemeClr w14:val="tx1"/>
            </w14:solidFill>
          </w14:textFill>
        </w:rPr>
        <w:t>并赔偿</w:t>
      </w:r>
      <w:r>
        <w:rPr>
          <w:rFonts w:ascii="宋体" w:hAnsi="宋体" w:cs="宋体"/>
          <w:color w:val="000000" w:themeColor="text1"/>
          <w14:textFill>
            <w14:solidFill>
              <w14:schemeClr w14:val="tx1"/>
            </w14:solidFill>
          </w14:textFill>
        </w:rPr>
        <w:t>。</w:t>
      </w:r>
    </w:p>
    <w:p>
      <w:pPr>
        <w:spacing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5</w:t>
      </w:r>
      <w:r>
        <w:rPr>
          <w:rFonts w:ascii="宋体" w:hAnsi="宋体" w:cs="宋体"/>
          <w:color w:val="000000" w:themeColor="text1"/>
          <w14:textFill>
            <w14:solidFill>
              <w14:schemeClr w14:val="tx1"/>
            </w14:solidFill>
          </w14:textFill>
        </w:rPr>
        <w:t>向乙方提供项目管理部所需的物业管理服务相关的详尽技术及管理资料的正本或复印件。</w:t>
      </w:r>
    </w:p>
    <w:p>
      <w:pPr>
        <w:spacing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6配合乙方处理甲方内部相关部门对物业管理服务工作提出的问题，必要时，就服务范围内事宜配合乙方协调属地管理部门。</w:t>
      </w:r>
    </w:p>
    <w:p>
      <w:pPr>
        <w:spacing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7</w:t>
      </w:r>
      <w:r>
        <w:rPr>
          <w:rFonts w:ascii="宋体" w:hAnsi="宋体" w:cs="宋体"/>
          <w:color w:val="000000" w:themeColor="text1"/>
          <w14:textFill>
            <w14:solidFill>
              <w14:schemeClr w14:val="tx1"/>
            </w14:solidFill>
          </w14:textFill>
        </w:rPr>
        <w:t>有权向乙方投诉其工作人员的服务态度和服务质量并知悉处理结果。</w:t>
      </w:r>
    </w:p>
    <w:p>
      <w:pPr>
        <w:spacing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8</w:t>
      </w:r>
      <w:r>
        <w:rPr>
          <w:rFonts w:ascii="宋体" w:hAnsi="宋体" w:cs="宋体"/>
          <w:color w:val="000000" w:themeColor="text1"/>
          <w14:textFill>
            <w14:solidFill>
              <w14:schemeClr w14:val="tx1"/>
            </w14:solidFill>
          </w14:textFill>
        </w:rPr>
        <w:t>在合同有效期内，向乙方无偿提供物业</w:t>
      </w:r>
      <w:r>
        <w:rPr>
          <w:rFonts w:hint="eastAsia" w:ascii="宋体" w:hAnsi="宋体" w:cs="宋体"/>
          <w:color w:val="000000" w:themeColor="text1"/>
          <w14:textFill>
            <w14:solidFill>
              <w14:schemeClr w14:val="tx1"/>
            </w14:solidFill>
          </w14:textFill>
        </w:rPr>
        <w:t>服务用房</w:t>
      </w:r>
      <w:r>
        <w:rPr>
          <w:rFonts w:ascii="宋体" w:hAnsi="宋体" w:cs="宋体"/>
          <w:color w:val="000000" w:themeColor="text1"/>
          <w14:textFill>
            <w14:solidFill>
              <w14:schemeClr w14:val="tx1"/>
            </w14:solidFill>
          </w14:textFill>
        </w:rPr>
        <w:t>。乙方在使用过程中，不得随意更改用途，如使用不当造成损坏，乙方负责赔偿。</w:t>
      </w:r>
    </w:p>
    <w:p>
      <w:pPr>
        <w:spacing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9</w:t>
      </w:r>
      <w:r>
        <w:rPr>
          <w:rFonts w:ascii="宋体" w:hAnsi="宋体" w:cs="宋体"/>
          <w:color w:val="000000" w:themeColor="text1"/>
          <w14:textFill>
            <w14:solidFill>
              <w14:schemeClr w14:val="tx1"/>
            </w14:solidFill>
          </w14:textFill>
        </w:rPr>
        <w:t>协调处理物业使用人与乙方的关系，以及本合同生效前发生存在的影响管理及服务质量的遗留问题。</w:t>
      </w:r>
    </w:p>
    <w:p>
      <w:pPr>
        <w:spacing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10甲方指定专人对乙方物业服务进行监督、考核，平时抽查，</w:t>
      </w:r>
      <w:r>
        <w:rPr>
          <w:rFonts w:hint="eastAsia" w:ascii="宋体" w:hAnsi="宋体" w:cs="宋体"/>
          <w:bCs/>
          <w:color w:val="000000" w:themeColor="text1"/>
          <w14:textFill>
            <w14:solidFill>
              <w14:schemeClr w14:val="tx1"/>
            </w14:solidFill>
          </w14:textFill>
        </w:rPr>
        <w:t>甲方对乙方的服务情况进行考核打分，考核合格支付本季度物业费。</w:t>
      </w:r>
    </w:p>
    <w:p>
      <w:pPr>
        <w:spacing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11</w:t>
      </w:r>
      <w:r>
        <w:rPr>
          <w:rFonts w:ascii="宋体" w:hAnsi="宋体" w:cs="宋体"/>
          <w:color w:val="000000" w:themeColor="text1"/>
          <w14:textFill>
            <w14:solidFill>
              <w14:schemeClr w14:val="tx1"/>
            </w14:solidFill>
          </w14:textFill>
        </w:rPr>
        <w:t>甲方接到乙方的材料采购计划，及时审核并购置，保证乙方对设备设施日常维修的正常运行。</w:t>
      </w:r>
    </w:p>
    <w:p>
      <w:pPr>
        <w:spacing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12相关法律、法规、政策及当事人约定的甲方其他权利义务。</w:t>
      </w:r>
    </w:p>
    <w:p>
      <w:pPr>
        <w:spacing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8.1.13 甲方有权审定乙方编制的物业服务方案、年度服务计划、年度维修养护计划和有关费用预算等，监督乙方服务工作的实施。</w:t>
      </w:r>
    </w:p>
    <w:p>
      <w:pPr>
        <w:spacing w:line="360" w:lineRule="auto"/>
        <w:ind w:left="-19" w:firstLine="480" w:firstLineChars="200"/>
        <w:rPr>
          <w:rFonts w:ascii="宋体" w:hAnsi="宋体" w:cs="宋体"/>
          <w:color w:val="000000" w:themeColor="text1"/>
          <w14:textFill>
            <w14:solidFill>
              <w14:schemeClr w14:val="tx1"/>
            </w14:solidFill>
          </w14:textFill>
        </w:rPr>
      </w:pPr>
    </w:p>
    <w:p>
      <w:pPr>
        <w:spacing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乙方权利和义务</w:t>
      </w:r>
    </w:p>
    <w:p>
      <w:pPr>
        <w:spacing w:line="360" w:lineRule="auto"/>
        <w:ind w:left="-19" w:firstLine="480" w:firstLineChars="200"/>
        <w:rPr>
          <w:rFonts w:ascii="宋体" w:hAnsi="宋体" w:cs="宋体"/>
          <w:color w:val="000000" w:themeColor="text1"/>
          <w14:textFill>
            <w14:solidFill>
              <w14:schemeClr w14:val="tx1"/>
            </w14:solidFill>
          </w14:textFill>
        </w:rPr>
      </w:pPr>
      <w:bookmarkStart w:id="4" w:name="_Hlk67909801"/>
      <w:r>
        <w:rPr>
          <w:rFonts w:ascii="宋体" w:hAnsi="宋体" w:cs="宋体"/>
          <w:color w:val="000000" w:themeColor="text1"/>
          <w14:textFill>
            <w14:solidFill>
              <w14:schemeClr w14:val="tx1"/>
            </w14:solidFill>
          </w14:textFill>
        </w:rPr>
        <w:t>8.2.</w:t>
      </w:r>
      <w:bookmarkEnd w:id="4"/>
      <w:r>
        <w:rPr>
          <w:rFonts w:hint="eastAsia" w:ascii="宋体" w:hAnsi="宋体" w:cs="宋体"/>
          <w:color w:val="000000" w:themeColor="text1"/>
          <w14:textFill>
            <w14:solidFill>
              <w14:schemeClr w14:val="tx1"/>
            </w14:solidFill>
          </w14:textFill>
        </w:rPr>
        <w:t>1根据有关法律、法规的规定和本合同的约定，为本项目提供物业管理服务。根据法律法规的规定及本物业的实际情况开展物业服务，编制物业服务方案、年度服务计划、年度维修养护计划和相关费用预算并报送甲方审定。乙方设立项目管理部专职负责本物业的日常物业管理服务工作。</w:t>
      </w:r>
    </w:p>
    <w:p>
      <w:pPr>
        <w:spacing w:line="360" w:lineRule="auto"/>
        <w:ind w:left="-19" w:firstLine="48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8.2.</w:t>
      </w:r>
      <w:r>
        <w:rPr>
          <w:rFonts w:hint="eastAsia" w:ascii="宋体" w:hAnsi="宋体" w:cs="宋体"/>
          <w:color w:val="000000" w:themeColor="text1"/>
          <w14:textFill>
            <w14:solidFill>
              <w14:schemeClr w14:val="tx1"/>
            </w14:solidFill>
          </w14:textFill>
        </w:rPr>
        <w:t>2在保证甲方合法权益的前提下，根据有关法律、法规、政策及本合同的约定，结合物业管理的实际情况，制定本物业服务项目的各项物业管理办法、规章制度、实施细则等，并报甲方审核备案，自主开展各项管理服务活动。</w:t>
      </w:r>
    </w:p>
    <w:p>
      <w:pPr>
        <w:spacing w:line="360" w:lineRule="auto"/>
        <w:ind w:left="-19" w:firstLine="48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8.2.</w:t>
      </w:r>
      <w:r>
        <w:rPr>
          <w:rFonts w:hint="eastAsia" w:ascii="宋体" w:hAnsi="宋体" w:cs="宋体"/>
          <w:color w:val="000000" w:themeColor="text1"/>
          <w14:textFill>
            <w14:solidFill>
              <w14:schemeClr w14:val="tx1"/>
            </w14:solidFill>
          </w14:textFill>
        </w:rPr>
        <w:t>3由乙方本项目管理部经理代表乙方处理与甲方的相关事务。</w:t>
      </w:r>
    </w:p>
    <w:p>
      <w:pPr>
        <w:spacing w:line="360" w:lineRule="auto"/>
        <w:ind w:left="-19" w:firstLine="48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8.2.</w:t>
      </w:r>
      <w:r>
        <w:rPr>
          <w:rFonts w:hint="eastAsia" w:ascii="宋体" w:hAnsi="宋体" w:cs="宋体"/>
          <w:color w:val="000000" w:themeColor="text1"/>
          <w14:textFill>
            <w14:solidFill>
              <w14:schemeClr w14:val="tx1"/>
            </w14:solidFill>
          </w14:textFill>
        </w:rPr>
        <w:t>4在严格按照本合同约定的物业管理服务工作的前提下，有权要求甲方按照本合同约定支付物业管理费。</w:t>
      </w:r>
    </w:p>
    <w:p>
      <w:pPr>
        <w:spacing w:line="360" w:lineRule="auto"/>
        <w:ind w:left="-19" w:firstLine="48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8.2.</w:t>
      </w:r>
      <w:r>
        <w:rPr>
          <w:rFonts w:hint="eastAsia" w:ascii="宋体" w:hAnsi="宋体" w:cs="宋体"/>
          <w:color w:val="000000" w:themeColor="text1"/>
          <w14:textFill>
            <w14:solidFill>
              <w14:schemeClr w14:val="tx1"/>
            </w14:solidFill>
          </w14:textFill>
        </w:rPr>
        <w:t>5保证每工作日向甲方承诺的最低人数到岗，并接受甲方不定期检查。全部人员着工服上岗。</w:t>
      </w:r>
    </w:p>
    <w:p>
      <w:pPr>
        <w:spacing w:line="360" w:lineRule="auto"/>
        <w:ind w:left="-19" w:firstLine="48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8.2.</w:t>
      </w:r>
      <w:r>
        <w:rPr>
          <w:rFonts w:hint="eastAsia" w:ascii="宋体" w:hAnsi="宋体" w:cs="宋体"/>
          <w:color w:val="000000" w:themeColor="text1"/>
          <w14:textFill>
            <w14:solidFill>
              <w14:schemeClr w14:val="tx1"/>
            </w14:solidFill>
          </w14:textFill>
        </w:rPr>
        <w:t>6乙方负责配备物业管理全部工作人员且必须确保所有人员无违法违纪等不良记录，物业项目部管理人员（含部门主管以上）应保持人员稳定，保证各种资质证明真实有效；特殊岗位如数据中心机房保洁人员要提供无犯罪记录证明并定人定岗减少流动，同时，严格遵守保密原则，严禁对接触到的任何信息进行泄漏和议论。</w:t>
      </w:r>
    </w:p>
    <w:p>
      <w:pPr>
        <w:spacing w:line="360" w:lineRule="auto"/>
        <w:ind w:left="-19" w:firstLine="48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8.2.</w:t>
      </w:r>
      <w:r>
        <w:rPr>
          <w:rFonts w:hint="eastAsia" w:ascii="宋体" w:hAnsi="宋体" w:cs="宋体"/>
          <w:color w:val="000000" w:themeColor="text1"/>
          <w14:textFill>
            <w14:solidFill>
              <w14:schemeClr w14:val="tx1"/>
            </w14:solidFill>
          </w14:textFill>
        </w:rPr>
        <w:t>7建立本物业服务项目的物业管理档案（含电子档案）并负责及时记载有关变更情况。</w:t>
      </w:r>
    </w:p>
    <w:p>
      <w:pPr>
        <w:spacing w:line="360" w:lineRule="auto"/>
        <w:ind w:left="-19" w:firstLine="48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8.2.</w:t>
      </w:r>
      <w:r>
        <w:rPr>
          <w:rFonts w:hint="eastAsia" w:ascii="宋体" w:hAnsi="宋体" w:cs="宋体"/>
          <w:color w:val="000000" w:themeColor="text1"/>
          <w14:textFill>
            <w14:solidFill>
              <w14:schemeClr w14:val="tx1"/>
            </w14:solidFill>
          </w14:textFill>
        </w:rPr>
        <w:t>8应甲方要求随时向甲方报告物业管理服务实施情况，甲方对物业管理服务实施情况提出意见质询，乙方须在三个工作日内及时回复。</w:t>
      </w:r>
    </w:p>
    <w:p>
      <w:pPr>
        <w:spacing w:line="360" w:lineRule="auto"/>
        <w:ind w:left="-19" w:firstLine="48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8.2.</w:t>
      </w:r>
      <w:r>
        <w:rPr>
          <w:rFonts w:hint="eastAsia" w:ascii="宋体" w:hAnsi="宋体" w:cs="宋体"/>
          <w:color w:val="000000" w:themeColor="text1"/>
          <w14:textFill>
            <w14:solidFill>
              <w14:schemeClr w14:val="tx1"/>
            </w14:solidFill>
          </w14:textFill>
        </w:rPr>
        <w:t>9根据有关法规和本合同约定负责管理并单独核算甲方预付的物业管理服务经费，编制并及时向甲方报送物业管理服务工作计划和物业管理服务实施情况报告。</w:t>
      </w:r>
    </w:p>
    <w:p>
      <w:pPr>
        <w:spacing w:line="360" w:lineRule="auto"/>
        <w:ind w:left="-19" w:firstLine="48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8.2.</w:t>
      </w:r>
      <w:r>
        <w:rPr>
          <w:rFonts w:hint="eastAsia" w:ascii="宋体" w:hAnsi="宋体" w:cs="宋体"/>
          <w:color w:val="000000" w:themeColor="text1"/>
          <w14:textFill>
            <w14:solidFill>
              <w14:schemeClr w14:val="tx1"/>
            </w14:solidFill>
          </w14:textFill>
        </w:rPr>
        <w:t>10乙方有权要求甲方和物业使用人配合乙方的管理服务行为，对物业使用人违反物业管理法律、法规、本合同的行为，提请甲方联系有关部门进行处理。</w:t>
      </w:r>
    </w:p>
    <w:p>
      <w:pPr>
        <w:spacing w:line="360" w:lineRule="auto"/>
        <w:ind w:left="-19" w:firstLine="48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8.2.</w:t>
      </w:r>
      <w:r>
        <w:rPr>
          <w:rFonts w:hint="eastAsia" w:ascii="宋体" w:hAnsi="宋体" w:cs="宋体"/>
          <w:color w:val="000000" w:themeColor="text1"/>
          <w14:textFill>
            <w14:solidFill>
              <w14:schemeClr w14:val="tx1"/>
            </w14:solidFill>
          </w14:textFill>
        </w:rPr>
        <w:t>11接受甲方、后勤管理部门及有关政府部门的监督、指导，并采取积极、有效措施及时落实有关监督、指导意见。根据甲方的要求及时更换有关物业管理服务人员，主要管理人员最迟于15个工作日内完成更换，其他人员最迟于7个工作日内完成更换。</w:t>
      </w:r>
    </w:p>
    <w:p>
      <w:pPr>
        <w:spacing w:line="360" w:lineRule="auto"/>
        <w:ind w:left="-19" w:firstLine="48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8.2.</w:t>
      </w:r>
      <w:r>
        <w:rPr>
          <w:rFonts w:hint="eastAsia" w:ascii="宋体" w:hAnsi="宋体" w:cs="宋体"/>
          <w:color w:val="000000" w:themeColor="text1"/>
          <w14:textFill>
            <w14:solidFill>
              <w14:schemeClr w14:val="tx1"/>
            </w14:solidFill>
          </w14:textFill>
        </w:rPr>
        <w:t>12乙方应确保本物业服务项目的服务团队人员稳定，合同期内，本合同第十二部分中规定的物业服务项目主要管理人员变更不得超过2人次。乙方项目主要管理人员离职时，乙方应通知甲方；对于主管以上的管理人员变更，须提前一个月通知甲方，并取得甲方同意，该岗位接替人员的资格不得低于合同中对于该岗位人员的最低要求，其中项目经理原则上不应调整；乙方工作人员的流动情况应及时提交甲方备案。主管以上的管理人员必须保证在岗工作时间和重要活动在岗，如有变化，须取得甲方的同意。</w:t>
      </w:r>
    </w:p>
    <w:p>
      <w:pPr>
        <w:spacing w:line="360" w:lineRule="auto"/>
        <w:ind w:left="-19" w:firstLine="48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8.2.</w:t>
      </w:r>
      <w:r>
        <w:rPr>
          <w:rFonts w:hint="eastAsia" w:ascii="宋体" w:hAnsi="宋体" w:cs="宋体"/>
          <w:color w:val="000000" w:themeColor="text1"/>
          <w14:textFill>
            <w14:solidFill>
              <w14:schemeClr w14:val="tx1"/>
            </w14:solidFill>
          </w14:textFill>
        </w:rPr>
        <w:t>13乙方不得擅自占用和改变本项目办公楼公用设施、公共部位的使用功能及用途，如需在办公楼内改造、扩建、完善配套项目，须报甲方和有关部门批准后方可实施，且施工不得影响甲方正常工作秩序。</w:t>
      </w:r>
    </w:p>
    <w:p>
      <w:pPr>
        <w:spacing w:line="360" w:lineRule="auto"/>
        <w:ind w:left="-19" w:firstLine="48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8.2.</w:t>
      </w:r>
      <w:r>
        <w:rPr>
          <w:rFonts w:hint="eastAsia" w:ascii="宋体" w:hAnsi="宋体" w:cs="宋体"/>
          <w:color w:val="000000" w:themeColor="text1"/>
          <w14:textFill>
            <w14:solidFill>
              <w14:schemeClr w14:val="tx1"/>
            </w14:solidFill>
          </w14:textFill>
        </w:rPr>
        <w:t>14经过甲方同意，乙方可以选聘专业公司承担部分项目的专项服务，但不得将其全面委托监督管理责任转让给第三方。乙方与受托企业签订的合同中约定的服务标准，不得低于本合同约定。乙方应当对受托企业的服务行为进行监督，并对受托企业的服务行为承担连带责任。分包合同不能免除乙方在本合同中应承担的任何义务和责任，乙方应当对分包服务项目进行监督管理，保证合同的履行。</w:t>
      </w:r>
    </w:p>
    <w:p>
      <w:pPr>
        <w:spacing w:line="360" w:lineRule="auto"/>
        <w:ind w:left="-19" w:firstLine="48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8.2.</w:t>
      </w:r>
      <w:r>
        <w:rPr>
          <w:rFonts w:hint="eastAsia" w:ascii="宋体" w:hAnsi="宋体" w:cs="宋体"/>
          <w:color w:val="000000" w:themeColor="text1"/>
          <w14:textFill>
            <w14:solidFill>
              <w14:schemeClr w14:val="tx1"/>
            </w14:solidFill>
          </w14:textFill>
        </w:rPr>
        <w:t>15乙方项目管理部应自行配备完成本项物业服务相关的设备、机具及相关用品，并建有明细登记表，对在使用甲方的设备设施过程中造成损坏的，应该予以赔偿。</w:t>
      </w:r>
    </w:p>
    <w:p>
      <w:pPr>
        <w:spacing w:line="360" w:lineRule="auto"/>
        <w:ind w:left="-19" w:firstLine="48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8.2.</w:t>
      </w:r>
      <w:r>
        <w:rPr>
          <w:rFonts w:hint="eastAsia" w:ascii="宋体" w:hAnsi="宋体" w:cs="宋体"/>
          <w:color w:val="000000" w:themeColor="text1"/>
          <w14:textFill>
            <w14:solidFill>
              <w14:schemeClr w14:val="tx1"/>
            </w14:solidFill>
          </w14:textFill>
        </w:rPr>
        <w:t>16负责编制房屋、设施、设备等的维修养护计划和方案，并经甲方同意后组织实施。</w:t>
      </w:r>
    </w:p>
    <w:p>
      <w:pPr>
        <w:spacing w:line="360" w:lineRule="auto"/>
        <w:ind w:left="-19" w:firstLine="48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8.2.</w:t>
      </w:r>
      <w:r>
        <w:rPr>
          <w:rFonts w:hint="eastAsia" w:ascii="宋体" w:hAnsi="宋体" w:cs="宋体"/>
          <w:color w:val="000000" w:themeColor="text1"/>
          <w14:textFill>
            <w14:solidFill>
              <w14:schemeClr w14:val="tx1"/>
            </w14:solidFill>
          </w14:textFill>
        </w:rPr>
        <w:t>17乙方项目管理部必须严格执行《招标文件》相关内容持证上岗，根据甲方需求提供服务。</w:t>
      </w:r>
    </w:p>
    <w:p>
      <w:pPr>
        <w:spacing w:line="360" w:lineRule="auto"/>
        <w:ind w:left="-19" w:firstLine="48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8.2.</w:t>
      </w:r>
      <w:r>
        <w:rPr>
          <w:rFonts w:hint="eastAsia" w:ascii="宋体" w:hAnsi="宋体" w:cs="宋体"/>
          <w:color w:val="000000" w:themeColor="text1"/>
          <w14:textFill>
            <w14:solidFill>
              <w14:schemeClr w14:val="tx1"/>
            </w14:solidFill>
          </w14:textFill>
        </w:rPr>
        <w:t>18本物业服务项目合同期中止或终止后，乙方须向甲方移交物业管理权，撤出本物业，并须协助甲方和甲方确定的新的物业公司作好物业交接和善后工作，移交或配合甲方移交物业管理全部用房和物业管理的全部档案、资料、物品，结清有关财务事项。</w:t>
      </w:r>
    </w:p>
    <w:p>
      <w:pPr>
        <w:spacing w:line="360" w:lineRule="auto"/>
        <w:ind w:left="-19" w:firstLine="48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8.2.</w:t>
      </w:r>
      <w:r>
        <w:rPr>
          <w:rFonts w:hint="eastAsia" w:ascii="宋体" w:hAnsi="宋体" w:cs="宋体"/>
          <w:color w:val="000000" w:themeColor="text1"/>
          <w14:textFill>
            <w14:solidFill>
              <w14:schemeClr w14:val="tx1"/>
            </w14:solidFill>
          </w14:textFill>
        </w:rPr>
        <w:t>19物业管理有关法律、法规规定的应当由乙方承担的其他责任。</w:t>
      </w:r>
    </w:p>
    <w:p>
      <w:pPr>
        <w:spacing w:line="360" w:lineRule="auto"/>
        <w:ind w:left="-19" w:firstLine="48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8.2.</w:t>
      </w:r>
      <w:r>
        <w:rPr>
          <w:rFonts w:hint="eastAsia" w:ascii="宋体" w:hAnsi="宋体" w:cs="宋体"/>
          <w:color w:val="000000" w:themeColor="text1"/>
          <w14:textFill>
            <w14:solidFill>
              <w14:schemeClr w14:val="tx1"/>
            </w14:solidFill>
          </w14:textFill>
        </w:rPr>
        <w:t>20乙方及乙方工作人员因违章操作造成各种损失应由乙方承担。</w:t>
      </w:r>
    </w:p>
    <w:p>
      <w:pPr>
        <w:spacing w:line="360" w:lineRule="auto"/>
        <w:ind w:left="-19" w:firstLine="48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8.2.</w:t>
      </w:r>
      <w:r>
        <w:rPr>
          <w:rFonts w:hint="eastAsia" w:ascii="宋体" w:hAnsi="宋体" w:cs="宋体"/>
          <w:color w:val="000000" w:themeColor="text1"/>
          <w14:textFill>
            <w14:solidFill>
              <w14:schemeClr w14:val="tx1"/>
            </w14:solidFill>
          </w14:textFill>
        </w:rPr>
        <w:t>21乙方有义务协助甲方所签署的外包、维保、服务等合同实施进行现场监管，协助合同的实施完成；协助甲方对本物业服务区域内的所有施工现场环境、施工质量实施监督管理。</w:t>
      </w:r>
    </w:p>
    <w:p>
      <w:pPr>
        <w:spacing w:line="360" w:lineRule="auto"/>
        <w:ind w:left="-19" w:firstLine="48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8.2.</w:t>
      </w:r>
      <w:r>
        <w:rPr>
          <w:rFonts w:hint="eastAsia" w:ascii="宋体" w:hAnsi="宋体" w:cs="宋体"/>
          <w:color w:val="000000" w:themeColor="text1"/>
          <w14:textFill>
            <w14:solidFill>
              <w14:schemeClr w14:val="tx1"/>
            </w14:solidFill>
          </w14:textFill>
        </w:rPr>
        <w:t>22乙方在执行本合同内的物业服务时，统一由甲方负责联系、协调办公区内的物业使用人。</w:t>
      </w:r>
    </w:p>
    <w:p>
      <w:pPr>
        <w:tabs>
          <w:tab w:val="left" w:pos="1800"/>
        </w:tabs>
        <w:spacing w:line="360" w:lineRule="auto"/>
        <w:ind w:left="-19" w:firstLine="48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8.2.</w:t>
      </w:r>
      <w:r>
        <w:rPr>
          <w:rFonts w:hint="eastAsia" w:ascii="宋体" w:hAnsi="宋体" w:cs="宋体"/>
          <w:color w:val="000000" w:themeColor="text1"/>
          <w14:textFill>
            <w14:solidFill>
              <w14:schemeClr w14:val="tx1"/>
            </w14:solidFill>
          </w14:textFill>
        </w:rPr>
        <w:t xml:space="preserve">23依据甲方的服务标准，定制考核评分制度，接受甲方考核。 </w:t>
      </w:r>
    </w:p>
    <w:p>
      <w:pPr>
        <w:tabs>
          <w:tab w:val="left" w:pos="1800"/>
        </w:tabs>
        <w:spacing w:line="360" w:lineRule="auto"/>
        <w:ind w:left="-19" w:firstLine="48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8.2.</w:t>
      </w:r>
      <w:r>
        <w:rPr>
          <w:rFonts w:hint="eastAsia" w:ascii="宋体" w:hAnsi="宋体" w:cs="宋体"/>
          <w:color w:val="000000" w:themeColor="text1"/>
          <w14:textFill>
            <w14:solidFill>
              <w14:schemeClr w14:val="tx1"/>
            </w14:solidFill>
          </w14:textFill>
        </w:rPr>
        <w:t>24因乙方对设备设施维修不当或未能及时修理，对房屋及附属设备、用品造成损失的，应由乙方负责赔偿经济损失。</w:t>
      </w:r>
    </w:p>
    <w:p>
      <w:pPr>
        <w:tabs>
          <w:tab w:val="left" w:pos="1800"/>
        </w:tabs>
        <w:spacing w:line="360" w:lineRule="auto"/>
        <w:ind w:left="-19" w:firstLine="48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8.2.</w:t>
      </w:r>
      <w:r>
        <w:rPr>
          <w:rFonts w:hint="eastAsia" w:ascii="宋体" w:hAnsi="宋体" w:cs="宋体"/>
          <w:color w:val="000000" w:themeColor="text1"/>
          <w14:textFill>
            <w14:solidFill>
              <w14:schemeClr w14:val="tx1"/>
            </w14:solidFill>
          </w14:textFill>
        </w:rPr>
        <w:t>25乙方应协助甲方做好本物业服务区域的安全生产和事故防范工作，对从事本物业的从业人员应进行安全操作培训；遵守有关环境保护和职业健康管理职责要求。根据甲方要求，采取事故防范措施，制定应急预案，并组织演练，避免发生安全事故。发生安全事故时，乙方在采取应急措施的同时，及时向甲方报告，保护好现场、协助做好处置工作。同时，若因乙方责任导致发生意外事故，则责任由乙方负全部责任。</w:t>
      </w:r>
    </w:p>
    <w:p>
      <w:pPr>
        <w:tabs>
          <w:tab w:val="left" w:pos="1800"/>
        </w:tabs>
        <w:spacing w:line="360" w:lineRule="auto"/>
        <w:ind w:left="-19" w:firstLine="48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8.2.</w:t>
      </w:r>
      <w:r>
        <w:rPr>
          <w:rFonts w:hint="eastAsia" w:ascii="宋体" w:hAnsi="宋体" w:cs="宋体"/>
          <w:color w:val="000000" w:themeColor="text1"/>
          <w14:textFill>
            <w14:solidFill>
              <w14:schemeClr w14:val="tx1"/>
            </w14:solidFill>
          </w14:textFill>
        </w:rPr>
        <w:t>26乙方在履行本合同期间内所发生的人身伤亡事故均由乙方自行负责。其他责任事故按法律规定处理。</w:t>
      </w:r>
    </w:p>
    <w:p>
      <w:pPr>
        <w:tabs>
          <w:tab w:val="left" w:pos="1800"/>
        </w:tabs>
        <w:spacing w:line="360" w:lineRule="auto"/>
        <w:ind w:left="-19" w:firstLine="48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8.2.</w:t>
      </w:r>
      <w:r>
        <w:rPr>
          <w:rFonts w:hint="eastAsia" w:ascii="宋体" w:hAnsi="宋体" w:cs="宋体"/>
          <w:color w:val="000000" w:themeColor="text1"/>
          <w14:textFill>
            <w14:solidFill>
              <w14:schemeClr w14:val="tx1"/>
            </w14:solidFill>
          </w14:textFill>
        </w:rPr>
        <w:t>27乙方应严格遵守合同内承诺的各项内容。</w:t>
      </w:r>
    </w:p>
    <w:p>
      <w:pPr>
        <w:spacing w:line="360" w:lineRule="auto"/>
        <w:ind w:left="-19" w:firstLine="480" w:firstLineChars="200"/>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8.2.</w:t>
      </w:r>
      <w:r>
        <w:rPr>
          <w:rFonts w:hint="eastAsia" w:ascii="宋体" w:hAnsi="宋体" w:cs="宋体"/>
          <w:color w:val="000000" w:themeColor="text1"/>
          <w14:textFill>
            <w14:solidFill>
              <w14:schemeClr w14:val="tx1"/>
            </w14:solidFill>
          </w14:textFill>
        </w:rPr>
        <w:t>28相关法律、法规、政策及当事人约定的乙方其他权利义务。</w:t>
      </w:r>
    </w:p>
    <w:p>
      <w:pPr>
        <w:spacing w:line="360" w:lineRule="auto"/>
        <w:ind w:left="-19" w:firstLine="480" w:firstLineChars="200"/>
        <w:rPr>
          <w:rFonts w:ascii="宋体" w:hAnsi="宋体" w:cs="宋体"/>
          <w:color w:val="000000" w:themeColor="text1"/>
          <w14:textFill>
            <w14:solidFill>
              <w14:schemeClr w14:val="tx1"/>
            </w14:solidFill>
          </w14:textFill>
        </w:rPr>
      </w:pPr>
    </w:p>
    <w:p>
      <w:pPr>
        <w:spacing w:line="360" w:lineRule="auto"/>
        <w:ind w:left="-2" w:firstLine="281"/>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第九部分 不可抗力</w:t>
      </w:r>
    </w:p>
    <w:p>
      <w:pPr>
        <w:spacing w:line="360" w:lineRule="auto"/>
        <w:ind w:left="-19" w:firstLine="540"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9.1 </w:t>
      </w:r>
      <w:r>
        <w:rPr>
          <w:rFonts w:hint="eastAsia" w:ascii="宋体" w:hAnsi="宋体" w:cs="宋体"/>
          <w:color w:val="000000" w:themeColor="text1"/>
          <w14:textFill>
            <w14:solidFill>
              <w14:schemeClr w14:val="tx1"/>
            </w14:solidFill>
          </w14:textFill>
        </w:rPr>
        <w:t>如果任何一方由于遭受诸如战争、严重火灾、洪水、台风、地震等重大自然灾害、以及各方同意的其他不可抗力的事件，致使影响合同履行，履行合同的期限应予以延长，延长的期限应相当于事件所影响的时间。不可抗力事件系指双方在缔结合同时所不能预见的，并且它的发生及其后果是无法避免和无法克服的客观情况。</w:t>
      </w:r>
    </w:p>
    <w:p>
      <w:pPr>
        <w:spacing w:line="360" w:lineRule="auto"/>
        <w:ind w:left="-19" w:firstLine="540"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9.2</w:t>
      </w:r>
      <w:r>
        <w:rPr>
          <w:rFonts w:hint="eastAsia" w:ascii="宋体" w:hAnsi="宋体" w:cs="宋体"/>
          <w:color w:val="000000" w:themeColor="text1"/>
          <w14:textFill>
            <w14:solidFill>
              <w14:schemeClr w14:val="tx1"/>
            </w14:solidFill>
          </w14:textFill>
        </w:rPr>
        <w:t xml:space="preserve"> 遭受不可抗力一方应在不可抗力事件发生后2日内以书面形式通知其他方</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并在事件发生后</w:t>
      </w:r>
      <w:r>
        <w:rPr>
          <w:rFonts w:ascii="宋体" w:hAnsi="宋体" w:cs="宋体"/>
          <w:color w:val="000000" w:themeColor="text1"/>
          <w14:textFill>
            <w14:solidFill>
              <w14:schemeClr w14:val="tx1"/>
            </w14:solidFill>
          </w14:textFill>
        </w:rPr>
        <w:t xml:space="preserve"> 10 </w:t>
      </w:r>
      <w:r>
        <w:rPr>
          <w:rFonts w:hint="eastAsia" w:ascii="宋体" w:hAnsi="宋体" w:cs="宋体"/>
          <w:color w:val="000000" w:themeColor="text1"/>
          <w14:textFill>
            <w14:solidFill>
              <w14:schemeClr w14:val="tx1"/>
            </w14:solidFill>
          </w14:textFill>
        </w:rPr>
        <w:t>日内，将有关部门出具的证明文件、详细情况报告以及不可抗力对合同影响程度的说明用特快专递或挂号信的形式寄给其他方。如果不可抗力影响时间延续</w:t>
      </w:r>
      <w:r>
        <w:rPr>
          <w:rFonts w:ascii="宋体" w:hAnsi="宋体" w:cs="宋体"/>
          <w:color w:val="000000" w:themeColor="text1"/>
          <w14:textFill>
            <w14:solidFill>
              <w14:schemeClr w14:val="tx1"/>
            </w14:solidFill>
          </w14:textFill>
        </w:rPr>
        <w:t xml:space="preserve"> 60 </w:t>
      </w:r>
      <w:r>
        <w:rPr>
          <w:rFonts w:hint="eastAsia" w:ascii="宋体" w:hAnsi="宋体" w:cs="宋体"/>
          <w:color w:val="000000" w:themeColor="text1"/>
          <w14:textFill>
            <w14:solidFill>
              <w14:schemeClr w14:val="tx1"/>
            </w14:solidFill>
          </w14:textFill>
        </w:rPr>
        <w:t>日以上，各方应通过友好协商在合理的时间内达成进一步履行合同或终止合同的协议。</w:t>
      </w:r>
    </w:p>
    <w:p>
      <w:pPr>
        <w:spacing w:line="360" w:lineRule="auto"/>
        <w:ind w:left="-19" w:firstLine="540"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9.3 </w:t>
      </w:r>
      <w:r>
        <w:rPr>
          <w:rFonts w:hint="eastAsia" w:ascii="宋体" w:hAnsi="宋体" w:cs="宋体"/>
          <w:color w:val="000000" w:themeColor="text1"/>
          <w14:textFill>
            <w14:solidFill>
              <w14:schemeClr w14:val="tx1"/>
            </w14:solidFill>
          </w14:textFill>
        </w:rPr>
        <w:t>发生不可抗力时，任何一方均不对因不可抗力无法履行或迟延履行本合同义务而使其他方蒙受损失承担责任，但遭受不可抗力一方有责任尽可能及时采取适当或必要措施减少或消除不可抗力的影响。遭受不可抗力的一方对因未尽本项义务而造成的损失承担赔偿责任。</w:t>
      </w:r>
    </w:p>
    <w:p>
      <w:pPr>
        <w:tabs>
          <w:tab w:val="left" w:pos="900"/>
        </w:tabs>
        <w:spacing w:line="480" w:lineRule="exact"/>
        <w:ind w:left="-19" w:firstLine="480" w:firstLineChars="200"/>
        <w:rPr>
          <w:rFonts w:ascii="宋体" w:hAns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9.4 </w:t>
      </w:r>
      <w:r>
        <w:rPr>
          <w:rFonts w:hint="eastAsia" w:ascii="宋体" w:hAnsi="宋体" w:cs="宋体"/>
          <w:color w:val="000000" w:themeColor="text1"/>
          <w14:textFill>
            <w14:solidFill>
              <w14:schemeClr w14:val="tx1"/>
            </w14:solidFill>
          </w14:textFill>
        </w:rPr>
        <w:t>受事件影响的一方应在不可抗力事件影响停止或消除后</w:t>
      </w:r>
      <w:r>
        <w:rPr>
          <w:rFonts w:ascii="宋体" w:hAnsi="宋体" w:cs="宋体"/>
          <w:color w:val="000000" w:themeColor="text1"/>
          <w14:textFill>
            <w14:solidFill>
              <w14:schemeClr w14:val="tx1"/>
            </w14:solidFill>
          </w14:textFill>
        </w:rPr>
        <w:t>10</w:t>
      </w:r>
      <w:r>
        <w:rPr>
          <w:rFonts w:hint="eastAsia" w:ascii="宋体" w:hAnsi="宋体" w:cs="宋体"/>
          <w:color w:val="000000" w:themeColor="text1"/>
          <w14:textFill>
            <w14:solidFill>
              <w14:schemeClr w14:val="tx1"/>
            </w14:solidFill>
          </w14:textFill>
        </w:rPr>
        <w:t>日内将不可抗力事件已停止的报告以书面形式通知其他方。</w:t>
      </w:r>
    </w:p>
    <w:p>
      <w:pPr>
        <w:spacing w:line="360" w:lineRule="auto"/>
        <w:ind w:left="-19" w:firstLine="480" w:firstLineChars="200"/>
        <w:rPr>
          <w:rFonts w:ascii="宋体" w:hAnsi="宋体" w:cs="宋体"/>
          <w:color w:val="000000" w:themeColor="text1"/>
          <w14:textFill>
            <w14:solidFill>
              <w14:schemeClr w14:val="tx1"/>
            </w14:solidFill>
          </w14:textFill>
        </w:rPr>
      </w:pPr>
    </w:p>
    <w:p>
      <w:pPr>
        <w:spacing w:before="120" w:beforeLines="50" w:line="360" w:lineRule="auto"/>
        <w:ind w:left="-2" w:firstLine="281"/>
        <w:jc w:val="center"/>
        <w:outlineLvl w:val="1"/>
        <w:rPr>
          <w:b/>
          <w:bCs/>
          <w:color w:val="000000" w:themeColor="text1"/>
          <w:sz w:val="28"/>
          <w14:textFill>
            <w14:solidFill>
              <w14:schemeClr w14:val="tx1"/>
            </w14:solidFill>
          </w14:textFill>
        </w:rPr>
      </w:pPr>
      <w:r>
        <w:rPr>
          <w:rFonts w:hint="eastAsia"/>
          <w:b/>
          <w:bCs/>
          <w:color w:val="000000" w:themeColor="text1"/>
          <w:sz w:val="28"/>
          <w14:textFill>
            <w14:solidFill>
              <w14:schemeClr w14:val="tx1"/>
            </w14:solidFill>
          </w14:textFill>
        </w:rPr>
        <w:t>第十部分 保密约定</w:t>
      </w:r>
    </w:p>
    <w:p>
      <w:pPr>
        <w:tabs>
          <w:tab w:val="left" w:pos="900"/>
        </w:tabs>
        <w:spacing w:line="480" w:lineRule="exact"/>
        <w:ind w:left="-19"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10</w:t>
      </w:r>
      <w:r>
        <w:rPr>
          <w:rFonts w:hint="eastAsia" w:ascii="宋体" w:hAnsi="宋体"/>
          <w:color w:val="000000" w:themeColor="text1"/>
          <w14:textFill>
            <w14:solidFill>
              <w14:schemeClr w14:val="tx1"/>
            </w14:solidFill>
          </w14:textFill>
        </w:rPr>
        <w:t>.1 乙方应对在本合同履行过程中知悉的有关甲方的商业、国家等秘密承担保密义务。除经甲方的同意或法律、法规另有规定，乙方不得向本合同以外的任何第三人提供、泄漏上述秘密。乙方违反保密义务的，应按合同附件一之约定承担违约责任。违反本条规定给甲方造成损失的，乙方应承担相应责任。</w:t>
      </w:r>
    </w:p>
    <w:p>
      <w:pPr>
        <w:tabs>
          <w:tab w:val="left" w:pos="900"/>
        </w:tabs>
        <w:spacing w:line="480" w:lineRule="exact"/>
        <w:ind w:left="-19"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10</w:t>
      </w:r>
      <w:r>
        <w:rPr>
          <w:rFonts w:hint="eastAsia" w:ascii="宋体" w:hAnsi="宋体"/>
          <w:color w:val="000000" w:themeColor="text1"/>
          <w14:textFill>
            <w14:solidFill>
              <w14:schemeClr w14:val="tx1"/>
            </w14:solidFill>
          </w14:textFill>
        </w:rPr>
        <w:t>.2 除合同本身以外，由甲方提供给乙方的所有资料始终为甲方的财产，乙方应于合同义务履行完毕后将上述资料包括副本退还给甲方。</w:t>
      </w:r>
    </w:p>
    <w:p>
      <w:pPr>
        <w:tabs>
          <w:tab w:val="left" w:pos="900"/>
        </w:tabs>
        <w:spacing w:line="480" w:lineRule="exact"/>
        <w:ind w:left="-19"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10</w:t>
      </w:r>
      <w:r>
        <w:rPr>
          <w:rFonts w:hint="eastAsia" w:ascii="宋体" w:hAnsi="宋体"/>
          <w:color w:val="000000" w:themeColor="text1"/>
          <w14:textFill>
            <w14:solidFill>
              <w14:schemeClr w14:val="tx1"/>
            </w14:solidFill>
          </w14:textFill>
        </w:rPr>
        <w:t>.3 不论合同是否解除或终止，本条持续有效。</w:t>
      </w:r>
    </w:p>
    <w:p>
      <w:pPr>
        <w:spacing w:line="360" w:lineRule="auto"/>
        <w:ind w:left="-19" w:firstLine="480" w:firstLineChars="200"/>
        <w:rPr>
          <w:rFonts w:ascii="宋体" w:hAnsi="宋体" w:cs="宋体"/>
          <w:color w:val="000000" w:themeColor="text1"/>
          <w14:textFill>
            <w14:solidFill>
              <w14:schemeClr w14:val="tx1"/>
            </w14:solidFill>
          </w14:textFill>
        </w:rPr>
      </w:pPr>
    </w:p>
    <w:p>
      <w:pPr>
        <w:spacing w:before="120" w:beforeLines="50" w:line="360" w:lineRule="auto"/>
        <w:ind w:left="-2" w:firstLine="281"/>
        <w:jc w:val="center"/>
        <w:outlineLvl w:val="1"/>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 xml:space="preserve">第十一部分 </w:t>
      </w:r>
      <w:r>
        <w:rPr>
          <w:rFonts w:hint="eastAsia" w:ascii="宋体" w:hAnsi="宋体" w:cs="宋体"/>
          <w:b/>
          <w:color w:val="000000" w:themeColor="text1"/>
          <w:sz w:val="28"/>
          <w:szCs w:val="28"/>
          <w14:textFill>
            <w14:solidFill>
              <w14:schemeClr w14:val="tx1"/>
            </w14:solidFill>
          </w14:textFill>
        </w:rPr>
        <w:t>违约责任与</w:t>
      </w:r>
      <w:r>
        <w:rPr>
          <w:rFonts w:hint="eastAsia"/>
          <w:b/>
          <w:bCs/>
          <w:color w:val="000000" w:themeColor="text1"/>
          <w:sz w:val="28"/>
          <w:szCs w:val="28"/>
          <w14:textFill>
            <w14:solidFill>
              <w14:schemeClr w14:val="tx1"/>
            </w14:solidFill>
          </w14:textFill>
        </w:rPr>
        <w:t>争议</w:t>
      </w:r>
    </w:p>
    <w:p>
      <w:pPr>
        <w:tabs>
          <w:tab w:val="left" w:pos="1800"/>
        </w:tabs>
        <w:spacing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1.1</w:t>
      </w:r>
      <w:r>
        <w:rPr>
          <w:rFonts w:hint="eastAsia" w:ascii="宋体" w:hAnsi="宋体" w:cs="宋体"/>
          <w:color w:val="000000" w:themeColor="text1"/>
          <w14:textFill>
            <w14:solidFill>
              <w14:schemeClr w14:val="tx1"/>
            </w14:solidFill>
          </w14:textFill>
        </w:rPr>
        <w:t xml:space="preserve"> 乙方未能按照约定提供服务，甲方有权要求乙方按甲方确定的期限进行整改，逾期未整改而造成严重违约的，甲方有权解除合同，并要求乙方承担合同总金额【5】%的违约金。造成甲方经济损失的，乙方应给予甲方经济赔偿。</w:t>
      </w:r>
    </w:p>
    <w:p>
      <w:pPr>
        <w:spacing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乙方严重违约事项包括：</w:t>
      </w:r>
    </w:p>
    <w:p>
      <w:pPr>
        <w:spacing w:line="360" w:lineRule="auto"/>
        <w:ind w:left="-19" w:firstLine="480" w:firstLineChars="200"/>
        <w:jc w:val="left"/>
        <w:rPr>
          <w:rFonts w:ascii="宋体" w:hAnsi="宋体" w:cs="宋体"/>
          <w:color w:val="000000" w:themeColor="text1"/>
          <w:u w:val="single"/>
          <w14:textFill>
            <w14:solidFill>
              <w14:schemeClr w14:val="tx1"/>
            </w14:solidFill>
          </w14:textFill>
        </w:rPr>
      </w:pPr>
      <w:r>
        <w:rPr>
          <w:rFonts w:ascii="宋体" w:hAnsi="宋体" w:cs="宋体"/>
          <w:color w:val="000000" w:themeColor="text1"/>
          <w14:textFill>
            <w14:solidFill>
              <w14:schemeClr w14:val="tx1"/>
            </w14:solidFill>
          </w14:textFill>
        </w:rPr>
        <w:t>1.</w:t>
      </w:r>
      <w:r>
        <w:rPr>
          <w:rFonts w:hint="eastAsia" w:ascii="宋体" w:hAnsi="宋体" w:cs="宋体"/>
          <w:color w:val="000000" w:themeColor="text1"/>
          <w:u w:val="single"/>
          <w14:textFill>
            <w14:solidFill>
              <w14:schemeClr w14:val="tx1"/>
            </w14:solidFill>
          </w14:textFill>
        </w:rPr>
        <w:t>主管及其以上管理人员变更后，3个自然日内未有同资质或同资质以上人员接替该岗位；或甲方要求更换物业管理服务人员的，未在合同约定的期限内完成更换的。</w:t>
      </w:r>
    </w:p>
    <w:p>
      <w:pPr>
        <w:adjustRightInd/>
        <w:spacing w:line="360" w:lineRule="auto"/>
        <w:ind w:left="-19" w:firstLine="480" w:firstLineChars="200"/>
        <w:jc w:val="left"/>
        <w:textAlignment w:val="auto"/>
        <w:rPr>
          <w:rFonts w:ascii="宋体" w:hAnsi="宋体" w:cs="宋体"/>
          <w:color w:val="000000" w:themeColor="text1"/>
          <w:u w:val="single"/>
          <w14:textFill>
            <w14:solidFill>
              <w14:schemeClr w14:val="tx1"/>
            </w14:solidFill>
          </w14:textFill>
        </w:rPr>
      </w:pPr>
      <w:r>
        <w:rPr>
          <w:rFonts w:ascii="宋体" w:hAnsi="宋体" w:cs="宋体"/>
          <w:color w:val="000000" w:themeColor="text1"/>
          <w14:textFill>
            <w14:solidFill>
              <w14:schemeClr w14:val="tx1"/>
            </w14:solidFill>
          </w14:textFill>
        </w:rPr>
        <w:t>2.</w:t>
      </w:r>
      <w:r>
        <w:rPr>
          <w:rFonts w:hint="eastAsia" w:ascii="宋体" w:hAnsi="宋体" w:cs="宋体"/>
          <w:color w:val="000000" w:themeColor="text1"/>
          <w:u w:val="single"/>
          <w14:textFill>
            <w14:solidFill>
              <w14:schemeClr w14:val="tx1"/>
            </w14:solidFill>
          </w14:textFill>
        </w:rPr>
        <w:t>因乙方原因导致逾期未整改，造成物业使用人对物业无法正常使用的。</w:t>
      </w:r>
    </w:p>
    <w:p>
      <w:pPr>
        <w:adjustRightInd/>
        <w:spacing w:line="360" w:lineRule="auto"/>
        <w:ind w:left="-19" w:firstLine="480" w:firstLineChars="200"/>
        <w:textAlignment w:val="auto"/>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hint="eastAsia" w:ascii="宋体" w:hAnsi="宋体" w:cs="宋体"/>
          <w:color w:val="000000" w:themeColor="text1"/>
          <w:u w:val="single"/>
          <w14:textFill>
            <w14:solidFill>
              <w14:schemeClr w14:val="tx1"/>
            </w14:solidFill>
          </w14:textFill>
        </w:rPr>
        <w:t>未经甲方同意，将本合同项下的权利义务转包、分包给其他第三方的。</w:t>
      </w:r>
    </w:p>
    <w:p>
      <w:pPr>
        <w:adjustRightInd/>
        <w:spacing w:line="360" w:lineRule="auto"/>
        <w:ind w:left="-19" w:firstLine="480" w:firstLineChars="200"/>
        <w:textAlignment w:val="auto"/>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4.因乙方原因产生重大事故的。</w:t>
      </w:r>
    </w:p>
    <w:p>
      <w:pPr>
        <w:tabs>
          <w:tab w:val="left" w:pos="1620"/>
          <w:tab w:val="left" w:pos="1800"/>
        </w:tabs>
        <w:spacing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1.2</w:t>
      </w:r>
      <w:r>
        <w:rPr>
          <w:rFonts w:hint="eastAsia" w:ascii="宋体" w:hAnsi="宋体" w:cs="宋体"/>
          <w:color w:val="000000" w:themeColor="text1"/>
          <w14:textFill>
            <w14:solidFill>
              <w14:schemeClr w14:val="tx1"/>
            </w14:solidFill>
          </w14:textFill>
        </w:rPr>
        <w:t xml:space="preserve"> 除前条规定情况外，乙方的管理服务达不到本合同及附件约定的服务内容和质量标准，每发生一次的，应按当季物业合同金额的1%的标准向甲方支付违约金，甲方有权自当季应付的物业费</w:t>
      </w:r>
      <w:r>
        <w:rPr>
          <w:rFonts w:hint="eastAsia" w:ascii="宋体" w:hAnsi="宋体"/>
          <w:szCs w:val="24"/>
        </w:rPr>
        <w:t>或履约保证金</w:t>
      </w:r>
      <w:r>
        <w:rPr>
          <w:rFonts w:hint="eastAsia" w:ascii="宋体" w:hAnsi="宋体" w:cs="宋体"/>
          <w:color w:val="000000" w:themeColor="text1"/>
          <w14:textFill>
            <w14:solidFill>
              <w14:schemeClr w14:val="tx1"/>
            </w14:solidFill>
          </w14:textFill>
        </w:rPr>
        <w:t>中予以扣除。11.1和11.2所涉的违约情形超过【5】次的，甲方有权解除合同，并要求乙方承担合同金额【5】%的违约金，违约金不足以弥补甲方损失的，甲方有权要求乙方予以补足。</w:t>
      </w:r>
    </w:p>
    <w:p>
      <w:pPr>
        <w:tabs>
          <w:tab w:val="left" w:pos="1620"/>
          <w:tab w:val="left" w:pos="1800"/>
        </w:tabs>
        <w:spacing w:line="360" w:lineRule="auto"/>
        <w:ind w:left="-19" w:firstLine="480" w:firstLineChars="200"/>
        <w:rPr>
          <w:rFonts w:ascii="宋体" w:hAnsi="宋体" w:cs="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11</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甲方或物业使用权人对乙方的投诉超过2次的,乙方每次每项应按合同总金额的1‰(千分之一)向甲方支付违约金，投诉超过五次的，甲方有权解除本合同。</w:t>
      </w:r>
    </w:p>
    <w:p>
      <w:pPr>
        <w:tabs>
          <w:tab w:val="left" w:pos="1620"/>
          <w:tab w:val="left" w:pos="1800"/>
        </w:tabs>
        <w:spacing w:line="360" w:lineRule="auto"/>
        <w:ind w:left="-19" w:firstLine="480" w:firstLineChars="200"/>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11.4除本合同另有约定外，乙方工作人员擅自离岗，或乙方擅自变更工作人员，或未按要求更换人员的，除本合同另有约定外，应按每人每次向甲付合总金额【1】%（百分之【壹】）的违约金。</w:t>
      </w:r>
    </w:p>
    <w:p>
      <w:pPr>
        <w:tabs>
          <w:tab w:val="left" w:pos="900"/>
        </w:tabs>
        <w:spacing w:line="480" w:lineRule="exact"/>
        <w:ind w:left="-19"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11.5乙方应保障本合同履行中的人员人身和财产安全，如乙方履行物业服务中发生因乙方原因导致的安全事故或纠纷（包括但不限于消防、水、电、盗抢等），由乙方承担责任，如因此产生甲方或者乙方或第三方的人员人身、财产安全问题和纠纷等，由乙方负责解决并承担赔偿责任，造成甲方损失的，乙方应负责赔偿责任。</w:t>
      </w:r>
    </w:p>
    <w:p>
      <w:pPr>
        <w:tabs>
          <w:tab w:val="left" w:pos="900"/>
        </w:tabs>
        <w:spacing w:line="480" w:lineRule="exact"/>
        <w:ind w:left="-19"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11.6 本合同约定的甲方经济损失除直接损失、预期利益外，还包括甲方向乙方追索债权产生的律师费、交通费、鉴定费等费用。</w:t>
      </w:r>
    </w:p>
    <w:p>
      <w:pPr>
        <w:tabs>
          <w:tab w:val="left" w:pos="900"/>
        </w:tabs>
        <w:spacing w:line="480" w:lineRule="exact"/>
        <w:ind w:left="-19"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11.7 在执行本合同中所发生的争端，或与本合同有关的一切争端，甲、乙双方应通过协商解决。如通过协商方式仍不能解决争议，双方同意依法向甲方所在地有管辖权的人民法院提起诉讼。</w:t>
      </w:r>
    </w:p>
    <w:p>
      <w:pPr>
        <w:tabs>
          <w:tab w:val="left" w:pos="900"/>
        </w:tabs>
        <w:spacing w:line="480" w:lineRule="exact"/>
        <w:ind w:left="-19"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.8 在诉讼期间，除正在进行诉讼部分外，本合同其他部分应继续执行。</w:t>
      </w:r>
    </w:p>
    <w:p>
      <w:pPr>
        <w:spacing w:line="360" w:lineRule="auto"/>
        <w:ind w:left="-19" w:firstLine="480" w:firstLineChars="200"/>
        <w:rPr>
          <w:rFonts w:ascii="宋体" w:hAnsi="宋体" w:cs="宋体"/>
          <w:color w:val="000000" w:themeColor="text1"/>
          <w14:textFill>
            <w14:solidFill>
              <w14:schemeClr w14:val="tx1"/>
            </w14:solidFill>
          </w14:textFill>
        </w:rPr>
      </w:pPr>
    </w:p>
    <w:p>
      <w:pPr>
        <w:spacing w:line="360" w:lineRule="auto"/>
        <w:ind w:left="-2" w:firstLine="281"/>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第十二部分 项目人员管理</w:t>
      </w:r>
    </w:p>
    <w:p>
      <w:pPr>
        <w:tabs>
          <w:tab w:val="left" w:pos="1260"/>
        </w:tabs>
        <w:spacing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2.1</w:t>
      </w:r>
      <w:r>
        <w:rPr>
          <w:rFonts w:hint="eastAsia" w:ascii="宋体" w:hAnsi="宋体" w:cs="宋体"/>
          <w:color w:val="000000" w:themeColor="text1"/>
          <w14:textFill>
            <w14:solidFill>
              <w14:schemeClr w14:val="tx1"/>
            </w14:solidFill>
          </w14:textFill>
        </w:rPr>
        <w:t>本项目乙方主要管理人员</w:t>
      </w:r>
    </w:p>
    <w:p>
      <w:pPr>
        <w:tabs>
          <w:tab w:val="left" w:pos="1260"/>
        </w:tabs>
        <w:spacing w:line="360" w:lineRule="auto"/>
        <w:ind w:left="-5"/>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本项目的项目经理为：</w:t>
      </w:r>
      <w:r>
        <w:rPr>
          <w:rFonts w:hint="eastAsia" w:ascii="宋体" w:hAnsi="宋体" w:cs="宋体"/>
          <w:color w:val="000000" w:themeColor="text1"/>
          <w:u w:val="single"/>
          <w14:textFill>
            <w14:solidFill>
              <w14:schemeClr w14:val="tx1"/>
            </w14:solidFill>
          </w14:textFill>
        </w:rPr>
        <w:t xml:space="preserve"> 印俊 </w:t>
      </w:r>
    </w:p>
    <w:p>
      <w:pPr>
        <w:tabs>
          <w:tab w:val="left" w:pos="1260"/>
        </w:tabs>
        <w:spacing w:line="360" w:lineRule="auto"/>
        <w:ind w:left="-19"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本项目的项目经理必须遵守以下约定：恪尽职守、履行保密义务、按合同约定履行现场管理职责。</w:t>
      </w:r>
    </w:p>
    <w:p>
      <w:pPr>
        <w:tabs>
          <w:tab w:val="left" w:pos="1260"/>
        </w:tabs>
        <w:spacing w:line="360" w:lineRule="auto"/>
        <w:ind w:left="-5"/>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本项目的工程主管为： </w:t>
      </w:r>
      <w:r>
        <w:rPr>
          <w:rFonts w:hint="eastAsia" w:ascii="宋体" w:hAnsi="宋体" w:cs="宋体"/>
          <w:color w:val="000000" w:themeColor="text1"/>
          <w:u w:val="single"/>
          <w14:textFill>
            <w14:solidFill>
              <w14:schemeClr w14:val="tx1"/>
            </w14:solidFill>
          </w14:textFill>
        </w:rPr>
        <w:t xml:space="preserve">   杜军华    </w:t>
      </w:r>
    </w:p>
    <w:p>
      <w:pPr>
        <w:tabs>
          <w:tab w:val="left" w:pos="1260"/>
        </w:tabs>
        <w:spacing w:line="360" w:lineRule="auto"/>
        <w:ind w:left="-5"/>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本项目的会务主管为： </w:t>
      </w:r>
      <w:r>
        <w:rPr>
          <w:rFonts w:hint="eastAsia" w:ascii="宋体" w:hAnsi="宋体" w:cs="宋体"/>
          <w:color w:val="000000" w:themeColor="text1"/>
          <w:u w:val="single"/>
          <w14:textFill>
            <w14:solidFill>
              <w14:schemeClr w14:val="tx1"/>
            </w14:solidFill>
          </w14:textFill>
        </w:rPr>
        <w:t xml:space="preserve">    吴磊      </w:t>
      </w:r>
    </w:p>
    <w:p>
      <w:pPr>
        <w:tabs>
          <w:tab w:val="left" w:pos="1260"/>
        </w:tabs>
        <w:spacing w:line="360" w:lineRule="auto"/>
        <w:ind w:left="-5"/>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本项目的保洁主管为： </w:t>
      </w:r>
      <w:r>
        <w:rPr>
          <w:rFonts w:hint="eastAsia" w:ascii="宋体" w:hAnsi="宋体" w:cs="宋体"/>
          <w:color w:val="000000" w:themeColor="text1"/>
          <w:u w:val="single"/>
          <w14:textFill>
            <w14:solidFill>
              <w14:schemeClr w14:val="tx1"/>
            </w14:solidFill>
          </w14:textFill>
        </w:rPr>
        <w:t xml:space="preserve">   俞景臣   </w:t>
      </w:r>
    </w:p>
    <w:p>
      <w:pPr>
        <w:tabs>
          <w:tab w:val="left" w:pos="1260"/>
        </w:tabs>
        <w:spacing w:line="360" w:lineRule="auto"/>
        <w:ind w:left="-5" w:firstLine="42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本项目的综合主管为： </w:t>
      </w:r>
      <w:r>
        <w:rPr>
          <w:rFonts w:hint="eastAsia" w:ascii="宋体" w:hAnsi="宋体" w:cs="宋体"/>
          <w:color w:val="000000" w:themeColor="text1"/>
          <w:u w:val="single"/>
          <w14:textFill>
            <w14:solidFill>
              <w14:schemeClr w14:val="tx1"/>
            </w14:solidFill>
          </w14:textFill>
        </w:rPr>
        <w:t xml:space="preserve">   徐斌       </w:t>
      </w:r>
    </w:p>
    <w:p>
      <w:pPr>
        <w:tabs>
          <w:tab w:val="left" w:pos="1260"/>
        </w:tabs>
        <w:spacing w:line="360" w:lineRule="auto"/>
        <w:ind w:left="-5" w:firstLine="42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12.2主要管理人员变更要求</w:t>
      </w:r>
    </w:p>
    <w:p>
      <w:pPr>
        <w:pStyle w:val="12"/>
        <w:wordWrap w:val="0"/>
        <w:overflowPunct w:val="0"/>
        <w:topLinePunct/>
        <w:autoSpaceDE w:val="0"/>
        <w:autoSpaceDN w:val="0"/>
        <w:adjustRightInd w:val="0"/>
        <w:snapToGrid w:val="0"/>
        <w:spacing w:line="360" w:lineRule="auto"/>
        <w:ind w:left="420"/>
        <w:rPr>
          <w:rFonts w:ascii="宋体" w:hAnsi="宋体" w:cs="宋体"/>
          <w:color w:val="000000" w:themeColor="text1"/>
          <w:szCs w:val="22"/>
          <w:lang w:val="en-US"/>
          <w14:textFill>
            <w14:solidFill>
              <w14:schemeClr w14:val="tx1"/>
            </w14:solidFill>
          </w14:textFill>
        </w:rPr>
      </w:pPr>
      <w:r>
        <w:rPr>
          <w:rFonts w:hint="eastAsia" w:ascii="宋体" w:hAnsi="宋体" w:cs="宋体"/>
          <w:color w:val="000000" w:themeColor="text1"/>
          <w:szCs w:val="22"/>
          <w:lang w:val="en-US"/>
          <w14:textFill>
            <w14:solidFill>
              <w14:schemeClr w14:val="tx1"/>
            </w14:solidFill>
          </w14:textFill>
        </w:rPr>
        <w:t>服务期间，乙方的管理团队人员原则上不得变更，如存在确实需要变更的，应经甲方书面同意后方可变更，变更的人员必须经甲方书面认可；如乙方的管理团队不能按需完成甲方交办的工作，乙方需按甲方要求及时更换人员，更换的人员必须经甲方书面认可。</w:t>
      </w:r>
    </w:p>
    <w:p>
      <w:pPr>
        <w:tabs>
          <w:tab w:val="left" w:pos="1260"/>
        </w:tabs>
        <w:spacing w:line="360" w:lineRule="auto"/>
        <w:ind w:left="-5" w:firstLine="42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12.3 驻场团队人数要求</w:t>
      </w:r>
    </w:p>
    <w:p>
      <w:pPr>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基于委托物业服务的内容及要求，乙方提供的岗位设置不得少于如下基本要求，总编制人数不得低于97人。</w:t>
      </w:r>
    </w:p>
    <w:tbl>
      <w:tblPr>
        <w:tblStyle w:val="6"/>
        <w:tblpPr w:leftFromText="180" w:rightFromText="180" w:vertAnchor="text" w:horzAnchor="page" w:tblpX="2051" w:tblpY="152"/>
        <w:tblOverlap w:val="never"/>
        <w:tblW w:w="8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2017"/>
        <w:gridCol w:w="1477"/>
        <w:gridCol w:w="888"/>
        <w:gridCol w:w="205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643" w:type="dxa"/>
            <w:shd w:val="clear" w:color="auto" w:fill="CFCECE" w:themeFill="background2" w:themeFillShade="E5"/>
            <w:vAlign w:val="center"/>
          </w:tcPr>
          <w:p>
            <w:pPr>
              <w:jc w:val="center"/>
              <w:rPr>
                <w:rFonts w:ascii="宋体" w:hAnsi="宋体" w:cs="宋体"/>
                <w:szCs w:val="21"/>
              </w:rPr>
            </w:pPr>
            <w:r>
              <w:rPr>
                <w:rFonts w:hint="eastAsia" w:ascii="宋体" w:hAnsi="宋体" w:cs="宋体"/>
                <w:szCs w:val="21"/>
              </w:rPr>
              <w:t>序号</w:t>
            </w:r>
          </w:p>
        </w:tc>
        <w:tc>
          <w:tcPr>
            <w:tcW w:w="2017" w:type="dxa"/>
            <w:shd w:val="clear" w:color="auto" w:fill="CFCECE" w:themeFill="background2" w:themeFillShade="E5"/>
            <w:vAlign w:val="center"/>
          </w:tcPr>
          <w:p>
            <w:pPr>
              <w:jc w:val="center"/>
              <w:rPr>
                <w:rFonts w:ascii="宋体" w:hAnsi="宋体" w:cs="宋体"/>
                <w:szCs w:val="21"/>
              </w:rPr>
            </w:pPr>
            <w:r>
              <w:rPr>
                <w:rFonts w:hint="eastAsia" w:ascii="宋体" w:hAnsi="宋体" w:cs="宋体"/>
                <w:szCs w:val="21"/>
              </w:rPr>
              <w:t>岗位</w:t>
            </w:r>
          </w:p>
        </w:tc>
        <w:tc>
          <w:tcPr>
            <w:tcW w:w="1477" w:type="dxa"/>
            <w:shd w:val="clear" w:color="auto" w:fill="CFCECE" w:themeFill="background2" w:themeFillShade="E5"/>
            <w:vAlign w:val="center"/>
          </w:tcPr>
          <w:p>
            <w:pPr>
              <w:jc w:val="center"/>
              <w:rPr>
                <w:rFonts w:ascii="宋体" w:hAnsi="宋体" w:cs="宋体"/>
                <w:szCs w:val="21"/>
              </w:rPr>
            </w:pPr>
            <w:r>
              <w:rPr>
                <w:rFonts w:hint="eastAsia" w:ascii="宋体" w:hAnsi="宋体" w:cs="宋体"/>
                <w:szCs w:val="21"/>
              </w:rPr>
              <w:t>服务区域</w:t>
            </w:r>
          </w:p>
        </w:tc>
        <w:tc>
          <w:tcPr>
            <w:tcW w:w="888" w:type="dxa"/>
            <w:shd w:val="clear" w:color="auto" w:fill="CFCECE" w:themeFill="background2" w:themeFillShade="E5"/>
            <w:vAlign w:val="center"/>
          </w:tcPr>
          <w:p>
            <w:pPr>
              <w:jc w:val="center"/>
              <w:rPr>
                <w:rFonts w:ascii="宋体" w:hAnsi="宋体" w:cs="宋体"/>
                <w:szCs w:val="21"/>
              </w:rPr>
            </w:pPr>
            <w:r>
              <w:rPr>
                <w:rFonts w:hint="eastAsia" w:ascii="宋体" w:hAnsi="宋体" w:cs="宋体"/>
                <w:szCs w:val="21"/>
              </w:rPr>
              <w:t>岗位数</w:t>
            </w:r>
          </w:p>
        </w:tc>
        <w:tc>
          <w:tcPr>
            <w:tcW w:w="2050" w:type="dxa"/>
            <w:shd w:val="clear" w:color="auto" w:fill="CFCECE" w:themeFill="background2" w:themeFillShade="E5"/>
            <w:vAlign w:val="center"/>
          </w:tcPr>
          <w:p>
            <w:pPr>
              <w:jc w:val="center"/>
              <w:rPr>
                <w:rFonts w:ascii="宋体" w:hAnsi="宋体" w:cs="宋体"/>
                <w:szCs w:val="21"/>
              </w:rPr>
            </w:pPr>
            <w:r>
              <w:rPr>
                <w:rFonts w:hint="eastAsia" w:ascii="宋体" w:hAnsi="宋体" w:cs="宋体"/>
                <w:szCs w:val="21"/>
              </w:rPr>
              <w:t>作业工时</w:t>
            </w:r>
          </w:p>
        </w:tc>
        <w:tc>
          <w:tcPr>
            <w:tcW w:w="1087" w:type="dxa"/>
            <w:shd w:val="clear" w:color="auto" w:fill="CFCECE" w:themeFill="background2" w:themeFillShade="E5"/>
            <w:vAlign w:val="center"/>
          </w:tcPr>
          <w:p>
            <w:pPr>
              <w:jc w:val="center"/>
              <w:rPr>
                <w:rFonts w:ascii="宋体" w:hAnsi="宋体" w:cs="宋体"/>
                <w:szCs w:val="21"/>
              </w:rPr>
            </w:pPr>
            <w:r>
              <w:rPr>
                <w:rFonts w:hint="eastAsia" w:ascii="宋体" w:hAnsi="宋体" w:cs="宋体"/>
                <w:szCs w:val="21"/>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643" w:type="dxa"/>
            <w:vAlign w:val="center"/>
          </w:tcPr>
          <w:p>
            <w:pPr>
              <w:jc w:val="center"/>
              <w:rPr>
                <w:rFonts w:ascii="宋体" w:hAnsi="宋体" w:cs="宋体"/>
                <w:szCs w:val="21"/>
              </w:rPr>
            </w:pPr>
            <w:r>
              <w:rPr>
                <w:rFonts w:hint="eastAsia" w:ascii="宋体" w:hAnsi="宋体" w:cs="宋体"/>
                <w:szCs w:val="21"/>
              </w:rPr>
              <w:t>1</w:t>
            </w:r>
          </w:p>
        </w:tc>
        <w:tc>
          <w:tcPr>
            <w:tcW w:w="2017" w:type="dxa"/>
            <w:vAlign w:val="center"/>
          </w:tcPr>
          <w:p>
            <w:pPr>
              <w:jc w:val="center"/>
              <w:rPr>
                <w:rFonts w:ascii="宋体" w:hAnsi="宋体" w:cs="宋体"/>
                <w:szCs w:val="21"/>
              </w:rPr>
            </w:pPr>
            <w:r>
              <w:rPr>
                <w:rFonts w:hint="eastAsia" w:ascii="宋体" w:hAnsi="宋体" w:cs="宋体"/>
                <w:szCs w:val="21"/>
              </w:rPr>
              <w:t>项目经理</w:t>
            </w:r>
          </w:p>
        </w:tc>
        <w:tc>
          <w:tcPr>
            <w:tcW w:w="1477" w:type="dxa"/>
            <w:vAlign w:val="center"/>
          </w:tcPr>
          <w:p>
            <w:pPr>
              <w:jc w:val="center"/>
              <w:rPr>
                <w:rFonts w:ascii="宋体" w:hAnsi="宋体" w:cs="宋体"/>
                <w:szCs w:val="21"/>
              </w:rPr>
            </w:pPr>
            <w:r>
              <w:rPr>
                <w:rFonts w:hint="eastAsia" w:ascii="宋体" w:hAnsi="宋体" w:cs="宋体"/>
                <w:szCs w:val="21"/>
              </w:rPr>
              <w:t>全区域</w:t>
            </w:r>
          </w:p>
        </w:tc>
        <w:tc>
          <w:tcPr>
            <w:tcW w:w="888" w:type="dxa"/>
            <w:vAlign w:val="center"/>
          </w:tcPr>
          <w:p>
            <w:pPr>
              <w:jc w:val="center"/>
              <w:rPr>
                <w:rFonts w:ascii="宋体" w:hAnsi="宋体" w:cs="宋体"/>
                <w:szCs w:val="21"/>
              </w:rPr>
            </w:pPr>
            <w:r>
              <w:rPr>
                <w:rFonts w:hint="eastAsia" w:ascii="宋体" w:hAnsi="宋体" w:cs="宋体"/>
                <w:szCs w:val="21"/>
              </w:rPr>
              <w:t>1</w:t>
            </w:r>
          </w:p>
        </w:tc>
        <w:tc>
          <w:tcPr>
            <w:tcW w:w="20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常日班，8h*5</w:t>
            </w:r>
          </w:p>
        </w:tc>
        <w:tc>
          <w:tcPr>
            <w:tcW w:w="1087"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43" w:type="dxa"/>
            <w:vAlign w:val="center"/>
          </w:tcPr>
          <w:p>
            <w:pPr>
              <w:jc w:val="center"/>
              <w:rPr>
                <w:rFonts w:ascii="宋体" w:hAnsi="宋体" w:cs="宋体"/>
                <w:szCs w:val="21"/>
              </w:rPr>
            </w:pPr>
            <w:r>
              <w:rPr>
                <w:rFonts w:hint="eastAsia" w:ascii="宋体" w:hAnsi="宋体" w:cs="宋体"/>
                <w:szCs w:val="21"/>
              </w:rPr>
              <w:t>2</w:t>
            </w:r>
          </w:p>
        </w:tc>
        <w:tc>
          <w:tcPr>
            <w:tcW w:w="2017" w:type="dxa"/>
            <w:vAlign w:val="center"/>
          </w:tcPr>
          <w:p>
            <w:pPr>
              <w:jc w:val="center"/>
              <w:rPr>
                <w:rFonts w:ascii="宋体" w:hAnsi="宋体" w:cs="宋体"/>
                <w:szCs w:val="21"/>
              </w:rPr>
            </w:pPr>
            <w:r>
              <w:rPr>
                <w:rFonts w:hint="eastAsia" w:ascii="宋体" w:hAnsi="宋体" w:cs="宋体"/>
                <w:szCs w:val="21"/>
              </w:rPr>
              <w:t>综合主管</w:t>
            </w:r>
          </w:p>
        </w:tc>
        <w:tc>
          <w:tcPr>
            <w:tcW w:w="1477" w:type="dxa"/>
            <w:vAlign w:val="center"/>
          </w:tcPr>
          <w:p>
            <w:pPr>
              <w:jc w:val="center"/>
              <w:rPr>
                <w:rFonts w:ascii="宋体" w:hAnsi="宋体" w:cs="宋体"/>
                <w:szCs w:val="21"/>
              </w:rPr>
            </w:pPr>
            <w:r>
              <w:rPr>
                <w:rFonts w:hint="eastAsia" w:ascii="宋体" w:hAnsi="宋体" w:cs="宋体"/>
                <w:szCs w:val="21"/>
              </w:rPr>
              <w:t>全区域</w:t>
            </w:r>
          </w:p>
        </w:tc>
        <w:tc>
          <w:tcPr>
            <w:tcW w:w="888" w:type="dxa"/>
            <w:vAlign w:val="center"/>
          </w:tcPr>
          <w:p>
            <w:pPr>
              <w:jc w:val="center"/>
              <w:rPr>
                <w:rFonts w:ascii="宋体" w:hAnsi="宋体" w:cs="宋体"/>
                <w:szCs w:val="21"/>
              </w:rPr>
            </w:pPr>
            <w:r>
              <w:rPr>
                <w:rFonts w:hint="eastAsia" w:ascii="宋体" w:hAnsi="宋体" w:cs="宋体"/>
                <w:szCs w:val="21"/>
              </w:rPr>
              <w:t>1</w:t>
            </w:r>
          </w:p>
        </w:tc>
        <w:tc>
          <w:tcPr>
            <w:tcW w:w="20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常日班，8h*5</w:t>
            </w:r>
          </w:p>
        </w:tc>
        <w:tc>
          <w:tcPr>
            <w:tcW w:w="1087"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43" w:type="dxa"/>
            <w:vAlign w:val="center"/>
          </w:tcPr>
          <w:p>
            <w:pPr>
              <w:jc w:val="center"/>
              <w:rPr>
                <w:rFonts w:ascii="宋体" w:hAnsi="宋体" w:cs="宋体"/>
                <w:szCs w:val="21"/>
              </w:rPr>
            </w:pPr>
            <w:r>
              <w:rPr>
                <w:rFonts w:hint="eastAsia" w:ascii="宋体" w:hAnsi="宋体" w:cs="宋体"/>
                <w:szCs w:val="21"/>
              </w:rPr>
              <w:t>3</w:t>
            </w:r>
          </w:p>
        </w:tc>
        <w:tc>
          <w:tcPr>
            <w:tcW w:w="2017" w:type="dxa"/>
            <w:vAlign w:val="center"/>
          </w:tcPr>
          <w:p>
            <w:pPr>
              <w:jc w:val="center"/>
              <w:rPr>
                <w:rFonts w:ascii="宋体" w:hAnsi="宋体" w:cs="宋体"/>
                <w:szCs w:val="21"/>
              </w:rPr>
            </w:pPr>
            <w:r>
              <w:rPr>
                <w:rFonts w:hint="eastAsia" w:ascii="宋体" w:hAnsi="宋体" w:cs="宋体"/>
                <w:szCs w:val="21"/>
              </w:rPr>
              <w:t>传达收发服务员</w:t>
            </w:r>
          </w:p>
        </w:tc>
        <w:tc>
          <w:tcPr>
            <w:tcW w:w="1477" w:type="dxa"/>
            <w:vAlign w:val="center"/>
          </w:tcPr>
          <w:p>
            <w:pPr>
              <w:jc w:val="center"/>
              <w:rPr>
                <w:rFonts w:ascii="宋体" w:hAnsi="宋体" w:cs="宋体"/>
                <w:szCs w:val="21"/>
              </w:rPr>
            </w:pPr>
            <w:r>
              <w:rPr>
                <w:rFonts w:hint="eastAsia" w:ascii="宋体" w:hAnsi="宋体" w:cs="宋体"/>
                <w:szCs w:val="21"/>
              </w:rPr>
              <w:t>全区域</w:t>
            </w:r>
          </w:p>
        </w:tc>
        <w:tc>
          <w:tcPr>
            <w:tcW w:w="888" w:type="dxa"/>
            <w:vAlign w:val="center"/>
          </w:tcPr>
          <w:p>
            <w:pPr>
              <w:jc w:val="center"/>
              <w:rPr>
                <w:rFonts w:ascii="宋体" w:hAnsi="宋体" w:cs="宋体"/>
                <w:szCs w:val="21"/>
              </w:rPr>
            </w:pPr>
            <w:r>
              <w:rPr>
                <w:rFonts w:hint="eastAsia" w:ascii="宋体" w:hAnsi="宋体" w:cs="宋体"/>
                <w:szCs w:val="21"/>
              </w:rPr>
              <w:t>4</w:t>
            </w:r>
          </w:p>
        </w:tc>
        <w:tc>
          <w:tcPr>
            <w:tcW w:w="20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常日班， 8h*5</w:t>
            </w:r>
          </w:p>
        </w:tc>
        <w:tc>
          <w:tcPr>
            <w:tcW w:w="1087" w:type="dxa"/>
            <w:vAlign w:val="center"/>
          </w:tcPr>
          <w:p>
            <w:pPr>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43" w:type="dxa"/>
            <w:vAlign w:val="center"/>
          </w:tcPr>
          <w:p>
            <w:pPr>
              <w:jc w:val="center"/>
              <w:rPr>
                <w:rFonts w:ascii="宋体" w:hAnsi="宋体" w:cs="宋体"/>
                <w:szCs w:val="21"/>
              </w:rPr>
            </w:pPr>
            <w:r>
              <w:rPr>
                <w:rFonts w:hint="eastAsia" w:ascii="宋体" w:hAnsi="宋体" w:cs="宋体"/>
                <w:szCs w:val="21"/>
              </w:rPr>
              <w:t>4</w:t>
            </w:r>
          </w:p>
        </w:tc>
        <w:tc>
          <w:tcPr>
            <w:tcW w:w="2017" w:type="dxa"/>
            <w:vAlign w:val="center"/>
          </w:tcPr>
          <w:p>
            <w:pPr>
              <w:jc w:val="center"/>
              <w:rPr>
                <w:rFonts w:ascii="宋体" w:hAnsi="宋体" w:cs="宋体"/>
                <w:szCs w:val="21"/>
              </w:rPr>
            </w:pPr>
            <w:r>
              <w:rPr>
                <w:rFonts w:hint="eastAsia" w:ascii="宋体" w:hAnsi="宋体" w:cs="宋体"/>
                <w:szCs w:val="21"/>
              </w:rPr>
              <w:t>保洁主管</w:t>
            </w:r>
          </w:p>
        </w:tc>
        <w:tc>
          <w:tcPr>
            <w:tcW w:w="1477" w:type="dxa"/>
            <w:vAlign w:val="center"/>
          </w:tcPr>
          <w:p>
            <w:pPr>
              <w:jc w:val="center"/>
              <w:rPr>
                <w:rFonts w:ascii="宋体" w:hAnsi="宋体" w:cs="宋体"/>
                <w:szCs w:val="21"/>
              </w:rPr>
            </w:pPr>
            <w:r>
              <w:rPr>
                <w:rFonts w:hint="eastAsia" w:ascii="宋体" w:hAnsi="宋体" w:cs="宋体"/>
                <w:szCs w:val="21"/>
              </w:rPr>
              <w:t>全区域</w:t>
            </w:r>
          </w:p>
        </w:tc>
        <w:tc>
          <w:tcPr>
            <w:tcW w:w="888" w:type="dxa"/>
            <w:vAlign w:val="center"/>
          </w:tcPr>
          <w:p>
            <w:pPr>
              <w:jc w:val="center"/>
              <w:rPr>
                <w:rFonts w:ascii="宋体" w:hAnsi="宋体" w:cs="宋体"/>
                <w:szCs w:val="21"/>
              </w:rPr>
            </w:pPr>
            <w:r>
              <w:rPr>
                <w:rFonts w:hint="eastAsia" w:ascii="宋体" w:hAnsi="宋体" w:cs="宋体"/>
                <w:szCs w:val="21"/>
              </w:rPr>
              <w:t>1</w:t>
            </w:r>
          </w:p>
        </w:tc>
        <w:tc>
          <w:tcPr>
            <w:tcW w:w="20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常日班，8h*5</w:t>
            </w:r>
          </w:p>
        </w:tc>
        <w:tc>
          <w:tcPr>
            <w:tcW w:w="1087"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43" w:type="dxa"/>
            <w:vAlign w:val="center"/>
          </w:tcPr>
          <w:p>
            <w:pPr>
              <w:jc w:val="center"/>
              <w:rPr>
                <w:rFonts w:ascii="宋体" w:hAnsi="宋体" w:cs="宋体"/>
                <w:szCs w:val="21"/>
              </w:rPr>
            </w:pPr>
            <w:r>
              <w:rPr>
                <w:rFonts w:hint="eastAsia" w:ascii="宋体" w:hAnsi="宋体" w:cs="宋体"/>
                <w:szCs w:val="21"/>
              </w:rPr>
              <w:t>5</w:t>
            </w:r>
          </w:p>
        </w:tc>
        <w:tc>
          <w:tcPr>
            <w:tcW w:w="2017" w:type="dxa"/>
            <w:vAlign w:val="center"/>
          </w:tcPr>
          <w:p>
            <w:pPr>
              <w:jc w:val="center"/>
              <w:rPr>
                <w:rFonts w:ascii="宋体" w:hAnsi="宋体" w:cs="宋体"/>
                <w:szCs w:val="21"/>
              </w:rPr>
            </w:pPr>
            <w:r>
              <w:rPr>
                <w:rFonts w:hint="eastAsia" w:ascii="宋体" w:hAnsi="宋体" w:cs="宋体"/>
                <w:szCs w:val="21"/>
              </w:rPr>
              <w:t>保洁领班</w:t>
            </w:r>
          </w:p>
        </w:tc>
        <w:tc>
          <w:tcPr>
            <w:tcW w:w="1477" w:type="dxa"/>
            <w:vAlign w:val="center"/>
          </w:tcPr>
          <w:p>
            <w:pPr>
              <w:jc w:val="center"/>
              <w:rPr>
                <w:rFonts w:ascii="宋体" w:hAnsi="宋体" w:cs="宋体"/>
                <w:szCs w:val="21"/>
              </w:rPr>
            </w:pPr>
            <w:r>
              <w:rPr>
                <w:rFonts w:hint="eastAsia" w:ascii="宋体" w:hAnsi="宋体" w:cs="宋体"/>
                <w:szCs w:val="21"/>
              </w:rPr>
              <w:t>上海数据中心园区</w:t>
            </w:r>
          </w:p>
        </w:tc>
        <w:tc>
          <w:tcPr>
            <w:tcW w:w="888" w:type="dxa"/>
            <w:vAlign w:val="center"/>
          </w:tcPr>
          <w:p>
            <w:pPr>
              <w:jc w:val="center"/>
              <w:rPr>
                <w:rFonts w:ascii="宋体" w:hAnsi="宋体" w:cs="宋体"/>
                <w:szCs w:val="21"/>
              </w:rPr>
            </w:pPr>
            <w:r>
              <w:rPr>
                <w:rFonts w:hint="eastAsia" w:ascii="宋体" w:hAnsi="宋体" w:cs="宋体"/>
                <w:szCs w:val="21"/>
              </w:rPr>
              <w:t>2</w:t>
            </w:r>
          </w:p>
        </w:tc>
        <w:tc>
          <w:tcPr>
            <w:tcW w:w="20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常日班，8h*5</w:t>
            </w:r>
          </w:p>
        </w:tc>
        <w:tc>
          <w:tcPr>
            <w:tcW w:w="1087"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43" w:type="dxa"/>
            <w:vAlign w:val="center"/>
          </w:tcPr>
          <w:p>
            <w:pPr>
              <w:jc w:val="center"/>
              <w:rPr>
                <w:rFonts w:ascii="宋体" w:hAnsi="宋体" w:cs="宋体"/>
                <w:szCs w:val="21"/>
              </w:rPr>
            </w:pPr>
            <w:r>
              <w:rPr>
                <w:rFonts w:hint="eastAsia" w:ascii="宋体" w:hAnsi="宋体" w:cs="宋体"/>
                <w:szCs w:val="21"/>
              </w:rPr>
              <w:t>6</w:t>
            </w:r>
          </w:p>
        </w:tc>
        <w:tc>
          <w:tcPr>
            <w:tcW w:w="2017" w:type="dxa"/>
            <w:vAlign w:val="center"/>
          </w:tcPr>
          <w:p>
            <w:pPr>
              <w:jc w:val="center"/>
              <w:rPr>
                <w:rFonts w:ascii="宋体" w:hAnsi="宋体" w:cs="宋体"/>
                <w:szCs w:val="21"/>
              </w:rPr>
            </w:pPr>
            <w:r>
              <w:rPr>
                <w:rFonts w:hint="eastAsia" w:ascii="宋体" w:hAnsi="宋体" w:cs="宋体"/>
                <w:szCs w:val="21"/>
              </w:rPr>
              <w:t>保洁员</w:t>
            </w:r>
          </w:p>
        </w:tc>
        <w:tc>
          <w:tcPr>
            <w:tcW w:w="1477" w:type="dxa"/>
            <w:vAlign w:val="center"/>
          </w:tcPr>
          <w:p>
            <w:pPr>
              <w:jc w:val="center"/>
              <w:rPr>
                <w:rFonts w:ascii="宋体" w:hAnsi="宋体" w:cs="宋体"/>
                <w:szCs w:val="21"/>
              </w:rPr>
            </w:pPr>
            <w:r>
              <w:rPr>
                <w:rFonts w:hint="eastAsia" w:ascii="宋体" w:hAnsi="宋体" w:cs="宋体"/>
                <w:szCs w:val="21"/>
              </w:rPr>
              <w:t>上海数据中心园区</w:t>
            </w:r>
          </w:p>
        </w:tc>
        <w:tc>
          <w:tcPr>
            <w:tcW w:w="888" w:type="dxa"/>
            <w:vAlign w:val="center"/>
          </w:tcPr>
          <w:p>
            <w:pPr>
              <w:jc w:val="center"/>
              <w:rPr>
                <w:rFonts w:ascii="宋体" w:hAnsi="宋体" w:cs="宋体"/>
                <w:szCs w:val="21"/>
              </w:rPr>
            </w:pPr>
            <w:r>
              <w:rPr>
                <w:rFonts w:hint="eastAsia" w:ascii="宋体" w:hAnsi="宋体" w:cs="宋体"/>
                <w:szCs w:val="21"/>
              </w:rPr>
              <w:t>38</w:t>
            </w:r>
          </w:p>
        </w:tc>
        <w:tc>
          <w:tcPr>
            <w:tcW w:w="20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早班14岗，8h*7  中班24岗，8h*7</w:t>
            </w:r>
          </w:p>
        </w:tc>
        <w:tc>
          <w:tcPr>
            <w:tcW w:w="1087" w:type="dxa"/>
            <w:vAlign w:val="center"/>
          </w:tcPr>
          <w:p>
            <w:pPr>
              <w:jc w:val="center"/>
              <w:rPr>
                <w:rFonts w:ascii="宋体" w:hAnsi="宋体" w:cs="宋体"/>
                <w:szCs w:val="21"/>
              </w:rPr>
            </w:pPr>
            <w:r>
              <w:rPr>
                <w:rFonts w:hint="eastAsia" w:ascii="宋体" w:hAnsi="宋体" w:cs="宋体"/>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43" w:type="dxa"/>
            <w:vAlign w:val="center"/>
          </w:tcPr>
          <w:p>
            <w:pPr>
              <w:jc w:val="center"/>
              <w:rPr>
                <w:rFonts w:ascii="宋体" w:hAnsi="宋体" w:cs="宋体"/>
                <w:szCs w:val="21"/>
              </w:rPr>
            </w:pPr>
            <w:r>
              <w:rPr>
                <w:rFonts w:hint="eastAsia" w:ascii="宋体" w:hAnsi="宋体" w:cs="宋体"/>
                <w:szCs w:val="21"/>
              </w:rPr>
              <w:t>7</w:t>
            </w:r>
          </w:p>
        </w:tc>
        <w:tc>
          <w:tcPr>
            <w:tcW w:w="2017" w:type="dxa"/>
            <w:vAlign w:val="center"/>
          </w:tcPr>
          <w:p>
            <w:pPr>
              <w:jc w:val="center"/>
              <w:rPr>
                <w:rFonts w:ascii="宋体" w:hAnsi="宋体" w:cs="宋体"/>
                <w:szCs w:val="21"/>
              </w:rPr>
            </w:pPr>
            <w:r>
              <w:rPr>
                <w:rFonts w:hint="eastAsia" w:ascii="宋体" w:hAnsi="宋体" w:cs="宋体"/>
                <w:szCs w:val="21"/>
              </w:rPr>
              <w:t>保洁员</w:t>
            </w:r>
          </w:p>
        </w:tc>
        <w:tc>
          <w:tcPr>
            <w:tcW w:w="1477" w:type="dxa"/>
            <w:vAlign w:val="center"/>
          </w:tcPr>
          <w:p>
            <w:pPr>
              <w:jc w:val="center"/>
              <w:rPr>
                <w:rFonts w:ascii="宋体" w:hAnsi="宋体" w:cs="宋体"/>
                <w:szCs w:val="21"/>
              </w:rPr>
            </w:pPr>
            <w:r>
              <w:rPr>
                <w:rFonts w:hint="eastAsia" w:ascii="宋体" w:hAnsi="宋体" w:cs="宋体"/>
                <w:szCs w:val="21"/>
              </w:rPr>
              <w:t>同城数据中心</w:t>
            </w:r>
          </w:p>
        </w:tc>
        <w:tc>
          <w:tcPr>
            <w:tcW w:w="888" w:type="dxa"/>
            <w:vAlign w:val="center"/>
          </w:tcPr>
          <w:p>
            <w:pPr>
              <w:jc w:val="center"/>
              <w:rPr>
                <w:rFonts w:ascii="宋体" w:hAnsi="宋体" w:cs="宋体"/>
                <w:szCs w:val="21"/>
              </w:rPr>
            </w:pPr>
            <w:r>
              <w:rPr>
                <w:rFonts w:hint="eastAsia" w:ascii="宋体" w:hAnsi="宋体" w:cs="宋体"/>
                <w:szCs w:val="21"/>
              </w:rPr>
              <w:t>3</w:t>
            </w:r>
          </w:p>
        </w:tc>
        <w:tc>
          <w:tcPr>
            <w:tcW w:w="20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早班2岗，8h*7</w:t>
            </w:r>
          </w:p>
          <w:p>
            <w:pPr>
              <w:jc w:val="center"/>
              <w:rPr>
                <w:rFonts w:ascii="宋体" w:hAnsi="宋体" w:cs="宋体"/>
                <w:szCs w:val="21"/>
              </w:rPr>
            </w:pPr>
            <w:r>
              <w:rPr>
                <w:rFonts w:hint="eastAsia" w:ascii="宋体" w:hAnsi="宋体" w:cs="宋体"/>
                <w:szCs w:val="21"/>
              </w:rPr>
              <w:t>中班1岗，8h*7</w:t>
            </w:r>
          </w:p>
        </w:tc>
        <w:tc>
          <w:tcPr>
            <w:tcW w:w="1087" w:type="dxa"/>
            <w:vAlign w:val="center"/>
          </w:tcPr>
          <w:p>
            <w:pPr>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43" w:type="dxa"/>
            <w:vAlign w:val="center"/>
          </w:tcPr>
          <w:p>
            <w:pPr>
              <w:jc w:val="center"/>
              <w:rPr>
                <w:rFonts w:ascii="宋体" w:hAnsi="宋体" w:cs="宋体"/>
                <w:szCs w:val="21"/>
              </w:rPr>
            </w:pPr>
            <w:r>
              <w:rPr>
                <w:rFonts w:hint="eastAsia" w:ascii="宋体" w:hAnsi="宋体" w:cs="宋体"/>
                <w:szCs w:val="21"/>
              </w:rPr>
              <w:t>8</w:t>
            </w:r>
          </w:p>
        </w:tc>
        <w:tc>
          <w:tcPr>
            <w:tcW w:w="2017" w:type="dxa"/>
            <w:vAlign w:val="center"/>
          </w:tcPr>
          <w:p>
            <w:pPr>
              <w:jc w:val="center"/>
              <w:rPr>
                <w:rFonts w:ascii="宋体" w:hAnsi="宋体" w:cs="宋体"/>
                <w:szCs w:val="21"/>
              </w:rPr>
            </w:pPr>
            <w:r>
              <w:rPr>
                <w:rFonts w:hint="eastAsia" w:ascii="宋体" w:hAnsi="宋体" w:cs="宋体"/>
                <w:szCs w:val="21"/>
              </w:rPr>
              <w:t>会务主管</w:t>
            </w:r>
          </w:p>
        </w:tc>
        <w:tc>
          <w:tcPr>
            <w:tcW w:w="1477"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全区域</w:t>
            </w:r>
          </w:p>
        </w:tc>
        <w:tc>
          <w:tcPr>
            <w:tcW w:w="888"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20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常日班，8h*5</w:t>
            </w:r>
          </w:p>
        </w:tc>
        <w:tc>
          <w:tcPr>
            <w:tcW w:w="1087"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43" w:type="dxa"/>
            <w:vAlign w:val="center"/>
          </w:tcPr>
          <w:p>
            <w:pPr>
              <w:jc w:val="center"/>
              <w:rPr>
                <w:rFonts w:ascii="宋体" w:hAnsi="宋体" w:cs="宋体"/>
                <w:szCs w:val="21"/>
              </w:rPr>
            </w:pPr>
            <w:r>
              <w:rPr>
                <w:rFonts w:hint="eastAsia" w:ascii="宋体" w:hAnsi="宋体" w:cs="宋体"/>
                <w:szCs w:val="21"/>
              </w:rPr>
              <w:t>9</w:t>
            </w:r>
          </w:p>
        </w:tc>
        <w:tc>
          <w:tcPr>
            <w:tcW w:w="2017" w:type="dxa"/>
            <w:vAlign w:val="center"/>
          </w:tcPr>
          <w:p>
            <w:pPr>
              <w:jc w:val="center"/>
              <w:rPr>
                <w:rFonts w:ascii="宋体" w:hAnsi="宋体" w:cs="宋体"/>
                <w:szCs w:val="21"/>
              </w:rPr>
            </w:pPr>
            <w:r>
              <w:rPr>
                <w:rFonts w:hint="eastAsia" w:ascii="宋体" w:hAnsi="宋体" w:cs="宋体"/>
                <w:szCs w:val="21"/>
              </w:rPr>
              <w:t>会务领班</w:t>
            </w:r>
          </w:p>
        </w:tc>
        <w:tc>
          <w:tcPr>
            <w:tcW w:w="1477" w:type="dxa"/>
            <w:vAlign w:val="center"/>
          </w:tcPr>
          <w:p>
            <w:pPr>
              <w:jc w:val="center"/>
              <w:rPr>
                <w:rFonts w:ascii="宋体" w:hAnsi="宋体" w:cs="宋体"/>
                <w:szCs w:val="21"/>
              </w:rPr>
            </w:pPr>
            <w:r>
              <w:rPr>
                <w:rFonts w:hint="eastAsia" w:ascii="宋体" w:hAnsi="宋体" w:cs="宋体"/>
                <w:szCs w:val="21"/>
              </w:rPr>
              <w:t>上海数据中心园区</w:t>
            </w:r>
          </w:p>
        </w:tc>
        <w:tc>
          <w:tcPr>
            <w:tcW w:w="888" w:type="dxa"/>
            <w:vAlign w:val="center"/>
          </w:tcPr>
          <w:p>
            <w:pPr>
              <w:jc w:val="center"/>
              <w:rPr>
                <w:rFonts w:ascii="宋体" w:hAnsi="宋体" w:cs="宋体"/>
                <w:szCs w:val="21"/>
              </w:rPr>
            </w:pPr>
            <w:r>
              <w:rPr>
                <w:rFonts w:hint="eastAsia" w:ascii="宋体" w:hAnsi="宋体" w:cs="宋体"/>
                <w:szCs w:val="21"/>
              </w:rPr>
              <w:t>2</w:t>
            </w:r>
          </w:p>
        </w:tc>
        <w:tc>
          <w:tcPr>
            <w:tcW w:w="20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常日班，8h*5</w:t>
            </w:r>
          </w:p>
        </w:tc>
        <w:tc>
          <w:tcPr>
            <w:tcW w:w="1087"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43" w:type="dxa"/>
            <w:vAlign w:val="center"/>
          </w:tcPr>
          <w:p>
            <w:pPr>
              <w:jc w:val="center"/>
              <w:rPr>
                <w:rFonts w:ascii="宋体" w:hAnsi="宋体" w:cs="宋体"/>
                <w:szCs w:val="21"/>
              </w:rPr>
            </w:pPr>
            <w:r>
              <w:rPr>
                <w:rFonts w:hint="eastAsia" w:ascii="宋体" w:hAnsi="宋体" w:cs="宋体"/>
                <w:szCs w:val="21"/>
              </w:rPr>
              <w:t>10</w:t>
            </w:r>
          </w:p>
        </w:tc>
        <w:tc>
          <w:tcPr>
            <w:tcW w:w="2017" w:type="dxa"/>
            <w:vAlign w:val="center"/>
          </w:tcPr>
          <w:p>
            <w:pPr>
              <w:jc w:val="center"/>
              <w:rPr>
                <w:rFonts w:ascii="宋体" w:hAnsi="宋体" w:cs="宋体"/>
                <w:szCs w:val="21"/>
              </w:rPr>
            </w:pPr>
            <w:r>
              <w:rPr>
                <w:rFonts w:hint="eastAsia" w:ascii="宋体" w:hAnsi="宋体" w:cs="宋体"/>
                <w:szCs w:val="21"/>
              </w:rPr>
              <w:t>会务服务员</w:t>
            </w:r>
          </w:p>
        </w:tc>
        <w:tc>
          <w:tcPr>
            <w:tcW w:w="1477" w:type="dxa"/>
            <w:vAlign w:val="center"/>
          </w:tcPr>
          <w:p>
            <w:pPr>
              <w:jc w:val="center"/>
              <w:rPr>
                <w:rFonts w:ascii="宋体" w:hAnsi="宋体" w:cs="宋体"/>
                <w:szCs w:val="21"/>
              </w:rPr>
            </w:pPr>
            <w:r>
              <w:rPr>
                <w:rFonts w:hint="eastAsia" w:ascii="宋体" w:hAnsi="宋体" w:cs="宋体"/>
                <w:szCs w:val="21"/>
              </w:rPr>
              <w:t>园区业务楼</w:t>
            </w:r>
          </w:p>
        </w:tc>
        <w:tc>
          <w:tcPr>
            <w:tcW w:w="888" w:type="dxa"/>
            <w:vAlign w:val="center"/>
          </w:tcPr>
          <w:p>
            <w:pPr>
              <w:jc w:val="center"/>
              <w:rPr>
                <w:rFonts w:ascii="宋体" w:hAnsi="宋体" w:cs="宋体"/>
                <w:szCs w:val="21"/>
              </w:rPr>
            </w:pPr>
            <w:r>
              <w:rPr>
                <w:rFonts w:hint="eastAsia" w:ascii="宋体" w:hAnsi="宋体" w:cs="宋体"/>
                <w:szCs w:val="21"/>
              </w:rPr>
              <w:t>3</w:t>
            </w:r>
          </w:p>
        </w:tc>
        <w:tc>
          <w:tcPr>
            <w:tcW w:w="20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常日班，8h*5</w:t>
            </w:r>
          </w:p>
        </w:tc>
        <w:tc>
          <w:tcPr>
            <w:tcW w:w="1087" w:type="dxa"/>
            <w:vAlign w:val="center"/>
          </w:tcPr>
          <w:p>
            <w:pPr>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43" w:type="dxa"/>
            <w:vAlign w:val="center"/>
          </w:tcPr>
          <w:p>
            <w:pPr>
              <w:jc w:val="center"/>
              <w:rPr>
                <w:rFonts w:ascii="宋体" w:hAnsi="宋体" w:cs="宋体"/>
                <w:szCs w:val="21"/>
              </w:rPr>
            </w:pPr>
            <w:r>
              <w:rPr>
                <w:rFonts w:hint="eastAsia" w:ascii="宋体" w:hAnsi="宋体" w:cs="宋体"/>
                <w:szCs w:val="21"/>
              </w:rPr>
              <w:t>11</w:t>
            </w:r>
          </w:p>
        </w:tc>
        <w:tc>
          <w:tcPr>
            <w:tcW w:w="2017" w:type="dxa"/>
            <w:vAlign w:val="center"/>
          </w:tcPr>
          <w:p>
            <w:pPr>
              <w:jc w:val="center"/>
              <w:rPr>
                <w:rFonts w:ascii="宋体" w:hAnsi="宋体" w:cs="宋体"/>
                <w:szCs w:val="21"/>
              </w:rPr>
            </w:pPr>
            <w:r>
              <w:rPr>
                <w:rFonts w:hint="eastAsia" w:ascii="宋体" w:hAnsi="宋体" w:cs="宋体"/>
                <w:szCs w:val="21"/>
              </w:rPr>
              <w:t>会务服务员</w:t>
            </w:r>
          </w:p>
        </w:tc>
        <w:tc>
          <w:tcPr>
            <w:tcW w:w="1477" w:type="dxa"/>
            <w:vAlign w:val="center"/>
          </w:tcPr>
          <w:p>
            <w:pPr>
              <w:jc w:val="center"/>
              <w:rPr>
                <w:rFonts w:ascii="宋体" w:hAnsi="宋体" w:cs="宋体"/>
                <w:szCs w:val="21"/>
              </w:rPr>
            </w:pPr>
            <w:r>
              <w:rPr>
                <w:rFonts w:hint="eastAsia" w:ascii="宋体" w:hAnsi="宋体" w:cs="宋体"/>
                <w:szCs w:val="21"/>
              </w:rPr>
              <w:t>园区配套楼</w:t>
            </w:r>
          </w:p>
        </w:tc>
        <w:tc>
          <w:tcPr>
            <w:tcW w:w="888" w:type="dxa"/>
            <w:vAlign w:val="center"/>
          </w:tcPr>
          <w:p>
            <w:pPr>
              <w:jc w:val="center"/>
              <w:rPr>
                <w:rFonts w:ascii="宋体" w:hAnsi="宋体" w:cs="宋体"/>
                <w:szCs w:val="21"/>
              </w:rPr>
            </w:pPr>
            <w:r>
              <w:rPr>
                <w:rFonts w:hint="eastAsia" w:ascii="宋体" w:hAnsi="宋体" w:cs="宋体"/>
                <w:szCs w:val="21"/>
              </w:rPr>
              <w:t>1</w:t>
            </w:r>
          </w:p>
        </w:tc>
        <w:tc>
          <w:tcPr>
            <w:tcW w:w="20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4班2运转，24h*7</w:t>
            </w:r>
          </w:p>
        </w:tc>
        <w:tc>
          <w:tcPr>
            <w:tcW w:w="1087" w:type="dxa"/>
            <w:vAlign w:val="center"/>
          </w:tcPr>
          <w:p>
            <w:pPr>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43" w:type="dxa"/>
            <w:vAlign w:val="center"/>
          </w:tcPr>
          <w:p>
            <w:pPr>
              <w:jc w:val="center"/>
              <w:rPr>
                <w:rFonts w:ascii="宋体" w:hAnsi="宋体" w:cs="宋体"/>
                <w:szCs w:val="21"/>
              </w:rPr>
            </w:pPr>
            <w:r>
              <w:rPr>
                <w:rFonts w:hint="eastAsia" w:ascii="宋体" w:hAnsi="宋体" w:cs="宋体"/>
                <w:szCs w:val="21"/>
              </w:rPr>
              <w:t>12</w:t>
            </w:r>
          </w:p>
        </w:tc>
        <w:tc>
          <w:tcPr>
            <w:tcW w:w="2017" w:type="dxa"/>
            <w:vAlign w:val="center"/>
          </w:tcPr>
          <w:p>
            <w:pPr>
              <w:jc w:val="center"/>
              <w:rPr>
                <w:rFonts w:ascii="宋体" w:hAnsi="宋体" w:cs="宋体"/>
                <w:szCs w:val="21"/>
              </w:rPr>
            </w:pPr>
            <w:r>
              <w:rPr>
                <w:rFonts w:hint="eastAsia" w:ascii="宋体" w:hAnsi="宋体" w:cs="宋体"/>
                <w:szCs w:val="21"/>
              </w:rPr>
              <w:t>会务服务员</w:t>
            </w:r>
          </w:p>
        </w:tc>
        <w:tc>
          <w:tcPr>
            <w:tcW w:w="1477" w:type="dxa"/>
            <w:vAlign w:val="center"/>
          </w:tcPr>
          <w:p>
            <w:pPr>
              <w:jc w:val="center"/>
              <w:rPr>
                <w:rFonts w:ascii="宋体" w:hAnsi="宋体" w:cs="宋体"/>
                <w:szCs w:val="21"/>
              </w:rPr>
            </w:pPr>
            <w:r>
              <w:rPr>
                <w:rFonts w:hint="eastAsia" w:ascii="宋体" w:hAnsi="宋体" w:cs="宋体"/>
                <w:szCs w:val="21"/>
              </w:rPr>
              <w:t>园区客服楼</w:t>
            </w:r>
          </w:p>
        </w:tc>
        <w:tc>
          <w:tcPr>
            <w:tcW w:w="888" w:type="dxa"/>
            <w:vAlign w:val="center"/>
          </w:tcPr>
          <w:p>
            <w:pPr>
              <w:jc w:val="center"/>
              <w:rPr>
                <w:rFonts w:ascii="宋体" w:hAnsi="宋体" w:cs="宋体"/>
                <w:szCs w:val="21"/>
              </w:rPr>
            </w:pPr>
            <w:r>
              <w:rPr>
                <w:rFonts w:hint="eastAsia" w:ascii="宋体" w:hAnsi="宋体" w:cs="宋体"/>
                <w:szCs w:val="21"/>
              </w:rPr>
              <w:t>2</w:t>
            </w:r>
          </w:p>
        </w:tc>
        <w:tc>
          <w:tcPr>
            <w:tcW w:w="20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常日班， 8h*5</w:t>
            </w:r>
          </w:p>
        </w:tc>
        <w:tc>
          <w:tcPr>
            <w:tcW w:w="1087"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43" w:type="dxa"/>
            <w:vAlign w:val="center"/>
          </w:tcPr>
          <w:p>
            <w:pPr>
              <w:jc w:val="center"/>
              <w:rPr>
                <w:rFonts w:ascii="宋体" w:hAnsi="宋体" w:cs="宋体"/>
                <w:szCs w:val="21"/>
              </w:rPr>
            </w:pPr>
            <w:r>
              <w:rPr>
                <w:rFonts w:hint="eastAsia" w:ascii="宋体" w:hAnsi="宋体" w:cs="宋体"/>
                <w:szCs w:val="21"/>
              </w:rPr>
              <w:t>13</w:t>
            </w:r>
          </w:p>
        </w:tc>
        <w:tc>
          <w:tcPr>
            <w:tcW w:w="2017" w:type="dxa"/>
            <w:vAlign w:val="center"/>
          </w:tcPr>
          <w:p>
            <w:pPr>
              <w:jc w:val="center"/>
              <w:rPr>
                <w:rFonts w:ascii="宋体" w:hAnsi="宋体" w:cs="宋体"/>
                <w:szCs w:val="21"/>
              </w:rPr>
            </w:pPr>
            <w:r>
              <w:rPr>
                <w:rFonts w:hint="eastAsia" w:ascii="宋体" w:hAnsi="宋体" w:cs="宋体"/>
                <w:szCs w:val="21"/>
              </w:rPr>
              <w:t>会务服务员</w:t>
            </w:r>
          </w:p>
        </w:tc>
        <w:tc>
          <w:tcPr>
            <w:tcW w:w="1477" w:type="dxa"/>
            <w:vAlign w:val="center"/>
          </w:tcPr>
          <w:p>
            <w:pPr>
              <w:jc w:val="center"/>
              <w:rPr>
                <w:rFonts w:ascii="宋体" w:hAnsi="宋体" w:cs="宋体"/>
                <w:szCs w:val="21"/>
              </w:rPr>
            </w:pPr>
            <w:r>
              <w:rPr>
                <w:rFonts w:hint="eastAsia" w:ascii="宋体" w:hAnsi="宋体" w:cs="宋体"/>
                <w:szCs w:val="21"/>
              </w:rPr>
              <w:t>同城数据中心</w:t>
            </w:r>
          </w:p>
        </w:tc>
        <w:tc>
          <w:tcPr>
            <w:tcW w:w="888" w:type="dxa"/>
            <w:vAlign w:val="center"/>
          </w:tcPr>
          <w:p>
            <w:pPr>
              <w:jc w:val="center"/>
              <w:rPr>
                <w:rFonts w:ascii="宋体" w:hAnsi="宋体" w:cs="宋体"/>
                <w:szCs w:val="21"/>
              </w:rPr>
            </w:pPr>
            <w:r>
              <w:rPr>
                <w:rFonts w:hint="eastAsia" w:ascii="宋体" w:hAnsi="宋体" w:cs="宋体"/>
                <w:szCs w:val="21"/>
              </w:rPr>
              <w:t>2</w:t>
            </w:r>
          </w:p>
        </w:tc>
        <w:tc>
          <w:tcPr>
            <w:tcW w:w="20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常日班， 8h*5</w:t>
            </w:r>
          </w:p>
        </w:tc>
        <w:tc>
          <w:tcPr>
            <w:tcW w:w="1087"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43" w:type="dxa"/>
            <w:tcBorders>
              <w:bottom w:val="single" w:color="auto" w:sz="4" w:space="0"/>
            </w:tcBorders>
            <w:vAlign w:val="center"/>
          </w:tcPr>
          <w:p>
            <w:pPr>
              <w:jc w:val="center"/>
              <w:rPr>
                <w:rFonts w:ascii="宋体" w:hAnsi="宋体" w:cs="宋体"/>
                <w:szCs w:val="21"/>
              </w:rPr>
            </w:pPr>
            <w:r>
              <w:rPr>
                <w:rFonts w:hint="eastAsia" w:ascii="宋体" w:hAnsi="宋体" w:cs="宋体"/>
                <w:szCs w:val="21"/>
              </w:rPr>
              <w:t>14</w:t>
            </w:r>
          </w:p>
        </w:tc>
        <w:tc>
          <w:tcPr>
            <w:tcW w:w="2017" w:type="dxa"/>
            <w:tcBorders>
              <w:bottom w:val="single" w:color="auto" w:sz="4" w:space="0"/>
            </w:tcBorders>
            <w:vAlign w:val="center"/>
          </w:tcPr>
          <w:p>
            <w:pPr>
              <w:jc w:val="center"/>
              <w:rPr>
                <w:rFonts w:ascii="宋体" w:hAnsi="宋体" w:cs="宋体"/>
                <w:szCs w:val="21"/>
              </w:rPr>
            </w:pPr>
            <w:r>
              <w:rPr>
                <w:rFonts w:hint="eastAsia" w:ascii="宋体" w:hAnsi="宋体" w:cs="宋体"/>
                <w:szCs w:val="21"/>
              </w:rPr>
              <w:t>工程主管</w:t>
            </w:r>
          </w:p>
        </w:tc>
        <w:tc>
          <w:tcPr>
            <w:tcW w:w="1477" w:type="dxa"/>
            <w:tcBorders>
              <w:bottom w:val="single" w:color="auto" w:sz="4" w:space="0"/>
            </w:tcBorders>
            <w:vAlign w:val="center"/>
          </w:tcPr>
          <w:p>
            <w:pPr>
              <w:jc w:val="center"/>
              <w:rPr>
                <w:rFonts w:ascii="宋体" w:hAnsi="宋体" w:cs="宋体"/>
                <w:szCs w:val="21"/>
              </w:rPr>
            </w:pPr>
            <w:r>
              <w:rPr>
                <w:rFonts w:hint="eastAsia" w:ascii="宋体" w:hAnsi="宋体" w:cs="宋体"/>
                <w:szCs w:val="21"/>
              </w:rPr>
              <w:t>全区域</w:t>
            </w:r>
          </w:p>
        </w:tc>
        <w:tc>
          <w:tcPr>
            <w:tcW w:w="888" w:type="dxa"/>
            <w:tcBorders>
              <w:bottom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20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常日班，8h*5</w:t>
            </w:r>
          </w:p>
        </w:tc>
        <w:tc>
          <w:tcPr>
            <w:tcW w:w="1087" w:type="dxa"/>
            <w:tcBorders>
              <w:bottom w:val="single" w:color="auto" w:sz="4" w:space="0"/>
            </w:tcBorders>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43" w:type="dxa"/>
            <w:tcBorders>
              <w:top w:val="single" w:color="auto" w:sz="4" w:space="0"/>
            </w:tcBorders>
            <w:vAlign w:val="center"/>
          </w:tcPr>
          <w:p>
            <w:pPr>
              <w:jc w:val="center"/>
              <w:rPr>
                <w:rFonts w:ascii="宋体" w:hAnsi="宋体" w:cs="宋体"/>
                <w:szCs w:val="21"/>
              </w:rPr>
            </w:pPr>
            <w:r>
              <w:rPr>
                <w:rFonts w:hint="eastAsia" w:ascii="宋体" w:hAnsi="宋体" w:cs="宋体"/>
                <w:szCs w:val="21"/>
              </w:rPr>
              <w:t>15</w:t>
            </w:r>
          </w:p>
        </w:tc>
        <w:tc>
          <w:tcPr>
            <w:tcW w:w="2017" w:type="dxa"/>
            <w:tcBorders>
              <w:top w:val="single" w:color="auto" w:sz="4" w:space="0"/>
            </w:tcBorders>
            <w:vAlign w:val="center"/>
          </w:tcPr>
          <w:p>
            <w:pPr>
              <w:jc w:val="center"/>
              <w:rPr>
                <w:rFonts w:ascii="宋体" w:hAnsi="宋体" w:cs="宋体"/>
                <w:szCs w:val="21"/>
              </w:rPr>
            </w:pPr>
            <w:r>
              <w:rPr>
                <w:rFonts w:hint="eastAsia" w:ascii="宋体" w:hAnsi="宋体" w:cs="宋体"/>
                <w:szCs w:val="21"/>
              </w:rPr>
              <w:t>工程领班</w:t>
            </w:r>
          </w:p>
        </w:tc>
        <w:tc>
          <w:tcPr>
            <w:tcW w:w="1477" w:type="dxa"/>
            <w:tcBorders>
              <w:top w:val="single" w:color="auto" w:sz="4" w:space="0"/>
            </w:tcBorders>
            <w:vAlign w:val="center"/>
          </w:tcPr>
          <w:p>
            <w:pPr>
              <w:jc w:val="center"/>
              <w:rPr>
                <w:rFonts w:ascii="宋体" w:hAnsi="宋体" w:cs="宋体"/>
                <w:szCs w:val="21"/>
              </w:rPr>
            </w:pPr>
            <w:r>
              <w:rPr>
                <w:rFonts w:hint="eastAsia" w:ascii="宋体" w:hAnsi="宋体" w:cs="宋体"/>
                <w:szCs w:val="21"/>
              </w:rPr>
              <w:t>上海数据中心园区</w:t>
            </w:r>
          </w:p>
        </w:tc>
        <w:tc>
          <w:tcPr>
            <w:tcW w:w="888" w:type="dxa"/>
            <w:tcBorders>
              <w:top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2050"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常日班，8h*5</w:t>
            </w:r>
          </w:p>
        </w:tc>
        <w:tc>
          <w:tcPr>
            <w:tcW w:w="1087" w:type="dxa"/>
            <w:tcBorders>
              <w:top w:val="single" w:color="auto" w:sz="4" w:space="0"/>
            </w:tcBorders>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43" w:type="dxa"/>
            <w:vAlign w:val="center"/>
          </w:tcPr>
          <w:p>
            <w:pPr>
              <w:jc w:val="center"/>
              <w:rPr>
                <w:rFonts w:ascii="宋体" w:hAnsi="宋体" w:cs="宋体"/>
                <w:szCs w:val="21"/>
              </w:rPr>
            </w:pPr>
            <w:r>
              <w:rPr>
                <w:rFonts w:hint="eastAsia" w:ascii="宋体" w:hAnsi="宋体" w:cs="宋体"/>
                <w:szCs w:val="21"/>
              </w:rPr>
              <w:t>16</w:t>
            </w:r>
          </w:p>
        </w:tc>
        <w:tc>
          <w:tcPr>
            <w:tcW w:w="2017" w:type="dxa"/>
            <w:vAlign w:val="center"/>
          </w:tcPr>
          <w:p>
            <w:pPr>
              <w:jc w:val="center"/>
              <w:rPr>
                <w:rFonts w:ascii="宋体" w:hAnsi="宋体" w:cs="宋体"/>
                <w:szCs w:val="21"/>
              </w:rPr>
            </w:pPr>
            <w:r>
              <w:rPr>
                <w:rFonts w:hint="eastAsia" w:ascii="宋体" w:hAnsi="宋体" w:cs="宋体"/>
                <w:szCs w:val="21"/>
              </w:rPr>
              <w:t>工程技工</w:t>
            </w:r>
          </w:p>
        </w:tc>
        <w:tc>
          <w:tcPr>
            <w:tcW w:w="1477" w:type="dxa"/>
            <w:vAlign w:val="center"/>
          </w:tcPr>
          <w:p>
            <w:pPr>
              <w:jc w:val="center"/>
              <w:rPr>
                <w:rFonts w:ascii="宋体" w:hAnsi="宋体" w:cs="宋体"/>
                <w:szCs w:val="21"/>
              </w:rPr>
            </w:pPr>
            <w:r>
              <w:rPr>
                <w:rFonts w:hint="eastAsia" w:ascii="宋体" w:hAnsi="宋体" w:cs="宋体"/>
                <w:szCs w:val="21"/>
              </w:rPr>
              <w:t>上海数据中心园区</w:t>
            </w:r>
          </w:p>
        </w:tc>
        <w:tc>
          <w:tcPr>
            <w:tcW w:w="888" w:type="dxa"/>
            <w:vAlign w:val="center"/>
          </w:tcPr>
          <w:p>
            <w:pPr>
              <w:jc w:val="center"/>
              <w:rPr>
                <w:rFonts w:ascii="宋体" w:hAnsi="宋体" w:cs="宋体"/>
                <w:szCs w:val="21"/>
              </w:rPr>
            </w:pPr>
            <w:r>
              <w:rPr>
                <w:rFonts w:hint="eastAsia" w:ascii="宋体" w:hAnsi="宋体" w:cs="宋体"/>
                <w:szCs w:val="21"/>
              </w:rPr>
              <w:t>1</w:t>
            </w:r>
          </w:p>
        </w:tc>
        <w:tc>
          <w:tcPr>
            <w:tcW w:w="20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4班2运转，24h*7</w:t>
            </w:r>
          </w:p>
        </w:tc>
        <w:tc>
          <w:tcPr>
            <w:tcW w:w="1087" w:type="dxa"/>
            <w:vAlign w:val="center"/>
          </w:tcPr>
          <w:p>
            <w:pPr>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43" w:type="dxa"/>
            <w:vAlign w:val="center"/>
          </w:tcPr>
          <w:p>
            <w:pPr>
              <w:jc w:val="center"/>
              <w:rPr>
                <w:rFonts w:ascii="宋体" w:hAnsi="宋体" w:cs="宋体"/>
                <w:szCs w:val="21"/>
              </w:rPr>
            </w:pPr>
            <w:r>
              <w:rPr>
                <w:rFonts w:hint="eastAsia" w:ascii="宋体" w:hAnsi="宋体" w:cs="宋体"/>
                <w:szCs w:val="21"/>
              </w:rPr>
              <w:t>17</w:t>
            </w:r>
          </w:p>
        </w:tc>
        <w:tc>
          <w:tcPr>
            <w:tcW w:w="2017" w:type="dxa"/>
            <w:vAlign w:val="center"/>
          </w:tcPr>
          <w:p>
            <w:pPr>
              <w:jc w:val="center"/>
              <w:rPr>
                <w:rFonts w:ascii="宋体" w:hAnsi="宋体" w:cs="宋体"/>
                <w:szCs w:val="21"/>
              </w:rPr>
            </w:pPr>
            <w:r>
              <w:rPr>
                <w:rFonts w:hint="eastAsia" w:ascii="宋体" w:hAnsi="宋体" w:cs="宋体"/>
                <w:szCs w:val="21"/>
              </w:rPr>
              <w:t>工程技工</w:t>
            </w:r>
          </w:p>
        </w:tc>
        <w:tc>
          <w:tcPr>
            <w:tcW w:w="1477" w:type="dxa"/>
            <w:vAlign w:val="center"/>
          </w:tcPr>
          <w:p>
            <w:pPr>
              <w:jc w:val="center"/>
              <w:rPr>
                <w:rFonts w:ascii="宋体" w:hAnsi="宋体" w:cs="宋体"/>
                <w:szCs w:val="21"/>
              </w:rPr>
            </w:pPr>
            <w:r>
              <w:rPr>
                <w:rFonts w:hint="eastAsia" w:ascii="宋体" w:hAnsi="宋体" w:cs="宋体"/>
                <w:szCs w:val="21"/>
              </w:rPr>
              <w:t>上海数据中心园区</w:t>
            </w:r>
          </w:p>
        </w:tc>
        <w:tc>
          <w:tcPr>
            <w:tcW w:w="888" w:type="dxa"/>
            <w:vAlign w:val="center"/>
          </w:tcPr>
          <w:p>
            <w:pPr>
              <w:jc w:val="center"/>
              <w:rPr>
                <w:rFonts w:ascii="宋体" w:hAnsi="宋体" w:cs="宋体"/>
                <w:szCs w:val="21"/>
              </w:rPr>
            </w:pPr>
            <w:r>
              <w:rPr>
                <w:rFonts w:hint="eastAsia" w:ascii="宋体" w:hAnsi="宋体" w:cs="宋体"/>
                <w:szCs w:val="21"/>
              </w:rPr>
              <w:t>7</w:t>
            </w:r>
          </w:p>
        </w:tc>
        <w:tc>
          <w:tcPr>
            <w:tcW w:w="20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常日班，8h*5</w:t>
            </w:r>
          </w:p>
        </w:tc>
        <w:tc>
          <w:tcPr>
            <w:tcW w:w="1087" w:type="dxa"/>
            <w:vAlign w:val="center"/>
          </w:tcPr>
          <w:p>
            <w:pPr>
              <w:jc w:val="center"/>
              <w:rPr>
                <w:rFonts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43" w:type="dxa"/>
            <w:vAlign w:val="center"/>
          </w:tcPr>
          <w:p>
            <w:pPr>
              <w:jc w:val="center"/>
              <w:rPr>
                <w:rFonts w:ascii="宋体" w:hAnsi="宋体" w:cs="宋体"/>
                <w:szCs w:val="21"/>
              </w:rPr>
            </w:pPr>
            <w:r>
              <w:rPr>
                <w:rFonts w:hint="eastAsia" w:ascii="宋体" w:hAnsi="宋体" w:cs="宋体"/>
                <w:szCs w:val="21"/>
              </w:rPr>
              <w:t>18</w:t>
            </w:r>
          </w:p>
        </w:tc>
        <w:tc>
          <w:tcPr>
            <w:tcW w:w="2017" w:type="dxa"/>
            <w:vAlign w:val="center"/>
          </w:tcPr>
          <w:p>
            <w:pPr>
              <w:jc w:val="center"/>
              <w:rPr>
                <w:rFonts w:ascii="宋体" w:hAnsi="宋体" w:cs="宋体"/>
                <w:szCs w:val="21"/>
              </w:rPr>
            </w:pPr>
            <w:r>
              <w:rPr>
                <w:rFonts w:hint="eastAsia" w:ascii="宋体" w:hAnsi="宋体" w:cs="宋体"/>
                <w:szCs w:val="21"/>
              </w:rPr>
              <w:t>工程领班</w:t>
            </w:r>
          </w:p>
        </w:tc>
        <w:tc>
          <w:tcPr>
            <w:tcW w:w="1477" w:type="dxa"/>
            <w:vAlign w:val="center"/>
          </w:tcPr>
          <w:p>
            <w:pPr>
              <w:jc w:val="center"/>
              <w:rPr>
                <w:rFonts w:ascii="宋体" w:hAnsi="宋体" w:cs="宋体"/>
                <w:szCs w:val="21"/>
              </w:rPr>
            </w:pPr>
            <w:r>
              <w:rPr>
                <w:rFonts w:hint="eastAsia" w:ascii="宋体" w:hAnsi="宋体" w:cs="宋体"/>
                <w:szCs w:val="21"/>
              </w:rPr>
              <w:t>同城数据中心</w:t>
            </w:r>
          </w:p>
        </w:tc>
        <w:tc>
          <w:tcPr>
            <w:tcW w:w="888" w:type="dxa"/>
            <w:vAlign w:val="center"/>
          </w:tcPr>
          <w:p>
            <w:pPr>
              <w:jc w:val="center"/>
              <w:rPr>
                <w:rFonts w:ascii="宋体" w:hAnsi="宋体" w:cs="宋体"/>
                <w:szCs w:val="21"/>
              </w:rPr>
            </w:pPr>
            <w:r>
              <w:rPr>
                <w:rFonts w:hint="eastAsia" w:ascii="宋体" w:hAnsi="宋体" w:cs="宋体"/>
                <w:szCs w:val="21"/>
              </w:rPr>
              <w:t>1</w:t>
            </w:r>
          </w:p>
        </w:tc>
        <w:tc>
          <w:tcPr>
            <w:tcW w:w="20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常日班，8h*5</w:t>
            </w:r>
          </w:p>
        </w:tc>
        <w:tc>
          <w:tcPr>
            <w:tcW w:w="1087"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43" w:type="dxa"/>
            <w:vAlign w:val="center"/>
          </w:tcPr>
          <w:p>
            <w:pPr>
              <w:jc w:val="center"/>
              <w:rPr>
                <w:rFonts w:ascii="宋体" w:hAnsi="宋体" w:cs="宋体"/>
                <w:szCs w:val="21"/>
              </w:rPr>
            </w:pPr>
            <w:r>
              <w:rPr>
                <w:rFonts w:hint="eastAsia" w:ascii="宋体" w:hAnsi="宋体" w:cs="宋体"/>
                <w:szCs w:val="21"/>
              </w:rPr>
              <w:t>19</w:t>
            </w:r>
          </w:p>
        </w:tc>
        <w:tc>
          <w:tcPr>
            <w:tcW w:w="2017" w:type="dxa"/>
            <w:vAlign w:val="center"/>
          </w:tcPr>
          <w:p>
            <w:pPr>
              <w:jc w:val="center"/>
              <w:rPr>
                <w:rFonts w:ascii="宋体" w:hAnsi="宋体" w:cs="宋体"/>
                <w:szCs w:val="21"/>
              </w:rPr>
            </w:pPr>
            <w:r>
              <w:rPr>
                <w:rFonts w:hint="eastAsia" w:ascii="宋体" w:hAnsi="宋体" w:cs="宋体"/>
                <w:szCs w:val="21"/>
              </w:rPr>
              <w:t>工程技工</w:t>
            </w:r>
          </w:p>
        </w:tc>
        <w:tc>
          <w:tcPr>
            <w:tcW w:w="1477" w:type="dxa"/>
            <w:vAlign w:val="center"/>
          </w:tcPr>
          <w:p>
            <w:pPr>
              <w:jc w:val="center"/>
              <w:rPr>
                <w:rFonts w:ascii="宋体" w:hAnsi="宋体" w:cs="宋体"/>
                <w:szCs w:val="21"/>
              </w:rPr>
            </w:pPr>
            <w:r>
              <w:rPr>
                <w:rFonts w:hint="eastAsia" w:ascii="宋体" w:hAnsi="宋体" w:cs="宋体"/>
                <w:szCs w:val="21"/>
              </w:rPr>
              <w:t>同城数据中心</w:t>
            </w:r>
          </w:p>
        </w:tc>
        <w:tc>
          <w:tcPr>
            <w:tcW w:w="888" w:type="dxa"/>
            <w:vAlign w:val="center"/>
          </w:tcPr>
          <w:p>
            <w:pPr>
              <w:jc w:val="center"/>
              <w:rPr>
                <w:rFonts w:ascii="宋体" w:hAnsi="宋体" w:cs="宋体"/>
                <w:szCs w:val="21"/>
              </w:rPr>
            </w:pPr>
            <w:r>
              <w:rPr>
                <w:rFonts w:hint="eastAsia" w:ascii="宋体" w:hAnsi="宋体" w:cs="宋体"/>
                <w:szCs w:val="21"/>
              </w:rPr>
              <w:t>1</w:t>
            </w:r>
          </w:p>
        </w:tc>
        <w:tc>
          <w:tcPr>
            <w:tcW w:w="20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常日班，8h*5</w:t>
            </w:r>
          </w:p>
        </w:tc>
        <w:tc>
          <w:tcPr>
            <w:tcW w:w="1087"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2660" w:type="dxa"/>
            <w:gridSpan w:val="2"/>
            <w:vAlign w:val="center"/>
          </w:tcPr>
          <w:p>
            <w:pPr>
              <w:jc w:val="center"/>
              <w:rPr>
                <w:rFonts w:ascii="宋体" w:hAnsi="宋体" w:cs="宋体"/>
                <w:szCs w:val="21"/>
              </w:rPr>
            </w:pPr>
            <w:r>
              <w:rPr>
                <w:rFonts w:hint="eastAsia" w:ascii="宋体" w:hAnsi="宋体" w:cs="宋体"/>
                <w:szCs w:val="21"/>
              </w:rPr>
              <w:t>合计</w:t>
            </w:r>
          </w:p>
        </w:tc>
        <w:tc>
          <w:tcPr>
            <w:tcW w:w="1477" w:type="dxa"/>
            <w:vAlign w:val="center"/>
          </w:tcPr>
          <w:p>
            <w:pPr>
              <w:jc w:val="center"/>
              <w:rPr>
                <w:rFonts w:ascii="宋体" w:hAnsi="宋体" w:cs="宋体"/>
                <w:szCs w:val="21"/>
              </w:rPr>
            </w:pPr>
          </w:p>
        </w:tc>
        <w:tc>
          <w:tcPr>
            <w:tcW w:w="888" w:type="dxa"/>
            <w:vAlign w:val="center"/>
          </w:tcPr>
          <w:p>
            <w:pPr>
              <w:jc w:val="center"/>
              <w:rPr>
                <w:rFonts w:ascii="宋体" w:hAnsi="宋体" w:cs="宋体"/>
                <w:szCs w:val="21"/>
              </w:rPr>
            </w:pPr>
          </w:p>
        </w:tc>
        <w:tc>
          <w:tcPr>
            <w:tcW w:w="3137" w:type="dxa"/>
            <w:gridSpan w:val="2"/>
            <w:vAlign w:val="center"/>
          </w:tcPr>
          <w:p>
            <w:pPr>
              <w:jc w:val="center"/>
              <w:rPr>
                <w:rFonts w:ascii="宋体" w:hAnsi="宋体" w:cs="宋体"/>
                <w:szCs w:val="21"/>
              </w:rPr>
            </w:pPr>
            <w:r>
              <w:rPr>
                <w:rFonts w:hint="eastAsia" w:ascii="宋体" w:hAnsi="宋体" w:cs="宋体"/>
                <w:szCs w:val="21"/>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8162" w:type="dxa"/>
            <w:gridSpan w:val="6"/>
            <w:vAlign w:val="center"/>
          </w:tcPr>
          <w:p>
            <w:pPr>
              <w:jc w:val="center"/>
              <w:rPr>
                <w:rFonts w:ascii="宋体" w:hAnsi="宋体" w:cs="宋体"/>
                <w:szCs w:val="21"/>
              </w:rPr>
            </w:pPr>
            <w:r>
              <w:rPr>
                <w:rFonts w:hint="eastAsia" w:ascii="宋体" w:hAnsi="宋体" w:cs="宋体"/>
                <w:szCs w:val="21"/>
              </w:rPr>
              <w:t>注：全区域包括上海数据中心园区、上海同城数据中心、上海各处周转房</w:t>
            </w:r>
          </w:p>
        </w:tc>
      </w:tr>
    </w:tbl>
    <w:p>
      <w:pPr>
        <w:spacing w:line="360" w:lineRule="auto"/>
        <w:ind w:firstLine="480" w:firstLineChars="200"/>
        <w:rPr>
          <w:rFonts w:hint="eastAsia" w:ascii="宋体" w:hAnsi="宋体" w:cs="宋体"/>
          <w:color w:val="000000" w:themeColor="text1"/>
          <w14:textFill>
            <w14:solidFill>
              <w14:schemeClr w14:val="tx1"/>
            </w14:solidFill>
          </w14:textFill>
        </w:rPr>
      </w:pPr>
    </w:p>
    <w:p>
      <w:pPr>
        <w:tabs>
          <w:tab w:val="left" w:pos="1260"/>
        </w:tabs>
        <w:spacing w:line="360" w:lineRule="auto"/>
        <w:ind w:left="-5" w:firstLine="42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12.4服务团队进场要求</w:t>
      </w:r>
    </w:p>
    <w:p>
      <w:pPr>
        <w:tabs>
          <w:tab w:val="left" w:pos="1260"/>
        </w:tabs>
        <w:spacing w:line="360" w:lineRule="auto"/>
        <w:ind w:left="-5"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乙方的团队管理人员资质复印件应于乙方入场前向甲方提供。如乙方不能提供，则甲方有权拒绝相应人员入场并拒付涉及的分项款项；由于乙方相关人员不能入场导致的甲方损失，乙方需进行赔偿。</w:t>
      </w:r>
    </w:p>
    <w:p>
      <w:pPr>
        <w:tabs>
          <w:tab w:val="left" w:pos="1260"/>
        </w:tabs>
        <w:spacing w:line="360" w:lineRule="auto"/>
        <w:ind w:left="-5" w:firstLine="420"/>
        <w:rPr>
          <w:rFonts w:ascii="宋体" w:hAnsi="宋体" w:cs="宋体"/>
          <w:color w:val="000000" w:themeColor="text1"/>
          <w14:textFill>
            <w14:solidFill>
              <w14:schemeClr w14:val="tx1"/>
            </w14:solidFill>
          </w14:textFill>
        </w:rPr>
      </w:pPr>
    </w:p>
    <w:p>
      <w:pPr>
        <w:spacing w:before="156" w:beforeLines="50" w:line="360" w:lineRule="auto"/>
        <w:ind w:left="-2" w:firstLine="281"/>
        <w:jc w:val="center"/>
        <w:outlineLvl w:val="1"/>
        <w:rPr>
          <w:b/>
          <w:bCs/>
          <w:color w:val="000000" w:themeColor="text1"/>
          <w:sz w:val="28"/>
          <w14:textFill>
            <w14:solidFill>
              <w14:schemeClr w14:val="tx1"/>
            </w14:solidFill>
          </w14:textFill>
        </w:rPr>
      </w:pPr>
      <w:r>
        <w:rPr>
          <w:rFonts w:hint="eastAsia"/>
          <w:b/>
          <w:bCs/>
          <w:color w:val="000000" w:themeColor="text1"/>
          <w:sz w:val="28"/>
          <w14:textFill>
            <w14:solidFill>
              <w14:schemeClr w14:val="tx1"/>
            </w14:solidFill>
          </w14:textFill>
        </w:rPr>
        <w:t>第十三部分 合同的终止</w:t>
      </w:r>
    </w:p>
    <w:p>
      <w:pPr>
        <w:tabs>
          <w:tab w:val="left" w:pos="900"/>
        </w:tabs>
        <w:spacing w:line="480" w:lineRule="exact"/>
        <w:ind w:left="-19"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.1 甲乙双方均不得单方面随意变更或解除合同。出现下列情况时本合同自行终止：</w:t>
      </w:r>
    </w:p>
    <w:p>
      <w:pPr>
        <w:tabs>
          <w:tab w:val="left" w:pos="900"/>
        </w:tabs>
        <w:spacing w:line="480" w:lineRule="exact"/>
        <w:ind w:left="-19"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13.1.1</w:t>
      </w:r>
      <w:r>
        <w:rPr>
          <w:rFonts w:hint="eastAsia" w:ascii="宋体" w:hAnsi="宋体"/>
          <w:color w:val="000000" w:themeColor="text1"/>
          <w14:textFill>
            <w14:solidFill>
              <w14:schemeClr w14:val="tx1"/>
            </w14:solidFill>
          </w14:textFill>
        </w:rPr>
        <w:t xml:space="preserve"> 本合同正常履行完毕；</w:t>
      </w:r>
    </w:p>
    <w:p>
      <w:pPr>
        <w:tabs>
          <w:tab w:val="left" w:pos="900"/>
        </w:tabs>
        <w:spacing w:line="480" w:lineRule="exact"/>
        <w:ind w:left="-19"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13.1.2</w:t>
      </w:r>
      <w:r>
        <w:rPr>
          <w:rFonts w:hint="eastAsia" w:ascii="宋体" w:hAnsi="宋体"/>
          <w:color w:val="000000" w:themeColor="text1"/>
          <w14:textFill>
            <w14:solidFill>
              <w14:schemeClr w14:val="tx1"/>
            </w14:solidFill>
          </w14:textFill>
        </w:rPr>
        <w:t xml:space="preserve"> 甲乙双方在不违反法律、法规规定的情况下协议终止本合同的履行；</w:t>
      </w:r>
    </w:p>
    <w:p>
      <w:pPr>
        <w:tabs>
          <w:tab w:val="left" w:pos="900"/>
        </w:tabs>
        <w:spacing w:line="480" w:lineRule="exact"/>
        <w:ind w:left="-19"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13.1.3</w:t>
      </w:r>
      <w:r>
        <w:rPr>
          <w:rFonts w:hint="eastAsia" w:ascii="宋体" w:hAnsi="宋体"/>
          <w:color w:val="000000" w:themeColor="text1"/>
          <w14:textFill>
            <w14:solidFill>
              <w14:schemeClr w14:val="tx1"/>
            </w14:solidFill>
          </w14:textFill>
        </w:rPr>
        <w:t xml:space="preserve"> 不可抗力导致本合同无法履行或履行不必要时；</w:t>
      </w:r>
    </w:p>
    <w:p>
      <w:pPr>
        <w:tabs>
          <w:tab w:val="left" w:pos="900"/>
        </w:tabs>
        <w:spacing w:line="480" w:lineRule="exact"/>
        <w:ind w:left="-19"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13.1.4</w:t>
      </w:r>
      <w:r>
        <w:rPr>
          <w:rFonts w:hint="eastAsia" w:ascii="宋体" w:hAnsi="宋体"/>
          <w:color w:val="000000" w:themeColor="text1"/>
          <w14:textFill>
            <w14:solidFill>
              <w14:schemeClr w14:val="tx1"/>
            </w14:solidFill>
          </w14:textFill>
        </w:rPr>
        <w:t xml:space="preserve"> 一方根据本合同规定提出解除合同后，本合同在责任方按照本合同的约定履行完毕全部支付义务或其他义务后终止。</w:t>
      </w:r>
    </w:p>
    <w:p>
      <w:pPr>
        <w:tabs>
          <w:tab w:val="left" w:pos="900"/>
        </w:tabs>
        <w:spacing w:line="480" w:lineRule="exact"/>
        <w:ind w:left="-19"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.2 合同的终止并不影响甲乙双方承担其他法律责任。</w:t>
      </w:r>
    </w:p>
    <w:p>
      <w:pPr>
        <w:tabs>
          <w:tab w:val="left" w:pos="1260"/>
        </w:tabs>
        <w:spacing w:line="360" w:lineRule="auto"/>
        <w:ind w:left="-5" w:firstLine="420"/>
        <w:rPr>
          <w:rFonts w:ascii="宋体" w:hAnsi="宋体" w:cs="宋体"/>
          <w:color w:val="000000" w:themeColor="text1"/>
          <w14:textFill>
            <w14:solidFill>
              <w14:schemeClr w14:val="tx1"/>
            </w14:solidFill>
          </w14:textFill>
        </w:rPr>
      </w:pPr>
    </w:p>
    <w:p>
      <w:pPr>
        <w:spacing w:before="156" w:beforeLines="50" w:line="360" w:lineRule="auto"/>
        <w:ind w:left="-2" w:firstLine="281"/>
        <w:jc w:val="center"/>
        <w:outlineLvl w:val="1"/>
        <w:rPr>
          <w:b/>
          <w:bCs/>
          <w:color w:val="000000" w:themeColor="text1"/>
          <w:sz w:val="28"/>
          <w14:textFill>
            <w14:solidFill>
              <w14:schemeClr w14:val="tx1"/>
            </w14:solidFill>
          </w14:textFill>
        </w:rPr>
      </w:pPr>
      <w:r>
        <w:rPr>
          <w:rFonts w:hint="eastAsia"/>
          <w:b/>
          <w:bCs/>
          <w:color w:val="000000" w:themeColor="text1"/>
          <w:sz w:val="28"/>
          <w14:textFill>
            <w14:solidFill>
              <w14:schemeClr w14:val="tx1"/>
            </w14:solidFill>
          </w14:textFill>
        </w:rPr>
        <w:t>第十四部分 法律适用</w:t>
      </w:r>
    </w:p>
    <w:p>
      <w:pPr>
        <w:tabs>
          <w:tab w:val="left" w:pos="900"/>
        </w:tabs>
        <w:spacing w:line="480" w:lineRule="exact"/>
        <w:ind w:left="-19"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14.1 本合同及其附件的订立、效力、解释、履行、变更、争议的解决等适用本合同签订时有效的中华人民共和国法律、法规的有关规定。</w:t>
      </w:r>
    </w:p>
    <w:p>
      <w:pPr>
        <w:tabs>
          <w:tab w:val="left" w:pos="900"/>
        </w:tabs>
        <w:spacing w:line="480" w:lineRule="exact"/>
        <w:ind w:left="-19"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14.2 对本合同的任何解释均应以书面形式作出。</w:t>
      </w:r>
    </w:p>
    <w:p>
      <w:pPr>
        <w:tabs>
          <w:tab w:val="left" w:pos="1260"/>
        </w:tabs>
        <w:spacing w:line="360" w:lineRule="auto"/>
        <w:ind w:left="-5" w:firstLine="420"/>
        <w:rPr>
          <w:rFonts w:ascii="宋体" w:hAnsi="宋体" w:cs="宋体"/>
          <w:color w:val="000000" w:themeColor="text1"/>
          <w14:textFill>
            <w14:solidFill>
              <w14:schemeClr w14:val="tx1"/>
            </w14:solidFill>
          </w14:textFill>
        </w:rPr>
      </w:pPr>
    </w:p>
    <w:p>
      <w:pPr>
        <w:spacing w:before="156" w:beforeLines="50" w:line="360" w:lineRule="auto"/>
        <w:ind w:left="-2" w:firstLine="281"/>
        <w:jc w:val="center"/>
        <w:outlineLvl w:val="1"/>
        <w:rPr>
          <w:b/>
          <w:bCs/>
          <w:color w:val="000000" w:themeColor="text1"/>
          <w:sz w:val="28"/>
          <w14:textFill>
            <w14:solidFill>
              <w14:schemeClr w14:val="tx1"/>
            </w14:solidFill>
          </w14:textFill>
        </w:rPr>
      </w:pPr>
      <w:r>
        <w:rPr>
          <w:rFonts w:hint="eastAsia"/>
          <w:b/>
          <w:bCs/>
          <w:color w:val="000000" w:themeColor="text1"/>
          <w:sz w:val="28"/>
          <w14:textFill>
            <w14:solidFill>
              <w14:schemeClr w14:val="tx1"/>
            </w14:solidFill>
          </w14:textFill>
        </w:rPr>
        <w:t>第十五部分 其他</w:t>
      </w:r>
    </w:p>
    <w:p>
      <w:pPr>
        <w:tabs>
          <w:tab w:val="left" w:pos="900"/>
        </w:tabs>
        <w:spacing w:line="480" w:lineRule="exact"/>
        <w:ind w:left="-19"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.1 合同书写应用中文，各方所有的来往信函，以及合同有关的文件均应以中文书写，以外文书写的必须附有相应的中文译本。如果两种文本的含义发生冲突，各方同意以中文文本为准。</w:t>
      </w:r>
    </w:p>
    <w:p>
      <w:pPr>
        <w:tabs>
          <w:tab w:val="left" w:pos="900"/>
        </w:tabs>
        <w:spacing w:line="480" w:lineRule="exact"/>
        <w:ind w:left="-19" w:firstLine="480" w:firstLineChars="200"/>
        <w:rPr>
          <w:rFonts w:hAnsi="宋体"/>
          <w:b/>
          <w:bCs/>
          <w:color w:val="000000" w:themeColor="text1"/>
          <w:sz w:val="28"/>
          <w:szCs w:val="28"/>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.2 各方发出与本合同有关的通知或回复，应以专人送递、传真或特快专递的方式送出。如果以专人送递或特快专递发送，以到达至双方约定的地址或通讯联络地视为送达；如果以传真发送，以送达至对方的传真机并经对方确认视为送达。</w:t>
      </w:r>
    </w:p>
    <w:p>
      <w:pPr>
        <w:spacing w:line="360" w:lineRule="auto"/>
        <w:ind w:left="-19"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.3 本合同一式陆份，甲方持叁份，乙方持叁份，经甲、乙双方法定代表人或其授权代表签字、加盖单位公章或合同章</w:t>
      </w:r>
      <w:r>
        <w:rPr>
          <w:rFonts w:hint="eastAsia" w:ascii="宋体" w:hAnsi="宋体" w:cs="宋体"/>
          <w:color w:val="000000" w:themeColor="text1"/>
          <w14:textFill>
            <w14:solidFill>
              <w14:schemeClr w14:val="tx1"/>
            </w14:solidFill>
          </w14:textFill>
        </w:rPr>
        <w:t>并在甲方收到</w:t>
      </w:r>
      <w:r>
        <w:rPr>
          <w:rFonts w:hint="eastAsia" w:ascii="宋体" w:hAnsi="宋体"/>
          <w:color w:val="000000" w:themeColor="text1"/>
          <w14:textFill>
            <w14:solidFill>
              <w14:schemeClr w14:val="tx1"/>
            </w14:solidFill>
          </w14:textFill>
        </w:rPr>
        <w:t>履约</w:t>
      </w:r>
      <w:r>
        <w:rPr>
          <w:rFonts w:hint="eastAsia" w:ascii="宋体" w:hAnsi="宋体" w:cs="宋体"/>
          <w:color w:val="000000" w:themeColor="text1"/>
          <w14:textFill>
            <w14:solidFill>
              <w14:schemeClr w14:val="tx1"/>
            </w14:solidFill>
          </w14:textFill>
        </w:rPr>
        <w:t>保证金后</w:t>
      </w:r>
      <w:r>
        <w:rPr>
          <w:rFonts w:hint="eastAsia" w:ascii="宋体" w:hAnsi="宋体"/>
          <w:color w:val="000000" w:themeColor="text1"/>
          <w14:textFill>
            <w14:solidFill>
              <w14:schemeClr w14:val="tx1"/>
            </w14:solidFill>
          </w14:textFill>
        </w:rPr>
        <w:t>生效，</w:t>
      </w:r>
      <w:r>
        <w:rPr>
          <w:rFonts w:hint="eastAsia" w:ascii="宋体" w:hAnsi="宋体"/>
          <w:szCs w:val="24"/>
        </w:rPr>
        <w:t>每份具有同等法律效力</w:t>
      </w:r>
      <w:r>
        <w:rPr>
          <w:rFonts w:hint="eastAsia" w:ascii="宋体" w:hAnsi="宋体"/>
          <w:color w:val="000000" w:themeColor="text1"/>
          <w14:textFill>
            <w14:solidFill>
              <w14:schemeClr w14:val="tx1"/>
            </w14:solidFill>
          </w14:textFill>
        </w:rPr>
        <w:t>。</w:t>
      </w:r>
    </w:p>
    <w:p>
      <w:pPr>
        <w:tabs>
          <w:tab w:val="left" w:pos="1260"/>
        </w:tabs>
        <w:spacing w:line="360" w:lineRule="auto"/>
        <w:ind w:left="-5" w:firstLine="420"/>
        <w:rPr>
          <w:rFonts w:ascii="宋体" w:hAnsi="宋体" w:cs="宋体"/>
          <w:color w:val="000000" w:themeColor="text1"/>
          <w14:textFill>
            <w14:solidFill>
              <w14:schemeClr w14:val="tx1"/>
            </w14:solidFill>
          </w14:textFill>
        </w:rPr>
      </w:pPr>
    </w:p>
    <w:p>
      <w:pPr>
        <w:spacing w:before="156" w:beforeLines="50" w:line="360" w:lineRule="auto"/>
        <w:ind w:left="-2" w:firstLine="281"/>
        <w:jc w:val="center"/>
        <w:outlineLvl w:val="1"/>
        <w:rPr>
          <w:b/>
          <w:bCs/>
          <w:color w:val="000000" w:themeColor="text1"/>
          <w:sz w:val="28"/>
          <w14:textFill>
            <w14:solidFill>
              <w14:schemeClr w14:val="tx1"/>
            </w14:solidFill>
          </w14:textFill>
        </w:rPr>
      </w:pPr>
      <w:r>
        <w:rPr>
          <w:rFonts w:hint="eastAsia"/>
          <w:b/>
          <w:bCs/>
          <w:color w:val="000000" w:themeColor="text1"/>
          <w:sz w:val="28"/>
          <w14:textFill>
            <w14:solidFill>
              <w14:schemeClr w14:val="tx1"/>
            </w14:solidFill>
          </w14:textFill>
        </w:rPr>
        <w:t>第十六部分 附件</w:t>
      </w:r>
    </w:p>
    <w:p>
      <w:pPr>
        <w:tabs>
          <w:tab w:val="left" w:pos="900"/>
        </w:tabs>
        <w:spacing w:line="480" w:lineRule="exact"/>
        <w:ind w:left="-19"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16</w:t>
      </w:r>
      <w:r>
        <w:rPr>
          <w:rFonts w:hint="eastAsia" w:ascii="宋体" w:hAnsi="宋体"/>
          <w:color w:val="000000" w:themeColor="text1"/>
          <w14:textFill>
            <w14:solidFill>
              <w14:schemeClr w14:val="tx1"/>
            </w14:solidFill>
          </w14:textFill>
        </w:rPr>
        <w:t>.1 本合同附件均为本合同不可分割的部分，与合同正文具有同等法律效力。</w:t>
      </w:r>
    </w:p>
    <w:p>
      <w:pPr>
        <w:tabs>
          <w:tab w:val="left" w:pos="900"/>
        </w:tabs>
        <w:spacing w:line="480" w:lineRule="exact"/>
        <w:ind w:left="-19"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合同附件目录如下：</w:t>
      </w:r>
    </w:p>
    <w:p>
      <w:pPr>
        <w:tabs>
          <w:tab w:val="left" w:pos="900"/>
        </w:tabs>
        <w:spacing w:line="480" w:lineRule="exact"/>
        <w:ind w:left="-19"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附件一、业务合作保密协议</w:t>
      </w:r>
    </w:p>
    <w:p>
      <w:pPr>
        <w:tabs>
          <w:tab w:val="left" w:pos="900"/>
        </w:tabs>
        <w:spacing w:line="480" w:lineRule="exact"/>
        <w:ind w:left="-19"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附件二、项目物业构成明细</w:t>
      </w:r>
    </w:p>
    <w:p>
      <w:pPr>
        <w:tabs>
          <w:tab w:val="left" w:pos="900"/>
        </w:tabs>
        <w:spacing w:line="480" w:lineRule="exact"/>
        <w:ind w:left="-19"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附件三、合同清单及价格</w:t>
      </w:r>
    </w:p>
    <w:p>
      <w:pPr>
        <w:tabs>
          <w:tab w:val="left" w:pos="900"/>
        </w:tabs>
        <w:spacing w:line="480" w:lineRule="exact"/>
        <w:ind w:left="-19"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附件四、甲方的业务需求及技术规范</w:t>
      </w:r>
    </w:p>
    <w:p>
      <w:pPr>
        <w:tabs>
          <w:tab w:val="left" w:pos="900"/>
        </w:tabs>
        <w:spacing w:line="480" w:lineRule="exact"/>
        <w:ind w:left="-19"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附件五、乙方服务保证承诺</w:t>
      </w:r>
    </w:p>
    <w:p>
      <w:pPr>
        <w:tabs>
          <w:tab w:val="left" w:pos="900"/>
        </w:tabs>
        <w:spacing w:line="480" w:lineRule="exact"/>
        <w:ind w:left="-19" w:firstLine="480" w:firstLineChars="200"/>
        <w:rPr>
          <w:rFonts w:ascii="宋体" w:hAnsi="宋体"/>
        </w:rPr>
      </w:pPr>
      <w:r>
        <w:rPr>
          <w:rFonts w:hint="eastAsia" w:ascii="宋体" w:hAnsi="宋体"/>
        </w:rPr>
        <w:t>附件六、物业管理服务监督考评表</w:t>
      </w:r>
    </w:p>
    <w:p>
      <w:pPr>
        <w:tabs>
          <w:tab w:val="left" w:pos="900"/>
        </w:tabs>
        <w:spacing w:line="480" w:lineRule="exact"/>
        <w:ind w:left="-19" w:firstLine="480" w:firstLineChars="200"/>
        <w:rPr>
          <w:rFonts w:ascii="宋体" w:hAnsi="宋体"/>
        </w:rPr>
      </w:pPr>
      <w:r>
        <w:rPr>
          <w:rFonts w:hint="eastAsia" w:ascii="宋体" w:hAnsi="宋体"/>
        </w:rPr>
        <w:t>附件七、中标通知书</w:t>
      </w:r>
    </w:p>
    <w:p>
      <w:pPr>
        <w:tabs>
          <w:tab w:val="left" w:pos="900"/>
        </w:tabs>
        <w:spacing w:line="480" w:lineRule="exact"/>
        <w:ind w:left="-19" w:firstLine="480" w:firstLineChars="200"/>
        <w:rPr>
          <w:rFonts w:ascii="宋体" w:hAnsi="宋体"/>
          <w:color w:val="000000" w:themeColor="text1"/>
          <w14:textFill>
            <w14:solidFill>
              <w14:schemeClr w14:val="tx1"/>
            </w14:solidFill>
          </w14:textFill>
        </w:rPr>
      </w:pPr>
    </w:p>
    <w:p>
      <w:pPr>
        <w:autoSpaceDE w:val="0"/>
        <w:autoSpaceDN w:val="0"/>
        <w:snapToGrid w:val="0"/>
        <w:spacing w:line="360" w:lineRule="auto"/>
        <w:ind w:left="-5"/>
        <w:jc w:val="center"/>
        <w:rPr>
          <w:rFonts w:hAnsi="宋体"/>
          <w:color w:val="000000" w:themeColor="text1"/>
          <w14:textFill>
            <w14:solidFill>
              <w14:schemeClr w14:val="tx1"/>
            </w14:solidFill>
          </w14:textFill>
        </w:rPr>
      </w:pPr>
    </w:p>
    <w:p>
      <w:pPr>
        <w:autoSpaceDE w:val="0"/>
        <w:autoSpaceDN w:val="0"/>
        <w:snapToGrid w:val="0"/>
        <w:spacing w:line="360" w:lineRule="auto"/>
        <w:ind w:left="-5"/>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（本行以下无正文）</w:t>
      </w:r>
    </w:p>
    <w:p>
      <w:pPr>
        <w:autoSpaceDE w:val="0"/>
        <w:autoSpaceDN w:val="0"/>
        <w:snapToGrid w:val="0"/>
        <w:spacing w:line="360" w:lineRule="auto"/>
        <w:rPr>
          <w:rFonts w:hAnsi="宋体"/>
          <w:color w:val="000000" w:themeColor="text1"/>
          <w14:textFill>
            <w14:solidFill>
              <w14:schemeClr w14:val="tx1"/>
            </w14:solidFill>
          </w14:textFill>
        </w:rPr>
      </w:pPr>
    </w:p>
    <w:p>
      <w:pPr>
        <w:autoSpaceDE w:val="0"/>
        <w:autoSpaceDN w:val="0"/>
        <w:snapToGrid w:val="0"/>
        <w:spacing w:line="360" w:lineRule="auto"/>
        <w:ind w:left="-5"/>
        <w:jc w:val="center"/>
        <w:rPr>
          <w:rFonts w:hAnsi="宋体"/>
          <w:color w:val="000000" w:themeColor="text1"/>
          <w14:textFill>
            <w14:solidFill>
              <w14:schemeClr w14:val="tx1"/>
            </w14:solidFill>
          </w14:textFill>
        </w:rPr>
      </w:pPr>
    </w:p>
    <w:p>
      <w:pPr>
        <w:autoSpaceDE w:val="0"/>
        <w:autoSpaceDN w:val="0"/>
        <w:snapToGrid w:val="0"/>
        <w:spacing w:line="720" w:lineRule="auto"/>
        <w:ind w:left="5280" w:hanging="5280" w:hangingChars="22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甲方：中国人民银行征信中心       </w:t>
      </w:r>
      <w:r>
        <w:rPr>
          <w:rFonts w:hint="eastAsia" w:hAnsi="宋体"/>
          <w:color w:val="000000" w:themeColor="text1"/>
          <w:lang w:val="en-US" w:eastAsia="zh-CN"/>
          <w14:textFill>
            <w14:solidFill>
              <w14:schemeClr w14:val="tx1"/>
            </w14:solidFill>
          </w14:textFill>
        </w:rPr>
        <w:t xml:space="preserve"> </w:t>
      </w:r>
      <w:r>
        <w:rPr>
          <w:rFonts w:hint="eastAsia" w:hAnsi="宋体"/>
          <w:color w:val="000000" w:themeColor="text1"/>
          <w14:textFill>
            <w14:solidFill>
              <w14:schemeClr w14:val="tx1"/>
            </w14:solidFill>
          </w14:textFill>
        </w:rPr>
        <w:t>乙方：海明华智慧城市运营管理有限公司</w:t>
      </w:r>
    </w:p>
    <w:p>
      <w:pPr>
        <w:autoSpaceDE w:val="0"/>
        <w:autoSpaceDN w:val="0"/>
        <w:snapToGrid w:val="0"/>
        <w:spacing w:line="720" w:lineRule="auto"/>
        <w:ind w:left="-5"/>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单位盖章： </w:t>
      </w:r>
      <w:r>
        <w:rPr>
          <w:rFonts w:hAnsi="宋体"/>
          <w:color w:val="000000" w:themeColor="text1"/>
          <w14:textFill>
            <w14:solidFill>
              <w14:schemeClr w14:val="tx1"/>
            </w14:solidFill>
          </w14:textFill>
        </w:rPr>
        <w:t xml:space="preserve">                       </w:t>
      </w:r>
      <w:r>
        <w:rPr>
          <w:rFonts w:hint="eastAsia" w:hAnsi="宋体"/>
          <w:color w:val="000000" w:themeColor="text1"/>
          <w14:textFill>
            <w14:solidFill>
              <w14:schemeClr w14:val="tx1"/>
            </w14:solidFill>
          </w14:textFill>
        </w:rPr>
        <w:t>单位盖章：</w:t>
      </w:r>
    </w:p>
    <w:p>
      <w:pPr>
        <w:autoSpaceDE w:val="0"/>
        <w:autoSpaceDN w:val="0"/>
        <w:snapToGrid w:val="0"/>
        <w:spacing w:line="720" w:lineRule="auto"/>
        <w:ind w:left="-5"/>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法定代表人/授权代表签字：         法定代表人/授权代表签字：               </w:t>
      </w:r>
    </w:p>
    <w:p>
      <w:pPr>
        <w:autoSpaceDE w:val="0"/>
        <w:autoSpaceDN w:val="0"/>
        <w:snapToGrid w:val="0"/>
        <w:spacing w:line="720" w:lineRule="auto"/>
        <w:ind w:left="-5"/>
        <w:jc w:val="left"/>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日期： </w:t>
      </w:r>
      <w:r>
        <w:rPr>
          <w:rFonts w:hAnsi="宋体"/>
          <w:color w:val="000000" w:themeColor="text1"/>
          <w14:textFill>
            <w14:solidFill>
              <w14:schemeClr w14:val="tx1"/>
            </w14:solidFill>
          </w14:textFill>
        </w:rPr>
        <w:t xml:space="preserve">                           </w:t>
      </w:r>
      <w:r>
        <w:rPr>
          <w:rFonts w:hint="eastAsia" w:hAnsi="宋体"/>
          <w:color w:val="000000" w:themeColor="text1"/>
          <w14:textFill>
            <w14:solidFill>
              <w14:schemeClr w14:val="tx1"/>
            </w14:solidFill>
          </w14:textFill>
        </w:rPr>
        <w:t>日期：</w:t>
      </w:r>
    </w:p>
    <w:p>
      <w:pPr>
        <w:autoSpaceDE w:val="0"/>
        <w:autoSpaceDN w:val="0"/>
        <w:snapToGrid w:val="0"/>
        <w:spacing w:line="720" w:lineRule="auto"/>
        <w:ind w:left="-5"/>
        <w:jc w:val="left"/>
        <w:rPr>
          <w:rFonts w:hint="eastAsia" w:hAnsi="宋体"/>
          <w:color w:val="000000" w:themeColor="text1"/>
          <w14:textFill>
            <w14:solidFill>
              <w14:schemeClr w14:val="tx1"/>
            </w14:solidFill>
          </w14:textFill>
        </w:rPr>
      </w:pPr>
    </w:p>
    <w:p>
      <w:pPr>
        <w:autoSpaceDE w:val="0"/>
        <w:autoSpaceDN w:val="0"/>
        <w:snapToGrid w:val="0"/>
        <w:spacing w:line="720" w:lineRule="auto"/>
        <w:ind w:left="-5"/>
        <w:jc w:val="left"/>
        <w:rPr>
          <w:rFonts w:hint="eastAsia" w:hAnsi="宋体"/>
          <w:color w:val="000000" w:themeColor="text1"/>
          <w14:textFill>
            <w14:solidFill>
              <w14:schemeClr w14:val="tx1"/>
            </w14:solidFill>
          </w14:textFill>
        </w:rPr>
      </w:pPr>
    </w:p>
    <w:p>
      <w:pPr>
        <w:autoSpaceDE w:val="0"/>
        <w:autoSpaceDN w:val="0"/>
        <w:snapToGrid w:val="0"/>
        <w:spacing w:line="720" w:lineRule="auto"/>
        <w:ind w:left="-5"/>
        <w:jc w:val="left"/>
        <w:rPr>
          <w:rFonts w:hint="eastAsia" w:hAnsi="宋体"/>
          <w:color w:val="000000" w:themeColor="text1"/>
          <w14:textFill>
            <w14:solidFill>
              <w14:schemeClr w14:val="tx1"/>
            </w14:solidFill>
          </w14:textFill>
        </w:rPr>
      </w:pPr>
    </w:p>
    <w:p>
      <w:pPr>
        <w:autoSpaceDE w:val="0"/>
        <w:autoSpaceDN w:val="0"/>
        <w:snapToGrid w:val="0"/>
        <w:spacing w:line="720" w:lineRule="auto"/>
        <w:ind w:left="-5"/>
        <w:jc w:val="left"/>
        <w:rPr>
          <w:rFonts w:hint="eastAsia" w:hAnsi="宋体"/>
          <w:color w:val="000000" w:themeColor="text1"/>
          <w14:textFill>
            <w14:solidFill>
              <w14:schemeClr w14:val="tx1"/>
            </w14:solidFill>
          </w14:textFill>
        </w:rPr>
      </w:pPr>
      <w:r>
        <w:drawing>
          <wp:inline distT="0" distB="0" distL="114300" distR="114300">
            <wp:extent cx="5124450" cy="7143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124450" cy="7143750"/>
                    </a:xfrm>
                    <a:prstGeom prst="rect">
                      <a:avLst/>
                    </a:prstGeom>
                    <a:noFill/>
                    <a:ln>
                      <a:noFill/>
                    </a:ln>
                  </pic:spPr>
                </pic:pic>
              </a:graphicData>
            </a:graphic>
          </wp:inline>
        </w:drawing>
      </w:r>
      <w:r>
        <w:drawing>
          <wp:inline distT="0" distB="0" distL="114300" distR="114300">
            <wp:extent cx="5067300" cy="7162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067300" cy="7162800"/>
                    </a:xfrm>
                    <a:prstGeom prst="rect">
                      <a:avLst/>
                    </a:prstGeom>
                    <a:noFill/>
                    <a:ln>
                      <a:noFill/>
                    </a:ln>
                  </pic:spPr>
                </pic:pic>
              </a:graphicData>
            </a:graphic>
          </wp:inline>
        </w:drawing>
      </w: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8E31DE"/>
    <w:multiLevelType w:val="singleLevel"/>
    <w:tmpl w:val="0E8E31D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zODhiMTZkNzI0Mzc3MjA1YzFiODU0MzUzNWUxYzEifQ=="/>
  </w:docVars>
  <w:rsids>
    <w:rsidRoot w:val="19556107"/>
    <w:rsid w:val="002D6BE7"/>
    <w:rsid w:val="003D2608"/>
    <w:rsid w:val="00B3431D"/>
    <w:rsid w:val="00B647BC"/>
    <w:rsid w:val="00C80189"/>
    <w:rsid w:val="00FC7025"/>
    <w:rsid w:val="18DC40E8"/>
    <w:rsid w:val="19556107"/>
    <w:rsid w:val="19A215AC"/>
    <w:rsid w:val="1ABE7431"/>
    <w:rsid w:val="237D431C"/>
    <w:rsid w:val="23945ED0"/>
    <w:rsid w:val="28C45BDD"/>
    <w:rsid w:val="40BC26A4"/>
    <w:rsid w:val="43AF1B55"/>
    <w:rsid w:val="488934E4"/>
    <w:rsid w:val="4C9646F1"/>
    <w:rsid w:val="4EDF78F2"/>
    <w:rsid w:val="50915639"/>
    <w:rsid w:val="67A2359D"/>
    <w:rsid w:val="6FAC7C04"/>
    <w:rsid w:val="7BDC5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99"/>
    <w:pPr>
      <w:ind w:firstLine="482"/>
    </w:pPr>
  </w:style>
  <w:style w:type="paragraph" w:styleId="3">
    <w:name w:val="annotation text"/>
    <w:basedOn w:val="1"/>
    <w:qFormat/>
    <w:uiPriority w:val="99"/>
    <w:pPr>
      <w:jc w:val="left"/>
    </w:pPr>
  </w:style>
  <w:style w:type="paragraph" w:styleId="4">
    <w:name w:val="footer"/>
    <w:basedOn w:val="1"/>
    <w:qFormat/>
    <w:uiPriority w:val="0"/>
    <w:pPr>
      <w:spacing w:line="240" w:lineRule="atLeast"/>
      <w:ind w:left="255" w:right="255"/>
      <w:jc w:val="left"/>
    </w:pPr>
  </w:style>
  <w:style w:type="paragraph" w:styleId="5">
    <w:name w:val="header"/>
    <w:basedOn w:val="1"/>
    <w:qFormat/>
    <w:uiPriority w:val="0"/>
    <w:pPr>
      <w:pBdr>
        <w:bottom w:val="double" w:color="auto" w:sz="6" w:space="2"/>
      </w:pBdr>
      <w:spacing w:line="240" w:lineRule="atLeast"/>
      <w:jc w:val="center"/>
    </w:pPr>
    <w:rPr>
      <w:b/>
      <w:sz w:val="21"/>
    </w:rPr>
  </w:style>
  <w:style w:type="character" w:styleId="8">
    <w:name w:val="page number"/>
    <w:qFormat/>
    <w:uiPriority w:val="0"/>
  </w:style>
  <w:style w:type="character" w:styleId="9">
    <w:name w:val="annotation reference"/>
    <w:qFormat/>
    <w:uiPriority w:val="99"/>
    <w:rPr>
      <w:sz w:val="21"/>
      <w:szCs w:val="21"/>
    </w:rPr>
  </w:style>
  <w:style w:type="paragraph" w:customStyle="1" w:styleId="10">
    <w:name w:val="p0"/>
    <w:basedOn w:val="1"/>
    <w:qFormat/>
    <w:uiPriority w:val="0"/>
    <w:pPr>
      <w:widowControl/>
      <w:adjustRightInd/>
      <w:spacing w:line="240" w:lineRule="auto"/>
      <w:textAlignment w:val="auto"/>
    </w:pPr>
    <w:rPr>
      <w:rFonts w:asciiTheme="minorHAnsi" w:hAnsiTheme="minorHAnsi" w:eastAsiaTheme="minorEastAsia" w:cstheme="minorBidi"/>
      <w:sz w:val="21"/>
      <w:szCs w:val="21"/>
    </w:rPr>
  </w:style>
  <w:style w:type="paragraph" w:customStyle="1" w:styleId="11">
    <w:name w:val="列出段落1"/>
    <w:basedOn w:val="1"/>
    <w:qFormat/>
    <w:uiPriority w:val="34"/>
    <w:pPr>
      <w:widowControl/>
      <w:adjustRightInd/>
      <w:spacing w:line="240" w:lineRule="auto"/>
      <w:ind w:firstLine="420" w:firstLineChars="200"/>
      <w:jc w:val="left"/>
      <w:textAlignment w:val="auto"/>
    </w:pPr>
    <w:rPr>
      <w:rFonts w:ascii="宋体" w:hAnsi="宋体" w:cs="宋体"/>
      <w:szCs w:val="24"/>
    </w:rPr>
  </w:style>
  <w:style w:type="paragraph" w:customStyle="1" w:styleId="12">
    <w:name w:val="_Style 37"/>
    <w:basedOn w:val="1"/>
    <w:next w:val="13"/>
    <w:qFormat/>
    <w:uiPriority w:val="99"/>
    <w:pPr>
      <w:adjustRightInd/>
      <w:spacing w:line="240" w:lineRule="auto"/>
      <w:ind w:firstLine="420" w:firstLineChars="200"/>
      <w:textAlignment w:val="auto"/>
    </w:pPr>
    <w:rPr>
      <w:rFonts w:asciiTheme="minorHAnsi" w:hAnsiTheme="minorHAnsi" w:eastAsiaTheme="minorEastAsia" w:cstheme="minorBidi"/>
      <w:kern w:val="2"/>
      <w:sz w:val="21"/>
      <w:szCs w:val="24"/>
      <w:lang w:val="zh-CN"/>
    </w:rPr>
  </w:style>
  <w:style w:type="paragraph" w:styleId="13">
    <w:name w:val="List Paragraph"/>
    <w:basedOn w:val="1"/>
    <w:qFormat/>
    <w:uiPriority w:val="99"/>
    <w:pPr>
      <w:adjustRightInd/>
      <w:spacing w:line="240" w:lineRule="auto"/>
      <w:ind w:firstLine="420" w:firstLineChars="200"/>
      <w:textAlignment w:val="auto"/>
    </w:pPr>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1683</Words>
  <Characters>9594</Characters>
  <Lines>79</Lines>
  <Paragraphs>22</Paragraphs>
  <TotalTime>5</TotalTime>
  <ScaleCrop>false</ScaleCrop>
  <LinksUpToDate>false</LinksUpToDate>
  <CharactersWithSpaces>11255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2024-06-24T06:36:00Z</dcterms:created>
  <dc:creator>行政事业部收文</dc:creator>
  <cp:lastModifiedBy>孙靓瑶</cp:lastModifiedBy>
  <cp:lastPrinted>2024-06-26T06:33:00Z</cp:lastPrinted>
  <dcterms:modified xsi:type="dcterms:W3CDTF">2024-08-14T07:49:39Z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88C15B296CD94986BB9404DED27966ED</vt:lpwstr>
  </property>
</Properties>
</file>