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ind w:left="420" w:hanging="420"/>
        <w:jc w:val="center"/>
        <w:rPr>
          <w:rFonts w:hint="eastAsia" w:ascii="宋体" w:hAnsi="宋体"/>
          <w:b/>
          <w:bCs/>
          <w:color w:val="000000"/>
          <w:sz w:val="36"/>
          <w:szCs w:val="32"/>
        </w:rPr>
      </w:pPr>
    </w:p>
    <w:p>
      <w:pPr>
        <w:autoSpaceDE w:val="0"/>
        <w:autoSpaceDN w:val="0"/>
        <w:ind w:left="420" w:hanging="420"/>
        <w:jc w:val="center"/>
        <w:rPr>
          <w:rFonts w:hint="eastAsia" w:ascii="宋体" w:hAnsi="宋体"/>
          <w:b/>
          <w:bCs/>
          <w:color w:val="000000"/>
          <w:sz w:val="36"/>
          <w:szCs w:val="32"/>
        </w:rPr>
      </w:pPr>
    </w:p>
    <w:p>
      <w:pPr>
        <w:autoSpaceDE w:val="0"/>
        <w:autoSpaceDN w:val="0"/>
        <w:ind w:left="420" w:hanging="420"/>
        <w:jc w:val="center"/>
        <w:rPr>
          <w:rFonts w:hint="eastAsia" w:ascii="宋体" w:hAnsi="宋体"/>
          <w:b/>
          <w:bCs/>
          <w:color w:val="000000"/>
          <w:sz w:val="36"/>
          <w:szCs w:val="32"/>
        </w:rPr>
      </w:pPr>
      <w:r>
        <w:rPr>
          <w:rFonts w:hint="eastAsia" w:ascii="宋体" w:hAnsi="宋体"/>
          <w:b/>
          <w:bCs/>
          <w:color w:val="000000"/>
          <w:sz w:val="36"/>
          <w:szCs w:val="32"/>
        </w:rPr>
        <w:t>中国人民银行征信中心2025年全流量回溯平台软件</w:t>
      </w:r>
    </w:p>
    <w:p>
      <w:pPr>
        <w:autoSpaceDE w:val="0"/>
        <w:autoSpaceDN w:val="0"/>
        <w:ind w:left="420" w:hanging="420"/>
        <w:jc w:val="center"/>
        <w:rPr>
          <w:rFonts w:hint="eastAsia" w:ascii="宋体" w:hAnsi="宋体"/>
          <w:b/>
          <w:bCs/>
          <w:color w:val="000000"/>
          <w:sz w:val="36"/>
          <w:szCs w:val="32"/>
        </w:rPr>
      </w:pPr>
      <w:r>
        <w:rPr>
          <w:rFonts w:hint="eastAsia" w:ascii="宋体" w:hAnsi="宋体"/>
          <w:b/>
          <w:bCs/>
          <w:color w:val="000000"/>
          <w:sz w:val="36"/>
          <w:szCs w:val="32"/>
        </w:rPr>
        <w:t>维保服务采购项目</w:t>
      </w:r>
      <w:r>
        <w:rPr>
          <w:rFonts w:ascii="宋体" w:hAnsi="宋体"/>
          <w:b/>
          <w:bCs/>
          <w:color w:val="000000"/>
          <w:sz w:val="36"/>
          <w:szCs w:val="32"/>
        </w:rPr>
        <w:t>合同</w:t>
      </w:r>
    </w:p>
    <w:p>
      <w:pPr>
        <w:autoSpaceDE w:val="0"/>
        <w:autoSpaceDN w:val="0"/>
        <w:ind w:left="420" w:hanging="420"/>
        <w:jc w:val="center"/>
        <w:rPr>
          <w:rFonts w:ascii="宋体" w:cs="宋体"/>
          <w:b/>
          <w:color w:val="000000"/>
          <w:szCs w:val="21"/>
        </w:rPr>
      </w:pPr>
    </w:p>
    <w:p>
      <w:pPr>
        <w:autoSpaceDE w:val="0"/>
        <w:autoSpaceDN w:val="0"/>
        <w:ind w:left="420" w:hanging="420"/>
        <w:jc w:val="center"/>
        <w:rPr>
          <w:rFonts w:ascii="宋体" w:cs="宋体"/>
          <w:b/>
          <w:color w:val="000000"/>
          <w:szCs w:val="21"/>
        </w:rPr>
      </w:pPr>
    </w:p>
    <w:p>
      <w:pPr>
        <w:autoSpaceDE w:val="0"/>
        <w:autoSpaceDN w:val="0"/>
        <w:ind w:left="420" w:hanging="420"/>
        <w:jc w:val="center"/>
        <w:rPr>
          <w:rFonts w:ascii="宋体" w:cs="宋体"/>
          <w:b/>
          <w:color w:val="000000"/>
          <w:sz w:val="32"/>
          <w:szCs w:val="21"/>
          <w:lang w:val="zh-CN"/>
        </w:rPr>
      </w:pPr>
    </w:p>
    <w:p>
      <w:pPr>
        <w:autoSpaceDE w:val="0"/>
        <w:autoSpaceDN w:val="0"/>
        <w:ind w:left="420" w:hanging="420"/>
        <w:jc w:val="center"/>
        <w:rPr>
          <w:rFonts w:hint="default" w:ascii="宋体" w:eastAsia="宋体" w:cs="宋体"/>
          <w:b/>
          <w:color w:val="000000"/>
          <w:sz w:val="32"/>
          <w:szCs w:val="21"/>
          <w:lang w:val="en-US" w:eastAsia="zh-CN"/>
        </w:rPr>
      </w:pPr>
      <w:r>
        <w:rPr>
          <w:rFonts w:hint="eastAsia" w:ascii="宋体" w:cs="宋体"/>
          <w:b/>
          <w:color w:val="000000"/>
          <w:sz w:val="32"/>
          <w:szCs w:val="21"/>
          <w:lang w:val="zh-CN"/>
        </w:rPr>
        <w:t>合同编号：ZXZX-202</w:t>
      </w:r>
      <w:r>
        <w:rPr>
          <w:rFonts w:hint="eastAsia" w:ascii="宋体" w:cs="宋体"/>
          <w:b/>
          <w:color w:val="000000"/>
          <w:sz w:val="32"/>
          <w:szCs w:val="21"/>
        </w:rPr>
        <w:t>4</w:t>
      </w:r>
      <w:r>
        <w:rPr>
          <w:rFonts w:hint="eastAsia" w:ascii="宋体" w:cs="宋体"/>
          <w:b/>
          <w:color w:val="000000"/>
          <w:sz w:val="32"/>
          <w:szCs w:val="21"/>
          <w:lang w:val="zh-CN"/>
        </w:rPr>
        <w:t>-</w:t>
      </w:r>
      <w:r>
        <w:rPr>
          <w:rFonts w:hint="eastAsia" w:ascii="宋体" w:cs="宋体"/>
          <w:b/>
          <w:color w:val="000000"/>
          <w:sz w:val="32"/>
          <w:szCs w:val="21"/>
          <w:lang w:val="en-US" w:eastAsia="zh-CN"/>
        </w:rPr>
        <w:t>0388</w:t>
      </w:r>
    </w:p>
    <w:p>
      <w:pPr>
        <w:autoSpaceDE w:val="0"/>
        <w:autoSpaceDN w:val="0"/>
        <w:ind w:left="420" w:hanging="420"/>
        <w:rPr>
          <w:rFonts w:ascii="宋体" w:cs="宋体"/>
          <w:b/>
          <w:bCs/>
          <w:color w:val="000000"/>
          <w:lang w:val="zh-CN"/>
        </w:rPr>
      </w:pPr>
    </w:p>
    <w:p>
      <w:pPr>
        <w:autoSpaceDE w:val="0"/>
        <w:autoSpaceDN w:val="0"/>
        <w:ind w:left="420" w:hanging="420"/>
        <w:rPr>
          <w:rFonts w:ascii="宋体" w:cs="宋体"/>
          <w:b/>
          <w:bCs/>
          <w:color w:val="000000"/>
          <w:lang w:val="zh-CN"/>
        </w:rPr>
      </w:pPr>
    </w:p>
    <w:p>
      <w:pPr>
        <w:autoSpaceDE w:val="0"/>
        <w:autoSpaceDN w:val="0"/>
        <w:ind w:left="420" w:hanging="420"/>
        <w:rPr>
          <w:rFonts w:ascii="宋体" w:cs="宋体"/>
          <w:b/>
          <w:bCs/>
          <w:color w:val="000000"/>
          <w:lang w:val="zh-CN"/>
        </w:rPr>
      </w:pPr>
    </w:p>
    <w:p>
      <w:pPr>
        <w:autoSpaceDE w:val="0"/>
        <w:autoSpaceDN w:val="0"/>
        <w:ind w:left="420" w:hanging="420"/>
        <w:rPr>
          <w:rFonts w:ascii="宋体" w:cs="宋体"/>
          <w:b/>
          <w:bCs/>
          <w:color w:val="000000"/>
          <w:lang w:val="zh-CN"/>
        </w:rPr>
      </w:pPr>
    </w:p>
    <w:p>
      <w:pPr>
        <w:autoSpaceDE w:val="0"/>
        <w:autoSpaceDN w:val="0"/>
        <w:rPr>
          <w:rFonts w:ascii="宋体" w:cs="宋体"/>
          <w:b/>
          <w:bCs/>
          <w:color w:val="000000"/>
          <w:lang w:val="zh-CN"/>
        </w:rPr>
      </w:pPr>
    </w:p>
    <w:p>
      <w:pPr>
        <w:autoSpaceDE w:val="0"/>
        <w:autoSpaceDN w:val="0"/>
        <w:jc w:val="center"/>
        <w:rPr>
          <w:rFonts w:ascii="宋体" w:cs="宋体"/>
          <w:b/>
          <w:bCs/>
          <w:color w:val="000000"/>
          <w:sz w:val="24"/>
          <w:szCs w:val="24"/>
          <w:lang w:val="zh-CN"/>
        </w:rPr>
      </w:pPr>
    </w:p>
    <w:p>
      <w:pPr>
        <w:autoSpaceDE w:val="0"/>
        <w:autoSpaceDN w:val="0"/>
        <w:jc w:val="center"/>
        <w:rPr>
          <w:rFonts w:ascii="宋体" w:cs="宋体"/>
          <w:b/>
          <w:bCs/>
          <w:color w:val="000000"/>
          <w:sz w:val="24"/>
          <w:szCs w:val="24"/>
          <w:lang w:val="zh-CN"/>
        </w:rPr>
      </w:pPr>
    </w:p>
    <w:p>
      <w:pPr>
        <w:autoSpaceDE w:val="0"/>
        <w:autoSpaceDN w:val="0"/>
        <w:jc w:val="center"/>
        <w:rPr>
          <w:rFonts w:ascii="宋体" w:cs="宋体"/>
          <w:b/>
          <w:bCs/>
          <w:color w:val="000000"/>
          <w:sz w:val="24"/>
          <w:szCs w:val="24"/>
          <w:lang w:val="zh-CN"/>
        </w:rPr>
      </w:pPr>
    </w:p>
    <w:p>
      <w:pPr>
        <w:autoSpaceDE w:val="0"/>
        <w:autoSpaceDN w:val="0"/>
        <w:jc w:val="center"/>
        <w:rPr>
          <w:rFonts w:ascii="宋体" w:cs="宋体"/>
          <w:b/>
          <w:bCs/>
          <w:color w:val="000000"/>
          <w:sz w:val="24"/>
          <w:szCs w:val="24"/>
          <w:lang w:val="zh-CN"/>
        </w:rPr>
      </w:pPr>
    </w:p>
    <w:p>
      <w:pPr>
        <w:autoSpaceDE w:val="0"/>
        <w:autoSpaceDN w:val="0"/>
        <w:jc w:val="center"/>
        <w:rPr>
          <w:rFonts w:ascii="宋体" w:cs="宋体"/>
          <w:b/>
          <w:bCs/>
          <w:color w:val="000000"/>
          <w:sz w:val="24"/>
          <w:szCs w:val="24"/>
          <w:lang w:val="zh-CN"/>
        </w:rPr>
      </w:pPr>
      <w:r>
        <w:rPr>
          <w:rFonts w:hint="eastAsia" w:ascii="宋体" w:cs="宋体"/>
          <w:b/>
          <w:bCs/>
          <w:color w:val="000000"/>
          <w:sz w:val="24"/>
          <w:szCs w:val="24"/>
          <w:lang w:val="zh-CN"/>
        </w:rPr>
        <w:t>甲方：中国人民银行征信中心</w:t>
      </w:r>
    </w:p>
    <w:p>
      <w:pPr>
        <w:autoSpaceDE w:val="0"/>
        <w:autoSpaceDN w:val="0"/>
        <w:jc w:val="center"/>
        <w:rPr>
          <w:rFonts w:ascii="宋体" w:cs="宋体"/>
          <w:b/>
          <w:bCs/>
          <w:color w:val="000000"/>
          <w:sz w:val="24"/>
          <w:szCs w:val="24"/>
          <w:lang w:val="zh-CN"/>
        </w:rPr>
      </w:pPr>
    </w:p>
    <w:p>
      <w:pPr>
        <w:autoSpaceDE w:val="0"/>
        <w:autoSpaceDN w:val="0"/>
        <w:ind w:firstLine="3132" w:firstLineChars="1300"/>
        <w:rPr>
          <w:rFonts w:ascii="宋体" w:cs="宋体"/>
          <w:b/>
          <w:bCs/>
          <w:color w:val="000000"/>
          <w:sz w:val="24"/>
          <w:szCs w:val="24"/>
          <w:highlight w:val="yellow"/>
          <w:lang w:val="zh-CN"/>
        </w:rPr>
      </w:pPr>
      <w:r>
        <w:rPr>
          <w:rFonts w:hint="eastAsia" w:ascii="宋体" w:cs="宋体"/>
          <w:b/>
          <w:bCs/>
          <w:color w:val="000000"/>
          <w:sz w:val="24"/>
          <w:szCs w:val="24"/>
          <w:highlight w:val="none"/>
          <w:lang w:val="zh-CN"/>
        </w:rPr>
        <w:t>乙方：</w:t>
      </w:r>
      <w:r>
        <w:rPr>
          <w:rFonts w:hint="eastAsia" w:ascii="宋体" w:cs="宋体"/>
          <w:b/>
          <w:bCs/>
          <w:color w:val="000000"/>
          <w:sz w:val="24"/>
          <w:szCs w:val="24"/>
          <w:lang w:val="zh-CN"/>
        </w:rPr>
        <w:t>北京神州新桥科技有限公司</w:t>
      </w:r>
    </w:p>
    <w:p>
      <w:pPr>
        <w:autoSpaceDE w:val="0"/>
        <w:autoSpaceDN w:val="0"/>
        <w:ind w:left="420" w:hanging="420"/>
        <w:jc w:val="center"/>
        <w:rPr>
          <w:rFonts w:ascii="宋体" w:cs="宋体"/>
          <w:b/>
          <w:bCs/>
          <w:color w:val="000000"/>
          <w:lang w:val="zh-CN"/>
        </w:rPr>
      </w:pPr>
    </w:p>
    <w:p>
      <w:pPr>
        <w:autoSpaceDE w:val="0"/>
        <w:autoSpaceDN w:val="0"/>
        <w:ind w:left="420" w:hanging="420"/>
        <w:jc w:val="center"/>
        <w:rPr>
          <w:rFonts w:ascii="宋体" w:cs="宋体"/>
          <w:b/>
          <w:bCs/>
          <w:color w:val="000000"/>
          <w:lang w:val="zh-CN"/>
        </w:rPr>
      </w:pPr>
    </w:p>
    <w:p>
      <w:pPr>
        <w:autoSpaceDE w:val="0"/>
        <w:autoSpaceDN w:val="0"/>
        <w:ind w:left="420" w:hanging="420"/>
        <w:jc w:val="center"/>
        <w:rPr>
          <w:rFonts w:ascii="宋体" w:cs="宋体"/>
          <w:b/>
          <w:bCs/>
          <w:color w:val="000000"/>
          <w:lang w:val="zh-CN"/>
        </w:rPr>
      </w:pPr>
    </w:p>
    <w:p>
      <w:pPr>
        <w:pStyle w:val="2"/>
        <w:rPr>
          <w:rFonts w:ascii="宋体" w:cs="宋体"/>
          <w:bCs/>
          <w:color w:val="000000"/>
          <w:lang w:val="zh-CN"/>
        </w:rPr>
      </w:pPr>
    </w:p>
    <w:p>
      <w:pPr>
        <w:rPr>
          <w:rFonts w:ascii="宋体" w:cs="宋体"/>
          <w:b/>
          <w:bCs/>
          <w:color w:val="000000"/>
          <w:lang w:val="zh-CN"/>
        </w:rPr>
      </w:pPr>
    </w:p>
    <w:p>
      <w:pPr>
        <w:pStyle w:val="2"/>
        <w:rPr>
          <w:rFonts w:ascii="宋体" w:cs="宋体"/>
          <w:bCs/>
          <w:color w:val="000000"/>
          <w:lang w:val="zh-CN"/>
        </w:rPr>
      </w:pPr>
    </w:p>
    <w:p>
      <w:pPr>
        <w:rPr>
          <w:lang w:val="zh-CN"/>
        </w:rPr>
      </w:pPr>
    </w:p>
    <w:p>
      <w:pPr>
        <w:widowControl/>
        <w:jc w:val="center"/>
        <w:rPr>
          <w:rFonts w:ascii="宋体" w:cs="宋体"/>
          <w:b/>
          <w:bCs/>
          <w:color w:val="000000"/>
          <w:sz w:val="24"/>
          <w:szCs w:val="24"/>
          <w:lang w:val="zh-CN"/>
        </w:rPr>
      </w:pPr>
      <w:r>
        <w:rPr>
          <w:rFonts w:hint="eastAsia" w:ascii="宋体" w:cs="宋体"/>
          <w:b/>
          <w:bCs/>
          <w:color w:val="000000"/>
          <w:sz w:val="24"/>
          <w:szCs w:val="24"/>
          <w:lang w:val="zh-CN"/>
        </w:rPr>
        <w:t>二〇二</w:t>
      </w:r>
      <w:r>
        <w:rPr>
          <w:rFonts w:hint="eastAsia" w:ascii="宋体" w:cs="宋体"/>
          <w:b/>
          <w:bCs/>
          <w:color w:val="000000"/>
          <w:sz w:val="24"/>
          <w:szCs w:val="24"/>
        </w:rPr>
        <w:t>四</w:t>
      </w:r>
      <w:r>
        <w:rPr>
          <w:rFonts w:hint="eastAsia" w:ascii="宋体" w:cs="宋体"/>
          <w:b/>
          <w:bCs/>
          <w:color w:val="000000"/>
          <w:sz w:val="24"/>
          <w:szCs w:val="24"/>
          <w:lang w:val="zh-CN"/>
        </w:rPr>
        <w:t>年</w:t>
      </w:r>
      <w:r>
        <w:rPr>
          <w:rFonts w:hint="eastAsia" w:ascii="宋体" w:cs="宋体"/>
          <w:b/>
          <w:bCs/>
          <w:color w:val="000000"/>
          <w:sz w:val="24"/>
          <w:szCs w:val="24"/>
          <w:lang w:val="en-US" w:eastAsia="zh-CN"/>
        </w:rPr>
        <w:t>十二</w:t>
      </w:r>
      <w:r>
        <w:rPr>
          <w:rFonts w:hint="eastAsia" w:ascii="宋体" w:cs="宋体"/>
          <w:b/>
          <w:bCs/>
          <w:color w:val="000000"/>
          <w:sz w:val="24"/>
          <w:szCs w:val="24"/>
          <w:lang w:val="zh-CN"/>
        </w:rPr>
        <w:t>月</w:t>
      </w:r>
    </w:p>
    <w:p>
      <w:pPr>
        <w:jc w:val="center"/>
        <w:rPr>
          <w:rFonts w:hint="eastAsia" w:ascii="宋体" w:hAnsi="宋体"/>
          <w:b/>
          <w:color w:val="000000"/>
          <w:sz w:val="24"/>
          <w:szCs w:val="24"/>
        </w:rPr>
      </w:pPr>
    </w:p>
    <w:p>
      <w:pPr>
        <w:jc w:val="center"/>
        <w:rPr>
          <w:rFonts w:eastAsia="黑体"/>
          <w:b/>
          <w:bCs/>
          <w:color w:val="000000"/>
          <w:sz w:val="24"/>
          <w:szCs w:val="24"/>
        </w:rPr>
      </w:pPr>
      <w:r>
        <w:rPr>
          <w:rFonts w:hint="eastAsia" w:ascii="宋体" w:hAnsi="宋体"/>
          <w:b/>
          <w:color w:val="000000"/>
          <w:sz w:val="24"/>
          <w:szCs w:val="24"/>
        </w:rPr>
        <w:t>签订地点：上海</w:t>
      </w:r>
    </w:p>
    <w:p>
      <w:pPr>
        <w:spacing w:line="360" w:lineRule="auto"/>
        <w:rPr>
          <w:rFonts w:hint="eastAsia" w:ascii="宋体" w:hAnsi="宋体"/>
          <w:bCs/>
          <w:color w:val="000000"/>
        </w:rPr>
        <w:sectPr>
          <w:footerReference r:id="rId4" w:type="first"/>
          <w:footerReference r:id="rId3" w:type="default"/>
          <w:pgSz w:w="11905" w:h="16838"/>
          <w:pgMar w:top="1247" w:right="1247" w:bottom="1247" w:left="1247" w:header="850" w:footer="1344" w:gutter="0"/>
          <w:cols w:space="0" w:num="1"/>
          <w:docGrid w:type="lines" w:linePitch="319" w:charSpace="0"/>
        </w:sectPr>
      </w:pPr>
    </w:p>
    <w:p>
      <w:pPr>
        <w:pStyle w:val="13"/>
        <w:ind w:firstLine="482" w:firstLineChars="200"/>
        <w:rPr>
          <w:rFonts w:hint="eastAsia" w:ascii="宋体" w:hAnsi="宋体"/>
          <w:b/>
          <w:bCs/>
          <w:sz w:val="24"/>
          <w:szCs w:val="24"/>
        </w:rPr>
      </w:pPr>
    </w:p>
    <w:p>
      <w:pPr>
        <w:pStyle w:val="13"/>
        <w:ind w:firstLine="482" w:firstLineChars="200"/>
        <w:rPr>
          <w:rFonts w:hint="eastAsia" w:ascii="宋体" w:hAnsi="宋体"/>
          <w:b/>
          <w:bCs/>
          <w:sz w:val="24"/>
          <w:szCs w:val="24"/>
        </w:rPr>
      </w:pPr>
      <w:r>
        <w:rPr>
          <w:rFonts w:hint="eastAsia" w:ascii="宋体" w:hAnsi="宋体"/>
          <w:b/>
          <w:bCs/>
          <w:sz w:val="24"/>
          <w:szCs w:val="24"/>
        </w:rPr>
        <w:t>甲    方：中国人民银行征信中心</w:t>
      </w:r>
    </w:p>
    <w:p>
      <w:pPr>
        <w:pStyle w:val="12"/>
        <w:rPr>
          <w:rFonts w:hint="eastAsia" w:asciiTheme="minorEastAsia" w:hAnsiTheme="minorEastAsia" w:eastAsiaTheme="minorEastAsia"/>
          <w:bCs/>
        </w:rPr>
      </w:pPr>
      <w:r>
        <w:rPr>
          <w:rFonts w:hint="eastAsia" w:asciiTheme="minorEastAsia" w:hAnsiTheme="minorEastAsia" w:eastAsiaTheme="minorEastAsia"/>
          <w:bCs/>
        </w:rPr>
        <w:t>法定代表人：</w:t>
      </w:r>
    </w:p>
    <w:p>
      <w:pPr>
        <w:pStyle w:val="12"/>
        <w:rPr>
          <w:rFonts w:hint="eastAsia" w:asciiTheme="minorEastAsia" w:hAnsiTheme="minorEastAsia" w:eastAsiaTheme="minorEastAsia"/>
          <w:bCs/>
        </w:rPr>
      </w:pPr>
      <w:r>
        <w:rPr>
          <w:rFonts w:hint="eastAsia" w:asciiTheme="minorEastAsia" w:hAnsiTheme="minorEastAsia" w:eastAsiaTheme="minorEastAsia"/>
          <w:bCs/>
        </w:rPr>
        <w:t>地址：</w:t>
      </w:r>
    </w:p>
    <w:p>
      <w:pPr>
        <w:pStyle w:val="12"/>
        <w:rPr>
          <w:rFonts w:hint="eastAsia" w:asciiTheme="minorEastAsia" w:hAnsiTheme="minorEastAsia" w:eastAsiaTheme="minorEastAsia"/>
          <w:bCs/>
        </w:rPr>
      </w:pPr>
      <w:r>
        <w:rPr>
          <w:rFonts w:hint="eastAsia" w:asciiTheme="minorEastAsia" w:hAnsiTheme="minorEastAsia" w:eastAsiaTheme="minorEastAsia"/>
          <w:bCs/>
        </w:rPr>
        <w:t>邮政编码：</w:t>
      </w:r>
    </w:p>
    <w:p>
      <w:pPr>
        <w:pStyle w:val="12"/>
        <w:rPr>
          <w:rFonts w:hint="eastAsia" w:asciiTheme="minorEastAsia" w:hAnsiTheme="minorEastAsia" w:eastAsiaTheme="minorEastAsia"/>
          <w:bCs/>
        </w:rPr>
      </w:pPr>
      <w:r>
        <w:rPr>
          <w:rFonts w:hint="eastAsia" w:asciiTheme="minorEastAsia" w:hAnsiTheme="minorEastAsia" w:eastAsiaTheme="minorEastAsia"/>
          <w:bCs/>
        </w:rPr>
        <w:t>联系人：</w:t>
      </w:r>
    </w:p>
    <w:p>
      <w:pPr>
        <w:pStyle w:val="12"/>
        <w:rPr>
          <w:rFonts w:hint="eastAsia" w:asciiTheme="minorEastAsia" w:hAnsiTheme="minorEastAsia" w:eastAsiaTheme="minorEastAsia"/>
          <w:bCs/>
        </w:rPr>
      </w:pPr>
      <w:r>
        <w:rPr>
          <w:rFonts w:hint="eastAsia" w:asciiTheme="minorEastAsia" w:hAnsiTheme="minorEastAsia" w:eastAsiaTheme="minorEastAsia"/>
          <w:bCs/>
        </w:rPr>
        <w:t>联系电话：</w:t>
      </w:r>
    </w:p>
    <w:p>
      <w:pPr>
        <w:pStyle w:val="12"/>
        <w:rPr>
          <w:rFonts w:hint="eastAsia" w:asciiTheme="minorEastAsia" w:hAnsiTheme="minorEastAsia" w:eastAsiaTheme="minorEastAsia"/>
          <w:bCs/>
        </w:rPr>
      </w:pPr>
      <w:r>
        <w:rPr>
          <w:rFonts w:hint="eastAsia" w:asciiTheme="minorEastAsia" w:hAnsiTheme="minorEastAsia" w:eastAsiaTheme="minorEastAsia"/>
          <w:bCs/>
        </w:rPr>
        <w:t>开户银行：</w:t>
      </w:r>
    </w:p>
    <w:p>
      <w:pPr>
        <w:pStyle w:val="12"/>
        <w:rPr>
          <w:rFonts w:hint="eastAsia" w:asciiTheme="minorEastAsia" w:hAnsiTheme="minorEastAsia" w:eastAsiaTheme="minorEastAsia"/>
          <w:bCs/>
        </w:rPr>
      </w:pPr>
      <w:r>
        <w:rPr>
          <w:rFonts w:hint="eastAsia" w:asciiTheme="minorEastAsia" w:hAnsiTheme="minorEastAsia" w:eastAsiaTheme="minorEastAsia"/>
          <w:bCs/>
        </w:rPr>
        <w:t>银行账号：</w:t>
      </w:r>
    </w:p>
    <w:p>
      <w:pPr>
        <w:rPr>
          <w:rFonts w:hint="eastAsia" w:asciiTheme="minorEastAsia" w:hAnsiTheme="minorEastAsia"/>
          <w:b/>
          <w:sz w:val="24"/>
          <w:szCs w:val="24"/>
        </w:rPr>
      </w:pPr>
    </w:p>
    <w:p>
      <w:pPr>
        <w:rPr>
          <w:rFonts w:hint="eastAsia" w:asciiTheme="minorEastAsia" w:hAnsiTheme="minorEastAsia"/>
          <w:b/>
          <w:sz w:val="24"/>
          <w:szCs w:val="24"/>
        </w:rPr>
      </w:pPr>
    </w:p>
    <w:p>
      <w:pPr>
        <w:rPr>
          <w:rFonts w:hint="eastAsia" w:asciiTheme="minorEastAsia" w:hAnsiTheme="minorEastAsia"/>
          <w:b/>
          <w:sz w:val="24"/>
          <w:szCs w:val="24"/>
        </w:rPr>
      </w:pPr>
    </w:p>
    <w:p>
      <w:pPr>
        <w:pStyle w:val="12"/>
        <w:rPr>
          <w:rFonts w:hint="eastAsia" w:asciiTheme="minorEastAsia" w:hAnsiTheme="minorEastAsia" w:eastAsiaTheme="minorEastAsia"/>
          <w:b/>
          <w:bCs/>
          <w:highlight w:val="none"/>
        </w:rPr>
      </w:pPr>
      <w:r>
        <w:rPr>
          <w:rFonts w:hint="eastAsia" w:asciiTheme="minorEastAsia" w:hAnsiTheme="minorEastAsia" w:eastAsiaTheme="minorEastAsia"/>
          <w:b/>
          <w:bCs/>
          <w:highlight w:val="none"/>
        </w:rPr>
        <w:t>乙方：</w:t>
      </w:r>
      <w:r>
        <w:rPr>
          <w:rFonts w:hint="eastAsia" w:asciiTheme="minorEastAsia" w:hAnsiTheme="minorEastAsia" w:eastAsiaTheme="minorEastAsia"/>
          <w:b/>
          <w:bCs/>
        </w:rPr>
        <w:t>北京神州新桥科技有限公司</w:t>
      </w:r>
    </w:p>
    <w:p>
      <w:pPr>
        <w:pStyle w:val="12"/>
        <w:rPr>
          <w:rFonts w:hint="eastAsia" w:asciiTheme="minorEastAsia" w:hAnsiTheme="minorEastAsia" w:eastAsiaTheme="minorEastAsia"/>
          <w:bCs/>
          <w:highlight w:val="none"/>
        </w:rPr>
      </w:pPr>
      <w:r>
        <w:rPr>
          <w:rFonts w:hint="eastAsia" w:asciiTheme="minorEastAsia" w:hAnsiTheme="minorEastAsia" w:eastAsiaTheme="minorEastAsia"/>
          <w:bCs/>
          <w:highlight w:val="none"/>
        </w:rPr>
        <w:t>法定代表人：</w:t>
      </w:r>
    </w:p>
    <w:p>
      <w:pPr>
        <w:pStyle w:val="12"/>
        <w:rPr>
          <w:rFonts w:hint="eastAsia" w:asciiTheme="minorEastAsia" w:hAnsiTheme="minorEastAsia" w:eastAsiaTheme="minorEastAsia"/>
          <w:bCs/>
          <w:highlight w:val="none"/>
        </w:rPr>
      </w:pPr>
      <w:r>
        <w:rPr>
          <w:rFonts w:hint="eastAsia" w:asciiTheme="minorEastAsia" w:hAnsiTheme="minorEastAsia" w:eastAsiaTheme="minorEastAsia"/>
          <w:bCs/>
          <w:highlight w:val="none"/>
        </w:rPr>
        <w:t>地址：</w:t>
      </w:r>
    </w:p>
    <w:p>
      <w:pPr>
        <w:pStyle w:val="12"/>
        <w:rPr>
          <w:rFonts w:hint="eastAsia" w:asciiTheme="minorEastAsia" w:hAnsiTheme="minorEastAsia" w:eastAsiaTheme="minorEastAsia"/>
          <w:bCs/>
          <w:highlight w:val="none"/>
        </w:rPr>
      </w:pPr>
      <w:r>
        <w:rPr>
          <w:rFonts w:hint="eastAsia" w:asciiTheme="minorEastAsia" w:hAnsiTheme="minorEastAsia" w:eastAsiaTheme="minorEastAsia"/>
          <w:bCs/>
          <w:highlight w:val="none"/>
        </w:rPr>
        <w:t>邮政编码：</w:t>
      </w:r>
    </w:p>
    <w:p>
      <w:pPr>
        <w:pStyle w:val="12"/>
        <w:rPr>
          <w:rFonts w:hint="eastAsia" w:asciiTheme="minorEastAsia" w:hAnsiTheme="minorEastAsia" w:eastAsiaTheme="minorEastAsia"/>
          <w:bCs/>
          <w:highlight w:val="none"/>
        </w:rPr>
      </w:pPr>
      <w:r>
        <w:rPr>
          <w:rFonts w:hint="eastAsia" w:asciiTheme="minorEastAsia" w:hAnsiTheme="minorEastAsia" w:eastAsiaTheme="minorEastAsia"/>
          <w:bCs/>
          <w:highlight w:val="none"/>
        </w:rPr>
        <w:t>联系人：</w:t>
      </w:r>
    </w:p>
    <w:p>
      <w:pPr>
        <w:pStyle w:val="12"/>
        <w:rPr>
          <w:rFonts w:hint="eastAsia" w:asciiTheme="minorEastAsia" w:hAnsiTheme="minorEastAsia" w:eastAsiaTheme="minorEastAsia"/>
          <w:bCs/>
          <w:highlight w:val="none"/>
        </w:rPr>
      </w:pPr>
      <w:r>
        <w:rPr>
          <w:rFonts w:hint="eastAsia" w:asciiTheme="minorEastAsia" w:hAnsiTheme="minorEastAsia" w:eastAsiaTheme="minorEastAsia"/>
          <w:bCs/>
          <w:highlight w:val="none"/>
        </w:rPr>
        <w:t>联系电话：</w:t>
      </w:r>
    </w:p>
    <w:p>
      <w:pPr>
        <w:pStyle w:val="12"/>
        <w:rPr>
          <w:rFonts w:hint="eastAsia" w:asciiTheme="minorEastAsia" w:hAnsiTheme="minorEastAsia" w:eastAsiaTheme="minorEastAsia"/>
          <w:bCs/>
          <w:highlight w:val="none"/>
        </w:rPr>
      </w:pPr>
      <w:r>
        <w:rPr>
          <w:rFonts w:hint="eastAsia" w:asciiTheme="minorEastAsia" w:hAnsiTheme="minorEastAsia" w:eastAsiaTheme="minorEastAsia"/>
          <w:bCs/>
          <w:highlight w:val="none"/>
        </w:rPr>
        <w:t>传真号码：</w:t>
      </w:r>
    </w:p>
    <w:p>
      <w:pPr>
        <w:pStyle w:val="12"/>
        <w:rPr>
          <w:rFonts w:hint="eastAsia" w:asciiTheme="minorEastAsia" w:hAnsiTheme="minorEastAsia" w:eastAsiaTheme="minorEastAsia"/>
          <w:bCs/>
          <w:highlight w:val="none"/>
        </w:rPr>
      </w:pPr>
      <w:r>
        <w:rPr>
          <w:rFonts w:hint="eastAsia" w:asciiTheme="minorEastAsia" w:hAnsiTheme="minorEastAsia" w:eastAsiaTheme="minorEastAsia"/>
          <w:bCs/>
          <w:highlight w:val="none"/>
        </w:rPr>
        <w:t>开户银行：</w:t>
      </w:r>
    </w:p>
    <w:p>
      <w:pPr>
        <w:pStyle w:val="12"/>
        <w:rPr>
          <w:rFonts w:hint="eastAsia" w:asciiTheme="minorEastAsia" w:hAnsiTheme="minorEastAsia" w:eastAsiaTheme="minorEastAsia"/>
          <w:bCs/>
          <w:highlight w:val="none"/>
        </w:rPr>
      </w:pPr>
      <w:r>
        <w:rPr>
          <w:rFonts w:hint="eastAsia" w:asciiTheme="minorEastAsia" w:hAnsiTheme="minorEastAsia" w:eastAsiaTheme="minorEastAsia"/>
          <w:bCs/>
          <w:highlight w:val="none"/>
        </w:rPr>
        <w:t>银行账号：</w:t>
      </w:r>
    </w:p>
    <w:p>
      <w:pPr>
        <w:pStyle w:val="12"/>
        <w:rPr>
          <w:rFonts w:hint="eastAsia" w:asciiTheme="minorEastAsia" w:hAnsiTheme="minorEastAsia" w:eastAsiaTheme="minorEastAsia"/>
          <w:bCs/>
          <w:highlight w:val="yellow"/>
        </w:rPr>
        <w:sectPr>
          <w:footerReference r:id="rId5" w:type="default"/>
          <w:pgSz w:w="11905" w:h="16838"/>
          <w:pgMar w:top="1247" w:right="1247" w:bottom="1247" w:left="1247" w:header="850" w:footer="1344" w:gutter="0"/>
          <w:cols w:space="0" w:num="1"/>
          <w:docGrid w:type="lines" w:linePitch="319" w:charSpace="0"/>
        </w:sectPr>
      </w:pPr>
      <w:r>
        <w:rPr>
          <w:rFonts w:hint="eastAsia" w:asciiTheme="minorEastAsia" w:hAnsiTheme="minorEastAsia" w:eastAsiaTheme="minorEastAsia"/>
          <w:bCs/>
          <w:highlight w:val="none"/>
        </w:rPr>
        <w:t>税号：</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甲乙双方依据“中国人民银行征信中心2025年中间件及全流量回溯平台软件等维保服务采购项目（项目编号：0733-24135461/2）”谈判采购结果，本着自愿、平等、互利、诚实信用的原则，</w:t>
      </w:r>
      <w:r>
        <w:rPr>
          <w:rFonts w:ascii="宋体" w:hAnsi="宋体"/>
          <w:color w:val="000000"/>
          <w:sz w:val="24"/>
          <w:szCs w:val="24"/>
        </w:rPr>
        <w:t>通过友好协商，现授权各自代表按照下述条款签署本合同</w:t>
      </w:r>
      <w:r>
        <w:rPr>
          <w:rFonts w:hint="eastAsia" w:ascii="宋体" w:hAnsi="宋体"/>
          <w:color w:val="000000"/>
          <w:sz w:val="24"/>
          <w:szCs w:val="24"/>
        </w:rPr>
        <w:t>。</w:t>
      </w:r>
    </w:p>
    <w:p>
      <w:pPr>
        <w:spacing w:before="156" w:beforeLines="50" w:line="360" w:lineRule="auto"/>
        <w:jc w:val="center"/>
        <w:outlineLvl w:val="1"/>
        <w:rPr>
          <w:b/>
          <w:bCs/>
          <w:color w:val="000000"/>
          <w:sz w:val="28"/>
        </w:rPr>
      </w:pPr>
      <w:r>
        <w:rPr>
          <w:rFonts w:hint="eastAsia"/>
          <w:b/>
          <w:bCs/>
          <w:color w:val="000000"/>
          <w:sz w:val="28"/>
        </w:rPr>
        <w:t>第一部分 合同的组成</w:t>
      </w:r>
    </w:p>
    <w:p>
      <w:pPr>
        <w:autoSpaceDE w:val="0"/>
        <w:autoSpaceDN w:val="0"/>
        <w:spacing w:line="360" w:lineRule="auto"/>
        <w:ind w:left="562"/>
        <w:rPr>
          <w:rFonts w:ascii="宋体" w:cs="宋体"/>
          <w:b/>
          <w:bCs/>
          <w:sz w:val="24"/>
          <w:szCs w:val="24"/>
        </w:rPr>
      </w:pPr>
      <w:r>
        <w:rPr>
          <w:rFonts w:hint="eastAsia" w:ascii="宋体" w:cs="宋体"/>
          <w:sz w:val="24"/>
          <w:szCs w:val="24"/>
        </w:rPr>
        <w:t>1.1</w:t>
      </w:r>
      <w:r>
        <w:rPr>
          <w:rFonts w:hint="eastAsia" w:ascii="宋体" w:cs="宋体"/>
          <w:sz w:val="24"/>
          <w:szCs w:val="24"/>
          <w:lang w:val="zh-CN"/>
        </w:rPr>
        <w:t>下述文件是构成本合同不可分割的部分</w:t>
      </w:r>
      <w:r>
        <w:rPr>
          <w:rFonts w:hint="eastAsia" w:ascii="宋体" w:cs="宋体"/>
          <w:sz w:val="24"/>
          <w:szCs w:val="24"/>
        </w:rPr>
        <w:t>:</w:t>
      </w:r>
    </w:p>
    <w:p>
      <w:pPr>
        <w:autoSpaceDE w:val="0"/>
        <w:autoSpaceDN w:val="0"/>
        <w:spacing w:line="360" w:lineRule="auto"/>
        <w:ind w:left="480"/>
        <w:rPr>
          <w:rFonts w:ascii="宋体" w:cs="宋体"/>
          <w:sz w:val="24"/>
          <w:szCs w:val="24"/>
          <w:lang w:val="zh-CN"/>
        </w:rPr>
      </w:pPr>
      <w:r>
        <w:rPr>
          <w:rFonts w:hint="eastAsia" w:ascii="宋体" w:cs="宋体"/>
          <w:sz w:val="24"/>
          <w:szCs w:val="24"/>
          <w:lang w:val="zh-CN"/>
        </w:rPr>
        <w:t>（1）本合同条款及其所有附件；</w:t>
      </w:r>
    </w:p>
    <w:p>
      <w:pPr>
        <w:autoSpaceDE w:val="0"/>
        <w:autoSpaceDN w:val="0"/>
        <w:spacing w:line="360" w:lineRule="auto"/>
        <w:ind w:firstLine="480"/>
        <w:jc w:val="left"/>
        <w:rPr>
          <w:rFonts w:ascii="宋体" w:cs="宋体"/>
          <w:sz w:val="24"/>
          <w:szCs w:val="24"/>
          <w:lang w:val="zh-CN"/>
        </w:rPr>
      </w:pPr>
      <w:r>
        <w:rPr>
          <w:rFonts w:hint="eastAsia" w:ascii="宋体" w:cs="宋体"/>
          <w:sz w:val="24"/>
          <w:szCs w:val="24"/>
          <w:lang w:val="zh-CN"/>
        </w:rPr>
        <w:t>（2）甲方的</w:t>
      </w:r>
      <w:r>
        <w:rPr>
          <w:rFonts w:hint="eastAsia" w:ascii="宋体" w:cs="宋体"/>
          <w:sz w:val="24"/>
          <w:szCs w:val="24"/>
        </w:rPr>
        <w:t>采购</w:t>
      </w:r>
      <w:r>
        <w:rPr>
          <w:rFonts w:hint="eastAsia" w:ascii="宋体" w:cs="宋体"/>
          <w:sz w:val="24"/>
          <w:szCs w:val="24"/>
          <w:lang w:val="zh-CN"/>
        </w:rPr>
        <w:t>文件及澄清文件；</w:t>
      </w:r>
    </w:p>
    <w:p>
      <w:pPr>
        <w:autoSpaceDE w:val="0"/>
        <w:autoSpaceDN w:val="0"/>
        <w:spacing w:line="360" w:lineRule="auto"/>
        <w:ind w:firstLine="480"/>
        <w:jc w:val="left"/>
        <w:rPr>
          <w:rFonts w:ascii="宋体" w:cs="宋体"/>
          <w:sz w:val="24"/>
          <w:szCs w:val="24"/>
          <w:lang w:val="zh-CN"/>
        </w:rPr>
      </w:pPr>
      <w:r>
        <w:rPr>
          <w:rFonts w:hint="eastAsia" w:ascii="宋体" w:cs="宋体"/>
          <w:sz w:val="24"/>
          <w:szCs w:val="24"/>
          <w:lang w:val="zh-CN"/>
        </w:rPr>
        <w:t>（3）乙方的响应文件及质疑解答文件；</w:t>
      </w:r>
    </w:p>
    <w:p>
      <w:pPr>
        <w:autoSpaceDE w:val="0"/>
        <w:autoSpaceDN w:val="0"/>
        <w:spacing w:line="360" w:lineRule="auto"/>
        <w:ind w:firstLine="480"/>
        <w:rPr>
          <w:rFonts w:ascii="宋体" w:cs="宋体"/>
          <w:sz w:val="24"/>
          <w:szCs w:val="24"/>
          <w:lang w:val="zh-CN"/>
        </w:rPr>
      </w:pPr>
      <w:r>
        <w:rPr>
          <w:rFonts w:hint="eastAsia" w:ascii="宋体" w:cs="宋体"/>
          <w:sz w:val="24"/>
          <w:szCs w:val="24"/>
          <w:lang w:val="zh-CN"/>
        </w:rPr>
        <w:t>（4）成交通知书；</w:t>
      </w:r>
    </w:p>
    <w:p>
      <w:pPr>
        <w:autoSpaceDE w:val="0"/>
        <w:autoSpaceDN w:val="0"/>
        <w:spacing w:line="360" w:lineRule="auto"/>
        <w:ind w:firstLine="480"/>
        <w:rPr>
          <w:rFonts w:ascii="宋体" w:cs="宋体"/>
          <w:sz w:val="24"/>
          <w:szCs w:val="24"/>
          <w:lang w:val="zh-CN"/>
        </w:rPr>
      </w:pPr>
      <w:r>
        <w:rPr>
          <w:rFonts w:hint="eastAsia" w:ascii="宋体" w:cs="宋体"/>
          <w:sz w:val="24"/>
          <w:szCs w:val="24"/>
          <w:lang w:val="zh-CN"/>
        </w:rPr>
        <w:t>（5）法定代表人授权书；</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（6）双方与合同有关的往来信函、传真,经双方法定代表人或其授权代表签字并加盖单位公章确认后,视为本合同的组成部分；</w:t>
      </w:r>
    </w:p>
    <w:p>
      <w:pPr>
        <w:autoSpaceDE w:val="0"/>
        <w:autoSpaceDN w:val="0"/>
        <w:spacing w:line="360" w:lineRule="auto"/>
        <w:ind w:firstLine="480"/>
        <w:rPr>
          <w:rFonts w:ascii="宋体" w:cs="宋体"/>
          <w:sz w:val="24"/>
          <w:szCs w:val="24"/>
          <w:lang w:val="zh-CN"/>
        </w:rPr>
      </w:pPr>
      <w:r>
        <w:rPr>
          <w:rFonts w:hint="eastAsia" w:ascii="宋体" w:hAnsi="宋体"/>
          <w:color w:val="000000"/>
          <w:sz w:val="24"/>
          <w:szCs w:val="24"/>
        </w:rPr>
        <w:t>（7）经双方法定代表人或其授权代表签字并加盖单位公章或合同专用章确认的补充协议。</w:t>
      </w:r>
    </w:p>
    <w:p>
      <w:pPr>
        <w:spacing w:line="360" w:lineRule="auto"/>
        <w:ind w:firstLine="480" w:firstLineChars="200"/>
        <w:rPr>
          <w:rFonts w:hint="eastAsia" w:ascii="宋体" w:hAnsi="宋体"/>
          <w:sz w:val="24"/>
          <w:szCs w:val="24"/>
        </w:rPr>
      </w:pPr>
      <w:r>
        <w:rPr>
          <w:rFonts w:hint="eastAsia" w:ascii="宋体" w:cs="宋体"/>
          <w:sz w:val="24"/>
          <w:szCs w:val="24"/>
          <w:lang w:val="zh-CN"/>
        </w:rPr>
        <w:t>1.2 如果乙方的响应文件及质疑解答文件内容违背或低于甲方</w:t>
      </w:r>
      <w:r>
        <w:rPr>
          <w:rFonts w:hint="eastAsia" w:ascii="宋体" w:cs="宋体"/>
          <w:sz w:val="24"/>
          <w:szCs w:val="24"/>
        </w:rPr>
        <w:t>采购</w:t>
      </w:r>
      <w:r>
        <w:rPr>
          <w:rFonts w:hint="eastAsia" w:ascii="宋体" w:cs="宋体"/>
          <w:sz w:val="24"/>
          <w:szCs w:val="24"/>
          <w:lang w:val="zh-CN"/>
        </w:rPr>
        <w:t>文件要求或任何可能导致影响当次采购目的的情形，均应当被视为乙方自动放弃响应文件及质疑解答文件中相应部分而同意以</w:t>
      </w:r>
      <w:r>
        <w:rPr>
          <w:rFonts w:hint="eastAsia" w:ascii="宋体" w:cs="宋体"/>
          <w:sz w:val="24"/>
          <w:szCs w:val="24"/>
        </w:rPr>
        <w:t>采购</w:t>
      </w:r>
      <w:r>
        <w:rPr>
          <w:rFonts w:hint="eastAsia" w:ascii="宋体" w:cs="宋体"/>
          <w:sz w:val="24"/>
          <w:szCs w:val="24"/>
          <w:lang w:val="zh-CN"/>
        </w:rPr>
        <w:t>文件相应内容为准。如果乙方的响应文件及质疑解答文件内容高于甲方</w:t>
      </w:r>
      <w:r>
        <w:rPr>
          <w:rFonts w:hint="eastAsia" w:ascii="宋体" w:cs="宋体"/>
          <w:sz w:val="24"/>
          <w:szCs w:val="24"/>
        </w:rPr>
        <w:t>采购</w:t>
      </w:r>
      <w:r>
        <w:rPr>
          <w:rFonts w:hint="eastAsia" w:ascii="宋体" w:cs="宋体"/>
          <w:sz w:val="24"/>
          <w:szCs w:val="24"/>
          <w:lang w:val="zh-CN"/>
        </w:rPr>
        <w:t>文件要求，则以乙方的响应文件及质疑解答文件内容为准。如果合同条款与合同附件有矛盾之处，以合同条款内容为准。</w:t>
      </w:r>
      <w:r>
        <w:rPr>
          <w:rFonts w:hint="eastAsia" w:ascii="宋体" w:hAnsi="宋体"/>
          <w:sz w:val="24"/>
          <w:szCs w:val="24"/>
        </w:rPr>
        <w:t>如果合同附件之间有矛盾之处，以有利于甲方的附件内容为准。</w:t>
      </w:r>
    </w:p>
    <w:p>
      <w:pPr>
        <w:spacing w:line="360" w:lineRule="auto"/>
        <w:ind w:firstLine="480" w:firstLineChars="200"/>
        <w:rPr>
          <w:rFonts w:ascii="宋体"/>
          <w:sz w:val="24"/>
          <w:szCs w:val="24"/>
        </w:rPr>
      </w:pPr>
      <w:r>
        <w:rPr>
          <w:rFonts w:hint="eastAsia" w:ascii="宋体"/>
          <w:sz w:val="24"/>
          <w:szCs w:val="24"/>
        </w:rPr>
        <w:t>1.3上述合同文件应能够相互解释、相互说明。如合同文件之间出现不一致，除本合同另有约定外，第1.1款第（1）项至（6）项的排列顺序就是合同文件的优先解释顺序；对于第（7）项中双方达成的补充协议与原合同（包括第1.1款（1）-（6）项中所列的所有文件）存在不一致，以签订日期在后的补充协议为准。</w:t>
      </w:r>
    </w:p>
    <w:p>
      <w:pPr>
        <w:spacing w:before="156" w:beforeLines="50" w:line="360" w:lineRule="auto"/>
        <w:jc w:val="center"/>
        <w:outlineLvl w:val="1"/>
        <w:rPr>
          <w:b/>
          <w:bCs/>
          <w:color w:val="000000"/>
          <w:sz w:val="28"/>
        </w:rPr>
      </w:pPr>
      <w:r>
        <w:rPr>
          <w:rFonts w:hint="eastAsia"/>
          <w:b/>
          <w:bCs/>
          <w:color w:val="000000"/>
          <w:sz w:val="28"/>
        </w:rPr>
        <w:t>第二部分 服务内容及方式</w:t>
      </w:r>
    </w:p>
    <w:p>
      <w:pPr>
        <w:tabs>
          <w:tab w:val="left" w:pos="900"/>
        </w:tabs>
        <w:spacing w:line="480" w:lineRule="exact"/>
        <w:ind w:firstLine="480" w:firstLineChars="200"/>
        <w:rPr>
          <w:rFonts w:hint="eastAsia" w:ascii="宋体" w:hAnsi="宋体"/>
          <w:sz w:val="24"/>
          <w:szCs w:val="24"/>
        </w:rPr>
      </w:pPr>
      <w:r>
        <w:rPr>
          <w:rFonts w:hint="eastAsia" w:ascii="宋体" w:hAnsi="宋体"/>
          <w:sz w:val="24"/>
          <w:szCs w:val="24"/>
        </w:rPr>
        <w:t>2.1服务内容及期限：本合同的服务内容为下表所列软件的维保服务。</w:t>
      </w:r>
    </w:p>
    <w:p>
      <w:pPr>
        <w:tabs>
          <w:tab w:val="left" w:pos="900"/>
        </w:tabs>
        <w:spacing w:line="360" w:lineRule="auto"/>
        <w:rPr>
          <w:rFonts w:hint="eastAsia" w:ascii="宋体" w:hAnsi="宋体"/>
          <w:sz w:val="24"/>
          <w:szCs w:val="24"/>
        </w:rPr>
      </w:pPr>
    </w:p>
    <w:tbl>
      <w:tblPr>
        <w:tblStyle w:val="9"/>
        <w:tblW w:w="8245" w:type="dxa"/>
        <w:jc w:val="center"/>
        <w:tblLayout w:type="fixed"/>
        <w:tblCellMar>
          <w:top w:w="0" w:type="dxa"/>
          <w:left w:w="108" w:type="dxa"/>
          <w:bottom w:w="0" w:type="dxa"/>
          <w:right w:w="108" w:type="dxa"/>
        </w:tblCellMar>
      </w:tblPr>
      <w:tblGrid>
        <w:gridCol w:w="1265"/>
        <w:gridCol w:w="1285"/>
        <w:gridCol w:w="2295"/>
        <w:gridCol w:w="870"/>
        <w:gridCol w:w="1445"/>
        <w:gridCol w:w="1085"/>
      </w:tblGrid>
      <w:tr>
        <w:tblPrEx>
          <w:tblCellMar>
            <w:top w:w="0" w:type="dxa"/>
            <w:left w:w="108" w:type="dxa"/>
            <w:bottom w:w="0" w:type="dxa"/>
            <w:right w:w="108" w:type="dxa"/>
          </w:tblCellMar>
        </w:tblPrEx>
        <w:trPr>
          <w:trHeight w:val="677" w:hRule="atLeast"/>
          <w:jc w:val="center"/>
        </w:trPr>
        <w:tc>
          <w:tcPr>
            <w:tcW w:w="126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品牌</w:t>
            </w:r>
          </w:p>
        </w:tc>
        <w:tc>
          <w:tcPr>
            <w:tcW w:w="128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软件名称</w:t>
            </w:r>
          </w:p>
        </w:tc>
        <w:tc>
          <w:tcPr>
            <w:tcW w:w="229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宋体" w:hAnsi="宋体" w:cs="宋体"/>
                <w:b/>
                <w:bCs/>
                <w:kern w:val="0"/>
                <w:sz w:val="24"/>
                <w:szCs w:val="24"/>
              </w:rPr>
            </w:pPr>
            <w:r>
              <w:rPr>
                <w:rFonts w:hint="eastAsia" w:ascii="宋体" w:hAnsi="宋体" w:cs="宋体"/>
                <w:b/>
                <w:bCs/>
                <w:kern w:val="0"/>
                <w:sz w:val="24"/>
                <w:szCs w:val="24"/>
              </w:rPr>
              <w:t>许可名称</w:t>
            </w:r>
          </w:p>
        </w:tc>
        <w:tc>
          <w:tcPr>
            <w:tcW w:w="87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宋体" w:hAnsi="宋体" w:cs="宋体"/>
                <w:b/>
                <w:bCs/>
                <w:color w:val="000000"/>
                <w:kern w:val="0"/>
                <w:sz w:val="24"/>
                <w:szCs w:val="24"/>
                <w:lang w:bidi="ar"/>
              </w:rPr>
            </w:pPr>
            <w:r>
              <w:rPr>
                <w:rFonts w:hint="eastAsia" w:ascii="宋体" w:hAnsi="宋体" w:cs="宋体"/>
                <w:b/>
                <w:bCs/>
                <w:kern w:val="0"/>
                <w:sz w:val="24"/>
                <w:szCs w:val="24"/>
              </w:rPr>
              <w:t>数量</w:t>
            </w:r>
          </w:p>
        </w:tc>
        <w:tc>
          <w:tcPr>
            <w:tcW w:w="144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所在地</w:t>
            </w:r>
          </w:p>
        </w:tc>
        <w:tc>
          <w:tcPr>
            <w:tcW w:w="108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服务级别</w:t>
            </w:r>
          </w:p>
        </w:tc>
      </w:tr>
      <w:tr>
        <w:tblPrEx>
          <w:tblCellMar>
            <w:top w:w="0" w:type="dxa"/>
            <w:left w:w="108" w:type="dxa"/>
            <w:bottom w:w="0" w:type="dxa"/>
            <w:right w:w="108" w:type="dxa"/>
          </w:tblCellMar>
        </w:tblPrEx>
        <w:trPr>
          <w:trHeight w:val="677" w:hRule="atLeast"/>
          <w:jc w:val="center"/>
        </w:trPr>
        <w:tc>
          <w:tcPr>
            <w:tcW w:w="126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Netscout</w:t>
            </w:r>
          </w:p>
        </w:tc>
        <w:tc>
          <w:tcPr>
            <w:tcW w:w="128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全流量回溯平台软件</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sz w:val="24"/>
                <w:szCs w:val="24"/>
              </w:rPr>
            </w:pPr>
            <w:r>
              <w:rPr>
                <w:rFonts w:hint="eastAsia" w:ascii="宋体" w:hAnsi="宋体" w:cs="宋体"/>
                <w:sz w:val="24"/>
                <w:szCs w:val="24"/>
              </w:rPr>
              <w:t>全流量回溯平台流量回溯索引能力软件许可</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sz w:val="24"/>
                <w:szCs w:val="24"/>
              </w:rPr>
              <w:t>148T</w:t>
            </w:r>
          </w:p>
        </w:tc>
        <w:tc>
          <w:tcPr>
            <w:tcW w:w="1445"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sz w:val="24"/>
                <w:szCs w:val="24"/>
              </w:rPr>
              <w:t>上海、天津</w:t>
            </w:r>
          </w:p>
        </w:tc>
        <w:tc>
          <w:tcPr>
            <w:tcW w:w="1085"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sz w:val="24"/>
                <w:szCs w:val="24"/>
              </w:rPr>
              <w:t>原厂服务</w:t>
            </w:r>
          </w:p>
        </w:tc>
      </w:tr>
      <w:tr>
        <w:tblPrEx>
          <w:tblCellMar>
            <w:top w:w="0" w:type="dxa"/>
            <w:left w:w="108" w:type="dxa"/>
            <w:bottom w:w="0" w:type="dxa"/>
            <w:right w:w="108" w:type="dxa"/>
          </w:tblCellMar>
        </w:tblPrEx>
        <w:trPr>
          <w:trHeight w:val="677" w:hRule="atLeast"/>
          <w:jc w:val="center"/>
        </w:trPr>
        <w:tc>
          <w:tcPr>
            <w:tcW w:w="126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szCs w:val="24"/>
                <w:lang w:bidi="ar"/>
              </w:rPr>
            </w:pPr>
          </w:p>
        </w:tc>
        <w:tc>
          <w:tcPr>
            <w:tcW w:w="128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szCs w:val="24"/>
                <w:lang w:bidi="ar"/>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sz w:val="24"/>
                <w:szCs w:val="24"/>
              </w:rPr>
            </w:pPr>
            <w:r>
              <w:rPr>
                <w:rFonts w:hint="eastAsia" w:ascii="宋体" w:hAnsi="宋体" w:cs="宋体"/>
                <w:sz w:val="24"/>
                <w:szCs w:val="24"/>
              </w:rPr>
              <w:t>全流量回溯平台集中管理软件许可</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sz w:val="24"/>
                <w:szCs w:val="24"/>
              </w:rPr>
            </w:pPr>
            <w:r>
              <w:rPr>
                <w:rFonts w:hint="eastAsia" w:ascii="宋体" w:hAnsi="宋体" w:cs="宋体"/>
                <w:sz w:val="24"/>
                <w:szCs w:val="24"/>
              </w:rPr>
              <w:t>3套</w:t>
            </w:r>
          </w:p>
        </w:tc>
        <w:tc>
          <w:tcPr>
            <w:tcW w:w="1445"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lang w:bidi="ar"/>
              </w:rPr>
            </w:pPr>
          </w:p>
        </w:tc>
        <w:tc>
          <w:tcPr>
            <w:tcW w:w="1085"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lang w:bidi="ar"/>
              </w:rPr>
            </w:pPr>
          </w:p>
        </w:tc>
      </w:tr>
    </w:tbl>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服务方式：</w:t>
      </w:r>
      <w:r>
        <w:rPr>
          <w:rFonts w:hint="eastAsia" w:ascii="宋体" w:hAnsi="宋体" w:eastAsiaTheme="minorEastAsia" w:cstheme="minorBidi"/>
          <w:sz w:val="24"/>
          <w:szCs w:val="24"/>
        </w:rPr>
        <w:t>现场服务、电话支持服务和电子邮件支持服务，以及</w:t>
      </w:r>
      <w:r>
        <w:rPr>
          <w:rFonts w:hint="eastAsia" w:ascii="宋体" w:hAnsi="宋体" w:cstheme="minorBidi"/>
          <w:sz w:val="24"/>
          <w:szCs w:val="24"/>
        </w:rPr>
        <w:t>甲方</w:t>
      </w:r>
      <w:r>
        <w:rPr>
          <w:rFonts w:hint="eastAsia" w:ascii="宋体" w:hAnsi="宋体" w:eastAsiaTheme="minorEastAsia" w:cstheme="minorBidi"/>
          <w:sz w:val="24"/>
          <w:szCs w:val="24"/>
        </w:rPr>
        <w:t>要求的其他服务方式。</w:t>
      </w:r>
    </w:p>
    <w:p>
      <w:pPr>
        <w:spacing w:before="156" w:beforeLines="50" w:line="360" w:lineRule="auto"/>
        <w:jc w:val="center"/>
        <w:outlineLvl w:val="1"/>
        <w:rPr>
          <w:b/>
          <w:bCs/>
          <w:color w:val="000000"/>
          <w:sz w:val="28"/>
        </w:rPr>
      </w:pPr>
      <w:r>
        <w:rPr>
          <w:rFonts w:hint="eastAsia"/>
          <w:b/>
          <w:bCs/>
          <w:color w:val="000000"/>
          <w:sz w:val="28"/>
        </w:rPr>
        <w:t>第三部分 服务标准及验收</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3.1</w:t>
      </w:r>
      <w:r>
        <w:rPr>
          <w:rFonts w:hint="eastAsia" w:ascii="宋体" w:hAnsi="宋体"/>
          <w:sz w:val="24"/>
        </w:rPr>
        <w:t>乙方保证其和原厂商为甲方提供优质的服务及产品，服务及产品的各项指标均能符合本合同规定的要求。服务期内，乙方保证提供甲方在需求文件中要求的全部服务。详见附件三</w:t>
      </w:r>
      <w:r>
        <w:rPr>
          <w:rFonts w:hint="eastAsia" w:ascii="宋体" w:hAnsi="宋体"/>
          <w:sz w:val="24"/>
          <w:szCs w:val="24"/>
        </w:rPr>
        <w:t>。</w:t>
      </w:r>
    </w:p>
    <w:p>
      <w:pPr>
        <w:spacing w:line="360" w:lineRule="auto"/>
        <w:ind w:firstLine="559" w:firstLineChars="233"/>
        <w:rPr>
          <w:rFonts w:hint="eastAsia" w:ascii="宋体" w:hAnsi="宋体"/>
          <w:sz w:val="24"/>
          <w:szCs w:val="24"/>
        </w:rPr>
      </w:pPr>
      <w:r>
        <w:rPr>
          <w:rFonts w:hint="eastAsia" w:ascii="宋体" w:hAnsi="宋体"/>
          <w:sz w:val="24"/>
          <w:szCs w:val="24"/>
        </w:rPr>
        <w:t>3.2</w:t>
      </w:r>
      <w:r>
        <w:rPr>
          <w:rFonts w:hint="eastAsia" w:ascii="宋体" w:hAnsi="宋体" w:cstheme="minorBidi"/>
          <w:sz w:val="24"/>
          <w:szCs w:val="24"/>
        </w:rPr>
        <w:t>乙方</w:t>
      </w:r>
      <w:r>
        <w:rPr>
          <w:rFonts w:hint="eastAsia" w:ascii="宋体" w:hAnsi="宋体" w:eastAsiaTheme="minorEastAsia" w:cstheme="minorBidi"/>
          <w:sz w:val="24"/>
          <w:szCs w:val="24"/>
        </w:rPr>
        <w:t>每季度须按</w:t>
      </w:r>
      <w:r>
        <w:rPr>
          <w:rFonts w:hint="eastAsia" w:ascii="宋体" w:hAnsi="宋体" w:cstheme="minorBidi"/>
          <w:sz w:val="24"/>
          <w:szCs w:val="24"/>
        </w:rPr>
        <w:t>甲方</w:t>
      </w:r>
      <w:r>
        <w:rPr>
          <w:rFonts w:hint="eastAsia" w:ascii="宋体" w:hAnsi="宋体" w:eastAsiaTheme="minorEastAsia" w:cstheme="minorBidi"/>
          <w:sz w:val="24"/>
          <w:szCs w:val="24"/>
        </w:rPr>
        <w:t>要求提供1份《</w:t>
      </w:r>
      <w:r>
        <w:rPr>
          <w:rFonts w:hint="eastAsia" w:ascii="宋体" w:hAnsi="宋体" w:cstheme="minorBidi"/>
          <w:sz w:val="24"/>
          <w:szCs w:val="24"/>
        </w:rPr>
        <w:t>季度</w:t>
      </w:r>
      <w:r>
        <w:rPr>
          <w:rFonts w:hint="eastAsia" w:ascii="宋体" w:hAnsi="宋体" w:eastAsiaTheme="minorEastAsia" w:cstheme="minorBidi"/>
          <w:sz w:val="24"/>
          <w:szCs w:val="24"/>
        </w:rPr>
        <w:t>服务报告》，列明本阶段提供的维保服务内容，并加盖单位公章。</w:t>
      </w:r>
    </w:p>
    <w:p>
      <w:pPr>
        <w:tabs>
          <w:tab w:val="left" w:pos="900"/>
        </w:tabs>
        <w:spacing w:line="360" w:lineRule="auto"/>
        <w:ind w:firstLine="480" w:firstLineChars="200"/>
        <w:rPr>
          <w:rFonts w:hint="eastAsia" w:ascii="宋体" w:hAnsi="宋体"/>
          <w:sz w:val="24"/>
          <w:szCs w:val="24"/>
        </w:rPr>
      </w:pPr>
      <w:r>
        <w:rPr>
          <w:rFonts w:ascii="宋体" w:hAnsi="宋体"/>
          <w:sz w:val="24"/>
          <w:szCs w:val="24"/>
        </w:rPr>
        <w:t>3.</w:t>
      </w:r>
      <w:r>
        <w:rPr>
          <w:rFonts w:hint="eastAsia" w:ascii="宋体" w:hAnsi="宋体"/>
          <w:sz w:val="24"/>
          <w:szCs w:val="24"/>
        </w:rPr>
        <w:t>3甲方于到达维保服务期限一半后，按照本合同规定的标准和要求对乙方服务进行中期验收，乙方应当予以配合，最迟不晚于2025年9月底前完成，甲方通知乙方延期的情况除外。验收通过后,由甲方开具《合同验收单》，乙方对验收单进行书面认定（即其授权代表签字且加盖单位公章），且当乙方拒绝书面认定验收单或验收报告时，即视为同意验收单/验收报告内容。</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3.4甲方于维保服务期限届满后，按照本合同规定的标准和要求对乙方服务进行最终验收，乙方应当予以配合，最迟不晚于2026年4月底前完成，甲方通知乙方延期的情况除外。验收通过后,由甲方开具《合同验收单》，乙方对验收单进行书面认定（即其授权代表签字且加盖单位公章），且当乙方拒绝书面认定验收单或验收报告时，即视为同意验收单/验收报告内容。</w:t>
      </w:r>
    </w:p>
    <w:p>
      <w:pPr>
        <w:spacing w:line="360" w:lineRule="auto"/>
        <w:ind w:firstLine="559" w:firstLineChars="233"/>
        <w:rPr>
          <w:rFonts w:hint="eastAsia" w:ascii="宋体" w:hAnsi="宋体"/>
          <w:sz w:val="24"/>
        </w:rPr>
      </w:pPr>
      <w:r>
        <w:rPr>
          <w:rFonts w:ascii="宋体" w:hAnsi="宋体"/>
          <w:sz w:val="24"/>
        </w:rPr>
        <w:t>3.</w:t>
      </w:r>
      <w:r>
        <w:rPr>
          <w:rFonts w:hint="eastAsia" w:ascii="宋体" w:hAnsi="宋体"/>
          <w:sz w:val="24"/>
        </w:rPr>
        <w:t>5乙方未能通过甲方中期验收或最终验收的，甲方应在验收单中载明“验收不合格”及相关说明，并由乙方书面确认，若乙方拒绝书面确认，则视为同意。乙方应在甲方要求的期限内采取整改措施再次进行验收，再次验收同样需甲方出具验收单并由双方书面确认，直至验收合格，通过验收，再次验收由乙方承担费用及甲方损失。</w:t>
      </w:r>
    </w:p>
    <w:p>
      <w:pPr>
        <w:autoSpaceDE w:val="0"/>
        <w:autoSpaceDN w:val="0"/>
        <w:adjustRightInd w:val="0"/>
        <w:snapToGrid w:val="0"/>
        <w:spacing w:before="156" w:beforeLines="50" w:line="360" w:lineRule="auto"/>
        <w:jc w:val="center"/>
        <w:rPr>
          <w:rFonts w:hint="eastAsia" w:hAnsi="宋体"/>
          <w:b/>
          <w:bCs/>
          <w:kern w:val="0"/>
          <w:sz w:val="28"/>
          <w:szCs w:val="28"/>
        </w:rPr>
      </w:pPr>
      <w:r>
        <w:rPr>
          <w:rFonts w:hint="eastAsia" w:hAnsi="宋体"/>
          <w:b/>
          <w:bCs/>
          <w:kern w:val="0"/>
          <w:sz w:val="28"/>
          <w:szCs w:val="28"/>
        </w:rPr>
        <w:t>第四部分 履行期限、服务地点</w:t>
      </w:r>
    </w:p>
    <w:p>
      <w:pPr>
        <w:tabs>
          <w:tab w:val="left" w:pos="900"/>
        </w:tabs>
        <w:spacing w:line="480" w:lineRule="exact"/>
        <w:ind w:firstLine="480" w:firstLineChars="200"/>
        <w:rPr>
          <w:rFonts w:hint="eastAsia" w:ascii="宋体" w:hAnsi="宋体"/>
          <w:sz w:val="24"/>
        </w:rPr>
      </w:pPr>
      <w:r>
        <w:rPr>
          <w:rFonts w:hint="eastAsia" w:ascii="宋体" w:hAnsi="宋体"/>
          <w:sz w:val="24"/>
        </w:rPr>
        <w:t>4.1履约期限：</w:t>
      </w:r>
    </w:p>
    <w:p>
      <w:pPr>
        <w:spacing w:line="480" w:lineRule="exact"/>
        <w:ind w:firstLine="480" w:firstLineChars="200"/>
        <w:rPr>
          <w:rFonts w:hint="eastAsia" w:ascii="宋体" w:hAnsi="宋体"/>
          <w:sz w:val="24"/>
        </w:rPr>
      </w:pPr>
      <w:r>
        <w:rPr>
          <w:rFonts w:hint="eastAsia" w:ascii="宋体" w:hAnsi="宋体"/>
          <w:sz w:val="24"/>
          <w:szCs w:val="24"/>
        </w:rPr>
        <w:t>维保服务期限为2025年1月1日至2025年12月31日。</w:t>
      </w:r>
    </w:p>
    <w:p>
      <w:pPr>
        <w:tabs>
          <w:tab w:val="left" w:pos="900"/>
        </w:tabs>
        <w:spacing w:line="480" w:lineRule="exact"/>
        <w:ind w:firstLine="480" w:firstLineChars="200"/>
        <w:rPr>
          <w:rFonts w:hint="eastAsia" w:ascii="宋体" w:hAnsi="宋体"/>
          <w:sz w:val="24"/>
        </w:rPr>
      </w:pPr>
      <w:r>
        <w:rPr>
          <w:rFonts w:hint="eastAsia" w:ascii="宋体" w:hAnsi="宋体"/>
          <w:sz w:val="24"/>
        </w:rPr>
        <w:t>4.2续签条款</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若本次服务期内的服务质量满足采购人要求，在服务内容和要求不变情况下，经甲乙双方确认后，服务合同可以考虑续签1年,最多可以续签2次。</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在服务期限内，如甲方追加与现有维保对象相同品牌版本的软件纳入维保范围，乙方应承诺以不高于本次成交单价提供维保服务。</w:t>
      </w:r>
    </w:p>
    <w:p>
      <w:pPr>
        <w:tabs>
          <w:tab w:val="left" w:pos="900"/>
        </w:tabs>
        <w:spacing w:line="480" w:lineRule="exact"/>
        <w:ind w:firstLine="480" w:firstLineChars="200"/>
        <w:rPr>
          <w:rFonts w:hint="eastAsia" w:ascii="宋体" w:hAnsi="宋体"/>
          <w:sz w:val="24"/>
        </w:rPr>
      </w:pPr>
      <w:r>
        <w:rPr>
          <w:rFonts w:hint="eastAsia" w:ascii="宋体" w:hAnsi="宋体"/>
          <w:sz w:val="24"/>
        </w:rPr>
        <w:t>4.3服务地点：</w:t>
      </w:r>
      <w:r>
        <w:rPr>
          <w:rFonts w:hint="eastAsia" w:ascii="宋体" w:hAnsi="宋体"/>
          <w:sz w:val="24"/>
          <w:szCs w:val="24"/>
        </w:rPr>
        <w:t>上海市（上海市浦东新区繁昌路298号、上海市静安区海宁路899号）；天津市（天津市滨海新区洞庭北路北塘融汇商务园二区4号楼）。</w:t>
      </w:r>
    </w:p>
    <w:p>
      <w:pPr>
        <w:spacing w:before="156" w:beforeLines="50" w:line="360" w:lineRule="auto"/>
        <w:jc w:val="center"/>
        <w:outlineLvl w:val="1"/>
      </w:pPr>
      <w:r>
        <w:rPr>
          <w:rFonts w:hint="eastAsia"/>
          <w:b/>
          <w:bCs/>
          <w:sz w:val="28"/>
        </w:rPr>
        <w:t>第五部分 合同总金额及其支付方式</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5.1根据成交通知书，本合同的总金额为</w:t>
      </w:r>
      <w:r>
        <w:rPr>
          <w:rFonts w:hint="eastAsia" w:ascii="宋体" w:hAnsi="宋体"/>
          <w:sz w:val="24"/>
          <w:szCs w:val="24"/>
          <w:highlight w:val="none"/>
        </w:rPr>
        <w:t>人民币：￥</w:t>
      </w:r>
      <w:r>
        <w:rPr>
          <w:rFonts w:hint="eastAsia" w:ascii="宋体" w:hAnsi="宋体"/>
          <w:sz w:val="24"/>
          <w:szCs w:val="24"/>
          <w:u w:val="single"/>
        </w:rPr>
        <w:t>630,000.00</w:t>
      </w:r>
      <w:r>
        <w:rPr>
          <w:rFonts w:hint="eastAsia" w:ascii="宋体" w:hAnsi="宋体"/>
          <w:sz w:val="24"/>
          <w:szCs w:val="24"/>
          <w:highlight w:val="none"/>
        </w:rPr>
        <w:t>元整(大写：</w:t>
      </w:r>
      <w:r>
        <w:rPr>
          <w:rFonts w:hint="eastAsia" w:ascii="宋体" w:hAnsi="宋体"/>
          <w:sz w:val="24"/>
          <w:szCs w:val="24"/>
          <w:u w:val="single"/>
        </w:rPr>
        <w:t>陆拾叁</w:t>
      </w:r>
      <w:r>
        <w:rPr>
          <w:rFonts w:hint="eastAsia" w:ascii="宋体" w:hAnsi="宋体"/>
          <w:sz w:val="24"/>
          <w:szCs w:val="24"/>
          <w:highlight w:val="none"/>
        </w:rPr>
        <w:t>万元整）</w:t>
      </w:r>
      <w:r>
        <w:rPr>
          <w:rFonts w:hint="eastAsia" w:ascii="宋体" w:hAnsi="宋体"/>
          <w:sz w:val="24"/>
          <w:szCs w:val="24"/>
        </w:rPr>
        <w:t>。合同总金额为乙方在正确地完全履行本合同项下的义务后，甲方应支付给乙方的全部价款的数额，包括但不限于：技术服务费、仪器仪表使用费、差旅费以及与履行本合同义务有关的所有费用。除上述金额外，甲方不再向乙方支付其他任何费用。</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5.2付款方式</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5.2.1首期款</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合同生效后，在收到乙方提供的与本阶段付款金额等值的正式发票以及乙方加盖单位公章的《付款申请》后十（10）个工作日内，甲方向乙方支付合同总金额的30%（百分之三十），</w:t>
      </w:r>
      <w:r>
        <w:rPr>
          <w:rFonts w:hint="eastAsia" w:ascii="宋体" w:hAnsi="宋体"/>
          <w:sz w:val="24"/>
          <w:szCs w:val="24"/>
          <w:highlight w:val="none"/>
        </w:rPr>
        <w:t>即人民币￥</w:t>
      </w:r>
      <w:r>
        <w:rPr>
          <w:rFonts w:hint="eastAsia" w:ascii="宋体" w:hAnsi="宋体"/>
          <w:sz w:val="24"/>
          <w:szCs w:val="24"/>
          <w:u w:val="single"/>
        </w:rPr>
        <w:t>189,000.00</w:t>
      </w:r>
      <w:r>
        <w:rPr>
          <w:rFonts w:hint="eastAsia" w:ascii="宋体" w:hAnsi="宋体"/>
          <w:sz w:val="24"/>
          <w:szCs w:val="24"/>
          <w:highlight w:val="none"/>
        </w:rPr>
        <w:t>元整（大写：</w:t>
      </w:r>
      <w:r>
        <w:rPr>
          <w:rFonts w:hint="eastAsia" w:ascii="宋体" w:hAnsi="宋体"/>
          <w:sz w:val="24"/>
          <w:szCs w:val="24"/>
          <w:highlight w:val="none"/>
          <w:u w:val="single"/>
        </w:rPr>
        <w:t>壹拾捌万玖仟</w:t>
      </w:r>
      <w:r>
        <w:rPr>
          <w:rFonts w:hint="eastAsia" w:ascii="宋体" w:hAnsi="宋体"/>
          <w:sz w:val="24"/>
          <w:szCs w:val="24"/>
          <w:highlight w:val="none"/>
        </w:rPr>
        <w:t>元整）</w:t>
      </w:r>
      <w:r>
        <w:rPr>
          <w:rFonts w:hint="eastAsia" w:ascii="宋体" w:hAnsi="宋体"/>
          <w:sz w:val="24"/>
          <w:szCs w:val="24"/>
        </w:rPr>
        <w:t>。</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5.2.2中期款</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乙方向甲方提供所有服务达到本合同规定的维保服务期限的一半</w:t>
      </w:r>
      <w:r>
        <w:rPr>
          <w:rFonts w:hint="eastAsia" w:ascii="宋体" w:hAnsi="宋体" w:cs="宋体"/>
          <w:sz w:val="24"/>
          <w:szCs w:val="24"/>
          <w:lang w:bidi="ar"/>
        </w:rPr>
        <w:t>（以较长服务期限的项目为准）</w:t>
      </w:r>
      <w:r>
        <w:rPr>
          <w:rFonts w:hint="eastAsia" w:ascii="宋体" w:hAnsi="宋体"/>
          <w:sz w:val="24"/>
          <w:szCs w:val="24"/>
        </w:rPr>
        <w:t>后，由甲方验收小组出具验收单（或验收报告），乙方进行书面确认（若拒绝书面确认，则视为同意），验收合格后，甲方在收到乙方提供的与本阶段付款金额等值的正式发票以及乙方加盖单位公章的《付款申请》后十（10）个工作日内，向乙方支付合同总金额的40%（百分之四十），</w:t>
      </w:r>
      <w:r>
        <w:rPr>
          <w:rFonts w:hint="eastAsia" w:ascii="宋体" w:hAnsi="宋体"/>
          <w:sz w:val="24"/>
          <w:szCs w:val="24"/>
          <w:highlight w:val="none"/>
        </w:rPr>
        <w:t>即人民币￥</w:t>
      </w:r>
      <w:r>
        <w:rPr>
          <w:rFonts w:hint="eastAsia" w:ascii="宋体" w:hAnsi="宋体"/>
          <w:sz w:val="24"/>
          <w:szCs w:val="24"/>
          <w:u w:val="single"/>
        </w:rPr>
        <w:t>252</w:t>
      </w:r>
      <w:r>
        <w:rPr>
          <w:rFonts w:ascii="宋体" w:hAnsi="宋体"/>
          <w:sz w:val="24"/>
          <w:szCs w:val="24"/>
          <w:u w:val="single"/>
        </w:rPr>
        <w:t>,000.00</w:t>
      </w:r>
      <w:r>
        <w:rPr>
          <w:rFonts w:hint="eastAsia" w:ascii="宋体" w:hAnsi="宋体"/>
          <w:sz w:val="24"/>
          <w:szCs w:val="24"/>
          <w:highlight w:val="none"/>
        </w:rPr>
        <w:t>元整（大写：</w:t>
      </w:r>
      <w:r>
        <w:rPr>
          <w:rFonts w:hint="eastAsia" w:ascii="宋体" w:hAnsi="宋体"/>
          <w:sz w:val="24"/>
          <w:szCs w:val="24"/>
          <w:highlight w:val="none"/>
          <w:u w:val="single"/>
        </w:rPr>
        <w:t>贰拾伍万贰仟</w:t>
      </w:r>
      <w:r>
        <w:rPr>
          <w:rFonts w:hint="eastAsia" w:ascii="宋体" w:hAnsi="宋体"/>
          <w:sz w:val="24"/>
          <w:szCs w:val="24"/>
          <w:highlight w:val="none"/>
        </w:rPr>
        <w:t>元整）</w:t>
      </w:r>
      <w:r>
        <w:rPr>
          <w:rFonts w:hint="eastAsia" w:ascii="宋体" w:hAnsi="宋体"/>
          <w:sz w:val="24"/>
          <w:szCs w:val="24"/>
        </w:rPr>
        <w:t>。</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5.2.3后期款</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乙方向甲方提供维保服务期限届满且服务内容完成</w:t>
      </w:r>
      <w:r>
        <w:rPr>
          <w:rFonts w:hint="eastAsia" w:ascii="宋体" w:hAnsi="宋体" w:cs="宋体"/>
          <w:sz w:val="24"/>
          <w:szCs w:val="24"/>
          <w:lang w:bidi="ar"/>
        </w:rPr>
        <w:t>（以较长服务期限的项目为准）</w:t>
      </w:r>
      <w:r>
        <w:rPr>
          <w:rFonts w:hint="eastAsia" w:ascii="宋体" w:hAnsi="宋体"/>
          <w:sz w:val="24"/>
          <w:szCs w:val="24"/>
        </w:rPr>
        <w:t>后，由甲方验收小组出具验收单（或验收报告），乙方进行书面确认（若拒绝书面确认，则视为同意），验收合格后，甲方在收到乙方提供的与本阶段付款金额等值的正式发票以及乙方加盖单位公章的《付款申请》后十（10）个工作日内，向乙方支付合同总金额的</w:t>
      </w:r>
      <w:r>
        <w:rPr>
          <w:rFonts w:ascii="宋体" w:hAnsi="宋体"/>
          <w:sz w:val="24"/>
          <w:szCs w:val="24"/>
        </w:rPr>
        <w:t>30</w:t>
      </w:r>
      <w:r>
        <w:rPr>
          <w:rFonts w:hint="eastAsia" w:ascii="宋体" w:hAnsi="宋体"/>
          <w:sz w:val="24"/>
          <w:szCs w:val="24"/>
        </w:rPr>
        <w:t>%（百分之三十），</w:t>
      </w:r>
      <w:r>
        <w:rPr>
          <w:rFonts w:hint="eastAsia" w:ascii="宋体" w:hAnsi="宋体"/>
          <w:sz w:val="24"/>
          <w:szCs w:val="24"/>
          <w:highlight w:val="none"/>
        </w:rPr>
        <w:t>即人民币￥</w:t>
      </w:r>
      <w:r>
        <w:rPr>
          <w:rFonts w:hint="eastAsia" w:ascii="宋体" w:hAnsi="宋体"/>
          <w:sz w:val="24"/>
          <w:szCs w:val="24"/>
          <w:u w:val="single"/>
        </w:rPr>
        <w:t>189</w:t>
      </w:r>
      <w:r>
        <w:rPr>
          <w:rFonts w:ascii="宋体" w:hAnsi="宋体"/>
          <w:sz w:val="24"/>
          <w:szCs w:val="24"/>
          <w:u w:val="single"/>
        </w:rPr>
        <w:t>,000.00</w:t>
      </w:r>
      <w:r>
        <w:rPr>
          <w:rFonts w:hint="eastAsia" w:ascii="宋体" w:hAnsi="宋体"/>
          <w:sz w:val="24"/>
          <w:szCs w:val="24"/>
          <w:highlight w:val="none"/>
        </w:rPr>
        <w:t>元整（大写：</w:t>
      </w:r>
      <w:r>
        <w:rPr>
          <w:rFonts w:hint="eastAsia" w:ascii="宋体" w:hAnsi="宋体"/>
          <w:sz w:val="24"/>
          <w:szCs w:val="24"/>
          <w:highlight w:val="none"/>
          <w:u w:val="single"/>
        </w:rPr>
        <w:t>壹拾捌万玖仟</w:t>
      </w:r>
      <w:r>
        <w:rPr>
          <w:rFonts w:hint="eastAsia" w:ascii="宋体" w:hAnsi="宋体"/>
          <w:sz w:val="24"/>
          <w:szCs w:val="24"/>
          <w:highlight w:val="none"/>
        </w:rPr>
        <w:t>元整）</w:t>
      </w:r>
      <w:r>
        <w:rPr>
          <w:rFonts w:hint="eastAsia" w:ascii="宋体" w:hAnsi="宋体"/>
          <w:sz w:val="24"/>
          <w:szCs w:val="24"/>
        </w:rPr>
        <w:t>。</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5.3本条中的“收到”是指甲方实际接收到乙方交付的发票和《付款申请》，收到日不以发票和/或《付款申请》中载明的日期为准。双方对甲方是否“收到”及收到日有争议的，由乙方负责证明甲方已经“收到”及收到日。</w:t>
      </w:r>
    </w:p>
    <w:p>
      <w:pPr>
        <w:spacing w:before="156" w:beforeLines="50" w:line="360" w:lineRule="auto"/>
        <w:jc w:val="center"/>
        <w:outlineLvl w:val="1"/>
        <w:rPr>
          <w:b/>
          <w:bCs/>
          <w:color w:val="000000"/>
          <w:sz w:val="28"/>
        </w:rPr>
      </w:pPr>
      <w:r>
        <w:rPr>
          <w:rFonts w:hint="eastAsia"/>
          <w:b/>
          <w:bCs/>
          <w:sz w:val="28"/>
        </w:rPr>
        <w:t xml:space="preserve">第六部分 </w:t>
      </w:r>
      <w:r>
        <w:rPr>
          <w:rFonts w:hint="eastAsia"/>
          <w:b/>
          <w:bCs/>
          <w:color w:val="000000"/>
          <w:sz w:val="28"/>
        </w:rPr>
        <w:t>履约保证金</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6.1 乙方应于签订合同的同时向甲方提交下述金额的履约保证金。</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6.2 履约保证金为合同总金额的5％（百分之五）</w:t>
      </w:r>
      <w:r>
        <w:rPr>
          <w:rFonts w:hint="eastAsia" w:ascii="宋体" w:hAnsi="宋体"/>
          <w:sz w:val="24"/>
          <w:szCs w:val="24"/>
          <w:highlight w:val="none"/>
        </w:rPr>
        <w:t>即人民币￥</w:t>
      </w:r>
      <w:r>
        <w:rPr>
          <w:rFonts w:hint="eastAsia" w:ascii="宋体" w:hAnsi="宋体"/>
          <w:sz w:val="24"/>
          <w:szCs w:val="24"/>
          <w:u w:val="single"/>
        </w:rPr>
        <w:t>31</w:t>
      </w:r>
      <w:r>
        <w:rPr>
          <w:rFonts w:ascii="宋体" w:hAnsi="宋体"/>
          <w:sz w:val="24"/>
          <w:szCs w:val="24"/>
          <w:u w:val="single"/>
        </w:rPr>
        <w:t>,</w:t>
      </w:r>
      <w:r>
        <w:rPr>
          <w:rFonts w:hint="eastAsia" w:ascii="宋体" w:hAnsi="宋体"/>
          <w:sz w:val="24"/>
          <w:szCs w:val="24"/>
          <w:u w:val="single"/>
        </w:rPr>
        <w:t>5</w:t>
      </w:r>
      <w:r>
        <w:rPr>
          <w:rFonts w:ascii="宋体" w:hAnsi="宋体"/>
          <w:sz w:val="24"/>
          <w:szCs w:val="24"/>
          <w:u w:val="single"/>
        </w:rPr>
        <w:t>00.00</w:t>
      </w:r>
      <w:r>
        <w:rPr>
          <w:rFonts w:hint="eastAsia" w:ascii="宋体" w:hAnsi="宋体"/>
          <w:sz w:val="24"/>
          <w:szCs w:val="24"/>
          <w:highlight w:val="none"/>
        </w:rPr>
        <w:t>元整(大写:</w:t>
      </w:r>
      <w:r>
        <w:rPr>
          <w:rFonts w:hint="eastAsia" w:ascii="宋体" w:hAnsi="宋体"/>
          <w:sz w:val="24"/>
          <w:szCs w:val="24"/>
          <w:highlight w:val="none"/>
          <w:u w:val="single"/>
        </w:rPr>
        <w:t>叁万壹仟伍佰</w:t>
      </w:r>
      <w:r>
        <w:rPr>
          <w:rFonts w:hint="eastAsia" w:ascii="宋体" w:hAnsi="宋体"/>
          <w:sz w:val="24"/>
          <w:szCs w:val="24"/>
          <w:highlight w:val="none"/>
        </w:rPr>
        <w:t>元整)</w:t>
      </w:r>
      <w:r>
        <w:rPr>
          <w:rFonts w:hint="eastAsia" w:ascii="宋体" w:hAnsi="宋体"/>
          <w:sz w:val="24"/>
          <w:szCs w:val="24"/>
        </w:rPr>
        <w:t>，其有效期截至本合同履约期限届满。若服务合同续签，则履行保证金的有效期相应顺延。履约保证金用以保证乙方履行合同规定的所有义务。</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6.3 除非双方另有协定，在履约保证金有效期届满后，甲方接到乙方提请退还履约保证金的书面申请和双方约定的有关单据后十五（</w:t>
      </w:r>
      <w:r>
        <w:rPr>
          <w:rFonts w:ascii="宋体" w:hAnsi="宋体"/>
          <w:sz w:val="24"/>
          <w:szCs w:val="24"/>
        </w:rPr>
        <w:t>15）</w:t>
      </w:r>
      <w:r>
        <w:rPr>
          <w:rFonts w:hint="eastAsia" w:ascii="宋体" w:hAnsi="宋体"/>
          <w:sz w:val="24"/>
          <w:szCs w:val="24"/>
        </w:rPr>
        <w:t>个工作日内，应将履约保证金或扣除违约金后剩余的履约保证金退还乙方(不计息)。</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6.4履约保证金采取银行电汇或支票倒存的方式汇入或存入甲方在谈判文件中指定的账户。</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6.5维保服务期开始后，乙方可以以银行保函的形式替换签约时提交的合同履约保证金。</w:t>
      </w:r>
    </w:p>
    <w:p>
      <w:pPr>
        <w:spacing w:before="156" w:beforeLines="50" w:line="360" w:lineRule="auto"/>
        <w:jc w:val="center"/>
        <w:outlineLvl w:val="1"/>
        <w:rPr>
          <w:b/>
          <w:bCs/>
          <w:color w:val="000000"/>
          <w:sz w:val="28"/>
        </w:rPr>
      </w:pPr>
      <w:r>
        <w:rPr>
          <w:rFonts w:hint="eastAsia"/>
          <w:b/>
          <w:bCs/>
          <w:color w:val="000000"/>
          <w:sz w:val="28"/>
        </w:rPr>
        <w:t>第七部分 双方责任及违约</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7.1对于因非正版软件或硬件引发的故障，乙方只负责判断故障原因，并将故障情况反映给甲方及甲方相关负责人。</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7.2乙方所维护软件如由甲方提供，则其不承担因软件版权所引起的纠纷，但如乙方所维护的软件系由乙方作为供应商向甲方提供，则乙方应当承担有关合同义务，并确保有关软件不存在任何质量瑕疵或权利瑕疵，且不会侵犯任何第三人的合法权益。</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7.3乙方有义务严守甲方的商业机密，不以任何的形式窃取或获取甲方保密信息，</w:t>
      </w:r>
      <w:r>
        <w:rPr>
          <w:rFonts w:hint="eastAsia" w:ascii="宋体" w:hAnsi="宋体"/>
          <w:sz w:val="24"/>
        </w:rPr>
        <w:t>并不得将甲方及甲方数据资料带出工作现场</w:t>
      </w:r>
      <w:r>
        <w:rPr>
          <w:rFonts w:hint="eastAsia" w:ascii="宋体" w:hAnsi="宋体"/>
          <w:sz w:val="24"/>
          <w:szCs w:val="24"/>
        </w:rPr>
        <w:t>。</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7.4乙方及原厂商在服务期间，如果对甲方及中国人民银行内其他部门运行正常的硬件、软件或其他财产造成损坏，乙方应负责对其修复及更换，确保甲方及中国人民银行内其他部门的正常使用，給甲方或中国人民银行造成损害或损失的，或发生其他侵犯甲方或第三方财产或合法权利的情况时，乙方应当承担全部法律责任和经济赔偿。</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7.5违约责任和合同解除</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7.5.1乙方未按合同要求向甲方提供服务时，甲方有权扣除其相应的服务费，其计算方法为：乙方及原厂商因自身原因未能完成甲方要求的服务工作的，乙方应按合同总金额的一定比例向甲方支付违约金，且每次支付违约金数额不低于合同总金额的2%（百分之二）。当以上违约金的累计金额达到合同总金额的5%（百分之五）时，甲方有权解除合同。</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7.5.2乙方及原厂商工作人员在提供服务时或提供服务外，造成甲方设施、材料、其他财产及甲方客户物品损失或损坏的，由乙方承担相应的赔偿责任。</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7.5.3甲方对乙方的投诉超过2次</w:t>
      </w:r>
      <w:r>
        <w:rPr>
          <w:rFonts w:hint="eastAsia" w:ascii="宋体" w:hAnsi="宋体" w:cs="宋体"/>
          <w:sz w:val="24"/>
          <w:szCs w:val="24"/>
          <w:lang w:bidi="ar"/>
        </w:rPr>
        <w:t>（含）</w:t>
      </w:r>
      <w:r>
        <w:rPr>
          <w:rFonts w:hint="eastAsia" w:ascii="宋体" w:hAnsi="宋体"/>
          <w:sz w:val="24"/>
          <w:szCs w:val="24"/>
        </w:rPr>
        <w:t>的,乙方每次每项应按合同总金额的1</w:t>
      </w:r>
      <w:r>
        <w:rPr>
          <w:rFonts w:ascii="宋体" w:hAnsi="宋体"/>
          <w:sz w:val="24"/>
          <w:szCs w:val="24"/>
        </w:rPr>
        <w:t>‰</w:t>
      </w:r>
      <w:r>
        <w:rPr>
          <w:rFonts w:hint="eastAsia" w:ascii="宋体" w:hAnsi="宋体"/>
          <w:sz w:val="24"/>
          <w:szCs w:val="24"/>
        </w:rPr>
        <w:t>(千分之一)向甲方支付违约金，投诉超过</w:t>
      </w:r>
      <w:r>
        <w:rPr>
          <w:rFonts w:hint="eastAsia" w:ascii="宋体" w:hAnsi="宋体"/>
          <w:sz w:val="24"/>
          <w:szCs w:val="24"/>
          <w:lang w:bidi="ar"/>
        </w:rPr>
        <w:t>5</w:t>
      </w:r>
      <w:r>
        <w:rPr>
          <w:rFonts w:hint="eastAsia" w:ascii="宋体" w:hAnsi="宋体" w:cs="宋体"/>
          <w:sz w:val="24"/>
          <w:szCs w:val="24"/>
          <w:lang w:bidi="ar"/>
        </w:rPr>
        <w:t>次（含）</w:t>
      </w:r>
      <w:r>
        <w:rPr>
          <w:rFonts w:hint="eastAsia" w:ascii="宋体" w:hAnsi="宋体"/>
          <w:sz w:val="24"/>
          <w:szCs w:val="24"/>
        </w:rPr>
        <w:t>的，甲方有权解除本合同。</w:t>
      </w:r>
    </w:p>
    <w:p>
      <w:pPr>
        <w:spacing w:line="480" w:lineRule="exact"/>
        <w:ind w:firstLine="480" w:firstLineChars="200"/>
      </w:pPr>
      <w:r>
        <w:rPr>
          <w:rFonts w:hint="eastAsia" w:ascii="宋体" w:hAnsi="宋体"/>
          <w:sz w:val="24"/>
          <w:szCs w:val="24"/>
          <w:lang w:bidi="ar"/>
        </w:rPr>
        <w:t>7.5.4乙方违反本合同约定的其他义务的，应每次每项按合同总金额的【5】‰（千分之【五】）向甲方支付违约金。当以上违约金的累计金额达到合同总金额的5%（百分之五）时，甲方有权解除合同。</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7.5.5甲方未按照合同规定期限支付服务费用的，除支付应付费用外，每日应按逾期支付服务费用的</w:t>
      </w:r>
      <w:r>
        <w:rPr>
          <w:rFonts w:ascii="宋体" w:hAnsi="宋体"/>
          <w:sz w:val="24"/>
          <w:szCs w:val="24"/>
        </w:rPr>
        <w:t>0.2‰(万分之二)向乙方支付违约金</w:t>
      </w:r>
      <w:r>
        <w:rPr>
          <w:rFonts w:hint="eastAsia" w:ascii="宋体" w:hAnsi="宋体"/>
          <w:sz w:val="24"/>
          <w:szCs w:val="24"/>
        </w:rPr>
        <w:t>，直至实际支付相应款项为止，但甲方支付的违约金最多不得超过逾期付款金额的5%（百分之五）；违约金达到合同费用总额的</w:t>
      </w:r>
      <w:r>
        <w:rPr>
          <w:rFonts w:ascii="宋体" w:hAnsi="宋体"/>
          <w:sz w:val="24"/>
          <w:szCs w:val="24"/>
        </w:rPr>
        <w:t>5%</w:t>
      </w:r>
      <w:r>
        <w:rPr>
          <w:rFonts w:hint="eastAsia" w:ascii="宋体" w:hAnsi="宋体"/>
          <w:sz w:val="24"/>
          <w:szCs w:val="24"/>
        </w:rPr>
        <w:t>（百分之五）时，乙方有权解除合同。但因乙方未及时完成合同义务导致的延期付款除外。</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7.5.6除本合同另有约定外，当发生以下情形之一时，视为乙方构成根本违约，甲方有权解除合同并向乙方要求赔偿，发生第（1）、（5）至第（12）项的情形时，乙方还应向甲方支付合同总金额20%的违约金：</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（1）乙方未能按照合同履行规定的义务，致使甲方无法实现合同目的；</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（2）乙方发生分立、并购、重组、解散等重大改变；</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（3）乙方因清偿诉讼债务被扣押资产、冻结账户；</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（4）乙方申请或被申请重整、和解或者破产清算；</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（5）乙方将本合同转包或分包；</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（6）乙方部分转让或全部转让其应履行的合同义务或享有的合同权利；</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（7）乙方所提供服务存在严重瑕疵或重大缺陷；</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（8）乙方资质、提供服务人员等情况的真实性存在重大瑕疵或相应的资质失效；</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（9）乙方中期验收或最终验收不合格且未采取经甲方认可的改善措施的，以及在第三部分规定的各阶段验收时间期限内一直未通过验收的；</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（10）给甲方或中国人民银行的既有硬件、软件或其他财产重大损害（包括损失额超过（人民币￥3,000.00）元整（大写：人民币叁仟元整）或造成重大负面影响的）；</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（11）乙方违反本合同规定的条款并在甲方给予书面通知后3个工作日内仍未采取合理有效且被甲方书面认可的补救措施；</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（12）法律规定和本合同约定的其他甲方有权解除合同的情形。</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7.5.7如果违约方在收到守约方正式书面通知的违约金额7日内没有答复，则守约方提出的违约金额将视为被违约方接受。</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7.5.8甲乙双方承担违约责任并不影响双方继续履行合同未履行的部分。</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7.5.9乙方应对违约行为承担赔偿责任时，如果本合同约定的违约金、滞纳金不足以赔偿甲方全部损失的，乙方还应当对不足部分承担继续赔偿的责任。此外，甲方有权直接从未支付款项中扣除相应金额的款项作为乙方应支付的违约金或赔偿金。</w:t>
      </w:r>
    </w:p>
    <w:p>
      <w:pPr>
        <w:spacing w:line="480" w:lineRule="exact"/>
        <w:ind w:firstLine="480" w:firstLineChars="200"/>
      </w:pPr>
      <w:r>
        <w:rPr>
          <w:rFonts w:hint="eastAsia" w:ascii="宋体" w:hAnsi="宋体" w:cs="宋体"/>
          <w:sz w:val="24"/>
          <w:szCs w:val="24"/>
          <w:lang w:bidi="ar"/>
        </w:rPr>
        <w:t>本合同所称的甲方损失，是指甲方因调查乙方的违约行为、采取补救措施而支出的所有费用，包括但不限于甲方的先期经济投入，以及甲方向乙方及有关单位追索而发生的调查费、鉴定费、通知费、催告费、仲裁费、诉讼费、执行费、保全费、公证费、律师费、差旅费等费用。</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7.5.10甲方解除合同后，乙方应当在合同解除后的10日内将甲方已经支付的款项返还给甲方，如果有违约金的，违约金合并计算。逾期返还的，乙方应当按照该款项和违约金合并总额的千分之五的标准按日向甲方支付滞纳金。返还款项时，乙方已经提供且被甲方认可的服务所对应的服务费用应当予以扣减。</w:t>
      </w:r>
    </w:p>
    <w:p>
      <w:pPr>
        <w:spacing w:line="480" w:lineRule="exact"/>
        <w:ind w:firstLine="480" w:firstLineChars="200"/>
        <w:rPr>
          <w:rFonts w:hint="eastAsia" w:ascii="宋体" w:hAnsi="宋体"/>
          <w:sz w:val="24"/>
          <w:szCs w:val="24"/>
          <w:lang w:bidi="ar"/>
        </w:rPr>
      </w:pPr>
      <w:r>
        <w:rPr>
          <w:rFonts w:hint="eastAsia" w:ascii="宋体" w:hAnsi="宋体"/>
          <w:sz w:val="24"/>
          <w:szCs w:val="24"/>
          <w:lang w:bidi="ar"/>
        </w:rPr>
        <w:t>7.5.1</w:t>
      </w:r>
      <w:r>
        <w:rPr>
          <w:rFonts w:ascii="宋体" w:hAnsi="宋体"/>
          <w:sz w:val="24"/>
          <w:szCs w:val="24"/>
          <w:lang w:bidi="ar"/>
        </w:rPr>
        <w:t>1</w:t>
      </w:r>
      <w:r>
        <w:rPr>
          <w:rFonts w:hint="eastAsia" w:ascii="宋体" w:hAnsi="宋体" w:cs="宋体"/>
          <w:sz w:val="24"/>
          <w:szCs w:val="24"/>
          <w:lang w:bidi="ar"/>
        </w:rPr>
        <w:t>如果因乙方提供的货物或服务损害第三方合法权益（含知识产权或其他合法权益）的，乙方应予以处理并承担全部法律责任，还应当按合同总金额的</w:t>
      </w:r>
      <w:r>
        <w:rPr>
          <w:rFonts w:hint="eastAsia" w:ascii="宋体" w:hAnsi="宋体"/>
          <w:sz w:val="24"/>
          <w:szCs w:val="24"/>
          <w:lang w:bidi="ar"/>
        </w:rPr>
        <w:t>20% （百分之二十）向甲方支付违约金。甲方因此承担责任的，有权向乙方全额追偿。因此导致甲方合同目的不能实现的，甲方有权解除本合同并要求乙方按本合同第7.5.</w:t>
      </w:r>
      <w:r>
        <w:rPr>
          <w:rFonts w:ascii="宋体" w:hAnsi="宋体"/>
          <w:sz w:val="24"/>
          <w:szCs w:val="24"/>
          <w:lang w:bidi="ar"/>
        </w:rPr>
        <w:t>10</w:t>
      </w:r>
      <w:r>
        <w:rPr>
          <w:rFonts w:hint="eastAsia" w:ascii="宋体" w:hAnsi="宋体" w:cs="宋体"/>
          <w:sz w:val="24"/>
          <w:szCs w:val="24"/>
          <w:lang w:bidi="ar"/>
        </w:rPr>
        <w:t>条之约定承担违约责任。</w:t>
      </w:r>
      <w:bookmarkStart w:id="0" w:name="_Hlk84685245"/>
      <w:r>
        <w:rPr>
          <w:rFonts w:hint="eastAsia" w:ascii="宋体" w:hAnsi="宋体" w:cs="宋体"/>
          <w:sz w:val="24"/>
          <w:szCs w:val="24"/>
          <w:lang w:bidi="ar"/>
        </w:rPr>
        <w:t>不论合同是否解除或终止，本条持续永</w:t>
      </w:r>
      <w:r>
        <w:rPr>
          <w:rFonts w:hint="eastAsia" w:ascii="宋体" w:hAnsi="宋体"/>
          <w:sz w:val="24"/>
          <w:szCs w:val="24"/>
          <w:lang w:bidi="ar"/>
        </w:rPr>
        <w:t>久有效。</w:t>
      </w:r>
      <w:bookmarkEnd w:id="0"/>
    </w:p>
    <w:p>
      <w:pPr>
        <w:spacing w:line="480" w:lineRule="exact"/>
        <w:ind w:firstLine="480" w:firstLineChars="200"/>
        <w:rPr>
          <w:sz w:val="24"/>
          <w:szCs w:val="24"/>
          <w:lang w:bidi="ar"/>
        </w:rPr>
      </w:pPr>
      <w:r>
        <w:rPr>
          <w:rFonts w:hint="eastAsia" w:ascii="宋体" w:hAnsi="宋体"/>
          <w:sz w:val="24"/>
          <w:szCs w:val="24"/>
          <w:lang w:bidi="ar"/>
        </w:rPr>
        <w:t>7.5.1</w:t>
      </w:r>
      <w:r>
        <w:rPr>
          <w:rFonts w:ascii="宋体" w:hAnsi="宋体"/>
          <w:sz w:val="24"/>
          <w:szCs w:val="24"/>
          <w:lang w:bidi="ar"/>
        </w:rPr>
        <w:t>2</w:t>
      </w:r>
      <w:bookmarkStart w:id="1" w:name="_Hlk84862184"/>
      <w:r>
        <w:rPr>
          <w:rFonts w:hint="eastAsia" w:ascii="宋体" w:hAnsi="宋体"/>
          <w:sz w:val="24"/>
          <w:szCs w:val="24"/>
          <w:lang w:bidi="ar"/>
        </w:rPr>
        <w:t>在甲方根据上述规定终止合同后，甲方可以依其认为适当的条件和方法购买与乙方未能通过甲方验收的货物或服务，并自行安排提供服务，如甲方因此支付的费用加上应向乙方支付的费用（如有）超出合同总金额，则乙方应当向甲方赔偿超出部分的款项，并承担由此造成甲方的损失</w:t>
      </w:r>
      <w:bookmarkEnd w:id="1"/>
      <w:r>
        <w:rPr>
          <w:rFonts w:hint="eastAsia" w:ascii="宋体" w:hAnsi="宋体"/>
          <w:sz w:val="24"/>
          <w:szCs w:val="24"/>
        </w:rPr>
        <w:t>。</w:t>
      </w:r>
    </w:p>
    <w:p>
      <w:pPr>
        <w:pStyle w:val="8"/>
        <w:spacing w:before="62" w:after="62"/>
      </w:pPr>
    </w:p>
    <w:p>
      <w:pPr>
        <w:spacing w:before="156" w:beforeLines="50" w:line="360" w:lineRule="auto"/>
        <w:jc w:val="center"/>
        <w:outlineLvl w:val="1"/>
        <w:rPr>
          <w:b/>
          <w:bCs/>
          <w:color w:val="000000"/>
          <w:sz w:val="28"/>
        </w:rPr>
      </w:pPr>
      <w:r>
        <w:rPr>
          <w:rFonts w:hint="eastAsia"/>
          <w:b/>
          <w:bCs/>
          <w:color w:val="000000"/>
          <w:sz w:val="28"/>
        </w:rPr>
        <w:t>第八部分 不可抗力</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8</w:t>
      </w:r>
      <w:r>
        <w:rPr>
          <w:rFonts w:ascii="宋体" w:hAnsi="宋体"/>
          <w:sz w:val="24"/>
          <w:szCs w:val="24"/>
        </w:rPr>
        <w:t xml:space="preserve">.1 </w:t>
      </w:r>
      <w:r>
        <w:rPr>
          <w:rFonts w:hint="eastAsia" w:ascii="宋体" w:hAnsi="宋体"/>
          <w:sz w:val="24"/>
          <w:szCs w:val="24"/>
        </w:rPr>
        <w:t>如果任何一方由于遭受诸如战争、严重火灾、洪水、台风、地震等重大自然灾害、以及各方同意的其他不可抗力的事件，致使影响合同履行，履行合同的期限应予以延长，延长的期限应相当于事件所影响的时间。不可抗力事件系指双方在缔结合同时所不能预见的，并且它的发生及其后果是无法避免和无法克服的客观情况。</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8</w:t>
      </w:r>
      <w:r>
        <w:rPr>
          <w:rFonts w:ascii="宋体" w:hAnsi="宋体"/>
          <w:sz w:val="24"/>
          <w:szCs w:val="24"/>
        </w:rPr>
        <w:t>.2</w:t>
      </w:r>
      <w:r>
        <w:rPr>
          <w:rFonts w:hint="eastAsia" w:ascii="宋体" w:hAnsi="宋体"/>
          <w:sz w:val="24"/>
          <w:szCs w:val="24"/>
        </w:rPr>
        <w:t>遭受不可抗力一方应在不可抗力事件发生后2日内以书面形式通知其他方；并在事件发生后</w:t>
      </w:r>
      <w:r>
        <w:rPr>
          <w:rFonts w:ascii="宋体" w:hAnsi="宋体"/>
          <w:sz w:val="24"/>
          <w:szCs w:val="24"/>
        </w:rPr>
        <w:t xml:space="preserve"> 10 </w:t>
      </w:r>
      <w:r>
        <w:rPr>
          <w:rFonts w:hint="eastAsia" w:ascii="宋体" w:hAnsi="宋体"/>
          <w:sz w:val="24"/>
          <w:szCs w:val="24"/>
        </w:rPr>
        <w:t>日内，将有关部门出具的证明文件、详细情况报告以及不可抗力对合同影响程度的说明用特快专递或挂号信的形式寄给其他方。如果不可抗力影响时间延续</w:t>
      </w:r>
      <w:r>
        <w:rPr>
          <w:rFonts w:ascii="宋体" w:hAnsi="宋体"/>
          <w:sz w:val="24"/>
          <w:szCs w:val="24"/>
        </w:rPr>
        <w:t xml:space="preserve"> 60 </w:t>
      </w:r>
      <w:r>
        <w:rPr>
          <w:rFonts w:hint="eastAsia" w:ascii="宋体" w:hAnsi="宋体"/>
          <w:sz w:val="24"/>
          <w:szCs w:val="24"/>
        </w:rPr>
        <w:t>日以上，各方应通过友好协商在合理的时间内达成进一步履行合同或终止合同的协议。</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8</w:t>
      </w:r>
      <w:r>
        <w:rPr>
          <w:rFonts w:ascii="宋体" w:hAnsi="宋体"/>
          <w:sz w:val="24"/>
          <w:szCs w:val="24"/>
        </w:rPr>
        <w:t xml:space="preserve">.3 </w:t>
      </w:r>
      <w:r>
        <w:rPr>
          <w:rFonts w:hint="eastAsia" w:ascii="宋体" w:hAnsi="宋体"/>
          <w:sz w:val="24"/>
          <w:szCs w:val="24"/>
        </w:rPr>
        <w:t>除非迟延履行后发生不可抗力事件的，发生不可抗力时，任何一方均不对因不可抗力无法履行或迟延履行本合同义务而使其他方蒙受损失承担责任，但遭受不可抗力一方有责任尽可能及时采取适当或必要措施减少或消除不可抗力的影响。遭受不可抗力的一方对因未尽本项义务而造成的损失承担赔偿责任。</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8</w:t>
      </w:r>
      <w:r>
        <w:rPr>
          <w:rFonts w:ascii="宋体" w:hAnsi="宋体"/>
          <w:sz w:val="24"/>
          <w:szCs w:val="24"/>
        </w:rPr>
        <w:t xml:space="preserve">.4 </w:t>
      </w:r>
      <w:r>
        <w:rPr>
          <w:rFonts w:hint="eastAsia" w:ascii="宋体" w:hAnsi="宋体"/>
          <w:sz w:val="24"/>
          <w:szCs w:val="24"/>
        </w:rPr>
        <w:t>受事件影响的一方应在不可抗力事件影响停止或消除后</w:t>
      </w:r>
      <w:r>
        <w:rPr>
          <w:rFonts w:ascii="宋体" w:hAnsi="宋体"/>
          <w:sz w:val="24"/>
          <w:szCs w:val="24"/>
        </w:rPr>
        <w:t>10</w:t>
      </w:r>
      <w:r>
        <w:rPr>
          <w:rFonts w:hint="eastAsia" w:ascii="宋体" w:hAnsi="宋体"/>
          <w:sz w:val="24"/>
          <w:szCs w:val="24"/>
        </w:rPr>
        <w:t>日内将不可抗力事件已停止的报告以书面形式通知其他方。</w:t>
      </w:r>
    </w:p>
    <w:p>
      <w:pPr>
        <w:spacing w:before="156" w:beforeLines="50" w:line="360" w:lineRule="auto"/>
        <w:jc w:val="center"/>
        <w:outlineLvl w:val="1"/>
        <w:rPr>
          <w:b/>
          <w:bCs/>
          <w:color w:val="000000"/>
          <w:sz w:val="28"/>
        </w:rPr>
      </w:pPr>
      <w:r>
        <w:rPr>
          <w:rFonts w:hint="eastAsia"/>
          <w:b/>
          <w:bCs/>
          <w:color w:val="000000"/>
          <w:sz w:val="28"/>
        </w:rPr>
        <w:t>第九部分 保密约定</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9.1 乙方应对在本合同履行过程中知悉的有关甲方的商业、国家等秘密承担保密义务。除经甲方的书面同意或法律、法规另有规定，乙方不得向本合同以外的任何第三人提供、泄漏上述秘密。乙方违反保密义务的，应按合同附件《业务合作保密协议》之约定承担违约责任。违反本条规定给甲方造成损失的，乙方应承担相应责任。</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9.2 除合同本身以外，由甲方提供给乙方的所有资料始终为甲方的财产，乙方应于合同义务履行完毕后</w:t>
      </w:r>
      <w:r>
        <w:rPr>
          <w:rFonts w:hint="eastAsia" w:ascii="宋体" w:hAnsi="宋体" w:cs="宋体"/>
          <w:sz w:val="24"/>
          <w:szCs w:val="24"/>
          <w:lang w:bidi="ar"/>
        </w:rPr>
        <w:t>【</w:t>
      </w:r>
      <w:r>
        <w:rPr>
          <w:rFonts w:hint="eastAsia" w:ascii="宋体" w:hAnsi="宋体"/>
          <w:sz w:val="24"/>
          <w:szCs w:val="24"/>
          <w:lang w:bidi="ar"/>
        </w:rPr>
        <w:t>30】日内</w:t>
      </w:r>
      <w:r>
        <w:rPr>
          <w:rFonts w:hint="eastAsia" w:ascii="宋体" w:hAnsi="宋体"/>
          <w:sz w:val="24"/>
          <w:szCs w:val="24"/>
        </w:rPr>
        <w:t>将上述资料包括副本退还给甲方。</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9.3 不论合同是否解除或终止，</w:t>
      </w:r>
      <w:r>
        <w:rPr>
          <w:rFonts w:hint="eastAsia" w:ascii="宋体" w:hAnsi="宋体" w:cs="宋体"/>
          <w:sz w:val="24"/>
          <w:szCs w:val="24"/>
          <w:lang w:bidi="ar"/>
        </w:rPr>
        <w:t>本条持续永久有效</w:t>
      </w:r>
      <w:r>
        <w:rPr>
          <w:rFonts w:hint="eastAsia" w:ascii="宋体" w:hAnsi="宋体"/>
          <w:sz w:val="24"/>
          <w:szCs w:val="24"/>
        </w:rPr>
        <w:t>。</w:t>
      </w:r>
    </w:p>
    <w:p>
      <w:pPr>
        <w:spacing w:before="156" w:beforeLines="50" w:line="360" w:lineRule="auto"/>
        <w:jc w:val="center"/>
        <w:outlineLvl w:val="1"/>
        <w:rPr>
          <w:b/>
          <w:bCs/>
          <w:color w:val="000000"/>
          <w:sz w:val="28"/>
        </w:rPr>
      </w:pPr>
      <w:r>
        <w:rPr>
          <w:rFonts w:hint="eastAsia"/>
          <w:b/>
          <w:bCs/>
          <w:color w:val="000000"/>
          <w:sz w:val="28"/>
        </w:rPr>
        <w:t>第十部分 争议解决</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10.1在执行本合同中所发生的争端，或与本合同有关的一切争端，甲、乙双方应通过协商解决。如通过协商方式仍不能解决争议，双方同意依法向甲方所在地有管辖权的人民法院提起诉讼。</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10.2在诉讼期间，除正在进行诉讼部分外，本合同其他部分应继续执行。</w:t>
      </w:r>
    </w:p>
    <w:p>
      <w:pPr>
        <w:spacing w:before="156" w:beforeLines="50" w:line="360" w:lineRule="auto"/>
        <w:jc w:val="center"/>
        <w:outlineLvl w:val="1"/>
        <w:rPr>
          <w:b/>
          <w:bCs/>
          <w:color w:val="000000"/>
          <w:sz w:val="28"/>
        </w:rPr>
      </w:pPr>
      <w:r>
        <w:rPr>
          <w:rFonts w:hint="eastAsia"/>
          <w:b/>
          <w:bCs/>
          <w:color w:val="000000"/>
          <w:sz w:val="28"/>
        </w:rPr>
        <w:t>第十一部分 合同的终止</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11.1甲乙双方均不得单方面随意变更或解除合同。出现下列情况时本合同自行终止：</w:t>
      </w:r>
    </w:p>
    <w:p>
      <w:pPr>
        <w:tabs>
          <w:tab w:val="left" w:pos="900"/>
        </w:tabs>
        <w:spacing w:line="360" w:lineRule="auto"/>
        <w:ind w:firstLine="480" w:firstLineChars="200"/>
        <w:rPr>
          <w:rFonts w:hint="eastAsia" w:ascii="宋体" w:hAnsi="宋体"/>
          <w:sz w:val="24"/>
          <w:szCs w:val="24"/>
        </w:rPr>
      </w:pPr>
      <w:r>
        <w:rPr>
          <w:rFonts w:ascii="宋体" w:hAnsi="宋体"/>
          <w:sz w:val="24"/>
          <w:szCs w:val="24"/>
        </w:rPr>
        <w:t>1</w:t>
      </w:r>
      <w:r>
        <w:rPr>
          <w:rFonts w:hint="eastAsia" w:ascii="宋体" w:hAnsi="宋体"/>
          <w:sz w:val="24"/>
          <w:szCs w:val="24"/>
        </w:rPr>
        <w:t>1</w:t>
      </w:r>
      <w:r>
        <w:rPr>
          <w:rFonts w:ascii="宋体" w:hAnsi="宋体"/>
          <w:sz w:val="24"/>
          <w:szCs w:val="24"/>
        </w:rPr>
        <w:t>.1.1</w:t>
      </w:r>
      <w:r>
        <w:rPr>
          <w:rFonts w:hint="eastAsia" w:ascii="宋体" w:hAnsi="宋体"/>
          <w:sz w:val="24"/>
          <w:szCs w:val="24"/>
        </w:rPr>
        <w:t>本合同正常履行完毕；</w:t>
      </w:r>
    </w:p>
    <w:p>
      <w:pPr>
        <w:tabs>
          <w:tab w:val="left" w:pos="900"/>
        </w:tabs>
        <w:spacing w:line="360" w:lineRule="auto"/>
        <w:ind w:firstLine="480" w:firstLineChars="200"/>
        <w:rPr>
          <w:rFonts w:hint="eastAsia" w:ascii="宋体" w:hAnsi="宋体"/>
          <w:sz w:val="24"/>
          <w:szCs w:val="24"/>
        </w:rPr>
      </w:pPr>
      <w:r>
        <w:rPr>
          <w:rFonts w:ascii="宋体" w:hAnsi="宋体"/>
          <w:sz w:val="24"/>
          <w:szCs w:val="24"/>
        </w:rPr>
        <w:t>1</w:t>
      </w:r>
      <w:r>
        <w:rPr>
          <w:rFonts w:hint="eastAsia" w:ascii="宋体" w:hAnsi="宋体"/>
          <w:sz w:val="24"/>
          <w:szCs w:val="24"/>
        </w:rPr>
        <w:t>1</w:t>
      </w:r>
      <w:r>
        <w:rPr>
          <w:rFonts w:ascii="宋体" w:hAnsi="宋体"/>
          <w:sz w:val="24"/>
          <w:szCs w:val="24"/>
        </w:rPr>
        <w:t>.1.2</w:t>
      </w:r>
      <w:r>
        <w:rPr>
          <w:rFonts w:hint="eastAsia" w:ascii="宋体" w:hAnsi="宋体"/>
          <w:sz w:val="24"/>
          <w:szCs w:val="24"/>
        </w:rPr>
        <w:t>甲乙双方在不违反法律、法规规定的情况下协议终止本合同的履行；</w:t>
      </w:r>
    </w:p>
    <w:p>
      <w:pPr>
        <w:tabs>
          <w:tab w:val="left" w:pos="900"/>
        </w:tabs>
        <w:spacing w:line="360" w:lineRule="auto"/>
        <w:ind w:firstLine="480" w:firstLineChars="200"/>
        <w:rPr>
          <w:rFonts w:hint="eastAsia" w:ascii="宋体" w:hAnsi="宋体"/>
          <w:sz w:val="24"/>
          <w:szCs w:val="24"/>
        </w:rPr>
      </w:pPr>
      <w:r>
        <w:rPr>
          <w:rFonts w:ascii="宋体" w:hAnsi="宋体"/>
          <w:sz w:val="24"/>
          <w:szCs w:val="24"/>
        </w:rPr>
        <w:t>1</w:t>
      </w:r>
      <w:r>
        <w:rPr>
          <w:rFonts w:hint="eastAsia" w:ascii="宋体" w:hAnsi="宋体"/>
          <w:sz w:val="24"/>
          <w:szCs w:val="24"/>
        </w:rPr>
        <w:t>1</w:t>
      </w:r>
      <w:r>
        <w:rPr>
          <w:rFonts w:ascii="宋体" w:hAnsi="宋体"/>
          <w:sz w:val="24"/>
          <w:szCs w:val="24"/>
        </w:rPr>
        <w:t>.1.3</w:t>
      </w:r>
      <w:r>
        <w:rPr>
          <w:rFonts w:hint="eastAsia" w:ascii="宋体" w:hAnsi="宋体"/>
          <w:sz w:val="24"/>
          <w:szCs w:val="24"/>
        </w:rPr>
        <w:t>不可抗力导致本合同无法履行或履行不必要时；</w:t>
      </w:r>
    </w:p>
    <w:p>
      <w:pPr>
        <w:tabs>
          <w:tab w:val="left" w:pos="900"/>
        </w:tabs>
        <w:spacing w:line="360" w:lineRule="auto"/>
        <w:ind w:firstLine="480" w:firstLineChars="200"/>
        <w:rPr>
          <w:rFonts w:hint="eastAsia" w:ascii="宋体" w:hAnsi="宋体"/>
          <w:sz w:val="24"/>
          <w:szCs w:val="24"/>
        </w:rPr>
      </w:pPr>
      <w:r>
        <w:rPr>
          <w:rFonts w:ascii="宋体" w:hAnsi="宋体"/>
          <w:sz w:val="24"/>
          <w:szCs w:val="24"/>
        </w:rPr>
        <w:t>1</w:t>
      </w:r>
      <w:r>
        <w:rPr>
          <w:rFonts w:hint="eastAsia" w:ascii="宋体" w:hAnsi="宋体"/>
          <w:sz w:val="24"/>
          <w:szCs w:val="24"/>
        </w:rPr>
        <w:t>1</w:t>
      </w:r>
      <w:r>
        <w:rPr>
          <w:rFonts w:ascii="宋体" w:hAnsi="宋体"/>
          <w:sz w:val="24"/>
          <w:szCs w:val="24"/>
        </w:rPr>
        <w:t>.1.4</w:t>
      </w:r>
      <w:r>
        <w:rPr>
          <w:rFonts w:hint="eastAsia" w:ascii="宋体" w:hAnsi="宋体"/>
          <w:sz w:val="24"/>
          <w:szCs w:val="24"/>
        </w:rPr>
        <w:t>一方根据本合同规定提出解除合同后，本合同在责任方按照本合同的约定履行完毕全部支付义务或其他义务后终止。</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11.2合同的终止并不影响甲乙双方承担其他法律责任。</w:t>
      </w:r>
    </w:p>
    <w:p>
      <w:pPr>
        <w:spacing w:before="156" w:beforeLines="50" w:line="360" w:lineRule="auto"/>
        <w:jc w:val="center"/>
        <w:outlineLvl w:val="1"/>
        <w:rPr>
          <w:b/>
          <w:bCs/>
          <w:color w:val="000000"/>
          <w:sz w:val="28"/>
        </w:rPr>
      </w:pPr>
      <w:r>
        <w:rPr>
          <w:rFonts w:hint="eastAsia"/>
          <w:b/>
          <w:bCs/>
          <w:color w:val="000000"/>
          <w:sz w:val="28"/>
        </w:rPr>
        <w:t>第十二部分 法律适用</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12.1本合同应适用中华人民共和国法律。</w:t>
      </w:r>
    </w:p>
    <w:p>
      <w:pPr>
        <w:spacing w:before="156" w:beforeLines="50" w:line="360" w:lineRule="auto"/>
        <w:ind w:firstLine="3092" w:firstLineChars="1100"/>
        <w:outlineLvl w:val="1"/>
        <w:rPr>
          <w:b/>
          <w:bCs/>
          <w:color w:val="000000"/>
          <w:sz w:val="28"/>
        </w:rPr>
      </w:pPr>
      <w:r>
        <w:rPr>
          <w:rFonts w:hint="eastAsia"/>
          <w:b/>
          <w:bCs/>
          <w:color w:val="000000"/>
          <w:sz w:val="28"/>
        </w:rPr>
        <w:t>第十三部分 其他</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13.1合同书写应用中文，各方所有的来往信函，以及合同有关的文件均应以中文书写，以外文书写的必须附有相应的中文译本。如果两种文本的含义发生冲突，各方同意以中文文本为准。</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13.2各方发出与本合同有关的通知或回复，应以专人送递、传真或特快专递的方式送出。如果以专人送递或特快专递发送，以到达至双方约定的地址或通讯联络地视为送达；如果以传真发送，以送达至对方的传真机并经对方确认视为送达。</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双方的联络方式以本合同首部载明为准。任何一方变更列明的通讯地址、传真等联络方式的，应提前五日书面通知对方。</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13.3本合同一式四份，甲方持二份，乙方持二份，经甲、乙双方法定代表人或其授权代表签字、加盖单位公章或合同章并在甲方收到履约保证金后生效。</w:t>
      </w:r>
    </w:p>
    <w:p>
      <w:pPr>
        <w:spacing w:before="156" w:beforeLines="50" w:line="360" w:lineRule="auto"/>
        <w:jc w:val="center"/>
        <w:outlineLvl w:val="1"/>
        <w:rPr>
          <w:b/>
          <w:bCs/>
          <w:color w:val="000000"/>
          <w:sz w:val="28"/>
        </w:rPr>
      </w:pPr>
      <w:r>
        <w:rPr>
          <w:rFonts w:hint="eastAsia"/>
          <w:b/>
          <w:bCs/>
          <w:color w:val="000000"/>
          <w:sz w:val="28"/>
        </w:rPr>
        <w:t>第十四部分 附件</w:t>
      </w:r>
    </w:p>
    <w:p>
      <w:pPr>
        <w:tabs>
          <w:tab w:val="left" w:pos="900"/>
        </w:tabs>
        <w:spacing w:line="360" w:lineRule="auto"/>
        <w:ind w:firstLine="480" w:firstLineChars="200"/>
        <w:rPr>
          <w:rFonts w:hint="eastAsia" w:ascii="宋体" w:hAnsi="宋体"/>
          <w:sz w:val="24"/>
          <w:szCs w:val="24"/>
        </w:rPr>
      </w:pPr>
      <w:r>
        <w:rPr>
          <w:rFonts w:ascii="宋体" w:hAnsi="宋体"/>
          <w:sz w:val="24"/>
          <w:szCs w:val="24"/>
        </w:rPr>
        <w:t>1</w:t>
      </w:r>
      <w:r>
        <w:rPr>
          <w:rFonts w:hint="eastAsia" w:ascii="宋体" w:hAnsi="宋体"/>
          <w:sz w:val="24"/>
          <w:szCs w:val="24"/>
        </w:rPr>
        <w:t>4.1本合同附件均为本合同不可分割的部分，与合同正文具有同等法律效力。</w:t>
      </w:r>
    </w:p>
    <w:p>
      <w:pPr>
        <w:tabs>
          <w:tab w:val="left" w:pos="900"/>
        </w:tabs>
        <w:spacing w:line="480" w:lineRule="exact"/>
        <w:ind w:firstLine="480" w:firstLineChars="200"/>
        <w:rPr>
          <w:rFonts w:hint="eastAsia" w:ascii="宋体" w:hAnsi="宋体"/>
          <w:sz w:val="24"/>
          <w:szCs w:val="24"/>
        </w:rPr>
      </w:pPr>
      <w:r>
        <w:rPr>
          <w:rFonts w:hint="eastAsia" w:ascii="宋体" w:hAnsi="宋体"/>
          <w:sz w:val="24"/>
          <w:szCs w:val="24"/>
        </w:rPr>
        <w:t>合同附件目录如下：</w:t>
      </w:r>
    </w:p>
    <w:p>
      <w:pPr>
        <w:tabs>
          <w:tab w:val="left" w:pos="900"/>
        </w:tabs>
        <w:spacing w:line="480" w:lineRule="exact"/>
        <w:ind w:firstLine="480" w:firstLineChars="200"/>
        <w:rPr>
          <w:rFonts w:hint="eastAsia" w:ascii="宋体" w:hAnsi="宋体"/>
          <w:sz w:val="24"/>
          <w:szCs w:val="24"/>
        </w:rPr>
      </w:pPr>
      <w:r>
        <w:rPr>
          <w:rFonts w:hint="eastAsia" w:ascii="宋体" w:hAnsi="宋体"/>
          <w:sz w:val="24"/>
          <w:szCs w:val="24"/>
        </w:rPr>
        <w:t>附件一、</w:t>
      </w:r>
      <w:r>
        <w:rPr>
          <w:rFonts w:hint="eastAsia" w:ascii="宋体" w:hAnsi="宋体" w:cs="宋体"/>
          <w:sz w:val="24"/>
          <w:szCs w:val="24"/>
          <w:lang w:bidi="ar"/>
        </w:rPr>
        <w:t>业务合作保密协议</w:t>
      </w:r>
    </w:p>
    <w:p>
      <w:pPr>
        <w:tabs>
          <w:tab w:val="left" w:pos="900"/>
        </w:tabs>
        <w:spacing w:line="480" w:lineRule="exact"/>
        <w:ind w:firstLine="480" w:firstLineChars="200"/>
        <w:rPr>
          <w:rFonts w:hint="eastAsia" w:ascii="宋体" w:hAnsi="宋体"/>
          <w:sz w:val="24"/>
          <w:szCs w:val="24"/>
        </w:rPr>
      </w:pPr>
      <w:r>
        <w:rPr>
          <w:rFonts w:hint="eastAsia" w:ascii="宋体" w:hAnsi="宋体"/>
          <w:sz w:val="24"/>
          <w:szCs w:val="24"/>
        </w:rPr>
        <w:t>附件二、合同清单及价格</w:t>
      </w:r>
    </w:p>
    <w:p>
      <w:pPr>
        <w:tabs>
          <w:tab w:val="left" w:pos="900"/>
        </w:tabs>
        <w:spacing w:line="480" w:lineRule="exact"/>
        <w:ind w:firstLine="480" w:firstLineChars="200"/>
        <w:rPr>
          <w:rFonts w:hint="eastAsia" w:ascii="宋体" w:hAnsi="宋体"/>
          <w:sz w:val="24"/>
          <w:szCs w:val="24"/>
        </w:rPr>
      </w:pPr>
      <w:r>
        <w:rPr>
          <w:rFonts w:hint="eastAsia" w:ascii="宋体" w:hAnsi="宋体"/>
          <w:sz w:val="24"/>
          <w:szCs w:val="24"/>
        </w:rPr>
        <w:t>附件三、甲方的业务需求及技术规范</w:t>
      </w:r>
    </w:p>
    <w:p>
      <w:pPr>
        <w:tabs>
          <w:tab w:val="left" w:pos="900"/>
        </w:tabs>
        <w:spacing w:line="480" w:lineRule="exact"/>
        <w:ind w:firstLine="480" w:firstLineChars="200"/>
        <w:rPr>
          <w:rFonts w:hint="eastAsia" w:ascii="宋体" w:hAnsi="宋体"/>
          <w:sz w:val="24"/>
          <w:szCs w:val="24"/>
        </w:rPr>
      </w:pPr>
      <w:r>
        <w:rPr>
          <w:rFonts w:hint="eastAsia" w:ascii="宋体" w:hAnsi="宋体"/>
          <w:sz w:val="24"/>
          <w:szCs w:val="24"/>
        </w:rPr>
        <w:t>附件四、乙方维护服务及质量保证承诺</w:t>
      </w:r>
    </w:p>
    <w:p>
      <w:pPr>
        <w:tabs>
          <w:tab w:val="left" w:pos="900"/>
        </w:tabs>
        <w:spacing w:line="480" w:lineRule="exact"/>
        <w:ind w:firstLine="480" w:firstLineChars="200"/>
        <w:rPr>
          <w:rFonts w:hint="eastAsia" w:ascii="宋体" w:hAnsi="宋体"/>
          <w:sz w:val="24"/>
          <w:szCs w:val="24"/>
        </w:rPr>
      </w:pPr>
      <w:r>
        <w:rPr>
          <w:rFonts w:hint="eastAsia" w:ascii="宋体" w:hAnsi="宋体"/>
          <w:sz w:val="24"/>
          <w:szCs w:val="24"/>
        </w:rPr>
        <w:t>附件五、成交通知书</w:t>
      </w:r>
    </w:p>
    <w:p>
      <w:pPr>
        <w:tabs>
          <w:tab w:val="left" w:pos="900"/>
        </w:tabs>
        <w:spacing w:line="480" w:lineRule="exact"/>
        <w:ind w:firstLine="480" w:firstLineChars="200"/>
        <w:rPr>
          <w:rFonts w:hint="eastAsia" w:ascii="宋体" w:hAnsi="宋体"/>
          <w:sz w:val="24"/>
          <w:szCs w:val="24"/>
        </w:rPr>
      </w:pPr>
      <w:r>
        <w:rPr>
          <w:rFonts w:hint="eastAsia" w:ascii="宋体" w:hAnsi="宋体"/>
          <w:sz w:val="24"/>
          <w:szCs w:val="24"/>
        </w:rPr>
        <w:t>附件六、供应商拥有者性别声明</w:t>
      </w:r>
    </w:p>
    <w:p>
      <w:pPr>
        <w:autoSpaceDE w:val="0"/>
        <w:autoSpaceDN w:val="0"/>
        <w:snapToGrid w:val="0"/>
        <w:spacing w:line="720" w:lineRule="auto"/>
        <w:jc w:val="left"/>
        <w:rPr>
          <w:rFonts w:hint="eastAsia" w:hAnsi="宋体" w:eastAsiaTheme="minorEastAsia"/>
        </w:rPr>
      </w:pPr>
    </w:p>
    <w:p>
      <w:pPr>
        <w:widowControl/>
        <w:jc w:val="left"/>
        <w:rPr>
          <w:rFonts w:hint="eastAsia" w:ascii="宋体" w:hAnsi="宋体" w:cs="宋体"/>
          <w:sz w:val="24"/>
          <w:szCs w:val="24"/>
          <w:lang w:bidi="ar"/>
        </w:rPr>
      </w:pPr>
      <w:r>
        <w:rPr>
          <w:rFonts w:hint="eastAsia" w:ascii="宋体" w:hAnsi="宋体" w:cs="宋体"/>
          <w:sz w:val="24"/>
          <w:szCs w:val="24"/>
          <w:lang w:bidi="ar"/>
        </w:rPr>
        <w:br w:type="page"/>
      </w:r>
    </w:p>
    <w:p>
      <w:pPr>
        <w:autoSpaceDE w:val="0"/>
        <w:autoSpaceDN w:val="0"/>
        <w:snapToGrid w:val="0"/>
        <w:spacing w:line="360" w:lineRule="auto"/>
        <w:ind w:left="360"/>
        <w:jc w:val="center"/>
        <w:rPr>
          <w:rFonts w:hint="eastAsia" w:hAnsi="宋体"/>
          <w:sz w:val="24"/>
          <w:szCs w:val="24"/>
        </w:rPr>
      </w:pPr>
      <w:r>
        <w:rPr>
          <w:rFonts w:hint="eastAsia" w:ascii="宋体" w:hAnsi="宋体" w:cs="宋体"/>
          <w:sz w:val="24"/>
          <w:szCs w:val="24"/>
          <w:lang w:bidi="ar"/>
        </w:rPr>
        <w:t>（本行以下无正文）</w:t>
      </w:r>
    </w:p>
    <w:p>
      <w:pPr>
        <w:pStyle w:val="8"/>
        <w:spacing w:before="62" w:after="62"/>
      </w:pPr>
    </w:p>
    <w:p>
      <w:pPr>
        <w:autoSpaceDE w:val="0"/>
        <w:autoSpaceDN w:val="0"/>
        <w:snapToGrid w:val="0"/>
        <w:spacing w:line="720" w:lineRule="auto"/>
        <w:rPr>
          <w:rFonts w:hint="eastAsia" w:hAnsi="宋体"/>
          <w:sz w:val="24"/>
          <w:szCs w:val="24"/>
        </w:rPr>
      </w:pPr>
      <w:r>
        <w:rPr>
          <w:rFonts w:hint="eastAsia" w:ascii="宋体" w:hAnsi="宋体" w:cs="宋体"/>
          <w:sz w:val="24"/>
          <w:szCs w:val="24"/>
          <w:lang w:bidi="ar"/>
        </w:rPr>
        <w:t xml:space="preserve">甲方：中国人民银行征信中心 </w:t>
      </w:r>
      <w:r>
        <w:rPr>
          <w:rFonts w:ascii="宋体" w:hAnsi="宋体" w:cs="宋体"/>
          <w:sz w:val="24"/>
          <w:szCs w:val="24"/>
          <w:lang w:bidi="ar"/>
        </w:rPr>
        <w:t xml:space="preserve">        </w:t>
      </w:r>
      <w:r>
        <w:rPr>
          <w:rFonts w:hint="eastAsia" w:ascii="宋体" w:hAnsi="宋体" w:cs="宋体"/>
          <w:sz w:val="24"/>
          <w:szCs w:val="24"/>
          <w:highlight w:val="none"/>
          <w:lang w:bidi="ar"/>
        </w:rPr>
        <w:t xml:space="preserve">  乙方：</w:t>
      </w:r>
      <w:r>
        <w:rPr>
          <w:rFonts w:hint="eastAsia" w:ascii="宋体" w:hAnsi="宋体" w:cs="宋体"/>
          <w:sz w:val="24"/>
          <w:szCs w:val="24"/>
          <w:lang w:bidi="ar"/>
        </w:rPr>
        <w:t>北京神州新桥科技有限公司</w:t>
      </w:r>
    </w:p>
    <w:p>
      <w:pPr>
        <w:autoSpaceDE w:val="0"/>
        <w:autoSpaceDN w:val="0"/>
        <w:snapToGrid w:val="0"/>
        <w:spacing w:line="720" w:lineRule="auto"/>
        <w:jc w:val="left"/>
        <w:rPr>
          <w:rFonts w:hint="eastAsia" w:hAnsi="宋体"/>
          <w:sz w:val="24"/>
          <w:szCs w:val="24"/>
        </w:rPr>
      </w:pPr>
      <w:r>
        <w:rPr>
          <w:rFonts w:hint="eastAsia" w:ascii="宋体" w:hAnsi="宋体" w:cs="宋体"/>
          <w:sz w:val="24"/>
          <w:szCs w:val="24"/>
          <w:lang w:bidi="ar"/>
        </w:rPr>
        <w:t xml:space="preserve">单位盖章：                         </w:t>
      </w:r>
      <w:r>
        <w:rPr>
          <w:rFonts w:ascii="宋体" w:hAnsi="宋体" w:cs="宋体"/>
          <w:sz w:val="24"/>
          <w:szCs w:val="24"/>
          <w:lang w:bidi="ar"/>
        </w:rPr>
        <w:t xml:space="preserve">  </w:t>
      </w:r>
      <w:r>
        <w:rPr>
          <w:rFonts w:hint="eastAsia" w:ascii="宋体" w:hAnsi="宋体" w:cs="宋体"/>
          <w:sz w:val="24"/>
          <w:szCs w:val="24"/>
          <w:lang w:bidi="ar"/>
        </w:rPr>
        <w:t>单位盖章：</w:t>
      </w:r>
    </w:p>
    <w:p>
      <w:pPr>
        <w:autoSpaceDE w:val="0"/>
        <w:autoSpaceDN w:val="0"/>
        <w:snapToGrid w:val="0"/>
        <w:spacing w:line="720" w:lineRule="auto"/>
        <w:jc w:val="left"/>
        <w:rPr>
          <w:rFonts w:hint="eastAsia" w:hAnsi="宋体"/>
          <w:sz w:val="24"/>
          <w:szCs w:val="24"/>
        </w:rPr>
      </w:pPr>
      <w:r>
        <w:rPr>
          <w:rFonts w:hint="eastAsia" w:ascii="宋体" w:hAnsi="宋体" w:cs="宋体"/>
          <w:sz w:val="24"/>
          <w:szCs w:val="24"/>
          <w:lang w:bidi="ar"/>
        </w:rPr>
        <w:t xml:space="preserve">法定代表人或授权代表签字：        </w:t>
      </w:r>
      <w:r>
        <w:rPr>
          <w:rFonts w:ascii="宋体" w:hAnsi="宋体" w:cs="宋体"/>
          <w:sz w:val="24"/>
          <w:szCs w:val="24"/>
          <w:lang w:bidi="ar"/>
        </w:rPr>
        <w:t xml:space="preserve"> </w:t>
      </w:r>
      <w:r>
        <w:rPr>
          <w:rFonts w:hint="eastAsia" w:ascii="宋体" w:hAnsi="宋体" w:cs="宋体"/>
          <w:sz w:val="24"/>
          <w:szCs w:val="24"/>
          <w:lang w:bidi="ar"/>
        </w:rPr>
        <w:t xml:space="preserve"> </w:t>
      </w:r>
      <w:r>
        <w:rPr>
          <w:rFonts w:ascii="宋体" w:hAnsi="宋体" w:cs="宋体"/>
          <w:sz w:val="24"/>
          <w:szCs w:val="24"/>
          <w:lang w:bidi="ar"/>
        </w:rPr>
        <w:t xml:space="preserve"> </w:t>
      </w:r>
      <w:r>
        <w:rPr>
          <w:rFonts w:hint="eastAsia" w:ascii="宋体" w:hAnsi="宋体" w:cs="宋体"/>
          <w:sz w:val="24"/>
          <w:szCs w:val="24"/>
          <w:lang w:bidi="ar"/>
        </w:rPr>
        <w:t>法定代表人或授权代表签字：</w:t>
      </w:r>
    </w:p>
    <w:p>
      <w:pPr>
        <w:autoSpaceDE w:val="0"/>
        <w:autoSpaceDN w:val="0"/>
        <w:snapToGrid w:val="0"/>
        <w:spacing w:line="720" w:lineRule="auto"/>
        <w:jc w:val="left"/>
        <w:rPr>
          <w:rFonts w:hint="eastAsia" w:ascii="宋体" w:hAnsi="宋体" w:cs="宋体"/>
          <w:sz w:val="24"/>
          <w:szCs w:val="24"/>
          <w:lang w:bidi="ar"/>
        </w:rPr>
      </w:pPr>
      <w:r>
        <w:rPr>
          <w:rFonts w:hint="eastAsia" w:ascii="宋体" w:hAnsi="宋体" w:cs="宋体"/>
          <w:sz w:val="24"/>
          <w:szCs w:val="24"/>
          <w:lang w:bidi="ar"/>
        </w:rPr>
        <w:t xml:space="preserve">日期：                             </w:t>
      </w:r>
      <w:r>
        <w:rPr>
          <w:rFonts w:ascii="宋体" w:hAnsi="宋体" w:cs="宋体"/>
          <w:sz w:val="24"/>
          <w:szCs w:val="24"/>
          <w:lang w:bidi="ar"/>
        </w:rPr>
        <w:t xml:space="preserve">  </w:t>
      </w:r>
      <w:r>
        <w:rPr>
          <w:rFonts w:hint="eastAsia" w:ascii="宋体" w:hAnsi="宋体" w:cs="宋体"/>
          <w:sz w:val="24"/>
          <w:szCs w:val="24"/>
          <w:lang w:bidi="ar"/>
        </w:rPr>
        <w:t>日期：</w:t>
      </w:r>
    </w:p>
    <w:p>
      <w:pPr>
        <w:tabs>
          <w:tab w:val="left" w:pos="900"/>
        </w:tabs>
        <w:spacing w:line="360" w:lineRule="auto"/>
        <w:ind w:firstLine="480" w:firstLineChars="200"/>
        <w:rPr>
          <w:rFonts w:hint="eastAsia" w:ascii="宋体" w:hAnsi="宋体"/>
          <w:sz w:val="24"/>
          <w:szCs w:val="24"/>
        </w:rPr>
      </w:pPr>
    </w:p>
    <w:p>
      <w:pPr>
        <w:rPr>
          <w:rFonts w:hint="eastAsia" w:ascii="宋体" w:hAnsi="宋体"/>
          <w:sz w:val="24"/>
          <w:szCs w:val="24"/>
        </w:rPr>
      </w:pPr>
      <w:r>
        <w:rPr>
          <w:rFonts w:hint="eastAsia" w:ascii="宋体" w:hAnsi="宋体"/>
          <w:sz w:val="24"/>
          <w:szCs w:val="24"/>
        </w:rPr>
        <w:br w:type="page"/>
      </w:r>
      <w:r>
        <w:drawing>
          <wp:inline distT="0" distB="0" distL="114300" distR="114300">
            <wp:extent cx="5272405" cy="7404100"/>
            <wp:effectExtent l="0" t="0" r="444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2405" cy="7404100"/>
                    </a:xfrm>
                    <a:prstGeom prst="rect">
                      <a:avLst/>
                    </a:prstGeom>
                    <a:noFill/>
                    <a:ln>
                      <a:noFill/>
                    </a:ln>
                  </pic:spPr>
                </pic:pic>
              </a:graphicData>
            </a:graphic>
          </wp:inline>
        </w:drawing>
      </w:r>
    </w:p>
    <w:p>
      <w:pPr>
        <w:spacing w:line="360" w:lineRule="auto"/>
        <w:ind w:firstLine="480" w:firstLineChars="200"/>
        <w:rPr>
          <w:rFonts w:hint="eastAsia" w:ascii="宋体" w:hAnsi="宋体"/>
          <w:sz w:val="24"/>
          <w:szCs w:val="24"/>
          <w:lang w:bidi="ar"/>
        </w:rPr>
      </w:pPr>
    </w:p>
    <w:p>
      <w:pPr>
        <w:spacing w:line="360" w:lineRule="auto"/>
        <w:ind w:firstLine="480" w:firstLineChars="200"/>
        <w:rPr>
          <w:rFonts w:hint="eastAsia" w:ascii="宋体" w:hAnsi="宋体"/>
          <w:sz w:val="24"/>
          <w:szCs w:val="24"/>
          <w:lang w:bidi="ar"/>
        </w:rPr>
      </w:pPr>
    </w:p>
    <w:p>
      <w:pPr>
        <w:spacing w:line="360" w:lineRule="auto"/>
        <w:ind w:firstLine="480" w:firstLineChars="200"/>
        <w:rPr>
          <w:rFonts w:hint="eastAsia" w:ascii="宋体" w:hAnsi="宋体"/>
          <w:sz w:val="24"/>
          <w:szCs w:val="24"/>
          <w:lang w:bidi="ar"/>
        </w:rPr>
      </w:pPr>
    </w:p>
    <w:p>
      <w:pPr>
        <w:spacing w:line="360" w:lineRule="auto"/>
        <w:ind w:firstLine="480" w:firstLineChars="200"/>
        <w:rPr>
          <w:rFonts w:hint="eastAsia" w:ascii="宋体" w:hAnsi="宋体"/>
          <w:sz w:val="24"/>
          <w:szCs w:val="24"/>
          <w:lang w:bidi="ar"/>
        </w:rPr>
      </w:pPr>
    </w:p>
    <w:p>
      <w:pPr>
        <w:spacing w:line="360" w:lineRule="auto"/>
        <w:ind w:firstLine="480" w:firstLineChars="200"/>
        <w:rPr>
          <w:rFonts w:hint="eastAsia" w:ascii="宋体" w:hAnsi="宋体"/>
          <w:sz w:val="24"/>
          <w:szCs w:val="24"/>
          <w:lang w:bidi="ar"/>
        </w:rPr>
      </w:pPr>
      <w:bookmarkStart w:id="2" w:name="_GoBack"/>
      <w:bookmarkEnd w:id="2"/>
      <w:r>
        <w:rPr>
          <w:rFonts w:hint="eastAsia" w:ascii="宋体" w:hAnsi="宋体"/>
          <w:sz w:val="24"/>
          <w:szCs w:val="24"/>
          <w:lang w:bidi="ar"/>
        </w:rPr>
        <w:t>附件五、</w:t>
      </w:r>
      <w:r>
        <w:rPr>
          <w:rFonts w:hint="eastAsia" w:ascii="宋体" w:hAnsi="宋体"/>
          <w:sz w:val="24"/>
          <w:szCs w:val="24"/>
          <w:lang w:val="en-US" w:eastAsia="zh-CN" w:bidi="ar"/>
        </w:rPr>
        <w:t>成交</w:t>
      </w:r>
      <w:r>
        <w:rPr>
          <w:rFonts w:hint="eastAsia" w:ascii="宋体" w:hAnsi="宋体"/>
          <w:sz w:val="24"/>
          <w:szCs w:val="24"/>
          <w:lang w:bidi="ar"/>
        </w:rPr>
        <w:t>通知书</w:t>
      </w:r>
    </w:p>
    <w:p>
      <w:r>
        <w:drawing>
          <wp:inline distT="0" distB="0" distL="114300" distR="114300">
            <wp:extent cx="4743450" cy="66865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4743450" cy="668655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t xml:space="preserve">第 </w:t>
                          </w:r>
                          <w:r>
                            <w:fldChar w:fldCharType="begin"/>
                          </w:r>
                          <w:r>
                            <w:instrText xml:space="preserve"> PAGE  \* MERGEFORMAT </w:instrText>
                          </w:r>
                          <w:r>
                            <w:fldChar w:fldCharType="separate"/>
                          </w:r>
                          <w:r>
                            <w:t>19</w:t>
                          </w:r>
                          <w:r>
                            <w:fldChar w:fldCharType="end"/>
                          </w:r>
                          <w:r>
                            <w:rPr>
                              <w:rFonts w:hint="eastAsia"/>
                            </w:rPr>
                            <w:t xml:space="preserve"> 页 共 </w:t>
                          </w:r>
                          <w:r>
                            <w:fldChar w:fldCharType="begin"/>
                          </w:r>
                          <w:r>
                            <w:instrText xml:space="preserve"> NUMPAGES  \* MERGEFORMAT </w:instrText>
                          </w:r>
                          <w:r>
                            <w:fldChar w:fldCharType="separate"/>
                          </w:r>
                          <w:r>
                            <w:t>28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rPr>
                      <w:t xml:space="preserve">第 </w:t>
                    </w:r>
                    <w:r>
                      <w:fldChar w:fldCharType="begin"/>
                    </w:r>
                    <w:r>
                      <w:instrText xml:space="preserve"> PAGE  \* MERGEFORMAT </w:instrText>
                    </w:r>
                    <w:r>
                      <w:fldChar w:fldCharType="separate"/>
                    </w:r>
                    <w:r>
                      <w:t>19</w:t>
                    </w:r>
                    <w:r>
                      <w:fldChar w:fldCharType="end"/>
                    </w:r>
                    <w:r>
                      <w:rPr>
                        <w:rFonts w:hint="eastAsia"/>
                      </w:rPr>
                      <w:t xml:space="preserve"> 页 共 </w:t>
                    </w:r>
                    <w:r>
                      <w:fldChar w:fldCharType="begin"/>
                    </w:r>
                    <w:r>
                      <w:instrText xml:space="preserve"> NUMPAGES  \* MERGEFORMAT </w:instrText>
                    </w:r>
                    <w:r>
                      <w:fldChar w:fldCharType="separate"/>
                    </w:r>
                    <w:r>
                      <w:t>28</w:t>
                    </w:r>
                    <w: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3C"/>
    <w:rsid w:val="000F78DE"/>
    <w:rsid w:val="003A5802"/>
    <w:rsid w:val="0042703C"/>
    <w:rsid w:val="0048669E"/>
    <w:rsid w:val="004C68BB"/>
    <w:rsid w:val="0054799B"/>
    <w:rsid w:val="005611AD"/>
    <w:rsid w:val="00605369"/>
    <w:rsid w:val="0076502B"/>
    <w:rsid w:val="00824CD8"/>
    <w:rsid w:val="00950FFC"/>
    <w:rsid w:val="00B70598"/>
    <w:rsid w:val="00C1741F"/>
    <w:rsid w:val="00CD7B93"/>
    <w:rsid w:val="00D068CA"/>
    <w:rsid w:val="00D54BEF"/>
    <w:rsid w:val="00DA7F1B"/>
    <w:rsid w:val="00E5114F"/>
    <w:rsid w:val="00F06FE9"/>
    <w:rsid w:val="018A1C53"/>
    <w:rsid w:val="13D75C88"/>
    <w:rsid w:val="1BAA2F26"/>
    <w:rsid w:val="23A4579C"/>
    <w:rsid w:val="4C574AB2"/>
    <w:rsid w:val="70895214"/>
    <w:rsid w:val="71486915"/>
    <w:rsid w:val="767D3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spacing w:after="120"/>
      <w:ind w:left="200" w:leftChars="200"/>
    </w:pPr>
  </w:style>
  <w:style w:type="paragraph" w:styleId="4">
    <w:name w:val="envelope return"/>
    <w:basedOn w:val="1"/>
    <w:qFormat/>
    <w:uiPriority w:val="0"/>
    <w:pPr>
      <w:snapToGrid w:val="0"/>
    </w:pPr>
    <w:rPr>
      <w:rFonts w:ascii="Arial" w:hAnsi="Arial"/>
    </w:rPr>
  </w:style>
  <w:style w:type="paragraph" w:styleId="5">
    <w:name w:val="footer"/>
    <w:basedOn w:val="1"/>
    <w:qFormat/>
    <w:uiPriority w:val="99"/>
    <w:pPr>
      <w:tabs>
        <w:tab w:val="center" w:pos="4153"/>
        <w:tab w:val="right" w:pos="8306"/>
      </w:tabs>
      <w:snapToGrid w:val="0"/>
      <w:jc w:val="left"/>
    </w:pPr>
    <w:rPr>
      <w:sz w:val="18"/>
    </w:rPr>
  </w:style>
  <w:style w:type="paragraph" w:styleId="6">
    <w:name w:val="Body Text Indent 3"/>
    <w:basedOn w:val="1"/>
    <w:qFormat/>
    <w:uiPriority w:val="0"/>
    <w:pPr>
      <w:tabs>
        <w:tab w:val="left" w:pos="540"/>
      </w:tabs>
      <w:spacing w:line="360" w:lineRule="auto"/>
      <w:ind w:firstLine="480" w:firstLineChars="200"/>
    </w:pPr>
    <w:rPr>
      <w:rFonts w:ascii="宋体" w:hAnsi="宋体"/>
      <w:bCs/>
      <w:color w:val="FF0000"/>
      <w:sz w:val="24"/>
    </w:rPr>
  </w:style>
  <w:style w:type="paragraph" w:styleId="7">
    <w:name w:val="Normal (Web)"/>
    <w:basedOn w:val="1"/>
    <w:qFormat/>
    <w:uiPriority w:val="0"/>
    <w:pPr>
      <w:spacing w:beforeAutospacing="1" w:afterAutospacing="1"/>
      <w:jc w:val="left"/>
    </w:pPr>
    <w:rPr>
      <w:kern w:val="0"/>
      <w:sz w:val="24"/>
    </w:rPr>
  </w:style>
  <w:style w:type="paragraph" w:styleId="8">
    <w:name w:val="Body Text First Indent 2"/>
    <w:basedOn w:val="3"/>
    <w:qFormat/>
    <w:uiPriority w:val="0"/>
    <w:pPr>
      <w:spacing w:beforeLines="20" w:afterLines="20"/>
      <w:ind w:left="360" w:leftChars="0" w:firstLine="210"/>
    </w:pPr>
    <w:rPr>
      <w:szCs w:val="24"/>
    </w:rPr>
  </w:style>
  <w:style w:type="table" w:styleId="10">
    <w:name w:val="Table Grid"/>
    <w:basedOn w:val="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列表1"/>
    <w:basedOn w:val="1"/>
    <w:qFormat/>
    <w:uiPriority w:val="0"/>
    <w:pPr>
      <w:tabs>
        <w:tab w:val="left" w:pos="840"/>
      </w:tabs>
      <w:spacing w:line="360" w:lineRule="auto"/>
      <w:ind w:left="840" w:hanging="420"/>
    </w:pPr>
    <w:rPr>
      <w:rFonts w:ascii="Times New Roman" w:hAnsi="Times New Roman" w:eastAsia="仿宋_GB2312"/>
      <w:sz w:val="24"/>
      <w:szCs w:val="24"/>
    </w:rPr>
  </w:style>
  <w:style w:type="paragraph" w:customStyle="1" w:styleId="13">
    <w:name w:val="p0"/>
    <w:basedOn w:val="1"/>
    <w:qFormat/>
    <w:uiPriority w:val="0"/>
    <w:pPr>
      <w:widowControl/>
    </w:pPr>
    <w:rPr>
      <w:rFonts w:cs="宋体"/>
      <w:kern w:val="0"/>
      <w:szCs w:val="21"/>
    </w:rPr>
  </w:style>
  <w:style w:type="paragraph" w:customStyle="1" w:styleId="14">
    <w:name w:val="yiv1247301476msolistparagraph"/>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
    <w:name w:val="Revision"/>
    <w:hidden/>
    <w:unhideWhenUsed/>
    <w:qFormat/>
    <w:uiPriority w:val="99"/>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2635</Words>
  <Characters>15020</Characters>
  <Lines>125</Lines>
  <Paragraphs>35</Paragraphs>
  <TotalTime>2</TotalTime>
  <ScaleCrop>false</ScaleCrop>
  <LinksUpToDate>false</LinksUpToDate>
  <CharactersWithSpaces>17620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2024-12-25T02:33:00Z</dcterms:created>
  <dc:creator>DELL</dc:creator>
  <cp:lastModifiedBy>孙靓瑶</cp:lastModifiedBy>
  <dcterms:modified xsi:type="dcterms:W3CDTF">2025-01-08T08:32:53Z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8DDA28F4BAA644FC9A256B68274ACC50</vt:lpwstr>
  </property>
</Properties>
</file>