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5E394">
      <w:pP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附件</w:t>
      </w:r>
      <w:r>
        <w:rPr>
          <w:rFonts w:ascii="黑体" w:hAnsi="黑体" w:eastAsia="黑体" w:cs="宋体"/>
          <w:color w:val="auto"/>
          <w:sz w:val="28"/>
          <w:szCs w:val="28"/>
          <w:highlight w:val="none"/>
        </w:rPr>
        <w:t>1</w:t>
      </w:r>
    </w:p>
    <w:p w14:paraId="2283917F">
      <w:pPr>
        <w:jc w:val="center"/>
        <w:rPr>
          <w:rFonts w:ascii="方正小标宋简体" w:hAnsi="方正小标宋简体" w:eastAsia="方正小标宋简体" w:cs="宋体"/>
          <w:color w:val="auto"/>
          <w:sz w:val="44"/>
          <w:szCs w:val="44"/>
          <w:highlight w:val="none"/>
          <w:u w:val="single"/>
        </w:rPr>
      </w:pPr>
    </w:p>
    <w:p w14:paraId="3172A7B3">
      <w:pPr>
        <w:jc w:val="center"/>
        <w:rPr>
          <w:rFonts w:ascii="方正小标宋简体" w:hAnsi="方正小标宋简体" w:eastAsia="方正小标宋简体" w:cs="宋体"/>
          <w:color w:val="auto"/>
          <w:sz w:val="44"/>
          <w:szCs w:val="44"/>
          <w:highlight w:val="none"/>
          <w:u w:val="single"/>
        </w:rPr>
      </w:pPr>
    </w:p>
    <w:p w14:paraId="7E262DEC">
      <w:pPr>
        <w:jc w:val="center"/>
        <w:rPr>
          <w:rFonts w:ascii="方正小标宋简体" w:hAnsi="方正小标宋简体" w:eastAsia="方正小标宋简体" w:cs="宋体"/>
          <w:color w:val="auto"/>
          <w:sz w:val="44"/>
          <w:szCs w:val="44"/>
          <w:highlight w:val="none"/>
          <w:u w:val="single"/>
        </w:rPr>
      </w:pPr>
    </w:p>
    <w:p w14:paraId="7411BD23">
      <w:pPr>
        <w:jc w:val="center"/>
        <w:rPr>
          <w:rFonts w:cs="宋体" w:asciiTheme="majorEastAsia" w:hAnsiTheme="majorEastAsia" w:eastAsiaTheme="majorEastAsia"/>
          <w:color w:val="auto"/>
          <w:sz w:val="48"/>
          <w:szCs w:val="48"/>
          <w:highlight w:val="none"/>
        </w:rPr>
      </w:pPr>
      <w:r>
        <w:rPr>
          <w:rFonts w:hint="eastAsia" w:cs="宋体" w:asciiTheme="majorEastAsia" w:hAnsiTheme="majorEastAsia" w:eastAsiaTheme="majorEastAsia"/>
          <w:color w:val="auto"/>
          <w:sz w:val="48"/>
          <w:szCs w:val="48"/>
          <w:highlight w:val="none"/>
        </w:rPr>
        <w:t>中国人民</w:t>
      </w:r>
      <w:r>
        <w:rPr>
          <w:rFonts w:cs="宋体" w:asciiTheme="majorEastAsia" w:hAnsiTheme="majorEastAsia" w:eastAsiaTheme="majorEastAsia"/>
          <w:color w:val="auto"/>
          <w:sz w:val="48"/>
          <w:szCs w:val="48"/>
          <w:highlight w:val="none"/>
        </w:rPr>
        <w:t>银行采购</w:t>
      </w:r>
      <w:r>
        <w:rPr>
          <w:rFonts w:hint="eastAsia" w:cs="宋体" w:asciiTheme="majorEastAsia" w:hAnsiTheme="majorEastAsia" w:eastAsiaTheme="majorEastAsia"/>
          <w:color w:val="auto"/>
          <w:sz w:val="48"/>
          <w:szCs w:val="48"/>
          <w:highlight w:val="none"/>
        </w:rPr>
        <w:t>项目采购需求</w:t>
      </w:r>
    </w:p>
    <w:p w14:paraId="6C520184">
      <w:pPr>
        <w:jc w:val="center"/>
        <w:rPr>
          <w:rFonts w:ascii="方正小标宋简体" w:hAnsi="方正小标宋简体" w:eastAsia="方正小标宋简体" w:cs="Times New Roman"/>
          <w:color w:val="auto"/>
          <w:sz w:val="44"/>
          <w:szCs w:val="44"/>
          <w:highlight w:val="none"/>
        </w:rPr>
      </w:pPr>
    </w:p>
    <w:p w14:paraId="765EF1B1">
      <w:pPr>
        <w:jc w:val="center"/>
        <w:rPr>
          <w:rFonts w:ascii="方正小标宋简体" w:hAnsi="方正小标宋简体" w:eastAsia="方正小标宋简体" w:cs="Times New Roman"/>
          <w:color w:val="auto"/>
          <w:sz w:val="44"/>
          <w:szCs w:val="44"/>
          <w:highlight w:val="none"/>
        </w:rPr>
      </w:pPr>
    </w:p>
    <w:p w14:paraId="5C7AEB7C">
      <w:pPr>
        <w:jc w:val="center"/>
        <w:rPr>
          <w:rFonts w:ascii="方正小标宋简体" w:hAnsi="方正小标宋简体" w:eastAsia="方正小标宋简体" w:cs="Times New Roman"/>
          <w:color w:val="auto"/>
          <w:sz w:val="44"/>
          <w:szCs w:val="44"/>
          <w:highlight w:val="none"/>
        </w:rPr>
      </w:pPr>
    </w:p>
    <w:p w14:paraId="0D6BE223">
      <w:pPr>
        <w:jc w:val="center"/>
        <w:rPr>
          <w:rFonts w:ascii="方正小标宋简体" w:hAnsi="方正小标宋简体" w:eastAsia="方正小标宋简体" w:cs="Times New Roman"/>
          <w:color w:val="auto"/>
          <w:sz w:val="44"/>
          <w:szCs w:val="44"/>
          <w:highlight w:val="none"/>
        </w:rPr>
      </w:pPr>
    </w:p>
    <w:p w14:paraId="5691F703">
      <w:pPr>
        <w:jc w:val="center"/>
        <w:rPr>
          <w:rFonts w:ascii="方正小标宋简体" w:hAnsi="方正小标宋简体" w:eastAsia="方正小标宋简体" w:cs="Times New Roman"/>
          <w:color w:val="auto"/>
          <w:sz w:val="44"/>
          <w:szCs w:val="44"/>
          <w:highlight w:val="none"/>
        </w:rPr>
      </w:pPr>
    </w:p>
    <w:p w14:paraId="67564948">
      <w:pPr>
        <w:jc w:val="center"/>
        <w:rPr>
          <w:rFonts w:ascii="方正小标宋简体" w:hAnsi="方正小标宋简体" w:eastAsia="方正小标宋简体" w:cs="Times New Roman"/>
          <w:color w:val="auto"/>
          <w:sz w:val="44"/>
          <w:szCs w:val="44"/>
          <w:highlight w:val="none"/>
        </w:rPr>
      </w:pPr>
    </w:p>
    <w:p w14:paraId="03522253">
      <w:pPr>
        <w:ind w:left="2877" w:leftChars="608" w:hanging="1600" w:hangingChars="500"/>
        <w:rPr>
          <w:rFonts w:cs="Times New Roman" w:asciiTheme="majorEastAsia" w:hAnsiTheme="majorEastAsia" w:eastAsiaTheme="majorEastAsia"/>
          <w:color w:val="auto"/>
          <w:sz w:val="32"/>
          <w:szCs w:val="32"/>
          <w:highlight w:val="none"/>
          <w:u w:val="single"/>
        </w:rPr>
      </w:pPr>
      <w:r>
        <w:rPr>
          <w:rFonts w:cs="Times New Roman" w:asciiTheme="majorEastAsia" w:hAnsiTheme="majorEastAsia" w:eastAsiaTheme="majorEastAsia"/>
          <w:color w:val="auto"/>
          <w:sz w:val="32"/>
          <w:szCs w:val="32"/>
          <w:highlight w:val="none"/>
        </w:rPr>
        <w:t>项目名称</w:t>
      </w:r>
      <w:r>
        <w:rPr>
          <w:rFonts w:hint="eastAsia" w:cs="Times New Roman" w:asciiTheme="majorEastAsia" w:hAnsiTheme="majorEastAsia" w:eastAsiaTheme="majorEastAsia"/>
          <w:color w:val="auto"/>
          <w:sz w:val="32"/>
          <w:szCs w:val="32"/>
          <w:highlight w:val="none"/>
        </w:rPr>
        <w:t>：</w:t>
      </w:r>
      <w:r>
        <w:rPr>
          <w:rFonts w:hint="eastAsia" w:cs="Times New Roman" w:asciiTheme="majorEastAsia" w:hAnsiTheme="majorEastAsia" w:eastAsiaTheme="majorEastAsia"/>
          <w:color w:val="auto"/>
          <w:sz w:val="32"/>
          <w:szCs w:val="32"/>
          <w:highlight w:val="none"/>
          <w:u w:val="single"/>
        </w:rPr>
        <w:t xml:space="preserve"> </w:t>
      </w:r>
      <w:r>
        <w:rPr>
          <w:rFonts w:hint="eastAsia" w:cs="宋体" w:asciiTheme="majorEastAsia" w:hAnsiTheme="majorEastAsia" w:eastAsiaTheme="majorEastAsia"/>
          <w:color w:val="auto"/>
          <w:sz w:val="32"/>
          <w:szCs w:val="32"/>
          <w:highlight w:val="none"/>
          <w:u w:val="single"/>
        </w:rPr>
        <w:t>2025年度计算资源（第</w:t>
      </w:r>
      <w:r>
        <w:rPr>
          <w:rFonts w:hint="eastAsia" w:cs="宋体" w:asciiTheme="majorEastAsia" w:hAnsiTheme="majorEastAsia" w:eastAsiaTheme="majorEastAsia"/>
          <w:color w:val="auto"/>
          <w:sz w:val="32"/>
          <w:szCs w:val="32"/>
          <w:highlight w:val="none"/>
          <w:u w:val="single"/>
          <w:lang w:val="en-US" w:eastAsia="zh-CN"/>
        </w:rPr>
        <w:t>二</w:t>
      </w:r>
      <w:r>
        <w:rPr>
          <w:rFonts w:hint="eastAsia" w:cs="宋体" w:asciiTheme="majorEastAsia" w:hAnsiTheme="majorEastAsia" w:eastAsiaTheme="majorEastAsia"/>
          <w:color w:val="auto"/>
          <w:sz w:val="32"/>
          <w:szCs w:val="32"/>
          <w:highlight w:val="none"/>
          <w:u w:val="single"/>
        </w:rPr>
        <w:t>批）采购项目</w:t>
      </w:r>
      <w:r>
        <w:rPr>
          <w:rFonts w:hint="eastAsia" w:cs="宋体" w:asciiTheme="majorEastAsia" w:hAnsiTheme="majorEastAsia" w:eastAsiaTheme="majorEastAsia"/>
          <w:sz w:val="32"/>
          <w:szCs w:val="32"/>
          <w:u w:val="single"/>
        </w:rPr>
        <w:t>（包2）二次采购项目</w:t>
      </w:r>
      <w:r>
        <w:rPr>
          <w:rFonts w:hint="eastAsia" w:cs="Times New Roman" w:asciiTheme="majorEastAsia" w:hAnsiTheme="majorEastAsia" w:eastAsiaTheme="majorEastAsia"/>
          <w:sz w:val="32"/>
          <w:szCs w:val="32"/>
          <w:u w:val="single"/>
        </w:rPr>
        <w:t xml:space="preserve">                    </w:t>
      </w:r>
      <w:r>
        <w:rPr>
          <w:rFonts w:hint="eastAsia" w:cs="Times New Roman" w:asciiTheme="majorEastAsia" w:hAnsiTheme="majorEastAsia" w:eastAsiaTheme="majorEastAsia"/>
          <w:color w:val="auto"/>
          <w:sz w:val="32"/>
          <w:szCs w:val="32"/>
          <w:highlight w:val="none"/>
          <w:u w:val="single"/>
        </w:rPr>
        <w:t xml:space="preserve">                    </w:t>
      </w:r>
    </w:p>
    <w:p w14:paraId="2F311B24">
      <w:pPr>
        <w:ind w:firstLine="1280" w:firstLineChars="400"/>
        <w:rPr>
          <w:rFonts w:cs="Times New Roman" w:asciiTheme="majorEastAsia" w:hAnsiTheme="majorEastAsia" w:eastAsiaTheme="majorEastAsia"/>
          <w:color w:val="auto"/>
          <w:sz w:val="32"/>
          <w:szCs w:val="32"/>
          <w:highlight w:val="none"/>
          <w:u w:val="single"/>
        </w:rPr>
      </w:pPr>
      <w:r>
        <w:rPr>
          <w:rFonts w:hint="eastAsia" w:cs="Times New Roman" w:asciiTheme="majorEastAsia" w:hAnsiTheme="majorEastAsia" w:eastAsiaTheme="majorEastAsia"/>
          <w:color w:val="auto"/>
          <w:sz w:val="32"/>
          <w:szCs w:val="32"/>
          <w:highlight w:val="none"/>
        </w:rPr>
        <w:t>采购单位：</w:t>
      </w:r>
      <w:r>
        <w:rPr>
          <w:rFonts w:hint="eastAsia" w:cs="Times New Roman" w:asciiTheme="majorEastAsia" w:hAnsiTheme="majorEastAsia" w:eastAsiaTheme="majorEastAsia"/>
          <w:color w:val="auto"/>
          <w:sz w:val="32"/>
          <w:szCs w:val="32"/>
          <w:highlight w:val="none"/>
          <w:u w:val="single"/>
        </w:rPr>
        <w:t xml:space="preserve"> </w:t>
      </w:r>
      <w:r>
        <w:rPr>
          <w:rFonts w:hint="eastAsia" w:cs="Times New Roman" w:asciiTheme="majorEastAsia" w:hAnsiTheme="majorEastAsia" w:eastAsiaTheme="majorEastAsia"/>
          <w:color w:val="auto"/>
          <w:sz w:val="32"/>
          <w:szCs w:val="32"/>
          <w:highlight w:val="none"/>
          <w:u w:val="single"/>
          <w:lang w:val="en-US" w:eastAsia="zh-CN"/>
        </w:rPr>
        <w:t>中国人民银行</w:t>
      </w:r>
      <w:r>
        <w:rPr>
          <w:rFonts w:hint="eastAsia" w:cs="Times New Roman" w:asciiTheme="majorEastAsia" w:hAnsiTheme="majorEastAsia" w:eastAsiaTheme="majorEastAsia"/>
          <w:color w:val="auto"/>
          <w:sz w:val="32"/>
          <w:szCs w:val="32"/>
          <w:highlight w:val="none"/>
          <w:u w:val="single"/>
        </w:rPr>
        <w:t xml:space="preserve">征信中心                           </w:t>
      </w:r>
    </w:p>
    <w:p w14:paraId="677738A3">
      <w:pPr>
        <w:ind w:firstLine="1280" w:firstLineChars="400"/>
        <w:rPr>
          <w:rFonts w:cs="Times New Roman" w:asciiTheme="majorEastAsia" w:hAnsiTheme="majorEastAsia" w:eastAsiaTheme="majorEastAsia"/>
          <w:color w:val="auto"/>
          <w:sz w:val="32"/>
          <w:szCs w:val="32"/>
          <w:highlight w:val="none"/>
          <w:u w:val="single"/>
        </w:rPr>
      </w:pPr>
      <w:r>
        <w:rPr>
          <w:rFonts w:hint="eastAsia" w:cs="Times New Roman" w:asciiTheme="majorEastAsia" w:hAnsiTheme="majorEastAsia" w:eastAsiaTheme="majorEastAsia"/>
          <w:color w:val="auto"/>
          <w:sz w:val="32"/>
          <w:szCs w:val="32"/>
          <w:highlight w:val="none"/>
        </w:rPr>
        <w:t>编制单位：</w:t>
      </w:r>
      <w:r>
        <w:rPr>
          <w:rFonts w:hint="eastAsia" w:cs="Times New Roman" w:asciiTheme="majorEastAsia" w:hAnsiTheme="majorEastAsia" w:eastAsiaTheme="majorEastAsia"/>
          <w:color w:val="auto"/>
          <w:sz w:val="32"/>
          <w:szCs w:val="32"/>
          <w:highlight w:val="none"/>
          <w:u w:val="single"/>
        </w:rPr>
        <w:t xml:space="preserve"> </w:t>
      </w:r>
      <w:r>
        <w:rPr>
          <w:rFonts w:hint="eastAsia" w:cs="Times New Roman" w:asciiTheme="majorEastAsia" w:hAnsiTheme="majorEastAsia" w:eastAsiaTheme="majorEastAsia"/>
          <w:color w:val="auto"/>
          <w:sz w:val="32"/>
          <w:szCs w:val="32"/>
          <w:highlight w:val="none"/>
          <w:u w:val="single"/>
          <w:lang w:val="en-US" w:eastAsia="zh-CN"/>
        </w:rPr>
        <w:t>中国人民银行</w:t>
      </w:r>
      <w:r>
        <w:rPr>
          <w:rFonts w:hint="eastAsia" w:cs="Times New Roman" w:asciiTheme="majorEastAsia" w:hAnsiTheme="majorEastAsia" w:eastAsiaTheme="majorEastAsia"/>
          <w:color w:val="auto"/>
          <w:sz w:val="32"/>
          <w:szCs w:val="32"/>
          <w:highlight w:val="none"/>
          <w:u w:val="single"/>
        </w:rPr>
        <w:t xml:space="preserve">征信中心                           </w:t>
      </w:r>
    </w:p>
    <w:p w14:paraId="4F5175C9">
      <w:pPr>
        <w:ind w:firstLine="1280" w:firstLineChars="400"/>
        <w:rPr>
          <w:rFonts w:hint="eastAsia" w:cs="Times New Roman" w:asciiTheme="majorEastAsia" w:hAnsiTheme="majorEastAsia" w:eastAsiaTheme="majorEastAsia"/>
          <w:color w:val="auto"/>
          <w:sz w:val="32"/>
          <w:szCs w:val="32"/>
          <w:highlight w:val="none"/>
          <w:u w:val="single"/>
          <w:lang w:val="en-US" w:eastAsia="zh-CN"/>
        </w:rPr>
      </w:pPr>
      <w:r>
        <w:rPr>
          <w:rFonts w:hint="eastAsia" w:cs="Times New Roman" w:asciiTheme="majorEastAsia" w:hAnsiTheme="majorEastAsia" w:eastAsiaTheme="majorEastAsia"/>
          <w:color w:val="auto"/>
          <w:sz w:val="32"/>
          <w:szCs w:val="32"/>
          <w:highlight w:val="none"/>
        </w:rPr>
        <w:t>编制时间：</w:t>
      </w:r>
      <w:r>
        <w:rPr>
          <w:rFonts w:hint="eastAsia" w:cs="Times New Roman" w:asciiTheme="majorEastAsia" w:hAnsiTheme="majorEastAsia" w:eastAsiaTheme="majorEastAsia"/>
          <w:color w:val="auto"/>
          <w:sz w:val="32"/>
          <w:szCs w:val="32"/>
          <w:highlight w:val="none"/>
          <w:u w:val="single"/>
        </w:rPr>
        <w:t xml:space="preserve"> 202</w:t>
      </w:r>
      <w:r>
        <w:rPr>
          <w:rFonts w:hint="eastAsia" w:cs="Times New Roman" w:asciiTheme="majorEastAsia" w:hAnsiTheme="majorEastAsia" w:eastAsiaTheme="majorEastAsia"/>
          <w:color w:val="auto"/>
          <w:sz w:val="32"/>
          <w:szCs w:val="32"/>
          <w:highlight w:val="none"/>
          <w:u w:val="single"/>
          <w:lang w:val="en-US" w:eastAsia="zh-CN"/>
        </w:rPr>
        <w:t>5</w:t>
      </w:r>
      <w:r>
        <w:rPr>
          <w:rFonts w:hint="eastAsia" w:cs="Times New Roman" w:asciiTheme="majorEastAsia" w:hAnsiTheme="majorEastAsia" w:eastAsiaTheme="majorEastAsia"/>
          <w:color w:val="auto"/>
          <w:sz w:val="32"/>
          <w:szCs w:val="32"/>
          <w:highlight w:val="none"/>
          <w:u w:val="single"/>
        </w:rPr>
        <w:t>年</w:t>
      </w:r>
      <w:r>
        <w:rPr>
          <w:rFonts w:hint="eastAsia" w:cs="Times New Roman" w:asciiTheme="majorEastAsia" w:hAnsiTheme="majorEastAsia" w:eastAsiaTheme="majorEastAsia"/>
          <w:color w:val="auto"/>
          <w:sz w:val="32"/>
          <w:szCs w:val="32"/>
          <w:highlight w:val="none"/>
          <w:u w:val="single"/>
          <w:lang w:val="en-US" w:eastAsia="zh-CN"/>
        </w:rPr>
        <w:t>11</w:t>
      </w:r>
      <w:r>
        <w:rPr>
          <w:rFonts w:hint="eastAsia" w:cs="Times New Roman" w:asciiTheme="majorEastAsia" w:hAnsiTheme="majorEastAsia" w:eastAsiaTheme="majorEastAsia"/>
          <w:color w:val="auto"/>
          <w:sz w:val="32"/>
          <w:szCs w:val="32"/>
          <w:highlight w:val="none"/>
          <w:u w:val="single"/>
        </w:rPr>
        <w:t xml:space="preserve">月                     </w:t>
      </w:r>
      <w:r>
        <w:rPr>
          <w:rFonts w:hint="eastAsia" w:cs="Times New Roman" w:asciiTheme="majorEastAsia" w:hAnsiTheme="majorEastAsia" w:eastAsiaTheme="majorEastAsia"/>
          <w:color w:val="auto"/>
          <w:sz w:val="32"/>
          <w:szCs w:val="32"/>
          <w:highlight w:val="none"/>
          <w:u w:val="single"/>
          <w:lang w:val="en-US" w:eastAsia="zh-CN"/>
        </w:rPr>
        <w:t xml:space="preserve"> </w:t>
      </w:r>
      <w:r>
        <w:rPr>
          <w:rFonts w:hint="eastAsia" w:cs="Times New Roman" w:asciiTheme="majorEastAsia" w:hAnsiTheme="majorEastAsia" w:eastAsiaTheme="majorEastAsia"/>
          <w:color w:val="auto"/>
          <w:sz w:val="32"/>
          <w:szCs w:val="32"/>
          <w:highlight w:val="none"/>
          <w:u w:val="single"/>
        </w:rPr>
        <w:t xml:space="preserve">   </w:t>
      </w:r>
      <w:r>
        <w:rPr>
          <w:rFonts w:hint="eastAsia" w:cs="Times New Roman" w:asciiTheme="majorEastAsia" w:hAnsiTheme="majorEastAsia" w:eastAsiaTheme="majorEastAsia"/>
          <w:color w:val="auto"/>
          <w:sz w:val="32"/>
          <w:szCs w:val="32"/>
          <w:highlight w:val="none"/>
          <w:u w:val="single"/>
          <w:lang w:val="en-US" w:eastAsia="zh-CN"/>
        </w:rPr>
        <w:t xml:space="preserve"> </w:t>
      </w:r>
    </w:p>
    <w:p w14:paraId="51D132EC">
      <w:pPr>
        <w:rPr>
          <w:rFonts w:ascii="方正小标宋简体" w:hAnsi="方正小标宋简体" w:eastAsia="方正小标宋简体"/>
          <w:color w:val="auto"/>
          <w:sz w:val="44"/>
          <w:szCs w:val="44"/>
          <w:highlight w:val="none"/>
        </w:rPr>
        <w:sectPr>
          <w:footerReference r:id="rId5" w:type="first"/>
          <w:footerReference r:id="rId3" w:type="default"/>
          <w:footerReference r:id="rId4" w:type="even"/>
          <w:pgSz w:w="11906" w:h="16838"/>
          <w:pgMar w:top="1440" w:right="1519" w:bottom="1440" w:left="1519"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E36D49A">
      <w:pPr>
        <w:keepNext w:val="0"/>
        <w:keepLines w:val="0"/>
        <w:pageBreakBefore w:val="0"/>
        <w:widowControl w:val="0"/>
        <w:numPr>
          <w:ilvl w:val="255"/>
          <w:numId w:val="0"/>
        </w:numPr>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一、采购</w:t>
      </w:r>
      <w:r>
        <w:rPr>
          <w:rFonts w:hint="eastAsia" w:ascii="黑体" w:hAnsi="黑体" w:eastAsia="黑体" w:cs="Times New Roman"/>
          <w:color w:val="auto"/>
          <w:sz w:val="32"/>
          <w:szCs w:val="32"/>
          <w:highlight w:val="none"/>
          <w:lang w:val="en-US" w:eastAsia="zh-CN"/>
        </w:rPr>
        <w:t>项目概要</w:t>
      </w:r>
    </w:p>
    <w:p w14:paraId="73ABB8F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sz w:val="32"/>
          <w:szCs w:val="32"/>
          <w:lang w:val="en-US" w:eastAsia="zh-CN"/>
        </w:rPr>
        <w:t>本项目为政府采购项目，采购标的类型为货物，拟采用公开招标采购方式。</w:t>
      </w:r>
    </w:p>
    <w:p w14:paraId="0643EDE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641" w:firstLine="0" w:firstLineChars="0"/>
        <w:jc w:val="left"/>
        <w:textAlignment w:val="auto"/>
        <w:outlineLvl w:val="0"/>
        <w:rPr>
          <w:rFonts w:hint="default" w:ascii="楷体" w:hAnsi="楷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二、</w:t>
      </w:r>
      <w:r>
        <w:rPr>
          <w:rFonts w:hint="eastAsia" w:ascii="黑体" w:hAnsi="黑体" w:eastAsia="黑体" w:cs="Times New Roman"/>
          <w:color w:val="auto"/>
          <w:sz w:val="32"/>
          <w:szCs w:val="32"/>
          <w:highlight w:val="none"/>
          <w:lang w:val="en-US" w:eastAsia="zh-CN"/>
        </w:rPr>
        <w:t>供应商资格条件</w:t>
      </w:r>
    </w:p>
    <w:p w14:paraId="2B882A62">
      <w:pPr>
        <w:adjustRightInd w:val="0"/>
        <w:snapToGrid w:val="0"/>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.1必须为未被列入信用中国网站(www.creditchina.gov.cn)、中国政府采购网(www.ccgp.gov.cn)渠道信用记录失信被执行人、重大税收违法</w:t>
      </w:r>
      <w:r>
        <w:rPr>
          <w:rFonts w:ascii="仿宋" w:hAnsi="仿宋" w:eastAsia="仿宋" w:cs="Times New Roman"/>
          <w:sz w:val="32"/>
          <w:szCs w:val="32"/>
        </w:rPr>
        <w:t>失信主体名单</w:t>
      </w:r>
      <w:r>
        <w:rPr>
          <w:rFonts w:hint="eastAsia" w:ascii="仿宋" w:hAnsi="仿宋" w:eastAsia="仿宋"/>
          <w:sz w:val="32"/>
          <w:szCs w:val="32"/>
        </w:rPr>
        <w:t>、政府采购严重违法失信行为记录名单的投标人，否则其投标将被拒绝。以开标后采购人或者采购代理机构资格审查时的查验结果为准。</w:t>
      </w:r>
    </w:p>
    <w:p w14:paraId="32B62464">
      <w:pPr>
        <w:adjustRightInd w:val="0"/>
        <w:snapToGrid w:val="0"/>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 xml:space="preserve">.2符合《中华人民共和国政府采购法》第二十二条的规定，投标人必须在投标文件中提供下述资格证明文件，否则按无效投标处理： </w:t>
      </w:r>
    </w:p>
    <w:p w14:paraId="662A6F0F">
      <w:pPr>
        <w:adjustRightInd w:val="0"/>
        <w:snapToGrid w:val="0"/>
        <w:ind w:firstLine="640" w:firstLineChars="200"/>
        <w:rPr>
          <w:rFonts w:ascii="仿宋" w:hAnsi="仿宋" w:eastAsia="仿宋"/>
          <w:sz w:val="32"/>
          <w:szCs w:val="32"/>
        </w:rPr>
      </w:pPr>
      <w:r>
        <w:rPr>
          <w:rFonts w:hint="eastAsia" w:ascii="仿宋" w:hAnsi="仿宋" w:eastAsia="仿宋"/>
          <w:sz w:val="32"/>
          <w:szCs w:val="32"/>
        </w:rPr>
        <w:t xml:space="preserve">（1）法人或者其他组织的营业执照副本复印件或同类型证明文件，自然人的身份证明文件复印件； </w:t>
      </w:r>
    </w:p>
    <w:p w14:paraId="43BAE57F">
      <w:pPr>
        <w:adjustRightInd w:val="0"/>
        <w:snapToGrid w:val="0"/>
        <w:ind w:firstLine="640" w:firstLineChars="200"/>
        <w:rPr>
          <w:rFonts w:ascii="仿宋" w:hAnsi="仿宋" w:eastAsia="仿宋"/>
          <w:sz w:val="32"/>
          <w:szCs w:val="32"/>
        </w:rPr>
      </w:pPr>
      <w:r>
        <w:rPr>
          <w:rFonts w:hint="eastAsia" w:ascii="仿宋" w:hAnsi="仿宋" w:eastAsia="仿宋"/>
          <w:sz w:val="32"/>
          <w:szCs w:val="32"/>
        </w:rPr>
        <w:t>（2）财务状况报告，依法缴纳税收和社会保障资金的相关材料；(投标人应提供书面承诺)</w:t>
      </w:r>
    </w:p>
    <w:p w14:paraId="31FF68E8">
      <w:pPr>
        <w:adjustRightInd w:val="0"/>
        <w:snapToGrid w:val="0"/>
        <w:ind w:firstLine="640" w:firstLineChars="200"/>
        <w:rPr>
          <w:rFonts w:ascii="仿宋" w:hAnsi="仿宋" w:eastAsia="仿宋"/>
          <w:sz w:val="32"/>
          <w:szCs w:val="32"/>
        </w:rPr>
      </w:pPr>
      <w:r>
        <w:rPr>
          <w:rFonts w:hint="eastAsia" w:ascii="仿宋" w:hAnsi="仿宋" w:eastAsia="仿宋"/>
          <w:sz w:val="32"/>
          <w:szCs w:val="32"/>
        </w:rPr>
        <w:t xml:space="preserve">（3）具备履行合同所必需的设备和专业技术能力的证明材料；(投标人应提供书面承诺) </w:t>
      </w:r>
    </w:p>
    <w:p w14:paraId="309B4543">
      <w:pPr>
        <w:adjustRightInd w:val="0"/>
        <w:snapToGrid w:val="0"/>
        <w:ind w:firstLine="640" w:firstLineChars="200"/>
        <w:rPr>
          <w:rFonts w:ascii="仿宋" w:hAnsi="仿宋" w:eastAsia="仿宋"/>
          <w:sz w:val="32"/>
          <w:szCs w:val="32"/>
        </w:rPr>
      </w:pPr>
      <w:r>
        <w:rPr>
          <w:rFonts w:hint="eastAsia" w:ascii="仿宋" w:hAnsi="仿宋" w:eastAsia="仿宋"/>
          <w:sz w:val="32"/>
          <w:szCs w:val="32"/>
        </w:rPr>
        <w:t xml:space="preserve">（4）参加政府采购活动前三年内，在经营活动中没有重大违法记录；(投标人应提供书面承诺) </w:t>
      </w:r>
    </w:p>
    <w:p w14:paraId="465AAC03">
      <w:pPr>
        <w:adjustRightInd w:val="0"/>
        <w:snapToGrid w:val="0"/>
        <w:ind w:firstLine="640" w:firstLineChars="200"/>
        <w:rPr>
          <w:rFonts w:ascii="仿宋" w:hAnsi="仿宋" w:eastAsia="仿宋"/>
          <w:sz w:val="32"/>
          <w:szCs w:val="32"/>
        </w:rPr>
      </w:pPr>
      <w:r>
        <w:rPr>
          <w:rFonts w:hint="eastAsia" w:ascii="仿宋" w:hAnsi="仿宋" w:eastAsia="仿宋"/>
          <w:sz w:val="32"/>
          <w:szCs w:val="32"/>
        </w:rPr>
        <w:t xml:space="preserve">（5）具备法律、行政法规规定的其他条件的证明材料。 </w:t>
      </w:r>
    </w:p>
    <w:p w14:paraId="6BEE69BF">
      <w:pPr>
        <w:adjustRightInd w:val="0"/>
        <w:snapToGrid w:val="0"/>
        <w:ind w:firstLine="640" w:firstLineChars="200"/>
        <w:rPr>
          <w:rFonts w:ascii="仿宋" w:hAnsi="仿宋" w:eastAsia="仿宋"/>
          <w:sz w:val="32"/>
          <w:szCs w:val="32"/>
        </w:rPr>
      </w:pPr>
      <w:r>
        <w:rPr>
          <w:rFonts w:hint="eastAsia" w:ascii="仿宋" w:hAnsi="仿宋" w:eastAsia="仿宋"/>
          <w:sz w:val="32"/>
          <w:szCs w:val="32"/>
        </w:rPr>
        <w:t xml:space="preserve">（以上均为《中华人民共和国政府采购法实施条例》第十七条之规定）。 </w:t>
      </w:r>
    </w:p>
    <w:p w14:paraId="039FC879">
      <w:pPr>
        <w:adjustRightInd w:val="0"/>
        <w:snapToGrid w:val="0"/>
        <w:ind w:firstLine="640" w:firstLineChars="200"/>
        <w:rPr>
          <w:rFonts w:ascii="仿宋" w:hAnsi="仿宋" w:eastAsia="仿宋" w:cs="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.3</w:t>
      </w:r>
      <w:r>
        <w:rPr>
          <w:rFonts w:hint="eastAsia" w:ascii="仿宋" w:hAnsi="仿宋" w:eastAsia="仿宋" w:cs="仿宋"/>
          <w:sz w:val="32"/>
          <w:szCs w:val="32"/>
        </w:rPr>
        <w:t>近三年（从2022年12月1日至今）投标人不得存在下述行为，否则其投标将被拒绝：</w:t>
      </w:r>
    </w:p>
    <w:p w14:paraId="28CD47AA">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（1）采取不正当手段诋毁、排挤其他投标人的行为；(投标人应提供书面承诺)</w:t>
      </w:r>
    </w:p>
    <w:p w14:paraId="3B57BF93">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（2）与招标人、其他投标人恶意串通的行为；(投标人应提供书面承诺)</w:t>
      </w:r>
    </w:p>
    <w:p w14:paraId="1C3BB8EF">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（3）向招标人行贿或者提供其他不正当利益的行为；(投标人应提供书面承诺)</w:t>
      </w:r>
    </w:p>
    <w:p w14:paraId="205F0CCB">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（4）在招标采购过程中与招标人进行协商谈判的行为。(投标人应提供书面承诺)</w:t>
      </w:r>
    </w:p>
    <w:p w14:paraId="57CD0195">
      <w:pPr>
        <w:adjustRightInd w:val="0"/>
        <w:snapToGrid w:val="0"/>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4投标人须出具网络安全审查承诺函并加盖投标人公章，原件须封装在投标文件正本中递交。网络安全审查承诺函内容包括但不限于：承诺配合网络安全审查；承诺自2022年至2025年未发生过未通过网络安全审查的情形；承诺不利用提供产品和服务的便利条件非法获取用户数据、非法控制和操纵用户设备，无正当理由不中断产品供应或必要的技术支持服务等。</w:t>
      </w:r>
    </w:p>
    <w:p w14:paraId="3C0F544B">
      <w:pPr>
        <w:adjustRightInd w:val="0"/>
        <w:snapToGrid w:val="0"/>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.5本项目不接受联合体投标。(投标人应提供书面承诺)</w:t>
      </w:r>
    </w:p>
    <w:p w14:paraId="5AD710D7">
      <w:pPr>
        <w:widowControl/>
        <w:shd w:val="clear" w:color="auto" w:fill="FFFFFF"/>
        <w:spacing w:line="520" w:lineRule="exact"/>
        <w:ind w:firstLine="640" w:firstLineChars="200"/>
        <w:jc w:val="left"/>
        <w:rPr>
          <w:rFonts w:hint="eastAsia" w:ascii="黑体" w:hAnsi="黑体" w:eastAsia="黑体" w:cs="Times New Roman"/>
          <w:color w:val="auto"/>
          <w:sz w:val="32"/>
          <w:szCs w:val="32"/>
          <w:highlight w:val="none"/>
        </w:rPr>
      </w:pPr>
      <w:r>
        <w:rPr>
          <w:rFonts w:hint="eastAsia" w:ascii="仿宋" w:hAnsi="仿宋" w:eastAsia="仿宋"/>
          <w:sz w:val="32"/>
          <w:szCs w:val="32"/>
          <w:lang w:val="en-US" w:eastAsia="zh-CN"/>
        </w:rPr>
        <w:t>2</w:t>
      </w:r>
      <w:r>
        <w:rPr>
          <w:rFonts w:hint="eastAsia" w:ascii="仿宋" w:hAnsi="仿宋" w:eastAsia="仿宋"/>
          <w:sz w:val="32"/>
          <w:szCs w:val="32"/>
        </w:rPr>
        <w:t>.6投标人不得以任何形式将本项目转包和分包。(投标人应提供书面承诺)</w:t>
      </w:r>
    </w:p>
    <w:p w14:paraId="6F3C905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641"/>
        <w:jc w:val="left"/>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三、需求清单</w:t>
      </w:r>
    </w:p>
    <w:p w14:paraId="5EDB187B">
      <w:pPr>
        <w:spacing w:line="560" w:lineRule="exact"/>
        <w:ind w:firstLine="640" w:firstLineChars="200"/>
        <w:jc w:val="left"/>
        <w:outlineLvl w:val="1"/>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（一）项目概况</w:t>
      </w:r>
    </w:p>
    <w:tbl>
      <w:tblPr>
        <w:tblStyle w:val="16"/>
        <w:tblW w:w="52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32"/>
        <w:gridCol w:w="5677"/>
      </w:tblGrid>
      <w:tr w14:paraId="5502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14:paraId="6518B35C">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序号</w:t>
            </w:r>
          </w:p>
        </w:tc>
        <w:tc>
          <w:tcPr>
            <w:tcW w:w="1403" w:type="pct"/>
            <w:shd w:val="clear" w:color="auto" w:fill="FFFFFF" w:themeFill="background1"/>
          </w:tcPr>
          <w:p w14:paraId="2750635C">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内 容</w:t>
            </w:r>
          </w:p>
        </w:tc>
        <w:tc>
          <w:tcPr>
            <w:tcW w:w="3147" w:type="pct"/>
            <w:shd w:val="clear" w:color="auto" w:fill="FFFFFF" w:themeFill="background1"/>
          </w:tcPr>
          <w:p w14:paraId="58974CFC">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说    明</w:t>
            </w:r>
          </w:p>
        </w:tc>
      </w:tr>
      <w:tr w14:paraId="0B3F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16332056">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p>
        </w:tc>
        <w:tc>
          <w:tcPr>
            <w:tcW w:w="1403" w:type="pct"/>
          </w:tcPr>
          <w:p w14:paraId="3888B5CF">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项目背景</w:t>
            </w:r>
          </w:p>
        </w:tc>
        <w:tc>
          <w:tcPr>
            <w:tcW w:w="5677" w:type="dxa"/>
            <w:vAlign w:val="center"/>
          </w:tcPr>
          <w:p w14:paraId="6BE78B97">
            <w:pPr>
              <w:spacing w:line="360" w:lineRule="auto"/>
              <w:jc w:val="center"/>
              <w:rPr>
                <w:rFonts w:hint="default" w:ascii="仿宋" w:hAnsi="仿宋" w:eastAsia="仿宋" w:cs="Times New Roman"/>
                <w:color w:val="auto"/>
                <w:sz w:val="28"/>
                <w:szCs w:val="28"/>
                <w:highlight w:val="none"/>
                <w:lang w:val="en-US" w:eastAsia="zh-CN"/>
              </w:rPr>
            </w:pPr>
            <w:r>
              <w:rPr>
                <w:rFonts w:hint="eastAsia" w:ascii="仿宋" w:hAnsi="仿宋" w:eastAsia="仿宋"/>
                <w:sz w:val="28"/>
                <w:szCs w:val="28"/>
              </w:rPr>
              <w:t>为满足</w:t>
            </w:r>
            <w:r>
              <w:rPr>
                <w:rFonts w:hint="eastAsia" w:ascii="仿宋" w:hAnsi="仿宋" w:eastAsia="仿宋"/>
                <w:color w:val="000000"/>
                <w:sz w:val="28"/>
              </w:rPr>
              <w:t>信息化项目建设</w:t>
            </w:r>
            <w:r>
              <w:rPr>
                <w:rFonts w:hint="eastAsia" w:ascii="仿宋" w:hAnsi="仿宋" w:eastAsia="仿宋"/>
                <w:sz w:val="28"/>
                <w:szCs w:val="28"/>
              </w:rPr>
              <w:t>需要</w:t>
            </w:r>
          </w:p>
        </w:tc>
      </w:tr>
      <w:tr w14:paraId="1D16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7453615E">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w:t>
            </w:r>
          </w:p>
        </w:tc>
        <w:tc>
          <w:tcPr>
            <w:tcW w:w="1403" w:type="pct"/>
          </w:tcPr>
          <w:p w14:paraId="5BFE66C8">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执行依据</w:t>
            </w:r>
          </w:p>
        </w:tc>
        <w:tc>
          <w:tcPr>
            <w:tcW w:w="5677" w:type="dxa"/>
            <w:vAlign w:val="center"/>
          </w:tcPr>
          <w:p w14:paraId="534F257C">
            <w:pPr>
              <w:spacing w:line="360" w:lineRule="auto"/>
              <w:jc w:val="center"/>
              <w:rPr>
                <w:rFonts w:ascii="仿宋" w:hAnsi="仿宋" w:eastAsia="仿宋" w:cs="Times New Roman"/>
                <w:color w:val="auto"/>
                <w:sz w:val="28"/>
                <w:szCs w:val="28"/>
                <w:highlight w:val="none"/>
              </w:rPr>
            </w:pPr>
            <w:r>
              <w:rPr>
                <w:rFonts w:hint="eastAsia" w:ascii="仿宋" w:hAnsi="仿宋" w:eastAsia="仿宋"/>
                <w:sz w:val="28"/>
                <w:szCs w:val="28"/>
              </w:rPr>
              <w:t>中心签报、会议纪要、项目任务书</w:t>
            </w:r>
          </w:p>
        </w:tc>
      </w:tr>
      <w:tr w14:paraId="6F71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28B1ECC7">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w:t>
            </w:r>
          </w:p>
        </w:tc>
        <w:tc>
          <w:tcPr>
            <w:tcW w:w="1403" w:type="pct"/>
          </w:tcPr>
          <w:p w14:paraId="7F47C656">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项目目标</w:t>
            </w:r>
          </w:p>
        </w:tc>
        <w:tc>
          <w:tcPr>
            <w:tcW w:w="5677" w:type="dxa"/>
            <w:vAlign w:val="center"/>
          </w:tcPr>
          <w:p w14:paraId="6B1800EF">
            <w:pPr>
              <w:spacing w:line="360" w:lineRule="auto"/>
              <w:jc w:val="center"/>
              <w:rPr>
                <w:rFonts w:ascii="仿宋" w:hAnsi="仿宋" w:eastAsia="仿宋" w:cs="Times New Roman"/>
                <w:color w:val="auto"/>
                <w:sz w:val="28"/>
                <w:szCs w:val="28"/>
                <w:highlight w:val="none"/>
              </w:rPr>
            </w:pPr>
            <w:r>
              <w:rPr>
                <w:rFonts w:hint="eastAsia" w:ascii="仿宋" w:hAnsi="仿宋" w:eastAsia="仿宋"/>
                <w:sz w:val="28"/>
                <w:szCs w:val="28"/>
              </w:rPr>
              <w:t>采购满足技术指标的硬件设备</w:t>
            </w:r>
          </w:p>
        </w:tc>
      </w:tr>
      <w:tr w14:paraId="6BA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14:paraId="1854CCA1">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w:t>
            </w:r>
          </w:p>
        </w:tc>
        <w:tc>
          <w:tcPr>
            <w:tcW w:w="1403" w:type="pct"/>
          </w:tcPr>
          <w:p w14:paraId="5F21E522">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项目内容</w:t>
            </w:r>
          </w:p>
        </w:tc>
        <w:tc>
          <w:tcPr>
            <w:tcW w:w="5677" w:type="dxa"/>
            <w:vAlign w:val="center"/>
          </w:tcPr>
          <w:p w14:paraId="3D112A6A">
            <w:pPr>
              <w:jc w:val="center"/>
              <w:rPr>
                <w:rFonts w:hint="default" w:ascii="仿宋" w:hAnsi="仿宋" w:eastAsia="仿宋" w:cs="Times New Roman"/>
                <w:color w:val="auto"/>
                <w:sz w:val="28"/>
                <w:szCs w:val="28"/>
                <w:highlight w:val="none"/>
                <w:lang w:val="en-US" w:eastAsia="zh-CN"/>
              </w:rPr>
            </w:pPr>
            <w:r>
              <w:rPr>
                <w:rFonts w:hint="eastAsia" w:ascii="仿宋" w:hAnsi="仿宋" w:eastAsia="仿宋"/>
                <w:sz w:val="28"/>
                <w:szCs w:val="28"/>
              </w:rPr>
              <w:t>服务器、硬盘、内存条</w:t>
            </w:r>
          </w:p>
        </w:tc>
      </w:tr>
      <w:tr w14:paraId="0C04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102FEC04">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w:t>
            </w:r>
          </w:p>
        </w:tc>
        <w:tc>
          <w:tcPr>
            <w:tcW w:w="1403" w:type="pct"/>
          </w:tcPr>
          <w:p w14:paraId="176296AB">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项目范围</w:t>
            </w:r>
          </w:p>
        </w:tc>
        <w:tc>
          <w:tcPr>
            <w:tcW w:w="5677" w:type="dxa"/>
            <w:vAlign w:val="center"/>
          </w:tcPr>
          <w:p w14:paraId="7702DCE4">
            <w:pPr>
              <w:jc w:val="center"/>
              <w:rPr>
                <w:rFonts w:ascii="仿宋" w:hAnsi="仿宋" w:eastAsia="仿宋" w:cs="Times New Roman"/>
                <w:color w:val="auto"/>
                <w:sz w:val="28"/>
                <w:szCs w:val="28"/>
                <w:highlight w:val="none"/>
              </w:rPr>
            </w:pPr>
            <w:r>
              <w:rPr>
                <w:rFonts w:hint="eastAsia" w:ascii="仿宋" w:hAnsi="仿宋" w:eastAsia="仿宋"/>
                <w:sz w:val="28"/>
                <w:szCs w:val="28"/>
              </w:rPr>
              <w:t>--</w:t>
            </w:r>
          </w:p>
        </w:tc>
      </w:tr>
      <w:tr w14:paraId="4DED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424CA44B">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w:t>
            </w:r>
          </w:p>
        </w:tc>
        <w:tc>
          <w:tcPr>
            <w:tcW w:w="1403" w:type="pct"/>
          </w:tcPr>
          <w:p w14:paraId="625B9C9E">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重要性分析</w:t>
            </w:r>
          </w:p>
        </w:tc>
        <w:tc>
          <w:tcPr>
            <w:tcW w:w="5677" w:type="dxa"/>
            <w:vAlign w:val="center"/>
          </w:tcPr>
          <w:p w14:paraId="6733E805">
            <w:pPr>
              <w:jc w:val="center"/>
              <w:rPr>
                <w:rFonts w:ascii="仿宋" w:hAnsi="仿宋" w:eastAsia="仿宋" w:cs="Times New Roman"/>
                <w:color w:val="auto"/>
                <w:sz w:val="28"/>
                <w:szCs w:val="28"/>
                <w:highlight w:val="none"/>
              </w:rPr>
            </w:pPr>
            <w:r>
              <w:rPr>
                <w:rFonts w:hint="eastAsia" w:ascii="仿宋" w:hAnsi="仿宋" w:eastAsia="仿宋"/>
                <w:sz w:val="28"/>
                <w:szCs w:val="28"/>
              </w:rPr>
              <w:t>--</w:t>
            </w:r>
          </w:p>
        </w:tc>
      </w:tr>
      <w:tr w14:paraId="7A43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7FC10963">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w:t>
            </w:r>
          </w:p>
        </w:tc>
        <w:tc>
          <w:tcPr>
            <w:tcW w:w="1403" w:type="pct"/>
          </w:tcPr>
          <w:p w14:paraId="7E30CF9F">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与前期项目的关系</w:t>
            </w:r>
          </w:p>
        </w:tc>
        <w:tc>
          <w:tcPr>
            <w:tcW w:w="5677" w:type="dxa"/>
            <w:vAlign w:val="center"/>
          </w:tcPr>
          <w:p w14:paraId="6F832079">
            <w:pPr>
              <w:jc w:val="center"/>
              <w:rPr>
                <w:rFonts w:ascii="仿宋" w:hAnsi="仿宋" w:eastAsia="仿宋" w:cs="Times New Roman"/>
                <w:color w:val="auto"/>
                <w:sz w:val="28"/>
                <w:szCs w:val="28"/>
                <w:highlight w:val="none"/>
              </w:rPr>
            </w:pPr>
            <w:r>
              <w:rPr>
                <w:rFonts w:hint="eastAsia" w:ascii="仿宋" w:hAnsi="仿宋" w:eastAsia="仿宋"/>
                <w:sz w:val="28"/>
                <w:szCs w:val="28"/>
              </w:rPr>
              <w:t>--</w:t>
            </w:r>
          </w:p>
        </w:tc>
      </w:tr>
    </w:tbl>
    <w:p w14:paraId="5E35095F">
      <w:pPr>
        <w:spacing w:line="560" w:lineRule="exact"/>
        <w:ind w:firstLine="640" w:firstLineChars="200"/>
        <w:jc w:val="left"/>
        <w:outlineLvl w:val="1"/>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（二）采购项目预（概）算</w:t>
      </w:r>
    </w:p>
    <w:p w14:paraId="2464C7BE">
      <w:pPr>
        <w:spacing w:line="560" w:lineRule="exact"/>
        <w:ind w:firstLine="640" w:firstLineChars="200"/>
        <w:jc w:val="left"/>
        <w:rPr>
          <w:rFonts w:hint="eastAsia" w:ascii="楷体" w:hAnsi="楷体" w:eastAsia="楷体" w:cs="Times New Roman"/>
          <w:sz w:val="32"/>
          <w:szCs w:val="32"/>
          <w:u w:val="single"/>
        </w:rPr>
      </w:pPr>
      <w:r>
        <w:rPr>
          <w:rFonts w:ascii="楷体" w:hAnsi="楷体" w:eastAsia="楷体" w:cs="Times New Roman"/>
          <w:sz w:val="32"/>
          <w:szCs w:val="32"/>
        </w:rPr>
        <w:t>总</w:t>
      </w:r>
      <w:r>
        <w:rPr>
          <w:rFonts w:hint="eastAsia" w:ascii="楷体" w:hAnsi="楷体" w:eastAsia="楷体" w:cs="Times New Roman"/>
          <w:sz w:val="32"/>
          <w:szCs w:val="32"/>
        </w:rPr>
        <w:t xml:space="preserve"> </w:t>
      </w:r>
      <w:r>
        <w:rPr>
          <w:rFonts w:ascii="楷体" w:hAnsi="楷体" w:eastAsia="楷体" w:cs="Times New Roman"/>
          <w:sz w:val="32"/>
          <w:szCs w:val="32"/>
        </w:rPr>
        <w:t>预</w:t>
      </w:r>
      <w:r>
        <w:rPr>
          <w:rFonts w:hint="eastAsia" w:ascii="楷体" w:hAnsi="楷体" w:eastAsia="楷体" w:cs="Times New Roman"/>
          <w:sz w:val="32"/>
          <w:szCs w:val="32"/>
        </w:rPr>
        <w:t xml:space="preserve"> </w:t>
      </w:r>
      <w:r>
        <w:rPr>
          <w:rFonts w:ascii="楷体" w:hAnsi="楷体" w:eastAsia="楷体" w:cs="Times New Roman"/>
          <w:sz w:val="32"/>
          <w:szCs w:val="32"/>
        </w:rPr>
        <w:t>算</w:t>
      </w:r>
      <w:r>
        <w:rPr>
          <w:rFonts w:hint="eastAsia" w:ascii="楷体" w:hAnsi="楷体" w:eastAsia="楷体" w:cs="Times New Roman"/>
          <w:sz w:val="32"/>
          <w:szCs w:val="32"/>
        </w:rPr>
        <w:t>：</w:t>
      </w:r>
      <w:r>
        <w:rPr>
          <w:rFonts w:hint="eastAsia" w:ascii="楷体" w:hAnsi="楷体" w:eastAsia="楷体" w:cs="Times New Roman"/>
          <w:sz w:val="32"/>
          <w:szCs w:val="32"/>
          <w:u w:val="single"/>
        </w:rPr>
        <w:t xml:space="preserve">    </w:t>
      </w:r>
      <w:r>
        <w:rPr>
          <w:rFonts w:hint="eastAsia" w:ascii="楷体" w:hAnsi="楷体" w:eastAsia="楷体" w:cs="Times New Roman"/>
          <w:sz w:val="32"/>
          <w:szCs w:val="32"/>
          <w:u w:val="single"/>
          <w:lang w:val="en-US" w:eastAsia="zh-CN"/>
        </w:rPr>
        <w:t>4088万元</w:t>
      </w:r>
      <w:r>
        <w:rPr>
          <w:rFonts w:hint="eastAsia" w:ascii="楷体" w:hAnsi="楷体" w:eastAsia="楷体" w:cs="Times New Roman"/>
          <w:sz w:val="32"/>
          <w:szCs w:val="32"/>
          <w:u w:val="single"/>
        </w:rPr>
        <w:t xml:space="preserve">        </w:t>
      </w:r>
    </w:p>
    <w:p w14:paraId="6827E6DF">
      <w:pPr>
        <w:numPr>
          <w:ilvl w:val="0"/>
          <w:numId w:val="1"/>
        </w:numPr>
        <w:spacing w:line="560" w:lineRule="exact"/>
        <w:ind w:left="420" w:leftChars="200" w:firstLine="0" w:firstLineChars="0"/>
        <w:jc w:val="left"/>
        <w:outlineLvl w:val="1"/>
        <w:rPr>
          <w:rFonts w:hint="eastAsia"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采购标的汇总表</w:t>
      </w:r>
    </w:p>
    <w:tbl>
      <w:tblPr>
        <w:tblStyle w:val="1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83"/>
        <w:gridCol w:w="1487"/>
        <w:gridCol w:w="791"/>
        <w:gridCol w:w="804"/>
        <w:gridCol w:w="968"/>
        <w:gridCol w:w="897"/>
        <w:gridCol w:w="993"/>
      </w:tblGrid>
      <w:tr w14:paraId="4D29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534" w:type="dxa"/>
            <w:vAlign w:val="center"/>
          </w:tcPr>
          <w:p w14:paraId="53C0E641">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2883" w:type="dxa"/>
            <w:vAlign w:val="center"/>
          </w:tcPr>
          <w:p w14:paraId="67FF8892">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487" w:type="dxa"/>
            <w:vAlign w:val="center"/>
          </w:tcPr>
          <w:p w14:paraId="2B2E6BA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1C499C1D">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791" w:type="dxa"/>
            <w:vAlign w:val="center"/>
          </w:tcPr>
          <w:p w14:paraId="74E44404">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19A0C3B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804" w:type="dxa"/>
            <w:vAlign w:val="center"/>
          </w:tcPr>
          <w:p w14:paraId="35EAB654">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c>
          <w:tcPr>
            <w:tcW w:w="968" w:type="dxa"/>
            <w:vAlign w:val="center"/>
          </w:tcPr>
          <w:p w14:paraId="791FCB3D">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是否进口</w:t>
            </w:r>
          </w:p>
        </w:tc>
        <w:tc>
          <w:tcPr>
            <w:tcW w:w="897" w:type="dxa"/>
          </w:tcPr>
          <w:p w14:paraId="663F5C68">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是否</w:t>
            </w:r>
            <w:r>
              <w:rPr>
                <w:rFonts w:ascii="仿宋" w:hAnsi="仿宋" w:eastAsia="仿宋" w:cs="Times New Roman"/>
                <w:b/>
                <w:sz w:val="28"/>
                <w:szCs w:val="28"/>
              </w:rPr>
              <w:t>核心产品</w:t>
            </w:r>
          </w:p>
        </w:tc>
        <w:tc>
          <w:tcPr>
            <w:tcW w:w="993" w:type="dxa"/>
          </w:tcPr>
          <w:p w14:paraId="12CA288E">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最高</w:t>
            </w:r>
            <w:r>
              <w:rPr>
                <w:rFonts w:ascii="仿宋" w:hAnsi="仿宋" w:eastAsia="仿宋" w:cs="Times New Roman"/>
                <w:b/>
                <w:sz w:val="28"/>
                <w:szCs w:val="28"/>
              </w:rPr>
              <w:t>限价</w:t>
            </w:r>
          </w:p>
        </w:tc>
      </w:tr>
      <w:tr w14:paraId="707C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14:paraId="75DB2589">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2883" w:type="dxa"/>
            <w:vAlign w:val="center"/>
          </w:tcPr>
          <w:p w14:paraId="06067367">
            <w:pPr>
              <w:adjustRightInd w:val="0"/>
              <w:snapToGrid w:val="0"/>
              <w:spacing w:line="560" w:lineRule="exact"/>
              <w:jc w:val="center"/>
              <w:rPr>
                <w:rFonts w:ascii="仿宋" w:hAnsi="仿宋" w:eastAsia="仿宋" w:cs="Times New Roman"/>
                <w:i/>
                <w:sz w:val="28"/>
                <w:szCs w:val="28"/>
                <w:u w:val="single"/>
              </w:rPr>
            </w:pPr>
            <w:r>
              <w:rPr>
                <w:rFonts w:hint="eastAsia" w:ascii="仿宋" w:hAnsi="仿宋" w:eastAsia="仿宋" w:cs="Times New Roman"/>
                <w:sz w:val="28"/>
                <w:szCs w:val="28"/>
              </w:rPr>
              <w:t>服务器类型二</w:t>
            </w:r>
          </w:p>
        </w:tc>
        <w:tc>
          <w:tcPr>
            <w:tcW w:w="1487" w:type="dxa"/>
            <w:vAlign w:val="center"/>
          </w:tcPr>
          <w:p w14:paraId="26E824A9">
            <w:pPr>
              <w:adjustRightInd w:val="0"/>
              <w:snapToGrid w:val="0"/>
              <w:spacing w:line="560" w:lineRule="exact"/>
              <w:jc w:val="center"/>
              <w:rPr>
                <w:rFonts w:ascii="仿宋" w:hAnsi="仿宋" w:eastAsia="仿宋" w:cs="Times New Roman"/>
                <w:sz w:val="28"/>
                <w:szCs w:val="28"/>
              </w:rPr>
            </w:pPr>
            <w:r>
              <w:rPr>
                <w:rFonts w:hint="eastAsia" w:ascii="仿宋" w:hAnsi="仿宋" w:eastAsia="仿宋"/>
                <w:sz w:val="28"/>
                <w:szCs w:val="28"/>
              </w:rPr>
              <w:t>A02010104</w:t>
            </w:r>
          </w:p>
        </w:tc>
        <w:tc>
          <w:tcPr>
            <w:tcW w:w="791" w:type="dxa"/>
            <w:vAlign w:val="center"/>
          </w:tcPr>
          <w:p w14:paraId="77AEE4CA">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台</w:t>
            </w:r>
          </w:p>
        </w:tc>
        <w:tc>
          <w:tcPr>
            <w:tcW w:w="804" w:type="dxa"/>
            <w:vAlign w:val="center"/>
          </w:tcPr>
          <w:p w14:paraId="7E9E7B73">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160</w:t>
            </w:r>
          </w:p>
        </w:tc>
        <w:tc>
          <w:tcPr>
            <w:tcW w:w="968" w:type="dxa"/>
            <w:vAlign w:val="center"/>
          </w:tcPr>
          <w:p w14:paraId="60F9DB11">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否</w:t>
            </w:r>
          </w:p>
        </w:tc>
        <w:tc>
          <w:tcPr>
            <w:tcW w:w="897" w:type="dxa"/>
            <w:vAlign w:val="center"/>
          </w:tcPr>
          <w:p w14:paraId="5B6C167D">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是</w:t>
            </w:r>
          </w:p>
        </w:tc>
        <w:tc>
          <w:tcPr>
            <w:tcW w:w="993" w:type="dxa"/>
            <w:vMerge w:val="restart"/>
            <w:vAlign w:val="center"/>
          </w:tcPr>
          <w:p w14:paraId="1E523280">
            <w:pPr>
              <w:adjustRightInd w:val="0"/>
              <w:snapToGrid w:val="0"/>
              <w:spacing w:line="560" w:lineRule="exact"/>
              <w:rPr>
                <w:rFonts w:ascii="仿宋" w:hAnsi="仿宋" w:eastAsia="仿宋" w:cs="Times New Roman"/>
                <w:sz w:val="28"/>
                <w:szCs w:val="28"/>
              </w:rPr>
            </w:pPr>
            <w:r>
              <w:rPr>
                <w:rFonts w:hint="eastAsia" w:ascii="仿宋" w:hAnsi="仿宋" w:eastAsia="仿宋"/>
                <w:sz w:val="28"/>
                <w:szCs w:val="28"/>
              </w:rPr>
              <w:t>4088万元</w:t>
            </w:r>
          </w:p>
        </w:tc>
      </w:tr>
      <w:tr w14:paraId="4955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14:paraId="1BD0EDA4">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2</w:t>
            </w:r>
          </w:p>
        </w:tc>
        <w:tc>
          <w:tcPr>
            <w:tcW w:w="2883" w:type="dxa"/>
            <w:vAlign w:val="center"/>
          </w:tcPr>
          <w:p w14:paraId="14A15CB0">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3.84TB SAS SSD硬盘</w:t>
            </w:r>
          </w:p>
        </w:tc>
        <w:tc>
          <w:tcPr>
            <w:tcW w:w="1487" w:type="dxa"/>
            <w:vAlign w:val="center"/>
          </w:tcPr>
          <w:p w14:paraId="71AA2E13">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A02010700</w:t>
            </w:r>
          </w:p>
        </w:tc>
        <w:tc>
          <w:tcPr>
            <w:tcW w:w="791" w:type="dxa"/>
            <w:vAlign w:val="center"/>
          </w:tcPr>
          <w:p w14:paraId="2FB15F93">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块</w:t>
            </w:r>
          </w:p>
        </w:tc>
        <w:tc>
          <w:tcPr>
            <w:tcW w:w="804" w:type="dxa"/>
            <w:vAlign w:val="center"/>
          </w:tcPr>
          <w:p w14:paraId="675BE87C">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160</w:t>
            </w:r>
          </w:p>
        </w:tc>
        <w:tc>
          <w:tcPr>
            <w:tcW w:w="968" w:type="dxa"/>
            <w:vAlign w:val="center"/>
          </w:tcPr>
          <w:p w14:paraId="472C5B62">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897" w:type="dxa"/>
            <w:vAlign w:val="center"/>
          </w:tcPr>
          <w:p w14:paraId="18FE8170">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993" w:type="dxa"/>
            <w:vMerge w:val="continue"/>
          </w:tcPr>
          <w:p w14:paraId="6FC7F992">
            <w:pPr>
              <w:adjustRightInd w:val="0"/>
              <w:snapToGrid w:val="0"/>
              <w:spacing w:line="560" w:lineRule="exact"/>
              <w:jc w:val="center"/>
              <w:rPr>
                <w:rFonts w:ascii="仿宋" w:hAnsi="仿宋" w:eastAsia="仿宋" w:cs="Times New Roman"/>
                <w:sz w:val="28"/>
                <w:szCs w:val="28"/>
              </w:rPr>
            </w:pPr>
          </w:p>
        </w:tc>
      </w:tr>
      <w:tr w14:paraId="2D48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14:paraId="603C1AF3">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3</w:t>
            </w:r>
          </w:p>
        </w:tc>
        <w:tc>
          <w:tcPr>
            <w:tcW w:w="2883" w:type="dxa"/>
            <w:vAlign w:val="center"/>
          </w:tcPr>
          <w:p w14:paraId="40DD65B7">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2.4TB SAS HDD 硬盘</w:t>
            </w:r>
          </w:p>
        </w:tc>
        <w:tc>
          <w:tcPr>
            <w:tcW w:w="1487" w:type="dxa"/>
            <w:vAlign w:val="center"/>
          </w:tcPr>
          <w:p w14:paraId="79995DD9">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A02010700</w:t>
            </w:r>
          </w:p>
        </w:tc>
        <w:tc>
          <w:tcPr>
            <w:tcW w:w="791" w:type="dxa"/>
            <w:vAlign w:val="center"/>
          </w:tcPr>
          <w:p w14:paraId="26B9DD89">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块</w:t>
            </w:r>
          </w:p>
        </w:tc>
        <w:tc>
          <w:tcPr>
            <w:tcW w:w="804" w:type="dxa"/>
            <w:vAlign w:val="center"/>
          </w:tcPr>
          <w:p w14:paraId="5B6083D5">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120</w:t>
            </w:r>
          </w:p>
        </w:tc>
        <w:tc>
          <w:tcPr>
            <w:tcW w:w="968" w:type="dxa"/>
            <w:vAlign w:val="center"/>
          </w:tcPr>
          <w:p w14:paraId="6B32F551">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897" w:type="dxa"/>
            <w:vAlign w:val="center"/>
          </w:tcPr>
          <w:p w14:paraId="12FF053A">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993" w:type="dxa"/>
            <w:vMerge w:val="continue"/>
          </w:tcPr>
          <w:p w14:paraId="7E60E2D6">
            <w:pPr>
              <w:adjustRightInd w:val="0"/>
              <w:snapToGrid w:val="0"/>
              <w:spacing w:line="560" w:lineRule="exact"/>
              <w:jc w:val="center"/>
              <w:rPr>
                <w:rFonts w:ascii="仿宋" w:hAnsi="仿宋" w:eastAsia="仿宋" w:cs="Times New Roman"/>
                <w:sz w:val="28"/>
                <w:szCs w:val="28"/>
              </w:rPr>
            </w:pPr>
          </w:p>
        </w:tc>
      </w:tr>
      <w:tr w14:paraId="4E1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14:paraId="6C7ADF3C">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4</w:t>
            </w:r>
          </w:p>
        </w:tc>
        <w:tc>
          <w:tcPr>
            <w:tcW w:w="2883" w:type="dxa"/>
            <w:vAlign w:val="center"/>
          </w:tcPr>
          <w:p w14:paraId="38D230B7">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32GB内存条</w:t>
            </w:r>
          </w:p>
        </w:tc>
        <w:tc>
          <w:tcPr>
            <w:tcW w:w="1487" w:type="dxa"/>
            <w:vAlign w:val="center"/>
          </w:tcPr>
          <w:p w14:paraId="389D3637">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A02010700</w:t>
            </w:r>
          </w:p>
        </w:tc>
        <w:tc>
          <w:tcPr>
            <w:tcW w:w="791" w:type="dxa"/>
            <w:vAlign w:val="center"/>
          </w:tcPr>
          <w:p w14:paraId="3CD8E441">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块</w:t>
            </w:r>
          </w:p>
        </w:tc>
        <w:tc>
          <w:tcPr>
            <w:tcW w:w="804" w:type="dxa"/>
            <w:vAlign w:val="center"/>
          </w:tcPr>
          <w:p w14:paraId="28CD0661">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320</w:t>
            </w:r>
          </w:p>
        </w:tc>
        <w:tc>
          <w:tcPr>
            <w:tcW w:w="968" w:type="dxa"/>
            <w:vAlign w:val="center"/>
          </w:tcPr>
          <w:p w14:paraId="1093D39F">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897" w:type="dxa"/>
            <w:vAlign w:val="center"/>
          </w:tcPr>
          <w:p w14:paraId="7AB70F4A">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993" w:type="dxa"/>
            <w:vMerge w:val="continue"/>
          </w:tcPr>
          <w:p w14:paraId="112C7B0E">
            <w:pPr>
              <w:adjustRightInd w:val="0"/>
              <w:snapToGrid w:val="0"/>
              <w:spacing w:line="560" w:lineRule="exact"/>
              <w:jc w:val="center"/>
              <w:rPr>
                <w:rFonts w:ascii="仿宋" w:hAnsi="仿宋" w:eastAsia="仿宋" w:cs="Times New Roman"/>
                <w:sz w:val="28"/>
                <w:szCs w:val="28"/>
              </w:rPr>
            </w:pPr>
          </w:p>
        </w:tc>
      </w:tr>
    </w:tbl>
    <w:p w14:paraId="1259409A">
      <w:pPr>
        <w:spacing w:line="240" w:lineRule="auto"/>
        <w:ind w:firstLine="0" w:firstLineChars="0"/>
        <w:jc w:val="left"/>
        <w:outlineLvl w:val="9"/>
        <w:rPr>
          <w:rFonts w:hint="eastAsia"/>
        </w:rPr>
      </w:pPr>
    </w:p>
    <w:p w14:paraId="4F2F8F5A">
      <w:pPr>
        <w:spacing w:line="560" w:lineRule="exact"/>
        <w:ind w:firstLine="640" w:firstLineChars="200"/>
        <w:jc w:val="left"/>
        <w:outlineLvl w:val="1"/>
        <w:rPr>
          <w:rFonts w:ascii="仿宋" w:hAnsi="仿宋" w:eastAsia="仿宋" w:cs="Times New Roman"/>
          <w:color w:val="auto"/>
          <w:sz w:val="32"/>
          <w:szCs w:val="32"/>
          <w:highlight w:val="none"/>
        </w:rPr>
      </w:pPr>
      <w:r>
        <w:rPr>
          <w:rFonts w:hint="eastAsia" w:ascii="楷体" w:hAnsi="楷体" w:eastAsia="楷体" w:cs="Times New Roman"/>
          <w:color w:val="auto"/>
          <w:sz w:val="32"/>
          <w:szCs w:val="32"/>
          <w:highlight w:val="none"/>
        </w:rPr>
        <w:t>（四）技术商务要求</w:t>
      </w:r>
    </w:p>
    <w:p w14:paraId="0959BDFC">
      <w:pPr>
        <w:spacing w:line="360" w:lineRule="auto"/>
        <w:ind w:firstLine="640" w:firstLineChars="200"/>
        <w:jc w:val="left"/>
        <w:rPr>
          <w:rFonts w:ascii="仿宋" w:hAnsi="仿宋" w:eastAsia="仿宋"/>
          <w:sz w:val="32"/>
          <w:szCs w:val="32"/>
        </w:rPr>
      </w:pPr>
      <w:r>
        <w:rPr>
          <w:rFonts w:hint="eastAsia" w:ascii="仿宋" w:hAnsi="仿宋" w:eastAsia="仿宋" w:cs="Times New Roman"/>
          <w:iCs/>
          <w:sz w:val="32"/>
          <w:szCs w:val="32"/>
        </w:rPr>
        <w:t>“★”代表最关键指标，不满足该指标项将导致投标被拒绝；“#”代表重要指标，“△”代表一般指标项，“#”和“△”指标为比较性评价指标。</w:t>
      </w:r>
    </w:p>
    <w:p w14:paraId="6C682025">
      <w:pPr>
        <w:spacing w:line="560" w:lineRule="exact"/>
        <w:ind w:firstLine="640" w:firstLineChars="200"/>
        <w:jc w:val="left"/>
        <w:outlineLvl w:val="3"/>
        <w:rPr>
          <w:rFonts w:ascii="仿宋" w:hAnsi="仿宋" w:eastAsia="仿宋"/>
          <w:sz w:val="32"/>
          <w:szCs w:val="32"/>
        </w:rPr>
      </w:pPr>
      <w:r>
        <w:rPr>
          <w:rFonts w:hint="eastAsia" w:ascii="仿宋" w:hAnsi="仿宋" w:eastAsia="仿宋"/>
          <w:sz w:val="32"/>
          <w:szCs w:val="32"/>
        </w:rPr>
        <w:t>（1）技术要求</w:t>
      </w:r>
    </w:p>
    <w:p w14:paraId="4B6A2C4F">
      <w:pPr>
        <w:spacing w:line="360" w:lineRule="auto"/>
        <w:ind w:firstLine="640" w:firstLineChars="200"/>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125</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7</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ascii="仿宋" w:hAnsi="仿宋" w:eastAsia="仿宋"/>
          <w:iCs/>
          <w:sz w:val="32"/>
          <w:szCs w:val="32"/>
          <w:u w:val="single"/>
        </w:rPr>
        <w:t>6</w:t>
      </w:r>
      <w:r>
        <w:rPr>
          <w:rFonts w:hint="eastAsia" w:ascii="仿宋" w:hAnsi="仿宋" w:eastAsia="仿宋"/>
          <w:iCs/>
          <w:sz w:val="32"/>
          <w:szCs w:val="32"/>
        </w:rPr>
        <w:t>项。</w:t>
      </w:r>
    </w:p>
    <w:p w14:paraId="572F7466">
      <w:pPr>
        <w:numPr>
          <w:ilvl w:val="0"/>
          <w:numId w:val="2"/>
        </w:numPr>
        <w:spacing w:after="160" w:line="560" w:lineRule="exact"/>
        <w:jc w:val="left"/>
        <w:outlineLvl w:val="1"/>
        <w:rPr>
          <w:rFonts w:ascii="仿宋" w:hAnsi="仿宋" w:eastAsia="仿宋" w:cs="仿宋"/>
          <w:sz w:val="32"/>
          <w:szCs w:val="32"/>
        </w:rPr>
      </w:pPr>
      <w:r>
        <w:rPr>
          <w:rFonts w:hint="eastAsia" w:ascii="仿宋" w:hAnsi="仿宋" w:eastAsia="仿宋" w:cs="仿宋"/>
          <w:sz w:val="32"/>
          <w:szCs w:val="32"/>
        </w:rPr>
        <w:t>服务器类型二</w:t>
      </w:r>
    </w:p>
    <w:tbl>
      <w:tblPr>
        <w:tblStyle w:val="16"/>
        <w:tblW w:w="8715" w:type="dxa"/>
        <w:tblInd w:w="91" w:type="dxa"/>
        <w:tblLayout w:type="fixed"/>
        <w:tblCellMar>
          <w:top w:w="0" w:type="dxa"/>
          <w:left w:w="108" w:type="dxa"/>
          <w:bottom w:w="0" w:type="dxa"/>
          <w:right w:w="108" w:type="dxa"/>
        </w:tblCellMar>
      </w:tblPr>
      <w:tblGrid>
        <w:gridCol w:w="670"/>
        <w:gridCol w:w="719"/>
        <w:gridCol w:w="786"/>
        <w:gridCol w:w="867"/>
        <w:gridCol w:w="771"/>
        <w:gridCol w:w="943"/>
        <w:gridCol w:w="2766"/>
        <w:gridCol w:w="1193"/>
      </w:tblGrid>
      <w:tr w14:paraId="7BFD9872">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5B9">
            <w:pPr>
              <w:widowControl/>
              <w:textAlignment w:val="center"/>
              <w:rPr>
                <w:rFonts w:ascii="仿宋" w:hAnsi="仿宋" w:eastAsia="仿宋" w:cs="仿宋"/>
                <w:b/>
                <w:bCs/>
                <w:sz w:val="22"/>
                <w:szCs w:val="22"/>
              </w:rPr>
            </w:pPr>
            <w:r>
              <w:rPr>
                <w:rFonts w:hint="eastAsia" w:ascii="仿宋" w:hAnsi="仿宋" w:eastAsia="仿宋" w:cs="仿宋"/>
                <w:b/>
                <w:bCs/>
                <w:sz w:val="22"/>
                <w:szCs w:val="22"/>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EB3">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重要性</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DE0E">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指标分类</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984B">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一级指标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6AF3">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二级指标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7E3">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是否可以作为评分因素</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C26C">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指标要求</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FA3E">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lang w:bidi="ar"/>
              </w:rPr>
              <w:t>是否提供证明材料及方式</w:t>
            </w:r>
          </w:p>
        </w:tc>
      </w:tr>
      <w:tr w14:paraId="27B0FCE1">
        <w:tblPrEx>
          <w:tblCellMar>
            <w:top w:w="0" w:type="dxa"/>
            <w:left w:w="108" w:type="dxa"/>
            <w:bottom w:w="0" w:type="dxa"/>
            <w:right w:w="108" w:type="dxa"/>
          </w:tblCellMar>
        </w:tblPrEx>
        <w:trPr>
          <w:trHeight w:val="1080" w:hRule="atLeast"/>
        </w:trPr>
        <w:tc>
          <w:tcPr>
            <w:tcW w:w="670" w:type="dxa"/>
            <w:tcBorders>
              <w:top w:val="nil"/>
              <w:left w:val="single" w:color="000000" w:sz="4" w:space="0"/>
              <w:bottom w:val="single" w:color="000000" w:sz="4" w:space="0"/>
              <w:right w:val="single" w:color="000000" w:sz="4" w:space="0"/>
            </w:tcBorders>
            <w:shd w:val="clear" w:color="auto" w:fill="auto"/>
            <w:vAlign w:val="center"/>
          </w:tcPr>
          <w:p w14:paraId="5DAC318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43F339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nil"/>
              <w:left w:val="single" w:color="000000" w:sz="4" w:space="0"/>
              <w:bottom w:val="single" w:color="000000" w:sz="4" w:space="0"/>
              <w:right w:val="single" w:color="000000" w:sz="4" w:space="0"/>
            </w:tcBorders>
            <w:shd w:val="clear" w:color="auto" w:fill="auto"/>
            <w:vAlign w:val="center"/>
          </w:tcPr>
          <w:p w14:paraId="2683E59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nil"/>
              <w:left w:val="single" w:color="000000" w:sz="4" w:space="0"/>
              <w:bottom w:val="single" w:color="000000" w:sz="4" w:space="0"/>
              <w:right w:val="single" w:color="000000" w:sz="4" w:space="0"/>
            </w:tcBorders>
            <w:shd w:val="clear" w:color="auto" w:fill="auto"/>
            <w:vAlign w:val="center"/>
          </w:tcPr>
          <w:p w14:paraId="61C0D5C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*CPU规格</w:t>
            </w:r>
          </w:p>
        </w:tc>
        <w:tc>
          <w:tcPr>
            <w:tcW w:w="771" w:type="dxa"/>
            <w:tcBorders>
              <w:top w:val="nil"/>
              <w:left w:val="single" w:color="000000" w:sz="4" w:space="0"/>
              <w:bottom w:val="single" w:color="000000" w:sz="4" w:space="0"/>
              <w:right w:val="single" w:color="000000" w:sz="4" w:space="0"/>
            </w:tcBorders>
            <w:shd w:val="clear" w:color="auto" w:fill="auto"/>
            <w:vAlign w:val="center"/>
          </w:tcPr>
          <w:p w14:paraId="6E4911C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 信息</w:t>
            </w:r>
          </w:p>
        </w:tc>
        <w:tc>
          <w:tcPr>
            <w:tcW w:w="943" w:type="dxa"/>
            <w:tcBorders>
              <w:top w:val="nil"/>
              <w:left w:val="single" w:color="000000" w:sz="4" w:space="0"/>
              <w:bottom w:val="single" w:color="000000" w:sz="4" w:space="0"/>
              <w:right w:val="single" w:color="000000" w:sz="4" w:space="0"/>
            </w:tcBorders>
            <w:shd w:val="clear" w:color="auto" w:fill="auto"/>
            <w:vAlign w:val="center"/>
          </w:tcPr>
          <w:p w14:paraId="16EFBD5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nil"/>
              <w:left w:val="single" w:color="000000" w:sz="4" w:space="0"/>
              <w:bottom w:val="single" w:color="000000" w:sz="4" w:space="0"/>
              <w:right w:val="single" w:color="000000" w:sz="4" w:space="0"/>
            </w:tcBorders>
            <w:shd w:val="clear" w:color="auto" w:fill="auto"/>
            <w:vAlign w:val="center"/>
          </w:tcPr>
          <w:p w14:paraId="4A2620F4">
            <w:pPr>
              <w:widowControl/>
              <w:jc w:val="left"/>
              <w:textAlignment w:val="center"/>
              <w:rPr>
                <w:rFonts w:ascii="仿宋" w:hAnsi="仿宋" w:eastAsia="仿宋" w:cs="仿宋"/>
                <w:sz w:val="22"/>
                <w:szCs w:val="22"/>
              </w:rPr>
            </w:pPr>
            <w:r>
              <w:rPr>
                <w:rStyle w:val="20"/>
                <w:rFonts w:hint="default"/>
                <w:color w:val="auto"/>
                <w:lang w:bidi="ar"/>
              </w:rPr>
              <w:t>实配2路ARM架构的CPU；</w:t>
            </w:r>
            <w:r>
              <w:rPr>
                <w:rStyle w:val="27"/>
                <w:color w:val="auto"/>
                <w:lang w:bidi="ar"/>
              </w:rPr>
              <w:br w:type="textWrapping"/>
            </w:r>
            <w:r>
              <w:rPr>
                <w:rStyle w:val="27"/>
                <w:color w:val="auto"/>
                <w:lang w:bidi="ar"/>
              </w:rPr>
              <w:t>供应商给出 CPU 信息，包含 CPU 型号、物理核心数、主频、末级缓存容量、线程数、热设计功耗及支持内存的最高速率、通道数和位宽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7A74C0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4E4670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33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08B71A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BED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D3CA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*主板规格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7D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*主板支持的 CPU 和内存情况</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78D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78E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支持2路ARM架构的CPU；支持DDR4及以上规格内存。</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186CDA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E79291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E84B">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01A9FC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F1D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2FE3">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C00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*主板内存槽数量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172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16A0">
            <w:pPr>
              <w:widowControl/>
              <w:jc w:val="left"/>
              <w:textAlignment w:val="center"/>
              <w:rPr>
                <w:rFonts w:ascii="仿宋" w:hAnsi="仿宋" w:eastAsia="仿宋" w:cs="仿宋"/>
                <w:sz w:val="22"/>
                <w:szCs w:val="22"/>
              </w:rPr>
            </w:pPr>
            <w:r>
              <w:rPr>
                <w:rStyle w:val="27"/>
                <w:color w:val="auto"/>
                <w:lang w:bidi="ar"/>
              </w:rPr>
              <w:t>非板载内存的可扩展插槽数量应不少于</w:t>
            </w:r>
            <w:r>
              <w:rPr>
                <w:rStyle w:val="20"/>
                <w:rFonts w:hint="default"/>
                <w:color w:val="auto"/>
                <w:lang w:bidi="ar"/>
              </w:rPr>
              <w:t xml:space="preserve"> 24 </w:t>
            </w:r>
            <w:r>
              <w:rPr>
                <w:rStyle w:val="27"/>
                <w:color w:val="auto"/>
                <w:lang w:bidi="ar"/>
              </w:rPr>
              <w:t>个</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D3300B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D3B0CB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DA97">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FAADD0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59E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E602">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129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*主板存储接口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3A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F6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支持SATA、SAS、U.2存储接口。</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5FC66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FF8511F">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AB2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AFF11E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9B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9AE7">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CC3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*PCIe 插槽接口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D1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A279">
            <w:pPr>
              <w:widowControl/>
              <w:jc w:val="left"/>
              <w:textAlignment w:val="center"/>
              <w:rPr>
                <w:rFonts w:ascii="方正仿宋_GB2312" w:hAnsi="方正仿宋_GB2312" w:eastAsia="方正仿宋_GB2312" w:cs="方正仿宋_GB2312"/>
                <w:sz w:val="24"/>
              </w:rPr>
            </w:pPr>
            <w:r>
              <w:rPr>
                <w:rFonts w:ascii="方正仿宋_GB2312" w:hAnsi="方正仿宋_GB2312" w:eastAsia="方正仿宋_GB2312" w:cs="方正仿宋_GB2312"/>
                <w:kern w:val="0"/>
                <w:sz w:val="24"/>
                <w:lang w:bidi="ar"/>
              </w:rPr>
              <w:t>符合PCIe4.0或以上的高速串行计算机扩展总线标准，PCIe的接口速率与位宽需保证向下兼容。</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19D5D9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B440243">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99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F13617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9E2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66D8">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532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 PCIe插槽数量及规格</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05A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A4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服务器PCIe插槽或接口≥6个。</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0825A3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30228FD">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47F">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367456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DCC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3B42">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1F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特殊孔位及接口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409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36C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963002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6C14AC8">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A60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5934AE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AE4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90B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C88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板载网络接口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13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834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F2A70F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88375BB">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8A5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4C7AAF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55D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8A2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F7D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 OCP 插槽数量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1F3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85B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483B1B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9CB52ED">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20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4BC8C0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63C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B7E2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*内存规格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EA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DE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82E">
            <w:pPr>
              <w:widowControl/>
              <w:jc w:val="left"/>
              <w:textAlignment w:val="center"/>
              <w:rPr>
                <w:rFonts w:ascii="仿宋" w:hAnsi="仿宋" w:eastAsia="仿宋" w:cs="仿宋"/>
                <w:sz w:val="22"/>
                <w:szCs w:val="22"/>
              </w:rPr>
            </w:pPr>
            <w:r>
              <w:rPr>
                <w:rStyle w:val="27"/>
                <w:color w:val="auto"/>
                <w:lang w:bidi="ar"/>
              </w:rPr>
              <w:t>≥</w:t>
            </w:r>
            <w:r>
              <w:rPr>
                <w:rStyle w:val="20"/>
                <w:rFonts w:hint="default"/>
                <w:color w:val="auto"/>
                <w:lang w:bidi="ar"/>
              </w:rPr>
              <w:t>16</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AE98A7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914DD43">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37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5FC28A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80D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6109">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98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*内存规格</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766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F7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≥DDR4</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84C7A9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4B961B9">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4B1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F10711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8D0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EE0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23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*内存通道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5D7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BB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支持多个内存接口通道，每个通道可支持 1DPC 或 2DPC，当支持 2DPC时，印制电路板上应具备插槽的序号标识，具体通道数应在随机文件中明确;</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435CF0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9D691D1">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D18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948093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531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92A9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*存储规格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E27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硬盘类型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1EC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53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2.5英寸SAS SSD</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75D3C6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0F1CD3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E9D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46954D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0A1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305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BF1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*硬磁盘实配容量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94B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205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单盘容量≥3.84TB</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688CBE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DF9429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9C1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E429E4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FD1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0C59">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B0E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硬盘接口类型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B0B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29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SAS 3.0</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16C5B9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8F5A8DF">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A41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2D7E15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64E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375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6A8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*硬盘实配数量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36B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711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≥14块</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5DCDE3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CD0870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687E">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4EC67F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642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EA06">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1E6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*硬盘插槽数量及规格</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287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699C">
            <w:pPr>
              <w:widowControl/>
              <w:jc w:val="left"/>
              <w:textAlignment w:val="center"/>
              <w:rPr>
                <w:rFonts w:ascii="方正仿宋_GB2312" w:hAnsi="方正仿宋_GB2312" w:eastAsia="方正仿宋_GB2312" w:cs="方正仿宋_GB2312"/>
                <w:sz w:val="24"/>
              </w:rPr>
            </w:pPr>
            <w:r>
              <w:rPr>
                <w:rFonts w:ascii="方正仿宋_GB2312" w:hAnsi="方正仿宋_GB2312" w:eastAsia="方正仿宋_GB2312" w:cs="方正仿宋_GB2312"/>
                <w:kern w:val="0"/>
                <w:sz w:val="24"/>
                <w:lang w:bidi="ar"/>
              </w:rPr>
              <w:t>实配2.5英寸SAS 3.0接口的热拔插硬盘插槽≥24。</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2F61D9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C84F7E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DF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AE07A1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C49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499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B43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硬盘其他参数要求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907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D3E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9DE2A4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61D016E">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1C8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85381C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5D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0B66D">
            <w:pPr>
              <w:widowControl/>
              <w:jc w:val="center"/>
              <w:textAlignment w:val="bottom"/>
              <w:rPr>
                <w:rFonts w:ascii="仿宋" w:hAnsi="仿宋" w:eastAsia="仿宋" w:cs="仿宋"/>
                <w:sz w:val="22"/>
                <w:szCs w:val="22"/>
              </w:rPr>
            </w:pPr>
            <w:r>
              <w:rPr>
                <w:rFonts w:hint="eastAsia" w:ascii="仿宋" w:hAnsi="仿宋" w:eastAsia="仿宋" w:cs="仿宋"/>
                <w:kern w:val="0"/>
                <w:sz w:val="22"/>
                <w:szCs w:val="22"/>
                <w:lang w:bidi="ar"/>
              </w:rPr>
              <w:t>RAID卡规格（若支持RAID卡）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BF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卡支持的 SAS接口数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85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C8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A69892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A5B9CB8">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2CC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059978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5FC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51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SAS 直通卡规格(若支持 SAS直通卡)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352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SAS 直通卡 SAS 接口数量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AEC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D77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311D71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0D71BFA">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11A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4F7BA8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6C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3A4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HBA 卡规格(若支持 HBA直通卡)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D3A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HBA 卡端口数量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527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BA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753AAC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B872BD0">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8AF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71FE50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0A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F78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*网络规格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6B9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*网口速率和数量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56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841">
            <w:pPr>
              <w:widowControl/>
              <w:jc w:val="left"/>
              <w:textAlignment w:val="center"/>
              <w:rPr>
                <w:rFonts w:ascii="方正仿宋_GB2312" w:hAnsi="方正仿宋_GB2312" w:eastAsia="方正仿宋_GB2312" w:cs="方正仿宋_GB2312"/>
                <w:sz w:val="24"/>
              </w:rPr>
            </w:pPr>
            <w:r>
              <w:rPr>
                <w:rFonts w:ascii="方正仿宋_GB2312" w:hAnsi="方正仿宋_GB2312" w:eastAsia="方正仿宋_GB2312" w:cs="方正仿宋_GB2312"/>
                <w:kern w:val="0"/>
                <w:sz w:val="24"/>
                <w:lang w:bidi="ar"/>
              </w:rPr>
              <w:t>10GE网口数量≥6个。</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D55FF3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79F0C73">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1F56">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620B55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84A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328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9D8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存储型服务器网口速率和数量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4FB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58B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21BB67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412677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DA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AB5448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DF9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BB42">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B55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独立网卡网口数量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D30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2D9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10GE独立网卡≥3块，单个独立网卡网口数量=2，配置多模10GE模块</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DB2C40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4685EBE">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1E8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628DD7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9AA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8495">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FBD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独立网卡接口类型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380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BE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支持SFP+等</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8D2C5B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418A4DB">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47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461914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0A3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3378">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4C3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板载网卡接口类型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BC9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E2E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1B5F20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87B9B1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B11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3C8560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099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BB2D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*外部接口规格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C29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*显示接口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7B0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CE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支持VGA等</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3C8A9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E827E94">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7F3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63342A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7CE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2C76">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207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*USB 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40A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5C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USB接口≥2个</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BCCD0E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BDBB07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153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D33DFA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23B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E95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4DE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特殊接口及孔位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9C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49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10CEBF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A69A7A2">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1E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96B7B9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814422F">
            <w:pPr>
              <w:jc w:val="left"/>
              <w:rPr>
                <w:rFonts w:ascii="仿宋" w:hAnsi="仿宋" w:eastAsia="仿宋" w:cs="仿宋"/>
                <w:sz w:val="22"/>
                <w:szCs w:val="22"/>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0644">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14C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其他接口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31A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3B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366D60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9829AE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35F">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8F4F8B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F51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DBB3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*电源规格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1F9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电源冗余模式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45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4A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整机电源模块按 1+1 冗余或 N+1 冗余配置</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3BBE16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B06BBAE">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45D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47D9EA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36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EE48">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2DD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*电源模块数量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E4A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63C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≥2</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F05847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C7174D5">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D9F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C197C9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38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88ED">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29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*电源功率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830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2A32">
            <w:pPr>
              <w:widowControl/>
              <w:jc w:val="left"/>
              <w:textAlignment w:val="center"/>
              <w:rPr>
                <w:rFonts w:ascii="方正仿宋_GB2312" w:hAnsi="方正仿宋_GB2312" w:eastAsia="方正仿宋_GB2312" w:cs="方正仿宋_GB2312"/>
                <w:sz w:val="24"/>
              </w:rPr>
            </w:pPr>
            <w:r>
              <w:rPr>
                <w:rFonts w:ascii="方正仿宋_GB2312" w:hAnsi="方正仿宋_GB2312" w:eastAsia="方正仿宋_GB2312" w:cs="方正仿宋_GB2312"/>
                <w:kern w:val="0"/>
                <w:sz w:val="24"/>
                <w:lang w:bidi="ar"/>
              </w:rPr>
              <w:t>电源模块电压为交流220V，功率应有一定冗余，满足CPU满载时的需求。</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47827F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4CEE85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1C8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C9AFFA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C03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72B9">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D5E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电源指示灯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A65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94E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配备电源指示灯，指示待机、工作异常等状态</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8D4D19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FF0CAF2">
        <w:tblPrEx>
          <w:tblCellMar>
            <w:top w:w="0" w:type="dxa"/>
            <w:left w:w="108" w:type="dxa"/>
            <w:bottom w:w="0" w:type="dxa"/>
            <w:right w:w="108" w:type="dxa"/>
          </w:tblCellMar>
        </w:tblPrEx>
        <w:trPr>
          <w:trHeight w:val="3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4FE">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E12F13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E8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76D7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*整机规格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430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*外观和结构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14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DF3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a)服务器的零部件应紧固无松动，可插拔部件应可靠连接，开关、按钮和其它控制部件应灵活可靠，布局应方便使用；b) 产品表面不应有明显的凹痕、划伤、裂缝、变形和污染等。表面涂层均匀，不应起泡、龟裂、脱落和磨损，金属零部件无锈蚀及其它机械损伤；c) 产品表面说明功能的文字、符号和标志应清晰、端正且牢固；d) 应在服务器的显著位置提供运行状态的指示功能，并在随机文件中明确具体含义；e) 机架、机箱的尺寸应符合通用机柜的安装要求，插入总线插座的电路板接口外形尺寸应符合有关总线标准的规定，将机箱固定在机柜上，机箱底面最大下垂变形不得干涉相邻机体；f) 高密度服务器应给出 CPU 个数与机柜高度；g) 服务器尺寸具体要求在随机文件中明确</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845AAB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C0C895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2F7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F5EBFC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505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2954">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FD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*尺寸（高×宽×深）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FF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63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高：2个19英寸标准机柜单元高度</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宽：19英寸</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深：不超过19英寸标准机柜的深度</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1DD12A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C9699B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FB0E">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E20C2C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0F7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D313">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B4E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服务器导轨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48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7F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导轨支持19英寸标准机柜。</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E44E99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44735A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479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6174DD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4E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957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FB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 个数与机柜高度单位(U)比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A0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CB8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45DCBB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2F7E393">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CF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74A553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D50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EEF5">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5ED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*环境适应性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2D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8D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气候环境适应性应符合 GB/T9813.3 的有关规定，工作温度 10~35℃ , 贮存运输温度-40～55℃ ; 工作相对湿度 35%～80%，贮存运输相对湿度 20％～93%（40℃) ; 大气压86～106kPa</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BB90AD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B246018">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50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81CE09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D3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A8B3">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EB0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特殊机型环境适应性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61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3A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713CC7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83951C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5C1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0F020E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9A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763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359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*机械环境适应性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0F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96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机械环境适应性应符合 GB/T9813.3 的有关规定</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149BD3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63EDDF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2AFE">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9D9613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3C0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57A7">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2DA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*噪声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F97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7B9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符合 GB/T 9813.3 的有关规定，在产品说明中给出具体测试值塔式服务器噪声在空闲状态下不大于 50dB</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FA2DD6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323EA0F">
        <w:tblPrEx>
          <w:tblCellMar>
            <w:top w:w="0" w:type="dxa"/>
            <w:left w:w="108" w:type="dxa"/>
            <w:bottom w:w="0" w:type="dxa"/>
            <w:right w:w="108" w:type="dxa"/>
          </w:tblCellMar>
        </w:tblPrEx>
        <w:trPr>
          <w:trHeight w:val="189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1A87">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ACF058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786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1943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A I 计算单元规格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7CE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 I 计算单元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CD9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E4C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06F764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4C6D23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0C7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7BAF77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3B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A8E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BCD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一键式迁移</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244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A26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DA8714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00875E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94D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BED3DA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8AD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B9B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机柜规格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055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*机柜尺寸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04D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92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供应商中标后给出长度、高度和深度</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43491F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81C467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0C3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254DE2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EF6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B035">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D30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机柜管理板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7B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56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25C1EE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CF9D827">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0E8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D3E178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E06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BD29">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1E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机柜电源规格</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4C3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18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7FB882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3A4F7FB">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E46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6A9A4C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21E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D0DF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*主板功能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DF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*主板外部接口种类</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B2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53C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 USB、显示、管理等接口，如：VGA、USB3.0、BMC 管理端口</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10B13D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6528F1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7D0">
            <w:pPr>
              <w:widowControl/>
              <w:numPr>
                <w:ilvl w:val="0"/>
                <w:numId w:val="3"/>
              </w:numPr>
              <w:jc w:val="center"/>
              <w:textAlignment w:val="center"/>
              <w:rPr>
                <w:rFonts w:ascii="仿宋" w:hAnsi="仿宋" w:eastAsia="仿宋" w:cs="仿宋"/>
                <w:sz w:val="22"/>
                <w:szCs w:val="22"/>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FC3C">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395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E2F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96E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主板防烧板设计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D10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0DC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支持主板防烧板设计，保证电源故障后不扩散</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B48146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C43AD1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EE16">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0FC677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F2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E49E">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BB5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扩展功能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C00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D8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7888ED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183B5A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63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A417FC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B79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9A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*网络功能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B5D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*网络功能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68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2C0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支持网络连接、网络访问、数据交换和网络管控功能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D02975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E7979B7">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FF9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494B9F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FBE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0F16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*CPU功能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CB0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*计算处理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3ED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7E0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支持通用计算及虚拟化功能。处理器需集成整型计算单元、浮点计算单元、内存控制器、I/O 模块等，处理器与存储部件、网络部件、I/O部件等组成计算系统，提供数据处理、网络接入等计算相关功能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C6E144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32DC4F2">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0B2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AAB2E0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AC8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5687">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C3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*密码算法实现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71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0EA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 芯片应符合 GM/T 0008 的相关规定，或芯片密码模块应符合 GB/T37092 或 GM/T 0028 的相关规定</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321C71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22F69FE">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2A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E9C27C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CCC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A52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存储功能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EA5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内存校验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484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21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支持内存校验或内存增强型纠错功能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E5BB00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F541AC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BD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F3A187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01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8BE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2228E">
            <w:pPr>
              <w:widowControl/>
              <w:jc w:val="left"/>
              <w:textAlignment w:val="bottom"/>
              <w:rPr>
                <w:rFonts w:ascii="仿宋" w:hAnsi="仿宋" w:eastAsia="仿宋" w:cs="仿宋"/>
                <w:sz w:val="22"/>
                <w:szCs w:val="22"/>
              </w:rPr>
            </w:pPr>
            <w:r>
              <w:rPr>
                <w:rFonts w:hint="eastAsia" w:ascii="仿宋" w:hAnsi="仿宋" w:eastAsia="仿宋" w:cs="仿宋"/>
                <w:kern w:val="0"/>
                <w:sz w:val="22"/>
                <w:szCs w:val="22"/>
                <w:lang w:bidi="ar"/>
              </w:rPr>
              <w:t>SATA SSDNAND 健康状态上报</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0A8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55F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支持关键外部存储器（硬磁盘、SSD等）的健康状态上报并进行故障诊断</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43FDC5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0CC685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CE2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530D0F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A2E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66B6">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E4F2F">
            <w:pPr>
              <w:widowControl/>
              <w:jc w:val="left"/>
              <w:textAlignment w:val="bottom"/>
              <w:rPr>
                <w:rFonts w:ascii="仿宋" w:hAnsi="仿宋" w:eastAsia="仿宋" w:cs="仿宋"/>
                <w:sz w:val="22"/>
                <w:szCs w:val="22"/>
              </w:rPr>
            </w:pPr>
            <w:r>
              <w:rPr>
                <w:rFonts w:hint="eastAsia" w:ascii="仿宋" w:hAnsi="仿宋" w:eastAsia="仿宋" w:cs="仿宋"/>
                <w:kern w:val="0"/>
                <w:sz w:val="22"/>
                <w:szCs w:val="22"/>
                <w:lang w:bidi="ar"/>
              </w:rPr>
              <w:t>SATA SSD单die故障隔离</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F6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337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 SSD 关键外部存储器中单存储晶元故障隔离</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36854A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7E29EB0">
        <w:tblPrEx>
          <w:tblCellMar>
            <w:top w:w="0" w:type="dxa"/>
            <w:left w:w="108" w:type="dxa"/>
            <w:bottom w:w="0" w:type="dxa"/>
            <w:right w:w="108" w:type="dxa"/>
          </w:tblCellMar>
        </w:tblPrEx>
        <w:trPr>
          <w:trHeight w:val="27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D17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CFAA7B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52A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C40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RAID卡功能（若支持RAID卡）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99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卡RAID 级别支持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7D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7DA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RAID模式支持0/1/5/6/10/50/60。同时支持直通模式。</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24841A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6A4557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826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A8B152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A8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B63E">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2F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卡BBU 单元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24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5EC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卡支持电池或电容备份单元</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24280C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125296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86C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4C72AD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E9B4402">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6B2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光驱功能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2A0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光驱类型（是否支持 RW，以及光盘类型CD/DVD）</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A73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D07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03B04D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626DC4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E2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51C5B2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3357E98">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FBEE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4BD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*电源热插拔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206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72C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整机电源模块应具备热插拔功能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80CAB9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17808F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515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80F111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BAEB5B9">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C732">
            <w:pPr>
              <w:jc w:val="left"/>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82A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*电源过流保护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459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FE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支持过流及短路保护的功能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6FBAAF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94A6243">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C32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465777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33641F3">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D433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*整机功能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9DB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*散热方式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10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2F2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支持风冷或液冷等散热方式</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32D32C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DC72DC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0D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6F19A6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253F07BA">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F2BC">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432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其他功能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79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6B1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 支持关键部件冗余（包括电源、风扇等）；</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b) 支持熔断保护与恢复功能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6F1468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46DD7F6">
        <w:tblPrEx>
          <w:tblCellMar>
            <w:top w:w="0" w:type="dxa"/>
            <w:left w:w="108" w:type="dxa"/>
            <w:bottom w:w="0" w:type="dxa"/>
            <w:right w:w="108" w:type="dxa"/>
          </w:tblCellMar>
        </w:tblPrEx>
        <w:trPr>
          <w:trHeight w:val="70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0B2">
            <w:pPr>
              <w:widowControl/>
              <w:numPr>
                <w:ilvl w:val="0"/>
                <w:numId w:val="3"/>
              </w:numPr>
              <w:jc w:val="right"/>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7A6523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8D2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99BF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*管理系统功能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628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*BMC 固件基础功能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A9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nil"/>
            </w:tcBorders>
            <w:shd w:val="clear" w:color="auto" w:fill="auto"/>
            <w:vAlign w:val="center"/>
          </w:tcPr>
          <w:p w14:paraId="45068B4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1) 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E0467C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0D6C353">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371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FB0B34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C4A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491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F9B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BMC 固件增强功能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388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447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a）网络控制、安装提供图形访问界面网络；</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b）设备的 BMC 管理软件界面显示报警信息，且能够按报警的严重程度进行区分；</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c）Web GUI 采用 BMC 端口直连，平均响应时间为不大于 1s</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5C8C75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FDF0D05">
        <w:tblPrEx>
          <w:tblCellMar>
            <w:top w:w="0" w:type="dxa"/>
            <w:left w:w="108" w:type="dxa"/>
            <w:bottom w:w="0" w:type="dxa"/>
            <w:right w:w="108" w:type="dxa"/>
          </w:tblCellMar>
        </w:tblPrEx>
        <w:trPr>
          <w:trHeight w:val="3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0DE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CCAE17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19B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5414">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2B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*BIOS 固件基础功能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56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B84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A8C7E6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4F56C95">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99E7">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097404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8C428D7">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E8F7">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EF6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*远程控制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EE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17D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支持远程关机和重新启动功能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5BE5FB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FCF18E8">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566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C9C0F8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1781993">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AAEA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*操作系统及驱动功能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8D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*操作系统及驱动的升级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F1F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C42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支持通过网络、闪存盘对操作系统、驱动进行升级</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5551ED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D3FD15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36A4">
            <w:pPr>
              <w:widowControl/>
              <w:numPr>
                <w:ilvl w:val="0"/>
                <w:numId w:val="3"/>
              </w:numPr>
              <w:jc w:val="center"/>
              <w:textAlignment w:val="center"/>
              <w:rPr>
                <w:rFonts w:ascii="仿宋" w:hAnsi="仿宋" w:eastAsia="仿宋" w:cs="仿宋"/>
                <w:sz w:val="22"/>
                <w:szCs w:val="22"/>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497A">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D12B11C">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235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C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操作系统及驱动的备份还原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FFB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886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支持操作系统备份及还原功能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7F9089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016705D">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EEF">
            <w:pPr>
              <w:widowControl/>
              <w:numPr>
                <w:ilvl w:val="0"/>
                <w:numId w:val="3"/>
              </w:numPr>
              <w:jc w:val="center"/>
              <w:textAlignment w:val="center"/>
              <w:rPr>
                <w:rFonts w:ascii="仿宋" w:hAnsi="仿宋" w:eastAsia="仿宋" w:cs="仿宋"/>
                <w:sz w:val="22"/>
                <w:szCs w:val="22"/>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BF3D">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DD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78B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100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*操作系统功能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90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44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 支持访问控制、安全审计、网络接入鉴别等功能；</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b) 操作系统其他功能应满足操作系统政府采购需求标准中加*的指标要求</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1889E2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2740E7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9C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5EC77D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6F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0ED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*中文信息处理功能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BDB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*中文信息处理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303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7C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符合 GB 18030 的有关规定</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D41F40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3045F4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82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ACB511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F95112E">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5B85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机柜功能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B9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机柜管理功能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9D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A58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02E08B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6ADB34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FBD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D88F54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9B0833D">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61B3">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39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机柜通信方式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7B5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85C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4290F6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15A1FD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DA9">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2A8503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06BB369A">
            <w:pPr>
              <w:widowControl/>
              <w:jc w:val="center"/>
              <w:textAlignment w:val="top"/>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816C">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B3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多集群作业管理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036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EB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1AA4A0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95071AD">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E5D6">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68CA90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D8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6F5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*关键部件安全要求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979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*关键部件安全要求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37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1D3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CPU和操作系统等关键部件应当通过政府有关部门指定的中国信息安全测评中心和国家保密科技测评中心的安全可靠测评。</w:t>
            </w:r>
            <w:r>
              <w:rPr>
                <w:rFonts w:hint="eastAsia" w:ascii="仿宋" w:hAnsi="仿宋" w:eastAsia="仿宋" w:cs="仿宋"/>
                <w:kern w:val="0"/>
                <w:sz w:val="22"/>
                <w:szCs w:val="22"/>
                <w:lang w:bidi="ar"/>
              </w:rPr>
              <w:br w:type="textWrapping"/>
            </w:r>
            <w:r>
              <w:rPr>
                <w:rFonts w:hint="eastAsia" w:ascii="仿宋" w:hAnsi="仿宋" w:eastAsia="仿宋" w:cs="仿宋"/>
                <w:kern w:val="0"/>
                <w:sz w:val="22"/>
                <w:szCs w:val="22"/>
                <w:lang w:bidi="ar"/>
              </w:rPr>
              <w:t>截止开标前应可在中国信息安全测评中心和国家保密科技测评中心公告的安全可靠测评结果中查到该品牌及型号的CPU和操作系统等关键部件。</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4B7458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1C987A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6A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E98966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FA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18EF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*固件安全要求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7E2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*故障检测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FF2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19B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支持故障检测功能，可以检测到具体的 FRU（内存、硬盘等）的故障并发出告警</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77A09E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38AB63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DCB0">
            <w:pPr>
              <w:widowControl/>
              <w:numPr>
                <w:ilvl w:val="0"/>
                <w:numId w:val="3"/>
              </w:numPr>
              <w:jc w:val="center"/>
              <w:textAlignment w:val="center"/>
              <w:rPr>
                <w:rFonts w:ascii="仿宋" w:hAnsi="仿宋" w:eastAsia="仿宋" w:cs="仿宋"/>
                <w:sz w:val="22"/>
                <w:szCs w:val="22"/>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B351">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707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D97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9F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内存故障智能预测和自愈修复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1A5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774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支持内存故障智能预测和自愈修复，提前自动硬隔离，避免内存故障引起的非预期宕机以及内存寿命的降低</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CC84F9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68A0D9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7499">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31C28D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A2A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5F40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44A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硬盘故障智能预测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A2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16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支持硬盘故障智能预测，基于故障模型预测出硬盘的故障</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B7E5D2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3C6D63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0FD7">
            <w:pPr>
              <w:widowControl/>
              <w:numPr>
                <w:ilvl w:val="0"/>
                <w:numId w:val="3"/>
              </w:numPr>
              <w:jc w:val="center"/>
              <w:textAlignment w:val="center"/>
              <w:rPr>
                <w:rFonts w:ascii="仿宋" w:hAnsi="仿宋" w:eastAsia="仿宋" w:cs="仿宋"/>
                <w:sz w:val="22"/>
                <w:szCs w:val="22"/>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04BB">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4E5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C866">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511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PCIe 链路故障智能诊断</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2C0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8E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 PCIe 链路故障智能诊断，判断出现故障的 PCIe 链路</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BD434B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47BE77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4CA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C4EFD4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4B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EC1C">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9D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内存故障隔离</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C64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0D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支持内存故障隔离，在内存产生 CE故障时，内存地址被隔离成功，服务器正常运行，业务系统不中断</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69936C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BA95EE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4AE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CF0C55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19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334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E45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内存、PCIe卡的故障精准告警功能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1C4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3CD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支持内存、PCIe 卡的故障精准告警功能，触发告警并明确指示具体的故障位置</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DCEEAE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A34D1C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58E6">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ABBF41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CC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6848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9B6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异常下电关键数据保护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D2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06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支持异常下电关键数据保护，支持数据备份恢复机制，防止系统异常掉电导致的数据文件丢失</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02EFFD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5C1DA9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062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361B08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BA0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69BE">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BC7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BMC/BIOS固件双镜像保护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0C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FE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57E3AD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F2FFEDD">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EC0B">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F7F0F7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084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49E9">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D76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 核重启隔离</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F51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6C4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 CPU 核发生不可纠正故障后，重启后由 BIOS 隔离该故障核，OS不可见，防止 OS 再次使用导致系统异常，核 0 除外</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C79C4A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390580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22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1BED77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8E5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59B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36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内存地址隔离</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DB8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17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在硬件支持的情况下，支持故障内存地址重启后隔离</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C70515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1B67F2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ED8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34E95B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41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3855">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08D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内存存储阵列替换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33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E18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46FD70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6A500B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88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C7D456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CDA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EC5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2B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安全启动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1CC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AFB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141407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CE2469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61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F60D99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DA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0EF2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*系统安全要求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DBE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syslog 双向鉴别</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B13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42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F462D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409F90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C6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03F285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86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F66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E6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*弱口令字典检查</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EB4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2F6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支持弱口令字典检查功能，出现在弱口令字典中的字符串不能被设置为用户口令</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3AB1F5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F2909A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DAE9">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DE88E3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8B7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6628">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901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*白名单访问控制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5CF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442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支持基于时间、IP 或 MAC 白名单访问控制</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932867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9E2D9D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97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6257DD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CA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2FC8">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671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双因素鉴别</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B1F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1D5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支持使用客户端证书和证书密码的双因素鉴别方式登录管理系统</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14E176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F33FA1A">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E4C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FE3697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34F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2187">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E8A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*二次鉴别</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D09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D10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支持二次鉴别功能。对于用户配置、权限配置、公钥导入等重要的管理操作，已登录用户应通过二次鉴别后，才能执行操作</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4BDECE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A86435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A47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BA5924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E95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980E">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79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匿名化用户告警接收邮箱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35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197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F7A301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FFC720B">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56C9">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2D31EA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54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6358">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8F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*密码证书安全加密存储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7D8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46B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支持对带外管理系统中的用户口令和证书等敏感信息进行加密存储，禁止使用私有的和业界已知不安全的密码算法</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8A696B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1BE087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ED7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D39769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DB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96AA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C38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*敏感信息安全加密传输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9E2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62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支持使用安全的传输加密协议（如SSH 或 HTTPS 等）传输用户的敏感信息</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B17FFE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7A30C97">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88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D9F744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50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B35F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*信息安全要求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D3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*研发过程安全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C7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DD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D05BDF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是，提供相关承诺书并加盖投标人公章。</w:t>
            </w:r>
          </w:p>
        </w:tc>
      </w:tr>
      <w:tr w14:paraId="3FE9CA57">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3CD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3FCF30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A30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716E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3E3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漏洞管理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044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2B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供应商承诺，生产商已建立漏洞全量视图，保证产品版本涉及到的所有漏洞(如驱动程序、BMC 软件等)都可以查看</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8AB239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是，提供相关承诺书并加盖投标人公章。</w:t>
            </w:r>
          </w:p>
        </w:tc>
      </w:tr>
      <w:tr w14:paraId="395EBA17">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13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F6EC0A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71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69B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7A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网络关键设备服务器要求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32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EA2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97B004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BB9F8B0">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FE2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4E0B2C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A83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363F">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1B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增强要求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DA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279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1E197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AEAC13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1D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5C2617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DEA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AC9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*物理安全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2F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*物理安全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9C1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A03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安全要求应符合 GB 4943.1 的规定</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691BFB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07E5E14">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212F">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64691A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E63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安全要求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C88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*限用物质的限量要求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9DA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*限用物质的限量要求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C3F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3AC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限用物质的限量应符合 GB/T 26572的要求</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0D9D64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0B7F6A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5FD6">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1842D8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F12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239F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*CPU性能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421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 主频</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0DD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2B9">
            <w:pPr>
              <w:widowControl/>
              <w:jc w:val="left"/>
              <w:textAlignment w:val="center"/>
              <w:rPr>
                <w:rFonts w:ascii="仿宋" w:hAnsi="仿宋" w:eastAsia="仿宋" w:cs="仿宋"/>
                <w:sz w:val="22"/>
                <w:szCs w:val="22"/>
              </w:rPr>
            </w:pPr>
            <w:r>
              <w:rPr>
                <w:rStyle w:val="27"/>
                <w:color w:val="auto"/>
                <w:lang w:bidi="ar"/>
              </w:rPr>
              <w:t>≥</w:t>
            </w:r>
            <w:r>
              <w:rPr>
                <w:rStyle w:val="20"/>
                <w:rFonts w:hint="default"/>
                <w:color w:val="auto"/>
                <w:lang w:bidi="ar"/>
              </w:rPr>
              <w:t>2.6GHz</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1860A4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C71B8E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54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1CE703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58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910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F5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*单 CPU 核数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621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88E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≥64</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3856F1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4A2E5C0">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C68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9A0890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6AA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64E3">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2B6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*单 CPU 末级缓存容量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2D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ED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≥64MB</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C19909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7B3FF9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4F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071353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EE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E630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*内存性能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84E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单内存模块容量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46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D18">
            <w:pPr>
              <w:widowControl/>
              <w:jc w:val="left"/>
              <w:textAlignment w:val="center"/>
              <w:rPr>
                <w:rFonts w:ascii="仿宋" w:hAnsi="仿宋" w:eastAsia="仿宋" w:cs="仿宋"/>
                <w:sz w:val="22"/>
                <w:szCs w:val="22"/>
              </w:rPr>
            </w:pPr>
            <w:r>
              <w:rPr>
                <w:rStyle w:val="27"/>
                <w:color w:val="auto"/>
                <w:lang w:bidi="ar"/>
              </w:rPr>
              <w:t>≥</w:t>
            </w:r>
            <w:r>
              <w:rPr>
                <w:rStyle w:val="20"/>
                <w:rFonts w:hint="default"/>
                <w:color w:val="auto"/>
                <w:lang w:bidi="ar"/>
              </w:rPr>
              <w:t>64GB</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E42C4D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E2781AE">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6F7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7B5FC2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78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22CD">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367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*内存速率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A0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A9D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≥2933MT/s</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89A3C5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2CACE3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62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357967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A5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A8A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存储性能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32B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硬盘转速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D9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634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230456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1F0A5E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F5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780FD8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1FE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87DB7">
            <w:pPr>
              <w:widowControl/>
              <w:jc w:val="center"/>
              <w:textAlignment w:val="bottom"/>
              <w:rPr>
                <w:rFonts w:ascii="仿宋" w:hAnsi="仿宋" w:eastAsia="仿宋" w:cs="仿宋"/>
                <w:sz w:val="22"/>
                <w:szCs w:val="22"/>
              </w:rPr>
            </w:pPr>
            <w:r>
              <w:rPr>
                <w:rFonts w:hint="eastAsia" w:ascii="仿宋" w:hAnsi="仿宋" w:eastAsia="仿宋" w:cs="仿宋"/>
                <w:kern w:val="0"/>
                <w:sz w:val="22"/>
                <w:szCs w:val="22"/>
                <w:lang w:bidi="ar"/>
              </w:rPr>
              <w:t>RAID卡性能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BB1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卡缓存容量大小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751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D92E">
            <w:pPr>
              <w:widowControl/>
              <w:jc w:val="left"/>
              <w:textAlignment w:val="center"/>
              <w:rPr>
                <w:rFonts w:ascii="方正仿宋_GB2312" w:hAnsi="方正仿宋_GB2312" w:eastAsia="方正仿宋_GB2312" w:cs="方正仿宋_GB2312"/>
                <w:sz w:val="24"/>
              </w:rPr>
            </w:pPr>
            <w:r>
              <w:rPr>
                <w:rFonts w:ascii="方正仿宋_GB2312" w:hAnsi="方正仿宋_GB2312" w:eastAsia="方正仿宋_GB2312" w:cs="方正仿宋_GB2312"/>
                <w:kern w:val="0"/>
                <w:sz w:val="24"/>
                <w:lang w:bidi="ar"/>
              </w:rPr>
              <w:t>≥4GB</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A10DF1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99B408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F7B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029284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9F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CDE4D">
            <w:pPr>
              <w:widowControl/>
              <w:jc w:val="center"/>
              <w:textAlignment w:val="bottom"/>
              <w:rPr>
                <w:rFonts w:ascii="仿宋" w:hAnsi="仿宋" w:eastAsia="仿宋" w:cs="仿宋"/>
                <w:sz w:val="22"/>
                <w:szCs w:val="22"/>
              </w:rPr>
            </w:pPr>
            <w:r>
              <w:rPr>
                <w:rFonts w:hint="eastAsia" w:ascii="仿宋" w:hAnsi="仿宋" w:eastAsia="仿宋" w:cs="仿宋"/>
                <w:kern w:val="0"/>
                <w:sz w:val="22"/>
                <w:szCs w:val="22"/>
                <w:lang w:bidi="ar"/>
              </w:rPr>
              <w:t>FC HBA卡性能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C12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FC HBA 卡速率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93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188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FE8BDC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5454A38">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CC7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320C3B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8A5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2135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网络性能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329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独立网卡速率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507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D18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≥10GE</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E37D3D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3065C0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B6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024929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C3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C380E">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428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板载网卡速率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04C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689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6BC44F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33B3E3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6C1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4FB57F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745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FC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*电源能耗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5D9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*电源能耗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ED7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F3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符合 GB/T 9813.3 的有关规定</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EE2B94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A08A1F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72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182D61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FF4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2CD2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*部件兼容性要求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D5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*内存兼容性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F97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54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适配 3 种及以上厂商的内存产品，且均不低于产品支持的内存规格</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6CFE1E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09BA8E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DF1">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4D7B84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95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B56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085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*固态存储兼容性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6E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62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适配 3 种或以上厂商的固态存储产品，且均不低于产品支持的固态存储设备规格</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802FA8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D02E3A7">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F6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496459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979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57F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F04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FC HBA 卡兼容性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6DB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A37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9DAB6E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21BA53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764F">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5C5561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17D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EAF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2BA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6DE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244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 卡应适配两种或以上厂商产品</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FC3C39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2313DD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78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887133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8D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F835">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629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*网卡兼容性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6E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C7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网卡应适配两种或以上厂商产品</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334EEF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03A183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75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A6AE38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0DE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B8CB">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51E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*功能卡兼容性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9BB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97E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内置或适配符合 PCIe 的功能卡，如：网络功能卡、存储功能卡及图形显示功能卡</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1CE3BB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BFBA315">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00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AFD77A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D54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7D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*外设兼容性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73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*外设兼容性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91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EB9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兼容多种主流生产商的外部设备，包括显示器、键盘、鼠标、闪存盘、移动硬盘、USB 光驱及 KVM 等，要求使用不同厂商的外部设备时，系统均能正常识别和安装驱动</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D9612A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69E1DBC">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071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BC3F73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B7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1820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*软件兼容性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93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*数据库兼容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19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18D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 3 个厂商的数据库产品，如OceanBase、GaussDB、TDSQL、PolarDB、达梦、人大金仓等，在3个的基础上，每多一种加1.5分，最多加4.5分。</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E3E86E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是，提供兼容性报告或数据库制造商官网截图并加盖投标人公章</w:t>
            </w:r>
          </w:p>
        </w:tc>
      </w:tr>
      <w:tr w14:paraId="27C7551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36B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0890BC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9A6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805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C11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*中间件兼容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B00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9D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 3 个及以上厂商的中间件产品</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D5D2F2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7BB3D4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50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7BDC27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7D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88E7">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63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*平台软件兼容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DD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A51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 3 个及以上厂商的大数据平台</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A7E4B2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824A6D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E8B">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16F2B9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E7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D5B5">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37F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虚拟化软件兼容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ED2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C4B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 2 款及以上虚拟化软件</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197897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3DE5A5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C46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4C5A2D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B50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可靠性要求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B6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存储可靠性要求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B69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SATA SSD可靠性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775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BA0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BF4341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544AD6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DE2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749205D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B5B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可靠性要求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0320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*整机可靠性要求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7E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*整机可靠性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5E3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E08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m1 值（MTBF 的不可接受值）不得低于 30000h</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50219A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192ED0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F4C">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F17290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2FB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可靠性要求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9BA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C3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*风扇可靠性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28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A37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风扇寿命应不低于 40000h</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A4A9F1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909638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66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3DFE9D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D1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可靠性要求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331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DD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*部件可靠性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218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D61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支持硬盘、电源、风扇热插拔(内置风扇除外)</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304FBA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33E15F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5A8F">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C8CF4B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981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包装及运输要求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B1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*包装及运输要求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0D6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*标志、包装、运输和贮存</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770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82E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符合 GB/T 9813.3 和商品包装政府采购需求标准的相关规定</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341145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C721301">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3404">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1CCCCD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56B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535B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*服务响应</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97F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*服务响应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977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F4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 提供电话、电子邮件、远程连接等多种形式服务；b) 2 个工作日内解决问题，对于未能解决的问题和故障应提供可行的升级方案，并提供周转设备；c) 建立全国技术服务体系和服务团体，符合专业服务体系标准要求，提供原厂中文服务；d) 服务周期内提供产品的维修、换件和升级服务</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369D1A9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8DF30A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55DB">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D78389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FAE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67DC">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537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*培训服务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3D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A1A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供应商提供培训材料、产品手册、培训视频等培训相关内容</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51561B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2DE51C2">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4D1F">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408535F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B6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48C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*服务周期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B7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*服务周期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788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04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a) 产品免费服务周期（含换件和维修）应不小于5年；b) 设备停产后继续提供质量保障服务（含备品备件），服务终止时间与最后一批设备交付时间间隔不低于 6 年；c) 产品停止服务时间应提前 1 年告知客户；d) 产品发布日期需在随机文件中明确</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2820B5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1C0960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D3E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774CBA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77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D48C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*服务工具要求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BB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*工具要求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FF4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0A16">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供应商提供设置服务器硬件、辅助操作系统安装等功能的辅助工具和管理软件。且随附软件应具有合法授权或版权</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875499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274798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103">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88B59D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87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080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44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辅助工具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97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43B">
            <w:pPr>
              <w:widowControl/>
              <w:jc w:val="left"/>
              <w:textAlignment w:val="center"/>
              <w:rPr>
                <w:rFonts w:ascii="仿宋" w:hAnsi="仿宋" w:eastAsia="仿宋" w:cs="仿宋"/>
                <w:sz w:val="22"/>
                <w:szCs w:val="22"/>
              </w:rPr>
            </w:pPr>
            <w:r>
              <w:rPr>
                <w:rFonts w:hint="eastAsia" w:ascii="仿宋" w:hAnsi="仿宋" w:eastAsia="仿宋" w:cs="仿宋"/>
                <w:sz w:val="22"/>
                <w:szCs w:val="22"/>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40E1FE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AFB9985">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7E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A00BE3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31D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142D">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0E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*驱动安装升级指引</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B6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F3C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供应商提供出厂安装的配件所需的驱动程序，形式包括但不限于驱动光盘、驱动下载链接等。其他配件应提供指引</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FA6C81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B3C7C9A">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D7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F0237B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B7C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C79D">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192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随机附开盖工具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109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EF9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501674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600A34C">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73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B9A839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0B5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C421">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ABC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代码迁移工具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B0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521C">
            <w:pPr>
              <w:widowControl/>
              <w:jc w:val="left"/>
              <w:textAlignment w:val="center"/>
              <w:rPr>
                <w:rFonts w:ascii="仿宋" w:hAnsi="仿宋" w:eastAsia="仿宋" w:cs="仿宋"/>
                <w:sz w:val="22"/>
                <w:szCs w:val="22"/>
              </w:rPr>
            </w:pPr>
            <w:r>
              <w:rPr>
                <w:rFonts w:hint="eastAsia" w:ascii="仿宋" w:hAnsi="仿宋" w:eastAsia="仿宋" w:cs="仿宋"/>
                <w:sz w:val="22"/>
                <w:szCs w:val="22"/>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7F4862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6597D99">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AD55">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AD3145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CAA">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A8B4">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799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性能分析工具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341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D28">
            <w:pPr>
              <w:widowControl/>
              <w:jc w:val="left"/>
              <w:textAlignment w:val="center"/>
              <w:rPr>
                <w:rFonts w:ascii="仿宋" w:hAnsi="仿宋" w:eastAsia="仿宋" w:cs="仿宋"/>
                <w:sz w:val="22"/>
                <w:szCs w:val="22"/>
              </w:rPr>
            </w:pPr>
            <w:r>
              <w:rPr>
                <w:rFonts w:hint="eastAsia" w:ascii="仿宋" w:hAnsi="仿宋" w:eastAsia="仿宋" w:cs="仿宋"/>
                <w:sz w:val="22"/>
                <w:szCs w:val="22"/>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7DDADB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AB09F6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72E7">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23AE1E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A5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FAE4">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85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跨架构平台应用兼容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6740">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606B">
            <w:pPr>
              <w:widowControl/>
              <w:jc w:val="left"/>
              <w:textAlignment w:val="center"/>
              <w:rPr>
                <w:rFonts w:ascii="仿宋" w:hAnsi="仿宋" w:eastAsia="仿宋" w:cs="仿宋"/>
                <w:sz w:val="22"/>
                <w:szCs w:val="22"/>
              </w:rPr>
            </w:pPr>
            <w:r>
              <w:rPr>
                <w:rFonts w:hint="eastAsia" w:ascii="仿宋" w:hAnsi="仿宋" w:eastAsia="仿宋" w:cs="仿宋"/>
                <w:sz w:val="22"/>
                <w:szCs w:val="22"/>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EAB1D4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4F07613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B6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DD26E6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E83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B6B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A859">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*管理软件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053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22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具备资源管理、系统管理、性能监控、健康监控、基于网络控制、报警设置功能</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8AEDCD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39DD77C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7EC6">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697B043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B1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D996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*增值服务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C3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*厂家升级产品软件与扩容服务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763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2B0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供应商提供原厂级的部件/软件产品升级和扩容能力</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79D8A3B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76E888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DC8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D1DB50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17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70E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1A4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服务保障升级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737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FEF">
            <w:pPr>
              <w:widowControl/>
              <w:jc w:val="left"/>
              <w:textAlignment w:val="center"/>
              <w:rPr>
                <w:rFonts w:ascii="仿宋" w:hAnsi="仿宋" w:eastAsia="仿宋" w:cs="仿宋"/>
                <w:sz w:val="22"/>
                <w:szCs w:val="22"/>
              </w:rPr>
            </w:pPr>
            <w:r>
              <w:rPr>
                <w:rFonts w:hint="eastAsia" w:ascii="仿宋" w:hAnsi="仿宋" w:eastAsia="仿宋" w:cs="仿宋"/>
                <w:sz w:val="22"/>
                <w:szCs w:val="22"/>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95003A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3EEAEB5">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8AA">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1801E30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0F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70A0">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A80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*提供上门服务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00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1D4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供应商具备提供上门服务的能力(可收费)</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25BE897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932B415">
        <w:tblPrEx>
          <w:tblCellMar>
            <w:top w:w="0" w:type="dxa"/>
            <w:left w:w="108" w:type="dxa"/>
            <w:bottom w:w="0" w:type="dxa"/>
            <w:right w:w="108" w:type="dxa"/>
          </w:tblCellMar>
        </w:tblPrEx>
        <w:trPr>
          <w:trHeight w:val="21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5FE">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0944B2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380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0C0E">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DD3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业务场景性能优化服务及整体架构升级服务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F35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D9E">
            <w:pPr>
              <w:widowControl/>
              <w:jc w:val="left"/>
              <w:textAlignment w:val="center"/>
              <w:rPr>
                <w:rFonts w:ascii="仿宋" w:hAnsi="仿宋" w:eastAsia="仿宋" w:cs="仿宋"/>
                <w:sz w:val="22"/>
                <w:szCs w:val="22"/>
              </w:rPr>
            </w:pPr>
            <w:r>
              <w:rPr>
                <w:rFonts w:hint="eastAsia" w:ascii="仿宋" w:hAnsi="仿宋" w:eastAsia="仿宋" w:cs="仿宋"/>
                <w:sz w:val="22"/>
                <w:szCs w:val="22"/>
              </w:rPr>
              <w:t>不涉及</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1272C42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186EA32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B3E">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AADB40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E4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供保要求</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B662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*供应链质量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3B6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*抗干扰性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9D1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4B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当产品部件出现供应风险时，应通知客户并提供风险应对方案确保产品的服务保障，必要时应停止相关受影响产品的销售</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D18C89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1F7436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1C08">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0CA9FCE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D7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供保要求</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140A">
            <w:pPr>
              <w:jc w:val="center"/>
              <w:rPr>
                <w:rFonts w:ascii="仿宋" w:hAnsi="仿宋" w:eastAsia="仿宋" w:cs="仿宋"/>
                <w:sz w:val="22"/>
                <w:szCs w:val="22"/>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36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*供应能力证明</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8B7">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ECD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供应商提供供应链稳定承诺书，确保产品的部件在产品服务周期内稳定供货</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64F3423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是，提供供应链稳定承诺书并加盖投标人公章</w:t>
            </w:r>
          </w:p>
        </w:tc>
      </w:tr>
      <w:tr w14:paraId="68BDC43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383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5AA7311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52C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1E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7E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ED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A6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≥2</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F4E4DF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7B97BB0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54A2">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F461A8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8B9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性能要求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08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RAID卡性能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C6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RAID卡速率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278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7D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≥12Gbps</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08306D8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03BDF68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D60">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235C2D5E">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9E2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6A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EA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RAID卡操作系统配置支持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2211">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AB0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支持操作系统层配置RAID，包括但不限于创建，删除和修改。</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5A30CE5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2831C51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5267">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000000" w:sz="4" w:space="0"/>
              <w:right w:val="single" w:color="000000" w:sz="4" w:space="0"/>
            </w:tcBorders>
            <w:shd w:val="clear" w:color="auto" w:fill="auto"/>
            <w:vAlign w:val="center"/>
          </w:tcPr>
          <w:p w14:paraId="38B1C3C6">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6E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功能要求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CF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RAID卡功能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D5AE">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RAID卡一致性配置支持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5F9">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522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支持配置CC（一致性Consistency Check），包括且不限于暂停，恢复和自定义时间。</w:t>
            </w:r>
          </w:p>
        </w:tc>
        <w:tc>
          <w:tcPr>
            <w:tcW w:w="1193" w:type="dxa"/>
            <w:tcBorders>
              <w:top w:val="nil"/>
              <w:left w:val="single" w:color="000000" w:sz="4" w:space="0"/>
              <w:bottom w:val="single" w:color="000000" w:sz="4" w:space="0"/>
              <w:right w:val="single" w:color="000000" w:sz="4" w:space="0"/>
            </w:tcBorders>
            <w:shd w:val="clear" w:color="auto" w:fill="auto"/>
            <w:vAlign w:val="center"/>
          </w:tcPr>
          <w:p w14:paraId="411B5161">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6BB6D6C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342373D">
            <w:pPr>
              <w:widowControl/>
              <w:numPr>
                <w:ilvl w:val="0"/>
                <w:numId w:val="3"/>
              </w:numPr>
              <w:jc w:val="center"/>
              <w:textAlignment w:val="center"/>
              <w:rPr>
                <w:rFonts w:ascii="仿宋" w:hAnsi="仿宋" w:eastAsia="仿宋" w:cs="仿宋"/>
                <w:sz w:val="22"/>
                <w:szCs w:val="22"/>
              </w:rPr>
            </w:pPr>
          </w:p>
        </w:tc>
        <w:tc>
          <w:tcPr>
            <w:tcW w:w="719" w:type="dxa"/>
            <w:tcBorders>
              <w:top w:val="nil"/>
              <w:left w:val="single" w:color="000000" w:sz="4" w:space="0"/>
              <w:bottom w:val="single" w:color="auto" w:sz="4" w:space="0"/>
              <w:right w:val="single" w:color="000000" w:sz="4" w:space="0"/>
            </w:tcBorders>
            <w:shd w:val="clear" w:color="auto" w:fill="auto"/>
            <w:vAlign w:val="center"/>
          </w:tcPr>
          <w:p w14:paraId="21876A93">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000000" w:sz="4" w:space="0"/>
              <w:left w:val="single" w:color="000000" w:sz="4" w:space="0"/>
              <w:bottom w:val="single" w:color="auto" w:sz="4" w:space="0"/>
              <w:right w:val="single" w:color="000000" w:sz="4" w:space="0"/>
            </w:tcBorders>
            <w:shd w:val="clear" w:color="auto" w:fill="auto"/>
            <w:vAlign w:val="center"/>
          </w:tcPr>
          <w:p w14:paraId="33B922A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兼容要求</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DEB44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*软件兼容性</w:t>
            </w:r>
          </w:p>
        </w:tc>
        <w:tc>
          <w:tcPr>
            <w:tcW w:w="7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698EFB2">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操作系统兼容性</w:t>
            </w:r>
          </w:p>
        </w:tc>
        <w:tc>
          <w:tcPr>
            <w:tcW w:w="9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AE24585">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35B061C">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兼容麒麟V10及以上版本、统信V20及以上版本等Linux内核操作系统。</w:t>
            </w:r>
          </w:p>
        </w:tc>
        <w:tc>
          <w:tcPr>
            <w:tcW w:w="1193" w:type="dxa"/>
            <w:tcBorders>
              <w:top w:val="nil"/>
              <w:left w:val="single" w:color="000000" w:sz="4" w:space="0"/>
              <w:bottom w:val="single" w:color="auto" w:sz="4" w:space="0"/>
              <w:right w:val="single" w:color="000000" w:sz="4" w:space="0"/>
            </w:tcBorders>
            <w:shd w:val="clear" w:color="auto" w:fill="auto"/>
            <w:vAlign w:val="center"/>
          </w:tcPr>
          <w:p w14:paraId="6E47AD1F">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347EFF9">
        <w:tblPrEx>
          <w:tblCellMar>
            <w:top w:w="0" w:type="dxa"/>
            <w:left w:w="108" w:type="dxa"/>
            <w:bottom w:w="0" w:type="dxa"/>
            <w:right w:w="108" w:type="dxa"/>
          </w:tblCellMar>
        </w:tblPrEx>
        <w:trPr>
          <w:trHeight w:val="285"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67CFEBD3">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36C0FF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8FF8C03">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CAB1B90">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CPU功耗</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04DB307">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单CPU热设计功耗</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FAABB1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114063F3">
            <w:pPr>
              <w:widowControl/>
              <w:jc w:val="left"/>
              <w:textAlignment w:val="center"/>
              <w:rPr>
                <w:rFonts w:ascii="方正仿宋_GB2312" w:hAnsi="方正仿宋_GB2312" w:eastAsia="方正仿宋_GB2312" w:cs="方正仿宋_GB2312"/>
                <w:sz w:val="24"/>
              </w:rPr>
            </w:pPr>
            <w:r>
              <w:rPr>
                <w:rStyle w:val="30"/>
                <w:color w:val="auto"/>
                <w:lang w:bidi="ar"/>
              </w:rPr>
              <w:t>≦</w:t>
            </w:r>
            <w:r>
              <w:rPr>
                <w:rStyle w:val="31"/>
                <w:rFonts w:hint="default"/>
                <w:color w:val="auto"/>
                <w:lang w:bidi="ar"/>
              </w:rPr>
              <w:t>180W</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EC561CD">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5052B5C">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3698E635">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783B49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90806A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产品规格</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BD9877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*CPU规格</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745DA94">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单CPU末端缓存容量</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ED5933A">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是</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4107B315">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≥CPU核数*1MB。</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7842EA3">
            <w:pPr>
              <w:jc w:val="left"/>
              <w:rPr>
                <w:rFonts w:ascii="仿宋" w:hAnsi="仿宋" w:eastAsia="仿宋" w:cs="仿宋"/>
                <w:sz w:val="22"/>
                <w:szCs w:val="22"/>
              </w:rPr>
            </w:pPr>
            <w:r>
              <w:rPr>
                <w:rFonts w:hint="eastAsia" w:ascii="仿宋" w:hAnsi="仿宋" w:eastAsia="仿宋" w:cs="仿宋"/>
                <w:kern w:val="0"/>
                <w:sz w:val="22"/>
                <w:szCs w:val="22"/>
                <w:lang w:bidi="ar"/>
              </w:rPr>
              <w:t>否</w:t>
            </w:r>
          </w:p>
        </w:tc>
      </w:tr>
      <w:tr w14:paraId="4E921D46">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0D99920D">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DDDA0B0">
            <w:pPr>
              <w:widowControl/>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FB62356">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其他要求</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BA84C67">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监控功能要求</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8FF1FB5">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监控功能要求</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26B478E">
            <w:pPr>
              <w:jc w:val="left"/>
              <w:rPr>
                <w:rFonts w:ascii="仿宋" w:hAnsi="仿宋" w:eastAsia="仿宋" w:cs="仿宋"/>
                <w:kern w:val="0"/>
                <w:sz w:val="22"/>
                <w:szCs w:val="22"/>
                <w:lang w:bidi="ar"/>
              </w:rPr>
            </w:pPr>
            <w:r>
              <w:rPr>
                <w:rFonts w:hint="eastAsia" w:ascii="仿宋" w:hAnsi="仿宋" w:eastAsia="仿宋" w:cs="仿宋"/>
                <w:sz w:val="22"/>
                <w:szCs w:val="22"/>
              </w:rPr>
              <w:t>是</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117D4721">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提供开放API接口，支持与现有监控平台（Zabbix或Prometheus）数据标准化采集、监控模板导入等功能对接。</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1FF217CB">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否</w:t>
            </w:r>
          </w:p>
        </w:tc>
      </w:tr>
      <w:tr w14:paraId="5708D79F">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90C67DB">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7F49322">
            <w:pPr>
              <w:widowControl/>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59191CA">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其他要求</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CCCFE9B">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管理软件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E257DF5">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批量维护工具</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42B5D46">
            <w:pPr>
              <w:jc w:val="left"/>
              <w:rPr>
                <w:rFonts w:ascii="仿宋" w:hAnsi="仿宋" w:eastAsia="仿宋" w:cs="仿宋"/>
                <w:kern w:val="0"/>
                <w:sz w:val="22"/>
                <w:szCs w:val="22"/>
                <w:lang w:bidi="ar"/>
              </w:rPr>
            </w:pPr>
            <w:r>
              <w:rPr>
                <w:rFonts w:hint="eastAsia" w:ascii="仿宋" w:hAnsi="仿宋" w:eastAsia="仿宋" w:cs="仿宋"/>
                <w:sz w:val="22"/>
                <w:szCs w:val="22"/>
              </w:rPr>
              <w:t>是</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464B1672">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支持批量修改常用硬件配置、固件升级、密码修改、生命周期管理等，并提供可视化界面。</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5AA5364">
            <w:pPr>
              <w:pStyle w:val="2"/>
              <w:rPr>
                <w:rFonts w:ascii="仿宋" w:hAnsi="仿宋" w:eastAsia="仿宋" w:cs="仿宋"/>
                <w:sz w:val="22"/>
                <w:szCs w:val="22"/>
              </w:rPr>
            </w:pPr>
            <w:r>
              <w:rPr>
                <w:rFonts w:hint="eastAsia" w:ascii="仿宋" w:hAnsi="仿宋" w:eastAsia="仿宋" w:cs="仿宋"/>
                <w:kern w:val="0"/>
                <w:sz w:val="22"/>
                <w:szCs w:val="22"/>
                <w:lang w:bidi="ar"/>
              </w:rPr>
              <w:t>否</w:t>
            </w:r>
          </w:p>
        </w:tc>
      </w:tr>
      <w:tr w14:paraId="0A920C18">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154C38C">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F86572C">
            <w:pPr>
              <w:widowControl/>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523830F">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其他要求</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B4B8148">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管理软件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24C9A29">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批量维护工具</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477A2E8">
            <w:pPr>
              <w:jc w:val="left"/>
              <w:rPr>
                <w:rFonts w:ascii="仿宋" w:hAnsi="仿宋" w:eastAsia="仿宋" w:cs="仿宋"/>
                <w:kern w:val="0"/>
                <w:sz w:val="22"/>
                <w:szCs w:val="22"/>
                <w:lang w:bidi="ar"/>
              </w:rPr>
            </w:pPr>
            <w:r>
              <w:rPr>
                <w:rFonts w:hint="eastAsia" w:ascii="仿宋" w:hAnsi="仿宋" w:eastAsia="仿宋" w:cs="仿宋"/>
                <w:sz w:val="22"/>
                <w:szCs w:val="22"/>
              </w:rPr>
              <w:t>是</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04596402">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提供批量维护工具支持统一管理多个不同制造商的服务器。</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522D36D">
            <w:pPr>
              <w:pStyle w:val="2"/>
              <w:rPr>
                <w:rFonts w:ascii="仿宋" w:hAnsi="仿宋" w:eastAsia="仿宋" w:cs="仿宋"/>
                <w:sz w:val="22"/>
                <w:szCs w:val="22"/>
              </w:rPr>
            </w:pPr>
            <w:r>
              <w:rPr>
                <w:rFonts w:hint="eastAsia" w:ascii="仿宋" w:hAnsi="仿宋" w:eastAsia="仿宋" w:cs="仿宋"/>
                <w:kern w:val="0"/>
                <w:sz w:val="22"/>
                <w:szCs w:val="22"/>
                <w:lang w:bidi="ar"/>
              </w:rPr>
              <w:t>否</w:t>
            </w:r>
          </w:p>
        </w:tc>
      </w:tr>
      <w:tr w14:paraId="082D85E0">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696FEC3E">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5CB1DDF">
            <w:pPr>
              <w:widowControl/>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FCB4C2B">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服务要求</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391D93D">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服务周期</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D149A65">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核心组件服务周期</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078B4EF">
            <w:pPr>
              <w:jc w:val="left"/>
              <w:rPr>
                <w:rFonts w:ascii="仿宋" w:hAnsi="仿宋" w:eastAsia="仿宋" w:cs="仿宋"/>
                <w:kern w:val="0"/>
                <w:sz w:val="22"/>
                <w:szCs w:val="22"/>
                <w:lang w:bidi="ar"/>
              </w:rPr>
            </w:pPr>
            <w:r>
              <w:rPr>
                <w:rFonts w:hint="eastAsia" w:ascii="仿宋" w:hAnsi="仿宋" w:eastAsia="仿宋" w:cs="仿宋"/>
                <w:sz w:val="22"/>
                <w:szCs w:val="22"/>
              </w:rPr>
              <w:t>是</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19E0BC0D">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设备停产后继续提供核心组件（包括CPU、主板、电源、内存）质量保障服务（含备品备件），服务终止时间与最后一批设备交付时间间隔不低于8年。</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26B1356">
            <w:pPr>
              <w:pStyle w:val="2"/>
              <w:rPr>
                <w:rFonts w:ascii="仿宋" w:hAnsi="仿宋" w:eastAsia="仿宋" w:cs="仿宋"/>
                <w:sz w:val="22"/>
                <w:szCs w:val="22"/>
              </w:rPr>
            </w:pPr>
            <w:r>
              <w:rPr>
                <w:rFonts w:hint="eastAsia" w:ascii="仿宋" w:hAnsi="仿宋" w:eastAsia="仿宋" w:cs="仿宋"/>
                <w:kern w:val="0"/>
                <w:sz w:val="22"/>
                <w:szCs w:val="22"/>
                <w:lang w:bidi="ar"/>
              </w:rPr>
              <w:t>否</w:t>
            </w:r>
          </w:p>
        </w:tc>
      </w:tr>
      <w:tr w14:paraId="60E3DF01">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6AB77EAB">
            <w:pPr>
              <w:widowControl/>
              <w:numPr>
                <w:ilvl w:val="0"/>
                <w:numId w:val="3"/>
              </w:numPr>
              <w:jc w:val="center"/>
              <w:textAlignment w:val="center"/>
              <w:rPr>
                <w:rFonts w:ascii="仿宋" w:hAnsi="仿宋" w:eastAsia="仿宋" w:cs="仿宋"/>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A02D8E3">
            <w:pPr>
              <w:widowControl/>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59636FA">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服务要求</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B954500">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服务响应</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D3BF1FF">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周转设备服务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01C710C">
            <w:pPr>
              <w:jc w:val="left"/>
              <w:rPr>
                <w:rFonts w:ascii="仿宋" w:hAnsi="仿宋" w:eastAsia="仿宋" w:cs="仿宋"/>
                <w:kern w:val="0"/>
                <w:sz w:val="22"/>
                <w:szCs w:val="22"/>
                <w:lang w:bidi="ar"/>
              </w:rPr>
            </w:pPr>
            <w:r>
              <w:rPr>
                <w:rFonts w:hint="eastAsia" w:ascii="仿宋" w:hAnsi="仿宋" w:eastAsia="仿宋" w:cs="仿宋"/>
                <w:sz w:val="22"/>
                <w:szCs w:val="22"/>
              </w:rPr>
              <w:t>是</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30E424E6">
            <w:pPr>
              <w:widowControl/>
              <w:jc w:val="left"/>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提供周转设备服务，即自故障发生起8小时内故障无法解决的情况下，提供周转设备供招标人使用（故障解决后归还周转设备，存储介质除外）。</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B38B744">
            <w:pPr>
              <w:pStyle w:val="2"/>
              <w:rPr>
                <w:rFonts w:ascii="仿宋" w:hAnsi="仿宋" w:eastAsia="仿宋" w:cs="仿宋"/>
                <w:sz w:val="22"/>
                <w:szCs w:val="22"/>
              </w:rPr>
            </w:pPr>
            <w:r>
              <w:rPr>
                <w:rFonts w:hint="eastAsia" w:ascii="仿宋" w:hAnsi="仿宋" w:eastAsia="仿宋" w:cs="仿宋"/>
                <w:kern w:val="0"/>
                <w:sz w:val="22"/>
                <w:szCs w:val="22"/>
                <w:lang w:bidi="ar"/>
              </w:rPr>
              <w:t>否</w:t>
            </w:r>
          </w:p>
        </w:tc>
      </w:tr>
    </w:tbl>
    <w:p w14:paraId="3F51A542">
      <w:pPr>
        <w:pStyle w:val="2"/>
      </w:pPr>
    </w:p>
    <w:p w14:paraId="09EC16EA">
      <w:pPr>
        <w:numPr>
          <w:ilvl w:val="0"/>
          <w:numId w:val="2"/>
        </w:numPr>
        <w:spacing w:after="160" w:line="560" w:lineRule="exact"/>
        <w:jc w:val="left"/>
        <w:outlineLvl w:val="1"/>
        <w:rPr>
          <w:rFonts w:ascii="仿宋" w:hAnsi="仿宋" w:eastAsia="仿宋" w:cs="仿宋"/>
          <w:sz w:val="32"/>
          <w:szCs w:val="32"/>
        </w:rPr>
      </w:pPr>
      <w:r>
        <w:rPr>
          <w:rFonts w:hint="eastAsia" w:ascii="仿宋" w:hAnsi="仿宋" w:eastAsia="仿宋" w:cs="Times New Roman"/>
          <w:sz w:val="28"/>
          <w:szCs w:val="28"/>
        </w:rPr>
        <w:t>3.84TB SAS SSD硬盘</w:t>
      </w:r>
    </w:p>
    <w:tbl>
      <w:tblPr>
        <w:tblStyle w:val="16"/>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4"/>
        <w:gridCol w:w="1014"/>
        <w:gridCol w:w="1531"/>
        <w:gridCol w:w="3367"/>
        <w:gridCol w:w="1427"/>
      </w:tblGrid>
      <w:tr w14:paraId="11AB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07" w:type="pct"/>
            <w:vAlign w:val="center"/>
          </w:tcPr>
          <w:p w14:paraId="451F6E2A">
            <w:pPr>
              <w:widowControl/>
              <w:jc w:val="center"/>
              <w:textAlignment w:val="center"/>
              <w:rPr>
                <w:rFonts w:ascii="仿宋" w:hAnsi="仿宋" w:eastAsia="仿宋" w:cs="仿宋"/>
                <w:b/>
                <w:kern w:val="0"/>
                <w:sz w:val="24"/>
              </w:rPr>
            </w:pPr>
            <w:r>
              <w:rPr>
                <w:rFonts w:hint="eastAsia" w:ascii="仿宋" w:hAnsi="仿宋" w:eastAsia="仿宋" w:cs="仿宋"/>
                <w:b/>
                <w:kern w:val="0"/>
                <w:sz w:val="24"/>
              </w:rPr>
              <w:t>序号</w:t>
            </w:r>
          </w:p>
        </w:tc>
        <w:tc>
          <w:tcPr>
            <w:tcW w:w="607" w:type="pct"/>
            <w:vAlign w:val="center"/>
          </w:tcPr>
          <w:p w14:paraId="5218FFD4">
            <w:pPr>
              <w:widowControl/>
              <w:jc w:val="center"/>
              <w:textAlignment w:val="center"/>
              <w:rPr>
                <w:rFonts w:ascii="仿宋" w:hAnsi="仿宋" w:eastAsia="仿宋" w:cs="仿宋"/>
                <w:b/>
                <w:sz w:val="24"/>
              </w:rPr>
            </w:pPr>
            <w:r>
              <w:rPr>
                <w:rFonts w:hint="eastAsia" w:ascii="仿宋" w:hAnsi="仿宋" w:eastAsia="仿宋" w:cs="仿宋"/>
                <w:b/>
                <w:kern w:val="0"/>
                <w:sz w:val="24"/>
              </w:rPr>
              <w:t>重要性</w:t>
            </w:r>
          </w:p>
        </w:tc>
        <w:tc>
          <w:tcPr>
            <w:tcW w:w="916" w:type="pct"/>
            <w:vAlign w:val="center"/>
          </w:tcPr>
          <w:p w14:paraId="6984A320">
            <w:pPr>
              <w:widowControl/>
              <w:jc w:val="center"/>
              <w:textAlignment w:val="center"/>
              <w:rPr>
                <w:rFonts w:ascii="仿宋" w:hAnsi="仿宋" w:eastAsia="仿宋" w:cs="仿宋"/>
                <w:b/>
                <w:sz w:val="24"/>
              </w:rPr>
            </w:pPr>
            <w:r>
              <w:rPr>
                <w:rFonts w:hint="eastAsia" w:ascii="仿宋" w:hAnsi="仿宋" w:eastAsia="仿宋" w:cs="仿宋"/>
                <w:b/>
                <w:kern w:val="0"/>
                <w:sz w:val="24"/>
              </w:rPr>
              <w:t>指标项</w:t>
            </w:r>
          </w:p>
        </w:tc>
        <w:tc>
          <w:tcPr>
            <w:tcW w:w="2015" w:type="pct"/>
            <w:vAlign w:val="center"/>
          </w:tcPr>
          <w:p w14:paraId="06656380">
            <w:pPr>
              <w:widowControl/>
              <w:jc w:val="center"/>
              <w:textAlignment w:val="center"/>
              <w:rPr>
                <w:rFonts w:ascii="仿宋" w:hAnsi="仿宋" w:eastAsia="仿宋" w:cs="仿宋"/>
                <w:b/>
                <w:sz w:val="24"/>
              </w:rPr>
            </w:pPr>
            <w:r>
              <w:rPr>
                <w:rFonts w:hint="eastAsia" w:ascii="仿宋" w:hAnsi="仿宋" w:eastAsia="仿宋" w:cs="仿宋"/>
                <w:b/>
                <w:kern w:val="0"/>
                <w:sz w:val="24"/>
              </w:rPr>
              <w:t>指标要求</w:t>
            </w:r>
          </w:p>
        </w:tc>
        <w:tc>
          <w:tcPr>
            <w:tcW w:w="854" w:type="pct"/>
          </w:tcPr>
          <w:p w14:paraId="7C5CBA60">
            <w:pPr>
              <w:widowControl/>
              <w:jc w:val="center"/>
              <w:textAlignment w:val="center"/>
              <w:rPr>
                <w:rFonts w:ascii="仿宋" w:hAnsi="仿宋" w:eastAsia="仿宋" w:cs="仿宋"/>
                <w:b/>
                <w:kern w:val="0"/>
                <w:sz w:val="24"/>
              </w:rPr>
            </w:pPr>
            <w:r>
              <w:rPr>
                <w:rFonts w:hint="eastAsia" w:ascii="仿宋" w:hAnsi="仿宋" w:eastAsia="仿宋" w:cs="仿宋"/>
                <w:b/>
                <w:kern w:val="0"/>
                <w:sz w:val="24"/>
              </w:rPr>
              <w:t>是否提供证明材料及方式</w:t>
            </w:r>
          </w:p>
        </w:tc>
      </w:tr>
      <w:tr w14:paraId="1BF7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7" w:type="pct"/>
            <w:shd w:val="clear" w:color="auto" w:fill="auto"/>
            <w:vAlign w:val="center"/>
          </w:tcPr>
          <w:p w14:paraId="26EDCFDE">
            <w:pPr>
              <w:widowControl/>
              <w:numPr>
                <w:ilvl w:val="0"/>
                <w:numId w:val="3"/>
              </w:numPr>
              <w:jc w:val="center"/>
              <w:textAlignment w:val="center"/>
              <w:rPr>
                <w:rFonts w:ascii="仿宋" w:hAnsi="仿宋" w:eastAsia="仿宋" w:cs="仿宋"/>
                <w:sz w:val="24"/>
              </w:rPr>
            </w:pPr>
          </w:p>
        </w:tc>
        <w:tc>
          <w:tcPr>
            <w:tcW w:w="607" w:type="pct"/>
            <w:shd w:val="clear" w:color="auto" w:fill="auto"/>
            <w:vAlign w:val="center"/>
          </w:tcPr>
          <w:p w14:paraId="6F20BCE2">
            <w:pPr>
              <w:jc w:val="center"/>
              <w:rPr>
                <w:rFonts w:ascii="仿宋" w:hAnsi="仿宋" w:eastAsia="仿宋" w:cs="仿宋"/>
                <w:sz w:val="24"/>
              </w:rPr>
            </w:pPr>
            <w:r>
              <w:rPr>
                <w:rFonts w:hint="eastAsia" w:ascii="仿宋" w:hAnsi="仿宋" w:eastAsia="仿宋" w:cs="仿宋"/>
                <w:sz w:val="24"/>
              </w:rPr>
              <w:t>★</w:t>
            </w:r>
          </w:p>
        </w:tc>
        <w:tc>
          <w:tcPr>
            <w:tcW w:w="916" w:type="pct"/>
            <w:vMerge w:val="restart"/>
            <w:shd w:val="clear" w:color="auto" w:fill="auto"/>
            <w:vAlign w:val="center"/>
          </w:tcPr>
          <w:p w14:paraId="6A739084">
            <w:pPr>
              <w:jc w:val="left"/>
              <w:rPr>
                <w:rFonts w:ascii="仿宋" w:hAnsi="仿宋" w:eastAsia="仿宋" w:cs="仿宋"/>
                <w:sz w:val="24"/>
              </w:rPr>
            </w:pPr>
            <w:r>
              <w:rPr>
                <w:rFonts w:hint="eastAsia" w:ascii="仿宋" w:hAnsi="仿宋" w:eastAsia="仿宋" w:cs="仿宋"/>
                <w:sz w:val="24"/>
              </w:rPr>
              <w:t>硬件规格</w:t>
            </w:r>
          </w:p>
        </w:tc>
        <w:tc>
          <w:tcPr>
            <w:tcW w:w="2015" w:type="pct"/>
            <w:shd w:val="clear" w:color="auto" w:fill="auto"/>
            <w:vAlign w:val="center"/>
          </w:tcPr>
          <w:p w14:paraId="70B3CCAB">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接口类型：SAS</w:t>
            </w:r>
          </w:p>
        </w:tc>
        <w:tc>
          <w:tcPr>
            <w:tcW w:w="854" w:type="pct"/>
            <w:shd w:val="clear" w:color="auto" w:fill="auto"/>
            <w:vAlign w:val="center"/>
          </w:tcPr>
          <w:p w14:paraId="7778D1FF">
            <w:pPr>
              <w:jc w:val="center"/>
              <w:rPr>
                <w:rFonts w:ascii="仿宋" w:hAnsi="仿宋" w:eastAsia="仿宋" w:cs="仿宋"/>
                <w:sz w:val="24"/>
              </w:rPr>
            </w:pPr>
            <w:r>
              <w:rPr>
                <w:rFonts w:ascii="仿宋" w:hAnsi="仿宋" w:eastAsia="仿宋" w:cs="仿宋"/>
                <w:sz w:val="24"/>
              </w:rPr>
              <w:t>否</w:t>
            </w:r>
          </w:p>
        </w:tc>
      </w:tr>
      <w:tr w14:paraId="790F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7" w:type="pct"/>
            <w:shd w:val="clear" w:color="auto" w:fill="auto"/>
            <w:vAlign w:val="center"/>
          </w:tcPr>
          <w:p w14:paraId="3DF9037E">
            <w:pPr>
              <w:widowControl/>
              <w:numPr>
                <w:ilvl w:val="0"/>
                <w:numId w:val="3"/>
              </w:numPr>
              <w:jc w:val="center"/>
              <w:textAlignment w:val="center"/>
              <w:rPr>
                <w:rFonts w:ascii="仿宋" w:hAnsi="仿宋" w:eastAsia="仿宋" w:cs="仿宋"/>
                <w:sz w:val="24"/>
              </w:rPr>
            </w:pPr>
          </w:p>
        </w:tc>
        <w:tc>
          <w:tcPr>
            <w:tcW w:w="607" w:type="pct"/>
            <w:shd w:val="clear" w:color="auto" w:fill="auto"/>
            <w:vAlign w:val="center"/>
          </w:tcPr>
          <w:p w14:paraId="3B810A39">
            <w:pPr>
              <w:jc w:val="center"/>
              <w:rPr>
                <w:rFonts w:ascii="仿宋" w:hAnsi="仿宋" w:eastAsia="仿宋" w:cs="仿宋"/>
                <w:sz w:val="24"/>
              </w:rPr>
            </w:pPr>
            <w:r>
              <w:rPr>
                <w:rFonts w:hint="eastAsia" w:ascii="仿宋" w:hAnsi="仿宋" w:eastAsia="仿宋" w:cs="仿宋"/>
                <w:sz w:val="24"/>
              </w:rPr>
              <w:t>★</w:t>
            </w:r>
          </w:p>
        </w:tc>
        <w:tc>
          <w:tcPr>
            <w:tcW w:w="916" w:type="pct"/>
            <w:vMerge w:val="continue"/>
          </w:tcPr>
          <w:p w14:paraId="45004BBE">
            <w:pPr>
              <w:jc w:val="left"/>
              <w:rPr>
                <w:rFonts w:ascii="仿宋" w:hAnsi="仿宋" w:eastAsia="仿宋" w:cs="仿宋"/>
                <w:sz w:val="24"/>
              </w:rPr>
            </w:pPr>
          </w:p>
        </w:tc>
        <w:tc>
          <w:tcPr>
            <w:tcW w:w="2015" w:type="pct"/>
            <w:shd w:val="clear" w:color="auto" w:fill="auto"/>
            <w:vAlign w:val="center"/>
          </w:tcPr>
          <w:p w14:paraId="7AC974E4">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裸容量:3.84TB</w:t>
            </w:r>
          </w:p>
        </w:tc>
        <w:tc>
          <w:tcPr>
            <w:tcW w:w="854" w:type="pct"/>
          </w:tcPr>
          <w:p w14:paraId="5F2D6FF4">
            <w:pPr>
              <w:jc w:val="center"/>
              <w:rPr>
                <w:rFonts w:ascii="仿宋" w:hAnsi="仿宋" w:eastAsia="仿宋" w:cs="仿宋"/>
                <w:sz w:val="24"/>
              </w:rPr>
            </w:pPr>
            <w:r>
              <w:rPr>
                <w:rFonts w:ascii="仿宋" w:hAnsi="仿宋" w:eastAsia="仿宋" w:cs="仿宋"/>
                <w:sz w:val="24"/>
              </w:rPr>
              <w:t>否</w:t>
            </w:r>
          </w:p>
        </w:tc>
      </w:tr>
      <w:tr w14:paraId="410F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7" w:type="pct"/>
            <w:shd w:val="clear" w:color="auto" w:fill="auto"/>
            <w:vAlign w:val="center"/>
          </w:tcPr>
          <w:p w14:paraId="60BEF37D">
            <w:pPr>
              <w:widowControl/>
              <w:numPr>
                <w:ilvl w:val="0"/>
                <w:numId w:val="3"/>
              </w:numPr>
              <w:jc w:val="center"/>
              <w:textAlignment w:val="center"/>
              <w:rPr>
                <w:rFonts w:ascii="仿宋" w:hAnsi="仿宋" w:eastAsia="仿宋" w:cs="仿宋"/>
                <w:sz w:val="24"/>
              </w:rPr>
            </w:pPr>
          </w:p>
        </w:tc>
        <w:tc>
          <w:tcPr>
            <w:tcW w:w="607" w:type="pct"/>
            <w:shd w:val="clear" w:color="auto" w:fill="auto"/>
            <w:vAlign w:val="center"/>
          </w:tcPr>
          <w:p w14:paraId="5D45EEF0">
            <w:pPr>
              <w:jc w:val="center"/>
              <w:rPr>
                <w:rFonts w:ascii="仿宋" w:hAnsi="仿宋" w:eastAsia="仿宋" w:cs="仿宋"/>
                <w:sz w:val="24"/>
              </w:rPr>
            </w:pPr>
            <w:r>
              <w:rPr>
                <w:rFonts w:hint="eastAsia" w:ascii="仿宋" w:hAnsi="仿宋" w:eastAsia="仿宋" w:cs="仿宋"/>
                <w:sz w:val="24"/>
              </w:rPr>
              <w:t>★</w:t>
            </w:r>
          </w:p>
        </w:tc>
        <w:tc>
          <w:tcPr>
            <w:tcW w:w="916" w:type="pct"/>
            <w:vMerge w:val="continue"/>
          </w:tcPr>
          <w:p w14:paraId="442489E6">
            <w:pPr>
              <w:jc w:val="left"/>
              <w:rPr>
                <w:rFonts w:ascii="仿宋" w:hAnsi="仿宋" w:eastAsia="仿宋" w:cs="仿宋"/>
                <w:sz w:val="24"/>
              </w:rPr>
            </w:pPr>
          </w:p>
        </w:tc>
        <w:tc>
          <w:tcPr>
            <w:tcW w:w="2015" w:type="pct"/>
            <w:shd w:val="clear" w:color="auto" w:fill="auto"/>
            <w:vAlign w:val="center"/>
          </w:tcPr>
          <w:p w14:paraId="00DC007B">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硬盘类型：SSD</w:t>
            </w:r>
          </w:p>
        </w:tc>
        <w:tc>
          <w:tcPr>
            <w:tcW w:w="854" w:type="pct"/>
          </w:tcPr>
          <w:p w14:paraId="0C6FC61A">
            <w:pPr>
              <w:jc w:val="center"/>
              <w:rPr>
                <w:rFonts w:ascii="仿宋" w:hAnsi="仿宋" w:eastAsia="仿宋" w:cs="仿宋"/>
                <w:sz w:val="24"/>
              </w:rPr>
            </w:pPr>
            <w:r>
              <w:rPr>
                <w:rFonts w:ascii="仿宋" w:hAnsi="仿宋" w:eastAsia="仿宋" w:cs="仿宋"/>
                <w:sz w:val="24"/>
              </w:rPr>
              <w:t>否</w:t>
            </w:r>
          </w:p>
        </w:tc>
      </w:tr>
      <w:tr w14:paraId="1692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7" w:type="pct"/>
            <w:shd w:val="clear" w:color="auto" w:fill="auto"/>
            <w:vAlign w:val="center"/>
          </w:tcPr>
          <w:p w14:paraId="1D5308A9">
            <w:pPr>
              <w:widowControl/>
              <w:numPr>
                <w:ilvl w:val="0"/>
                <w:numId w:val="3"/>
              </w:numPr>
              <w:jc w:val="center"/>
              <w:textAlignment w:val="center"/>
              <w:rPr>
                <w:rFonts w:ascii="仿宋" w:hAnsi="仿宋" w:eastAsia="仿宋" w:cs="仿宋"/>
                <w:sz w:val="24"/>
              </w:rPr>
            </w:pPr>
          </w:p>
        </w:tc>
        <w:tc>
          <w:tcPr>
            <w:tcW w:w="607" w:type="pct"/>
            <w:shd w:val="clear" w:color="auto" w:fill="auto"/>
            <w:vAlign w:val="center"/>
          </w:tcPr>
          <w:p w14:paraId="3EC14F89">
            <w:pPr>
              <w:jc w:val="center"/>
              <w:rPr>
                <w:rFonts w:ascii="仿宋" w:hAnsi="仿宋" w:eastAsia="仿宋" w:cs="仿宋"/>
                <w:sz w:val="24"/>
              </w:rPr>
            </w:pPr>
            <w:r>
              <w:rPr>
                <w:rFonts w:hint="eastAsia" w:ascii="仿宋" w:hAnsi="仿宋" w:eastAsia="仿宋" w:cs="仿宋"/>
                <w:sz w:val="24"/>
              </w:rPr>
              <w:t>★</w:t>
            </w:r>
          </w:p>
        </w:tc>
        <w:tc>
          <w:tcPr>
            <w:tcW w:w="916" w:type="pct"/>
            <w:vMerge w:val="continue"/>
          </w:tcPr>
          <w:p w14:paraId="0E541A4C">
            <w:pPr>
              <w:jc w:val="left"/>
              <w:rPr>
                <w:rFonts w:ascii="仿宋" w:hAnsi="仿宋" w:eastAsia="仿宋" w:cs="仿宋"/>
                <w:sz w:val="24"/>
              </w:rPr>
            </w:pPr>
          </w:p>
        </w:tc>
        <w:tc>
          <w:tcPr>
            <w:tcW w:w="2015" w:type="pct"/>
            <w:shd w:val="clear" w:color="auto" w:fill="auto"/>
            <w:vAlign w:val="center"/>
          </w:tcPr>
          <w:p w14:paraId="25B8ECD1">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尺寸为2.5英寸</w:t>
            </w:r>
          </w:p>
        </w:tc>
        <w:tc>
          <w:tcPr>
            <w:tcW w:w="854" w:type="pct"/>
          </w:tcPr>
          <w:p w14:paraId="3AF310F5">
            <w:pPr>
              <w:jc w:val="center"/>
              <w:rPr>
                <w:rFonts w:ascii="仿宋" w:hAnsi="仿宋" w:eastAsia="仿宋" w:cs="仿宋"/>
                <w:sz w:val="24"/>
              </w:rPr>
            </w:pPr>
            <w:r>
              <w:rPr>
                <w:rFonts w:ascii="仿宋" w:hAnsi="仿宋" w:eastAsia="仿宋" w:cs="仿宋"/>
                <w:sz w:val="24"/>
              </w:rPr>
              <w:t>否</w:t>
            </w:r>
          </w:p>
        </w:tc>
      </w:tr>
      <w:tr w14:paraId="4CAC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7" w:type="pct"/>
            <w:shd w:val="clear" w:color="auto" w:fill="auto"/>
            <w:vAlign w:val="center"/>
          </w:tcPr>
          <w:p w14:paraId="1E08F898">
            <w:pPr>
              <w:widowControl/>
              <w:numPr>
                <w:ilvl w:val="0"/>
                <w:numId w:val="3"/>
              </w:numPr>
              <w:jc w:val="center"/>
              <w:textAlignment w:val="center"/>
              <w:rPr>
                <w:rFonts w:ascii="仿宋" w:hAnsi="仿宋" w:eastAsia="仿宋" w:cs="仿宋"/>
                <w:sz w:val="24"/>
              </w:rPr>
            </w:pPr>
          </w:p>
        </w:tc>
        <w:tc>
          <w:tcPr>
            <w:tcW w:w="607" w:type="pct"/>
            <w:shd w:val="clear" w:color="auto" w:fill="auto"/>
            <w:vAlign w:val="center"/>
          </w:tcPr>
          <w:p w14:paraId="6A493878">
            <w:pPr>
              <w:jc w:val="center"/>
              <w:rPr>
                <w:rFonts w:ascii="仿宋" w:hAnsi="仿宋" w:eastAsia="仿宋" w:cs="仿宋"/>
                <w:sz w:val="24"/>
              </w:rPr>
            </w:pPr>
            <w:r>
              <w:rPr>
                <w:rFonts w:hint="eastAsia" w:ascii="仿宋" w:hAnsi="仿宋" w:eastAsia="仿宋" w:cs="仿宋"/>
                <w:sz w:val="24"/>
              </w:rPr>
              <w:t>★</w:t>
            </w:r>
          </w:p>
        </w:tc>
        <w:tc>
          <w:tcPr>
            <w:tcW w:w="916" w:type="pct"/>
            <w:vMerge w:val="continue"/>
          </w:tcPr>
          <w:p w14:paraId="5039DF0E">
            <w:pPr>
              <w:jc w:val="left"/>
              <w:rPr>
                <w:rFonts w:ascii="仿宋" w:hAnsi="仿宋" w:eastAsia="仿宋" w:cs="仿宋"/>
                <w:sz w:val="24"/>
              </w:rPr>
            </w:pPr>
          </w:p>
        </w:tc>
        <w:tc>
          <w:tcPr>
            <w:tcW w:w="2015" w:type="pct"/>
            <w:shd w:val="clear" w:color="auto" w:fill="auto"/>
            <w:vAlign w:val="center"/>
          </w:tcPr>
          <w:p w14:paraId="0908FF52">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支持热拔插</w:t>
            </w:r>
          </w:p>
        </w:tc>
        <w:tc>
          <w:tcPr>
            <w:tcW w:w="854" w:type="pct"/>
          </w:tcPr>
          <w:p w14:paraId="0BE8AD37">
            <w:pPr>
              <w:jc w:val="center"/>
              <w:rPr>
                <w:rFonts w:ascii="仿宋" w:hAnsi="仿宋" w:eastAsia="仿宋" w:cs="仿宋"/>
                <w:sz w:val="24"/>
              </w:rPr>
            </w:pPr>
            <w:r>
              <w:rPr>
                <w:rFonts w:ascii="仿宋" w:hAnsi="仿宋" w:eastAsia="仿宋" w:cs="仿宋"/>
                <w:sz w:val="24"/>
              </w:rPr>
              <w:t>否</w:t>
            </w:r>
          </w:p>
        </w:tc>
      </w:tr>
      <w:tr w14:paraId="133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7" w:type="pct"/>
            <w:shd w:val="clear" w:color="auto" w:fill="auto"/>
            <w:vAlign w:val="center"/>
          </w:tcPr>
          <w:p w14:paraId="5839BAC4">
            <w:pPr>
              <w:widowControl/>
              <w:numPr>
                <w:ilvl w:val="0"/>
                <w:numId w:val="3"/>
              </w:numPr>
              <w:jc w:val="center"/>
              <w:textAlignment w:val="center"/>
              <w:rPr>
                <w:rFonts w:ascii="仿宋" w:hAnsi="仿宋" w:eastAsia="仿宋" w:cs="仿宋"/>
                <w:sz w:val="24"/>
              </w:rPr>
            </w:pPr>
          </w:p>
        </w:tc>
        <w:tc>
          <w:tcPr>
            <w:tcW w:w="607" w:type="pct"/>
            <w:shd w:val="clear" w:color="auto" w:fill="auto"/>
            <w:vAlign w:val="center"/>
          </w:tcPr>
          <w:p w14:paraId="490A739C">
            <w:pPr>
              <w:jc w:val="center"/>
              <w:rPr>
                <w:rFonts w:ascii="仿宋" w:hAnsi="仿宋" w:eastAsia="仿宋" w:cs="仿宋"/>
                <w:sz w:val="24"/>
              </w:rPr>
            </w:pPr>
            <w:r>
              <w:rPr>
                <w:rFonts w:hint="eastAsia" w:ascii="仿宋" w:hAnsi="仿宋" w:eastAsia="仿宋" w:cs="仿宋"/>
                <w:sz w:val="24"/>
              </w:rPr>
              <w:t>★</w:t>
            </w:r>
          </w:p>
        </w:tc>
        <w:tc>
          <w:tcPr>
            <w:tcW w:w="916" w:type="pct"/>
            <w:shd w:val="clear" w:color="auto" w:fill="auto"/>
            <w:vAlign w:val="center"/>
          </w:tcPr>
          <w:p w14:paraId="7A1E1504">
            <w:pPr>
              <w:jc w:val="left"/>
              <w:rPr>
                <w:rFonts w:ascii="仿宋" w:hAnsi="仿宋" w:eastAsia="仿宋" w:cs="仿宋"/>
                <w:sz w:val="24"/>
              </w:rPr>
            </w:pPr>
            <w:r>
              <w:rPr>
                <w:rFonts w:hint="eastAsia" w:ascii="仿宋" w:hAnsi="仿宋" w:eastAsia="仿宋" w:cs="仿宋"/>
                <w:sz w:val="24"/>
                <w:lang w:val="en-US" w:eastAsia="zh-CN"/>
              </w:rPr>
              <w:t>其他</w:t>
            </w:r>
            <w:r>
              <w:rPr>
                <w:rFonts w:hint="eastAsia" w:ascii="仿宋" w:hAnsi="仿宋" w:eastAsia="仿宋" w:cs="仿宋"/>
                <w:sz w:val="24"/>
              </w:rPr>
              <w:t>要求</w:t>
            </w:r>
          </w:p>
        </w:tc>
        <w:tc>
          <w:tcPr>
            <w:tcW w:w="2015" w:type="pct"/>
            <w:shd w:val="clear" w:color="auto" w:fill="auto"/>
            <w:vAlign w:val="bottom"/>
          </w:tcPr>
          <w:p w14:paraId="1A2E4367">
            <w:pPr>
              <w:widowControl/>
              <w:jc w:val="left"/>
              <w:rPr>
                <w:rFonts w:hint="eastAsia" w:ascii="仿宋" w:hAnsi="仿宋" w:eastAsia="仿宋" w:cs="仿宋"/>
                <w:sz w:val="24"/>
                <w:lang w:val="en-US" w:eastAsia="zh-CN"/>
              </w:rPr>
            </w:pPr>
            <w:r>
              <w:rPr>
                <w:rFonts w:hint="eastAsia" w:ascii="仿宋" w:hAnsi="仿宋" w:eastAsia="仿宋" w:cs="仿宋"/>
                <w:sz w:val="24"/>
              </w:rPr>
              <w:t>兼容服务器类型二</w:t>
            </w:r>
            <w:r>
              <w:rPr>
                <w:rFonts w:hint="eastAsia" w:ascii="仿宋" w:hAnsi="仿宋" w:eastAsia="仿宋" w:cs="仿宋"/>
                <w:sz w:val="24"/>
                <w:lang w:eastAsia="zh-CN"/>
              </w:rPr>
              <w:t>，</w:t>
            </w:r>
            <w:r>
              <w:rPr>
                <w:rFonts w:hint="eastAsia" w:ascii="仿宋" w:hAnsi="仿宋" w:eastAsia="仿宋" w:cs="仿宋"/>
                <w:sz w:val="24"/>
                <w:lang w:val="en-US" w:eastAsia="zh-CN"/>
              </w:rPr>
              <w:t>且与服务器类型二配备的硬盘同品牌。</w:t>
            </w:r>
          </w:p>
        </w:tc>
        <w:tc>
          <w:tcPr>
            <w:tcW w:w="854" w:type="pct"/>
            <w:shd w:val="clear" w:color="auto" w:fill="auto"/>
            <w:vAlign w:val="center"/>
          </w:tcPr>
          <w:p w14:paraId="3F57D7AE">
            <w:pPr>
              <w:jc w:val="center"/>
              <w:rPr>
                <w:rFonts w:ascii="仿宋" w:hAnsi="仿宋" w:eastAsia="仿宋" w:cs="仿宋"/>
                <w:sz w:val="24"/>
              </w:rPr>
            </w:pPr>
            <w:r>
              <w:rPr>
                <w:rFonts w:ascii="仿宋" w:hAnsi="仿宋" w:eastAsia="仿宋" w:cs="仿宋"/>
                <w:sz w:val="24"/>
              </w:rPr>
              <w:t>否</w:t>
            </w:r>
          </w:p>
        </w:tc>
      </w:tr>
    </w:tbl>
    <w:p w14:paraId="10A3C939">
      <w:pPr>
        <w:pStyle w:val="2"/>
      </w:pPr>
    </w:p>
    <w:p w14:paraId="79ECE2B2">
      <w:pPr>
        <w:numPr>
          <w:ilvl w:val="0"/>
          <w:numId w:val="2"/>
        </w:numPr>
        <w:spacing w:after="160" w:line="560" w:lineRule="exact"/>
        <w:jc w:val="left"/>
        <w:outlineLvl w:val="1"/>
        <w:rPr>
          <w:rFonts w:ascii="仿宋" w:hAnsi="仿宋" w:eastAsia="仿宋" w:cs="Times New Roman"/>
          <w:sz w:val="28"/>
          <w:szCs w:val="28"/>
        </w:rPr>
      </w:pPr>
      <w:r>
        <w:rPr>
          <w:rFonts w:hint="eastAsia" w:ascii="仿宋" w:hAnsi="仿宋" w:eastAsia="仿宋" w:cs="Times New Roman"/>
          <w:sz w:val="28"/>
          <w:szCs w:val="28"/>
        </w:rPr>
        <w:t>2.4TB SAS HDD 硬盘</w:t>
      </w:r>
    </w:p>
    <w:tbl>
      <w:tblPr>
        <w:tblStyle w:val="16"/>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5"/>
        <w:gridCol w:w="1017"/>
        <w:gridCol w:w="1529"/>
        <w:gridCol w:w="3354"/>
        <w:gridCol w:w="1418"/>
      </w:tblGrid>
      <w:tr w14:paraId="4406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09" w:type="pct"/>
            <w:vAlign w:val="center"/>
          </w:tcPr>
          <w:p w14:paraId="4F0394EE">
            <w:pPr>
              <w:widowControl/>
              <w:jc w:val="center"/>
              <w:textAlignment w:val="center"/>
              <w:rPr>
                <w:rFonts w:ascii="仿宋" w:hAnsi="仿宋" w:eastAsia="仿宋" w:cs="仿宋"/>
                <w:b/>
                <w:kern w:val="0"/>
                <w:sz w:val="24"/>
              </w:rPr>
            </w:pPr>
            <w:r>
              <w:rPr>
                <w:rFonts w:hint="eastAsia" w:ascii="仿宋" w:hAnsi="仿宋" w:eastAsia="仿宋" w:cs="仿宋"/>
                <w:b/>
                <w:kern w:val="0"/>
                <w:sz w:val="24"/>
              </w:rPr>
              <w:t>序号</w:t>
            </w:r>
          </w:p>
        </w:tc>
        <w:tc>
          <w:tcPr>
            <w:tcW w:w="610" w:type="pct"/>
            <w:vAlign w:val="center"/>
          </w:tcPr>
          <w:p w14:paraId="6FB3AB05">
            <w:pPr>
              <w:widowControl/>
              <w:jc w:val="center"/>
              <w:textAlignment w:val="center"/>
              <w:rPr>
                <w:rFonts w:ascii="仿宋" w:hAnsi="仿宋" w:eastAsia="仿宋" w:cs="仿宋"/>
                <w:b/>
                <w:sz w:val="24"/>
              </w:rPr>
            </w:pPr>
            <w:r>
              <w:rPr>
                <w:rFonts w:hint="eastAsia" w:ascii="仿宋" w:hAnsi="仿宋" w:eastAsia="仿宋" w:cs="仿宋"/>
                <w:b/>
                <w:kern w:val="0"/>
                <w:sz w:val="24"/>
              </w:rPr>
              <w:t>重要性</w:t>
            </w:r>
          </w:p>
        </w:tc>
        <w:tc>
          <w:tcPr>
            <w:tcW w:w="917" w:type="pct"/>
            <w:vAlign w:val="center"/>
          </w:tcPr>
          <w:p w14:paraId="5DF969E4">
            <w:pPr>
              <w:widowControl/>
              <w:jc w:val="center"/>
              <w:textAlignment w:val="center"/>
              <w:rPr>
                <w:rFonts w:ascii="仿宋" w:hAnsi="仿宋" w:eastAsia="仿宋" w:cs="仿宋"/>
                <w:b/>
                <w:sz w:val="24"/>
              </w:rPr>
            </w:pPr>
            <w:r>
              <w:rPr>
                <w:rFonts w:hint="eastAsia" w:ascii="仿宋" w:hAnsi="仿宋" w:eastAsia="仿宋" w:cs="仿宋"/>
                <w:b/>
                <w:kern w:val="0"/>
                <w:sz w:val="24"/>
              </w:rPr>
              <w:t>指标项</w:t>
            </w:r>
          </w:p>
        </w:tc>
        <w:tc>
          <w:tcPr>
            <w:tcW w:w="2012" w:type="pct"/>
            <w:vAlign w:val="center"/>
          </w:tcPr>
          <w:p w14:paraId="3043E421">
            <w:pPr>
              <w:widowControl/>
              <w:jc w:val="center"/>
              <w:textAlignment w:val="center"/>
              <w:rPr>
                <w:rFonts w:ascii="仿宋" w:hAnsi="仿宋" w:eastAsia="仿宋" w:cs="仿宋"/>
                <w:b/>
                <w:sz w:val="24"/>
              </w:rPr>
            </w:pPr>
            <w:r>
              <w:rPr>
                <w:rFonts w:hint="eastAsia" w:ascii="仿宋" w:hAnsi="仿宋" w:eastAsia="仿宋" w:cs="仿宋"/>
                <w:b/>
                <w:kern w:val="0"/>
                <w:sz w:val="24"/>
              </w:rPr>
              <w:t>指标要求</w:t>
            </w:r>
          </w:p>
        </w:tc>
        <w:tc>
          <w:tcPr>
            <w:tcW w:w="850" w:type="pct"/>
          </w:tcPr>
          <w:p w14:paraId="3BE367D0">
            <w:pPr>
              <w:widowControl/>
              <w:jc w:val="center"/>
              <w:textAlignment w:val="center"/>
              <w:rPr>
                <w:rFonts w:ascii="仿宋" w:hAnsi="仿宋" w:eastAsia="仿宋" w:cs="仿宋"/>
                <w:b/>
                <w:kern w:val="0"/>
                <w:sz w:val="24"/>
              </w:rPr>
            </w:pPr>
            <w:r>
              <w:rPr>
                <w:rFonts w:hint="eastAsia" w:ascii="仿宋" w:hAnsi="仿宋" w:eastAsia="仿宋" w:cs="仿宋"/>
                <w:b/>
                <w:kern w:val="0"/>
                <w:sz w:val="24"/>
              </w:rPr>
              <w:t>是否提供证明材料及方式</w:t>
            </w:r>
          </w:p>
        </w:tc>
      </w:tr>
      <w:tr w14:paraId="7C32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4C20245B">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273848AE">
            <w:pPr>
              <w:jc w:val="center"/>
              <w:rPr>
                <w:rFonts w:ascii="仿宋" w:hAnsi="仿宋" w:eastAsia="仿宋" w:cs="仿宋"/>
                <w:sz w:val="24"/>
              </w:rPr>
            </w:pPr>
            <w:r>
              <w:rPr>
                <w:rFonts w:hint="eastAsia" w:ascii="仿宋" w:hAnsi="仿宋" w:eastAsia="仿宋" w:cs="仿宋"/>
                <w:sz w:val="24"/>
              </w:rPr>
              <w:t>★</w:t>
            </w:r>
          </w:p>
        </w:tc>
        <w:tc>
          <w:tcPr>
            <w:tcW w:w="917" w:type="pct"/>
            <w:vMerge w:val="restart"/>
            <w:shd w:val="clear" w:color="auto" w:fill="auto"/>
            <w:vAlign w:val="center"/>
          </w:tcPr>
          <w:p w14:paraId="3601889F">
            <w:pPr>
              <w:jc w:val="left"/>
              <w:rPr>
                <w:rFonts w:ascii="仿宋" w:hAnsi="仿宋" w:eastAsia="仿宋" w:cs="仿宋"/>
                <w:sz w:val="24"/>
              </w:rPr>
            </w:pPr>
            <w:r>
              <w:rPr>
                <w:rFonts w:hint="eastAsia" w:ascii="仿宋" w:hAnsi="仿宋" w:eastAsia="仿宋" w:cs="仿宋"/>
                <w:sz w:val="24"/>
              </w:rPr>
              <w:t>硬件规格</w:t>
            </w:r>
          </w:p>
        </w:tc>
        <w:tc>
          <w:tcPr>
            <w:tcW w:w="3354" w:type="dxa"/>
            <w:shd w:val="clear" w:color="auto" w:fill="auto"/>
            <w:vAlign w:val="bottom"/>
          </w:tcPr>
          <w:p w14:paraId="5FF73F4D">
            <w:pPr>
              <w:widowControl/>
              <w:textAlignment w:val="bottom"/>
              <w:rPr>
                <w:rFonts w:ascii="仿宋" w:hAnsi="仿宋" w:eastAsia="仿宋" w:cs="仿宋"/>
                <w:sz w:val="24"/>
              </w:rPr>
            </w:pPr>
            <w:r>
              <w:rPr>
                <w:rFonts w:hint="eastAsia" w:ascii="仿宋" w:hAnsi="仿宋" w:eastAsia="仿宋" w:cs="仿宋"/>
                <w:color w:val="000000"/>
                <w:kern w:val="0"/>
                <w:sz w:val="24"/>
                <w:lang w:bidi="ar"/>
              </w:rPr>
              <w:t>接口类型：SAS</w:t>
            </w:r>
          </w:p>
        </w:tc>
        <w:tc>
          <w:tcPr>
            <w:tcW w:w="850" w:type="pct"/>
            <w:shd w:val="clear" w:color="auto" w:fill="auto"/>
            <w:vAlign w:val="center"/>
          </w:tcPr>
          <w:p w14:paraId="11F1FBC7">
            <w:pPr>
              <w:jc w:val="center"/>
              <w:rPr>
                <w:rFonts w:ascii="仿宋" w:hAnsi="仿宋" w:eastAsia="仿宋" w:cs="仿宋"/>
                <w:sz w:val="24"/>
              </w:rPr>
            </w:pPr>
            <w:r>
              <w:rPr>
                <w:rFonts w:ascii="仿宋" w:hAnsi="仿宋" w:eastAsia="仿宋" w:cs="仿宋"/>
                <w:sz w:val="24"/>
              </w:rPr>
              <w:t>否</w:t>
            </w:r>
          </w:p>
        </w:tc>
      </w:tr>
      <w:tr w14:paraId="277C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61334C95">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70016943">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233D141D">
            <w:pPr>
              <w:jc w:val="left"/>
              <w:rPr>
                <w:rFonts w:ascii="仿宋" w:hAnsi="仿宋" w:eastAsia="仿宋" w:cs="仿宋"/>
                <w:sz w:val="24"/>
              </w:rPr>
            </w:pPr>
          </w:p>
        </w:tc>
        <w:tc>
          <w:tcPr>
            <w:tcW w:w="3354" w:type="dxa"/>
            <w:shd w:val="clear" w:color="auto" w:fill="auto"/>
            <w:vAlign w:val="bottom"/>
          </w:tcPr>
          <w:p w14:paraId="2A6AA51B">
            <w:pPr>
              <w:widowControl/>
              <w:textAlignment w:val="bottom"/>
              <w:rPr>
                <w:rFonts w:ascii="仿宋" w:hAnsi="仿宋" w:eastAsia="仿宋" w:cs="仿宋"/>
                <w:sz w:val="24"/>
              </w:rPr>
            </w:pPr>
            <w:r>
              <w:rPr>
                <w:rFonts w:hint="eastAsia" w:ascii="仿宋" w:hAnsi="仿宋" w:eastAsia="仿宋" w:cs="仿宋"/>
                <w:color w:val="000000"/>
                <w:kern w:val="0"/>
                <w:sz w:val="24"/>
                <w:lang w:bidi="ar"/>
              </w:rPr>
              <w:t>裸容量为：2.4TB</w:t>
            </w:r>
          </w:p>
        </w:tc>
        <w:tc>
          <w:tcPr>
            <w:tcW w:w="850" w:type="pct"/>
          </w:tcPr>
          <w:p w14:paraId="518D465E">
            <w:pPr>
              <w:jc w:val="center"/>
              <w:rPr>
                <w:rFonts w:ascii="仿宋" w:hAnsi="仿宋" w:eastAsia="仿宋" w:cs="仿宋"/>
                <w:sz w:val="24"/>
              </w:rPr>
            </w:pPr>
            <w:r>
              <w:rPr>
                <w:rFonts w:ascii="仿宋" w:hAnsi="仿宋" w:eastAsia="仿宋" w:cs="仿宋"/>
                <w:sz w:val="24"/>
              </w:rPr>
              <w:t>否</w:t>
            </w:r>
          </w:p>
        </w:tc>
      </w:tr>
      <w:tr w14:paraId="786A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5D729E58">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78F5674A">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136A7940">
            <w:pPr>
              <w:jc w:val="left"/>
              <w:rPr>
                <w:rFonts w:ascii="仿宋" w:hAnsi="仿宋" w:eastAsia="仿宋" w:cs="仿宋"/>
                <w:sz w:val="24"/>
              </w:rPr>
            </w:pPr>
          </w:p>
        </w:tc>
        <w:tc>
          <w:tcPr>
            <w:tcW w:w="3354" w:type="dxa"/>
            <w:shd w:val="clear" w:color="auto" w:fill="auto"/>
            <w:vAlign w:val="bottom"/>
          </w:tcPr>
          <w:p w14:paraId="0AF037A3">
            <w:pPr>
              <w:widowControl/>
              <w:textAlignment w:val="bottom"/>
              <w:rPr>
                <w:rFonts w:ascii="仿宋" w:hAnsi="仿宋" w:eastAsia="仿宋" w:cs="仿宋"/>
                <w:sz w:val="24"/>
              </w:rPr>
            </w:pPr>
            <w:r>
              <w:rPr>
                <w:rFonts w:hint="eastAsia" w:ascii="仿宋" w:hAnsi="仿宋" w:eastAsia="仿宋" w:cs="仿宋"/>
                <w:color w:val="000000"/>
                <w:kern w:val="0"/>
                <w:sz w:val="24"/>
                <w:lang w:bidi="ar"/>
              </w:rPr>
              <w:t>尺寸为：2.5英寸</w:t>
            </w:r>
          </w:p>
        </w:tc>
        <w:tc>
          <w:tcPr>
            <w:tcW w:w="850" w:type="pct"/>
          </w:tcPr>
          <w:p w14:paraId="3C79AA3A">
            <w:pPr>
              <w:jc w:val="center"/>
              <w:rPr>
                <w:rFonts w:ascii="仿宋" w:hAnsi="仿宋" w:eastAsia="仿宋" w:cs="仿宋"/>
                <w:sz w:val="24"/>
              </w:rPr>
            </w:pPr>
            <w:r>
              <w:rPr>
                <w:rFonts w:ascii="仿宋" w:hAnsi="仿宋" w:eastAsia="仿宋" w:cs="仿宋"/>
                <w:sz w:val="24"/>
              </w:rPr>
              <w:t>否</w:t>
            </w:r>
          </w:p>
        </w:tc>
      </w:tr>
      <w:tr w14:paraId="37C1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334B9436">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72C6E67F">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2B075CA5">
            <w:pPr>
              <w:jc w:val="left"/>
              <w:rPr>
                <w:rFonts w:ascii="仿宋" w:hAnsi="仿宋" w:eastAsia="仿宋" w:cs="仿宋"/>
                <w:sz w:val="24"/>
              </w:rPr>
            </w:pPr>
          </w:p>
        </w:tc>
        <w:tc>
          <w:tcPr>
            <w:tcW w:w="3354" w:type="dxa"/>
            <w:shd w:val="clear" w:color="auto" w:fill="auto"/>
            <w:vAlign w:val="bottom"/>
          </w:tcPr>
          <w:p w14:paraId="487ECECD">
            <w:pPr>
              <w:widowControl/>
              <w:textAlignment w:val="bottom"/>
              <w:rPr>
                <w:rFonts w:ascii="仿宋" w:hAnsi="仿宋" w:eastAsia="仿宋" w:cs="仿宋"/>
                <w:sz w:val="24"/>
              </w:rPr>
            </w:pPr>
            <w:r>
              <w:rPr>
                <w:rFonts w:hint="eastAsia" w:ascii="仿宋" w:hAnsi="仿宋" w:eastAsia="仿宋" w:cs="仿宋"/>
                <w:color w:val="000000"/>
                <w:kern w:val="0"/>
                <w:sz w:val="24"/>
                <w:lang w:bidi="ar"/>
              </w:rPr>
              <w:t>硬盘类型：HDD</w:t>
            </w:r>
          </w:p>
        </w:tc>
        <w:tc>
          <w:tcPr>
            <w:tcW w:w="850" w:type="pct"/>
          </w:tcPr>
          <w:p w14:paraId="4E4978DA">
            <w:pPr>
              <w:jc w:val="center"/>
              <w:rPr>
                <w:rFonts w:ascii="仿宋" w:hAnsi="仿宋" w:eastAsia="仿宋" w:cs="仿宋"/>
                <w:sz w:val="24"/>
              </w:rPr>
            </w:pPr>
            <w:r>
              <w:rPr>
                <w:rFonts w:ascii="仿宋" w:hAnsi="仿宋" w:eastAsia="仿宋" w:cs="仿宋"/>
                <w:sz w:val="24"/>
              </w:rPr>
              <w:t>否</w:t>
            </w:r>
          </w:p>
        </w:tc>
      </w:tr>
      <w:tr w14:paraId="268B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3047EB3C">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20B230EB">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00A5F03A">
            <w:pPr>
              <w:jc w:val="left"/>
              <w:rPr>
                <w:rFonts w:ascii="仿宋" w:hAnsi="仿宋" w:eastAsia="仿宋" w:cs="仿宋"/>
                <w:sz w:val="24"/>
              </w:rPr>
            </w:pPr>
          </w:p>
        </w:tc>
        <w:tc>
          <w:tcPr>
            <w:tcW w:w="3354" w:type="dxa"/>
            <w:shd w:val="clear" w:color="auto" w:fill="auto"/>
            <w:vAlign w:val="bottom"/>
          </w:tcPr>
          <w:p w14:paraId="1F71F595">
            <w:pPr>
              <w:widowControl/>
              <w:textAlignment w:val="bottom"/>
              <w:rPr>
                <w:rFonts w:ascii="仿宋" w:hAnsi="仿宋" w:eastAsia="仿宋" w:cs="仿宋"/>
                <w:sz w:val="24"/>
              </w:rPr>
            </w:pPr>
            <w:r>
              <w:rPr>
                <w:rFonts w:hint="eastAsia" w:ascii="仿宋" w:hAnsi="仿宋" w:eastAsia="仿宋" w:cs="仿宋"/>
                <w:color w:val="000000"/>
                <w:kern w:val="0"/>
                <w:sz w:val="24"/>
                <w:lang w:bidi="ar"/>
              </w:rPr>
              <w:t>支持热拔插</w:t>
            </w:r>
          </w:p>
        </w:tc>
        <w:tc>
          <w:tcPr>
            <w:tcW w:w="850" w:type="pct"/>
          </w:tcPr>
          <w:p w14:paraId="54989206">
            <w:pPr>
              <w:jc w:val="center"/>
              <w:rPr>
                <w:rFonts w:ascii="仿宋" w:hAnsi="仿宋" w:eastAsia="仿宋" w:cs="仿宋"/>
                <w:sz w:val="24"/>
              </w:rPr>
            </w:pPr>
            <w:r>
              <w:rPr>
                <w:rFonts w:ascii="仿宋" w:hAnsi="仿宋" w:eastAsia="仿宋" w:cs="仿宋"/>
                <w:sz w:val="24"/>
              </w:rPr>
              <w:t>否</w:t>
            </w:r>
          </w:p>
        </w:tc>
      </w:tr>
      <w:tr w14:paraId="449B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36994A45">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75EE2FD0">
            <w:pPr>
              <w:jc w:val="center"/>
              <w:rPr>
                <w:rFonts w:ascii="仿宋" w:hAnsi="仿宋" w:eastAsia="仿宋" w:cs="仿宋"/>
                <w:sz w:val="24"/>
              </w:rPr>
            </w:pPr>
            <w:r>
              <w:rPr>
                <w:rFonts w:hint="eastAsia" w:ascii="仿宋" w:hAnsi="仿宋" w:eastAsia="仿宋" w:cs="仿宋"/>
                <w:sz w:val="24"/>
              </w:rPr>
              <w:t>★</w:t>
            </w:r>
          </w:p>
        </w:tc>
        <w:tc>
          <w:tcPr>
            <w:tcW w:w="917" w:type="pct"/>
            <w:vMerge w:val="restart"/>
            <w:shd w:val="clear" w:color="auto" w:fill="auto"/>
            <w:vAlign w:val="center"/>
          </w:tcPr>
          <w:p w14:paraId="02A669A1">
            <w:pPr>
              <w:rPr>
                <w:rFonts w:ascii="仿宋" w:hAnsi="仿宋" w:eastAsia="仿宋" w:cs="仿宋"/>
                <w:sz w:val="24"/>
              </w:rPr>
            </w:pPr>
            <w:r>
              <w:rPr>
                <w:rFonts w:hint="eastAsia" w:ascii="仿宋" w:hAnsi="仿宋" w:eastAsia="仿宋" w:cs="仿宋"/>
                <w:sz w:val="24"/>
              </w:rPr>
              <w:t>性能要求</w:t>
            </w:r>
          </w:p>
        </w:tc>
        <w:tc>
          <w:tcPr>
            <w:tcW w:w="3354" w:type="dxa"/>
            <w:shd w:val="clear" w:color="auto" w:fill="auto"/>
            <w:vAlign w:val="bottom"/>
          </w:tcPr>
          <w:p w14:paraId="5E42C0FD">
            <w:pPr>
              <w:widowControl/>
              <w:jc w:val="left"/>
              <w:textAlignment w:val="bottom"/>
              <w:rPr>
                <w:rFonts w:ascii="仿宋" w:hAnsi="仿宋" w:eastAsia="仿宋" w:cs="仿宋"/>
                <w:sz w:val="24"/>
              </w:rPr>
            </w:pPr>
            <w:r>
              <w:rPr>
                <w:rFonts w:hint="eastAsia" w:ascii="仿宋" w:hAnsi="仿宋" w:eastAsia="仿宋" w:cs="仿宋"/>
                <w:color w:val="000000"/>
                <w:kern w:val="0"/>
                <w:sz w:val="24"/>
                <w:lang w:bidi="ar"/>
              </w:rPr>
              <w:t>最大数据传输速率</w:t>
            </w:r>
            <w:r>
              <w:rPr>
                <w:rFonts w:hint="eastAsia" w:ascii="仿宋" w:hAnsi="仿宋" w:eastAsia="仿宋" w:cs="仿宋"/>
                <w:color w:val="000000"/>
                <w:kern w:val="0"/>
                <w:szCs w:val="21"/>
                <w:lang w:bidi="ar"/>
              </w:rPr>
              <w:t>≥</w:t>
            </w:r>
            <w:r>
              <w:rPr>
                <w:rFonts w:hint="eastAsia" w:ascii="仿宋" w:hAnsi="仿宋" w:eastAsia="仿宋" w:cs="仿宋"/>
                <w:color w:val="000000"/>
                <w:kern w:val="0"/>
                <w:sz w:val="24"/>
                <w:lang w:bidi="ar"/>
              </w:rPr>
              <w:t>12Gbps</w:t>
            </w:r>
          </w:p>
        </w:tc>
        <w:tc>
          <w:tcPr>
            <w:tcW w:w="850" w:type="pct"/>
            <w:shd w:val="clear" w:color="auto" w:fill="auto"/>
            <w:vAlign w:val="center"/>
          </w:tcPr>
          <w:p w14:paraId="0B689D80">
            <w:pPr>
              <w:jc w:val="center"/>
              <w:rPr>
                <w:rFonts w:ascii="仿宋" w:hAnsi="仿宋" w:eastAsia="仿宋" w:cs="仿宋"/>
                <w:sz w:val="24"/>
              </w:rPr>
            </w:pPr>
            <w:r>
              <w:rPr>
                <w:rFonts w:ascii="仿宋" w:hAnsi="仿宋" w:eastAsia="仿宋" w:cs="仿宋"/>
                <w:sz w:val="24"/>
              </w:rPr>
              <w:t>否</w:t>
            </w:r>
          </w:p>
        </w:tc>
      </w:tr>
      <w:tr w14:paraId="0920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60B2915A">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5EB2F412">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344CBF28">
            <w:pPr>
              <w:jc w:val="left"/>
              <w:rPr>
                <w:rFonts w:ascii="仿宋" w:hAnsi="仿宋" w:eastAsia="仿宋" w:cs="仿宋"/>
                <w:sz w:val="24"/>
              </w:rPr>
            </w:pPr>
          </w:p>
        </w:tc>
        <w:tc>
          <w:tcPr>
            <w:tcW w:w="3354" w:type="dxa"/>
            <w:shd w:val="clear" w:color="auto" w:fill="auto"/>
            <w:vAlign w:val="bottom"/>
          </w:tcPr>
          <w:p w14:paraId="42F0726D">
            <w:pPr>
              <w:widowControl/>
              <w:jc w:val="left"/>
              <w:textAlignment w:val="bottom"/>
              <w:rPr>
                <w:rFonts w:ascii="仿宋" w:hAnsi="仿宋" w:eastAsia="仿宋" w:cs="仿宋"/>
                <w:sz w:val="24"/>
              </w:rPr>
            </w:pPr>
            <w:r>
              <w:rPr>
                <w:rFonts w:hint="eastAsia" w:ascii="仿宋" w:hAnsi="仿宋" w:eastAsia="仿宋" w:cs="仿宋"/>
                <w:color w:val="000000"/>
                <w:kern w:val="0"/>
                <w:sz w:val="24"/>
                <w:lang w:bidi="ar"/>
              </w:rPr>
              <w:t>转速</w:t>
            </w:r>
            <w:r>
              <w:rPr>
                <w:rFonts w:hint="eastAsia" w:ascii="仿宋" w:hAnsi="仿宋" w:eastAsia="仿宋" w:cs="仿宋"/>
                <w:color w:val="000000"/>
                <w:kern w:val="0"/>
                <w:szCs w:val="21"/>
                <w:lang w:bidi="ar"/>
              </w:rPr>
              <w:t>≥10krpm</w:t>
            </w:r>
          </w:p>
        </w:tc>
        <w:tc>
          <w:tcPr>
            <w:tcW w:w="850" w:type="pct"/>
            <w:shd w:val="clear" w:color="auto" w:fill="auto"/>
            <w:vAlign w:val="center"/>
          </w:tcPr>
          <w:p w14:paraId="25722A20">
            <w:pPr>
              <w:jc w:val="center"/>
              <w:rPr>
                <w:rFonts w:ascii="仿宋" w:hAnsi="仿宋" w:eastAsia="仿宋" w:cs="仿宋"/>
                <w:sz w:val="24"/>
              </w:rPr>
            </w:pPr>
            <w:r>
              <w:rPr>
                <w:rFonts w:ascii="仿宋" w:hAnsi="仿宋" w:eastAsia="仿宋" w:cs="仿宋"/>
                <w:sz w:val="24"/>
              </w:rPr>
              <w:t>否</w:t>
            </w:r>
          </w:p>
        </w:tc>
      </w:tr>
      <w:tr w14:paraId="352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3EEFCB92">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42B55B5E">
            <w:pPr>
              <w:jc w:val="center"/>
              <w:rPr>
                <w:rFonts w:ascii="仿宋" w:hAnsi="仿宋" w:eastAsia="仿宋" w:cs="仿宋"/>
                <w:sz w:val="24"/>
              </w:rPr>
            </w:pPr>
            <w:r>
              <w:rPr>
                <w:rFonts w:hint="eastAsia" w:ascii="仿宋" w:hAnsi="仿宋" w:eastAsia="仿宋" w:cs="仿宋"/>
                <w:sz w:val="24"/>
              </w:rPr>
              <w:t>★</w:t>
            </w:r>
          </w:p>
        </w:tc>
        <w:tc>
          <w:tcPr>
            <w:tcW w:w="917" w:type="pct"/>
            <w:shd w:val="clear" w:color="auto" w:fill="auto"/>
            <w:vAlign w:val="center"/>
          </w:tcPr>
          <w:p w14:paraId="690D3E13">
            <w:pPr>
              <w:jc w:val="left"/>
              <w:rPr>
                <w:rFonts w:ascii="仿宋" w:hAnsi="仿宋" w:eastAsia="仿宋" w:cs="仿宋"/>
                <w:sz w:val="24"/>
              </w:rPr>
            </w:pPr>
            <w:r>
              <w:rPr>
                <w:rFonts w:hint="eastAsia" w:ascii="仿宋" w:hAnsi="仿宋" w:eastAsia="仿宋" w:cs="仿宋"/>
                <w:sz w:val="24"/>
              </w:rPr>
              <w:t>兼容性要求</w:t>
            </w:r>
          </w:p>
        </w:tc>
        <w:tc>
          <w:tcPr>
            <w:tcW w:w="2012" w:type="pct"/>
            <w:shd w:val="clear" w:color="auto" w:fill="auto"/>
            <w:vAlign w:val="bottom"/>
          </w:tcPr>
          <w:p w14:paraId="47628D64">
            <w:pPr>
              <w:widowControl/>
              <w:jc w:val="left"/>
              <w:rPr>
                <w:rFonts w:ascii="仿宋" w:hAnsi="仿宋" w:eastAsia="仿宋" w:cs="仿宋"/>
                <w:sz w:val="24"/>
              </w:rPr>
            </w:pPr>
            <w:r>
              <w:rPr>
                <w:rFonts w:hint="eastAsia" w:ascii="仿宋" w:hAnsi="仿宋" w:eastAsia="仿宋" w:cs="仿宋"/>
                <w:sz w:val="24"/>
              </w:rPr>
              <w:t>兼容中科可控 H620-G30服务器</w:t>
            </w:r>
          </w:p>
        </w:tc>
        <w:tc>
          <w:tcPr>
            <w:tcW w:w="850" w:type="pct"/>
            <w:shd w:val="clear" w:color="auto" w:fill="auto"/>
            <w:vAlign w:val="center"/>
          </w:tcPr>
          <w:p w14:paraId="35C07138">
            <w:pPr>
              <w:jc w:val="center"/>
              <w:rPr>
                <w:rFonts w:ascii="仿宋" w:hAnsi="仿宋" w:eastAsia="仿宋" w:cs="仿宋"/>
                <w:sz w:val="24"/>
              </w:rPr>
            </w:pPr>
            <w:r>
              <w:rPr>
                <w:rFonts w:ascii="仿宋" w:hAnsi="仿宋" w:eastAsia="仿宋" w:cs="仿宋"/>
                <w:sz w:val="24"/>
              </w:rPr>
              <w:t>否</w:t>
            </w:r>
          </w:p>
        </w:tc>
      </w:tr>
      <w:tr w14:paraId="118A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9" w:type="pct"/>
            <w:shd w:val="clear" w:color="auto" w:fill="auto"/>
            <w:vAlign w:val="center"/>
          </w:tcPr>
          <w:p w14:paraId="6FF574E9">
            <w:pPr>
              <w:widowControl/>
              <w:numPr>
                <w:ilvl w:val="0"/>
                <w:numId w:val="3"/>
              </w:numPr>
              <w:jc w:val="center"/>
              <w:textAlignment w:val="center"/>
              <w:rPr>
                <w:rFonts w:ascii="仿宋" w:hAnsi="仿宋" w:eastAsia="仿宋" w:cs="仿宋"/>
                <w:sz w:val="24"/>
              </w:rPr>
            </w:pPr>
          </w:p>
        </w:tc>
        <w:tc>
          <w:tcPr>
            <w:tcW w:w="610" w:type="pct"/>
            <w:shd w:val="clear" w:color="auto" w:fill="auto"/>
            <w:vAlign w:val="center"/>
          </w:tcPr>
          <w:p w14:paraId="2C9A354D">
            <w:pPr>
              <w:jc w:val="center"/>
              <w:rPr>
                <w:rFonts w:ascii="仿宋" w:hAnsi="仿宋" w:eastAsia="仿宋" w:cs="仿宋"/>
                <w:sz w:val="24"/>
              </w:rPr>
            </w:pPr>
            <w:r>
              <w:rPr>
                <w:rFonts w:hint="eastAsia" w:ascii="仿宋" w:hAnsi="仿宋" w:eastAsia="仿宋" w:cs="仿宋"/>
                <w:sz w:val="24"/>
              </w:rPr>
              <w:t>★</w:t>
            </w:r>
          </w:p>
        </w:tc>
        <w:tc>
          <w:tcPr>
            <w:tcW w:w="917" w:type="pct"/>
            <w:shd w:val="clear" w:color="auto" w:fill="auto"/>
            <w:vAlign w:val="center"/>
          </w:tcPr>
          <w:p w14:paraId="29E05256">
            <w:pPr>
              <w:jc w:val="left"/>
              <w:rPr>
                <w:rFonts w:ascii="仿宋" w:hAnsi="仿宋" w:eastAsia="仿宋" w:cs="仿宋"/>
                <w:sz w:val="24"/>
              </w:rPr>
            </w:pPr>
            <w:r>
              <w:rPr>
                <w:rFonts w:hint="eastAsia" w:ascii="仿宋" w:hAnsi="仿宋" w:eastAsia="仿宋" w:cs="仿宋"/>
                <w:kern w:val="0"/>
                <w:sz w:val="24"/>
                <w:szCs w:val="22"/>
              </w:rPr>
              <w:t>服务要求</w:t>
            </w:r>
          </w:p>
        </w:tc>
        <w:tc>
          <w:tcPr>
            <w:tcW w:w="2012" w:type="pct"/>
            <w:shd w:val="clear" w:color="auto" w:fill="auto"/>
            <w:vAlign w:val="bottom"/>
          </w:tcPr>
          <w:p w14:paraId="754317CE">
            <w:pPr>
              <w:widowControl/>
              <w:jc w:val="left"/>
              <w:rPr>
                <w:rFonts w:ascii="仿宋" w:hAnsi="仿宋" w:eastAsia="仿宋" w:cs="仿宋"/>
                <w:sz w:val="24"/>
              </w:rPr>
            </w:pPr>
            <w:r>
              <w:rPr>
                <w:rFonts w:hint="eastAsia" w:ascii="仿宋" w:hAnsi="仿宋" w:eastAsia="仿宋" w:cs="宋体"/>
                <w:kern w:val="0"/>
                <w:sz w:val="24"/>
              </w:rPr>
              <w:t>货物终验通过后，其质量保障服务到2027年2月15日。</w:t>
            </w:r>
          </w:p>
        </w:tc>
        <w:tc>
          <w:tcPr>
            <w:tcW w:w="850" w:type="pct"/>
            <w:shd w:val="clear" w:color="auto" w:fill="auto"/>
            <w:vAlign w:val="center"/>
          </w:tcPr>
          <w:p w14:paraId="39133E13">
            <w:pPr>
              <w:jc w:val="center"/>
              <w:rPr>
                <w:rFonts w:ascii="仿宋" w:hAnsi="仿宋" w:eastAsia="仿宋" w:cs="仿宋"/>
                <w:sz w:val="24"/>
              </w:rPr>
            </w:pPr>
            <w:r>
              <w:rPr>
                <w:rFonts w:ascii="仿宋" w:hAnsi="仿宋" w:eastAsia="仿宋" w:cs="仿宋"/>
                <w:sz w:val="24"/>
              </w:rPr>
              <w:t>否</w:t>
            </w:r>
          </w:p>
        </w:tc>
      </w:tr>
    </w:tbl>
    <w:p w14:paraId="2A7A12AA">
      <w:pPr>
        <w:numPr>
          <w:ilvl w:val="0"/>
          <w:numId w:val="2"/>
        </w:numPr>
        <w:spacing w:after="160" w:line="560" w:lineRule="exact"/>
        <w:jc w:val="left"/>
        <w:outlineLvl w:val="1"/>
        <w:rPr>
          <w:rFonts w:ascii="仿宋" w:hAnsi="仿宋" w:eastAsia="仿宋" w:cs="Times New Roman"/>
          <w:sz w:val="28"/>
          <w:szCs w:val="28"/>
        </w:rPr>
      </w:pPr>
      <w:r>
        <w:rPr>
          <w:rFonts w:hint="eastAsia" w:ascii="仿宋" w:hAnsi="仿宋" w:eastAsia="仿宋" w:cs="Times New Roman"/>
          <w:sz w:val="28"/>
          <w:szCs w:val="28"/>
        </w:rPr>
        <w:t>32GB内存条</w:t>
      </w:r>
    </w:p>
    <w:tbl>
      <w:tblPr>
        <w:tblStyle w:val="16"/>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9"/>
        <w:gridCol w:w="1020"/>
        <w:gridCol w:w="1536"/>
        <w:gridCol w:w="3374"/>
        <w:gridCol w:w="1424"/>
      </w:tblGrid>
      <w:tr w14:paraId="6F60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08" w:type="pct"/>
            <w:vAlign w:val="center"/>
          </w:tcPr>
          <w:p w14:paraId="0CE1D5FE">
            <w:pPr>
              <w:widowControl/>
              <w:jc w:val="center"/>
              <w:textAlignment w:val="center"/>
              <w:rPr>
                <w:rFonts w:ascii="仿宋" w:hAnsi="仿宋" w:eastAsia="仿宋" w:cs="仿宋"/>
                <w:b/>
                <w:kern w:val="0"/>
                <w:sz w:val="24"/>
              </w:rPr>
            </w:pPr>
            <w:r>
              <w:rPr>
                <w:rFonts w:hint="eastAsia" w:ascii="仿宋" w:hAnsi="仿宋" w:eastAsia="仿宋" w:cs="仿宋"/>
                <w:b/>
                <w:kern w:val="0"/>
                <w:sz w:val="24"/>
              </w:rPr>
              <w:t>序号</w:t>
            </w:r>
          </w:p>
        </w:tc>
        <w:tc>
          <w:tcPr>
            <w:tcW w:w="609" w:type="pct"/>
            <w:vAlign w:val="center"/>
          </w:tcPr>
          <w:p w14:paraId="63E2506A">
            <w:pPr>
              <w:widowControl/>
              <w:jc w:val="center"/>
              <w:textAlignment w:val="center"/>
              <w:rPr>
                <w:rFonts w:ascii="仿宋" w:hAnsi="仿宋" w:eastAsia="仿宋" w:cs="仿宋"/>
                <w:b/>
                <w:sz w:val="24"/>
              </w:rPr>
            </w:pPr>
            <w:r>
              <w:rPr>
                <w:rFonts w:hint="eastAsia" w:ascii="仿宋" w:hAnsi="仿宋" w:eastAsia="仿宋" w:cs="仿宋"/>
                <w:b/>
                <w:kern w:val="0"/>
                <w:sz w:val="24"/>
              </w:rPr>
              <w:t>重要性</w:t>
            </w:r>
          </w:p>
        </w:tc>
        <w:tc>
          <w:tcPr>
            <w:tcW w:w="917" w:type="pct"/>
            <w:vAlign w:val="center"/>
          </w:tcPr>
          <w:p w14:paraId="058255BE">
            <w:pPr>
              <w:widowControl/>
              <w:jc w:val="center"/>
              <w:textAlignment w:val="center"/>
              <w:rPr>
                <w:rFonts w:ascii="仿宋" w:hAnsi="仿宋" w:eastAsia="仿宋" w:cs="仿宋"/>
                <w:b/>
                <w:sz w:val="24"/>
              </w:rPr>
            </w:pPr>
            <w:r>
              <w:rPr>
                <w:rFonts w:hint="eastAsia" w:ascii="仿宋" w:hAnsi="仿宋" w:eastAsia="仿宋" w:cs="仿宋"/>
                <w:b/>
                <w:kern w:val="0"/>
                <w:sz w:val="24"/>
              </w:rPr>
              <w:t>指标项</w:t>
            </w:r>
          </w:p>
        </w:tc>
        <w:tc>
          <w:tcPr>
            <w:tcW w:w="2014" w:type="pct"/>
            <w:vAlign w:val="center"/>
          </w:tcPr>
          <w:p w14:paraId="602BCF43">
            <w:pPr>
              <w:widowControl/>
              <w:jc w:val="center"/>
              <w:textAlignment w:val="center"/>
              <w:rPr>
                <w:rFonts w:ascii="仿宋" w:hAnsi="仿宋" w:eastAsia="仿宋" w:cs="仿宋"/>
                <w:b/>
                <w:sz w:val="24"/>
              </w:rPr>
            </w:pPr>
            <w:r>
              <w:rPr>
                <w:rFonts w:hint="eastAsia" w:ascii="仿宋" w:hAnsi="仿宋" w:eastAsia="仿宋" w:cs="仿宋"/>
                <w:b/>
                <w:kern w:val="0"/>
                <w:sz w:val="24"/>
              </w:rPr>
              <w:t>指标要求</w:t>
            </w:r>
          </w:p>
        </w:tc>
        <w:tc>
          <w:tcPr>
            <w:tcW w:w="850" w:type="pct"/>
          </w:tcPr>
          <w:p w14:paraId="0942805E">
            <w:pPr>
              <w:widowControl/>
              <w:jc w:val="center"/>
              <w:textAlignment w:val="center"/>
              <w:rPr>
                <w:rFonts w:ascii="仿宋" w:hAnsi="仿宋" w:eastAsia="仿宋" w:cs="仿宋"/>
                <w:b/>
                <w:kern w:val="0"/>
                <w:sz w:val="24"/>
              </w:rPr>
            </w:pPr>
            <w:r>
              <w:rPr>
                <w:rFonts w:hint="eastAsia" w:ascii="仿宋" w:hAnsi="仿宋" w:eastAsia="仿宋" w:cs="仿宋"/>
                <w:b/>
                <w:kern w:val="0"/>
                <w:sz w:val="24"/>
              </w:rPr>
              <w:t>是否提供证明材料及方式</w:t>
            </w:r>
          </w:p>
        </w:tc>
      </w:tr>
      <w:tr w14:paraId="7009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6DDFD92D">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606AE913">
            <w:pPr>
              <w:jc w:val="center"/>
              <w:rPr>
                <w:rFonts w:ascii="仿宋" w:hAnsi="仿宋" w:eastAsia="仿宋" w:cs="仿宋"/>
                <w:sz w:val="24"/>
              </w:rPr>
            </w:pPr>
            <w:r>
              <w:rPr>
                <w:rFonts w:hint="eastAsia" w:ascii="仿宋" w:hAnsi="仿宋" w:eastAsia="仿宋" w:cs="仿宋"/>
                <w:sz w:val="24"/>
              </w:rPr>
              <w:t>★</w:t>
            </w:r>
          </w:p>
        </w:tc>
        <w:tc>
          <w:tcPr>
            <w:tcW w:w="917" w:type="pct"/>
            <w:vMerge w:val="restart"/>
            <w:shd w:val="clear" w:color="auto" w:fill="auto"/>
            <w:vAlign w:val="center"/>
          </w:tcPr>
          <w:p w14:paraId="4FE82314">
            <w:pPr>
              <w:jc w:val="left"/>
              <w:rPr>
                <w:rFonts w:ascii="仿宋" w:hAnsi="仿宋" w:eastAsia="仿宋" w:cs="仿宋"/>
                <w:sz w:val="24"/>
              </w:rPr>
            </w:pPr>
            <w:r>
              <w:rPr>
                <w:rFonts w:hint="eastAsia" w:ascii="仿宋" w:hAnsi="仿宋" w:eastAsia="仿宋" w:cs="仿宋"/>
                <w:sz w:val="24"/>
              </w:rPr>
              <w:t>硬件规格</w:t>
            </w:r>
          </w:p>
        </w:tc>
        <w:tc>
          <w:tcPr>
            <w:tcW w:w="2014" w:type="pct"/>
            <w:shd w:val="clear" w:color="auto" w:fill="auto"/>
            <w:vAlign w:val="bottom"/>
          </w:tcPr>
          <w:p w14:paraId="1CBFB099">
            <w:pPr>
              <w:widowControl/>
              <w:textAlignment w:val="bottom"/>
              <w:rPr>
                <w:rFonts w:ascii="仿宋" w:hAnsi="仿宋" w:eastAsia="仿宋" w:cs="仿宋"/>
                <w:sz w:val="24"/>
              </w:rPr>
            </w:pPr>
            <w:r>
              <w:rPr>
                <w:rFonts w:hint="eastAsia" w:ascii="仿宋" w:hAnsi="仿宋" w:eastAsia="仿宋" w:cs="仿宋"/>
                <w:color w:val="000000"/>
                <w:kern w:val="0"/>
                <w:sz w:val="24"/>
                <w:lang w:bidi="ar"/>
              </w:rPr>
              <w:t>内存规格：DDR4</w:t>
            </w:r>
          </w:p>
        </w:tc>
        <w:tc>
          <w:tcPr>
            <w:tcW w:w="850" w:type="pct"/>
            <w:shd w:val="clear" w:color="auto" w:fill="auto"/>
            <w:vAlign w:val="center"/>
          </w:tcPr>
          <w:p w14:paraId="2EBC1CB9">
            <w:pPr>
              <w:jc w:val="center"/>
              <w:rPr>
                <w:rFonts w:ascii="仿宋" w:hAnsi="仿宋" w:eastAsia="仿宋" w:cs="仿宋"/>
                <w:sz w:val="24"/>
              </w:rPr>
            </w:pPr>
            <w:r>
              <w:rPr>
                <w:rFonts w:ascii="仿宋" w:hAnsi="仿宋" w:eastAsia="仿宋" w:cs="仿宋"/>
                <w:sz w:val="24"/>
              </w:rPr>
              <w:t>否</w:t>
            </w:r>
          </w:p>
        </w:tc>
      </w:tr>
      <w:tr w14:paraId="4FB3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31458788">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3CEB72EA">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712D8196">
            <w:pPr>
              <w:jc w:val="left"/>
              <w:rPr>
                <w:rFonts w:ascii="仿宋" w:hAnsi="仿宋" w:eastAsia="仿宋" w:cs="仿宋"/>
                <w:sz w:val="24"/>
              </w:rPr>
            </w:pPr>
          </w:p>
        </w:tc>
        <w:tc>
          <w:tcPr>
            <w:tcW w:w="2014" w:type="pct"/>
            <w:shd w:val="clear" w:color="auto" w:fill="auto"/>
            <w:vAlign w:val="bottom"/>
          </w:tcPr>
          <w:p w14:paraId="0E2863CC">
            <w:pPr>
              <w:widowControl/>
              <w:textAlignment w:val="bottom"/>
              <w:rPr>
                <w:rFonts w:ascii="仿宋" w:hAnsi="仿宋" w:eastAsia="仿宋" w:cs="仿宋"/>
                <w:sz w:val="24"/>
              </w:rPr>
            </w:pPr>
            <w:r>
              <w:rPr>
                <w:rFonts w:hint="eastAsia" w:ascii="仿宋" w:hAnsi="仿宋" w:eastAsia="仿宋" w:cs="仿宋"/>
                <w:color w:val="000000"/>
                <w:kern w:val="0"/>
                <w:sz w:val="24"/>
                <w:lang w:bidi="ar"/>
              </w:rPr>
              <w:t>内存模块类型：RDIMM</w:t>
            </w:r>
          </w:p>
        </w:tc>
        <w:tc>
          <w:tcPr>
            <w:tcW w:w="850" w:type="pct"/>
          </w:tcPr>
          <w:p w14:paraId="5ABE323C">
            <w:pPr>
              <w:jc w:val="center"/>
              <w:rPr>
                <w:rFonts w:ascii="仿宋" w:hAnsi="仿宋" w:eastAsia="仿宋" w:cs="仿宋"/>
                <w:sz w:val="24"/>
              </w:rPr>
            </w:pPr>
            <w:r>
              <w:rPr>
                <w:rFonts w:ascii="仿宋" w:hAnsi="仿宋" w:eastAsia="仿宋" w:cs="仿宋"/>
                <w:sz w:val="24"/>
              </w:rPr>
              <w:t>否</w:t>
            </w:r>
          </w:p>
        </w:tc>
      </w:tr>
      <w:tr w14:paraId="62F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2D5207DD">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4566BF82">
            <w:pPr>
              <w:jc w:val="center"/>
              <w:rPr>
                <w:rFonts w:ascii="仿宋" w:hAnsi="仿宋" w:eastAsia="仿宋" w:cs="仿宋"/>
                <w:sz w:val="24"/>
              </w:rPr>
            </w:pPr>
            <w:r>
              <w:rPr>
                <w:rFonts w:hint="eastAsia" w:ascii="仿宋" w:hAnsi="仿宋" w:eastAsia="仿宋" w:cs="仿宋"/>
                <w:sz w:val="24"/>
              </w:rPr>
              <w:t>★</w:t>
            </w:r>
          </w:p>
        </w:tc>
        <w:tc>
          <w:tcPr>
            <w:tcW w:w="917" w:type="pct"/>
            <w:vMerge w:val="continue"/>
          </w:tcPr>
          <w:p w14:paraId="010E1B36">
            <w:pPr>
              <w:jc w:val="left"/>
              <w:rPr>
                <w:rFonts w:ascii="仿宋" w:hAnsi="仿宋" w:eastAsia="仿宋" w:cs="仿宋"/>
                <w:sz w:val="24"/>
              </w:rPr>
            </w:pPr>
          </w:p>
        </w:tc>
        <w:tc>
          <w:tcPr>
            <w:tcW w:w="2014" w:type="pct"/>
            <w:shd w:val="clear" w:color="auto" w:fill="auto"/>
            <w:vAlign w:val="bottom"/>
          </w:tcPr>
          <w:p w14:paraId="1AF3451A">
            <w:pPr>
              <w:widowControl/>
              <w:textAlignment w:val="bottom"/>
              <w:rPr>
                <w:rFonts w:ascii="仿宋" w:hAnsi="仿宋" w:eastAsia="仿宋" w:cs="仿宋"/>
                <w:sz w:val="24"/>
              </w:rPr>
            </w:pPr>
            <w:r>
              <w:rPr>
                <w:rFonts w:hint="eastAsia" w:ascii="仿宋" w:hAnsi="仿宋" w:eastAsia="仿宋" w:cs="仿宋"/>
                <w:color w:val="000000"/>
                <w:kern w:val="0"/>
                <w:sz w:val="24"/>
                <w:lang w:bidi="ar"/>
              </w:rPr>
              <w:t>单条内存容量：32GB</w:t>
            </w:r>
          </w:p>
        </w:tc>
        <w:tc>
          <w:tcPr>
            <w:tcW w:w="850" w:type="pct"/>
          </w:tcPr>
          <w:p w14:paraId="5B8F5DAB">
            <w:pPr>
              <w:jc w:val="center"/>
              <w:rPr>
                <w:rFonts w:ascii="仿宋" w:hAnsi="仿宋" w:eastAsia="仿宋" w:cs="仿宋"/>
                <w:sz w:val="24"/>
              </w:rPr>
            </w:pPr>
            <w:r>
              <w:rPr>
                <w:rFonts w:ascii="仿宋" w:hAnsi="仿宋" w:eastAsia="仿宋" w:cs="仿宋"/>
                <w:sz w:val="24"/>
              </w:rPr>
              <w:t>否</w:t>
            </w:r>
          </w:p>
        </w:tc>
      </w:tr>
      <w:tr w14:paraId="06EF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5AD7B695">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1407D2F7">
            <w:pPr>
              <w:jc w:val="center"/>
              <w:rPr>
                <w:rFonts w:ascii="仿宋" w:hAnsi="仿宋" w:eastAsia="仿宋" w:cs="仿宋"/>
                <w:sz w:val="24"/>
              </w:rPr>
            </w:pPr>
            <w:r>
              <w:rPr>
                <w:rFonts w:hint="eastAsia" w:ascii="仿宋" w:hAnsi="仿宋" w:eastAsia="仿宋" w:cs="仿宋"/>
                <w:sz w:val="24"/>
              </w:rPr>
              <w:t>★</w:t>
            </w:r>
          </w:p>
        </w:tc>
        <w:tc>
          <w:tcPr>
            <w:tcW w:w="917" w:type="pct"/>
            <w:vAlign w:val="center"/>
          </w:tcPr>
          <w:p w14:paraId="7923FFC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功能规格</w:t>
            </w:r>
          </w:p>
        </w:tc>
        <w:tc>
          <w:tcPr>
            <w:tcW w:w="2014" w:type="pct"/>
            <w:shd w:val="clear" w:color="auto" w:fill="auto"/>
            <w:vAlign w:val="bottom"/>
          </w:tcPr>
          <w:p w14:paraId="6196EC22">
            <w:pPr>
              <w:widowControl/>
              <w:textAlignment w:val="bottom"/>
              <w:rPr>
                <w:rFonts w:ascii="仿宋" w:hAnsi="仿宋" w:eastAsia="仿宋" w:cs="仿宋"/>
                <w:color w:val="000000"/>
                <w:sz w:val="24"/>
              </w:rPr>
            </w:pPr>
            <w:r>
              <w:rPr>
                <w:rStyle w:val="29"/>
                <w:rFonts w:hint="default"/>
                <w:lang w:bidi="ar"/>
              </w:rPr>
              <w:t>错误更正功能</w:t>
            </w:r>
            <w:r>
              <w:rPr>
                <w:rFonts w:hint="eastAsia" w:ascii="仿宋" w:hAnsi="仿宋" w:eastAsia="仿宋" w:cs="仿宋"/>
                <w:color w:val="000000"/>
                <w:kern w:val="0"/>
                <w:szCs w:val="21"/>
                <w:lang w:bidi="ar"/>
              </w:rPr>
              <w:t>：ECC</w:t>
            </w:r>
          </w:p>
        </w:tc>
        <w:tc>
          <w:tcPr>
            <w:tcW w:w="850" w:type="pct"/>
          </w:tcPr>
          <w:p w14:paraId="48DCA34F">
            <w:pPr>
              <w:jc w:val="center"/>
              <w:rPr>
                <w:rFonts w:ascii="仿宋" w:hAnsi="仿宋" w:eastAsia="仿宋" w:cs="仿宋"/>
                <w:sz w:val="24"/>
              </w:rPr>
            </w:pPr>
            <w:r>
              <w:rPr>
                <w:rFonts w:ascii="仿宋" w:hAnsi="仿宋" w:eastAsia="仿宋" w:cs="仿宋"/>
                <w:sz w:val="24"/>
              </w:rPr>
              <w:t>否</w:t>
            </w:r>
          </w:p>
        </w:tc>
      </w:tr>
      <w:tr w14:paraId="0EB0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4472C1E5">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6BCC2A2F">
            <w:pPr>
              <w:jc w:val="center"/>
              <w:rPr>
                <w:rFonts w:ascii="仿宋" w:hAnsi="仿宋" w:eastAsia="仿宋" w:cs="仿宋"/>
                <w:sz w:val="24"/>
              </w:rPr>
            </w:pPr>
            <w:r>
              <w:rPr>
                <w:rFonts w:hint="eastAsia" w:ascii="仿宋" w:hAnsi="仿宋" w:eastAsia="仿宋" w:cs="仿宋"/>
                <w:sz w:val="24"/>
              </w:rPr>
              <w:t>★</w:t>
            </w:r>
          </w:p>
        </w:tc>
        <w:tc>
          <w:tcPr>
            <w:tcW w:w="917" w:type="pct"/>
            <w:shd w:val="clear" w:color="auto" w:fill="auto"/>
            <w:vAlign w:val="center"/>
          </w:tcPr>
          <w:p w14:paraId="5A91BB8B">
            <w:pPr>
              <w:rPr>
                <w:rFonts w:ascii="仿宋" w:hAnsi="仿宋" w:eastAsia="仿宋" w:cs="仿宋"/>
                <w:sz w:val="24"/>
              </w:rPr>
            </w:pPr>
            <w:r>
              <w:rPr>
                <w:rFonts w:hint="eastAsia" w:ascii="仿宋" w:hAnsi="仿宋" w:eastAsia="仿宋" w:cs="仿宋"/>
                <w:sz w:val="24"/>
              </w:rPr>
              <w:t>性能要求</w:t>
            </w:r>
          </w:p>
        </w:tc>
        <w:tc>
          <w:tcPr>
            <w:tcW w:w="2014" w:type="pct"/>
            <w:shd w:val="clear" w:color="auto" w:fill="auto"/>
            <w:vAlign w:val="center"/>
          </w:tcPr>
          <w:p w14:paraId="501C0F50">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内存速率≥2933MT/s</w:t>
            </w:r>
          </w:p>
        </w:tc>
        <w:tc>
          <w:tcPr>
            <w:tcW w:w="850" w:type="pct"/>
            <w:shd w:val="clear" w:color="auto" w:fill="auto"/>
            <w:vAlign w:val="center"/>
          </w:tcPr>
          <w:p w14:paraId="0557F18B">
            <w:pPr>
              <w:jc w:val="center"/>
              <w:rPr>
                <w:rFonts w:ascii="仿宋" w:hAnsi="仿宋" w:eastAsia="仿宋" w:cs="仿宋"/>
                <w:sz w:val="24"/>
              </w:rPr>
            </w:pPr>
            <w:r>
              <w:rPr>
                <w:rFonts w:hint="eastAsia" w:ascii="方正仿宋_GB2312" w:hAnsi="方正仿宋_GB2312" w:eastAsia="方正仿宋_GB2312" w:cs="方正仿宋_GB2312"/>
                <w:color w:val="000000"/>
                <w:sz w:val="24"/>
              </w:rPr>
              <w:t>否</w:t>
            </w:r>
          </w:p>
        </w:tc>
      </w:tr>
      <w:tr w14:paraId="4540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6A624CEE">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78F0A0F5">
            <w:pPr>
              <w:jc w:val="center"/>
              <w:rPr>
                <w:rFonts w:ascii="仿宋" w:hAnsi="仿宋" w:eastAsia="仿宋" w:cs="仿宋"/>
                <w:sz w:val="24"/>
              </w:rPr>
            </w:pPr>
            <w:r>
              <w:rPr>
                <w:rFonts w:hint="eastAsia" w:ascii="仿宋" w:hAnsi="仿宋" w:eastAsia="仿宋" w:cs="仿宋"/>
                <w:sz w:val="24"/>
              </w:rPr>
              <w:t>★</w:t>
            </w:r>
          </w:p>
        </w:tc>
        <w:tc>
          <w:tcPr>
            <w:tcW w:w="917" w:type="pct"/>
            <w:shd w:val="clear" w:color="auto" w:fill="auto"/>
            <w:vAlign w:val="center"/>
          </w:tcPr>
          <w:p w14:paraId="496ED1B9">
            <w:pPr>
              <w:jc w:val="left"/>
              <w:rPr>
                <w:rFonts w:ascii="仿宋" w:hAnsi="仿宋" w:eastAsia="仿宋" w:cs="仿宋"/>
                <w:sz w:val="24"/>
              </w:rPr>
            </w:pPr>
            <w:r>
              <w:rPr>
                <w:rFonts w:hint="eastAsia" w:ascii="仿宋" w:hAnsi="仿宋" w:eastAsia="仿宋" w:cs="仿宋"/>
                <w:sz w:val="24"/>
              </w:rPr>
              <w:t>兼容性要求</w:t>
            </w:r>
          </w:p>
        </w:tc>
        <w:tc>
          <w:tcPr>
            <w:tcW w:w="2014" w:type="pct"/>
            <w:shd w:val="clear" w:color="auto" w:fill="auto"/>
            <w:vAlign w:val="bottom"/>
          </w:tcPr>
          <w:p w14:paraId="19BBAD02">
            <w:pPr>
              <w:widowControl/>
              <w:jc w:val="left"/>
              <w:rPr>
                <w:rFonts w:ascii="仿宋" w:hAnsi="仿宋" w:eastAsia="仿宋" w:cs="仿宋"/>
                <w:sz w:val="24"/>
              </w:rPr>
            </w:pPr>
            <w:r>
              <w:rPr>
                <w:rFonts w:hint="eastAsia" w:ascii="仿宋" w:hAnsi="仿宋" w:eastAsia="仿宋" w:cs="仿宋"/>
                <w:sz w:val="24"/>
              </w:rPr>
              <w:t>兼容中科可控H620-G30服务器</w:t>
            </w:r>
          </w:p>
        </w:tc>
        <w:tc>
          <w:tcPr>
            <w:tcW w:w="850" w:type="pct"/>
            <w:shd w:val="clear" w:color="auto" w:fill="auto"/>
            <w:vAlign w:val="center"/>
          </w:tcPr>
          <w:p w14:paraId="3286C6A4">
            <w:pPr>
              <w:jc w:val="center"/>
              <w:rPr>
                <w:rFonts w:ascii="仿宋" w:hAnsi="仿宋" w:eastAsia="仿宋" w:cs="仿宋"/>
                <w:sz w:val="24"/>
              </w:rPr>
            </w:pPr>
            <w:r>
              <w:rPr>
                <w:rFonts w:hint="eastAsia" w:ascii="方正仿宋_GB2312" w:hAnsi="方正仿宋_GB2312" w:eastAsia="方正仿宋_GB2312" w:cs="方正仿宋_GB2312"/>
                <w:color w:val="000000"/>
                <w:sz w:val="24"/>
              </w:rPr>
              <w:t>否</w:t>
            </w:r>
          </w:p>
        </w:tc>
      </w:tr>
      <w:tr w14:paraId="2DF1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608" w:type="pct"/>
            <w:shd w:val="clear" w:color="auto" w:fill="auto"/>
            <w:vAlign w:val="center"/>
          </w:tcPr>
          <w:p w14:paraId="3E399E1A">
            <w:pPr>
              <w:widowControl/>
              <w:numPr>
                <w:ilvl w:val="0"/>
                <w:numId w:val="3"/>
              </w:numPr>
              <w:jc w:val="center"/>
              <w:textAlignment w:val="center"/>
              <w:rPr>
                <w:rFonts w:ascii="仿宋" w:hAnsi="仿宋" w:eastAsia="仿宋" w:cs="仿宋"/>
                <w:sz w:val="24"/>
              </w:rPr>
            </w:pPr>
          </w:p>
        </w:tc>
        <w:tc>
          <w:tcPr>
            <w:tcW w:w="609" w:type="pct"/>
            <w:shd w:val="clear" w:color="auto" w:fill="auto"/>
            <w:vAlign w:val="center"/>
          </w:tcPr>
          <w:p w14:paraId="2BE37386">
            <w:pPr>
              <w:jc w:val="center"/>
              <w:rPr>
                <w:rFonts w:ascii="仿宋" w:hAnsi="仿宋" w:eastAsia="仿宋" w:cs="仿宋"/>
                <w:sz w:val="24"/>
              </w:rPr>
            </w:pPr>
            <w:r>
              <w:rPr>
                <w:rFonts w:hint="eastAsia" w:ascii="仿宋" w:hAnsi="仿宋" w:eastAsia="仿宋" w:cs="仿宋"/>
                <w:sz w:val="24"/>
              </w:rPr>
              <w:t>★</w:t>
            </w:r>
          </w:p>
        </w:tc>
        <w:tc>
          <w:tcPr>
            <w:tcW w:w="1536" w:type="dxa"/>
            <w:shd w:val="clear" w:color="auto" w:fill="auto"/>
            <w:vAlign w:val="center"/>
          </w:tcPr>
          <w:p w14:paraId="1CAE115E">
            <w:pPr>
              <w:jc w:val="left"/>
              <w:rPr>
                <w:rFonts w:ascii="仿宋" w:hAnsi="仿宋" w:eastAsia="仿宋" w:cs="仿宋"/>
                <w:sz w:val="24"/>
              </w:rPr>
            </w:pPr>
            <w:r>
              <w:rPr>
                <w:rFonts w:hint="eastAsia" w:ascii="仿宋" w:hAnsi="仿宋" w:eastAsia="仿宋" w:cs="仿宋"/>
                <w:kern w:val="0"/>
                <w:sz w:val="24"/>
                <w:szCs w:val="22"/>
              </w:rPr>
              <w:t>服务要求</w:t>
            </w:r>
          </w:p>
        </w:tc>
        <w:tc>
          <w:tcPr>
            <w:tcW w:w="3374" w:type="dxa"/>
            <w:shd w:val="clear" w:color="auto" w:fill="auto"/>
            <w:vAlign w:val="bottom"/>
          </w:tcPr>
          <w:p w14:paraId="58B35D81">
            <w:pPr>
              <w:widowControl/>
              <w:jc w:val="left"/>
              <w:rPr>
                <w:rFonts w:ascii="仿宋" w:hAnsi="仿宋" w:eastAsia="仿宋" w:cs="仿宋"/>
                <w:sz w:val="24"/>
              </w:rPr>
            </w:pPr>
            <w:r>
              <w:rPr>
                <w:rFonts w:hint="eastAsia" w:ascii="仿宋" w:hAnsi="仿宋" w:eastAsia="仿宋" w:cs="宋体"/>
                <w:kern w:val="0"/>
                <w:sz w:val="24"/>
              </w:rPr>
              <w:t>货物终验通过后，其质量保障服务到2027年2月15日。</w:t>
            </w:r>
          </w:p>
        </w:tc>
        <w:tc>
          <w:tcPr>
            <w:tcW w:w="850" w:type="pct"/>
            <w:shd w:val="clear" w:color="auto" w:fill="auto"/>
            <w:vAlign w:val="center"/>
          </w:tcPr>
          <w:p w14:paraId="4D32C2CC">
            <w:pPr>
              <w:jc w:val="center"/>
              <w:rPr>
                <w:rFonts w:ascii="仿宋" w:hAnsi="仿宋" w:eastAsia="仿宋" w:cs="仿宋"/>
                <w:sz w:val="24"/>
              </w:rPr>
            </w:pPr>
            <w:r>
              <w:rPr>
                <w:rFonts w:ascii="仿宋" w:hAnsi="仿宋" w:eastAsia="仿宋" w:cs="仿宋"/>
                <w:sz w:val="24"/>
              </w:rPr>
              <w:t>否</w:t>
            </w:r>
          </w:p>
        </w:tc>
      </w:tr>
    </w:tbl>
    <w:p w14:paraId="5648403F">
      <w:pPr>
        <w:pStyle w:val="2"/>
      </w:pPr>
    </w:p>
    <w:p w14:paraId="5A94CC86">
      <w:pPr>
        <w:spacing w:line="560" w:lineRule="exact"/>
        <w:ind w:firstLine="640" w:firstLineChars="200"/>
        <w:jc w:val="left"/>
        <w:outlineLvl w:val="3"/>
        <w:rPr>
          <w:rFonts w:ascii="仿宋" w:hAnsi="仿宋" w:eastAsia="仿宋"/>
          <w:sz w:val="32"/>
          <w:szCs w:val="32"/>
        </w:rPr>
      </w:pPr>
      <w:r>
        <w:rPr>
          <w:rFonts w:hint="eastAsia" w:ascii="仿宋" w:hAnsi="仿宋" w:eastAsia="仿宋"/>
          <w:sz w:val="32"/>
          <w:szCs w:val="32"/>
        </w:rPr>
        <w:t>（2）商务要求</w:t>
      </w:r>
    </w:p>
    <w:p w14:paraId="1EBDC951">
      <w:pPr>
        <w:spacing w:line="360" w:lineRule="auto"/>
        <w:ind w:firstLine="640" w:firstLineChars="200"/>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33</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5</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1</w:t>
      </w:r>
      <w:r>
        <w:rPr>
          <w:rFonts w:hint="eastAsia" w:ascii="仿宋" w:hAnsi="仿宋" w:eastAsia="仿宋"/>
          <w:iCs/>
          <w:sz w:val="32"/>
          <w:szCs w:val="32"/>
        </w:rPr>
        <w:t>项。</w:t>
      </w:r>
    </w:p>
    <w:p w14:paraId="0145923F">
      <w:pPr>
        <w:pStyle w:val="22"/>
        <w:numPr>
          <w:ilvl w:val="0"/>
          <w:numId w:val="4"/>
        </w:numPr>
        <w:spacing w:after="160" w:line="560" w:lineRule="exact"/>
        <w:ind w:left="0" w:firstLine="0"/>
        <w:outlineLvl w:val="1"/>
        <w:rPr>
          <w:sz w:val="32"/>
          <w:szCs w:val="32"/>
          <w:lang w:eastAsia="zh-CN"/>
        </w:rPr>
      </w:pPr>
      <w:r>
        <w:rPr>
          <w:rFonts w:hint="eastAsia"/>
          <w:sz w:val="32"/>
          <w:szCs w:val="32"/>
          <w:lang w:eastAsia="zh-CN"/>
        </w:rPr>
        <w:t>货物交付与到货验收要求</w:t>
      </w:r>
    </w:p>
    <w:tbl>
      <w:tblPr>
        <w:tblStyle w:val="16"/>
        <w:tblW w:w="9450" w:type="dxa"/>
        <w:jc w:val="center"/>
        <w:tblLayout w:type="autofit"/>
        <w:tblCellMar>
          <w:top w:w="0" w:type="dxa"/>
          <w:left w:w="108" w:type="dxa"/>
          <w:bottom w:w="0" w:type="dxa"/>
          <w:right w:w="108" w:type="dxa"/>
        </w:tblCellMar>
      </w:tblPr>
      <w:tblGrid>
        <w:gridCol w:w="570"/>
        <w:gridCol w:w="630"/>
        <w:gridCol w:w="1106"/>
        <w:gridCol w:w="5717"/>
        <w:gridCol w:w="1427"/>
      </w:tblGrid>
      <w:tr w14:paraId="03CA9A89">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C30CBF2">
            <w:pPr>
              <w:widowControl/>
              <w:textAlignment w:val="center"/>
              <w:rPr>
                <w:rFonts w:ascii="仿宋" w:hAnsi="仿宋" w:eastAsia="仿宋" w:cs="仿宋"/>
                <w:b/>
                <w:bCs/>
                <w:sz w:val="24"/>
              </w:rPr>
            </w:pPr>
            <w:r>
              <w:rPr>
                <w:rFonts w:hint="eastAsia" w:ascii="仿宋" w:hAnsi="仿宋" w:eastAsia="仿宋" w:cs="仿宋"/>
                <w:b/>
                <w:bCs/>
                <w:sz w:val="24"/>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1CED4013">
            <w:pPr>
              <w:widowControl/>
              <w:textAlignment w:val="center"/>
              <w:rPr>
                <w:rFonts w:ascii="仿宋" w:hAnsi="仿宋" w:eastAsia="仿宋" w:cs="仿宋"/>
                <w:b/>
                <w:bCs/>
                <w:sz w:val="24"/>
              </w:rPr>
            </w:pPr>
            <w:r>
              <w:rPr>
                <w:rFonts w:hint="eastAsia" w:ascii="仿宋" w:hAnsi="仿宋" w:eastAsia="仿宋" w:cs="仿宋"/>
                <w:b/>
                <w:bCs/>
                <w:kern w:val="0"/>
                <w:sz w:val="24"/>
                <w:lang w:bidi="ar"/>
              </w:rPr>
              <w:t>重要性</w:t>
            </w:r>
          </w:p>
        </w:tc>
        <w:tc>
          <w:tcPr>
            <w:tcW w:w="1106" w:type="dxa"/>
            <w:tcBorders>
              <w:top w:val="single" w:color="000000" w:sz="4" w:space="0"/>
              <w:left w:val="single" w:color="000000" w:sz="4" w:space="0"/>
              <w:bottom w:val="single" w:color="000000" w:sz="4" w:space="0"/>
              <w:right w:val="single" w:color="000000" w:sz="4" w:space="0"/>
            </w:tcBorders>
            <w:vAlign w:val="center"/>
          </w:tcPr>
          <w:p w14:paraId="61984C1E">
            <w:pPr>
              <w:widowControl/>
              <w:textAlignment w:val="center"/>
              <w:rPr>
                <w:rFonts w:ascii="仿宋" w:hAnsi="仿宋" w:eastAsia="仿宋" w:cs="仿宋"/>
                <w:b/>
                <w:bCs/>
                <w:sz w:val="24"/>
              </w:rPr>
            </w:pPr>
            <w:r>
              <w:rPr>
                <w:rFonts w:hint="eastAsia" w:ascii="仿宋" w:hAnsi="仿宋" w:eastAsia="仿宋" w:cs="仿宋"/>
                <w:b/>
                <w:bCs/>
                <w:kern w:val="0"/>
                <w:sz w:val="24"/>
                <w:lang w:bidi="ar"/>
              </w:rPr>
              <w:t>内容</w:t>
            </w:r>
          </w:p>
        </w:tc>
        <w:tc>
          <w:tcPr>
            <w:tcW w:w="5717" w:type="dxa"/>
            <w:tcBorders>
              <w:top w:val="single" w:color="000000" w:sz="4" w:space="0"/>
              <w:left w:val="single" w:color="000000" w:sz="4" w:space="0"/>
              <w:bottom w:val="single" w:color="000000" w:sz="4" w:space="0"/>
              <w:right w:val="single" w:color="000000" w:sz="4" w:space="0"/>
            </w:tcBorders>
            <w:vAlign w:val="center"/>
          </w:tcPr>
          <w:p w14:paraId="7E174427">
            <w:pPr>
              <w:widowControl/>
              <w:textAlignment w:val="center"/>
              <w:rPr>
                <w:rFonts w:ascii="仿宋" w:hAnsi="仿宋" w:eastAsia="仿宋" w:cs="仿宋"/>
                <w:b/>
                <w:bCs/>
                <w:sz w:val="24"/>
              </w:rPr>
            </w:pPr>
            <w:r>
              <w:rPr>
                <w:rFonts w:hint="eastAsia" w:ascii="仿宋" w:hAnsi="仿宋" w:eastAsia="仿宋" w:cs="仿宋"/>
                <w:b/>
                <w:bCs/>
                <w:kern w:val="0"/>
                <w:sz w:val="24"/>
                <w:lang w:bidi="ar"/>
              </w:rPr>
              <w:t>服务要求标准</w:t>
            </w:r>
          </w:p>
        </w:tc>
        <w:tc>
          <w:tcPr>
            <w:tcW w:w="1427" w:type="dxa"/>
            <w:tcBorders>
              <w:top w:val="single" w:color="000000" w:sz="4" w:space="0"/>
              <w:left w:val="single" w:color="000000" w:sz="4" w:space="0"/>
              <w:bottom w:val="single" w:color="000000" w:sz="4" w:space="0"/>
              <w:right w:val="single" w:color="000000" w:sz="4" w:space="0"/>
            </w:tcBorders>
            <w:vAlign w:val="center"/>
          </w:tcPr>
          <w:p w14:paraId="1276C43B">
            <w:pPr>
              <w:widowControl/>
              <w:textAlignment w:val="center"/>
              <w:rPr>
                <w:rFonts w:ascii="仿宋" w:hAnsi="仿宋" w:eastAsia="仿宋" w:cs="仿宋"/>
                <w:b/>
                <w:bCs/>
                <w:sz w:val="24"/>
              </w:rPr>
            </w:pPr>
            <w:r>
              <w:rPr>
                <w:rFonts w:hint="eastAsia" w:ascii="仿宋" w:hAnsi="仿宋" w:eastAsia="仿宋" w:cs="仿宋"/>
                <w:b/>
                <w:bCs/>
                <w:kern w:val="0"/>
                <w:sz w:val="24"/>
                <w:lang w:bidi="ar"/>
              </w:rPr>
              <w:t>是否提供证明材料及方式</w:t>
            </w:r>
          </w:p>
        </w:tc>
      </w:tr>
      <w:tr w14:paraId="53C0DFB0">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834F2F0">
            <w:pPr>
              <w:numPr>
                <w:ilvl w:val="0"/>
                <w:numId w:val="5"/>
              </w:numPr>
              <w:tabs>
                <w:tab w:val="left" w:pos="420"/>
              </w:tabs>
              <w:spacing w:after="160" w:line="278" w:lineRule="auto"/>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49FFE46">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106" w:type="dxa"/>
            <w:tcBorders>
              <w:top w:val="single" w:color="000000" w:sz="4" w:space="0"/>
              <w:left w:val="single" w:color="000000" w:sz="4" w:space="0"/>
              <w:bottom w:val="single" w:color="000000" w:sz="4" w:space="0"/>
              <w:right w:val="single" w:color="000000" w:sz="4" w:space="0"/>
            </w:tcBorders>
            <w:vAlign w:val="center"/>
          </w:tcPr>
          <w:p w14:paraId="1386FC97">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到货时间和地点要求</w:t>
            </w:r>
          </w:p>
        </w:tc>
        <w:tc>
          <w:tcPr>
            <w:tcW w:w="5717" w:type="dxa"/>
            <w:tcBorders>
              <w:top w:val="single" w:color="000000" w:sz="4" w:space="0"/>
              <w:left w:val="single" w:color="000000" w:sz="4" w:space="0"/>
              <w:bottom w:val="single" w:color="000000" w:sz="4" w:space="0"/>
              <w:right w:val="single" w:color="000000" w:sz="4" w:space="0"/>
            </w:tcBorders>
            <w:vAlign w:val="center"/>
          </w:tcPr>
          <w:p w14:paraId="611E43E0">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到货时间：中标人应在收到招标人通知后的60个日历日内，根据招标人要求完成到货；具体时间以招标人通知为准；招标人有权根据实际情况对到货安排进行调整。</w:t>
            </w:r>
          </w:p>
          <w:p w14:paraId="66A803FC">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到货地点：上海和天津两地的招标人指定场所。</w:t>
            </w:r>
          </w:p>
          <w:p w14:paraId="024E902E">
            <w:pPr>
              <w:widowControl/>
              <w:textAlignment w:val="center"/>
            </w:pPr>
            <w:r>
              <w:rPr>
                <w:rFonts w:hint="eastAsia" w:ascii="仿宋" w:hAnsi="仿宋" w:eastAsia="仿宋" w:cs="仿宋"/>
                <w:kern w:val="0"/>
                <w:sz w:val="24"/>
                <w:lang w:bidi="ar"/>
              </w:rPr>
              <w:t>中标人应按合同中规定的到货时间和地点完成所有货物的到货。</w:t>
            </w:r>
          </w:p>
        </w:tc>
        <w:tc>
          <w:tcPr>
            <w:tcW w:w="1427" w:type="dxa"/>
            <w:tcBorders>
              <w:top w:val="single" w:color="000000" w:sz="4" w:space="0"/>
              <w:left w:val="single" w:color="000000" w:sz="4" w:space="0"/>
              <w:bottom w:val="single" w:color="000000" w:sz="4" w:space="0"/>
              <w:right w:val="single" w:color="000000" w:sz="4" w:space="0"/>
            </w:tcBorders>
            <w:vAlign w:val="center"/>
          </w:tcPr>
          <w:p w14:paraId="17FD26A5">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3D612733">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CD3E91F">
            <w:pPr>
              <w:numPr>
                <w:ilvl w:val="0"/>
                <w:numId w:val="5"/>
              </w:numPr>
              <w:tabs>
                <w:tab w:val="left" w:pos="420"/>
              </w:tabs>
              <w:spacing w:after="160" w:line="278" w:lineRule="auto"/>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7F35EC9">
            <w:pPr>
              <w:widowControl/>
              <w:textAlignment w:val="center"/>
              <w:rPr>
                <w:rFonts w:ascii="仿宋" w:hAnsi="仿宋" w:eastAsia="仿宋" w:cs="仿宋"/>
                <w:sz w:val="24"/>
              </w:rPr>
            </w:pPr>
            <w:r>
              <w:rPr>
                <w:rFonts w:hint="eastAsia" w:ascii="仿宋" w:hAnsi="仿宋" w:eastAsia="仿宋" w:cs="仿宋"/>
                <w:kern w:val="0"/>
                <w:sz w:val="24"/>
                <w:lang w:bidi="ar"/>
              </w:rPr>
              <w:t>★</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339BA19">
            <w:pPr>
              <w:widowControl/>
              <w:textAlignment w:val="center"/>
              <w:rPr>
                <w:rFonts w:ascii="仿宋" w:hAnsi="仿宋" w:eastAsia="仿宋" w:cs="仿宋"/>
                <w:sz w:val="24"/>
              </w:rPr>
            </w:pPr>
            <w:r>
              <w:rPr>
                <w:rFonts w:hint="eastAsia" w:ascii="仿宋" w:hAnsi="仿宋" w:eastAsia="仿宋" w:cs="仿宋"/>
                <w:kern w:val="0"/>
                <w:sz w:val="24"/>
                <w:lang w:bidi="ar"/>
              </w:rPr>
              <w:t>硬件设备包装及运输要求</w:t>
            </w:r>
          </w:p>
        </w:tc>
        <w:tc>
          <w:tcPr>
            <w:tcW w:w="5717" w:type="dxa"/>
            <w:tcBorders>
              <w:top w:val="single" w:color="000000" w:sz="4" w:space="0"/>
              <w:left w:val="single" w:color="000000" w:sz="4" w:space="0"/>
              <w:bottom w:val="single" w:color="000000" w:sz="4" w:space="0"/>
              <w:right w:val="single" w:color="000000" w:sz="4" w:space="0"/>
            </w:tcBorders>
            <w:vAlign w:val="center"/>
          </w:tcPr>
          <w:p w14:paraId="2BAE7FC1">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标志、包装、运输和贮存，应符合以下标准的相关规定：包装应符合《商品包装政府采购需求标准（试行）》、《快递包装政府采购需求标准（试行）》要求。</w:t>
            </w:r>
          </w:p>
        </w:tc>
        <w:tc>
          <w:tcPr>
            <w:tcW w:w="1427" w:type="dxa"/>
            <w:tcBorders>
              <w:top w:val="single" w:color="000000" w:sz="4" w:space="0"/>
              <w:left w:val="single" w:color="000000" w:sz="4" w:space="0"/>
              <w:bottom w:val="single" w:color="000000" w:sz="4" w:space="0"/>
              <w:right w:val="single" w:color="000000" w:sz="4" w:space="0"/>
            </w:tcBorders>
            <w:vAlign w:val="center"/>
          </w:tcPr>
          <w:p w14:paraId="7706A336">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6121989D">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791F8ED">
            <w:pPr>
              <w:numPr>
                <w:ilvl w:val="0"/>
                <w:numId w:val="5"/>
              </w:numPr>
              <w:tabs>
                <w:tab w:val="left" w:pos="420"/>
              </w:tabs>
              <w:spacing w:after="160" w:line="278" w:lineRule="auto"/>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91540CD">
            <w:pPr>
              <w:widowControl/>
              <w:textAlignment w:val="center"/>
              <w:rPr>
                <w:rFonts w:ascii="仿宋" w:hAnsi="仿宋" w:eastAsia="仿宋" w:cs="仿宋"/>
                <w:sz w:val="24"/>
              </w:rPr>
            </w:pPr>
            <w:r>
              <w:rPr>
                <w:rFonts w:hint="eastAsia" w:ascii="仿宋" w:hAnsi="仿宋" w:eastAsia="仿宋" w:cs="仿宋"/>
                <w:kern w:val="0"/>
                <w:sz w:val="24"/>
                <w:lang w:bidi="ar"/>
              </w:rPr>
              <w:t>★</w:t>
            </w: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0F716519">
            <w:pPr>
              <w:rPr>
                <w:rFonts w:ascii="仿宋" w:hAnsi="仿宋" w:eastAsia="仿宋" w:cs="仿宋"/>
                <w:sz w:val="24"/>
              </w:rPr>
            </w:pPr>
          </w:p>
        </w:tc>
        <w:tc>
          <w:tcPr>
            <w:tcW w:w="5717" w:type="dxa"/>
            <w:tcBorders>
              <w:top w:val="single" w:color="000000" w:sz="4" w:space="0"/>
              <w:left w:val="single" w:color="000000" w:sz="4" w:space="0"/>
              <w:bottom w:val="single" w:color="000000" w:sz="4" w:space="0"/>
              <w:right w:val="single" w:color="000000" w:sz="4" w:space="0"/>
            </w:tcBorders>
            <w:vAlign w:val="center"/>
          </w:tcPr>
          <w:p w14:paraId="1F78AA2C">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中标人应提供硬件设备送达合同规定的项目现场所需要的原厂包装，以防硬件设备在运输中损坏。</w:t>
            </w:r>
          </w:p>
          <w:p w14:paraId="13321BC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中标人应以醒目的中文印刷字体在各包装箱上标明通用规范的运输标记或标志，包括但不限于项目名称、货物名称及数量等相关信息。</w:t>
            </w:r>
          </w:p>
          <w:p w14:paraId="357D17B5">
            <w:pPr>
              <w:widowControl/>
              <w:textAlignment w:val="center"/>
              <w:rPr>
                <w:rFonts w:ascii="仿宋" w:hAnsi="仿宋" w:eastAsia="仿宋" w:cs="仿宋"/>
                <w:sz w:val="24"/>
              </w:rPr>
            </w:pPr>
            <w:r>
              <w:rPr>
                <w:rFonts w:hint="eastAsia" w:ascii="仿宋" w:hAnsi="仿宋" w:eastAsia="仿宋" w:cs="仿宋"/>
                <w:kern w:val="0"/>
                <w:sz w:val="24"/>
                <w:lang w:bidi="ar"/>
              </w:rPr>
              <w:t>中标人应对包装箱内每件辅件进行标签，标明“备件”或“工具”及具体名称。</w:t>
            </w:r>
          </w:p>
        </w:tc>
        <w:tc>
          <w:tcPr>
            <w:tcW w:w="1427" w:type="dxa"/>
            <w:tcBorders>
              <w:top w:val="single" w:color="000000" w:sz="4" w:space="0"/>
              <w:left w:val="single" w:color="000000" w:sz="4" w:space="0"/>
              <w:bottom w:val="single" w:color="000000" w:sz="4" w:space="0"/>
              <w:right w:val="single" w:color="000000" w:sz="4" w:space="0"/>
            </w:tcBorders>
            <w:vAlign w:val="center"/>
          </w:tcPr>
          <w:p w14:paraId="5C0A6227">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127184F0">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15E4B62">
            <w:pPr>
              <w:numPr>
                <w:ilvl w:val="0"/>
                <w:numId w:val="5"/>
              </w:numPr>
              <w:tabs>
                <w:tab w:val="left" w:pos="420"/>
              </w:tabs>
              <w:spacing w:after="160" w:line="278" w:lineRule="auto"/>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C6A4A69">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5925D914">
            <w:pPr>
              <w:rPr>
                <w:rFonts w:ascii="仿宋" w:hAnsi="仿宋" w:eastAsia="仿宋" w:cs="仿宋"/>
                <w:sz w:val="24"/>
              </w:rPr>
            </w:pPr>
          </w:p>
        </w:tc>
        <w:tc>
          <w:tcPr>
            <w:tcW w:w="5717" w:type="dxa"/>
            <w:tcBorders>
              <w:top w:val="single" w:color="000000" w:sz="4" w:space="0"/>
              <w:left w:val="single" w:color="000000" w:sz="4" w:space="0"/>
              <w:bottom w:val="single" w:color="000000" w:sz="4" w:space="0"/>
              <w:right w:val="single" w:color="000000" w:sz="4" w:space="0"/>
            </w:tcBorders>
            <w:vAlign w:val="center"/>
          </w:tcPr>
          <w:p w14:paraId="7479E34D">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中标人负责所有硬件设备的仓储及运输，所需的包装费、运费、保险费、商检费、搬运费等费用应包含在投标总价中。</w:t>
            </w:r>
          </w:p>
        </w:tc>
        <w:tc>
          <w:tcPr>
            <w:tcW w:w="1427" w:type="dxa"/>
            <w:tcBorders>
              <w:top w:val="single" w:color="000000" w:sz="4" w:space="0"/>
              <w:left w:val="single" w:color="000000" w:sz="4" w:space="0"/>
              <w:bottom w:val="single" w:color="000000" w:sz="4" w:space="0"/>
              <w:right w:val="single" w:color="000000" w:sz="4" w:space="0"/>
            </w:tcBorders>
            <w:vAlign w:val="center"/>
          </w:tcPr>
          <w:p w14:paraId="095D7E0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25568618">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auto" w:sz="4" w:space="0"/>
            </w:tcBorders>
            <w:vAlign w:val="center"/>
          </w:tcPr>
          <w:p w14:paraId="48CF4A37">
            <w:pPr>
              <w:numPr>
                <w:ilvl w:val="0"/>
                <w:numId w:val="5"/>
              </w:numPr>
              <w:tabs>
                <w:tab w:val="left" w:pos="420"/>
              </w:tabs>
              <w:spacing w:after="160" w:line="278" w:lineRule="auto"/>
              <w:rPr>
                <w:rFonts w:ascii="仿宋" w:hAnsi="仿宋" w:eastAsia="仿宋" w:cs="仿宋"/>
                <w:sz w:val="24"/>
              </w:rPr>
            </w:pPr>
          </w:p>
        </w:tc>
        <w:tc>
          <w:tcPr>
            <w:tcW w:w="630" w:type="dxa"/>
            <w:tcBorders>
              <w:top w:val="single" w:color="auto" w:sz="4" w:space="0"/>
              <w:left w:val="single" w:color="auto" w:sz="4" w:space="0"/>
              <w:bottom w:val="single" w:color="auto" w:sz="4" w:space="0"/>
              <w:right w:val="single" w:color="auto" w:sz="4" w:space="0"/>
            </w:tcBorders>
            <w:vAlign w:val="center"/>
          </w:tcPr>
          <w:p w14:paraId="7A376AB5">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restart"/>
            <w:tcBorders>
              <w:top w:val="single" w:color="auto" w:sz="4" w:space="0"/>
              <w:left w:val="single" w:color="auto" w:sz="4" w:space="0"/>
              <w:bottom w:val="single" w:color="auto" w:sz="4" w:space="0"/>
              <w:right w:val="single" w:color="auto" w:sz="4" w:space="0"/>
            </w:tcBorders>
            <w:vAlign w:val="center"/>
          </w:tcPr>
          <w:p w14:paraId="20CDA54D">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硬件设备交付要求</w:t>
            </w:r>
          </w:p>
        </w:tc>
        <w:tc>
          <w:tcPr>
            <w:tcW w:w="5717" w:type="dxa"/>
            <w:tcBorders>
              <w:top w:val="single" w:color="000000" w:sz="4" w:space="0"/>
              <w:left w:val="single" w:color="auto" w:sz="4" w:space="0"/>
              <w:bottom w:val="single" w:color="000000" w:sz="4" w:space="0"/>
              <w:right w:val="single" w:color="000000" w:sz="4" w:space="0"/>
            </w:tcBorders>
            <w:vAlign w:val="center"/>
          </w:tcPr>
          <w:p w14:paraId="1C509917">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中标人提供的设备（包括零部件）应是交付前六个月内生产且未被使用过的全新设备。</w:t>
            </w:r>
          </w:p>
        </w:tc>
        <w:tc>
          <w:tcPr>
            <w:tcW w:w="1427" w:type="dxa"/>
            <w:tcBorders>
              <w:top w:val="single" w:color="000000" w:sz="4" w:space="0"/>
              <w:left w:val="single" w:color="000000" w:sz="4" w:space="0"/>
              <w:bottom w:val="single" w:color="000000" w:sz="4" w:space="0"/>
              <w:right w:val="single" w:color="000000" w:sz="4" w:space="0"/>
            </w:tcBorders>
            <w:vAlign w:val="center"/>
          </w:tcPr>
          <w:p w14:paraId="576B4643">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7BB3C9F8">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auto" w:sz="4" w:space="0"/>
            </w:tcBorders>
            <w:vAlign w:val="center"/>
          </w:tcPr>
          <w:p w14:paraId="143F7DBE">
            <w:pPr>
              <w:numPr>
                <w:ilvl w:val="0"/>
                <w:numId w:val="5"/>
              </w:numPr>
              <w:tabs>
                <w:tab w:val="left" w:pos="420"/>
              </w:tabs>
              <w:spacing w:after="160" w:line="278" w:lineRule="auto"/>
              <w:rPr>
                <w:rFonts w:ascii="仿宋" w:hAnsi="仿宋" w:eastAsia="仿宋" w:cs="仿宋"/>
                <w:sz w:val="24"/>
              </w:rPr>
            </w:pPr>
          </w:p>
        </w:tc>
        <w:tc>
          <w:tcPr>
            <w:tcW w:w="630" w:type="dxa"/>
            <w:tcBorders>
              <w:top w:val="single" w:color="auto" w:sz="4" w:space="0"/>
              <w:left w:val="single" w:color="auto" w:sz="4" w:space="0"/>
              <w:bottom w:val="single" w:color="auto" w:sz="4" w:space="0"/>
              <w:right w:val="single" w:color="auto" w:sz="4" w:space="0"/>
            </w:tcBorders>
            <w:vAlign w:val="center"/>
          </w:tcPr>
          <w:p w14:paraId="717DD61A">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2C87C4A1">
            <w:pPr>
              <w:widowControl/>
              <w:textAlignment w:val="center"/>
              <w:rPr>
                <w:rFonts w:ascii="仿宋" w:hAnsi="仿宋" w:eastAsia="仿宋" w:cs="仿宋"/>
                <w:kern w:val="0"/>
                <w:sz w:val="24"/>
                <w:lang w:bidi="ar"/>
              </w:rPr>
            </w:pPr>
          </w:p>
        </w:tc>
        <w:tc>
          <w:tcPr>
            <w:tcW w:w="5717" w:type="dxa"/>
            <w:tcBorders>
              <w:top w:val="single" w:color="000000" w:sz="4" w:space="0"/>
              <w:left w:val="single" w:color="auto" w:sz="4" w:space="0"/>
              <w:bottom w:val="single" w:color="000000" w:sz="4" w:space="0"/>
              <w:right w:val="single" w:color="000000" w:sz="4" w:space="0"/>
            </w:tcBorders>
            <w:vAlign w:val="center"/>
          </w:tcPr>
          <w:p w14:paraId="35EC1477">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中标人所交付的货物除招标要求的硬件设备外，还应包括货物单及其它应当随箱的技术资料，如操作手册、维修指南等。</w:t>
            </w:r>
          </w:p>
        </w:tc>
        <w:tc>
          <w:tcPr>
            <w:tcW w:w="1427" w:type="dxa"/>
            <w:tcBorders>
              <w:top w:val="single" w:color="000000" w:sz="4" w:space="0"/>
              <w:left w:val="single" w:color="000000" w:sz="4" w:space="0"/>
              <w:bottom w:val="single" w:color="000000" w:sz="4" w:space="0"/>
              <w:right w:val="single" w:color="000000" w:sz="4" w:space="0"/>
            </w:tcBorders>
            <w:vAlign w:val="center"/>
          </w:tcPr>
          <w:p w14:paraId="39F0016B">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7FD910DD">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38F2914">
            <w:pPr>
              <w:numPr>
                <w:ilvl w:val="0"/>
                <w:numId w:val="5"/>
              </w:numPr>
              <w:tabs>
                <w:tab w:val="left" w:pos="420"/>
              </w:tabs>
              <w:spacing w:after="160" w:line="278" w:lineRule="auto"/>
              <w:rPr>
                <w:rFonts w:ascii="仿宋" w:hAnsi="仿宋" w:eastAsia="仿宋" w:cs="仿宋"/>
                <w:sz w:val="24"/>
              </w:rPr>
            </w:pPr>
          </w:p>
        </w:tc>
        <w:tc>
          <w:tcPr>
            <w:tcW w:w="630" w:type="dxa"/>
            <w:tcBorders>
              <w:top w:val="single" w:color="auto" w:sz="4" w:space="0"/>
              <w:left w:val="single" w:color="000000" w:sz="4" w:space="0"/>
              <w:bottom w:val="single" w:color="000000" w:sz="4" w:space="0"/>
              <w:right w:val="single" w:color="000000" w:sz="4" w:space="0"/>
            </w:tcBorders>
            <w:vAlign w:val="center"/>
          </w:tcPr>
          <w:p w14:paraId="34D1B559">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continue"/>
            <w:tcBorders>
              <w:top w:val="single" w:color="auto" w:sz="4" w:space="0"/>
              <w:left w:val="single" w:color="000000" w:sz="4" w:space="0"/>
              <w:bottom w:val="single" w:color="000000" w:sz="4" w:space="0"/>
              <w:right w:val="single" w:color="auto" w:sz="4" w:space="0"/>
            </w:tcBorders>
            <w:vAlign w:val="center"/>
          </w:tcPr>
          <w:p w14:paraId="2F8219C6">
            <w:pPr>
              <w:widowControl/>
              <w:textAlignment w:val="center"/>
              <w:rPr>
                <w:rFonts w:ascii="仿宋" w:hAnsi="仿宋" w:eastAsia="仿宋" w:cs="仿宋"/>
                <w:kern w:val="0"/>
                <w:sz w:val="24"/>
                <w:lang w:bidi="ar"/>
              </w:rPr>
            </w:pPr>
          </w:p>
        </w:tc>
        <w:tc>
          <w:tcPr>
            <w:tcW w:w="5717" w:type="dxa"/>
            <w:tcBorders>
              <w:top w:val="single" w:color="000000" w:sz="4" w:space="0"/>
              <w:left w:val="single" w:color="auto" w:sz="4" w:space="0"/>
              <w:bottom w:val="single" w:color="auto" w:sz="4" w:space="0"/>
              <w:right w:val="single" w:color="000000" w:sz="4" w:space="0"/>
            </w:tcBorders>
            <w:vAlign w:val="center"/>
          </w:tcPr>
          <w:p w14:paraId="7ADD119E">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中标人必须提供中标产品的完整MIB库文件，并向招标人提供完整的MIB库OID说明文档，文档内应详细描述包括MIB库中OID以及映射关系的说明。</w:t>
            </w:r>
          </w:p>
        </w:tc>
        <w:tc>
          <w:tcPr>
            <w:tcW w:w="1427" w:type="dxa"/>
            <w:tcBorders>
              <w:top w:val="single" w:color="000000" w:sz="4" w:space="0"/>
              <w:left w:val="single" w:color="000000" w:sz="4" w:space="0"/>
              <w:bottom w:val="single" w:color="000000" w:sz="4" w:space="0"/>
              <w:right w:val="single" w:color="000000" w:sz="4" w:space="0"/>
            </w:tcBorders>
            <w:vAlign w:val="center"/>
          </w:tcPr>
          <w:p w14:paraId="0D98ED3A">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00BD8E06">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7C0495B">
            <w:pPr>
              <w:numPr>
                <w:ilvl w:val="0"/>
                <w:numId w:val="5"/>
              </w:numPr>
              <w:tabs>
                <w:tab w:val="left" w:pos="420"/>
              </w:tabs>
              <w:spacing w:after="160" w:line="278" w:lineRule="auto"/>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61737B2">
            <w:pPr>
              <w:widowControl/>
              <w:textAlignment w:val="center"/>
              <w:rPr>
                <w:rFonts w:ascii="仿宋" w:hAnsi="仿宋" w:eastAsia="仿宋" w:cs="仿宋"/>
                <w:sz w:val="24"/>
              </w:rPr>
            </w:pPr>
            <w:r>
              <w:rPr>
                <w:rFonts w:hint="eastAsia" w:ascii="仿宋" w:hAnsi="仿宋" w:eastAsia="仿宋" w:cs="仿宋"/>
                <w:kern w:val="0"/>
                <w:sz w:val="24"/>
                <w:lang w:bidi="ar"/>
              </w:rPr>
              <w:t>★</w:t>
            </w:r>
          </w:p>
        </w:tc>
        <w:tc>
          <w:tcPr>
            <w:tcW w:w="1106" w:type="dxa"/>
            <w:tcBorders>
              <w:top w:val="single" w:color="000000" w:sz="4" w:space="0"/>
              <w:left w:val="single" w:color="000000" w:sz="4" w:space="0"/>
              <w:bottom w:val="single" w:color="000000" w:sz="4" w:space="0"/>
              <w:right w:val="single" w:color="000000" w:sz="4" w:space="0"/>
            </w:tcBorders>
            <w:vAlign w:val="center"/>
          </w:tcPr>
          <w:p w14:paraId="725EEEC8">
            <w:pPr>
              <w:widowControl/>
              <w:textAlignment w:val="center"/>
              <w:rPr>
                <w:rFonts w:ascii="仿宋" w:hAnsi="仿宋" w:eastAsia="仿宋" w:cs="仿宋"/>
                <w:sz w:val="24"/>
              </w:rPr>
            </w:pPr>
            <w:r>
              <w:rPr>
                <w:rFonts w:hint="eastAsia" w:ascii="仿宋" w:hAnsi="仿宋" w:eastAsia="仿宋" w:cs="仿宋"/>
                <w:kern w:val="0"/>
                <w:sz w:val="24"/>
                <w:lang w:bidi="ar"/>
              </w:rPr>
              <w:t>货物到货验收要求</w:t>
            </w:r>
          </w:p>
        </w:tc>
        <w:tc>
          <w:tcPr>
            <w:tcW w:w="5717" w:type="dxa"/>
            <w:tcBorders>
              <w:top w:val="single" w:color="auto" w:sz="4" w:space="0"/>
              <w:left w:val="single" w:color="000000" w:sz="4" w:space="0"/>
              <w:bottom w:val="single" w:color="000000" w:sz="4" w:space="0"/>
              <w:right w:val="single" w:color="000000" w:sz="4" w:space="0"/>
            </w:tcBorders>
            <w:vAlign w:val="center"/>
          </w:tcPr>
          <w:p w14:paraId="51A34A9F">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货物到货后，由招标人依合同文件要求对所供全部设备的型号、规格、数量、外形、包装、资料、文件组织到货验收。</w:t>
            </w:r>
          </w:p>
          <w:p w14:paraId="456AE8E4">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若验收过程中发现问题，由中标人负责免费解决，招标人保留退货及索赔权利。对于外形或部件损坏的硬件设备，中标人必须免费更换新的产品，不接受货物维修。</w:t>
            </w:r>
          </w:p>
          <w:p w14:paraId="548E9D4B">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货物验收合格后，由招标人开具到货验收的《合同验收单》，双方签字盖章。</w:t>
            </w:r>
          </w:p>
        </w:tc>
        <w:tc>
          <w:tcPr>
            <w:tcW w:w="1427" w:type="dxa"/>
            <w:tcBorders>
              <w:top w:val="single" w:color="000000" w:sz="4" w:space="0"/>
              <w:left w:val="single" w:color="000000" w:sz="4" w:space="0"/>
              <w:bottom w:val="single" w:color="000000" w:sz="4" w:space="0"/>
              <w:right w:val="single" w:color="000000" w:sz="4" w:space="0"/>
            </w:tcBorders>
            <w:vAlign w:val="center"/>
          </w:tcPr>
          <w:p w14:paraId="56375B04">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1F1370D4">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40B8181">
            <w:pPr>
              <w:numPr>
                <w:ilvl w:val="0"/>
                <w:numId w:val="5"/>
              </w:numPr>
              <w:tabs>
                <w:tab w:val="left" w:pos="420"/>
              </w:tabs>
              <w:spacing w:after="160" w:line="278" w:lineRule="auto"/>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auto" w:sz="4" w:space="0"/>
            </w:tcBorders>
            <w:vAlign w:val="center"/>
          </w:tcPr>
          <w:p w14:paraId="0EACBAA1">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106" w:type="dxa"/>
            <w:tcBorders>
              <w:top w:val="single" w:color="auto" w:sz="4" w:space="0"/>
              <w:left w:val="single" w:color="auto" w:sz="4" w:space="0"/>
              <w:bottom w:val="single" w:color="auto" w:sz="4" w:space="0"/>
              <w:right w:val="single" w:color="auto" w:sz="4" w:space="0"/>
            </w:tcBorders>
            <w:vAlign w:val="center"/>
          </w:tcPr>
          <w:p w14:paraId="57C081F6">
            <w:pPr>
              <w:rPr>
                <w:rFonts w:ascii="仿宋" w:hAnsi="仿宋" w:eastAsia="仿宋" w:cs="仿宋"/>
                <w:sz w:val="24"/>
              </w:rPr>
            </w:pPr>
            <w:r>
              <w:rPr>
                <w:rFonts w:hint="eastAsia" w:ascii="仿宋" w:hAnsi="仿宋" w:eastAsia="仿宋" w:cs="仿宋"/>
                <w:sz w:val="24"/>
              </w:rPr>
              <w:t>硬件设备到货验收标准</w:t>
            </w:r>
          </w:p>
        </w:tc>
        <w:tc>
          <w:tcPr>
            <w:tcW w:w="5717" w:type="dxa"/>
            <w:tcBorders>
              <w:top w:val="single" w:color="auto" w:sz="4" w:space="0"/>
              <w:left w:val="single" w:color="auto" w:sz="4" w:space="0"/>
              <w:bottom w:val="single" w:color="auto" w:sz="4" w:space="0"/>
              <w:right w:val="single" w:color="auto" w:sz="4" w:space="0"/>
            </w:tcBorders>
            <w:vAlign w:val="center"/>
          </w:tcPr>
          <w:p w14:paraId="44A38F31">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到货验收合格必须至少满足以下要求：</w:t>
            </w:r>
            <w:r>
              <w:rPr>
                <w:rFonts w:ascii="仿宋" w:hAnsi="仿宋" w:eastAsia="仿宋" w:cs="仿宋"/>
                <w:kern w:val="0"/>
                <w:sz w:val="24"/>
                <w:lang w:bidi="ar"/>
              </w:rPr>
              <w:br w:type="textWrapping"/>
            </w:r>
            <w:r>
              <w:rPr>
                <w:rFonts w:ascii="仿宋" w:hAnsi="仿宋" w:eastAsia="仿宋" w:cs="仿宋"/>
                <w:kern w:val="0"/>
                <w:sz w:val="24"/>
                <w:lang w:bidi="ar"/>
              </w:rPr>
              <w:t>1.</w:t>
            </w:r>
            <w:r>
              <w:rPr>
                <w:rFonts w:hint="eastAsia" w:ascii="仿宋" w:hAnsi="仿宋" w:eastAsia="仿宋" w:cs="仿宋"/>
                <w:kern w:val="0"/>
                <w:sz w:val="24"/>
                <w:lang w:bidi="ar"/>
              </w:rPr>
              <w:t>货物开箱后,目测产品外形无损伤；</w:t>
            </w:r>
            <w:r>
              <w:rPr>
                <w:rFonts w:ascii="仿宋" w:hAnsi="仿宋" w:eastAsia="仿宋" w:cs="仿宋"/>
                <w:kern w:val="0"/>
                <w:sz w:val="24"/>
                <w:lang w:bidi="ar"/>
              </w:rPr>
              <w:br w:type="textWrapping"/>
            </w:r>
            <w:r>
              <w:rPr>
                <w:rFonts w:ascii="仿宋" w:hAnsi="仿宋" w:eastAsia="仿宋" w:cs="仿宋"/>
                <w:kern w:val="0"/>
                <w:sz w:val="24"/>
                <w:lang w:bidi="ar"/>
              </w:rPr>
              <w:t>2.</w:t>
            </w:r>
            <w:r>
              <w:rPr>
                <w:rFonts w:hint="eastAsia" w:ascii="仿宋" w:hAnsi="仿宋" w:eastAsia="仿宋" w:cs="仿宋"/>
                <w:kern w:val="0"/>
                <w:sz w:val="24"/>
                <w:lang w:bidi="ar"/>
              </w:rPr>
              <w:t>交付货物的型号、数量以及相关配件与合同文件一致；</w:t>
            </w:r>
            <w:r>
              <w:rPr>
                <w:rFonts w:ascii="仿宋" w:hAnsi="仿宋" w:eastAsia="仿宋" w:cs="仿宋"/>
                <w:kern w:val="0"/>
                <w:sz w:val="24"/>
                <w:lang w:bidi="ar"/>
              </w:rPr>
              <w:br w:type="textWrapping"/>
            </w:r>
            <w:r>
              <w:rPr>
                <w:rFonts w:ascii="仿宋" w:hAnsi="仿宋" w:eastAsia="仿宋" w:cs="仿宋"/>
                <w:kern w:val="0"/>
                <w:sz w:val="24"/>
                <w:lang w:bidi="ar"/>
              </w:rPr>
              <w:t>3</w:t>
            </w:r>
            <w:r>
              <w:rPr>
                <w:rFonts w:hint="eastAsia" w:ascii="仿宋" w:hAnsi="仿宋" w:eastAsia="仿宋" w:cs="仿宋"/>
                <w:kern w:val="0"/>
                <w:sz w:val="24"/>
                <w:lang w:bidi="ar"/>
              </w:rPr>
              <w:t>.设备加电后能正常开机，每个部件运行正常无告警。</w:t>
            </w:r>
          </w:p>
          <w:p w14:paraId="519D804C">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4.中标人向招标人提交了制造商出具的包含以下内容的承诺书（要求加盖制造商公章）：</w:t>
            </w:r>
          </w:p>
          <w:p w14:paraId="29272D42">
            <w:pPr>
              <w:widowControl/>
              <w:textAlignment w:val="center"/>
            </w:pPr>
            <w:r>
              <w:rPr>
                <w:rFonts w:hint="eastAsia" w:ascii="仿宋" w:hAnsi="仿宋" w:eastAsia="仿宋" w:cs="仿宋"/>
                <w:kern w:val="0"/>
                <w:sz w:val="24"/>
                <w:shd w:val="clear" w:color="auto" w:fill="FFFFFF"/>
                <w:lang w:bidi="ar"/>
              </w:rPr>
              <w:t>制造商承诺，确保产品的部件在产品服务周期内稳定供货。</w:t>
            </w:r>
          </w:p>
        </w:tc>
        <w:tc>
          <w:tcPr>
            <w:tcW w:w="1427" w:type="dxa"/>
            <w:tcBorders>
              <w:top w:val="single" w:color="000000" w:sz="4" w:space="0"/>
              <w:left w:val="single" w:color="auto" w:sz="4" w:space="0"/>
              <w:bottom w:val="single" w:color="000000" w:sz="4" w:space="0"/>
              <w:right w:val="single" w:color="000000" w:sz="4" w:space="0"/>
            </w:tcBorders>
            <w:vAlign w:val="center"/>
          </w:tcPr>
          <w:p w14:paraId="0B9920C1">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bl>
    <w:p w14:paraId="737B4EBC">
      <w:pPr>
        <w:pStyle w:val="22"/>
        <w:numPr>
          <w:ilvl w:val="0"/>
          <w:numId w:val="4"/>
        </w:numPr>
        <w:spacing w:after="160" w:line="560" w:lineRule="exact"/>
        <w:ind w:left="0" w:firstLine="0"/>
        <w:outlineLvl w:val="1"/>
        <w:rPr>
          <w:sz w:val="32"/>
          <w:szCs w:val="32"/>
          <w:lang w:eastAsia="zh-CN"/>
        </w:rPr>
      </w:pPr>
      <w:r>
        <w:rPr>
          <w:rFonts w:hint="eastAsia"/>
          <w:sz w:val="32"/>
          <w:szCs w:val="32"/>
          <w:lang w:eastAsia="zh-CN"/>
        </w:rPr>
        <w:t>安装实施与初步验收要求</w:t>
      </w:r>
    </w:p>
    <w:tbl>
      <w:tblPr>
        <w:tblStyle w:val="16"/>
        <w:tblW w:w="9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9"/>
        <w:gridCol w:w="629"/>
        <w:gridCol w:w="1048"/>
        <w:gridCol w:w="6062"/>
        <w:gridCol w:w="1164"/>
      </w:tblGrid>
      <w:tr w14:paraId="436E6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2C115C45">
            <w:pPr>
              <w:widowControl/>
              <w:textAlignment w:val="center"/>
              <w:rPr>
                <w:b/>
                <w:bCs/>
                <w:sz w:val="24"/>
                <w:lang w:bidi="ar"/>
              </w:rPr>
            </w:pPr>
            <w:r>
              <w:rPr>
                <w:rFonts w:hint="eastAsia" w:ascii="仿宋" w:hAnsi="仿宋" w:eastAsia="仿宋" w:cs="仿宋"/>
                <w:b/>
                <w:bCs/>
                <w:kern w:val="0"/>
                <w:sz w:val="24"/>
                <w:lang w:bidi="ar"/>
              </w:rPr>
              <w:t>序号</w:t>
            </w:r>
          </w:p>
        </w:tc>
        <w:tc>
          <w:tcPr>
            <w:tcW w:w="629" w:type="dxa"/>
            <w:vAlign w:val="center"/>
          </w:tcPr>
          <w:p w14:paraId="4108D777">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重要性</w:t>
            </w:r>
          </w:p>
        </w:tc>
        <w:tc>
          <w:tcPr>
            <w:tcW w:w="1048" w:type="dxa"/>
            <w:vAlign w:val="center"/>
          </w:tcPr>
          <w:p w14:paraId="7B82E120">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内容</w:t>
            </w:r>
          </w:p>
        </w:tc>
        <w:tc>
          <w:tcPr>
            <w:tcW w:w="6062" w:type="dxa"/>
            <w:vAlign w:val="center"/>
          </w:tcPr>
          <w:p w14:paraId="6A5DE03C">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服务要求标准</w:t>
            </w:r>
          </w:p>
        </w:tc>
        <w:tc>
          <w:tcPr>
            <w:tcW w:w="1164" w:type="dxa"/>
            <w:vAlign w:val="center"/>
          </w:tcPr>
          <w:p w14:paraId="235E2DD2">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是否提供证明材料及方式</w:t>
            </w:r>
          </w:p>
        </w:tc>
      </w:tr>
      <w:tr w14:paraId="4C78C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5C7405E0">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55F7251A">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048" w:type="dxa"/>
            <w:vAlign w:val="center"/>
          </w:tcPr>
          <w:p w14:paraId="057021AE">
            <w:pPr>
              <w:widowControl/>
              <w:textAlignment w:val="center"/>
              <w:rPr>
                <w:rFonts w:ascii="仿宋" w:hAnsi="仿宋" w:eastAsia="仿宋" w:cs="仿宋"/>
                <w:sz w:val="24"/>
              </w:rPr>
            </w:pPr>
            <w:r>
              <w:rPr>
                <w:rFonts w:hint="eastAsia" w:ascii="仿宋" w:hAnsi="仿宋" w:eastAsia="仿宋" w:cs="仿宋"/>
                <w:kern w:val="0"/>
                <w:sz w:val="24"/>
                <w:lang w:bidi="ar"/>
              </w:rPr>
              <w:t>安装实施整体要求</w:t>
            </w:r>
          </w:p>
        </w:tc>
        <w:tc>
          <w:tcPr>
            <w:tcW w:w="6062" w:type="dxa"/>
            <w:vAlign w:val="center"/>
          </w:tcPr>
          <w:p w14:paraId="45E69765">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1.中标人应会同原厂商按照招标人要求完成网络布线以及设备上架、网络接入调试、与上层软件联调测试等硬件安装调试工作，确保本项目所采购的硬件设备以及构建于其上的软件系统能够正常运行。</w:t>
            </w:r>
          </w:p>
          <w:p w14:paraId="706679A8">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2.安装实施过程中所需的通信线缆、电缆、接头、配件等一应辅助材料由中标人提供，招标人不再支付任何费用。</w:t>
            </w:r>
          </w:p>
          <w:p w14:paraId="394D59BA">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3.安装实施过程中所需的工具由中标人自行准备，招标人不再支付任何费用。</w:t>
            </w:r>
          </w:p>
        </w:tc>
        <w:tc>
          <w:tcPr>
            <w:tcW w:w="1164" w:type="dxa"/>
            <w:vAlign w:val="center"/>
          </w:tcPr>
          <w:p w14:paraId="45BA5D06">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4756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08C8E6FD">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29BA7AC9">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Align w:val="center"/>
          </w:tcPr>
          <w:p w14:paraId="0B6E1B9A">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网络布线要求</w:t>
            </w:r>
          </w:p>
        </w:tc>
        <w:tc>
          <w:tcPr>
            <w:tcW w:w="6062" w:type="dxa"/>
            <w:vAlign w:val="center"/>
          </w:tcPr>
          <w:p w14:paraId="54762C6A">
            <w:pPr>
              <w:pStyle w:val="6"/>
              <w:widowControl/>
              <w:textAlignment w:val="center"/>
              <w:rPr>
                <w:rFonts w:ascii="仿宋" w:hAnsi="仿宋" w:eastAsia="仿宋" w:cs="仿宋"/>
                <w:sz w:val="24"/>
              </w:rPr>
            </w:pPr>
            <w:r>
              <w:rPr>
                <w:rFonts w:hint="eastAsia" w:ascii="仿宋" w:hAnsi="仿宋" w:eastAsia="仿宋" w:cs="仿宋"/>
                <w:sz w:val="24"/>
              </w:rPr>
              <w:t>1.中标人应在合同签订后15个日历日内完成现场勘察和布线方案制定，其中布线方案须通过招标人评审；并在货物到货前完成线缆到货及标签准备等工作。</w:t>
            </w:r>
          </w:p>
          <w:p w14:paraId="353FA3E2">
            <w:pPr>
              <w:pStyle w:val="6"/>
              <w:widowControl/>
              <w:textAlignment w:val="center"/>
              <w:rPr>
                <w:rFonts w:ascii="仿宋" w:hAnsi="仿宋" w:eastAsia="仿宋" w:cs="仿宋"/>
                <w:sz w:val="24"/>
              </w:rPr>
            </w:pPr>
            <w:r>
              <w:rPr>
                <w:rFonts w:hint="eastAsia" w:ascii="仿宋" w:hAnsi="仿宋" w:eastAsia="仿宋" w:cs="仿宋"/>
                <w:sz w:val="24"/>
              </w:rPr>
              <w:t>2.中标人不仅要按照招标人认可的布线方案提供待安装硬件设备与现有网络交换机互联所需的全部线缆，还需按照实际所用线缆长度（以现场勘查结果为准）的20%准备冗余量额外提供给招标人备用。</w:t>
            </w:r>
          </w:p>
          <w:p w14:paraId="308A7CC3">
            <w:pPr>
              <w:pStyle w:val="6"/>
            </w:pPr>
            <w:r>
              <w:rPr>
                <w:rFonts w:hint="eastAsia" w:ascii="仿宋" w:hAnsi="仿宋" w:eastAsia="仿宋" w:cs="仿宋"/>
                <w:sz w:val="24"/>
              </w:rPr>
              <w:t>3.线缆应选用主流厂商的优质成品线缆，其中双绞线规格为六类低烟无卤双绞线，双绞线线缆颜色由招标人指定；万兆光纤和40G光纤跳线规格不得低于OM4低烟无卤标准，40G光纤接口类型为MPO-MPO。</w:t>
            </w:r>
          </w:p>
        </w:tc>
        <w:tc>
          <w:tcPr>
            <w:tcW w:w="1164" w:type="dxa"/>
            <w:vAlign w:val="center"/>
          </w:tcPr>
          <w:p w14:paraId="50C2C09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4A1D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495B01CB">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04B8856D">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Align w:val="center"/>
          </w:tcPr>
          <w:p w14:paraId="5E9AE005">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安装调试要求</w:t>
            </w:r>
          </w:p>
          <w:p w14:paraId="03041DBE">
            <w:pPr>
              <w:widowControl/>
              <w:textAlignment w:val="center"/>
              <w:rPr>
                <w:rFonts w:ascii="仿宋" w:hAnsi="仿宋" w:eastAsia="仿宋" w:cs="仿宋"/>
                <w:sz w:val="24"/>
              </w:rPr>
            </w:pPr>
          </w:p>
        </w:tc>
        <w:tc>
          <w:tcPr>
            <w:tcW w:w="6062" w:type="dxa"/>
            <w:vAlign w:val="center"/>
          </w:tcPr>
          <w:p w14:paraId="7FAB76BC">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1.自到货验收合格日起，90个日历日内完成设备上架、网络接入调试、与上层软件联调测试等工作。</w:t>
            </w:r>
          </w:p>
          <w:p w14:paraId="1AF92F78">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2.安装调试过程中，中标人应配合招标人完成对货物的功能测试、性能测试、漏洞扫描等工作。</w:t>
            </w:r>
          </w:p>
          <w:p w14:paraId="489D91D9">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3.安装调试过程中若发现货物不满足招标文件中列明的技术要求，由中标人负责免费解决；如货物出现故障，中标人必须免费更换新的产品，不接受设备维修。</w:t>
            </w:r>
          </w:p>
          <w:p w14:paraId="639CA053">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4.当出现以下情形时，招标人有权退货并保留索赔的权利。</w:t>
            </w:r>
          </w:p>
          <w:p w14:paraId="60C711E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a)货物更换2次（含2次）以上,仍不能完全满足招标文件中列明的技术要求；</w:t>
            </w:r>
          </w:p>
          <w:p w14:paraId="3B988721">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b）未能在规定时间内完成安装调试且超出规定时间30个日历日。</w:t>
            </w:r>
          </w:p>
        </w:tc>
        <w:tc>
          <w:tcPr>
            <w:tcW w:w="1164" w:type="dxa"/>
            <w:vAlign w:val="center"/>
          </w:tcPr>
          <w:p w14:paraId="314B79A6">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p w14:paraId="0F3EA07E">
            <w:pPr>
              <w:widowControl/>
              <w:textAlignment w:val="center"/>
              <w:rPr>
                <w:rFonts w:ascii="仿宋" w:hAnsi="仿宋" w:eastAsia="仿宋" w:cs="仿宋"/>
                <w:kern w:val="0"/>
                <w:sz w:val="24"/>
                <w:lang w:bidi="ar"/>
              </w:rPr>
            </w:pPr>
          </w:p>
        </w:tc>
      </w:tr>
      <w:tr w14:paraId="088F5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65DE925E">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4110C4FD">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restart"/>
            <w:vAlign w:val="center"/>
          </w:tcPr>
          <w:p w14:paraId="242C6970">
            <w:pPr>
              <w:pStyle w:val="5"/>
              <w:jc w:val="center"/>
              <w:rPr>
                <w:rFonts w:eastAsia="仿宋"/>
              </w:rPr>
            </w:pPr>
            <w:r>
              <w:rPr>
                <w:rFonts w:hint="eastAsia" w:eastAsia="仿宋"/>
                <w:b w:val="0"/>
                <w:bCs w:val="0"/>
                <w:sz w:val="24"/>
                <w:szCs w:val="24"/>
              </w:rPr>
              <w:t>实施团队要求</w:t>
            </w:r>
          </w:p>
        </w:tc>
        <w:tc>
          <w:tcPr>
            <w:tcW w:w="6062" w:type="dxa"/>
            <w:vAlign w:val="center"/>
          </w:tcPr>
          <w:p w14:paraId="6F300CFB">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中标人应指定1名项目经理负责安装实施期间的整体管理工作，包括：根据招标人的要求制定详细的项目实施计划，组织项目实施、对工作进度及工作质量进行监督、协调解决问题，并向招标人提交工作报告等。</w:t>
            </w:r>
          </w:p>
          <w:p w14:paraId="3FA3B677">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项目经理应具有5年以上信息化项目管理工作经验。</w:t>
            </w:r>
          </w:p>
          <w:p w14:paraId="35EB083C">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投标人应将项目经理姓名、联系方式、过往信息化项目经历等以简历的形式体现在投标文件中，并将项目经理2025年任意一个月由投标人或其分公司或委托公司（需提供委托协议）缴纳的社保缴纳证明等体现在投标文件中。</w:t>
            </w:r>
          </w:p>
        </w:tc>
        <w:tc>
          <w:tcPr>
            <w:tcW w:w="1164" w:type="dxa"/>
            <w:vAlign w:val="center"/>
          </w:tcPr>
          <w:p w14:paraId="10EBA3EB">
            <w:pPr>
              <w:widowControl/>
              <w:textAlignment w:val="center"/>
              <w:rPr>
                <w:rFonts w:ascii="仿宋" w:hAnsi="仿宋" w:eastAsia="仿宋" w:cs="仿宋"/>
                <w:kern w:val="0"/>
                <w:sz w:val="24"/>
                <w:lang w:bidi="ar"/>
              </w:rPr>
            </w:pPr>
            <w:r>
              <w:rPr>
                <w:rFonts w:hint="eastAsia" w:ascii="仿宋" w:hAnsi="仿宋" w:eastAsia="仿宋" w:cs="仿宋"/>
                <w:b/>
                <w:bCs/>
                <w:kern w:val="0"/>
                <w:sz w:val="24"/>
                <w:lang w:bidi="ar"/>
              </w:rPr>
              <w:t>是，提供项目经理简历，简历中需包含项目经理姓名、联系方式、过往信息化项目经历、社保缴纳证明，并加盖投标人公章。</w:t>
            </w:r>
          </w:p>
        </w:tc>
      </w:tr>
      <w:tr w14:paraId="3958D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77375AD5">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16F35116">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continue"/>
            <w:vAlign w:val="center"/>
          </w:tcPr>
          <w:p w14:paraId="4281B193">
            <w:pPr>
              <w:pStyle w:val="5"/>
              <w:jc w:val="center"/>
              <w:rPr>
                <w:rFonts w:eastAsia="仿宋"/>
                <w:b w:val="0"/>
                <w:bCs w:val="0"/>
                <w:sz w:val="24"/>
                <w:szCs w:val="24"/>
              </w:rPr>
            </w:pPr>
          </w:p>
        </w:tc>
        <w:tc>
          <w:tcPr>
            <w:tcW w:w="6062" w:type="dxa"/>
            <w:vAlign w:val="center"/>
          </w:tcPr>
          <w:p w14:paraId="4AB22F82">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项目经理具有由中华人民共和国人力资源和社会保障部、工业和信息化部批准颁发的计算机技术与软件专业技术资格（信息系统项目管理师专业）证书。</w:t>
            </w:r>
          </w:p>
          <w:p w14:paraId="73E3E2CF">
            <w:pPr>
              <w:widowControl/>
              <w:rPr>
                <w:rFonts w:ascii="仿宋" w:hAnsi="仿宋" w:eastAsia="仿宋" w:cs="仿宋"/>
                <w:b/>
                <w:bCs/>
                <w:kern w:val="0"/>
                <w:sz w:val="24"/>
                <w:lang w:bidi="ar"/>
              </w:rPr>
            </w:pPr>
          </w:p>
        </w:tc>
        <w:tc>
          <w:tcPr>
            <w:tcW w:w="1164" w:type="dxa"/>
            <w:vAlign w:val="center"/>
          </w:tcPr>
          <w:p w14:paraId="2BC04A80">
            <w:pPr>
              <w:widowControl/>
              <w:jc w:val="center"/>
              <w:textAlignment w:val="center"/>
              <w:rPr>
                <w:rFonts w:ascii="仿宋" w:hAnsi="仿宋" w:eastAsia="仿宋" w:cs="仿宋"/>
                <w:kern w:val="0"/>
                <w:sz w:val="24"/>
                <w:lang w:bidi="ar"/>
              </w:rPr>
            </w:pPr>
            <w:r>
              <w:rPr>
                <w:rFonts w:hint="eastAsia" w:ascii="仿宋" w:hAnsi="仿宋" w:eastAsia="仿宋" w:cs="仿宋"/>
                <w:b/>
                <w:bCs/>
                <w:kern w:val="0"/>
                <w:sz w:val="24"/>
                <w:lang w:bidi="ar"/>
              </w:rPr>
              <w:t>是，提供项目经理有效期内的证书复印件并加盖投标人公章。</w:t>
            </w:r>
          </w:p>
        </w:tc>
      </w:tr>
      <w:tr w14:paraId="1A89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6CA4672F">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1AC56454">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continue"/>
            <w:vAlign w:val="center"/>
          </w:tcPr>
          <w:p w14:paraId="262CA1C1">
            <w:pPr>
              <w:pStyle w:val="5"/>
              <w:jc w:val="center"/>
              <w:rPr>
                <w:rFonts w:eastAsia="仿宋"/>
                <w:b w:val="0"/>
                <w:bCs w:val="0"/>
                <w:sz w:val="24"/>
                <w:szCs w:val="24"/>
              </w:rPr>
            </w:pPr>
          </w:p>
        </w:tc>
        <w:tc>
          <w:tcPr>
            <w:tcW w:w="6062" w:type="dxa"/>
            <w:vAlign w:val="center"/>
          </w:tcPr>
          <w:p w14:paraId="0F226FC4">
            <w:pPr>
              <w:widowControl/>
              <w:jc w:val="left"/>
              <w:rPr>
                <w:rFonts w:ascii="仿宋" w:hAnsi="仿宋" w:eastAsia="仿宋" w:cs="仿宋"/>
                <w:kern w:val="0"/>
                <w:sz w:val="24"/>
                <w:lang w:bidi="ar"/>
              </w:rPr>
            </w:pPr>
            <w:r>
              <w:rPr>
                <w:rFonts w:hint="eastAsia" w:ascii="仿宋" w:hAnsi="仿宋" w:eastAsia="仿宋" w:cs="仿宋"/>
                <w:kern w:val="0"/>
                <w:sz w:val="24"/>
                <w:lang w:bidi="ar"/>
              </w:rPr>
              <w:t>中标人应成立专门团队负责从设备安装位置到网络交换机之间的线缆铺设、线缆连接、连接测试、线缆整理、标签张贴等网络布线工作。</w:t>
            </w:r>
          </w:p>
          <w:p w14:paraId="7AC3F722">
            <w:pPr>
              <w:widowControl/>
              <w:jc w:val="left"/>
              <w:rPr>
                <w:rFonts w:ascii="仿宋" w:hAnsi="仿宋" w:eastAsia="仿宋" w:cs="仿宋"/>
                <w:kern w:val="0"/>
                <w:sz w:val="24"/>
                <w:lang w:bidi="ar"/>
              </w:rPr>
            </w:pPr>
            <w:r>
              <w:rPr>
                <w:rFonts w:hint="eastAsia" w:ascii="仿宋" w:hAnsi="仿宋" w:eastAsia="仿宋" w:cs="仿宋"/>
                <w:kern w:val="0"/>
                <w:sz w:val="24"/>
                <w:lang w:bidi="ar"/>
              </w:rPr>
              <w:t>布线团队成员不得少于3人，且每人均应具有3年以上标准数据中心网络布线工作经验。</w:t>
            </w:r>
          </w:p>
          <w:p w14:paraId="019EF6EB">
            <w:pPr>
              <w:widowControl/>
              <w:rPr>
                <w:rFonts w:ascii="仿宋" w:hAnsi="仿宋" w:eastAsia="仿宋" w:cs="仿宋"/>
                <w:kern w:val="0"/>
                <w:sz w:val="24"/>
                <w:lang w:bidi="ar"/>
              </w:rPr>
            </w:pPr>
            <w:r>
              <w:rPr>
                <w:rFonts w:hint="eastAsia" w:ascii="仿宋" w:hAnsi="仿宋" w:eastAsia="仿宋" w:cs="仿宋"/>
                <w:b/>
                <w:bCs/>
                <w:kern w:val="0"/>
                <w:sz w:val="24"/>
                <w:lang w:bidi="ar"/>
              </w:rPr>
              <w:t>投标人应将布线团队人员名单体现在投标文件中，团队人员过往项目经验以个人简历的形式体现在投标文件中。</w:t>
            </w:r>
          </w:p>
        </w:tc>
        <w:tc>
          <w:tcPr>
            <w:tcW w:w="1164" w:type="dxa"/>
            <w:vAlign w:val="center"/>
          </w:tcPr>
          <w:p w14:paraId="5F6BD665">
            <w:pPr>
              <w:widowControl/>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是，投标人提供布线团队人员简历，简历中需包含姓名、过往项目经验，并加盖投标人公章。</w:t>
            </w:r>
          </w:p>
        </w:tc>
      </w:tr>
      <w:tr w14:paraId="74E80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7F9550CF">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27E9640E">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continue"/>
            <w:vAlign w:val="center"/>
          </w:tcPr>
          <w:p w14:paraId="015F34F5">
            <w:pPr>
              <w:pStyle w:val="5"/>
              <w:jc w:val="center"/>
              <w:rPr>
                <w:rFonts w:eastAsia="仿宋"/>
                <w:b w:val="0"/>
                <w:bCs w:val="0"/>
                <w:sz w:val="24"/>
                <w:szCs w:val="24"/>
              </w:rPr>
            </w:pPr>
          </w:p>
        </w:tc>
        <w:tc>
          <w:tcPr>
            <w:tcW w:w="6062" w:type="dxa"/>
            <w:vAlign w:val="center"/>
          </w:tcPr>
          <w:p w14:paraId="46DED02B">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中标人应成立专门团队负责硬件设备的安装、入网、调试、调优等工作。</w:t>
            </w:r>
          </w:p>
          <w:p w14:paraId="37891481">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安装调试团队成员不得少于5人（其中应包括服务器类型二制造商的原厂工程师至少1人），具备3年以上相关项目工作经验。</w:t>
            </w:r>
          </w:p>
          <w:p w14:paraId="5C0FC667">
            <w:pPr>
              <w:widowControl/>
              <w:textAlignment w:val="center"/>
              <w:rPr>
                <w:rFonts w:ascii="仿宋" w:hAnsi="仿宋" w:eastAsia="仿宋" w:cs="仿宋"/>
                <w:kern w:val="0"/>
                <w:sz w:val="24"/>
                <w:lang w:bidi="ar"/>
              </w:rPr>
            </w:pPr>
            <w:r>
              <w:rPr>
                <w:rFonts w:hint="eastAsia" w:ascii="仿宋" w:hAnsi="仿宋" w:eastAsia="仿宋" w:cs="仿宋"/>
                <w:b/>
                <w:bCs/>
                <w:kern w:val="0"/>
                <w:sz w:val="24"/>
                <w:lang w:bidi="ar"/>
              </w:rPr>
              <w:t>投标人应将安装调试团队人员名单体现在投标文件中，团队人员过往项目经验以个人简历的形式体现在投标文件中。</w:t>
            </w:r>
          </w:p>
        </w:tc>
        <w:tc>
          <w:tcPr>
            <w:tcW w:w="1164" w:type="dxa"/>
            <w:vAlign w:val="center"/>
          </w:tcPr>
          <w:p w14:paraId="2965FF4F">
            <w:pPr>
              <w:widowControl/>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是，投标人提供安装调试团队人员简历，简历中需包含姓名、过往项目经验，并加盖投标人公章。</w:t>
            </w:r>
          </w:p>
        </w:tc>
      </w:tr>
      <w:tr w14:paraId="319E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2E072179">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7C382F17">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048" w:type="dxa"/>
            <w:vAlign w:val="center"/>
          </w:tcPr>
          <w:p w14:paraId="4979D299">
            <w:pPr>
              <w:widowControl/>
              <w:textAlignment w:val="center"/>
              <w:rPr>
                <w:rFonts w:eastAsia="仿宋"/>
              </w:rPr>
            </w:pPr>
            <w:r>
              <w:rPr>
                <w:rFonts w:hint="eastAsia" w:ascii="仿宋" w:hAnsi="仿宋" w:eastAsia="仿宋" w:cs="仿宋"/>
                <w:kern w:val="0"/>
                <w:sz w:val="24"/>
                <w:lang w:bidi="ar"/>
              </w:rPr>
              <w:t>初步验收要求</w:t>
            </w:r>
          </w:p>
          <w:p w14:paraId="0AE8BCE5">
            <w:pPr>
              <w:jc w:val="center"/>
              <w:rPr>
                <w:rFonts w:ascii="仿宋" w:hAnsi="仿宋" w:eastAsia="仿宋" w:cs="仿宋"/>
                <w:sz w:val="24"/>
              </w:rPr>
            </w:pPr>
          </w:p>
        </w:tc>
        <w:tc>
          <w:tcPr>
            <w:tcW w:w="6062" w:type="dxa"/>
            <w:vAlign w:val="center"/>
          </w:tcPr>
          <w:p w14:paraId="7ED3A4CD">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安装调试完成后由招标人组织初步验收，中标人应配合招标人做好验收方案、验收报告等资料的准备工作。</w:t>
            </w:r>
          </w:p>
          <w:p w14:paraId="0A12E81B">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若验收过程中发现问题，由中标人负责免费解决，招标人保留退货及索赔权利。</w:t>
            </w:r>
          </w:p>
          <w:p w14:paraId="06E6F08D">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验收合格后，由招标人开具初步验收的《合同验收单》，双方签字盖章。</w:t>
            </w:r>
          </w:p>
        </w:tc>
        <w:tc>
          <w:tcPr>
            <w:tcW w:w="1164" w:type="dxa"/>
            <w:vAlign w:val="center"/>
          </w:tcPr>
          <w:p w14:paraId="76278D79">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4E794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493299A1">
            <w:pPr>
              <w:widowControl/>
              <w:numPr>
                <w:ilvl w:val="0"/>
                <w:numId w:val="5"/>
              </w:numPr>
              <w:tabs>
                <w:tab w:val="left" w:pos="420"/>
              </w:tabs>
              <w:spacing w:after="160" w:line="278" w:lineRule="auto"/>
              <w:jc w:val="center"/>
              <w:textAlignment w:val="center"/>
              <w:rPr>
                <w:rFonts w:ascii="仿宋" w:hAnsi="仿宋" w:eastAsia="仿宋" w:cs="仿宋"/>
                <w:kern w:val="0"/>
                <w:sz w:val="24"/>
                <w:lang w:bidi="ar"/>
              </w:rPr>
            </w:pPr>
          </w:p>
        </w:tc>
        <w:tc>
          <w:tcPr>
            <w:tcW w:w="629" w:type="dxa"/>
            <w:vAlign w:val="center"/>
          </w:tcPr>
          <w:p w14:paraId="44DB45A0">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48" w:type="dxa"/>
            <w:vAlign w:val="center"/>
          </w:tcPr>
          <w:p w14:paraId="786D230C">
            <w:pPr>
              <w:jc w:val="center"/>
              <w:rPr>
                <w:rFonts w:ascii="仿宋" w:hAnsi="仿宋" w:eastAsia="仿宋" w:cs="仿宋"/>
                <w:sz w:val="24"/>
              </w:rPr>
            </w:pPr>
            <w:r>
              <w:rPr>
                <w:rFonts w:hint="eastAsia" w:ascii="仿宋" w:hAnsi="仿宋" w:eastAsia="仿宋" w:cs="仿宋"/>
                <w:sz w:val="24"/>
              </w:rPr>
              <w:t>初步验收标准</w:t>
            </w:r>
          </w:p>
        </w:tc>
        <w:tc>
          <w:tcPr>
            <w:tcW w:w="6062" w:type="dxa"/>
            <w:vAlign w:val="center"/>
          </w:tcPr>
          <w:p w14:paraId="7125E606">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初步验收合格必须至少满足以下要求：</w:t>
            </w:r>
          </w:p>
          <w:p w14:paraId="2F95A12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1.完成网络布线和货物的安装调试，能够正常运行，满足招标文件中列明的技术要求。</w:t>
            </w:r>
          </w:p>
          <w:p w14:paraId="4715587D">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2.构建于本项目所采购的设备之上的软件系统能够正常运行。</w:t>
            </w:r>
          </w:p>
          <w:p w14:paraId="167DA2AC">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3.按照合同文件要求提供了培训服务。</w:t>
            </w:r>
          </w:p>
        </w:tc>
        <w:tc>
          <w:tcPr>
            <w:tcW w:w="1164" w:type="dxa"/>
            <w:vAlign w:val="center"/>
          </w:tcPr>
          <w:p w14:paraId="4CC913A5">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bl>
    <w:p w14:paraId="3ED27FFC">
      <w:pPr>
        <w:pStyle w:val="22"/>
        <w:numPr>
          <w:ilvl w:val="0"/>
          <w:numId w:val="4"/>
        </w:numPr>
        <w:spacing w:after="160" w:line="560" w:lineRule="exact"/>
        <w:ind w:left="0" w:firstLine="0"/>
        <w:outlineLvl w:val="1"/>
        <w:rPr>
          <w:sz w:val="32"/>
          <w:szCs w:val="32"/>
          <w:lang w:eastAsia="zh-CN"/>
        </w:rPr>
      </w:pPr>
      <w:r>
        <w:rPr>
          <w:rFonts w:hint="eastAsia"/>
          <w:sz w:val="32"/>
          <w:szCs w:val="32"/>
          <w:lang w:eastAsia="zh-CN"/>
        </w:rPr>
        <w:t>试运行与最终验收要求</w:t>
      </w:r>
    </w:p>
    <w:tbl>
      <w:tblPr>
        <w:tblStyle w:val="16"/>
        <w:tblW w:w="9450" w:type="dxa"/>
        <w:jc w:val="center"/>
        <w:tblLayout w:type="autofit"/>
        <w:tblCellMar>
          <w:top w:w="0" w:type="dxa"/>
          <w:left w:w="108" w:type="dxa"/>
          <w:bottom w:w="0" w:type="dxa"/>
          <w:right w:w="108" w:type="dxa"/>
        </w:tblCellMar>
      </w:tblPr>
      <w:tblGrid>
        <w:gridCol w:w="570"/>
        <w:gridCol w:w="630"/>
        <w:gridCol w:w="1080"/>
        <w:gridCol w:w="6059"/>
        <w:gridCol w:w="1111"/>
      </w:tblGrid>
      <w:tr w14:paraId="6EAFA37B">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649F57E">
            <w:pPr>
              <w:tabs>
                <w:tab w:val="left" w:pos="420"/>
              </w:tabs>
              <w:rPr>
                <w:rFonts w:ascii="仿宋" w:hAnsi="仿宋" w:eastAsia="仿宋" w:cs="仿宋"/>
                <w:sz w:val="24"/>
              </w:rPr>
            </w:pPr>
            <w:r>
              <w:rPr>
                <w:rFonts w:hint="eastAsia" w:ascii="仿宋" w:hAnsi="仿宋" w:eastAsia="仿宋" w:cs="仿宋"/>
                <w:b/>
                <w:bCs/>
                <w:kern w:val="0"/>
                <w:sz w:val="24"/>
                <w:lang w:bidi="ar"/>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4EBD4427">
            <w:pPr>
              <w:widowControl/>
              <w:jc w:val="center"/>
              <w:textAlignment w:val="center"/>
              <w:rPr>
                <w:rFonts w:ascii="仿宋" w:hAnsi="仿宋" w:eastAsia="仿宋" w:cs="仿宋"/>
                <w:kern w:val="0"/>
                <w:sz w:val="24"/>
                <w:lang w:bidi="ar"/>
              </w:rPr>
            </w:pPr>
            <w:r>
              <w:rPr>
                <w:rFonts w:hint="eastAsia" w:ascii="仿宋" w:hAnsi="仿宋" w:eastAsia="仿宋" w:cs="仿宋"/>
                <w:b/>
                <w:bCs/>
                <w:kern w:val="0"/>
                <w:sz w:val="24"/>
                <w:lang w:bidi="ar"/>
              </w:rPr>
              <w:t>重要性</w:t>
            </w:r>
          </w:p>
        </w:tc>
        <w:tc>
          <w:tcPr>
            <w:tcW w:w="1080" w:type="dxa"/>
            <w:tcBorders>
              <w:top w:val="single" w:color="000000" w:sz="4" w:space="0"/>
              <w:left w:val="single" w:color="000000" w:sz="4" w:space="0"/>
              <w:bottom w:val="single" w:color="000000" w:sz="4" w:space="0"/>
              <w:right w:val="single" w:color="000000" w:sz="4" w:space="0"/>
            </w:tcBorders>
            <w:vAlign w:val="center"/>
          </w:tcPr>
          <w:p w14:paraId="249F6DC6">
            <w:pPr>
              <w:widowControl/>
              <w:jc w:val="center"/>
              <w:textAlignment w:val="center"/>
              <w:rPr>
                <w:rFonts w:ascii="仿宋" w:hAnsi="仿宋" w:eastAsia="仿宋" w:cs="仿宋"/>
                <w:kern w:val="0"/>
                <w:sz w:val="24"/>
                <w:lang w:bidi="ar"/>
              </w:rPr>
            </w:pPr>
            <w:r>
              <w:rPr>
                <w:rFonts w:hint="eastAsia" w:ascii="仿宋" w:hAnsi="仿宋" w:eastAsia="仿宋" w:cs="仿宋"/>
                <w:b/>
                <w:bCs/>
                <w:kern w:val="0"/>
                <w:sz w:val="24"/>
                <w:lang w:bidi="ar"/>
              </w:rPr>
              <w:t>内容</w:t>
            </w:r>
          </w:p>
        </w:tc>
        <w:tc>
          <w:tcPr>
            <w:tcW w:w="6059" w:type="dxa"/>
            <w:tcBorders>
              <w:top w:val="single" w:color="000000" w:sz="4" w:space="0"/>
              <w:left w:val="single" w:color="000000" w:sz="4" w:space="0"/>
              <w:bottom w:val="single" w:color="000000" w:sz="4" w:space="0"/>
              <w:right w:val="single" w:color="000000" w:sz="4" w:space="0"/>
            </w:tcBorders>
            <w:vAlign w:val="center"/>
          </w:tcPr>
          <w:p w14:paraId="5C0BB629">
            <w:pPr>
              <w:widowControl/>
              <w:jc w:val="center"/>
              <w:textAlignment w:val="center"/>
              <w:rPr>
                <w:rFonts w:ascii="仿宋" w:hAnsi="仿宋" w:eastAsia="仿宋" w:cs="仿宋"/>
                <w:kern w:val="0"/>
                <w:sz w:val="24"/>
                <w:lang w:bidi="ar"/>
              </w:rPr>
            </w:pPr>
            <w:r>
              <w:rPr>
                <w:rFonts w:hint="eastAsia" w:ascii="仿宋" w:hAnsi="仿宋" w:eastAsia="仿宋" w:cs="仿宋"/>
                <w:b/>
                <w:bCs/>
                <w:kern w:val="0"/>
                <w:sz w:val="24"/>
                <w:lang w:bidi="ar"/>
              </w:rPr>
              <w:t>服务要求标准</w:t>
            </w:r>
          </w:p>
        </w:tc>
        <w:tc>
          <w:tcPr>
            <w:tcW w:w="1111" w:type="dxa"/>
            <w:tcBorders>
              <w:top w:val="single" w:color="000000" w:sz="4" w:space="0"/>
              <w:left w:val="single" w:color="000000" w:sz="4" w:space="0"/>
              <w:bottom w:val="single" w:color="000000" w:sz="4" w:space="0"/>
              <w:right w:val="single" w:color="000000" w:sz="4" w:space="0"/>
            </w:tcBorders>
            <w:vAlign w:val="center"/>
          </w:tcPr>
          <w:p w14:paraId="446AE033">
            <w:pPr>
              <w:widowControl/>
              <w:jc w:val="center"/>
              <w:textAlignment w:val="center"/>
              <w:rPr>
                <w:rFonts w:ascii="仿宋" w:hAnsi="仿宋" w:eastAsia="仿宋" w:cs="仿宋"/>
                <w:kern w:val="0"/>
                <w:sz w:val="24"/>
                <w:lang w:bidi="ar"/>
              </w:rPr>
            </w:pPr>
            <w:r>
              <w:rPr>
                <w:rFonts w:hint="eastAsia" w:ascii="仿宋" w:hAnsi="仿宋" w:eastAsia="仿宋" w:cs="仿宋"/>
                <w:b/>
                <w:bCs/>
                <w:kern w:val="0"/>
                <w:sz w:val="24"/>
                <w:lang w:bidi="ar"/>
              </w:rPr>
              <w:t>是否提供证明材料及方式</w:t>
            </w:r>
          </w:p>
        </w:tc>
      </w:tr>
      <w:tr w14:paraId="193896D5">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3D7CF54B">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4F92785">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62E92C1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试运行要求</w:t>
            </w:r>
          </w:p>
        </w:tc>
        <w:tc>
          <w:tcPr>
            <w:tcW w:w="6059" w:type="dxa"/>
            <w:tcBorders>
              <w:top w:val="single" w:color="000000" w:sz="4" w:space="0"/>
              <w:left w:val="single" w:color="000000" w:sz="4" w:space="0"/>
              <w:bottom w:val="single" w:color="000000" w:sz="4" w:space="0"/>
              <w:right w:val="single" w:color="000000" w:sz="4" w:space="0"/>
            </w:tcBorders>
            <w:vAlign w:val="center"/>
          </w:tcPr>
          <w:p w14:paraId="6BD016C1">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货物通过初步验收后，进入3个月的连续试运行。如果货物在试运行期间出现故障或者达不到技术要求，则应在修复之后由招标人、中标人及制造商等共同确定再一次连续试运行开始日期。</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若连续2次试运行均存在问题且无法修复，则视为产品不合格，招标人有权退货并保留要求赔偿的权利。</w:t>
            </w:r>
          </w:p>
          <w:p w14:paraId="6F6EB67E">
            <w:pPr>
              <w:widowControl/>
              <w:textAlignment w:val="center"/>
            </w:pPr>
            <w:r>
              <w:rPr>
                <w:rFonts w:hint="eastAsia" w:ascii="仿宋" w:hAnsi="仿宋" w:eastAsia="仿宋" w:cs="仿宋"/>
                <w:kern w:val="0"/>
                <w:sz w:val="24"/>
                <w:lang w:bidi="ar"/>
              </w:rPr>
              <w:t>整个试运行含问题整改时间不得超过7个月，否则视为产品不合格，招标人有权退货并保留要求赔偿的权利。</w:t>
            </w:r>
          </w:p>
        </w:tc>
        <w:tc>
          <w:tcPr>
            <w:tcW w:w="1111" w:type="dxa"/>
            <w:tcBorders>
              <w:top w:val="single" w:color="000000" w:sz="4" w:space="0"/>
              <w:left w:val="single" w:color="000000" w:sz="4" w:space="0"/>
              <w:bottom w:val="single" w:color="000000" w:sz="4" w:space="0"/>
              <w:right w:val="single" w:color="000000" w:sz="4" w:space="0"/>
            </w:tcBorders>
            <w:vAlign w:val="center"/>
          </w:tcPr>
          <w:p w14:paraId="1120884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45B1CCA7">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78ADC74">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B940ABF">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1329563">
            <w:pPr>
              <w:widowControl/>
              <w:jc w:val="center"/>
              <w:textAlignment w:val="center"/>
              <w:rPr>
                <w:rFonts w:ascii="仿宋" w:hAnsi="仿宋" w:eastAsia="仿宋" w:cs="仿宋"/>
                <w:sz w:val="24"/>
              </w:rPr>
            </w:pPr>
            <w:r>
              <w:rPr>
                <w:rFonts w:hint="eastAsia" w:ascii="仿宋" w:hAnsi="仿宋" w:eastAsia="仿宋" w:cs="仿宋"/>
                <w:kern w:val="0"/>
                <w:sz w:val="24"/>
                <w:lang w:bidi="ar"/>
              </w:rPr>
              <w:t>最终验收要求</w:t>
            </w:r>
          </w:p>
        </w:tc>
        <w:tc>
          <w:tcPr>
            <w:tcW w:w="6059" w:type="dxa"/>
            <w:tcBorders>
              <w:top w:val="single" w:color="000000" w:sz="4" w:space="0"/>
              <w:left w:val="single" w:color="000000" w:sz="4" w:space="0"/>
              <w:bottom w:val="single" w:color="000000" w:sz="4" w:space="0"/>
              <w:right w:val="single" w:color="000000" w:sz="4" w:space="0"/>
            </w:tcBorders>
            <w:vAlign w:val="center"/>
          </w:tcPr>
          <w:p w14:paraId="32BC12F5">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试运行通过后由招标人组织最终验收。</w:t>
            </w:r>
          </w:p>
          <w:p w14:paraId="3E6D08F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若验收过程中发现问题，由中标人负责免费解决，招标人保留退货及索赔权利。</w:t>
            </w:r>
          </w:p>
          <w:p w14:paraId="7BB052C3">
            <w:pPr>
              <w:widowControl/>
              <w:textAlignment w:val="center"/>
              <w:rPr>
                <w:rFonts w:eastAsia="仿宋"/>
              </w:rPr>
            </w:pPr>
            <w:r>
              <w:rPr>
                <w:rFonts w:hint="eastAsia" w:ascii="仿宋" w:hAnsi="仿宋" w:eastAsia="仿宋" w:cs="仿宋"/>
                <w:kern w:val="0"/>
                <w:sz w:val="24"/>
                <w:lang w:bidi="ar"/>
              </w:rPr>
              <w:t>验收合格后，由招标人开具最终验收的《合同验收单》，双方签字盖章。</w:t>
            </w:r>
          </w:p>
        </w:tc>
        <w:tc>
          <w:tcPr>
            <w:tcW w:w="1111" w:type="dxa"/>
            <w:tcBorders>
              <w:top w:val="single" w:color="000000" w:sz="4" w:space="0"/>
              <w:left w:val="single" w:color="000000" w:sz="4" w:space="0"/>
              <w:bottom w:val="single" w:color="000000" w:sz="4" w:space="0"/>
              <w:right w:val="single" w:color="000000" w:sz="4" w:space="0"/>
            </w:tcBorders>
            <w:vAlign w:val="center"/>
          </w:tcPr>
          <w:p w14:paraId="0EDFE90F">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11116C49">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49D17C7">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0CBA283">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left w:val="single" w:color="000000" w:sz="4" w:space="0"/>
              <w:right w:val="single" w:color="000000" w:sz="4" w:space="0"/>
            </w:tcBorders>
            <w:vAlign w:val="center"/>
          </w:tcPr>
          <w:p w14:paraId="6A487F5F">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最终验收标准</w:t>
            </w:r>
          </w:p>
        </w:tc>
        <w:tc>
          <w:tcPr>
            <w:tcW w:w="6059" w:type="dxa"/>
            <w:tcBorders>
              <w:top w:val="single" w:color="000000" w:sz="4" w:space="0"/>
              <w:left w:val="single" w:color="000000" w:sz="4" w:space="0"/>
              <w:bottom w:val="single" w:color="000000" w:sz="4" w:space="0"/>
              <w:right w:val="single" w:color="000000" w:sz="4" w:space="0"/>
            </w:tcBorders>
            <w:vAlign w:val="center"/>
          </w:tcPr>
          <w:p w14:paraId="6F17ADD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最终验收合格必须至少满足以下要求：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1.已按合同要求提供了全部货物和资料；</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2.设备在试运行期间表现满足招标文件中列明的技术要求；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3.中标人和制造商按合同要求提供了技术支持服务，且试运行期间出现的问题已被解决；</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4.中标人向招标人提交了加盖原厂商公章的《原厂足期维保承诺函》原件（样式详见附件1）。</w:t>
            </w:r>
          </w:p>
        </w:tc>
        <w:tc>
          <w:tcPr>
            <w:tcW w:w="1111" w:type="dxa"/>
            <w:tcBorders>
              <w:top w:val="single" w:color="000000" w:sz="4" w:space="0"/>
              <w:left w:val="single" w:color="000000" w:sz="4" w:space="0"/>
              <w:bottom w:val="single" w:color="000000" w:sz="4" w:space="0"/>
              <w:right w:val="single" w:color="000000" w:sz="4" w:space="0"/>
            </w:tcBorders>
            <w:vAlign w:val="center"/>
          </w:tcPr>
          <w:p w14:paraId="78887CDB">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5BE2F57C">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5AABB80">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DF18852">
            <w:pPr>
              <w:jc w:val="center"/>
              <w:rPr>
                <w:rFonts w:ascii="仿宋" w:hAnsi="仿宋" w:eastAsia="仿宋" w:cs="仿宋"/>
                <w:kern w:val="0"/>
                <w:sz w:val="24"/>
                <w:lang w:bidi="ar"/>
              </w:rPr>
            </w:pPr>
            <w:r>
              <w:rPr>
                <w:rFonts w:hint="eastAsia" w:ascii="仿宋" w:hAnsi="仿宋" w:eastAsia="仿宋" w:cs="仿宋"/>
                <w:sz w:val="24"/>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20C6AA8B">
            <w:pPr>
              <w:jc w:val="center"/>
              <w:rPr>
                <w:rFonts w:ascii="仿宋" w:hAnsi="仿宋" w:eastAsia="仿宋" w:cs="仿宋"/>
                <w:sz w:val="24"/>
              </w:rPr>
            </w:pPr>
            <w:r>
              <w:rPr>
                <w:rFonts w:hint="eastAsia" w:ascii="仿宋" w:hAnsi="仿宋" w:eastAsia="仿宋" w:cs="仿宋"/>
                <w:sz w:val="24"/>
              </w:rPr>
              <w:t>技术  文档  要求</w:t>
            </w:r>
          </w:p>
        </w:tc>
        <w:tc>
          <w:tcPr>
            <w:tcW w:w="6059" w:type="dxa"/>
            <w:tcBorders>
              <w:top w:val="single" w:color="000000" w:sz="4" w:space="0"/>
              <w:left w:val="single" w:color="000000" w:sz="4" w:space="0"/>
              <w:bottom w:val="single" w:color="000000" w:sz="4" w:space="0"/>
              <w:right w:val="single" w:color="000000" w:sz="4" w:space="0"/>
            </w:tcBorders>
            <w:vAlign w:val="center"/>
          </w:tcPr>
          <w:p w14:paraId="1C80BBA3">
            <w:pPr>
              <w:pStyle w:val="5"/>
              <w:snapToGrid w:val="0"/>
              <w:spacing w:before="156" w:beforeLines="50" w:after="0" w:line="240" w:lineRule="auto"/>
              <w:jc w:val="both"/>
              <w:rPr>
                <w:rFonts w:ascii="仿宋" w:hAnsi="仿宋" w:eastAsia="仿宋" w:cs="仿宋"/>
                <w:b w:val="0"/>
                <w:bCs w:val="0"/>
                <w:sz w:val="24"/>
                <w:szCs w:val="24"/>
              </w:rPr>
            </w:pPr>
            <w:r>
              <w:rPr>
                <w:rFonts w:hint="eastAsia" w:ascii="仿宋" w:hAnsi="仿宋" w:eastAsia="仿宋" w:cs="仿宋"/>
                <w:b w:val="0"/>
                <w:bCs w:val="0"/>
                <w:sz w:val="24"/>
                <w:szCs w:val="24"/>
              </w:rPr>
              <w:t>中标人所提交的技术文档必须是正式出版和装订的(可以为电子版)，电子文档交付格式要求：WORD、EXCEL、POWERPOINT、VISIO、MS PROJECT等原始电子文档形式，对于关键性的电子文档，同时提交PDF文件，其费用应包括在该品目的基本报价中。为了培训的目的，招标人有权复制这些资料而不受限制和另付费用。所有技术文档以实际需求为准，包括但不限于如下内容：</w:t>
            </w:r>
          </w:p>
          <w:p w14:paraId="68F55F96">
            <w:pPr>
              <w:widowControl/>
              <w:snapToGrid w:val="0"/>
              <w:spacing w:before="156" w:beforeLines="50"/>
            </w:pPr>
            <w:r>
              <w:rPr>
                <w:rFonts w:hint="eastAsia" w:ascii="仿宋" w:hAnsi="仿宋" w:eastAsia="仿宋" w:cs="仿宋"/>
                <w:sz w:val="24"/>
              </w:rPr>
              <w:t>1.安装指南：中标人应向招标人提供安装调试过程中的各种文档资料,以便招标人能掌握操作方法和维护方法。有关产品正确安装与详细配置（包括安装方法、安装步骤及各种配置参数等）资料要以易理解的方式（包括详细说明及图示）形成中文文档，交于招标人。</w:t>
            </w:r>
          </w:p>
          <w:p w14:paraId="30FB1F57">
            <w:pPr>
              <w:widowControl/>
              <w:snapToGrid w:val="0"/>
              <w:spacing w:before="156" w:beforeLines="50"/>
              <w:rPr>
                <w:rFonts w:ascii="仿宋" w:hAnsi="仿宋" w:eastAsia="仿宋" w:cs="仿宋"/>
                <w:sz w:val="24"/>
              </w:rPr>
            </w:pPr>
            <w:r>
              <w:rPr>
                <w:rFonts w:hint="eastAsia" w:ascii="仿宋" w:hAnsi="仿宋" w:eastAsia="仿宋" w:cs="仿宋"/>
                <w:sz w:val="24"/>
              </w:rPr>
              <w:t>2.技术文件：产品说明书、产品操作手册（包括开关机、密码修改操作指南等）、产品维护手册（包括故障诊断指南）等。</w:t>
            </w:r>
          </w:p>
          <w:p w14:paraId="26F194B1">
            <w:pPr>
              <w:widowControl/>
              <w:snapToGrid w:val="0"/>
              <w:spacing w:before="156" w:beforeLines="50"/>
              <w:rPr>
                <w:rFonts w:ascii="仿宋" w:hAnsi="仿宋" w:eastAsia="仿宋" w:cs="仿宋"/>
                <w:kern w:val="0"/>
                <w:sz w:val="24"/>
                <w:lang w:bidi="ar"/>
              </w:rPr>
            </w:pPr>
            <w:r>
              <w:rPr>
                <w:rFonts w:hint="eastAsia" w:ascii="仿宋" w:hAnsi="仿宋" w:eastAsia="仿宋" w:cs="仿宋"/>
                <w:sz w:val="24"/>
              </w:rPr>
              <w:t>3.系统配置说明书：中标人应提供系统配置说明书，包括配置图和配件/模块清单。</w:t>
            </w:r>
            <w:r>
              <w:rPr>
                <w:rFonts w:hint="eastAsia" w:ascii="仿宋" w:hAnsi="仿宋" w:eastAsia="仿宋" w:cs="仿宋"/>
                <w:kern w:val="0"/>
                <w:sz w:val="24"/>
                <w:lang w:bidi="ar"/>
              </w:rPr>
              <w:t>配置图要说明设备型号，标出全部端口和连接标准及连接部件产品的型号。</w:t>
            </w:r>
          </w:p>
        </w:tc>
        <w:tc>
          <w:tcPr>
            <w:tcW w:w="1111" w:type="dxa"/>
            <w:tcBorders>
              <w:top w:val="single" w:color="000000" w:sz="4" w:space="0"/>
              <w:left w:val="single" w:color="000000" w:sz="4" w:space="0"/>
              <w:bottom w:val="single" w:color="000000" w:sz="4" w:space="0"/>
              <w:right w:val="single" w:color="000000" w:sz="4" w:space="0"/>
            </w:tcBorders>
            <w:vAlign w:val="center"/>
          </w:tcPr>
          <w:p w14:paraId="61839B98">
            <w:pPr>
              <w:rPr>
                <w:rFonts w:ascii="仿宋" w:hAnsi="仿宋" w:eastAsia="仿宋" w:cs="仿宋"/>
                <w:kern w:val="0"/>
                <w:sz w:val="24"/>
                <w:lang w:bidi="ar"/>
              </w:rPr>
            </w:pPr>
            <w:r>
              <w:rPr>
                <w:rFonts w:hint="eastAsia" w:ascii="仿宋" w:hAnsi="仿宋" w:eastAsia="仿宋" w:cs="仿宋"/>
                <w:sz w:val="24"/>
              </w:rPr>
              <w:t>否</w:t>
            </w:r>
          </w:p>
        </w:tc>
      </w:tr>
    </w:tbl>
    <w:p w14:paraId="63CD0828">
      <w:pPr>
        <w:pStyle w:val="22"/>
        <w:numPr>
          <w:ilvl w:val="0"/>
          <w:numId w:val="4"/>
        </w:numPr>
        <w:spacing w:after="160" w:line="560" w:lineRule="exact"/>
        <w:ind w:left="0" w:firstLine="0"/>
        <w:outlineLvl w:val="1"/>
        <w:rPr>
          <w:sz w:val="32"/>
          <w:szCs w:val="32"/>
          <w:lang w:eastAsia="zh-CN"/>
        </w:rPr>
      </w:pPr>
      <w:r>
        <w:rPr>
          <w:rFonts w:hint="eastAsia"/>
          <w:sz w:val="32"/>
          <w:szCs w:val="32"/>
          <w:lang w:eastAsia="zh-CN"/>
        </w:rPr>
        <w:t>技术支持服务要求</w:t>
      </w:r>
    </w:p>
    <w:tbl>
      <w:tblPr>
        <w:tblStyle w:val="16"/>
        <w:tblW w:w="9450" w:type="dxa"/>
        <w:jc w:val="center"/>
        <w:shd w:val="clear" w:color="auto" w:fill="FFFFFF"/>
        <w:tblLayout w:type="autofit"/>
        <w:tblCellMar>
          <w:top w:w="0" w:type="dxa"/>
          <w:left w:w="108" w:type="dxa"/>
          <w:bottom w:w="0" w:type="dxa"/>
          <w:right w:w="108" w:type="dxa"/>
        </w:tblCellMar>
      </w:tblPr>
      <w:tblGrid>
        <w:gridCol w:w="570"/>
        <w:gridCol w:w="630"/>
        <w:gridCol w:w="816"/>
        <w:gridCol w:w="6298"/>
        <w:gridCol w:w="1136"/>
      </w:tblGrid>
      <w:tr w14:paraId="572EC02A">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0C8BF">
            <w:pPr>
              <w:widowControl/>
              <w:textAlignment w:val="center"/>
              <w:rPr>
                <w:b/>
                <w:bCs/>
                <w:sz w:val="24"/>
              </w:rPr>
            </w:pPr>
            <w:r>
              <w:rPr>
                <w:rFonts w:hint="eastAsia" w:ascii="仿宋" w:hAnsi="仿宋" w:eastAsia="仿宋" w:cs="仿宋"/>
                <w:b/>
                <w:bCs/>
                <w:sz w:val="24"/>
              </w:rPr>
              <w:t>序号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BF2E">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重要性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3F15">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内容</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46411">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服务要求标准</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CC35">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是否提供证明材料及方式</w:t>
            </w:r>
          </w:p>
        </w:tc>
      </w:tr>
      <w:tr w14:paraId="3B4E27B1">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4338">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09B69">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816" w:type="dxa"/>
            <w:tcBorders>
              <w:top w:val="single" w:color="000000" w:sz="4" w:space="0"/>
              <w:left w:val="single" w:color="000000" w:sz="4" w:space="0"/>
              <w:right w:val="single" w:color="000000" w:sz="4" w:space="0"/>
            </w:tcBorders>
            <w:shd w:val="clear" w:color="auto" w:fill="FFFFFF"/>
            <w:vAlign w:val="center"/>
          </w:tcPr>
          <w:p w14:paraId="3DD52B59">
            <w:pPr>
              <w:widowControl/>
              <w:textAlignment w:val="center"/>
              <w:rPr>
                <w:rFonts w:ascii="仿宋" w:hAnsi="仿宋" w:eastAsia="仿宋" w:cs="仿宋"/>
                <w:sz w:val="24"/>
                <w:lang w:bidi="ar"/>
              </w:rPr>
            </w:pPr>
            <w:r>
              <w:rPr>
                <w:rFonts w:hint="eastAsia" w:ascii="仿宋" w:hAnsi="仿宋" w:eastAsia="仿宋" w:cs="仿宋"/>
                <w:sz w:val="24"/>
                <w:lang w:bidi="ar"/>
              </w:rPr>
              <w:t>服务周期</w:t>
            </w:r>
          </w:p>
          <w:p w14:paraId="48384A90">
            <w:pPr>
              <w:widowControl/>
              <w:textAlignment w:val="center"/>
              <w:rPr>
                <w:rFonts w:ascii="仿宋" w:hAnsi="仿宋" w:eastAsia="仿宋" w:cs="仿宋"/>
                <w:kern w:val="0"/>
                <w:sz w:val="24"/>
                <w:lang w:bidi="ar"/>
              </w:rPr>
            </w:pP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9E1A">
            <w:pPr>
              <w:pStyle w:val="32"/>
              <w:numPr>
                <w:ilvl w:val="0"/>
                <w:numId w:val="6"/>
              </w:numPr>
              <w:rPr>
                <w:rFonts w:hint="default" w:ascii="仿宋" w:hAnsi="仿宋" w:eastAsia="仿宋" w:cs="仿宋"/>
                <w:sz w:val="24"/>
                <w:szCs w:val="24"/>
                <w:lang w:eastAsia="zh-CN" w:bidi="ar"/>
              </w:rPr>
            </w:pPr>
            <w:r>
              <w:rPr>
                <w:rFonts w:hint="default" w:ascii="仿宋" w:hAnsi="仿宋" w:eastAsia="仿宋" w:cs="仿宋"/>
                <w:sz w:val="24"/>
                <w:szCs w:val="24"/>
                <w:lang w:eastAsia="zh-CN" w:bidi="ar"/>
              </w:rPr>
              <w:t>32GB</w:t>
            </w:r>
            <w:r>
              <w:rPr>
                <w:rFonts w:ascii="仿宋" w:hAnsi="仿宋" w:eastAsia="仿宋" w:cs="仿宋"/>
                <w:sz w:val="24"/>
                <w:szCs w:val="24"/>
                <w:lang w:eastAsia="zh-CN" w:bidi="ar"/>
              </w:rPr>
              <w:t>内存条与</w:t>
            </w:r>
            <w:r>
              <w:rPr>
                <w:rFonts w:hint="default" w:ascii="仿宋" w:hAnsi="仿宋" w:eastAsia="仿宋" w:cs="仿宋"/>
                <w:sz w:val="24"/>
                <w:szCs w:val="24"/>
                <w:lang w:eastAsia="zh-CN" w:bidi="ar"/>
              </w:rPr>
              <w:t xml:space="preserve">2.4TB SAS HDD </w:t>
            </w:r>
            <w:r>
              <w:rPr>
                <w:rFonts w:ascii="仿宋" w:hAnsi="仿宋" w:eastAsia="仿宋" w:cs="仿宋"/>
                <w:sz w:val="24"/>
                <w:szCs w:val="24"/>
                <w:lang w:eastAsia="zh-CN" w:bidi="ar"/>
              </w:rPr>
              <w:t>硬盘的质量保障服务（含换件和维修）期</w:t>
            </w:r>
            <w:r>
              <w:rPr>
                <w:rFonts w:hint="eastAsia" w:ascii="仿宋" w:hAnsi="仿宋" w:eastAsia="仿宋" w:cs="仿宋"/>
                <w:sz w:val="24"/>
                <w:szCs w:val="24"/>
                <w:lang w:val="en-US" w:eastAsia="zh-CN" w:bidi="ar"/>
              </w:rPr>
              <w:t>自</w:t>
            </w:r>
            <w:r>
              <w:rPr>
                <w:rFonts w:ascii="仿宋" w:hAnsi="仿宋" w:eastAsia="仿宋" w:cs="仿宋"/>
                <w:sz w:val="24"/>
                <w:szCs w:val="24"/>
                <w:lang w:eastAsia="zh-CN" w:bidi="ar"/>
              </w:rPr>
              <w:t>最终验收合格的《合同验收单》中验收日期之日起开始</w:t>
            </w:r>
            <w:r>
              <w:rPr>
                <w:rFonts w:hint="eastAsia" w:ascii="仿宋" w:hAnsi="仿宋" w:eastAsia="仿宋" w:cs="仿宋"/>
                <w:sz w:val="24"/>
                <w:szCs w:val="24"/>
                <w:lang w:val="en-US" w:eastAsia="zh-CN" w:bidi="ar"/>
              </w:rPr>
              <w:t>到</w:t>
            </w:r>
            <w:r>
              <w:rPr>
                <w:rFonts w:ascii="仿宋" w:hAnsi="仿宋" w:eastAsia="仿宋" w:cs="仿宋"/>
                <w:sz w:val="24"/>
                <w:szCs w:val="24"/>
                <w:lang w:eastAsia="zh-CN" w:bidi="ar"/>
              </w:rPr>
              <w:t>2027年2月15日</w:t>
            </w:r>
            <w:r>
              <w:rPr>
                <w:rFonts w:hint="eastAsia" w:ascii="仿宋" w:hAnsi="仿宋" w:eastAsia="仿宋" w:cs="仿宋"/>
                <w:sz w:val="24"/>
                <w:szCs w:val="24"/>
                <w:lang w:val="en-US" w:eastAsia="zh-CN" w:bidi="ar"/>
              </w:rPr>
              <w:t>结束</w:t>
            </w:r>
            <w:r>
              <w:rPr>
                <w:rFonts w:ascii="仿宋" w:hAnsi="仿宋" w:eastAsia="仿宋" w:cs="仿宋"/>
                <w:sz w:val="24"/>
                <w:szCs w:val="24"/>
                <w:lang w:eastAsia="zh-CN" w:bidi="ar"/>
              </w:rPr>
              <w:t>。</w:t>
            </w:r>
          </w:p>
          <w:p w14:paraId="3004B85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r>
              <w:rPr>
                <w:rFonts w:ascii="仿宋" w:hAnsi="仿宋" w:eastAsia="仿宋" w:cs="仿宋"/>
                <w:kern w:val="0"/>
                <w:sz w:val="24"/>
                <w:lang w:bidi="ar"/>
              </w:rPr>
              <w:t>2</w:t>
            </w:r>
            <w:r>
              <w:rPr>
                <w:rFonts w:hint="eastAsia" w:ascii="仿宋" w:hAnsi="仿宋" w:eastAsia="仿宋" w:cs="仿宋"/>
                <w:kern w:val="0"/>
                <w:sz w:val="24"/>
                <w:lang w:bidi="ar"/>
              </w:rPr>
              <w:t>）服务器类型二与</w:t>
            </w:r>
            <w:r>
              <w:rPr>
                <w:rFonts w:ascii="仿宋" w:hAnsi="仿宋" w:eastAsia="仿宋" w:cs="仿宋"/>
                <w:kern w:val="0"/>
                <w:sz w:val="24"/>
                <w:lang w:bidi="ar"/>
              </w:rPr>
              <w:t>3.84TB SAS SSD</w:t>
            </w:r>
            <w:r>
              <w:rPr>
                <w:rFonts w:hint="eastAsia" w:ascii="仿宋" w:hAnsi="仿宋" w:eastAsia="仿宋" w:cs="仿宋"/>
                <w:kern w:val="0"/>
                <w:sz w:val="24"/>
                <w:lang w:bidi="ar"/>
              </w:rPr>
              <w:t>硬盘质量保障服务（含换件和维修）期为5年，质量保障期自最终验收合格的《合同验收单》中验收日期之日起开始计算。</w:t>
            </w:r>
          </w:p>
          <w:p w14:paraId="7ABF8F8F">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w:t>
            </w:r>
            <w:r>
              <w:rPr>
                <w:rFonts w:ascii="仿宋" w:hAnsi="仿宋" w:eastAsia="仿宋" w:cs="仿宋"/>
                <w:kern w:val="0"/>
                <w:sz w:val="24"/>
                <w:lang w:bidi="ar"/>
              </w:rPr>
              <w:t>3</w:t>
            </w:r>
            <w:r>
              <w:rPr>
                <w:rFonts w:hint="eastAsia" w:ascii="仿宋" w:hAnsi="仿宋" w:eastAsia="仿宋" w:cs="仿宋"/>
                <w:kern w:val="0"/>
                <w:sz w:val="24"/>
                <w:lang w:bidi="ar"/>
              </w:rPr>
              <w:t>）质量保障期内的服务要求详见下文，相关服务的报价都应计入投标总价中，未单独报价的则被视为免费服务或已含在其他报价项中。</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FD7C7">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是，投标人提供原厂服务承诺并加盖投标人公章。</w:t>
            </w:r>
          </w:p>
        </w:tc>
      </w:tr>
      <w:tr w14:paraId="0A09FB67">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B0358">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36D80">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16" w:type="dxa"/>
            <w:vMerge w:val="restart"/>
            <w:tcBorders>
              <w:top w:val="single" w:color="000000" w:sz="4" w:space="0"/>
              <w:left w:val="single" w:color="000000" w:sz="4" w:space="0"/>
              <w:right w:val="single" w:color="000000" w:sz="4" w:space="0"/>
            </w:tcBorders>
            <w:shd w:val="clear" w:color="auto" w:fill="FFFFFF"/>
            <w:vAlign w:val="center"/>
          </w:tcPr>
          <w:p w14:paraId="1750B061">
            <w:pPr>
              <w:widowControl/>
              <w:jc w:val="center"/>
              <w:textAlignment w:val="center"/>
              <w:rPr>
                <w:rFonts w:ascii="仿宋" w:hAnsi="仿宋" w:eastAsia="仿宋" w:cs="仿宋"/>
                <w:sz w:val="24"/>
              </w:rPr>
            </w:pPr>
            <w:r>
              <w:rPr>
                <w:rFonts w:hint="eastAsia" w:ascii="仿宋" w:hAnsi="仿宋" w:eastAsia="仿宋" w:cs="仿宋"/>
                <w:kern w:val="0"/>
                <w:sz w:val="24"/>
                <w:lang w:bidi="ar"/>
              </w:rPr>
              <w:t>试运行期及质量保障期内的技术支持及售后服务</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7083">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试运行期及质量保障期内的技术支持和售后服务的提供商在本节中简称为“技术服务提供商”。本次采购硬件设备的技术服务提供商必须为设备制造商。</w:t>
            </w:r>
          </w:p>
          <w:p w14:paraId="14695B60">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从试运行期开始直至质量保障期结束后，技术服务提供商应遵守以下服务要求。</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A107F">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76EEF559">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21CD">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051C4">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16" w:type="dxa"/>
            <w:vMerge w:val="continue"/>
            <w:tcBorders>
              <w:left w:val="single" w:color="000000" w:sz="4" w:space="0"/>
              <w:right w:val="single" w:color="000000" w:sz="4" w:space="0"/>
            </w:tcBorders>
            <w:shd w:val="clear" w:color="auto" w:fill="FFFFFF"/>
            <w:vAlign w:val="center"/>
          </w:tcPr>
          <w:p w14:paraId="726B110C">
            <w:pPr>
              <w:jc w:val="center"/>
              <w:rPr>
                <w:rFonts w:ascii="仿宋" w:hAnsi="仿宋" w:eastAsia="仿宋" w:cs="仿宋"/>
                <w:sz w:val="24"/>
              </w:rPr>
            </w:pP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A3512">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试运行期及质量保障期内的技术支持与售后服务内容应包括但不限于下述内容：技术咨询服务、维护服务、版本升级服务、巡检服务、补丁安装、性能调优、故障修复和故障修复所需的备件更换（含备件本身）、电话支持服务、电子邮件支持服务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1.技术咨询服务：提供产品终身的技术咨询服务，包括新产品新技术通报，软硬件技术咨询，系统改进意见，提供技术方案，项目长远规划，研究解决技术难题等。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2.维护服务：技术服务提供商应协助招标人完成日常系统及应用的维护工作，保证系统的正常运行。</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3.版本升级服务：技术服务提供商应配合招标人分析软硬件运行状态，提出修正性的软件版本升级的建议，提供软件升级报告及升级方案，并在质量保障期内提供软件版本升级服务。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巡检服务：技术服务提供商定期派合格工程师到招标人现场对设备进行巡检，全面检查设备的软、硬件运行情况，记录设备的错误，排除故障隐患，进行设备保养工作。在质量保障期内，巡检频率为1次/季度。每次巡检，技术服务提供商须分析设备运行情况，提供系统日常运行维护建议并形成巡检报告提交给招标人，报告须经招标人签字确认。</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补丁安装：技术服务提供商应为用户的软件版本以及硬件固件更新信息提供通知及安装服务，对软硬件的新发现的缺陷或漏洞、新发布的修复更新和面临的风险隐患进行及时的通知，防止因未及时修复缺陷或漏洞从而造成招标人整体系统运行风险隐患，甚至导致信息安全事件的发生。补丁安装须提供以下信息：漏洞描述、修复目标、修复计划、影响分析、准备工作、修复步骤、修复测试结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性能调优：性能调优指当招标人软硬件设备出现运行不能达到预期目标时，技术服务提供商应为招标人提供性能优化服务直至软硬件设备运行达到较佳水平。性能调优服务包括为招标人建立性能基线、分析软硬件历史正常运行数据、对软硬件配置提出优化建议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7.故障修复：</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①故障修复指当招标人的设备出现故障（如服务中断、数据丢失、设备不能正常工作等）时，技术服务提供商须为招标人提供硬件设备修复、备件更换及系统软件故障排除的服务。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②技术服务提供商应为招标人提供7*24的故障修复服务。当软硬件发生故障时，技术服务提供商应在接到招标人申请后1小时内作出实质性反应，并派出工程师在2小时内到达现场。如需进行硬件更换，技术服务提供商应在接到招标人申请后1小时内作出实质性反应，并在4小时内将需要更换的备件送达现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③技术服务提供商应以书面形式告知招标人故障申请的方式、申请的流程，以及申请过程中需要招标人准备的设备信息（如产品序列号等）。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④当软硬件设备发生故障时，技术服务提供商需在6小时内修复故障，如6小时内未能修复故障，则须在此6小时内提出解决此类问题的紧急预案方案，以恢复系统的正常运行。</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⑤当软硬件设备发生故障时，技术服务提供商须启动公司的多层技术资源支持，帮助招标人排查问题，直到问题最终获得妥善处理。对于招标人系统的重要问题，至少每天汇报一次问题解决情况，须协助招标人进行问题定位，就解决问题所需要相关系统信息的收集方法，指导招标人的技术人员。</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⑥技术服务提供商须帮助招标人进行问题根源的分析和诊断，提出解决问题的建议方案。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⑦在故障修复过程中，如需更换故障部件，必须提供制造商生产的同型号全新部件或者制造商生产的兼容型号的全新部件，每次更换硬件部件时应出示该部件为制造商生产证明，如技术服务提供商采用不符合要求的部件替换故障部件，招标人有权要求服务提供商更换，给招标人造成损失的，招标人有权要求给予损失赔偿。</w:t>
            </w:r>
          </w:p>
          <w:p w14:paraId="3E04F898">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fldChar w:fldCharType="begin"/>
            </w:r>
            <w:r>
              <w:rPr>
                <w:rFonts w:hint="eastAsia" w:ascii="仿宋" w:hAnsi="仿宋" w:eastAsia="仿宋" w:cs="仿宋"/>
                <w:kern w:val="0"/>
                <w:sz w:val="24"/>
                <w:lang w:bidi="ar"/>
              </w:rPr>
              <w:instrText xml:space="preserve"> = 8 \* GB3 \* MERGEFORMAT </w:instrText>
            </w:r>
            <w:r>
              <w:rPr>
                <w:rFonts w:hint="eastAsia" w:ascii="仿宋" w:hAnsi="仿宋" w:eastAsia="仿宋" w:cs="仿宋"/>
                <w:kern w:val="0"/>
                <w:sz w:val="24"/>
                <w:lang w:bidi="ar"/>
              </w:rPr>
              <w:fldChar w:fldCharType="separate"/>
            </w:r>
            <w:r>
              <w:t>⑧</w:t>
            </w:r>
            <w:r>
              <w:rPr>
                <w:rFonts w:hint="eastAsia" w:ascii="仿宋" w:hAnsi="仿宋" w:eastAsia="仿宋" w:cs="仿宋"/>
                <w:kern w:val="0"/>
                <w:sz w:val="24"/>
                <w:lang w:bidi="ar"/>
              </w:rPr>
              <w:fldChar w:fldCharType="end"/>
            </w:r>
            <w:r>
              <w:rPr>
                <w:rFonts w:hint="eastAsia" w:ascii="仿宋" w:hAnsi="仿宋" w:eastAsia="仿宋" w:cs="仿宋"/>
                <w:kern w:val="0"/>
                <w:sz w:val="24"/>
                <w:lang w:bidi="ar"/>
              </w:rPr>
              <w:t>从硬件设备到货之日起，所有硬件设备中的一切存储介质（如磁盘、固态盘等一切记录用户信息的产品）出现损坏，在进行维修时，应及时更换损坏的存储介质外，损坏的存储介质归招标人所有，设备厂商及投标人不得回收，所需费用应包含在投标总价中，磁介质更换时不收取额外费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电话支持服务：技术服务提供商应为招标人提供7*24的电话支持服务，受理故障报修，解答招标人技术人员的技术咨询问题。技术服务提供商须以书面形式告知招标人有效的支持服务联系电话，以及提供支持服务过程中需要招标人准备的设备信息（如产品序列号等）。服务支持联系电话除指定一个固定电话号码外，须另提供一个手机号码。如电话号码有变动，技术服务提供商须提前以书面形式通知招标人。电话支持服务内容包含设备的所有硬件、软件和配置问题。</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电子邮件支持服务：技术服务提供商应为招标人提供7*24的电子邮件支持服务，以书面形式告知招标人有效的支持服务电子邮箱，以及提供支持服务过程中需要招标人准备的信息（如产品序列号等），如电子邮箱有变动须提前书面通知招标人。电子邮件支持服务内容包含设备的所有硬件、软件和配置问题。</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0FE47">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0BE0F54B">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E3D9B">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C562C">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16" w:type="dxa"/>
            <w:vMerge w:val="continue"/>
            <w:tcBorders>
              <w:left w:val="single" w:color="000000" w:sz="4" w:space="0"/>
              <w:bottom w:val="single" w:color="000000" w:sz="4" w:space="0"/>
              <w:right w:val="single" w:color="000000" w:sz="4" w:space="0"/>
            </w:tcBorders>
            <w:shd w:val="clear" w:color="auto" w:fill="FFFFFF"/>
            <w:vAlign w:val="center"/>
          </w:tcPr>
          <w:p w14:paraId="1BF87F4A">
            <w:pPr>
              <w:jc w:val="center"/>
              <w:rPr>
                <w:rFonts w:ascii="仿宋" w:hAnsi="仿宋" w:eastAsia="仿宋" w:cs="仿宋"/>
                <w:sz w:val="24"/>
              </w:rPr>
            </w:pP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8FF5">
            <w:pPr>
              <w:widowControl/>
              <w:textAlignment w:val="center"/>
              <w:rPr>
                <w:rFonts w:ascii="仿宋" w:hAnsi="仿宋" w:eastAsia="仿宋" w:cs="仿宋"/>
                <w:sz w:val="24"/>
              </w:rPr>
            </w:pPr>
            <w:r>
              <w:rPr>
                <w:rFonts w:hint="eastAsia" w:ascii="仿宋" w:hAnsi="仿宋" w:eastAsia="仿宋" w:cs="仿宋"/>
                <w:kern w:val="0"/>
                <w:sz w:val="24"/>
                <w:lang w:bidi="ar"/>
              </w:rPr>
              <w:t>如果本项目所采购设备与其它软硬件设备无法共同正常稳定运行，技术服务提供商应积极配合其它软硬件设备的提供商分析解决问题，并根据招标人要求提供免费的现场服务。</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5B4EF">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7D60644B">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529D1">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51ABE">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971E1">
            <w:pPr>
              <w:widowControl/>
              <w:jc w:val="center"/>
              <w:textAlignment w:val="center"/>
              <w:rPr>
                <w:rFonts w:ascii="仿宋" w:hAnsi="仿宋" w:eastAsia="仿宋" w:cs="仿宋"/>
                <w:sz w:val="24"/>
              </w:rPr>
            </w:pPr>
            <w:r>
              <w:rPr>
                <w:rFonts w:hint="eastAsia" w:ascii="仿宋" w:hAnsi="仿宋" w:eastAsia="仿宋" w:cs="仿宋"/>
                <w:kern w:val="0"/>
                <w:sz w:val="24"/>
                <w:lang w:bidi="ar"/>
              </w:rPr>
              <w:t>服务方案要求</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14A6">
            <w:pPr>
              <w:widowControl/>
              <w:textAlignment w:val="center"/>
              <w:rPr>
                <w:rFonts w:ascii="仿宋" w:hAnsi="仿宋" w:eastAsia="仿宋" w:cs="仿宋"/>
                <w:sz w:val="24"/>
              </w:rPr>
            </w:pPr>
            <w:r>
              <w:rPr>
                <w:rFonts w:hint="eastAsia" w:ascii="仿宋" w:hAnsi="仿宋" w:eastAsia="仿宋" w:cs="仿宋"/>
                <w:sz w:val="24"/>
              </w:rPr>
              <w:t>投标人需结合采购需求各项要求</w:t>
            </w:r>
            <w:r>
              <w:rPr>
                <w:rFonts w:hint="eastAsia" w:ascii="仿宋" w:hAnsi="仿宋" w:eastAsia="仿宋" w:cs="仿宋"/>
                <w:spacing w:val="-120"/>
                <w:sz w:val="24"/>
              </w:rPr>
              <w:t>，</w:t>
            </w:r>
            <w:r>
              <w:rPr>
                <w:rFonts w:hint="eastAsia" w:ascii="仿宋" w:hAnsi="仿宋" w:eastAsia="仿宋" w:cs="仿宋"/>
                <w:sz w:val="24"/>
              </w:rPr>
              <w:t>就自身如何满足及实现本次采购需求进行全面具体的描述和分析，制定全面、可靠、可行的服务方案。</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6579">
            <w:pPr>
              <w:widowControl/>
              <w:jc w:val="left"/>
              <w:textAlignment w:val="center"/>
              <w:rPr>
                <w:rFonts w:ascii="仿宋" w:hAnsi="仿宋" w:eastAsia="仿宋" w:cs="仿宋"/>
                <w:sz w:val="24"/>
              </w:rPr>
            </w:pPr>
            <w:r>
              <w:rPr>
                <w:rFonts w:hint="eastAsia" w:ascii="仿宋" w:hAnsi="仿宋" w:eastAsia="仿宋" w:cs="仿宋"/>
                <w:b/>
                <w:bCs/>
                <w:sz w:val="24"/>
              </w:rPr>
              <w:t>是，投标人提供服务方案并加盖投标人公章。</w:t>
            </w:r>
          </w:p>
        </w:tc>
      </w:tr>
      <w:tr w14:paraId="60108726">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0FFDC">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FDB02">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D54B">
            <w:pPr>
              <w:widowControl/>
              <w:jc w:val="center"/>
              <w:textAlignment w:val="center"/>
              <w:rPr>
                <w:rFonts w:ascii="仿宋" w:hAnsi="仿宋" w:eastAsia="仿宋" w:cs="仿宋"/>
                <w:sz w:val="24"/>
              </w:rPr>
            </w:pPr>
            <w:r>
              <w:rPr>
                <w:rFonts w:hint="eastAsia" w:ascii="仿宋" w:hAnsi="仿宋" w:eastAsia="仿宋" w:cs="仿宋"/>
                <w:kern w:val="0"/>
                <w:sz w:val="24"/>
                <w:lang w:bidi="ar"/>
              </w:rPr>
              <w:t>维修服务的质量保障</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FD6F2">
            <w:pPr>
              <w:widowControl/>
              <w:textAlignment w:val="center"/>
              <w:rPr>
                <w:rFonts w:ascii="仿宋" w:hAnsi="仿宋" w:eastAsia="仿宋" w:cs="仿宋"/>
                <w:sz w:val="24"/>
              </w:rPr>
            </w:pPr>
            <w:r>
              <w:rPr>
                <w:rFonts w:hint="eastAsia" w:ascii="仿宋" w:hAnsi="仿宋" w:eastAsia="仿宋" w:cs="仿宋"/>
                <w:kern w:val="0"/>
                <w:sz w:val="24"/>
                <w:lang w:bidi="ar"/>
              </w:rPr>
              <w:t>如果由于维修服务失误或产品故障造成招标人损失，除承担赔偿外，中标人还要提供处理办法。</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D35E0">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7E6AAEFC">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BBFB">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084D9">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09CC2">
            <w:pPr>
              <w:widowControl/>
              <w:jc w:val="center"/>
              <w:textAlignment w:val="center"/>
              <w:rPr>
                <w:rFonts w:ascii="仿宋" w:hAnsi="仿宋" w:eastAsia="仿宋" w:cs="仿宋"/>
                <w:sz w:val="24"/>
              </w:rPr>
            </w:pPr>
            <w:r>
              <w:rPr>
                <w:rFonts w:hint="eastAsia" w:ascii="仿宋" w:hAnsi="仿宋" w:eastAsia="仿宋" w:cs="仿宋"/>
                <w:kern w:val="0"/>
                <w:sz w:val="24"/>
                <w:lang w:bidi="ar"/>
              </w:rPr>
              <w:t>备品备件要求</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C47F">
            <w:pPr>
              <w:widowControl/>
              <w:textAlignment w:val="center"/>
              <w:rPr>
                <w:rFonts w:ascii="仿宋" w:hAnsi="仿宋" w:eastAsia="仿宋" w:cs="仿宋"/>
                <w:sz w:val="24"/>
              </w:rPr>
            </w:pPr>
            <w:r>
              <w:rPr>
                <w:rFonts w:hint="eastAsia" w:ascii="仿宋" w:hAnsi="仿宋" w:eastAsia="仿宋" w:cs="仿宋"/>
                <w:kern w:val="0"/>
                <w:sz w:val="24"/>
                <w:lang w:bidi="ar"/>
              </w:rPr>
              <w:t>备品、备件要求：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投标人应根据招标要求、投标方案、设备需求及服务需求等制定备品、备件及消耗品供应方案，并详细列出名称、类型、性能、数量、提供地点、放置地点、服务条款等内容。质保期内的备品备件更换均不另外收费。</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2.质量保障期内的备品备件包括：</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①满足系统建设、运行、维护、管理及系统升级扩展的备品、备件；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②对部分或整体出现故障的硬件设备，除应达到采购需求书中规定的设备保修和售后服务方面通用条款的要求外，应通过备品及备件设备及时恢复。故障设备未修复期间，应及时补充备品及备件存放地处的库存量。</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71EBD">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bl>
    <w:p w14:paraId="4A9BF34D">
      <w:pPr>
        <w:pStyle w:val="22"/>
        <w:numPr>
          <w:ilvl w:val="0"/>
          <w:numId w:val="4"/>
        </w:numPr>
        <w:spacing w:after="160" w:line="560" w:lineRule="exact"/>
        <w:ind w:left="0" w:firstLine="0"/>
        <w:outlineLvl w:val="1"/>
        <w:rPr>
          <w:sz w:val="32"/>
          <w:szCs w:val="32"/>
          <w:lang w:eastAsia="zh-CN"/>
        </w:rPr>
      </w:pPr>
      <w:r>
        <w:rPr>
          <w:rFonts w:hint="eastAsia"/>
          <w:sz w:val="32"/>
          <w:szCs w:val="32"/>
          <w:lang w:eastAsia="zh-CN"/>
        </w:rPr>
        <w:t>其他要求</w:t>
      </w:r>
    </w:p>
    <w:tbl>
      <w:tblPr>
        <w:tblStyle w:val="16"/>
        <w:tblW w:w="9450" w:type="dxa"/>
        <w:jc w:val="center"/>
        <w:tblLayout w:type="autofit"/>
        <w:tblCellMar>
          <w:top w:w="0" w:type="dxa"/>
          <w:left w:w="108" w:type="dxa"/>
          <w:bottom w:w="0" w:type="dxa"/>
          <w:right w:w="108" w:type="dxa"/>
        </w:tblCellMar>
      </w:tblPr>
      <w:tblGrid>
        <w:gridCol w:w="570"/>
        <w:gridCol w:w="630"/>
        <w:gridCol w:w="1080"/>
        <w:gridCol w:w="5141"/>
        <w:gridCol w:w="2029"/>
      </w:tblGrid>
      <w:tr w14:paraId="1B5BC10E">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0F69375">
            <w:pPr>
              <w:widowControl/>
              <w:textAlignment w:val="center"/>
              <w:rPr>
                <w:b/>
                <w:bCs/>
                <w:sz w:val="24"/>
              </w:rPr>
            </w:pPr>
            <w:r>
              <w:rPr>
                <w:rFonts w:hint="eastAsia" w:ascii="仿宋" w:hAnsi="仿宋" w:eastAsia="仿宋" w:cs="仿宋"/>
                <w:b/>
                <w:bCs/>
                <w:sz w:val="24"/>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6548A315">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重要性</w:t>
            </w:r>
          </w:p>
        </w:tc>
        <w:tc>
          <w:tcPr>
            <w:tcW w:w="1080" w:type="dxa"/>
            <w:tcBorders>
              <w:top w:val="single" w:color="000000" w:sz="4" w:space="0"/>
              <w:left w:val="single" w:color="000000" w:sz="4" w:space="0"/>
              <w:bottom w:val="single" w:color="000000" w:sz="4" w:space="0"/>
              <w:right w:val="single" w:color="000000" w:sz="4" w:space="0"/>
            </w:tcBorders>
            <w:vAlign w:val="center"/>
          </w:tcPr>
          <w:p w14:paraId="1857AF01">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内容</w:t>
            </w:r>
          </w:p>
        </w:tc>
        <w:tc>
          <w:tcPr>
            <w:tcW w:w="5141" w:type="dxa"/>
            <w:tcBorders>
              <w:top w:val="single" w:color="000000" w:sz="4" w:space="0"/>
              <w:left w:val="single" w:color="000000" w:sz="4" w:space="0"/>
              <w:bottom w:val="single" w:color="000000" w:sz="4" w:space="0"/>
              <w:right w:val="single" w:color="000000" w:sz="4" w:space="0"/>
            </w:tcBorders>
            <w:vAlign w:val="center"/>
          </w:tcPr>
          <w:p w14:paraId="27E39996">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服务要求标准</w:t>
            </w:r>
          </w:p>
        </w:tc>
        <w:tc>
          <w:tcPr>
            <w:tcW w:w="2029" w:type="dxa"/>
            <w:tcBorders>
              <w:top w:val="single" w:color="000000" w:sz="4" w:space="0"/>
              <w:left w:val="single" w:color="000000" w:sz="4" w:space="0"/>
              <w:bottom w:val="single" w:color="000000" w:sz="4" w:space="0"/>
              <w:right w:val="single" w:color="000000" w:sz="4" w:space="0"/>
            </w:tcBorders>
            <w:vAlign w:val="center"/>
          </w:tcPr>
          <w:p w14:paraId="3B131EBD">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是否提供证明材料及方式</w:t>
            </w:r>
          </w:p>
        </w:tc>
      </w:tr>
      <w:tr w14:paraId="587E6A36">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3444AB5">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05C87D4">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DF3EB77">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承诺书要求</w:t>
            </w:r>
          </w:p>
        </w:tc>
        <w:tc>
          <w:tcPr>
            <w:tcW w:w="5141" w:type="dxa"/>
            <w:tcBorders>
              <w:top w:val="single" w:color="000000" w:sz="4" w:space="0"/>
              <w:left w:val="single" w:color="000000" w:sz="4" w:space="0"/>
              <w:bottom w:val="single" w:color="000000" w:sz="4" w:space="0"/>
              <w:right w:val="single" w:color="000000" w:sz="4" w:space="0"/>
            </w:tcBorders>
            <w:vAlign w:val="center"/>
          </w:tcPr>
          <w:p w14:paraId="3805480F">
            <w:pPr>
              <w:pStyle w:val="2"/>
              <w:widowControl/>
              <w:textAlignment w:val="center"/>
              <w:rPr>
                <w:rFonts w:ascii="仿宋" w:hAnsi="仿宋" w:eastAsia="仿宋" w:cs="仿宋"/>
                <w:kern w:val="0"/>
                <w:sz w:val="24"/>
                <w:lang w:bidi="ar"/>
              </w:rPr>
            </w:pPr>
            <w:r>
              <w:rPr>
                <w:rFonts w:ascii="仿宋" w:hAnsi="仿宋" w:eastAsia="仿宋" w:cs="仿宋"/>
                <w:sz w:val="24"/>
              </w:rPr>
              <w:t>（1）</w:t>
            </w:r>
            <w:r>
              <w:rPr>
                <w:rFonts w:ascii="仿宋" w:hAnsi="仿宋" w:eastAsia="仿宋" w:cs="仿宋"/>
                <w:kern w:val="0"/>
                <w:sz w:val="24"/>
                <w:lang w:bidi="ar"/>
              </w:rPr>
              <w:t>投标人</w:t>
            </w:r>
            <w:r>
              <w:rPr>
                <w:rFonts w:hint="eastAsia" w:ascii="仿宋" w:hAnsi="仿宋" w:eastAsia="仿宋" w:cs="仿宋"/>
                <w:kern w:val="0"/>
                <w:sz w:val="24"/>
                <w:lang w:bidi="ar"/>
              </w:rPr>
              <w:t>中标后</w:t>
            </w:r>
            <w:r>
              <w:rPr>
                <w:rFonts w:ascii="仿宋" w:hAnsi="仿宋" w:eastAsia="仿宋" w:cs="仿宋"/>
                <w:kern w:val="0"/>
                <w:sz w:val="24"/>
                <w:lang w:bidi="ar"/>
              </w:rPr>
              <w:t>提供的需求清单（四）技术商务要求中所要求的所有承诺。</w:t>
            </w:r>
          </w:p>
          <w:p w14:paraId="54DD2027">
            <w:pPr>
              <w:pStyle w:val="2"/>
              <w:rPr>
                <w:rFonts w:ascii="仿宋" w:hAnsi="仿宋" w:eastAsia="仿宋" w:cs="仿宋"/>
                <w:i/>
                <w:iCs/>
                <w:kern w:val="0"/>
                <w:sz w:val="24"/>
                <w:lang w:bidi="ar"/>
              </w:rPr>
            </w:pPr>
            <w:r>
              <w:rPr>
                <w:rFonts w:ascii="仿宋" w:hAnsi="仿宋" w:eastAsia="仿宋" w:cs="仿宋"/>
                <w:kern w:val="0"/>
                <w:sz w:val="24"/>
                <w:lang w:bidi="ar"/>
              </w:rPr>
              <w:t>（2）在评标结束后中标通知书下发前，中标候选人必须回应招标人对于其能否满足上述承诺和对于所投货物及服务是否满足招标文件要求的疑问，并提供相关证明材料</w:t>
            </w:r>
            <w:r>
              <w:rPr>
                <w:rFonts w:hint="eastAsia" w:ascii="仿宋" w:hAnsi="仿宋" w:eastAsia="仿宋" w:cs="仿宋"/>
                <w:kern w:val="0"/>
                <w:sz w:val="24"/>
                <w:lang w:bidi="ar"/>
              </w:rPr>
              <w:t>（仅要求提供招标文件里要求产品或服务具备的证书、功能、性能证明等材料）</w:t>
            </w:r>
            <w:r>
              <w:rPr>
                <w:rFonts w:ascii="仿宋" w:hAnsi="仿宋" w:eastAsia="仿宋" w:cs="仿宋"/>
                <w:kern w:val="0"/>
                <w:sz w:val="24"/>
                <w:lang w:bidi="ar"/>
              </w:rPr>
              <w:t>。中标候选人在接到招标人通知2个自然日内（自通知之日起至第三日17点前）提交证明材料，逾期未提供者，视为自动放弃中标资格。</w:t>
            </w:r>
          </w:p>
        </w:tc>
        <w:tc>
          <w:tcPr>
            <w:tcW w:w="2029" w:type="dxa"/>
            <w:tcBorders>
              <w:top w:val="single" w:color="000000" w:sz="4" w:space="0"/>
              <w:left w:val="single" w:color="000000" w:sz="4" w:space="0"/>
              <w:bottom w:val="single" w:color="000000" w:sz="4" w:space="0"/>
              <w:right w:val="single" w:color="000000" w:sz="4" w:space="0"/>
            </w:tcBorders>
            <w:vAlign w:val="center"/>
          </w:tcPr>
          <w:p w14:paraId="4DF7335D">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2E92EB2C">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8B2E93D">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EE74495">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2439C25">
            <w:pPr>
              <w:widowControl/>
              <w:jc w:val="left"/>
              <w:textAlignment w:val="center"/>
              <w:rPr>
                <w:rFonts w:ascii="仿宋" w:hAnsi="仿宋" w:eastAsia="仿宋" w:cs="仿宋"/>
                <w:sz w:val="24"/>
              </w:rPr>
            </w:pPr>
            <w:r>
              <w:rPr>
                <w:rFonts w:hint="eastAsia" w:ascii="仿宋" w:hAnsi="仿宋" w:eastAsia="仿宋" w:cs="仿宋"/>
                <w:kern w:val="0"/>
                <w:sz w:val="24"/>
                <w:lang w:bidi="ar"/>
              </w:rPr>
              <w:t>项目配合要求</w:t>
            </w:r>
          </w:p>
        </w:tc>
        <w:tc>
          <w:tcPr>
            <w:tcW w:w="5141" w:type="dxa"/>
            <w:tcBorders>
              <w:top w:val="single" w:color="000000" w:sz="4" w:space="0"/>
              <w:left w:val="single" w:color="000000" w:sz="4" w:space="0"/>
              <w:bottom w:val="single" w:color="000000" w:sz="4" w:space="0"/>
              <w:right w:val="single" w:color="000000" w:sz="4" w:space="0"/>
            </w:tcBorders>
            <w:vAlign w:val="center"/>
          </w:tcPr>
          <w:p w14:paraId="27C218AE">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对中标人及相关设备制造商的配合要求包括：</w:t>
            </w:r>
          </w:p>
          <w:p w14:paraId="48C802C7">
            <w:pPr>
              <w:widowControl/>
              <w:textAlignment w:val="center"/>
              <w:rPr>
                <w:rFonts w:eastAsia="仿宋"/>
              </w:rPr>
            </w:pPr>
            <w:r>
              <w:rPr>
                <w:rFonts w:hint="eastAsia" w:ascii="仿宋" w:hAnsi="仿宋" w:eastAsia="仿宋" w:cs="仿宋"/>
                <w:kern w:val="0"/>
                <w:sz w:val="24"/>
                <w:lang w:bidi="ar"/>
              </w:rPr>
              <w:t>1.在工程实施过程中，服从招标人的统一管理，严格执行中国人民银行征信中心的相关管理制度和标准规范。</w:t>
            </w:r>
            <w:r>
              <w:rPr>
                <w:rFonts w:ascii="仿宋" w:hAnsi="仿宋" w:eastAsia="仿宋" w:cs="仿宋"/>
                <w:kern w:val="0"/>
                <w:sz w:val="24"/>
                <w:lang w:bidi="ar"/>
              </w:rPr>
              <w:br w:type="textWrapping"/>
            </w:r>
            <w:r>
              <w:rPr>
                <w:rFonts w:hint="eastAsia" w:ascii="仿宋" w:hAnsi="仿宋" w:eastAsia="仿宋" w:cs="仿宋"/>
                <w:kern w:val="0"/>
                <w:sz w:val="24"/>
                <w:lang w:bidi="ar"/>
              </w:rPr>
              <w:t>2.完成招标人提出的与本项目有关的其他任务。</w:t>
            </w:r>
          </w:p>
        </w:tc>
        <w:tc>
          <w:tcPr>
            <w:tcW w:w="2029" w:type="dxa"/>
            <w:tcBorders>
              <w:top w:val="single" w:color="000000" w:sz="4" w:space="0"/>
              <w:left w:val="single" w:color="000000" w:sz="4" w:space="0"/>
              <w:bottom w:val="single" w:color="000000" w:sz="4" w:space="0"/>
              <w:right w:val="single" w:color="000000" w:sz="4" w:space="0"/>
            </w:tcBorders>
            <w:vAlign w:val="center"/>
          </w:tcPr>
          <w:p w14:paraId="0EF94157">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72F89C4D">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CEACDF5">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45519D0">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9C79E7A">
            <w:pPr>
              <w:widowControl/>
              <w:textAlignment w:val="center"/>
              <w:rPr>
                <w:rFonts w:ascii="仿宋" w:hAnsi="仿宋" w:eastAsia="仿宋" w:cs="仿宋"/>
                <w:sz w:val="24"/>
              </w:rPr>
            </w:pPr>
            <w:r>
              <w:rPr>
                <w:rFonts w:hint="eastAsia" w:ascii="仿宋" w:hAnsi="仿宋" w:eastAsia="仿宋" w:cs="仿宋"/>
                <w:kern w:val="0"/>
                <w:sz w:val="24"/>
                <w:lang w:bidi="ar"/>
              </w:rPr>
              <w:t>保密要求</w:t>
            </w:r>
          </w:p>
        </w:tc>
        <w:tc>
          <w:tcPr>
            <w:tcW w:w="5141" w:type="dxa"/>
            <w:tcBorders>
              <w:top w:val="single" w:color="000000" w:sz="4" w:space="0"/>
              <w:left w:val="single" w:color="000000" w:sz="4" w:space="0"/>
              <w:bottom w:val="single" w:color="000000" w:sz="4" w:space="0"/>
              <w:right w:val="single" w:color="000000" w:sz="4" w:space="0"/>
            </w:tcBorders>
            <w:vAlign w:val="center"/>
          </w:tcPr>
          <w:p w14:paraId="4525CC58">
            <w:pPr>
              <w:widowControl/>
              <w:textAlignment w:val="center"/>
              <w:rPr>
                <w:rFonts w:ascii="仿宋" w:hAnsi="仿宋" w:eastAsia="仿宋" w:cs="仿宋"/>
                <w:sz w:val="24"/>
              </w:rPr>
            </w:pPr>
            <w:r>
              <w:rPr>
                <w:rFonts w:hint="eastAsia" w:ascii="仿宋" w:hAnsi="仿宋" w:eastAsia="仿宋" w:cs="仿宋"/>
                <w:kern w:val="0"/>
                <w:sz w:val="24"/>
                <w:lang w:bidi="ar"/>
              </w:rPr>
              <w:t>中标人和制造商均应严守招标人的机密，不经招标人批准不得以任何的形式将招标人资料及信息带出工作现场及透露给第三方。</w:t>
            </w:r>
          </w:p>
        </w:tc>
        <w:tc>
          <w:tcPr>
            <w:tcW w:w="2029" w:type="dxa"/>
            <w:tcBorders>
              <w:top w:val="single" w:color="000000" w:sz="4" w:space="0"/>
              <w:left w:val="single" w:color="000000" w:sz="4" w:space="0"/>
              <w:bottom w:val="single" w:color="000000" w:sz="4" w:space="0"/>
              <w:right w:val="single" w:color="000000" w:sz="4" w:space="0"/>
            </w:tcBorders>
            <w:vAlign w:val="center"/>
          </w:tcPr>
          <w:p w14:paraId="4E3E30D8">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039BE9DB">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5F0641A">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69D872C">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83DD16F">
            <w:pPr>
              <w:rPr>
                <w:rFonts w:ascii="仿宋" w:hAnsi="仿宋" w:eastAsia="仿宋" w:cs="仿宋"/>
                <w:sz w:val="24"/>
              </w:rPr>
            </w:pPr>
          </w:p>
        </w:tc>
        <w:tc>
          <w:tcPr>
            <w:tcW w:w="5141" w:type="dxa"/>
            <w:tcBorders>
              <w:top w:val="single" w:color="000000" w:sz="4" w:space="0"/>
              <w:left w:val="single" w:color="000000" w:sz="4" w:space="0"/>
              <w:bottom w:val="single" w:color="000000" w:sz="4" w:space="0"/>
              <w:right w:val="single" w:color="000000" w:sz="4" w:space="0"/>
            </w:tcBorders>
            <w:vAlign w:val="center"/>
          </w:tcPr>
          <w:p w14:paraId="07D8D111">
            <w:pPr>
              <w:widowControl/>
              <w:textAlignment w:val="center"/>
              <w:rPr>
                <w:rFonts w:ascii="仿宋" w:hAnsi="仿宋" w:eastAsia="仿宋" w:cs="仿宋"/>
                <w:sz w:val="24"/>
              </w:rPr>
            </w:pPr>
            <w:r>
              <w:rPr>
                <w:rFonts w:hint="eastAsia" w:ascii="仿宋" w:hAnsi="仿宋" w:eastAsia="仿宋" w:cs="仿宋"/>
                <w:kern w:val="0"/>
                <w:sz w:val="24"/>
                <w:lang w:bidi="ar"/>
              </w:rPr>
              <w:t>中标人和制造商应与招标人签订保密协议，在招标人规定的保密期内不发生失泄密。如果参与人员在规定的保密期内发生失泄密行为，中标人及制造商应承担全部责任。</w:t>
            </w:r>
          </w:p>
        </w:tc>
        <w:tc>
          <w:tcPr>
            <w:tcW w:w="2029" w:type="dxa"/>
            <w:tcBorders>
              <w:top w:val="single" w:color="000000" w:sz="4" w:space="0"/>
              <w:left w:val="single" w:color="000000" w:sz="4" w:space="0"/>
              <w:bottom w:val="single" w:color="000000" w:sz="4" w:space="0"/>
              <w:right w:val="single" w:color="000000" w:sz="4" w:space="0"/>
            </w:tcBorders>
            <w:vAlign w:val="center"/>
          </w:tcPr>
          <w:p w14:paraId="5D7673A2">
            <w:pPr>
              <w:widowControl/>
              <w:textAlignment w:val="center"/>
              <w:rPr>
                <w:rFonts w:ascii="仿宋" w:hAnsi="仿宋" w:eastAsia="仿宋" w:cs="仿宋"/>
                <w:sz w:val="24"/>
              </w:rPr>
            </w:pPr>
            <w:r>
              <w:rPr>
                <w:rFonts w:hint="eastAsia" w:ascii="仿宋" w:hAnsi="仿宋" w:eastAsia="仿宋" w:cs="仿宋"/>
                <w:kern w:val="0"/>
                <w:sz w:val="24"/>
                <w:lang w:bidi="ar"/>
              </w:rPr>
              <w:t>否</w:t>
            </w:r>
          </w:p>
        </w:tc>
      </w:tr>
      <w:tr w14:paraId="1D1C933E">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95D2D04">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auto" w:sz="4" w:space="0"/>
              <w:right w:val="single" w:color="000000" w:sz="4" w:space="0"/>
            </w:tcBorders>
            <w:vAlign w:val="center"/>
          </w:tcPr>
          <w:p w14:paraId="15BFE8C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auto" w:sz="4" w:space="0"/>
              <w:right w:val="single" w:color="000000" w:sz="4" w:space="0"/>
            </w:tcBorders>
            <w:vAlign w:val="center"/>
          </w:tcPr>
          <w:p w14:paraId="0176F919">
            <w:pPr>
              <w:rPr>
                <w:rFonts w:ascii="仿宋" w:hAnsi="仿宋" w:eastAsia="仿宋" w:cs="仿宋"/>
                <w:kern w:val="0"/>
                <w:sz w:val="24"/>
                <w:lang w:bidi="ar"/>
              </w:rPr>
            </w:pPr>
            <w:r>
              <w:rPr>
                <w:rFonts w:hint="eastAsia" w:ascii="仿宋" w:hAnsi="仿宋" w:eastAsia="仿宋" w:cs="仿宋"/>
                <w:sz w:val="24"/>
              </w:rPr>
              <w:t>法律限制性规定</w:t>
            </w:r>
          </w:p>
        </w:tc>
        <w:tc>
          <w:tcPr>
            <w:tcW w:w="5141" w:type="dxa"/>
            <w:tcBorders>
              <w:top w:val="single" w:color="000000" w:sz="4" w:space="0"/>
              <w:left w:val="single" w:color="000000" w:sz="4" w:space="0"/>
              <w:bottom w:val="single" w:color="000000" w:sz="4" w:space="0"/>
              <w:right w:val="single" w:color="000000" w:sz="4" w:space="0"/>
            </w:tcBorders>
          </w:tcPr>
          <w:p w14:paraId="2256DEBC">
            <w:pPr>
              <w:rPr>
                <w:rFonts w:ascii="仿宋" w:hAnsi="仿宋" w:eastAsia="仿宋" w:cs="宋体"/>
                <w:sz w:val="24"/>
              </w:rPr>
            </w:pPr>
            <w:r>
              <w:rPr>
                <w:rFonts w:hint="eastAsia" w:ascii="仿宋" w:hAnsi="仿宋" w:eastAsia="仿宋" w:cs="宋体"/>
                <w:sz w:val="24"/>
              </w:rPr>
              <w:t>单位负责人为同一人或者存在直接控股或管理关系的不同单位，不得参加同一包件的投标或者未划分包件的同一招标项目的投标。</w:t>
            </w:r>
          </w:p>
          <w:p w14:paraId="149A33A0">
            <w:pPr>
              <w:rPr>
                <w:rFonts w:ascii="仿宋" w:hAnsi="仿宋" w:eastAsia="仿宋" w:cs="宋体"/>
                <w:sz w:val="24"/>
              </w:rPr>
            </w:pPr>
            <w:r>
              <w:rPr>
                <w:rFonts w:hint="eastAsia" w:ascii="仿宋" w:hAnsi="仿宋" w:eastAsia="仿宋" w:cs="宋体"/>
                <w:sz w:val="24"/>
              </w:rPr>
              <w:t>投标人在投标文件中提供“单位负责人为同一人或者存在直接控股、管理关系的不同供应商”名单。</w:t>
            </w:r>
          </w:p>
          <w:p w14:paraId="645D2EE9">
            <w:pPr>
              <w:rPr>
                <w:rFonts w:ascii="仿宋" w:hAnsi="仿宋" w:eastAsia="仿宋" w:cs="宋体"/>
                <w:sz w:val="24"/>
              </w:rPr>
            </w:pPr>
            <w:r>
              <w:rPr>
                <w:rFonts w:hint="eastAsia" w:ascii="仿宋" w:hAnsi="仿宋" w:eastAsia="仿宋" w:cs="宋体"/>
                <w:sz w:val="24"/>
              </w:rPr>
              <w:t>评审环节将根据名单对所有投标人进行符合性审查，如存在上述情况的两家及以上投标人，将同时按投标无效处理。</w:t>
            </w:r>
          </w:p>
          <w:p w14:paraId="5A9FEE36">
            <w:pPr>
              <w:rPr>
                <w:rFonts w:ascii="仿宋" w:hAnsi="仿宋" w:eastAsia="仿宋" w:cs="宋体"/>
                <w:sz w:val="24"/>
              </w:rPr>
            </w:pPr>
            <w:r>
              <w:rPr>
                <w:rFonts w:hint="eastAsia" w:ascii="仿宋" w:hAnsi="仿宋" w:eastAsia="仿宋" w:cs="宋体"/>
                <w:sz w:val="24"/>
              </w:rPr>
              <w:t>备注：</w:t>
            </w:r>
          </w:p>
          <w:p w14:paraId="25811CB5">
            <w:pPr>
              <w:rPr>
                <w:rFonts w:ascii="仿宋" w:hAnsi="仿宋" w:eastAsia="仿宋" w:cs="宋体"/>
                <w:sz w:val="24"/>
              </w:rPr>
            </w:pPr>
            <w:r>
              <w:rPr>
                <w:rFonts w:hint="eastAsia" w:ascii="仿宋" w:hAnsi="仿宋" w:eastAsia="仿宋" w:cs="宋体"/>
                <w:sz w:val="24"/>
              </w:rPr>
              <w:t>1、单位负责人，是指单位法定代表人或法律、行政法规规定代表单位行使职权的主要负责人。法定代表人，是指由法律或者法人组织章程规定，代表法人对外行使民事权利、履行民事义务的负责人。</w:t>
            </w:r>
          </w:p>
          <w:p w14:paraId="1255CBE2">
            <w:pPr>
              <w:rPr>
                <w:rFonts w:ascii="仿宋" w:hAnsi="仿宋" w:eastAsia="仿宋" w:cs="宋体"/>
                <w:sz w:val="24"/>
              </w:rPr>
            </w:pPr>
            <w:r>
              <w:rPr>
                <w:rFonts w:hint="eastAsia" w:ascii="仿宋" w:hAnsi="仿宋" w:eastAsia="仿宋" w:cs="宋体"/>
                <w:sz w:val="24"/>
              </w:rPr>
              <w:t>2、控股股东，是指其出资额占有限责任公司指标总额百分之五十以上或其持有的股份占股份有限公司股本总额百分之五十以上的股东；出资额或持有股份比例虽不足百分之五十，但依其出资额或持有的股份所享有的表决权已足以对股东会、股东大会的决议产生重大影响的股东。</w:t>
            </w:r>
          </w:p>
          <w:p w14:paraId="29622D42">
            <w:pPr>
              <w:rPr>
                <w:rFonts w:ascii="仿宋" w:hAnsi="仿宋" w:eastAsia="仿宋" w:cs="宋体"/>
                <w:sz w:val="24"/>
              </w:rPr>
            </w:pPr>
            <w:r>
              <w:rPr>
                <w:rFonts w:hint="eastAsia" w:ascii="仿宋" w:hAnsi="仿宋" w:eastAsia="仿宋" w:cs="宋体"/>
                <w:sz w:val="24"/>
              </w:rPr>
              <w:t>3、管理关系，是指不具有出资持股关系的其它单位之间存在的管理与被管理关系，如上下级的事业单位和团体组织。</w:t>
            </w:r>
          </w:p>
          <w:p w14:paraId="57D979A2">
            <w:r>
              <w:rPr>
                <w:rFonts w:hint="eastAsia" w:ascii="仿宋" w:hAnsi="仿宋" w:eastAsia="仿宋" w:cs="宋体"/>
                <w:sz w:val="24"/>
              </w:rPr>
              <w:t>4、本条所规定的控股、管理关系仅限于直接控股、直接管理关系，而不包括间接的控股或管理关系。</w:t>
            </w:r>
          </w:p>
        </w:tc>
        <w:tc>
          <w:tcPr>
            <w:tcW w:w="2029" w:type="dxa"/>
            <w:tcBorders>
              <w:top w:val="single" w:color="000000" w:sz="4" w:space="0"/>
              <w:left w:val="single" w:color="000000" w:sz="4" w:space="0"/>
              <w:bottom w:val="single" w:color="000000" w:sz="4" w:space="0"/>
              <w:right w:val="single" w:color="000000" w:sz="4" w:space="0"/>
            </w:tcBorders>
          </w:tcPr>
          <w:p w14:paraId="4F9B2770">
            <w:pPr>
              <w:rPr>
                <w:rFonts w:ascii="仿宋" w:hAnsi="仿宋" w:eastAsia="仿宋" w:cs="仿宋"/>
                <w:b/>
                <w:bCs/>
                <w:sz w:val="24"/>
              </w:rPr>
            </w:pPr>
            <w:r>
              <w:rPr>
                <w:rFonts w:hint="eastAsia" w:ascii="仿宋" w:hAnsi="仿宋" w:eastAsia="仿宋" w:cs="仿宋"/>
                <w:b/>
                <w:bCs/>
                <w:sz w:val="24"/>
              </w:rPr>
              <w:t>是，</w:t>
            </w:r>
          </w:p>
          <w:p w14:paraId="29A9C953">
            <w:pPr>
              <w:rPr>
                <w:rFonts w:ascii="仿宋" w:hAnsi="仿宋" w:eastAsia="仿宋" w:cs="宋体"/>
                <w:b/>
                <w:bCs/>
                <w:sz w:val="24"/>
              </w:rPr>
            </w:pPr>
            <w:r>
              <w:rPr>
                <w:rFonts w:hint="eastAsia" w:ascii="仿宋" w:hAnsi="仿宋" w:eastAsia="仿宋" w:cs="宋体"/>
                <w:b/>
                <w:bCs/>
                <w:sz w:val="24"/>
              </w:rPr>
              <w:t>投标人在投标文件中提供“单位负责人为同一人或者存在直接控股、管理关系的不同供应商”名单。</w:t>
            </w:r>
          </w:p>
          <w:p w14:paraId="3FE4E9FC">
            <w:pPr>
              <w:rPr>
                <w:rFonts w:ascii="仿宋" w:hAnsi="仿宋" w:eastAsia="仿宋" w:cs="仿宋"/>
                <w:kern w:val="0"/>
                <w:sz w:val="24"/>
                <w:lang w:bidi="ar"/>
              </w:rPr>
            </w:pPr>
          </w:p>
        </w:tc>
      </w:tr>
      <w:tr w14:paraId="3D2A1AA8">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AC4CDAF">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095F60C">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07021D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产品绿色环保性能</w:t>
            </w:r>
          </w:p>
        </w:tc>
        <w:tc>
          <w:tcPr>
            <w:tcW w:w="5141" w:type="dxa"/>
            <w:tcBorders>
              <w:top w:val="single" w:color="000000" w:sz="4" w:space="0"/>
              <w:left w:val="single" w:color="000000" w:sz="4" w:space="0"/>
              <w:bottom w:val="single" w:color="000000" w:sz="4" w:space="0"/>
              <w:right w:val="single" w:color="000000" w:sz="4" w:space="0"/>
            </w:tcBorders>
            <w:vAlign w:val="center"/>
          </w:tcPr>
          <w:p w14:paraId="638DFC99">
            <w:pPr>
              <w:widowControl/>
              <w:textAlignment w:val="center"/>
              <w:rPr>
                <w:sz w:val="24"/>
              </w:rPr>
            </w:pPr>
            <w:r>
              <w:rPr>
                <w:rFonts w:hint="eastAsia" w:ascii="仿宋" w:hAnsi="仿宋" w:eastAsia="仿宋" w:cs="仿宋"/>
                <w:kern w:val="0"/>
                <w:sz w:val="24"/>
                <w:lang w:bidi="ar"/>
              </w:rPr>
              <w:t>投标人所投服务器类型二属于“环境标志产品政府采购品目清单”范围。</w:t>
            </w:r>
          </w:p>
        </w:tc>
        <w:tc>
          <w:tcPr>
            <w:tcW w:w="2029" w:type="dxa"/>
            <w:tcBorders>
              <w:top w:val="single" w:color="000000" w:sz="4" w:space="0"/>
              <w:left w:val="single" w:color="000000" w:sz="4" w:space="0"/>
              <w:bottom w:val="single" w:color="000000" w:sz="4" w:space="0"/>
              <w:right w:val="single" w:color="000000" w:sz="4" w:space="0"/>
            </w:tcBorders>
            <w:vAlign w:val="center"/>
          </w:tcPr>
          <w:p w14:paraId="5E142ECF">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是，提供投标产品获得国家确定的认证机构出具的、处于有效期内的环境标志产品认证证书复印件并加盖投标人公章。</w:t>
            </w:r>
          </w:p>
        </w:tc>
      </w:tr>
      <w:tr w14:paraId="79BC77EA">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56C00AB2">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0006B32">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5B9A1AE">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到货验收付款条件</w:t>
            </w:r>
          </w:p>
        </w:tc>
        <w:tc>
          <w:tcPr>
            <w:tcW w:w="5141" w:type="dxa"/>
            <w:tcBorders>
              <w:top w:val="single" w:color="000000" w:sz="4" w:space="0"/>
              <w:left w:val="single" w:color="000000" w:sz="4" w:space="0"/>
              <w:bottom w:val="single" w:color="000000" w:sz="4" w:space="0"/>
              <w:right w:val="single" w:color="000000" w:sz="4" w:space="0"/>
            </w:tcBorders>
            <w:vAlign w:val="center"/>
          </w:tcPr>
          <w:p w14:paraId="693357D9">
            <w:pPr>
              <w:widowControl/>
              <w:textAlignment w:val="center"/>
              <w:rPr>
                <w:rFonts w:ascii="仿宋" w:hAnsi="仿宋" w:eastAsia="仿宋" w:cs="仿宋"/>
                <w:kern w:val="0"/>
                <w:sz w:val="24"/>
                <w:lang w:bidi="ar"/>
              </w:rPr>
            </w:pPr>
            <w:r>
              <w:rPr>
                <w:rFonts w:hint="eastAsia" w:ascii="仿宋" w:hAnsi="仿宋" w:eastAsia="仿宋"/>
                <w:sz w:val="24"/>
              </w:rPr>
              <w:t>到货验收通过，双方出具货物</w:t>
            </w:r>
            <w:r>
              <w:rPr>
                <w:rFonts w:hint="eastAsia" w:ascii="仿宋" w:hAnsi="仿宋" w:eastAsia="仿宋" w:cs="仿宋"/>
                <w:kern w:val="0"/>
                <w:sz w:val="24"/>
                <w:lang w:bidi="ar"/>
              </w:rPr>
              <w:t>到货验收合格的《合同验收单》</w:t>
            </w:r>
            <w:r>
              <w:rPr>
                <w:rFonts w:hint="eastAsia" w:ascii="仿宋" w:hAnsi="仿宋" w:eastAsia="仿宋"/>
                <w:sz w:val="24"/>
              </w:rPr>
              <w:t>，且甲方收到乙方提供的与本阶段付款金额等值的正式发票以及乙方加盖单位公章的《付款申请》后。</w:t>
            </w:r>
          </w:p>
        </w:tc>
        <w:tc>
          <w:tcPr>
            <w:tcW w:w="2029" w:type="dxa"/>
            <w:tcBorders>
              <w:top w:val="single" w:color="000000" w:sz="4" w:space="0"/>
              <w:left w:val="single" w:color="000000" w:sz="4" w:space="0"/>
              <w:bottom w:val="single" w:color="000000" w:sz="4" w:space="0"/>
              <w:right w:val="single" w:color="000000" w:sz="4" w:space="0"/>
            </w:tcBorders>
            <w:vAlign w:val="center"/>
          </w:tcPr>
          <w:p w14:paraId="543F54CA">
            <w:pPr>
              <w:widowControl/>
              <w:jc w:val="left"/>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否</w:t>
            </w:r>
          </w:p>
        </w:tc>
      </w:tr>
      <w:tr w14:paraId="57C5E369">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8058322">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B8DE9AE">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0D065E8">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初步验收付款条件</w:t>
            </w:r>
          </w:p>
        </w:tc>
        <w:tc>
          <w:tcPr>
            <w:tcW w:w="5141" w:type="dxa"/>
            <w:tcBorders>
              <w:top w:val="single" w:color="000000" w:sz="4" w:space="0"/>
              <w:left w:val="single" w:color="000000" w:sz="4" w:space="0"/>
              <w:bottom w:val="single" w:color="000000" w:sz="4" w:space="0"/>
              <w:right w:val="single" w:color="000000" w:sz="4" w:space="0"/>
            </w:tcBorders>
            <w:vAlign w:val="center"/>
          </w:tcPr>
          <w:p w14:paraId="34C5EF05">
            <w:pPr>
              <w:widowControl/>
              <w:textAlignment w:val="center"/>
              <w:rPr>
                <w:rFonts w:ascii="仿宋" w:hAnsi="仿宋" w:eastAsia="仿宋" w:cs="仿宋"/>
                <w:kern w:val="0"/>
                <w:sz w:val="24"/>
                <w:lang w:bidi="ar"/>
              </w:rPr>
            </w:pPr>
            <w:r>
              <w:rPr>
                <w:rFonts w:hint="eastAsia" w:ascii="仿宋" w:hAnsi="仿宋" w:eastAsia="仿宋"/>
                <w:sz w:val="24"/>
              </w:rPr>
              <w:t>初步验收通过，双方出具初步</w:t>
            </w:r>
            <w:r>
              <w:rPr>
                <w:rFonts w:hint="eastAsia" w:ascii="仿宋" w:hAnsi="仿宋" w:eastAsia="仿宋" w:cs="仿宋"/>
                <w:kern w:val="0"/>
                <w:sz w:val="24"/>
                <w:lang w:bidi="ar"/>
              </w:rPr>
              <w:t>验收合格的《合同验收单》</w:t>
            </w:r>
            <w:r>
              <w:rPr>
                <w:rFonts w:hint="eastAsia" w:ascii="仿宋" w:hAnsi="仿宋" w:eastAsia="仿宋"/>
                <w:sz w:val="24"/>
              </w:rPr>
              <w:t>，且甲方收到乙方提供的与本阶段付款金额等值的正式发票以及乙方加盖单位公章的《付款申请》后。</w:t>
            </w:r>
          </w:p>
        </w:tc>
        <w:tc>
          <w:tcPr>
            <w:tcW w:w="2029" w:type="dxa"/>
            <w:tcBorders>
              <w:top w:val="single" w:color="000000" w:sz="4" w:space="0"/>
              <w:left w:val="single" w:color="000000" w:sz="4" w:space="0"/>
              <w:bottom w:val="single" w:color="000000" w:sz="4" w:space="0"/>
              <w:right w:val="single" w:color="000000" w:sz="4" w:space="0"/>
            </w:tcBorders>
            <w:vAlign w:val="center"/>
          </w:tcPr>
          <w:p w14:paraId="646063C9">
            <w:pPr>
              <w:widowControl/>
              <w:jc w:val="left"/>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否</w:t>
            </w:r>
          </w:p>
        </w:tc>
      </w:tr>
      <w:tr w14:paraId="0C056930">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auto" w:sz="4" w:space="0"/>
              <w:right w:val="single" w:color="000000" w:sz="4" w:space="0"/>
            </w:tcBorders>
            <w:vAlign w:val="center"/>
          </w:tcPr>
          <w:p w14:paraId="0AC630EC">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000000" w:sz="4" w:space="0"/>
              <w:left w:val="single" w:color="000000" w:sz="4" w:space="0"/>
              <w:bottom w:val="single" w:color="auto" w:sz="4" w:space="0"/>
              <w:right w:val="single" w:color="000000" w:sz="4" w:space="0"/>
            </w:tcBorders>
            <w:vAlign w:val="center"/>
          </w:tcPr>
          <w:p w14:paraId="5779CFA1">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auto" w:sz="4" w:space="0"/>
              <w:right w:val="single" w:color="000000" w:sz="4" w:space="0"/>
            </w:tcBorders>
            <w:vAlign w:val="center"/>
          </w:tcPr>
          <w:p w14:paraId="7D4AC3EE">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最终验收付款条件</w:t>
            </w:r>
          </w:p>
        </w:tc>
        <w:tc>
          <w:tcPr>
            <w:tcW w:w="5141" w:type="dxa"/>
            <w:tcBorders>
              <w:top w:val="single" w:color="000000" w:sz="4" w:space="0"/>
              <w:left w:val="single" w:color="000000" w:sz="4" w:space="0"/>
              <w:bottom w:val="single" w:color="auto" w:sz="4" w:space="0"/>
              <w:right w:val="single" w:color="000000" w:sz="4" w:space="0"/>
            </w:tcBorders>
            <w:vAlign w:val="center"/>
          </w:tcPr>
          <w:p w14:paraId="484C8099">
            <w:pPr>
              <w:widowControl/>
              <w:textAlignment w:val="center"/>
              <w:rPr>
                <w:rFonts w:ascii="仿宋" w:hAnsi="仿宋" w:eastAsia="仿宋" w:cs="仿宋"/>
                <w:kern w:val="0"/>
                <w:sz w:val="24"/>
                <w:lang w:bidi="ar"/>
              </w:rPr>
            </w:pPr>
            <w:r>
              <w:rPr>
                <w:rFonts w:hint="eastAsia" w:ascii="仿宋" w:hAnsi="仿宋" w:eastAsia="仿宋"/>
                <w:sz w:val="24"/>
              </w:rPr>
              <w:t>最终验收通过，双方出具最终</w:t>
            </w:r>
            <w:r>
              <w:rPr>
                <w:rFonts w:hint="eastAsia" w:ascii="仿宋" w:hAnsi="仿宋" w:eastAsia="仿宋" w:cs="仿宋"/>
                <w:kern w:val="0"/>
                <w:sz w:val="24"/>
                <w:lang w:bidi="ar"/>
              </w:rPr>
              <w:t>验收合格的《合同验收单》</w:t>
            </w:r>
            <w:r>
              <w:rPr>
                <w:rFonts w:hint="eastAsia" w:ascii="仿宋" w:hAnsi="仿宋" w:eastAsia="仿宋"/>
                <w:sz w:val="24"/>
              </w:rPr>
              <w:t>，且甲方收到乙方提供的与本阶段付款金额等值的正式发票以及乙方加盖单位公章的《付款申请》后。</w:t>
            </w:r>
          </w:p>
        </w:tc>
        <w:tc>
          <w:tcPr>
            <w:tcW w:w="2029" w:type="dxa"/>
            <w:tcBorders>
              <w:top w:val="single" w:color="000000" w:sz="4" w:space="0"/>
              <w:left w:val="single" w:color="000000" w:sz="4" w:space="0"/>
              <w:bottom w:val="single" w:color="auto" w:sz="4" w:space="0"/>
              <w:right w:val="single" w:color="000000" w:sz="4" w:space="0"/>
            </w:tcBorders>
            <w:vAlign w:val="center"/>
          </w:tcPr>
          <w:p w14:paraId="238E3F3D">
            <w:pPr>
              <w:widowControl/>
              <w:jc w:val="left"/>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否</w:t>
            </w:r>
          </w:p>
        </w:tc>
      </w:tr>
      <w:tr w14:paraId="3F53FC02">
        <w:tblPrEx>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14:paraId="738415A3">
            <w:pPr>
              <w:numPr>
                <w:ilvl w:val="0"/>
                <w:numId w:val="5"/>
              </w:numPr>
              <w:tabs>
                <w:tab w:val="left" w:pos="420"/>
              </w:tabs>
              <w:spacing w:after="160" w:line="278" w:lineRule="auto"/>
              <w:jc w:val="center"/>
              <w:rPr>
                <w:rFonts w:ascii="仿宋" w:hAnsi="仿宋" w:eastAsia="仿宋" w:cs="仿宋"/>
                <w:sz w:val="24"/>
              </w:rPr>
            </w:pPr>
          </w:p>
        </w:tc>
        <w:tc>
          <w:tcPr>
            <w:tcW w:w="630" w:type="dxa"/>
            <w:tcBorders>
              <w:top w:val="single" w:color="auto" w:sz="4" w:space="0"/>
              <w:left w:val="single" w:color="auto" w:sz="4" w:space="0"/>
              <w:bottom w:val="single" w:color="auto" w:sz="4" w:space="0"/>
              <w:right w:val="single" w:color="auto" w:sz="4" w:space="0"/>
            </w:tcBorders>
            <w:vAlign w:val="center"/>
          </w:tcPr>
          <w:p w14:paraId="78D5F1C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auto" w:sz="4" w:space="0"/>
              <w:left w:val="single" w:color="auto" w:sz="4" w:space="0"/>
              <w:bottom w:val="single" w:color="auto" w:sz="4" w:space="0"/>
              <w:right w:val="single" w:color="auto" w:sz="4" w:space="0"/>
            </w:tcBorders>
            <w:vAlign w:val="center"/>
          </w:tcPr>
          <w:p w14:paraId="62C9D37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案例要求</w:t>
            </w:r>
          </w:p>
        </w:tc>
        <w:tc>
          <w:tcPr>
            <w:tcW w:w="5141" w:type="dxa"/>
            <w:tcBorders>
              <w:top w:val="single" w:color="auto" w:sz="4" w:space="0"/>
              <w:left w:val="single" w:color="auto" w:sz="4" w:space="0"/>
              <w:bottom w:val="single" w:color="auto" w:sz="4" w:space="0"/>
              <w:right w:val="single" w:color="auto" w:sz="4" w:space="0"/>
            </w:tcBorders>
            <w:vAlign w:val="center"/>
          </w:tcPr>
          <w:p w14:paraId="7CFACCF8">
            <w:pPr>
              <w:widowControl/>
              <w:textAlignment w:val="center"/>
              <w:rPr>
                <w:rFonts w:ascii="仿宋" w:hAnsi="仿宋" w:eastAsia="仿宋"/>
                <w:sz w:val="24"/>
              </w:rPr>
            </w:pPr>
            <w:r>
              <w:rPr>
                <w:rFonts w:hint="eastAsia" w:ascii="仿宋" w:hAnsi="仿宋" w:eastAsia="仿宋"/>
                <w:sz w:val="24"/>
              </w:rPr>
              <w:t>提供2024年1月1日至本次投标截止日前（以合同签字日期为准）与本次投标服务器类型二同品牌同型号服务器制造商成功案例(仅要求提供所投产品案例)。</w:t>
            </w:r>
          </w:p>
        </w:tc>
        <w:tc>
          <w:tcPr>
            <w:tcW w:w="2029" w:type="dxa"/>
            <w:tcBorders>
              <w:top w:val="single" w:color="auto" w:sz="4" w:space="0"/>
              <w:left w:val="single" w:color="auto" w:sz="4" w:space="0"/>
              <w:bottom w:val="single" w:color="auto" w:sz="4" w:space="0"/>
              <w:right w:val="single" w:color="auto" w:sz="4" w:space="0"/>
            </w:tcBorders>
            <w:vAlign w:val="center"/>
          </w:tcPr>
          <w:p w14:paraId="5B89C5BB">
            <w:pPr>
              <w:widowControl/>
              <w:jc w:val="left"/>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是，提供案例相关证明材料并加盖投标人公章。</w:t>
            </w:r>
          </w:p>
        </w:tc>
      </w:tr>
    </w:tbl>
    <w:p w14:paraId="5B48A978">
      <w:pPr>
        <w:pStyle w:val="22"/>
        <w:numPr>
          <w:ilvl w:val="0"/>
          <w:numId w:val="4"/>
        </w:numPr>
        <w:spacing w:after="160" w:line="560" w:lineRule="exact"/>
        <w:ind w:left="0" w:firstLine="0"/>
        <w:outlineLvl w:val="1"/>
        <w:rPr>
          <w:sz w:val="32"/>
          <w:szCs w:val="32"/>
          <w:lang w:eastAsia="zh-CN"/>
        </w:rPr>
      </w:pPr>
      <w:r>
        <w:rPr>
          <w:rFonts w:hint="eastAsia"/>
          <w:sz w:val="32"/>
          <w:szCs w:val="32"/>
          <w:lang w:eastAsia="zh-CN"/>
        </w:rPr>
        <w:t>付款方式</w:t>
      </w:r>
    </w:p>
    <w:tbl>
      <w:tblPr>
        <w:tblStyle w:val="16"/>
        <w:tblpPr w:leftFromText="180" w:rightFromText="180" w:vertAnchor="text" w:tblpXSpec="center" w:tblpY="1"/>
        <w:tblOverlap w:val="never"/>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15"/>
        <w:gridCol w:w="1796"/>
        <w:gridCol w:w="1864"/>
        <w:gridCol w:w="1200"/>
        <w:gridCol w:w="1527"/>
      </w:tblGrid>
      <w:tr w14:paraId="0C49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Align w:val="center"/>
          </w:tcPr>
          <w:p w14:paraId="6FDFCD84">
            <w:pPr>
              <w:widowControl/>
              <w:textAlignment w:val="center"/>
              <w:rPr>
                <w:rFonts w:cs="宋体"/>
                <w:b/>
                <w:sz w:val="24"/>
              </w:rPr>
            </w:pPr>
            <w:r>
              <w:rPr>
                <w:rFonts w:hint="eastAsia" w:ascii="仿宋" w:hAnsi="仿宋" w:eastAsia="仿宋" w:cs="仿宋"/>
                <w:b/>
                <w:sz w:val="24"/>
              </w:rPr>
              <w:t>序号</w:t>
            </w:r>
          </w:p>
        </w:tc>
        <w:tc>
          <w:tcPr>
            <w:tcW w:w="2215" w:type="dxa"/>
            <w:vAlign w:val="center"/>
          </w:tcPr>
          <w:p w14:paraId="5DE74BD6">
            <w:pPr>
              <w:jc w:val="center"/>
              <w:rPr>
                <w:rFonts w:ascii="仿宋" w:hAnsi="仿宋" w:eastAsia="仿宋"/>
                <w:b/>
                <w:sz w:val="24"/>
              </w:rPr>
            </w:pPr>
            <w:r>
              <w:rPr>
                <w:rFonts w:hint="eastAsia" w:ascii="仿宋" w:hAnsi="仿宋" w:eastAsia="仿宋"/>
                <w:b/>
                <w:sz w:val="24"/>
              </w:rPr>
              <w:t>付款节点（进度</w:t>
            </w:r>
            <w:r>
              <w:rPr>
                <w:rFonts w:ascii="仿宋" w:hAnsi="仿宋" w:eastAsia="仿宋"/>
                <w:b/>
                <w:sz w:val="24"/>
              </w:rPr>
              <w:t>）</w:t>
            </w:r>
          </w:p>
        </w:tc>
        <w:tc>
          <w:tcPr>
            <w:tcW w:w="1796" w:type="dxa"/>
            <w:vAlign w:val="center"/>
          </w:tcPr>
          <w:p w14:paraId="01AFB85B">
            <w:pPr>
              <w:jc w:val="center"/>
              <w:rPr>
                <w:rFonts w:ascii="仿宋" w:hAnsi="仿宋" w:eastAsia="仿宋"/>
                <w:b/>
                <w:sz w:val="24"/>
              </w:rPr>
            </w:pPr>
            <w:r>
              <w:rPr>
                <w:rFonts w:hint="eastAsia" w:ascii="仿宋" w:hAnsi="仿宋" w:eastAsia="仿宋"/>
                <w:b/>
                <w:sz w:val="24"/>
              </w:rPr>
              <w:t>付款条件</w:t>
            </w:r>
          </w:p>
        </w:tc>
        <w:tc>
          <w:tcPr>
            <w:tcW w:w="1864" w:type="dxa"/>
            <w:vAlign w:val="center"/>
          </w:tcPr>
          <w:p w14:paraId="00A48059">
            <w:pPr>
              <w:jc w:val="center"/>
              <w:rPr>
                <w:rFonts w:ascii="仿宋" w:hAnsi="仿宋" w:eastAsia="仿宋"/>
                <w:b/>
                <w:sz w:val="24"/>
              </w:rPr>
            </w:pPr>
            <w:r>
              <w:rPr>
                <w:rFonts w:hint="eastAsia" w:ascii="仿宋" w:hAnsi="仿宋" w:eastAsia="仿宋"/>
                <w:b/>
                <w:sz w:val="24"/>
              </w:rPr>
              <w:t>付款比例（或金额）</w:t>
            </w:r>
          </w:p>
        </w:tc>
        <w:tc>
          <w:tcPr>
            <w:tcW w:w="1200" w:type="dxa"/>
          </w:tcPr>
          <w:p w14:paraId="4C0ED974">
            <w:pPr>
              <w:jc w:val="center"/>
              <w:rPr>
                <w:rFonts w:ascii="仿宋" w:hAnsi="仿宋" w:eastAsia="仿宋"/>
                <w:b/>
                <w:sz w:val="24"/>
              </w:rPr>
            </w:pPr>
            <w:r>
              <w:rPr>
                <w:rFonts w:hint="eastAsia" w:ascii="仿宋" w:hAnsi="仿宋" w:eastAsia="仿宋"/>
                <w:b/>
                <w:sz w:val="24"/>
              </w:rPr>
              <w:t>资金支付</w:t>
            </w:r>
            <w:r>
              <w:rPr>
                <w:rFonts w:ascii="仿宋" w:hAnsi="仿宋" w:eastAsia="仿宋"/>
                <w:b/>
                <w:sz w:val="24"/>
              </w:rPr>
              <w:t>方式</w:t>
            </w:r>
          </w:p>
        </w:tc>
        <w:tc>
          <w:tcPr>
            <w:tcW w:w="1527" w:type="dxa"/>
            <w:vAlign w:val="center"/>
          </w:tcPr>
          <w:p w14:paraId="0D2D0C3C">
            <w:pPr>
              <w:jc w:val="center"/>
              <w:rPr>
                <w:rFonts w:ascii="仿宋" w:hAnsi="仿宋" w:eastAsia="仿宋"/>
                <w:b/>
                <w:sz w:val="24"/>
              </w:rPr>
            </w:pPr>
            <w:r>
              <w:rPr>
                <w:rFonts w:hint="eastAsia" w:ascii="仿宋" w:hAnsi="仿宋" w:eastAsia="仿宋"/>
                <w:b/>
                <w:sz w:val="24"/>
              </w:rPr>
              <w:t>备注</w:t>
            </w:r>
          </w:p>
        </w:tc>
      </w:tr>
      <w:tr w14:paraId="0C86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Align w:val="center"/>
          </w:tcPr>
          <w:p w14:paraId="79C065A8">
            <w:pPr>
              <w:pStyle w:val="22"/>
              <w:widowControl/>
              <w:numPr>
                <w:ilvl w:val="0"/>
                <w:numId w:val="5"/>
              </w:numPr>
              <w:tabs>
                <w:tab w:val="left" w:pos="420"/>
              </w:tabs>
              <w:spacing w:after="160" w:line="278" w:lineRule="auto"/>
              <w:textAlignment w:val="center"/>
              <w:rPr>
                <w:rFonts w:cs="宋体"/>
                <w:sz w:val="24"/>
                <w:lang w:eastAsia="zh-CN"/>
              </w:rPr>
            </w:pPr>
          </w:p>
        </w:tc>
        <w:tc>
          <w:tcPr>
            <w:tcW w:w="2215" w:type="dxa"/>
          </w:tcPr>
          <w:p w14:paraId="23E31E6E">
            <w:pPr>
              <w:rPr>
                <w:rFonts w:ascii="仿宋" w:hAnsi="仿宋" w:eastAsia="仿宋"/>
                <w:sz w:val="24"/>
              </w:rPr>
            </w:pPr>
            <w:r>
              <w:rPr>
                <w:rFonts w:hint="eastAsia" w:ascii="仿宋" w:hAnsi="仿宋" w:eastAsia="仿宋"/>
                <w:sz w:val="24"/>
              </w:rPr>
              <w:t>设备到货后</w:t>
            </w:r>
          </w:p>
        </w:tc>
        <w:tc>
          <w:tcPr>
            <w:tcW w:w="1796" w:type="dxa"/>
          </w:tcPr>
          <w:p w14:paraId="3A64432F">
            <w:pPr>
              <w:rPr>
                <w:rFonts w:ascii="仿宋" w:hAnsi="仿宋" w:eastAsia="仿宋"/>
                <w:sz w:val="24"/>
              </w:rPr>
            </w:pPr>
            <w:r>
              <w:rPr>
                <w:rFonts w:hint="eastAsia" w:ascii="仿宋" w:hAnsi="仿宋" w:eastAsia="仿宋"/>
                <w:sz w:val="24"/>
              </w:rPr>
              <w:t>详见商务要求</w:t>
            </w:r>
          </w:p>
        </w:tc>
        <w:tc>
          <w:tcPr>
            <w:tcW w:w="1864" w:type="dxa"/>
          </w:tcPr>
          <w:p w14:paraId="277826BF">
            <w:pPr>
              <w:rPr>
                <w:rFonts w:ascii="仿宋" w:hAnsi="仿宋" w:eastAsia="仿宋"/>
                <w:sz w:val="24"/>
              </w:rPr>
            </w:pPr>
            <w:r>
              <w:rPr>
                <w:rFonts w:hint="eastAsia" w:ascii="仿宋" w:hAnsi="仿宋" w:eastAsia="仿宋"/>
                <w:sz w:val="24"/>
              </w:rPr>
              <w:t>30%</w:t>
            </w:r>
          </w:p>
        </w:tc>
        <w:tc>
          <w:tcPr>
            <w:tcW w:w="1200" w:type="dxa"/>
          </w:tcPr>
          <w:p w14:paraId="0529B2E5">
            <w:pPr>
              <w:rPr>
                <w:rFonts w:ascii="仿宋" w:hAnsi="仿宋" w:eastAsia="仿宋"/>
                <w:sz w:val="24"/>
              </w:rPr>
            </w:pPr>
            <w:r>
              <w:rPr>
                <w:rFonts w:hint="eastAsia" w:ascii="仿宋" w:hAnsi="仿宋" w:eastAsia="仿宋"/>
                <w:sz w:val="24"/>
              </w:rPr>
              <w:t>汇款</w:t>
            </w:r>
          </w:p>
        </w:tc>
        <w:tc>
          <w:tcPr>
            <w:tcW w:w="1527" w:type="dxa"/>
          </w:tcPr>
          <w:p w14:paraId="3B0FD0C6">
            <w:pPr>
              <w:rPr>
                <w:rFonts w:ascii="仿宋" w:hAnsi="仿宋" w:eastAsia="仿宋"/>
                <w:sz w:val="24"/>
              </w:rPr>
            </w:pPr>
            <w:r>
              <w:rPr>
                <w:rFonts w:hint="eastAsia" w:ascii="仿宋" w:hAnsi="仿宋" w:eastAsia="仿宋"/>
                <w:sz w:val="24"/>
              </w:rPr>
              <w:t>不允许出现负偏离，否则投标无效</w:t>
            </w:r>
          </w:p>
        </w:tc>
      </w:tr>
      <w:tr w14:paraId="5035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Align w:val="center"/>
          </w:tcPr>
          <w:p w14:paraId="0C0CBE0C">
            <w:pPr>
              <w:pStyle w:val="22"/>
              <w:widowControl/>
              <w:numPr>
                <w:ilvl w:val="0"/>
                <w:numId w:val="5"/>
              </w:numPr>
              <w:tabs>
                <w:tab w:val="left" w:pos="420"/>
              </w:tabs>
              <w:spacing w:after="160" w:line="278" w:lineRule="auto"/>
              <w:textAlignment w:val="center"/>
              <w:rPr>
                <w:rFonts w:cs="宋体"/>
                <w:sz w:val="24"/>
                <w:lang w:eastAsia="zh-CN"/>
              </w:rPr>
            </w:pPr>
          </w:p>
        </w:tc>
        <w:tc>
          <w:tcPr>
            <w:tcW w:w="2215" w:type="dxa"/>
          </w:tcPr>
          <w:p w14:paraId="40806E27">
            <w:pPr>
              <w:rPr>
                <w:rFonts w:ascii="仿宋" w:hAnsi="仿宋" w:eastAsia="仿宋"/>
                <w:sz w:val="24"/>
              </w:rPr>
            </w:pPr>
            <w:r>
              <w:rPr>
                <w:rFonts w:hint="eastAsia" w:ascii="仿宋" w:hAnsi="仿宋" w:eastAsia="仿宋"/>
                <w:sz w:val="24"/>
              </w:rPr>
              <w:t>设备通过初步验收后</w:t>
            </w:r>
          </w:p>
        </w:tc>
        <w:tc>
          <w:tcPr>
            <w:tcW w:w="1796" w:type="dxa"/>
          </w:tcPr>
          <w:p w14:paraId="1983D2FC">
            <w:pPr>
              <w:rPr>
                <w:rFonts w:ascii="仿宋" w:hAnsi="仿宋" w:eastAsia="仿宋"/>
                <w:sz w:val="24"/>
              </w:rPr>
            </w:pPr>
            <w:r>
              <w:rPr>
                <w:rFonts w:hint="eastAsia" w:ascii="仿宋" w:hAnsi="仿宋" w:eastAsia="仿宋"/>
                <w:sz w:val="24"/>
              </w:rPr>
              <w:t>详见商务要求</w:t>
            </w:r>
          </w:p>
        </w:tc>
        <w:tc>
          <w:tcPr>
            <w:tcW w:w="1864" w:type="dxa"/>
          </w:tcPr>
          <w:p w14:paraId="231261CA">
            <w:pPr>
              <w:rPr>
                <w:rFonts w:ascii="仿宋" w:hAnsi="仿宋" w:eastAsia="仿宋"/>
                <w:sz w:val="24"/>
              </w:rPr>
            </w:pPr>
            <w:r>
              <w:rPr>
                <w:rFonts w:hint="eastAsia" w:ascii="仿宋" w:hAnsi="仿宋" w:eastAsia="仿宋"/>
                <w:sz w:val="24"/>
              </w:rPr>
              <w:t>40%</w:t>
            </w:r>
          </w:p>
        </w:tc>
        <w:tc>
          <w:tcPr>
            <w:tcW w:w="1200" w:type="dxa"/>
          </w:tcPr>
          <w:p w14:paraId="24A202EE">
            <w:pPr>
              <w:rPr>
                <w:rFonts w:ascii="仿宋" w:hAnsi="仿宋" w:eastAsia="仿宋"/>
                <w:sz w:val="24"/>
              </w:rPr>
            </w:pPr>
            <w:r>
              <w:rPr>
                <w:rFonts w:hint="eastAsia" w:ascii="仿宋" w:hAnsi="仿宋" w:eastAsia="仿宋"/>
                <w:sz w:val="24"/>
              </w:rPr>
              <w:t>汇款</w:t>
            </w:r>
          </w:p>
        </w:tc>
        <w:tc>
          <w:tcPr>
            <w:tcW w:w="1527" w:type="dxa"/>
          </w:tcPr>
          <w:p w14:paraId="2CCCAB27">
            <w:pPr>
              <w:rPr>
                <w:rFonts w:ascii="仿宋" w:hAnsi="仿宋" w:eastAsia="仿宋"/>
                <w:sz w:val="24"/>
              </w:rPr>
            </w:pPr>
            <w:r>
              <w:rPr>
                <w:rFonts w:hint="eastAsia" w:ascii="仿宋" w:hAnsi="仿宋" w:eastAsia="仿宋"/>
                <w:sz w:val="24"/>
              </w:rPr>
              <w:t>不允许出现负偏离，否则投标无效</w:t>
            </w:r>
          </w:p>
        </w:tc>
      </w:tr>
      <w:tr w14:paraId="00A6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Align w:val="center"/>
          </w:tcPr>
          <w:p w14:paraId="7F63354C">
            <w:pPr>
              <w:pStyle w:val="22"/>
              <w:widowControl/>
              <w:numPr>
                <w:ilvl w:val="0"/>
                <w:numId w:val="5"/>
              </w:numPr>
              <w:tabs>
                <w:tab w:val="left" w:pos="420"/>
              </w:tabs>
              <w:spacing w:after="160" w:line="278" w:lineRule="auto"/>
              <w:textAlignment w:val="center"/>
              <w:rPr>
                <w:rFonts w:cs="宋体"/>
                <w:sz w:val="24"/>
                <w:lang w:eastAsia="zh-CN"/>
              </w:rPr>
            </w:pPr>
          </w:p>
        </w:tc>
        <w:tc>
          <w:tcPr>
            <w:tcW w:w="2215" w:type="dxa"/>
          </w:tcPr>
          <w:p w14:paraId="693B580F">
            <w:pPr>
              <w:rPr>
                <w:rFonts w:ascii="仿宋" w:hAnsi="仿宋" w:eastAsia="仿宋"/>
                <w:sz w:val="24"/>
              </w:rPr>
            </w:pPr>
            <w:r>
              <w:rPr>
                <w:rFonts w:hint="eastAsia" w:ascii="仿宋" w:hAnsi="仿宋" w:eastAsia="仿宋"/>
                <w:sz w:val="24"/>
              </w:rPr>
              <w:t>设备通过最终验收后</w:t>
            </w:r>
          </w:p>
        </w:tc>
        <w:tc>
          <w:tcPr>
            <w:tcW w:w="1796" w:type="dxa"/>
          </w:tcPr>
          <w:p w14:paraId="21EBD34F">
            <w:pPr>
              <w:rPr>
                <w:rFonts w:ascii="仿宋" w:hAnsi="仿宋" w:eastAsia="仿宋"/>
                <w:sz w:val="24"/>
              </w:rPr>
            </w:pPr>
            <w:r>
              <w:rPr>
                <w:rFonts w:hint="eastAsia" w:ascii="仿宋" w:hAnsi="仿宋" w:eastAsia="仿宋"/>
                <w:sz w:val="24"/>
              </w:rPr>
              <w:t>详见商务要求</w:t>
            </w:r>
          </w:p>
        </w:tc>
        <w:tc>
          <w:tcPr>
            <w:tcW w:w="1864" w:type="dxa"/>
          </w:tcPr>
          <w:p w14:paraId="03510B5C">
            <w:pPr>
              <w:rPr>
                <w:rFonts w:ascii="仿宋" w:hAnsi="仿宋" w:eastAsia="仿宋"/>
                <w:sz w:val="24"/>
              </w:rPr>
            </w:pPr>
            <w:r>
              <w:rPr>
                <w:rFonts w:hint="eastAsia" w:ascii="仿宋" w:hAnsi="仿宋" w:eastAsia="仿宋"/>
                <w:sz w:val="24"/>
              </w:rPr>
              <w:t>30%</w:t>
            </w:r>
          </w:p>
        </w:tc>
        <w:tc>
          <w:tcPr>
            <w:tcW w:w="1200" w:type="dxa"/>
          </w:tcPr>
          <w:p w14:paraId="02CEA7F8">
            <w:pPr>
              <w:rPr>
                <w:rFonts w:ascii="仿宋" w:hAnsi="仿宋" w:eastAsia="仿宋"/>
                <w:sz w:val="24"/>
              </w:rPr>
            </w:pPr>
            <w:r>
              <w:rPr>
                <w:rFonts w:hint="eastAsia" w:ascii="仿宋" w:hAnsi="仿宋" w:eastAsia="仿宋"/>
                <w:sz w:val="24"/>
              </w:rPr>
              <w:t>汇款</w:t>
            </w:r>
          </w:p>
        </w:tc>
        <w:tc>
          <w:tcPr>
            <w:tcW w:w="1527" w:type="dxa"/>
          </w:tcPr>
          <w:p w14:paraId="4B8F6CA6">
            <w:pPr>
              <w:rPr>
                <w:rFonts w:ascii="仿宋" w:hAnsi="仿宋" w:eastAsia="仿宋"/>
                <w:sz w:val="24"/>
              </w:rPr>
            </w:pPr>
            <w:r>
              <w:rPr>
                <w:rFonts w:hint="eastAsia" w:ascii="仿宋" w:hAnsi="仿宋" w:eastAsia="仿宋"/>
                <w:sz w:val="24"/>
              </w:rPr>
              <w:t>不允许出现负偏离，否则投标无效</w:t>
            </w:r>
          </w:p>
        </w:tc>
      </w:tr>
    </w:tbl>
    <w:p w14:paraId="7617D7AD">
      <w:pPr>
        <w:spacing w:line="560" w:lineRule="exact"/>
        <w:jc w:val="left"/>
        <w:outlineLvl w:val="1"/>
        <w:rPr>
          <w:rFonts w:ascii="仿宋" w:hAnsi="仿宋" w:eastAsia="仿宋" w:cs="楷体"/>
          <w:sz w:val="28"/>
          <w:szCs w:val="28"/>
        </w:rPr>
        <w:sectPr>
          <w:footerReference r:id="rId6" w:type="default"/>
          <w:pgSz w:w="11906" w:h="16838"/>
          <w:pgMar w:top="1440" w:right="1800" w:bottom="1440" w:left="1800" w:header="851" w:footer="992" w:gutter="0"/>
          <w:cols w:space="0" w:num="1"/>
          <w:docGrid w:type="lines" w:linePitch="312" w:charSpace="0"/>
        </w:sectPr>
      </w:pPr>
    </w:p>
    <w:p w14:paraId="1D3C3D96"/>
    <w:p w14:paraId="53D03095">
      <w:pPr>
        <w:pStyle w:val="2"/>
      </w:pPr>
    </w:p>
    <w:p w14:paraId="0B280867">
      <w:pPr>
        <w:spacing w:line="560" w:lineRule="exact"/>
        <w:jc w:val="left"/>
        <w:outlineLvl w:val="1"/>
        <w:rPr>
          <w:rFonts w:ascii="仿宋" w:hAnsi="仿宋" w:eastAsia="仿宋" w:cs="楷体"/>
          <w:sz w:val="28"/>
          <w:szCs w:val="28"/>
        </w:rPr>
      </w:pPr>
      <w:r>
        <w:rPr>
          <w:rFonts w:ascii="仿宋" w:hAnsi="仿宋" w:eastAsia="仿宋" w:cs="楷体"/>
          <w:sz w:val="28"/>
          <w:szCs w:val="28"/>
        </w:rPr>
        <w:t>附件</w:t>
      </w:r>
      <w:r>
        <w:rPr>
          <w:rFonts w:hint="eastAsia" w:ascii="仿宋" w:hAnsi="仿宋" w:eastAsia="仿宋" w:cs="楷体"/>
          <w:sz w:val="28"/>
          <w:szCs w:val="28"/>
        </w:rPr>
        <w:t>1</w:t>
      </w:r>
    </w:p>
    <w:p w14:paraId="36BF8DF7">
      <w:pPr>
        <w:spacing w:line="560" w:lineRule="exact"/>
        <w:jc w:val="center"/>
        <w:outlineLvl w:val="1"/>
        <w:rPr>
          <w:rFonts w:ascii="仿宋" w:hAnsi="仿宋" w:eastAsia="仿宋" w:cs="楷体"/>
          <w:sz w:val="28"/>
          <w:szCs w:val="28"/>
        </w:rPr>
      </w:pPr>
    </w:p>
    <w:tbl>
      <w:tblPr>
        <w:tblStyle w:val="16"/>
        <w:tblW w:w="0" w:type="auto"/>
        <w:tblInd w:w="0" w:type="dxa"/>
        <w:tblBorders>
          <w:top w:val="none" w:color="auto" w:sz="0" w:space="0"/>
          <w:left w:val="none" w:color="auto" w:sz="0" w:space="0"/>
          <w:bottom w:val="none" w:color="auto" w:sz="0" w:space="0"/>
          <w:right w:val="none" w:color="auto" w:sz="0" w:space="0"/>
          <w:insideH w:val="dashed" w:color="auto" w:sz="18" w:space="0"/>
          <w:insideV w:val="single" w:color="auto" w:sz="4" w:space="0"/>
        </w:tblBorders>
        <w:tblLayout w:type="autofit"/>
        <w:tblCellMar>
          <w:top w:w="0" w:type="dxa"/>
          <w:left w:w="108" w:type="dxa"/>
          <w:bottom w:w="0" w:type="dxa"/>
          <w:right w:w="108" w:type="dxa"/>
        </w:tblCellMar>
      </w:tblPr>
      <w:tblGrid>
        <w:gridCol w:w="8522"/>
      </w:tblGrid>
      <w:tr w14:paraId="548C9339">
        <w:tblPrEx>
          <w:tblBorders>
            <w:top w:val="none" w:color="auto" w:sz="0" w:space="0"/>
            <w:left w:val="none" w:color="auto" w:sz="0" w:space="0"/>
            <w:bottom w:val="none" w:color="auto" w:sz="0" w:space="0"/>
            <w:right w:val="none" w:color="auto" w:sz="0" w:space="0"/>
            <w:insideH w:val="dashed" w:color="auto" w:sz="18" w:space="0"/>
            <w:insideV w:val="single" w:color="auto" w:sz="4" w:space="0"/>
          </w:tblBorders>
          <w:tblCellMar>
            <w:top w:w="0" w:type="dxa"/>
            <w:left w:w="108" w:type="dxa"/>
            <w:bottom w:w="0" w:type="dxa"/>
            <w:right w:w="108" w:type="dxa"/>
          </w:tblCellMar>
        </w:tblPrEx>
        <w:tc>
          <w:tcPr>
            <w:tcW w:w="8522" w:type="dxa"/>
          </w:tcPr>
          <w:p w14:paraId="657F6F8A">
            <w:pPr>
              <w:spacing w:line="360" w:lineRule="auto"/>
              <w:jc w:val="center"/>
              <w:rPr>
                <w:rFonts w:ascii="宋体" w:hAnsi="宋体"/>
                <w:sz w:val="24"/>
              </w:rPr>
            </w:pPr>
          </w:p>
          <w:p w14:paraId="59E6340D">
            <w:pPr>
              <w:spacing w:line="360" w:lineRule="auto"/>
              <w:jc w:val="center"/>
              <w:rPr>
                <w:rFonts w:ascii="宋体" w:hAnsi="宋体"/>
                <w:b/>
                <w:sz w:val="32"/>
                <w:szCs w:val="32"/>
              </w:rPr>
            </w:pPr>
            <w:r>
              <w:rPr>
                <w:rFonts w:hint="eastAsia" w:ascii="宋体" w:hAnsi="宋体"/>
                <w:b/>
                <w:sz w:val="32"/>
                <w:szCs w:val="32"/>
              </w:rPr>
              <w:t>原厂足期维保承诺函</w:t>
            </w:r>
          </w:p>
          <w:p w14:paraId="6BF3D82C">
            <w:pPr>
              <w:spacing w:line="360" w:lineRule="auto"/>
              <w:rPr>
                <w:rFonts w:ascii="宋体" w:hAnsi="宋体"/>
                <w:sz w:val="24"/>
              </w:rPr>
            </w:pPr>
            <w:r>
              <w:rPr>
                <w:rFonts w:hint="eastAsia" w:ascii="宋体" w:hAnsi="宋体"/>
                <w:sz w:val="24"/>
              </w:rPr>
              <w:t>致中国人民银行征信中心：</w:t>
            </w:r>
          </w:p>
          <w:p w14:paraId="2C271123">
            <w:pPr>
              <w:spacing w:line="360" w:lineRule="auto"/>
              <w:ind w:firstLine="465"/>
              <w:rPr>
                <w:rFonts w:ascii="宋体" w:hAnsi="宋体"/>
                <w:sz w:val="24"/>
              </w:rPr>
            </w:pPr>
            <w:r>
              <w:rPr>
                <w:rFonts w:hint="eastAsia" w:ascii="宋体" w:hAnsi="宋体"/>
                <w:sz w:val="24"/>
              </w:rPr>
              <w:t>我司承诺为本合同（合同编号、合同名称）中</w:t>
            </w:r>
            <w:r>
              <w:rPr>
                <w:rFonts w:hint="eastAsia" w:ascii="宋体" w:hAnsi="宋体"/>
                <w:sz w:val="24"/>
                <w:u w:val="single"/>
              </w:rPr>
              <w:t xml:space="preserve">                   </w:t>
            </w:r>
            <w:r>
              <w:rPr>
                <w:rFonts w:hint="eastAsia" w:ascii="宋体" w:hAnsi="宋体"/>
                <w:sz w:val="24"/>
              </w:rPr>
              <w:t>等产品（硬件）/软件，自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日起免费提供</w:t>
            </w:r>
            <w:r>
              <w:rPr>
                <w:rFonts w:hint="eastAsia" w:ascii="宋体" w:hAnsi="宋体"/>
                <w:sz w:val="24"/>
                <w:u w:val="single"/>
              </w:rPr>
              <w:t xml:space="preserve">    </w:t>
            </w:r>
            <w:r>
              <w:rPr>
                <w:rFonts w:hint="eastAsia" w:ascii="宋体" w:hAnsi="宋体"/>
                <w:sz w:val="24"/>
              </w:rPr>
              <w:t>年硬件质量保障期售后服务、免费提供</w:t>
            </w:r>
            <w:r>
              <w:rPr>
                <w:rFonts w:hint="eastAsia" w:ascii="宋体" w:hAnsi="宋体"/>
                <w:sz w:val="24"/>
                <w:u w:val="single"/>
              </w:rPr>
              <w:t xml:space="preserve">    </w:t>
            </w:r>
            <w:r>
              <w:rPr>
                <w:rFonts w:hint="eastAsia" w:ascii="宋体" w:hAnsi="宋体"/>
                <w:sz w:val="24"/>
              </w:rPr>
              <w:t>年软件质量保障期售后服务。具体明细详见清单：</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691"/>
              <w:gridCol w:w="567"/>
              <w:gridCol w:w="992"/>
              <w:gridCol w:w="709"/>
              <w:gridCol w:w="1276"/>
              <w:gridCol w:w="850"/>
              <w:gridCol w:w="1276"/>
              <w:gridCol w:w="1213"/>
            </w:tblGrid>
            <w:tr w14:paraId="5E21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14:paraId="7C9FEE26">
                  <w:pPr>
                    <w:spacing w:line="360" w:lineRule="auto"/>
                    <w:jc w:val="center"/>
                    <w:rPr>
                      <w:rFonts w:ascii="宋体" w:hAnsi="宋体"/>
                      <w:sz w:val="24"/>
                    </w:rPr>
                  </w:pPr>
                  <w:r>
                    <w:rPr>
                      <w:rFonts w:hint="eastAsia" w:ascii="宋体" w:hAnsi="宋体"/>
                      <w:sz w:val="24"/>
                    </w:rPr>
                    <w:t>序号</w:t>
                  </w:r>
                </w:p>
              </w:tc>
              <w:tc>
                <w:tcPr>
                  <w:tcW w:w="691" w:type="dxa"/>
                  <w:vAlign w:val="center"/>
                </w:tcPr>
                <w:p w14:paraId="4A0AA3B5">
                  <w:pPr>
                    <w:spacing w:line="360" w:lineRule="auto"/>
                    <w:jc w:val="center"/>
                    <w:rPr>
                      <w:rFonts w:ascii="宋体" w:hAnsi="宋体"/>
                      <w:sz w:val="24"/>
                    </w:rPr>
                  </w:pPr>
                  <w:r>
                    <w:rPr>
                      <w:rFonts w:hint="eastAsia" w:ascii="宋体" w:hAnsi="宋体"/>
                      <w:sz w:val="24"/>
                    </w:rPr>
                    <w:t>类别</w:t>
                  </w:r>
                </w:p>
              </w:tc>
              <w:tc>
                <w:tcPr>
                  <w:tcW w:w="567" w:type="dxa"/>
                  <w:vAlign w:val="center"/>
                </w:tcPr>
                <w:p w14:paraId="05ED1F78">
                  <w:pPr>
                    <w:spacing w:line="360" w:lineRule="auto"/>
                    <w:jc w:val="center"/>
                    <w:rPr>
                      <w:rFonts w:ascii="宋体" w:hAnsi="宋体"/>
                      <w:sz w:val="24"/>
                    </w:rPr>
                  </w:pPr>
                  <w:r>
                    <w:rPr>
                      <w:rFonts w:hint="eastAsia" w:ascii="宋体" w:hAnsi="宋体"/>
                      <w:sz w:val="24"/>
                    </w:rPr>
                    <w:t>品牌</w:t>
                  </w:r>
                </w:p>
              </w:tc>
              <w:tc>
                <w:tcPr>
                  <w:tcW w:w="992" w:type="dxa"/>
                  <w:vAlign w:val="center"/>
                </w:tcPr>
                <w:p w14:paraId="143E7B38">
                  <w:pPr>
                    <w:spacing w:line="360" w:lineRule="auto"/>
                    <w:jc w:val="center"/>
                    <w:rPr>
                      <w:rFonts w:ascii="宋体" w:hAnsi="宋体"/>
                      <w:sz w:val="24"/>
                    </w:rPr>
                  </w:pPr>
                  <w:r>
                    <w:rPr>
                      <w:rFonts w:hint="eastAsia" w:ascii="宋体" w:hAnsi="宋体"/>
                      <w:sz w:val="24"/>
                    </w:rPr>
                    <w:t>软/硬件名称</w:t>
                  </w:r>
                </w:p>
              </w:tc>
              <w:tc>
                <w:tcPr>
                  <w:tcW w:w="709" w:type="dxa"/>
                  <w:vAlign w:val="center"/>
                </w:tcPr>
                <w:p w14:paraId="77875FD3">
                  <w:pPr>
                    <w:spacing w:line="360" w:lineRule="auto"/>
                    <w:jc w:val="center"/>
                    <w:rPr>
                      <w:rFonts w:ascii="宋体" w:hAnsi="宋体"/>
                      <w:sz w:val="24"/>
                    </w:rPr>
                  </w:pPr>
                  <w:r>
                    <w:rPr>
                      <w:rFonts w:hint="eastAsia" w:ascii="宋体" w:hAnsi="宋体"/>
                      <w:sz w:val="24"/>
                    </w:rPr>
                    <w:t>型号</w:t>
                  </w:r>
                </w:p>
              </w:tc>
              <w:tc>
                <w:tcPr>
                  <w:tcW w:w="1276" w:type="dxa"/>
                  <w:vAlign w:val="center"/>
                </w:tcPr>
                <w:p w14:paraId="4CCDAFB2">
                  <w:pPr>
                    <w:spacing w:line="360" w:lineRule="auto"/>
                    <w:jc w:val="center"/>
                    <w:rPr>
                      <w:rFonts w:ascii="宋体" w:hAnsi="宋体"/>
                      <w:sz w:val="24"/>
                    </w:rPr>
                  </w:pPr>
                  <w:r>
                    <w:rPr>
                      <w:rFonts w:hint="eastAsia" w:ascii="宋体" w:hAnsi="宋体"/>
                      <w:sz w:val="24"/>
                    </w:rPr>
                    <w:t>序列号</w:t>
                  </w:r>
                </w:p>
              </w:tc>
              <w:tc>
                <w:tcPr>
                  <w:tcW w:w="850" w:type="dxa"/>
                  <w:vAlign w:val="center"/>
                </w:tcPr>
                <w:p w14:paraId="108F8558">
                  <w:pPr>
                    <w:spacing w:line="360" w:lineRule="auto"/>
                    <w:jc w:val="center"/>
                    <w:rPr>
                      <w:rFonts w:ascii="宋体" w:hAnsi="宋体"/>
                      <w:sz w:val="24"/>
                    </w:rPr>
                  </w:pPr>
                  <w:r>
                    <w:rPr>
                      <w:rFonts w:hint="eastAsia" w:ascii="宋体" w:hAnsi="宋体"/>
                      <w:sz w:val="24"/>
                    </w:rPr>
                    <w:t>数量</w:t>
                  </w:r>
                </w:p>
              </w:tc>
              <w:tc>
                <w:tcPr>
                  <w:tcW w:w="1276" w:type="dxa"/>
                  <w:vAlign w:val="center"/>
                </w:tcPr>
                <w:p w14:paraId="0D573900">
                  <w:pPr>
                    <w:spacing w:line="360" w:lineRule="auto"/>
                    <w:jc w:val="center"/>
                    <w:rPr>
                      <w:rFonts w:ascii="宋体" w:hAnsi="宋体"/>
                      <w:sz w:val="24"/>
                    </w:rPr>
                  </w:pPr>
                  <w:r>
                    <w:rPr>
                      <w:rFonts w:hint="eastAsia" w:ascii="宋体" w:hAnsi="宋体"/>
                      <w:sz w:val="24"/>
                    </w:rPr>
                    <w:t>质保期起始时间</w:t>
                  </w:r>
                </w:p>
              </w:tc>
              <w:tc>
                <w:tcPr>
                  <w:tcW w:w="1213" w:type="dxa"/>
                  <w:vAlign w:val="center"/>
                </w:tcPr>
                <w:p w14:paraId="183E71C5">
                  <w:pPr>
                    <w:spacing w:line="360" w:lineRule="auto"/>
                    <w:jc w:val="center"/>
                    <w:rPr>
                      <w:rFonts w:ascii="宋体" w:hAnsi="宋体"/>
                      <w:sz w:val="24"/>
                    </w:rPr>
                  </w:pPr>
                  <w:r>
                    <w:rPr>
                      <w:rFonts w:hint="eastAsia" w:ascii="宋体" w:hAnsi="宋体"/>
                      <w:sz w:val="24"/>
                    </w:rPr>
                    <w:t>质保期截止时间</w:t>
                  </w:r>
                </w:p>
              </w:tc>
            </w:tr>
            <w:tr w14:paraId="169A7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61D68D83">
                  <w:pPr>
                    <w:spacing w:line="360" w:lineRule="auto"/>
                    <w:rPr>
                      <w:rFonts w:ascii="宋体" w:hAnsi="宋体"/>
                      <w:sz w:val="24"/>
                    </w:rPr>
                  </w:pPr>
                </w:p>
              </w:tc>
              <w:tc>
                <w:tcPr>
                  <w:tcW w:w="691" w:type="dxa"/>
                </w:tcPr>
                <w:p w14:paraId="283D6686">
                  <w:pPr>
                    <w:spacing w:line="360" w:lineRule="auto"/>
                    <w:rPr>
                      <w:rFonts w:ascii="宋体" w:hAnsi="宋体"/>
                      <w:sz w:val="24"/>
                    </w:rPr>
                  </w:pPr>
                </w:p>
              </w:tc>
              <w:tc>
                <w:tcPr>
                  <w:tcW w:w="567" w:type="dxa"/>
                </w:tcPr>
                <w:p w14:paraId="740C4DB5">
                  <w:pPr>
                    <w:spacing w:line="360" w:lineRule="auto"/>
                    <w:rPr>
                      <w:rFonts w:ascii="宋体" w:hAnsi="宋体"/>
                      <w:sz w:val="24"/>
                    </w:rPr>
                  </w:pPr>
                </w:p>
              </w:tc>
              <w:tc>
                <w:tcPr>
                  <w:tcW w:w="992" w:type="dxa"/>
                </w:tcPr>
                <w:p w14:paraId="773CE32D">
                  <w:pPr>
                    <w:spacing w:line="360" w:lineRule="auto"/>
                    <w:rPr>
                      <w:rFonts w:ascii="宋体" w:hAnsi="宋体"/>
                      <w:sz w:val="24"/>
                    </w:rPr>
                  </w:pPr>
                </w:p>
              </w:tc>
              <w:tc>
                <w:tcPr>
                  <w:tcW w:w="709" w:type="dxa"/>
                </w:tcPr>
                <w:p w14:paraId="467E5BBF">
                  <w:pPr>
                    <w:spacing w:line="360" w:lineRule="auto"/>
                    <w:rPr>
                      <w:rFonts w:ascii="宋体" w:hAnsi="宋体"/>
                      <w:sz w:val="24"/>
                    </w:rPr>
                  </w:pPr>
                </w:p>
              </w:tc>
              <w:tc>
                <w:tcPr>
                  <w:tcW w:w="1276" w:type="dxa"/>
                </w:tcPr>
                <w:p w14:paraId="41A5DF34">
                  <w:pPr>
                    <w:spacing w:line="360" w:lineRule="auto"/>
                    <w:rPr>
                      <w:rFonts w:ascii="宋体" w:hAnsi="宋体"/>
                      <w:sz w:val="24"/>
                    </w:rPr>
                  </w:pPr>
                </w:p>
              </w:tc>
              <w:tc>
                <w:tcPr>
                  <w:tcW w:w="850" w:type="dxa"/>
                </w:tcPr>
                <w:p w14:paraId="43C70E45">
                  <w:pPr>
                    <w:spacing w:line="360" w:lineRule="auto"/>
                    <w:rPr>
                      <w:rFonts w:ascii="宋体" w:hAnsi="宋体"/>
                      <w:sz w:val="24"/>
                    </w:rPr>
                  </w:pPr>
                </w:p>
              </w:tc>
              <w:tc>
                <w:tcPr>
                  <w:tcW w:w="1276" w:type="dxa"/>
                </w:tcPr>
                <w:p w14:paraId="65189B18">
                  <w:pPr>
                    <w:spacing w:line="360" w:lineRule="auto"/>
                    <w:rPr>
                      <w:rFonts w:ascii="宋体" w:hAnsi="宋体"/>
                      <w:sz w:val="24"/>
                    </w:rPr>
                  </w:pPr>
                </w:p>
              </w:tc>
              <w:tc>
                <w:tcPr>
                  <w:tcW w:w="1213" w:type="dxa"/>
                </w:tcPr>
                <w:p w14:paraId="5FF5B1E0">
                  <w:pPr>
                    <w:spacing w:line="360" w:lineRule="auto"/>
                    <w:rPr>
                      <w:rFonts w:ascii="宋体" w:hAnsi="宋体"/>
                      <w:sz w:val="24"/>
                    </w:rPr>
                  </w:pPr>
                </w:p>
              </w:tc>
            </w:tr>
            <w:tr w14:paraId="1626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1F2CC1DD">
                  <w:pPr>
                    <w:spacing w:line="360" w:lineRule="auto"/>
                    <w:rPr>
                      <w:rFonts w:ascii="宋体" w:hAnsi="宋体"/>
                      <w:sz w:val="24"/>
                    </w:rPr>
                  </w:pPr>
                </w:p>
              </w:tc>
              <w:tc>
                <w:tcPr>
                  <w:tcW w:w="691" w:type="dxa"/>
                </w:tcPr>
                <w:p w14:paraId="037AFC6F">
                  <w:pPr>
                    <w:spacing w:line="360" w:lineRule="auto"/>
                    <w:rPr>
                      <w:rFonts w:ascii="宋体" w:hAnsi="宋体"/>
                      <w:sz w:val="24"/>
                    </w:rPr>
                  </w:pPr>
                </w:p>
              </w:tc>
              <w:tc>
                <w:tcPr>
                  <w:tcW w:w="567" w:type="dxa"/>
                </w:tcPr>
                <w:p w14:paraId="5716A2EC">
                  <w:pPr>
                    <w:spacing w:line="360" w:lineRule="auto"/>
                    <w:rPr>
                      <w:rFonts w:ascii="宋体" w:hAnsi="宋体"/>
                      <w:sz w:val="24"/>
                    </w:rPr>
                  </w:pPr>
                </w:p>
              </w:tc>
              <w:tc>
                <w:tcPr>
                  <w:tcW w:w="992" w:type="dxa"/>
                </w:tcPr>
                <w:p w14:paraId="0CC16235">
                  <w:pPr>
                    <w:spacing w:line="360" w:lineRule="auto"/>
                    <w:rPr>
                      <w:rFonts w:ascii="宋体" w:hAnsi="宋体"/>
                      <w:sz w:val="24"/>
                    </w:rPr>
                  </w:pPr>
                </w:p>
              </w:tc>
              <w:tc>
                <w:tcPr>
                  <w:tcW w:w="709" w:type="dxa"/>
                </w:tcPr>
                <w:p w14:paraId="4E457AD9">
                  <w:pPr>
                    <w:spacing w:line="360" w:lineRule="auto"/>
                    <w:rPr>
                      <w:rFonts w:ascii="宋体" w:hAnsi="宋体"/>
                      <w:sz w:val="24"/>
                    </w:rPr>
                  </w:pPr>
                </w:p>
              </w:tc>
              <w:tc>
                <w:tcPr>
                  <w:tcW w:w="1276" w:type="dxa"/>
                </w:tcPr>
                <w:p w14:paraId="28064285">
                  <w:pPr>
                    <w:spacing w:line="360" w:lineRule="auto"/>
                    <w:rPr>
                      <w:rFonts w:ascii="宋体" w:hAnsi="宋体"/>
                      <w:sz w:val="24"/>
                    </w:rPr>
                  </w:pPr>
                </w:p>
              </w:tc>
              <w:tc>
                <w:tcPr>
                  <w:tcW w:w="850" w:type="dxa"/>
                </w:tcPr>
                <w:p w14:paraId="3EBAF8D1">
                  <w:pPr>
                    <w:spacing w:line="360" w:lineRule="auto"/>
                    <w:rPr>
                      <w:rFonts w:ascii="宋体" w:hAnsi="宋体"/>
                      <w:sz w:val="24"/>
                    </w:rPr>
                  </w:pPr>
                </w:p>
              </w:tc>
              <w:tc>
                <w:tcPr>
                  <w:tcW w:w="1276" w:type="dxa"/>
                </w:tcPr>
                <w:p w14:paraId="16BB0D75">
                  <w:pPr>
                    <w:spacing w:line="360" w:lineRule="auto"/>
                    <w:rPr>
                      <w:rFonts w:ascii="宋体" w:hAnsi="宋体"/>
                      <w:sz w:val="24"/>
                    </w:rPr>
                  </w:pPr>
                </w:p>
              </w:tc>
              <w:tc>
                <w:tcPr>
                  <w:tcW w:w="1213" w:type="dxa"/>
                </w:tcPr>
                <w:p w14:paraId="1EE47574">
                  <w:pPr>
                    <w:spacing w:line="360" w:lineRule="auto"/>
                    <w:rPr>
                      <w:rFonts w:ascii="宋体" w:hAnsi="宋体"/>
                      <w:sz w:val="24"/>
                    </w:rPr>
                  </w:pPr>
                </w:p>
              </w:tc>
            </w:tr>
            <w:tr w14:paraId="53A3C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79C77042">
                  <w:pPr>
                    <w:spacing w:line="360" w:lineRule="auto"/>
                    <w:rPr>
                      <w:rFonts w:ascii="宋体" w:hAnsi="宋体"/>
                      <w:sz w:val="24"/>
                    </w:rPr>
                  </w:pPr>
                </w:p>
              </w:tc>
              <w:tc>
                <w:tcPr>
                  <w:tcW w:w="691" w:type="dxa"/>
                </w:tcPr>
                <w:p w14:paraId="45C31472">
                  <w:pPr>
                    <w:spacing w:line="360" w:lineRule="auto"/>
                    <w:rPr>
                      <w:rFonts w:ascii="宋体" w:hAnsi="宋体"/>
                      <w:sz w:val="24"/>
                    </w:rPr>
                  </w:pPr>
                </w:p>
              </w:tc>
              <w:tc>
                <w:tcPr>
                  <w:tcW w:w="567" w:type="dxa"/>
                </w:tcPr>
                <w:p w14:paraId="4E8E7DFD">
                  <w:pPr>
                    <w:spacing w:line="360" w:lineRule="auto"/>
                    <w:rPr>
                      <w:rFonts w:ascii="宋体" w:hAnsi="宋体"/>
                      <w:sz w:val="24"/>
                    </w:rPr>
                  </w:pPr>
                </w:p>
              </w:tc>
              <w:tc>
                <w:tcPr>
                  <w:tcW w:w="992" w:type="dxa"/>
                </w:tcPr>
                <w:p w14:paraId="2ACF7E29">
                  <w:pPr>
                    <w:spacing w:line="360" w:lineRule="auto"/>
                    <w:rPr>
                      <w:rFonts w:ascii="宋体" w:hAnsi="宋体"/>
                      <w:sz w:val="24"/>
                    </w:rPr>
                  </w:pPr>
                </w:p>
              </w:tc>
              <w:tc>
                <w:tcPr>
                  <w:tcW w:w="709" w:type="dxa"/>
                </w:tcPr>
                <w:p w14:paraId="1DD694AE">
                  <w:pPr>
                    <w:spacing w:line="360" w:lineRule="auto"/>
                    <w:rPr>
                      <w:rFonts w:ascii="宋体" w:hAnsi="宋体"/>
                      <w:sz w:val="24"/>
                    </w:rPr>
                  </w:pPr>
                </w:p>
              </w:tc>
              <w:tc>
                <w:tcPr>
                  <w:tcW w:w="1276" w:type="dxa"/>
                </w:tcPr>
                <w:p w14:paraId="3B6A6BF3">
                  <w:pPr>
                    <w:spacing w:line="360" w:lineRule="auto"/>
                    <w:rPr>
                      <w:rFonts w:ascii="宋体" w:hAnsi="宋体"/>
                      <w:sz w:val="24"/>
                    </w:rPr>
                  </w:pPr>
                </w:p>
              </w:tc>
              <w:tc>
                <w:tcPr>
                  <w:tcW w:w="850" w:type="dxa"/>
                </w:tcPr>
                <w:p w14:paraId="1CD1B5BE">
                  <w:pPr>
                    <w:spacing w:line="360" w:lineRule="auto"/>
                    <w:rPr>
                      <w:rFonts w:ascii="宋体" w:hAnsi="宋体"/>
                      <w:sz w:val="24"/>
                    </w:rPr>
                  </w:pPr>
                </w:p>
              </w:tc>
              <w:tc>
                <w:tcPr>
                  <w:tcW w:w="1276" w:type="dxa"/>
                </w:tcPr>
                <w:p w14:paraId="3FA14093">
                  <w:pPr>
                    <w:spacing w:line="360" w:lineRule="auto"/>
                    <w:rPr>
                      <w:rFonts w:ascii="宋体" w:hAnsi="宋体"/>
                      <w:sz w:val="24"/>
                    </w:rPr>
                  </w:pPr>
                </w:p>
              </w:tc>
              <w:tc>
                <w:tcPr>
                  <w:tcW w:w="1213" w:type="dxa"/>
                </w:tcPr>
                <w:p w14:paraId="325D9511">
                  <w:pPr>
                    <w:spacing w:line="360" w:lineRule="auto"/>
                    <w:rPr>
                      <w:rFonts w:ascii="宋体" w:hAnsi="宋体"/>
                      <w:sz w:val="24"/>
                    </w:rPr>
                  </w:pPr>
                </w:p>
              </w:tc>
            </w:tr>
            <w:tr w14:paraId="398C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22" w:type="dxa"/>
                </w:tcPr>
                <w:p w14:paraId="48171A06">
                  <w:pPr>
                    <w:spacing w:line="360" w:lineRule="auto"/>
                    <w:rPr>
                      <w:rFonts w:ascii="宋体" w:hAnsi="宋体"/>
                      <w:sz w:val="24"/>
                    </w:rPr>
                  </w:pPr>
                </w:p>
              </w:tc>
              <w:tc>
                <w:tcPr>
                  <w:tcW w:w="691" w:type="dxa"/>
                </w:tcPr>
                <w:p w14:paraId="70280BB9">
                  <w:pPr>
                    <w:spacing w:line="360" w:lineRule="auto"/>
                    <w:rPr>
                      <w:rFonts w:ascii="宋体" w:hAnsi="宋体"/>
                      <w:sz w:val="24"/>
                    </w:rPr>
                  </w:pPr>
                </w:p>
              </w:tc>
              <w:tc>
                <w:tcPr>
                  <w:tcW w:w="567" w:type="dxa"/>
                </w:tcPr>
                <w:p w14:paraId="5EF59504">
                  <w:pPr>
                    <w:spacing w:line="360" w:lineRule="auto"/>
                    <w:rPr>
                      <w:rFonts w:ascii="宋体" w:hAnsi="宋体"/>
                      <w:sz w:val="24"/>
                    </w:rPr>
                  </w:pPr>
                </w:p>
              </w:tc>
              <w:tc>
                <w:tcPr>
                  <w:tcW w:w="992" w:type="dxa"/>
                </w:tcPr>
                <w:p w14:paraId="2F30E87D">
                  <w:pPr>
                    <w:spacing w:line="360" w:lineRule="auto"/>
                    <w:rPr>
                      <w:rFonts w:ascii="宋体" w:hAnsi="宋体"/>
                      <w:sz w:val="24"/>
                    </w:rPr>
                  </w:pPr>
                </w:p>
              </w:tc>
              <w:tc>
                <w:tcPr>
                  <w:tcW w:w="709" w:type="dxa"/>
                </w:tcPr>
                <w:p w14:paraId="5C6B50F9">
                  <w:pPr>
                    <w:spacing w:line="360" w:lineRule="auto"/>
                    <w:rPr>
                      <w:rFonts w:ascii="宋体" w:hAnsi="宋体"/>
                      <w:sz w:val="24"/>
                    </w:rPr>
                  </w:pPr>
                </w:p>
              </w:tc>
              <w:tc>
                <w:tcPr>
                  <w:tcW w:w="1276" w:type="dxa"/>
                </w:tcPr>
                <w:p w14:paraId="44E31780">
                  <w:pPr>
                    <w:spacing w:line="360" w:lineRule="auto"/>
                    <w:rPr>
                      <w:rFonts w:ascii="宋体" w:hAnsi="宋体"/>
                      <w:sz w:val="24"/>
                    </w:rPr>
                  </w:pPr>
                </w:p>
              </w:tc>
              <w:tc>
                <w:tcPr>
                  <w:tcW w:w="850" w:type="dxa"/>
                </w:tcPr>
                <w:p w14:paraId="66E226EC">
                  <w:pPr>
                    <w:spacing w:line="360" w:lineRule="auto"/>
                    <w:rPr>
                      <w:rFonts w:ascii="宋体" w:hAnsi="宋体"/>
                      <w:sz w:val="24"/>
                    </w:rPr>
                  </w:pPr>
                </w:p>
              </w:tc>
              <w:tc>
                <w:tcPr>
                  <w:tcW w:w="1276" w:type="dxa"/>
                </w:tcPr>
                <w:p w14:paraId="7193EE79">
                  <w:pPr>
                    <w:spacing w:line="360" w:lineRule="auto"/>
                    <w:rPr>
                      <w:rFonts w:ascii="宋体" w:hAnsi="宋体"/>
                      <w:sz w:val="24"/>
                    </w:rPr>
                  </w:pPr>
                </w:p>
              </w:tc>
              <w:tc>
                <w:tcPr>
                  <w:tcW w:w="1213" w:type="dxa"/>
                </w:tcPr>
                <w:p w14:paraId="3649ADAC">
                  <w:pPr>
                    <w:spacing w:line="360" w:lineRule="auto"/>
                    <w:rPr>
                      <w:rFonts w:ascii="宋体" w:hAnsi="宋体"/>
                      <w:sz w:val="24"/>
                    </w:rPr>
                  </w:pPr>
                </w:p>
              </w:tc>
            </w:tr>
            <w:tr w14:paraId="01EF2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521101AF">
                  <w:pPr>
                    <w:spacing w:line="360" w:lineRule="auto"/>
                    <w:rPr>
                      <w:rFonts w:ascii="宋体" w:hAnsi="宋体"/>
                      <w:sz w:val="24"/>
                    </w:rPr>
                  </w:pPr>
                </w:p>
              </w:tc>
              <w:tc>
                <w:tcPr>
                  <w:tcW w:w="691" w:type="dxa"/>
                </w:tcPr>
                <w:p w14:paraId="23ABEAED">
                  <w:pPr>
                    <w:spacing w:line="360" w:lineRule="auto"/>
                    <w:rPr>
                      <w:rFonts w:ascii="宋体" w:hAnsi="宋体"/>
                      <w:sz w:val="24"/>
                    </w:rPr>
                  </w:pPr>
                </w:p>
              </w:tc>
              <w:tc>
                <w:tcPr>
                  <w:tcW w:w="567" w:type="dxa"/>
                </w:tcPr>
                <w:p w14:paraId="2E163E7F">
                  <w:pPr>
                    <w:spacing w:line="360" w:lineRule="auto"/>
                    <w:rPr>
                      <w:rFonts w:ascii="宋体" w:hAnsi="宋体"/>
                      <w:sz w:val="24"/>
                    </w:rPr>
                  </w:pPr>
                </w:p>
              </w:tc>
              <w:tc>
                <w:tcPr>
                  <w:tcW w:w="992" w:type="dxa"/>
                </w:tcPr>
                <w:p w14:paraId="3543DBAC">
                  <w:pPr>
                    <w:spacing w:line="360" w:lineRule="auto"/>
                    <w:rPr>
                      <w:rFonts w:ascii="宋体" w:hAnsi="宋体"/>
                      <w:sz w:val="24"/>
                    </w:rPr>
                  </w:pPr>
                </w:p>
              </w:tc>
              <w:tc>
                <w:tcPr>
                  <w:tcW w:w="709" w:type="dxa"/>
                </w:tcPr>
                <w:p w14:paraId="5BA63EC1">
                  <w:pPr>
                    <w:spacing w:line="360" w:lineRule="auto"/>
                    <w:rPr>
                      <w:rFonts w:ascii="宋体" w:hAnsi="宋体"/>
                      <w:sz w:val="24"/>
                    </w:rPr>
                  </w:pPr>
                </w:p>
              </w:tc>
              <w:tc>
                <w:tcPr>
                  <w:tcW w:w="1276" w:type="dxa"/>
                </w:tcPr>
                <w:p w14:paraId="0987FFF4">
                  <w:pPr>
                    <w:spacing w:line="360" w:lineRule="auto"/>
                    <w:rPr>
                      <w:rFonts w:ascii="宋体" w:hAnsi="宋体"/>
                      <w:sz w:val="24"/>
                    </w:rPr>
                  </w:pPr>
                </w:p>
              </w:tc>
              <w:tc>
                <w:tcPr>
                  <w:tcW w:w="850" w:type="dxa"/>
                </w:tcPr>
                <w:p w14:paraId="5BC20908">
                  <w:pPr>
                    <w:spacing w:line="360" w:lineRule="auto"/>
                    <w:rPr>
                      <w:rFonts w:ascii="宋体" w:hAnsi="宋体"/>
                      <w:sz w:val="24"/>
                    </w:rPr>
                  </w:pPr>
                </w:p>
              </w:tc>
              <w:tc>
                <w:tcPr>
                  <w:tcW w:w="1276" w:type="dxa"/>
                </w:tcPr>
                <w:p w14:paraId="21709456">
                  <w:pPr>
                    <w:spacing w:line="360" w:lineRule="auto"/>
                    <w:rPr>
                      <w:rFonts w:ascii="宋体" w:hAnsi="宋体"/>
                      <w:sz w:val="24"/>
                    </w:rPr>
                  </w:pPr>
                </w:p>
              </w:tc>
              <w:tc>
                <w:tcPr>
                  <w:tcW w:w="1213" w:type="dxa"/>
                </w:tcPr>
                <w:p w14:paraId="2C6AF87A">
                  <w:pPr>
                    <w:spacing w:line="360" w:lineRule="auto"/>
                    <w:rPr>
                      <w:rFonts w:ascii="宋体" w:hAnsi="宋体"/>
                      <w:sz w:val="24"/>
                    </w:rPr>
                  </w:pPr>
                </w:p>
              </w:tc>
            </w:tr>
          </w:tbl>
          <w:p w14:paraId="06ABA466">
            <w:pPr>
              <w:spacing w:line="360" w:lineRule="auto"/>
              <w:rPr>
                <w:rFonts w:ascii="宋体" w:hAnsi="宋体"/>
                <w:sz w:val="24"/>
              </w:rPr>
            </w:pPr>
            <w:r>
              <w:rPr>
                <w:rFonts w:hint="eastAsia" w:ascii="宋体" w:hAnsi="宋体"/>
                <w:sz w:val="24"/>
              </w:rPr>
              <w:t>……</w:t>
            </w:r>
          </w:p>
          <w:p w14:paraId="73871254">
            <w:pPr>
              <w:spacing w:line="360" w:lineRule="auto"/>
              <w:ind w:firstLine="465"/>
              <w:rPr>
                <w:rFonts w:ascii="宋体" w:hAnsi="宋体"/>
                <w:sz w:val="24"/>
              </w:rPr>
            </w:pPr>
          </w:p>
          <w:p w14:paraId="73D9B37E">
            <w:pPr>
              <w:spacing w:line="360" w:lineRule="auto"/>
              <w:ind w:firstLine="465"/>
              <w:rPr>
                <w:rFonts w:ascii="宋体" w:hAnsi="宋体"/>
                <w:sz w:val="24"/>
              </w:rPr>
            </w:pPr>
            <w:r>
              <w:rPr>
                <w:rFonts w:hint="eastAsia" w:ascii="宋体" w:hAnsi="宋体"/>
                <w:sz w:val="24"/>
              </w:rPr>
              <w:t>注：原则上应按照上述要求出具《原厂足期维保承诺函》，并按照承诺函提供售后服务。</w:t>
            </w:r>
          </w:p>
          <w:p w14:paraId="7E2AF97A">
            <w:pPr>
              <w:spacing w:line="360" w:lineRule="auto"/>
              <w:ind w:firstLine="465"/>
              <w:rPr>
                <w:rFonts w:ascii="宋体" w:hAnsi="宋体"/>
                <w:sz w:val="24"/>
              </w:rPr>
            </w:pPr>
          </w:p>
          <w:p w14:paraId="5F29D859">
            <w:pPr>
              <w:spacing w:line="360" w:lineRule="auto"/>
              <w:ind w:firstLine="465"/>
              <w:rPr>
                <w:rFonts w:ascii="宋体" w:hAnsi="宋体"/>
                <w:sz w:val="24"/>
              </w:rPr>
            </w:pPr>
          </w:p>
          <w:p w14:paraId="55243CD5">
            <w:pPr>
              <w:spacing w:line="360" w:lineRule="auto"/>
              <w:ind w:firstLine="465"/>
              <w:jc w:val="right"/>
              <w:rPr>
                <w:rFonts w:ascii="宋体" w:hAnsi="宋体"/>
                <w:sz w:val="24"/>
              </w:rPr>
            </w:pPr>
            <w:r>
              <w:rPr>
                <w:rFonts w:hint="eastAsia" w:ascii="宋体" w:hAnsi="宋体"/>
                <w:sz w:val="24"/>
              </w:rPr>
              <w:t>（盖章）原厂XXX公司</w:t>
            </w:r>
          </w:p>
          <w:p w14:paraId="6BE32907">
            <w:pPr>
              <w:spacing w:line="360" w:lineRule="auto"/>
              <w:ind w:firstLine="465"/>
              <w:jc w:val="right"/>
              <w:rPr>
                <w:rFonts w:ascii="宋体" w:hAnsi="宋体"/>
                <w:sz w:val="24"/>
              </w:rPr>
            </w:pPr>
            <w:r>
              <w:rPr>
                <w:rFonts w:hint="eastAsia" w:ascii="宋体" w:hAnsi="宋体"/>
                <w:sz w:val="24"/>
              </w:rPr>
              <w:t>落款日期</w:t>
            </w:r>
          </w:p>
        </w:tc>
      </w:tr>
    </w:tbl>
    <w:p w14:paraId="33F0D8A6">
      <w:pPr>
        <w:spacing w:line="360" w:lineRule="auto"/>
        <w:ind w:firstLine="480" w:firstLineChars="200"/>
        <w:rPr>
          <w:rFonts w:ascii="楷体" w:hAnsi="楷体" w:eastAsia="楷体" w:cs="楷体"/>
          <w:i/>
          <w:iCs/>
          <w:sz w:val="24"/>
        </w:rPr>
      </w:pPr>
    </w:p>
    <w:p w14:paraId="1E7B5D2C"/>
    <w:p w14:paraId="6CA4FE22"/>
    <w:p w14:paraId="7F9BDAE3">
      <w:pPr>
        <w:rPr>
          <w:color w:val="auto"/>
          <w:highlight w:val="none"/>
        </w:rPr>
      </w:pPr>
      <w:bookmarkStart w:id="0" w:name="_GoBack"/>
      <w:bookmarkEnd w:id="0"/>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8852770">
    <w:panose1 w:val="03000509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EE3D">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C9BF0">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42C9BF0">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D221">
    <w:pPr>
      <w:snapToGrid w:val="0"/>
      <w:jc w:val="left"/>
      <w:rPr>
        <w:rFonts w:ascii="宋体" w:hAnsi="宋体" w:eastAsia="宋体" w:cs="Times New Roman"/>
        <w:sz w:val="28"/>
        <w:szCs w:val="28"/>
        <w:lang w:val="zh-CN"/>
      </w:rPr>
    </w:pPr>
    <w:r>
      <w:rPr>
        <w:rFonts w:hint="eastAsia" w:ascii="宋体" w:hAnsi="宋体" w:eastAsia="宋体" w:cs="Times New Roman"/>
        <w:sz w:val="28"/>
        <w:szCs w:val="28"/>
        <w:lang w:val="zh-CN"/>
      </w:rPr>
      <w:t xml:space="preserve">— </w:t>
    </w:r>
    <w:r>
      <w:rPr>
        <w:rFonts w:ascii="宋体" w:hAnsi="宋体" w:eastAsia="宋体" w:cs="Times New Roman"/>
        <w:sz w:val="28"/>
        <w:szCs w:val="28"/>
        <w:lang w:val="zh-CN"/>
      </w:rPr>
      <w:fldChar w:fldCharType="begin"/>
    </w:r>
    <w:r>
      <w:rPr>
        <w:rFonts w:ascii="宋体" w:hAnsi="宋体" w:eastAsia="宋体" w:cs="Times New Roman"/>
        <w:sz w:val="28"/>
        <w:szCs w:val="28"/>
        <w:lang w:val="zh-CN"/>
      </w:rPr>
      <w:instrText xml:space="preserve"> PAGE   \* MERGEFORMAT </w:instrText>
    </w:r>
    <w:r>
      <w:rPr>
        <w:rFonts w:ascii="宋体" w:hAnsi="宋体" w:eastAsia="宋体" w:cs="Times New Roman"/>
        <w:sz w:val="28"/>
        <w:szCs w:val="28"/>
        <w:lang w:val="zh-CN"/>
      </w:rPr>
      <w:fldChar w:fldCharType="separate"/>
    </w:r>
    <w:r>
      <w:rPr>
        <w:rFonts w:ascii="宋体" w:hAnsi="宋体" w:eastAsia="宋体" w:cs="Times New Roman"/>
        <w:sz w:val="28"/>
        <w:szCs w:val="28"/>
        <w:lang w:val="zh-CN"/>
      </w:rPr>
      <w:t>2</w:t>
    </w:r>
    <w:r>
      <w:rPr>
        <w:rFonts w:ascii="宋体" w:hAnsi="宋体" w:eastAsia="宋体" w:cs="Times New Roman"/>
        <w:sz w:val="28"/>
        <w:szCs w:val="28"/>
        <w:lang w:val="zh-CN"/>
      </w:rPr>
      <w:fldChar w:fldCharType="end"/>
    </w:r>
    <w:r>
      <w:rPr>
        <w:rFonts w:hint="eastAsia" w:ascii="宋体" w:hAnsi="宋体" w:eastAsia="宋体" w:cs="Times New Roman"/>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3669">
    <w:pPr>
      <w:pStyle w:val="11"/>
    </w:pPr>
    <w:r>
      <mc:AlternateContent>
        <mc:Choice Requires="wps">
          <w:drawing>
            <wp:anchor distT="0" distB="0" distL="114300" distR="114300" simplePos="0" relativeHeight="251660288" behindDoc="0" locked="0" layoutInCell="1" allowOverlap="1">
              <wp:simplePos x="0" y="0"/>
              <wp:positionH relativeFrom="margin">
                <wp:posOffset>4602480</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5503E">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2.4pt;margin-top:1.5pt;height:144pt;width:144pt;mso-position-horizontal-relative:margin;mso-wrap-style:none;z-index:251660288;mso-width-relative:page;mso-height-relative:page;" filled="f" stroked="f" coordsize="21600,21600" o:gfxdata="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25Si7WAAAACg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14:paraId="3F55503E">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8603">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12C16">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F012C16">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FFE">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2EC61">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282EC61">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5F35B"/>
    <w:multiLevelType w:val="singleLevel"/>
    <w:tmpl w:val="88B5F35B"/>
    <w:lvl w:ilvl="0" w:tentative="0">
      <w:start w:val="1"/>
      <w:numFmt w:val="decimal"/>
      <w:suff w:val="nothing"/>
      <w:lvlText w:val="（%1）"/>
      <w:lvlJc w:val="left"/>
    </w:lvl>
  </w:abstractNum>
  <w:abstractNum w:abstractNumId="1">
    <w:nsid w:val="8EA25930"/>
    <w:multiLevelType w:val="singleLevel"/>
    <w:tmpl w:val="8EA25930"/>
    <w:lvl w:ilvl="0" w:tentative="0">
      <w:start w:val="5"/>
      <w:numFmt w:val="upperLetter"/>
      <w:lvlText w:val="%1."/>
      <w:lvlJc w:val="left"/>
      <w:pPr>
        <w:tabs>
          <w:tab w:val="left" w:pos="312"/>
        </w:tabs>
      </w:pPr>
      <w:rPr>
        <w:rFonts w:hint="default"/>
      </w:rPr>
    </w:lvl>
  </w:abstractNum>
  <w:abstractNum w:abstractNumId="2">
    <w:nsid w:val="EB308061"/>
    <w:multiLevelType w:val="singleLevel"/>
    <w:tmpl w:val="EB308061"/>
    <w:lvl w:ilvl="0" w:tentative="0">
      <w:start w:val="1"/>
      <w:numFmt w:val="upperLetter"/>
      <w:lvlText w:val="%1."/>
      <w:lvlJc w:val="left"/>
      <w:pPr>
        <w:tabs>
          <w:tab w:val="left" w:pos="312"/>
        </w:tabs>
      </w:pPr>
      <w:rPr>
        <w:rFonts w:hint="default"/>
      </w:rPr>
    </w:lvl>
  </w:abstractNum>
  <w:abstractNum w:abstractNumId="3">
    <w:nsid w:val="01DEB201"/>
    <w:multiLevelType w:val="singleLevel"/>
    <w:tmpl w:val="01DEB201"/>
    <w:lvl w:ilvl="0" w:tentative="0">
      <w:start w:val="1"/>
      <w:numFmt w:val="decimal"/>
      <w:lvlText w:val="%1"/>
      <w:lvlJc w:val="left"/>
      <w:pPr>
        <w:tabs>
          <w:tab w:val="left" w:pos="420"/>
        </w:tabs>
        <w:ind w:left="425" w:leftChars="0" w:hanging="425" w:firstLineChars="0"/>
      </w:pPr>
      <w:rPr>
        <w:rFonts w:hint="default"/>
      </w:rPr>
    </w:lvl>
  </w:abstractNum>
  <w:abstractNum w:abstractNumId="4">
    <w:nsid w:val="592947F0"/>
    <w:multiLevelType w:val="singleLevel"/>
    <w:tmpl w:val="592947F0"/>
    <w:lvl w:ilvl="0" w:tentative="0">
      <w:start w:val="3"/>
      <w:numFmt w:val="chineseCounting"/>
      <w:suff w:val="space"/>
      <w:lvlText w:val="(%1)"/>
      <w:lvlJc w:val="left"/>
      <w:rPr>
        <w:rFonts w:hint="eastAsia"/>
      </w:rPr>
    </w:lvl>
  </w:abstractNum>
  <w:abstractNum w:abstractNumId="5">
    <w:nsid w:val="70B31EBF"/>
    <w:multiLevelType w:val="multilevel"/>
    <w:tmpl w:val="70B31EB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ZTVkOTI4NjY3ZjI3NTkzMzdjMDVkNDllZTI5NDkifQ=="/>
  </w:docVars>
  <w:rsids>
    <w:rsidRoot w:val="33D82F28"/>
    <w:rsid w:val="00056DAC"/>
    <w:rsid w:val="001361D8"/>
    <w:rsid w:val="00155F12"/>
    <w:rsid w:val="00317DB1"/>
    <w:rsid w:val="003D4F1F"/>
    <w:rsid w:val="005028B8"/>
    <w:rsid w:val="00625B2D"/>
    <w:rsid w:val="00646D34"/>
    <w:rsid w:val="00692A67"/>
    <w:rsid w:val="00730FAD"/>
    <w:rsid w:val="008E74D4"/>
    <w:rsid w:val="00C34901"/>
    <w:rsid w:val="00D727F0"/>
    <w:rsid w:val="00DA2A2B"/>
    <w:rsid w:val="00E70183"/>
    <w:rsid w:val="011638A5"/>
    <w:rsid w:val="014E6E10"/>
    <w:rsid w:val="01541EA9"/>
    <w:rsid w:val="0176741D"/>
    <w:rsid w:val="01D463BA"/>
    <w:rsid w:val="01EB59B4"/>
    <w:rsid w:val="02520867"/>
    <w:rsid w:val="02534046"/>
    <w:rsid w:val="02623074"/>
    <w:rsid w:val="027B6244"/>
    <w:rsid w:val="0293294A"/>
    <w:rsid w:val="02D2188B"/>
    <w:rsid w:val="02E94068"/>
    <w:rsid w:val="02FB1C62"/>
    <w:rsid w:val="0366480B"/>
    <w:rsid w:val="03C20347"/>
    <w:rsid w:val="03EF6046"/>
    <w:rsid w:val="0435482E"/>
    <w:rsid w:val="04693C2D"/>
    <w:rsid w:val="049F103B"/>
    <w:rsid w:val="04C03038"/>
    <w:rsid w:val="05092C21"/>
    <w:rsid w:val="052C1CD4"/>
    <w:rsid w:val="055C3D74"/>
    <w:rsid w:val="056917EE"/>
    <w:rsid w:val="057501D7"/>
    <w:rsid w:val="059838CB"/>
    <w:rsid w:val="059B390A"/>
    <w:rsid w:val="05AB7A56"/>
    <w:rsid w:val="05C21F13"/>
    <w:rsid w:val="05CE0532"/>
    <w:rsid w:val="05D4686F"/>
    <w:rsid w:val="05E41A4E"/>
    <w:rsid w:val="05FB5FA7"/>
    <w:rsid w:val="06021FBE"/>
    <w:rsid w:val="060B20B3"/>
    <w:rsid w:val="06120F75"/>
    <w:rsid w:val="06212042"/>
    <w:rsid w:val="0652151A"/>
    <w:rsid w:val="069F4E2C"/>
    <w:rsid w:val="06AE1485"/>
    <w:rsid w:val="06E71675"/>
    <w:rsid w:val="06EA102C"/>
    <w:rsid w:val="0745130C"/>
    <w:rsid w:val="07565116"/>
    <w:rsid w:val="07722877"/>
    <w:rsid w:val="07AC1027"/>
    <w:rsid w:val="07D13BD3"/>
    <w:rsid w:val="07E12AFC"/>
    <w:rsid w:val="08053E46"/>
    <w:rsid w:val="083B2918"/>
    <w:rsid w:val="08492E86"/>
    <w:rsid w:val="0857273B"/>
    <w:rsid w:val="08A966CC"/>
    <w:rsid w:val="08C510D2"/>
    <w:rsid w:val="08E02D07"/>
    <w:rsid w:val="08E532FA"/>
    <w:rsid w:val="090B2C20"/>
    <w:rsid w:val="09205E9E"/>
    <w:rsid w:val="093E1B05"/>
    <w:rsid w:val="09467415"/>
    <w:rsid w:val="094B7B50"/>
    <w:rsid w:val="0955379C"/>
    <w:rsid w:val="095D379B"/>
    <w:rsid w:val="095F67F0"/>
    <w:rsid w:val="09AE2821"/>
    <w:rsid w:val="09B13FAB"/>
    <w:rsid w:val="09E82803"/>
    <w:rsid w:val="0A03621B"/>
    <w:rsid w:val="0A067327"/>
    <w:rsid w:val="0A860124"/>
    <w:rsid w:val="0A9145E4"/>
    <w:rsid w:val="0A916992"/>
    <w:rsid w:val="0AAF298D"/>
    <w:rsid w:val="0AC43DC5"/>
    <w:rsid w:val="0AC847AA"/>
    <w:rsid w:val="0B2A10FF"/>
    <w:rsid w:val="0B4B60CB"/>
    <w:rsid w:val="0B621483"/>
    <w:rsid w:val="0B7414AE"/>
    <w:rsid w:val="0B7B7DE4"/>
    <w:rsid w:val="0B856C1C"/>
    <w:rsid w:val="0B911F88"/>
    <w:rsid w:val="0BB00761"/>
    <w:rsid w:val="0BFE0D41"/>
    <w:rsid w:val="0C0631FC"/>
    <w:rsid w:val="0C105DFF"/>
    <w:rsid w:val="0C215FF4"/>
    <w:rsid w:val="0C2D568A"/>
    <w:rsid w:val="0C4F11E0"/>
    <w:rsid w:val="0C6C2BF0"/>
    <w:rsid w:val="0C7B13B6"/>
    <w:rsid w:val="0C8879BF"/>
    <w:rsid w:val="0C9C64B3"/>
    <w:rsid w:val="0CA056AB"/>
    <w:rsid w:val="0CCD152C"/>
    <w:rsid w:val="0CD42CA9"/>
    <w:rsid w:val="0CD4563B"/>
    <w:rsid w:val="0CEE06E6"/>
    <w:rsid w:val="0D3928BE"/>
    <w:rsid w:val="0D473891"/>
    <w:rsid w:val="0D4E596F"/>
    <w:rsid w:val="0D7F1223"/>
    <w:rsid w:val="0D8269D2"/>
    <w:rsid w:val="0DB5271C"/>
    <w:rsid w:val="0DEA157F"/>
    <w:rsid w:val="0E667708"/>
    <w:rsid w:val="0E6D05D2"/>
    <w:rsid w:val="0E967BE9"/>
    <w:rsid w:val="0E9B32E4"/>
    <w:rsid w:val="0E9D4E90"/>
    <w:rsid w:val="0EAF35B4"/>
    <w:rsid w:val="0F2C4CF2"/>
    <w:rsid w:val="0F456ECA"/>
    <w:rsid w:val="0F6B1713"/>
    <w:rsid w:val="0F6C44B5"/>
    <w:rsid w:val="0F710338"/>
    <w:rsid w:val="0F73799F"/>
    <w:rsid w:val="0F762B16"/>
    <w:rsid w:val="0F976DCF"/>
    <w:rsid w:val="0FAB51B1"/>
    <w:rsid w:val="0FBA3A94"/>
    <w:rsid w:val="0FD92550"/>
    <w:rsid w:val="0FE32D76"/>
    <w:rsid w:val="10087F38"/>
    <w:rsid w:val="1014102C"/>
    <w:rsid w:val="101A0EA2"/>
    <w:rsid w:val="10645E0D"/>
    <w:rsid w:val="10774CAD"/>
    <w:rsid w:val="10777353"/>
    <w:rsid w:val="109370F1"/>
    <w:rsid w:val="11036AF6"/>
    <w:rsid w:val="110C7C74"/>
    <w:rsid w:val="11483904"/>
    <w:rsid w:val="115E0A8E"/>
    <w:rsid w:val="11C140C4"/>
    <w:rsid w:val="11FD445C"/>
    <w:rsid w:val="1244361D"/>
    <w:rsid w:val="125B01A2"/>
    <w:rsid w:val="12664CF4"/>
    <w:rsid w:val="128B7E10"/>
    <w:rsid w:val="12CE4E68"/>
    <w:rsid w:val="12CE78AF"/>
    <w:rsid w:val="12F42295"/>
    <w:rsid w:val="12F929CA"/>
    <w:rsid w:val="130463C1"/>
    <w:rsid w:val="132F15AC"/>
    <w:rsid w:val="133147AE"/>
    <w:rsid w:val="13DD4401"/>
    <w:rsid w:val="13E12FD3"/>
    <w:rsid w:val="14263231"/>
    <w:rsid w:val="14301470"/>
    <w:rsid w:val="14411F5B"/>
    <w:rsid w:val="144362D6"/>
    <w:rsid w:val="14460DB9"/>
    <w:rsid w:val="145C3ADA"/>
    <w:rsid w:val="149425C9"/>
    <w:rsid w:val="14AE313D"/>
    <w:rsid w:val="14ED2C64"/>
    <w:rsid w:val="14F41636"/>
    <w:rsid w:val="151A411A"/>
    <w:rsid w:val="15250F12"/>
    <w:rsid w:val="15273F31"/>
    <w:rsid w:val="15416F36"/>
    <w:rsid w:val="15594E5A"/>
    <w:rsid w:val="158F2AB6"/>
    <w:rsid w:val="159E01A9"/>
    <w:rsid w:val="15B31E83"/>
    <w:rsid w:val="15BD7ABA"/>
    <w:rsid w:val="166727E5"/>
    <w:rsid w:val="168D2621"/>
    <w:rsid w:val="16C75094"/>
    <w:rsid w:val="16CC0DBB"/>
    <w:rsid w:val="16D72641"/>
    <w:rsid w:val="16EE0ABB"/>
    <w:rsid w:val="172123D6"/>
    <w:rsid w:val="172D3193"/>
    <w:rsid w:val="173471D2"/>
    <w:rsid w:val="174E158B"/>
    <w:rsid w:val="176034EE"/>
    <w:rsid w:val="17620112"/>
    <w:rsid w:val="177F19A5"/>
    <w:rsid w:val="17845DA0"/>
    <w:rsid w:val="178D5E63"/>
    <w:rsid w:val="180A47BC"/>
    <w:rsid w:val="18395474"/>
    <w:rsid w:val="184B45A9"/>
    <w:rsid w:val="185508A5"/>
    <w:rsid w:val="186C14EE"/>
    <w:rsid w:val="186E164B"/>
    <w:rsid w:val="18A463A1"/>
    <w:rsid w:val="18B16355"/>
    <w:rsid w:val="18CD044F"/>
    <w:rsid w:val="18CD0E75"/>
    <w:rsid w:val="18CF2DE0"/>
    <w:rsid w:val="18D66079"/>
    <w:rsid w:val="18FF0251"/>
    <w:rsid w:val="19512E99"/>
    <w:rsid w:val="19613467"/>
    <w:rsid w:val="198C71B1"/>
    <w:rsid w:val="19980AD1"/>
    <w:rsid w:val="199D1C93"/>
    <w:rsid w:val="19A7145B"/>
    <w:rsid w:val="19C471E9"/>
    <w:rsid w:val="19D7236E"/>
    <w:rsid w:val="19E03E83"/>
    <w:rsid w:val="1A324969"/>
    <w:rsid w:val="1A3A1444"/>
    <w:rsid w:val="1A3C2A96"/>
    <w:rsid w:val="1A4564F2"/>
    <w:rsid w:val="1A78662B"/>
    <w:rsid w:val="1A8B64C9"/>
    <w:rsid w:val="1A9964DC"/>
    <w:rsid w:val="1AC21E9D"/>
    <w:rsid w:val="1AC65DCC"/>
    <w:rsid w:val="1AC8764F"/>
    <w:rsid w:val="1AF75576"/>
    <w:rsid w:val="1B00735C"/>
    <w:rsid w:val="1B0657A4"/>
    <w:rsid w:val="1B2108AA"/>
    <w:rsid w:val="1B916CE1"/>
    <w:rsid w:val="1BED7871"/>
    <w:rsid w:val="1C0C099C"/>
    <w:rsid w:val="1C4173CF"/>
    <w:rsid w:val="1C57790E"/>
    <w:rsid w:val="1C964101"/>
    <w:rsid w:val="1CA374A9"/>
    <w:rsid w:val="1CB347A4"/>
    <w:rsid w:val="1CD501DC"/>
    <w:rsid w:val="1D0E5DB7"/>
    <w:rsid w:val="1D1A3AD0"/>
    <w:rsid w:val="1D2602D2"/>
    <w:rsid w:val="1D4E2424"/>
    <w:rsid w:val="1D6C09F0"/>
    <w:rsid w:val="1D841230"/>
    <w:rsid w:val="1DA4093F"/>
    <w:rsid w:val="1DB83F66"/>
    <w:rsid w:val="1DC8391F"/>
    <w:rsid w:val="1DDB0E74"/>
    <w:rsid w:val="1E037680"/>
    <w:rsid w:val="1E1E6734"/>
    <w:rsid w:val="1E2C2D6F"/>
    <w:rsid w:val="1E3D0A28"/>
    <w:rsid w:val="1E3D2B42"/>
    <w:rsid w:val="1E421304"/>
    <w:rsid w:val="1E491EFA"/>
    <w:rsid w:val="1E5E3700"/>
    <w:rsid w:val="1E734D60"/>
    <w:rsid w:val="1E7606BF"/>
    <w:rsid w:val="1E8F1DFD"/>
    <w:rsid w:val="1E944CBA"/>
    <w:rsid w:val="1EA02CA3"/>
    <w:rsid w:val="1EAF5960"/>
    <w:rsid w:val="1EB82551"/>
    <w:rsid w:val="1F1B36DD"/>
    <w:rsid w:val="1F383249"/>
    <w:rsid w:val="1F4016D6"/>
    <w:rsid w:val="1F667210"/>
    <w:rsid w:val="1F852AAF"/>
    <w:rsid w:val="1FC802FF"/>
    <w:rsid w:val="1FDE3B9B"/>
    <w:rsid w:val="1FE85291"/>
    <w:rsid w:val="1FF5669A"/>
    <w:rsid w:val="200E5213"/>
    <w:rsid w:val="202777B8"/>
    <w:rsid w:val="202A412A"/>
    <w:rsid w:val="204C4914"/>
    <w:rsid w:val="206E1364"/>
    <w:rsid w:val="207238D7"/>
    <w:rsid w:val="208C6B12"/>
    <w:rsid w:val="209C356C"/>
    <w:rsid w:val="20AA6F98"/>
    <w:rsid w:val="20AC1AA6"/>
    <w:rsid w:val="20B97796"/>
    <w:rsid w:val="20CC33B3"/>
    <w:rsid w:val="20D40A6C"/>
    <w:rsid w:val="21042796"/>
    <w:rsid w:val="210E6110"/>
    <w:rsid w:val="21592EC3"/>
    <w:rsid w:val="21626081"/>
    <w:rsid w:val="21A95060"/>
    <w:rsid w:val="21AC2BAD"/>
    <w:rsid w:val="21E60529"/>
    <w:rsid w:val="21E61B09"/>
    <w:rsid w:val="221E3F06"/>
    <w:rsid w:val="222F54A5"/>
    <w:rsid w:val="225379BC"/>
    <w:rsid w:val="228751B1"/>
    <w:rsid w:val="22D7293F"/>
    <w:rsid w:val="22EB34D2"/>
    <w:rsid w:val="22F902BD"/>
    <w:rsid w:val="23217DAF"/>
    <w:rsid w:val="23602CBD"/>
    <w:rsid w:val="23701C2B"/>
    <w:rsid w:val="23BC14BC"/>
    <w:rsid w:val="23E359CA"/>
    <w:rsid w:val="23FE6532"/>
    <w:rsid w:val="24084809"/>
    <w:rsid w:val="24124708"/>
    <w:rsid w:val="245259F0"/>
    <w:rsid w:val="24552A44"/>
    <w:rsid w:val="249051FF"/>
    <w:rsid w:val="249D286F"/>
    <w:rsid w:val="24BC24CE"/>
    <w:rsid w:val="24CC6DCB"/>
    <w:rsid w:val="24D14774"/>
    <w:rsid w:val="24DC4445"/>
    <w:rsid w:val="24E677DD"/>
    <w:rsid w:val="24EA2B09"/>
    <w:rsid w:val="24EA3E07"/>
    <w:rsid w:val="24FD3B3B"/>
    <w:rsid w:val="250B3F54"/>
    <w:rsid w:val="250D0D56"/>
    <w:rsid w:val="25147EB0"/>
    <w:rsid w:val="253B37D0"/>
    <w:rsid w:val="255F3542"/>
    <w:rsid w:val="25896949"/>
    <w:rsid w:val="258D4B15"/>
    <w:rsid w:val="25D367AE"/>
    <w:rsid w:val="26061115"/>
    <w:rsid w:val="26067849"/>
    <w:rsid w:val="260963B6"/>
    <w:rsid w:val="260E5F09"/>
    <w:rsid w:val="262A353A"/>
    <w:rsid w:val="263B182D"/>
    <w:rsid w:val="263E1918"/>
    <w:rsid w:val="26541E80"/>
    <w:rsid w:val="266738D8"/>
    <w:rsid w:val="268253D1"/>
    <w:rsid w:val="268459AB"/>
    <w:rsid w:val="2684763E"/>
    <w:rsid w:val="268C06F7"/>
    <w:rsid w:val="26CD5F56"/>
    <w:rsid w:val="26D15241"/>
    <w:rsid w:val="26F64FF4"/>
    <w:rsid w:val="271C0C49"/>
    <w:rsid w:val="272C4221"/>
    <w:rsid w:val="273A38E9"/>
    <w:rsid w:val="277F117F"/>
    <w:rsid w:val="278038B1"/>
    <w:rsid w:val="27A456AC"/>
    <w:rsid w:val="27AF3997"/>
    <w:rsid w:val="27C17F41"/>
    <w:rsid w:val="28057B49"/>
    <w:rsid w:val="280646C9"/>
    <w:rsid w:val="28572612"/>
    <w:rsid w:val="288309FF"/>
    <w:rsid w:val="289D5F00"/>
    <w:rsid w:val="28EA17C3"/>
    <w:rsid w:val="28FD15DD"/>
    <w:rsid w:val="29026F07"/>
    <w:rsid w:val="29300521"/>
    <w:rsid w:val="29421E84"/>
    <w:rsid w:val="29471DF4"/>
    <w:rsid w:val="294967C7"/>
    <w:rsid w:val="295409E7"/>
    <w:rsid w:val="2968193B"/>
    <w:rsid w:val="2968239F"/>
    <w:rsid w:val="297E0160"/>
    <w:rsid w:val="297E7BE0"/>
    <w:rsid w:val="29C142A2"/>
    <w:rsid w:val="29C32BF0"/>
    <w:rsid w:val="29C55E66"/>
    <w:rsid w:val="2A26761C"/>
    <w:rsid w:val="2A2C7D6A"/>
    <w:rsid w:val="2A2D713F"/>
    <w:rsid w:val="2A496231"/>
    <w:rsid w:val="2A651A89"/>
    <w:rsid w:val="2ABD0FBB"/>
    <w:rsid w:val="2AF72F7F"/>
    <w:rsid w:val="2B120D8F"/>
    <w:rsid w:val="2B305A68"/>
    <w:rsid w:val="2B37787D"/>
    <w:rsid w:val="2B725AF5"/>
    <w:rsid w:val="2BA52670"/>
    <w:rsid w:val="2BCC4267"/>
    <w:rsid w:val="2BD33847"/>
    <w:rsid w:val="2BD35A21"/>
    <w:rsid w:val="2BD77E5E"/>
    <w:rsid w:val="2BF82976"/>
    <w:rsid w:val="2BFA50A9"/>
    <w:rsid w:val="2C0047DE"/>
    <w:rsid w:val="2C170599"/>
    <w:rsid w:val="2C2C73FB"/>
    <w:rsid w:val="2C306955"/>
    <w:rsid w:val="2C4F0E79"/>
    <w:rsid w:val="2CAC29D6"/>
    <w:rsid w:val="2CB11BF0"/>
    <w:rsid w:val="2CCA783F"/>
    <w:rsid w:val="2D350455"/>
    <w:rsid w:val="2D3C4843"/>
    <w:rsid w:val="2D446341"/>
    <w:rsid w:val="2D5C0325"/>
    <w:rsid w:val="2D7968A6"/>
    <w:rsid w:val="2D805EE5"/>
    <w:rsid w:val="2D9F4393"/>
    <w:rsid w:val="2DA242E6"/>
    <w:rsid w:val="2DA45248"/>
    <w:rsid w:val="2DD34C19"/>
    <w:rsid w:val="2DD6761F"/>
    <w:rsid w:val="2DDF767D"/>
    <w:rsid w:val="2DDF7D2D"/>
    <w:rsid w:val="2DE95C61"/>
    <w:rsid w:val="2E2147E7"/>
    <w:rsid w:val="2E414787"/>
    <w:rsid w:val="2E452AE9"/>
    <w:rsid w:val="2E960E2F"/>
    <w:rsid w:val="2EC03BE8"/>
    <w:rsid w:val="2ECF7CA3"/>
    <w:rsid w:val="2EF36113"/>
    <w:rsid w:val="2F145D1C"/>
    <w:rsid w:val="2F242165"/>
    <w:rsid w:val="2F2D2489"/>
    <w:rsid w:val="2F3944DC"/>
    <w:rsid w:val="2F5E0ACD"/>
    <w:rsid w:val="2F684376"/>
    <w:rsid w:val="2F723377"/>
    <w:rsid w:val="2F9F7B93"/>
    <w:rsid w:val="2FA21AFD"/>
    <w:rsid w:val="2FCE5C87"/>
    <w:rsid w:val="30110299"/>
    <w:rsid w:val="304873E6"/>
    <w:rsid w:val="304C0CBF"/>
    <w:rsid w:val="306D3401"/>
    <w:rsid w:val="30731723"/>
    <w:rsid w:val="30881B4C"/>
    <w:rsid w:val="30E16A7C"/>
    <w:rsid w:val="310600FC"/>
    <w:rsid w:val="316142ED"/>
    <w:rsid w:val="3169239F"/>
    <w:rsid w:val="31727302"/>
    <w:rsid w:val="31A0146F"/>
    <w:rsid w:val="31A723A1"/>
    <w:rsid w:val="31D22CC8"/>
    <w:rsid w:val="31D43A69"/>
    <w:rsid w:val="31DC7F77"/>
    <w:rsid w:val="31EB0AB5"/>
    <w:rsid w:val="31FC58E3"/>
    <w:rsid w:val="32295740"/>
    <w:rsid w:val="323E4FD8"/>
    <w:rsid w:val="325D458A"/>
    <w:rsid w:val="32665783"/>
    <w:rsid w:val="32C5265C"/>
    <w:rsid w:val="32CF6F45"/>
    <w:rsid w:val="32E12CEE"/>
    <w:rsid w:val="33151FB9"/>
    <w:rsid w:val="33346B6B"/>
    <w:rsid w:val="335201A4"/>
    <w:rsid w:val="33791178"/>
    <w:rsid w:val="33A877AB"/>
    <w:rsid w:val="33C20FE2"/>
    <w:rsid w:val="33CA0B5B"/>
    <w:rsid w:val="33D82F28"/>
    <w:rsid w:val="33EB6BBB"/>
    <w:rsid w:val="343F36CF"/>
    <w:rsid w:val="34801802"/>
    <w:rsid w:val="34814FC6"/>
    <w:rsid w:val="34936269"/>
    <w:rsid w:val="34B7500A"/>
    <w:rsid w:val="34DE39E7"/>
    <w:rsid w:val="34E14126"/>
    <w:rsid w:val="34F41C91"/>
    <w:rsid w:val="3571068B"/>
    <w:rsid w:val="357E2A76"/>
    <w:rsid w:val="359E5B43"/>
    <w:rsid w:val="35A7328A"/>
    <w:rsid w:val="35BC7646"/>
    <w:rsid w:val="35DB6085"/>
    <w:rsid w:val="360B03DA"/>
    <w:rsid w:val="360B16E9"/>
    <w:rsid w:val="3663558F"/>
    <w:rsid w:val="3698771E"/>
    <w:rsid w:val="36C213E2"/>
    <w:rsid w:val="36CA1D67"/>
    <w:rsid w:val="36F37851"/>
    <w:rsid w:val="37333E6F"/>
    <w:rsid w:val="37411C8C"/>
    <w:rsid w:val="37412986"/>
    <w:rsid w:val="37682226"/>
    <w:rsid w:val="37691A96"/>
    <w:rsid w:val="376C00AB"/>
    <w:rsid w:val="378B147A"/>
    <w:rsid w:val="379F6592"/>
    <w:rsid w:val="37A84328"/>
    <w:rsid w:val="37BF0805"/>
    <w:rsid w:val="37E64902"/>
    <w:rsid w:val="37EE2B3C"/>
    <w:rsid w:val="37EE7BC8"/>
    <w:rsid w:val="3805031E"/>
    <w:rsid w:val="382015ED"/>
    <w:rsid w:val="38237C04"/>
    <w:rsid w:val="383311D7"/>
    <w:rsid w:val="38366B89"/>
    <w:rsid w:val="386B671F"/>
    <w:rsid w:val="38AD10B7"/>
    <w:rsid w:val="38C2132C"/>
    <w:rsid w:val="38D20215"/>
    <w:rsid w:val="38EF3351"/>
    <w:rsid w:val="38F315FE"/>
    <w:rsid w:val="39014CCC"/>
    <w:rsid w:val="39687DDA"/>
    <w:rsid w:val="39CC2DFC"/>
    <w:rsid w:val="3A132319"/>
    <w:rsid w:val="3A506396"/>
    <w:rsid w:val="3A8C4761"/>
    <w:rsid w:val="3AA93778"/>
    <w:rsid w:val="3AB34006"/>
    <w:rsid w:val="3AC64B87"/>
    <w:rsid w:val="3AEC1AFA"/>
    <w:rsid w:val="3B122B6D"/>
    <w:rsid w:val="3B2663BF"/>
    <w:rsid w:val="3B391301"/>
    <w:rsid w:val="3B39287C"/>
    <w:rsid w:val="3B656351"/>
    <w:rsid w:val="3BA87ECB"/>
    <w:rsid w:val="3BD6093A"/>
    <w:rsid w:val="3C154F95"/>
    <w:rsid w:val="3C352605"/>
    <w:rsid w:val="3CEF3043"/>
    <w:rsid w:val="3CF70A12"/>
    <w:rsid w:val="3CF96BA4"/>
    <w:rsid w:val="3D0D0D7B"/>
    <w:rsid w:val="3D17730C"/>
    <w:rsid w:val="3D1F1DCD"/>
    <w:rsid w:val="3D753949"/>
    <w:rsid w:val="3D782156"/>
    <w:rsid w:val="3D961652"/>
    <w:rsid w:val="3DA62C4B"/>
    <w:rsid w:val="3DAE46E3"/>
    <w:rsid w:val="3DD02B32"/>
    <w:rsid w:val="3E220942"/>
    <w:rsid w:val="3E392173"/>
    <w:rsid w:val="3E9135C5"/>
    <w:rsid w:val="3EC01C27"/>
    <w:rsid w:val="3ED32315"/>
    <w:rsid w:val="3EE85404"/>
    <w:rsid w:val="3F0843D1"/>
    <w:rsid w:val="3F7468C0"/>
    <w:rsid w:val="3FB54769"/>
    <w:rsid w:val="3FBF5D52"/>
    <w:rsid w:val="3FDC5DE8"/>
    <w:rsid w:val="3FE07DF2"/>
    <w:rsid w:val="3FF077C3"/>
    <w:rsid w:val="403F20AA"/>
    <w:rsid w:val="404501AD"/>
    <w:rsid w:val="404858F3"/>
    <w:rsid w:val="40574C1C"/>
    <w:rsid w:val="407309B6"/>
    <w:rsid w:val="40B3426B"/>
    <w:rsid w:val="412728E5"/>
    <w:rsid w:val="412B2011"/>
    <w:rsid w:val="41585AC3"/>
    <w:rsid w:val="41842BAF"/>
    <w:rsid w:val="41B530C6"/>
    <w:rsid w:val="41C0389F"/>
    <w:rsid w:val="41C24893"/>
    <w:rsid w:val="41E06CA1"/>
    <w:rsid w:val="420210E4"/>
    <w:rsid w:val="420E0F62"/>
    <w:rsid w:val="42250DAF"/>
    <w:rsid w:val="4235323B"/>
    <w:rsid w:val="4260735D"/>
    <w:rsid w:val="42715C3E"/>
    <w:rsid w:val="42A746D9"/>
    <w:rsid w:val="42B01605"/>
    <w:rsid w:val="42B924F3"/>
    <w:rsid w:val="42BE4BE9"/>
    <w:rsid w:val="42C27D1A"/>
    <w:rsid w:val="42D0734C"/>
    <w:rsid w:val="42D17F20"/>
    <w:rsid w:val="43122677"/>
    <w:rsid w:val="432E1F75"/>
    <w:rsid w:val="43792ACE"/>
    <w:rsid w:val="438B55F5"/>
    <w:rsid w:val="438E199C"/>
    <w:rsid w:val="43B119B5"/>
    <w:rsid w:val="43CD54E7"/>
    <w:rsid w:val="43D62853"/>
    <w:rsid w:val="43EF06ED"/>
    <w:rsid w:val="440451B3"/>
    <w:rsid w:val="44140DF0"/>
    <w:rsid w:val="442D4C80"/>
    <w:rsid w:val="443D4582"/>
    <w:rsid w:val="444667B2"/>
    <w:rsid w:val="44525F61"/>
    <w:rsid w:val="44546151"/>
    <w:rsid w:val="44696ADF"/>
    <w:rsid w:val="448D6AB8"/>
    <w:rsid w:val="44AA0899"/>
    <w:rsid w:val="44BD1D02"/>
    <w:rsid w:val="44CD133A"/>
    <w:rsid w:val="44FB7499"/>
    <w:rsid w:val="453B44DF"/>
    <w:rsid w:val="454E3B0B"/>
    <w:rsid w:val="457F3758"/>
    <w:rsid w:val="458400D5"/>
    <w:rsid w:val="45975B47"/>
    <w:rsid w:val="46043DD7"/>
    <w:rsid w:val="462D57F5"/>
    <w:rsid w:val="4643183C"/>
    <w:rsid w:val="465F0D84"/>
    <w:rsid w:val="466C426F"/>
    <w:rsid w:val="468247BC"/>
    <w:rsid w:val="46965B1F"/>
    <w:rsid w:val="46993E71"/>
    <w:rsid w:val="46B85596"/>
    <w:rsid w:val="46FE3EAB"/>
    <w:rsid w:val="46FF2C6C"/>
    <w:rsid w:val="472B129E"/>
    <w:rsid w:val="472B3950"/>
    <w:rsid w:val="474202D0"/>
    <w:rsid w:val="4751275A"/>
    <w:rsid w:val="477316AE"/>
    <w:rsid w:val="479D1C8D"/>
    <w:rsid w:val="47C129F9"/>
    <w:rsid w:val="47D220F4"/>
    <w:rsid w:val="47D829FA"/>
    <w:rsid w:val="47D921CA"/>
    <w:rsid w:val="47F22E4F"/>
    <w:rsid w:val="47FB22CB"/>
    <w:rsid w:val="480E6B91"/>
    <w:rsid w:val="48236315"/>
    <w:rsid w:val="483021A8"/>
    <w:rsid w:val="48354D45"/>
    <w:rsid w:val="4870771A"/>
    <w:rsid w:val="48765B03"/>
    <w:rsid w:val="488A423E"/>
    <w:rsid w:val="49180694"/>
    <w:rsid w:val="494249A4"/>
    <w:rsid w:val="49551E9F"/>
    <w:rsid w:val="49720F58"/>
    <w:rsid w:val="499421F1"/>
    <w:rsid w:val="49A14359"/>
    <w:rsid w:val="49B577B2"/>
    <w:rsid w:val="49DF4F36"/>
    <w:rsid w:val="49E52169"/>
    <w:rsid w:val="49F9606C"/>
    <w:rsid w:val="49FA026B"/>
    <w:rsid w:val="4A362272"/>
    <w:rsid w:val="4A3B4BD3"/>
    <w:rsid w:val="4A3F5F5E"/>
    <w:rsid w:val="4A5D415D"/>
    <w:rsid w:val="4A9C644E"/>
    <w:rsid w:val="4AA55784"/>
    <w:rsid w:val="4AA93638"/>
    <w:rsid w:val="4B120D37"/>
    <w:rsid w:val="4B524331"/>
    <w:rsid w:val="4B6C60A1"/>
    <w:rsid w:val="4B8B738D"/>
    <w:rsid w:val="4BAD134B"/>
    <w:rsid w:val="4BE77AAC"/>
    <w:rsid w:val="4BEB0DE8"/>
    <w:rsid w:val="4C0515C4"/>
    <w:rsid w:val="4C207F8B"/>
    <w:rsid w:val="4C2B2AE6"/>
    <w:rsid w:val="4C4A51F6"/>
    <w:rsid w:val="4C4D4543"/>
    <w:rsid w:val="4C7423D8"/>
    <w:rsid w:val="4C9F033E"/>
    <w:rsid w:val="4CAF3296"/>
    <w:rsid w:val="4CCA5BB9"/>
    <w:rsid w:val="4D123CF0"/>
    <w:rsid w:val="4D161C25"/>
    <w:rsid w:val="4D1E7A00"/>
    <w:rsid w:val="4D4E1864"/>
    <w:rsid w:val="4D524049"/>
    <w:rsid w:val="4D6862A3"/>
    <w:rsid w:val="4D775DB9"/>
    <w:rsid w:val="4D932B35"/>
    <w:rsid w:val="4D973934"/>
    <w:rsid w:val="4D9B401B"/>
    <w:rsid w:val="4DA70238"/>
    <w:rsid w:val="4DD57A55"/>
    <w:rsid w:val="4DF85023"/>
    <w:rsid w:val="4E1040FE"/>
    <w:rsid w:val="4E52429A"/>
    <w:rsid w:val="4EBA615F"/>
    <w:rsid w:val="4EBE17BD"/>
    <w:rsid w:val="4F2D3BE4"/>
    <w:rsid w:val="4F2D4880"/>
    <w:rsid w:val="4F3C7E8D"/>
    <w:rsid w:val="4F6E3703"/>
    <w:rsid w:val="4F9C058C"/>
    <w:rsid w:val="4FC821A2"/>
    <w:rsid w:val="4FC84932"/>
    <w:rsid w:val="4FE56B2B"/>
    <w:rsid w:val="4FFF63C3"/>
    <w:rsid w:val="504B1AD3"/>
    <w:rsid w:val="5055282E"/>
    <w:rsid w:val="506B4CFC"/>
    <w:rsid w:val="506D0294"/>
    <w:rsid w:val="50716389"/>
    <w:rsid w:val="507D3EB8"/>
    <w:rsid w:val="50D25DAB"/>
    <w:rsid w:val="512544CF"/>
    <w:rsid w:val="519C5A25"/>
    <w:rsid w:val="51B15013"/>
    <w:rsid w:val="51E131AC"/>
    <w:rsid w:val="521D53FD"/>
    <w:rsid w:val="523C1E1F"/>
    <w:rsid w:val="52481FEA"/>
    <w:rsid w:val="525836DA"/>
    <w:rsid w:val="52621250"/>
    <w:rsid w:val="5262354E"/>
    <w:rsid w:val="529835FE"/>
    <w:rsid w:val="52A466AB"/>
    <w:rsid w:val="52D460F1"/>
    <w:rsid w:val="52DD1249"/>
    <w:rsid w:val="52E64F13"/>
    <w:rsid w:val="52EA6014"/>
    <w:rsid w:val="530733C6"/>
    <w:rsid w:val="530D4279"/>
    <w:rsid w:val="5312244E"/>
    <w:rsid w:val="531B71A9"/>
    <w:rsid w:val="53297010"/>
    <w:rsid w:val="533A03F5"/>
    <w:rsid w:val="533D1786"/>
    <w:rsid w:val="538D7C23"/>
    <w:rsid w:val="53E53868"/>
    <w:rsid w:val="542513D2"/>
    <w:rsid w:val="542E3461"/>
    <w:rsid w:val="54414F42"/>
    <w:rsid w:val="546921BF"/>
    <w:rsid w:val="54851064"/>
    <w:rsid w:val="548C0051"/>
    <w:rsid w:val="54970E87"/>
    <w:rsid w:val="54E835EB"/>
    <w:rsid w:val="55486498"/>
    <w:rsid w:val="555B554E"/>
    <w:rsid w:val="55687090"/>
    <w:rsid w:val="55821CB6"/>
    <w:rsid w:val="558C6EF7"/>
    <w:rsid w:val="55AE459E"/>
    <w:rsid w:val="55D24B90"/>
    <w:rsid w:val="55D4797B"/>
    <w:rsid w:val="55ED2918"/>
    <w:rsid w:val="55F23D8E"/>
    <w:rsid w:val="56135F86"/>
    <w:rsid w:val="562206ED"/>
    <w:rsid w:val="5629178B"/>
    <w:rsid w:val="56353E50"/>
    <w:rsid w:val="56356BF2"/>
    <w:rsid w:val="568150D8"/>
    <w:rsid w:val="56835C70"/>
    <w:rsid w:val="56880659"/>
    <w:rsid w:val="56A2627A"/>
    <w:rsid w:val="56B01760"/>
    <w:rsid w:val="572D086C"/>
    <w:rsid w:val="57360623"/>
    <w:rsid w:val="57950EA0"/>
    <w:rsid w:val="57AF4C53"/>
    <w:rsid w:val="57C33EC0"/>
    <w:rsid w:val="57F05DD2"/>
    <w:rsid w:val="57F864DB"/>
    <w:rsid w:val="581B1CCB"/>
    <w:rsid w:val="58350393"/>
    <w:rsid w:val="584940B7"/>
    <w:rsid w:val="585F3392"/>
    <w:rsid w:val="586B5E8A"/>
    <w:rsid w:val="588608F7"/>
    <w:rsid w:val="589F053A"/>
    <w:rsid w:val="58B64172"/>
    <w:rsid w:val="58BB2460"/>
    <w:rsid w:val="58BC482C"/>
    <w:rsid w:val="599E4814"/>
    <w:rsid w:val="59A82445"/>
    <w:rsid w:val="59DC08E4"/>
    <w:rsid w:val="59E44137"/>
    <w:rsid w:val="59FB5D11"/>
    <w:rsid w:val="5A0F49D2"/>
    <w:rsid w:val="5A1B7818"/>
    <w:rsid w:val="5A276F81"/>
    <w:rsid w:val="5A4109D1"/>
    <w:rsid w:val="5AA74ABB"/>
    <w:rsid w:val="5AB5009D"/>
    <w:rsid w:val="5ABA15AB"/>
    <w:rsid w:val="5B1A5CBD"/>
    <w:rsid w:val="5B2A4DAC"/>
    <w:rsid w:val="5B344A4C"/>
    <w:rsid w:val="5B783B87"/>
    <w:rsid w:val="5BE83AA5"/>
    <w:rsid w:val="5C11644E"/>
    <w:rsid w:val="5C3559D8"/>
    <w:rsid w:val="5C501901"/>
    <w:rsid w:val="5C541503"/>
    <w:rsid w:val="5C571591"/>
    <w:rsid w:val="5C6A7000"/>
    <w:rsid w:val="5C7559C6"/>
    <w:rsid w:val="5C8F44AF"/>
    <w:rsid w:val="5CBA305E"/>
    <w:rsid w:val="5CBC4731"/>
    <w:rsid w:val="5CBF28DD"/>
    <w:rsid w:val="5CE14A90"/>
    <w:rsid w:val="5D8A6F98"/>
    <w:rsid w:val="5DAB0C44"/>
    <w:rsid w:val="5E456B54"/>
    <w:rsid w:val="5E567E7B"/>
    <w:rsid w:val="5E5B666D"/>
    <w:rsid w:val="5E913C46"/>
    <w:rsid w:val="5EF15A98"/>
    <w:rsid w:val="5F086434"/>
    <w:rsid w:val="5F1E649A"/>
    <w:rsid w:val="5F352B3C"/>
    <w:rsid w:val="5F4B3AE6"/>
    <w:rsid w:val="5F4F6A72"/>
    <w:rsid w:val="5F562DC9"/>
    <w:rsid w:val="5F62370B"/>
    <w:rsid w:val="5F641494"/>
    <w:rsid w:val="5FB32ED1"/>
    <w:rsid w:val="5FDE7F72"/>
    <w:rsid w:val="5FE2309A"/>
    <w:rsid w:val="600E62D0"/>
    <w:rsid w:val="606B5BDC"/>
    <w:rsid w:val="60765F74"/>
    <w:rsid w:val="608139F5"/>
    <w:rsid w:val="60863D99"/>
    <w:rsid w:val="613B72D3"/>
    <w:rsid w:val="6176052D"/>
    <w:rsid w:val="617945FB"/>
    <w:rsid w:val="618A31A4"/>
    <w:rsid w:val="62070588"/>
    <w:rsid w:val="621F5812"/>
    <w:rsid w:val="622D7E78"/>
    <w:rsid w:val="62484F1A"/>
    <w:rsid w:val="627A0166"/>
    <w:rsid w:val="62834ED0"/>
    <w:rsid w:val="62E747A6"/>
    <w:rsid w:val="634001E3"/>
    <w:rsid w:val="63405DAF"/>
    <w:rsid w:val="6392757B"/>
    <w:rsid w:val="63941E6C"/>
    <w:rsid w:val="63A87F21"/>
    <w:rsid w:val="640F17B5"/>
    <w:rsid w:val="642D788A"/>
    <w:rsid w:val="64562AD9"/>
    <w:rsid w:val="645C2F64"/>
    <w:rsid w:val="64754846"/>
    <w:rsid w:val="649A4660"/>
    <w:rsid w:val="64AF4FEA"/>
    <w:rsid w:val="650825C6"/>
    <w:rsid w:val="65102E3B"/>
    <w:rsid w:val="65151342"/>
    <w:rsid w:val="654713DF"/>
    <w:rsid w:val="655F5DE0"/>
    <w:rsid w:val="6563094D"/>
    <w:rsid w:val="65A16D5F"/>
    <w:rsid w:val="65CE5F67"/>
    <w:rsid w:val="65E0743F"/>
    <w:rsid w:val="661C17FF"/>
    <w:rsid w:val="663A7A43"/>
    <w:rsid w:val="66531D6F"/>
    <w:rsid w:val="66655FF5"/>
    <w:rsid w:val="668268B9"/>
    <w:rsid w:val="66827145"/>
    <w:rsid w:val="66960848"/>
    <w:rsid w:val="66A541D6"/>
    <w:rsid w:val="66AA4E06"/>
    <w:rsid w:val="66AF200E"/>
    <w:rsid w:val="66B87349"/>
    <w:rsid w:val="66D6772F"/>
    <w:rsid w:val="66E676BF"/>
    <w:rsid w:val="67051C91"/>
    <w:rsid w:val="67283ADD"/>
    <w:rsid w:val="672F02E7"/>
    <w:rsid w:val="675742BA"/>
    <w:rsid w:val="67703D87"/>
    <w:rsid w:val="67A01A9D"/>
    <w:rsid w:val="67B36E36"/>
    <w:rsid w:val="67B55803"/>
    <w:rsid w:val="67BC1058"/>
    <w:rsid w:val="67E049F9"/>
    <w:rsid w:val="67FB506B"/>
    <w:rsid w:val="67FD5F08"/>
    <w:rsid w:val="680968C7"/>
    <w:rsid w:val="680B74E5"/>
    <w:rsid w:val="68131DF1"/>
    <w:rsid w:val="68446F87"/>
    <w:rsid w:val="68490BA5"/>
    <w:rsid w:val="688204A8"/>
    <w:rsid w:val="68836D3F"/>
    <w:rsid w:val="68A317CE"/>
    <w:rsid w:val="68A93284"/>
    <w:rsid w:val="68CD2DF1"/>
    <w:rsid w:val="68F141D4"/>
    <w:rsid w:val="69430DBD"/>
    <w:rsid w:val="69775775"/>
    <w:rsid w:val="699130F4"/>
    <w:rsid w:val="69955344"/>
    <w:rsid w:val="69AA270C"/>
    <w:rsid w:val="69BA1A2D"/>
    <w:rsid w:val="69D354B3"/>
    <w:rsid w:val="69D45838"/>
    <w:rsid w:val="69DB5AB9"/>
    <w:rsid w:val="69FA636D"/>
    <w:rsid w:val="6A3109A1"/>
    <w:rsid w:val="6A332701"/>
    <w:rsid w:val="6A42113E"/>
    <w:rsid w:val="6A607D3F"/>
    <w:rsid w:val="6A9E35F8"/>
    <w:rsid w:val="6AA73F08"/>
    <w:rsid w:val="6AB57FE0"/>
    <w:rsid w:val="6AD67F0D"/>
    <w:rsid w:val="6AE10DD5"/>
    <w:rsid w:val="6B08318F"/>
    <w:rsid w:val="6B0F46F6"/>
    <w:rsid w:val="6B161FBD"/>
    <w:rsid w:val="6B2F7653"/>
    <w:rsid w:val="6B4C6507"/>
    <w:rsid w:val="6B4E6F7E"/>
    <w:rsid w:val="6B8125DC"/>
    <w:rsid w:val="6B9150F6"/>
    <w:rsid w:val="6B98588F"/>
    <w:rsid w:val="6BBC07D3"/>
    <w:rsid w:val="6BC947E9"/>
    <w:rsid w:val="6BD510F7"/>
    <w:rsid w:val="6BD83D98"/>
    <w:rsid w:val="6BDA6E36"/>
    <w:rsid w:val="6BED679D"/>
    <w:rsid w:val="6C18223C"/>
    <w:rsid w:val="6C1D4D6E"/>
    <w:rsid w:val="6C3438A5"/>
    <w:rsid w:val="6C5715BE"/>
    <w:rsid w:val="6C804DEF"/>
    <w:rsid w:val="6C9E7B43"/>
    <w:rsid w:val="6CAE4CE7"/>
    <w:rsid w:val="6CBC3B87"/>
    <w:rsid w:val="6CC1587C"/>
    <w:rsid w:val="6CE16E6B"/>
    <w:rsid w:val="6D2A6A64"/>
    <w:rsid w:val="6D355ABB"/>
    <w:rsid w:val="6D37725E"/>
    <w:rsid w:val="6D397B95"/>
    <w:rsid w:val="6D773F73"/>
    <w:rsid w:val="6D7D202A"/>
    <w:rsid w:val="6DD4663E"/>
    <w:rsid w:val="6E0A72BD"/>
    <w:rsid w:val="6E34742D"/>
    <w:rsid w:val="6E783D76"/>
    <w:rsid w:val="6E7D1856"/>
    <w:rsid w:val="6E845CED"/>
    <w:rsid w:val="6EA66996"/>
    <w:rsid w:val="6EBD59F6"/>
    <w:rsid w:val="6F245066"/>
    <w:rsid w:val="6F2A4B5C"/>
    <w:rsid w:val="6F447EB5"/>
    <w:rsid w:val="6F5F475E"/>
    <w:rsid w:val="6F7076E4"/>
    <w:rsid w:val="6F844E2F"/>
    <w:rsid w:val="6F9B2C70"/>
    <w:rsid w:val="6FB6638D"/>
    <w:rsid w:val="6FE61A21"/>
    <w:rsid w:val="6FEC6A8E"/>
    <w:rsid w:val="6FF5067F"/>
    <w:rsid w:val="701F620D"/>
    <w:rsid w:val="70244C09"/>
    <w:rsid w:val="704A05A8"/>
    <w:rsid w:val="70744899"/>
    <w:rsid w:val="70777941"/>
    <w:rsid w:val="708B7ED4"/>
    <w:rsid w:val="709177BB"/>
    <w:rsid w:val="70BA7997"/>
    <w:rsid w:val="70E463EA"/>
    <w:rsid w:val="70F21646"/>
    <w:rsid w:val="70F4769D"/>
    <w:rsid w:val="713C1E52"/>
    <w:rsid w:val="71447A52"/>
    <w:rsid w:val="716219B4"/>
    <w:rsid w:val="71640E18"/>
    <w:rsid w:val="717C501D"/>
    <w:rsid w:val="718C5605"/>
    <w:rsid w:val="718D0462"/>
    <w:rsid w:val="71AE7F52"/>
    <w:rsid w:val="71C34ABD"/>
    <w:rsid w:val="71D12BCF"/>
    <w:rsid w:val="71D51904"/>
    <w:rsid w:val="71E26140"/>
    <w:rsid w:val="71FF6DF7"/>
    <w:rsid w:val="722717EF"/>
    <w:rsid w:val="72374937"/>
    <w:rsid w:val="72476E8D"/>
    <w:rsid w:val="725B18DB"/>
    <w:rsid w:val="72667C4D"/>
    <w:rsid w:val="72677449"/>
    <w:rsid w:val="726B4564"/>
    <w:rsid w:val="7293040E"/>
    <w:rsid w:val="72BA048D"/>
    <w:rsid w:val="72C5714D"/>
    <w:rsid w:val="72C71F07"/>
    <w:rsid w:val="72E0678F"/>
    <w:rsid w:val="72FA7E9C"/>
    <w:rsid w:val="730E650D"/>
    <w:rsid w:val="73174A35"/>
    <w:rsid w:val="73326A8A"/>
    <w:rsid w:val="733A5FF1"/>
    <w:rsid w:val="735C6A87"/>
    <w:rsid w:val="737D3686"/>
    <w:rsid w:val="73A25381"/>
    <w:rsid w:val="73A90500"/>
    <w:rsid w:val="73AD7447"/>
    <w:rsid w:val="73C170FD"/>
    <w:rsid w:val="73C907FA"/>
    <w:rsid w:val="73D00F12"/>
    <w:rsid w:val="73E971A2"/>
    <w:rsid w:val="740B6F27"/>
    <w:rsid w:val="741115CC"/>
    <w:rsid w:val="7441602E"/>
    <w:rsid w:val="744232DA"/>
    <w:rsid w:val="744C14B9"/>
    <w:rsid w:val="745F5C2E"/>
    <w:rsid w:val="74875835"/>
    <w:rsid w:val="7490581A"/>
    <w:rsid w:val="74A5451A"/>
    <w:rsid w:val="74E148EF"/>
    <w:rsid w:val="750C6A27"/>
    <w:rsid w:val="75AC14E6"/>
    <w:rsid w:val="75C72B61"/>
    <w:rsid w:val="75CF18E2"/>
    <w:rsid w:val="75FD1A13"/>
    <w:rsid w:val="76013660"/>
    <w:rsid w:val="7605430D"/>
    <w:rsid w:val="760720B6"/>
    <w:rsid w:val="761E45A2"/>
    <w:rsid w:val="762F7F32"/>
    <w:rsid w:val="763A7454"/>
    <w:rsid w:val="76472BB8"/>
    <w:rsid w:val="766037BF"/>
    <w:rsid w:val="766153D5"/>
    <w:rsid w:val="76780840"/>
    <w:rsid w:val="767D27CC"/>
    <w:rsid w:val="768A3309"/>
    <w:rsid w:val="76C35712"/>
    <w:rsid w:val="76D820F4"/>
    <w:rsid w:val="76E0355D"/>
    <w:rsid w:val="77140AEA"/>
    <w:rsid w:val="771A605C"/>
    <w:rsid w:val="777211BC"/>
    <w:rsid w:val="778043FA"/>
    <w:rsid w:val="77AC32D8"/>
    <w:rsid w:val="77AD69DE"/>
    <w:rsid w:val="77D42567"/>
    <w:rsid w:val="77EE3C6A"/>
    <w:rsid w:val="7803595E"/>
    <w:rsid w:val="78136AF9"/>
    <w:rsid w:val="783267CC"/>
    <w:rsid w:val="78351146"/>
    <w:rsid w:val="783F5207"/>
    <w:rsid w:val="784878BC"/>
    <w:rsid w:val="78563FD7"/>
    <w:rsid w:val="786E52B0"/>
    <w:rsid w:val="789B6BB6"/>
    <w:rsid w:val="78D62ECE"/>
    <w:rsid w:val="78F61EF0"/>
    <w:rsid w:val="79116D2A"/>
    <w:rsid w:val="791F0D44"/>
    <w:rsid w:val="79200C39"/>
    <w:rsid w:val="7961235B"/>
    <w:rsid w:val="7972671F"/>
    <w:rsid w:val="79892BA0"/>
    <w:rsid w:val="798C35F3"/>
    <w:rsid w:val="79AB5E31"/>
    <w:rsid w:val="79E03A83"/>
    <w:rsid w:val="7A266C3C"/>
    <w:rsid w:val="7ABB569A"/>
    <w:rsid w:val="7AD0650C"/>
    <w:rsid w:val="7AD421DB"/>
    <w:rsid w:val="7B036C80"/>
    <w:rsid w:val="7B754A9B"/>
    <w:rsid w:val="7BA82FA4"/>
    <w:rsid w:val="7BF0775D"/>
    <w:rsid w:val="7BF302A3"/>
    <w:rsid w:val="7C0F6461"/>
    <w:rsid w:val="7C10395E"/>
    <w:rsid w:val="7C2D03E1"/>
    <w:rsid w:val="7C5640A2"/>
    <w:rsid w:val="7C741AA9"/>
    <w:rsid w:val="7C8A3325"/>
    <w:rsid w:val="7CB02B97"/>
    <w:rsid w:val="7CB76CC8"/>
    <w:rsid w:val="7CE1188D"/>
    <w:rsid w:val="7CE9699F"/>
    <w:rsid w:val="7CFE7E7F"/>
    <w:rsid w:val="7D24116C"/>
    <w:rsid w:val="7D36245A"/>
    <w:rsid w:val="7D5B44A4"/>
    <w:rsid w:val="7D614A1C"/>
    <w:rsid w:val="7D7463A8"/>
    <w:rsid w:val="7D8476E8"/>
    <w:rsid w:val="7DCD7CCE"/>
    <w:rsid w:val="7DF60A6A"/>
    <w:rsid w:val="7E130DFD"/>
    <w:rsid w:val="7E6B18D6"/>
    <w:rsid w:val="7E6E7589"/>
    <w:rsid w:val="7E757607"/>
    <w:rsid w:val="7E7E624A"/>
    <w:rsid w:val="7EA03B95"/>
    <w:rsid w:val="7EA43064"/>
    <w:rsid w:val="7EB65233"/>
    <w:rsid w:val="7ECC6D88"/>
    <w:rsid w:val="7EF7251E"/>
    <w:rsid w:val="7F0700DB"/>
    <w:rsid w:val="7F083BDE"/>
    <w:rsid w:val="7F2A6628"/>
    <w:rsid w:val="7F491EC1"/>
    <w:rsid w:val="7F687AFA"/>
    <w:rsid w:val="7F893890"/>
    <w:rsid w:val="7F933B16"/>
    <w:rsid w:val="7FDF0354"/>
    <w:rsid w:val="7FE442AD"/>
    <w:rsid w:val="7FEA3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jc w:val="center"/>
      <w:outlineLvl w:val="0"/>
    </w:pPr>
    <w:rPr>
      <w:rFonts w:eastAsia="黑体"/>
      <w:b/>
      <w:bCs/>
      <w:kern w:val="44"/>
      <w:sz w:val="72"/>
      <w:szCs w:val="44"/>
    </w:rPr>
  </w:style>
  <w:style w:type="paragraph" w:styleId="5">
    <w:name w:val="heading 2"/>
    <w:basedOn w:val="1"/>
    <w:next w:val="1"/>
    <w:qFormat/>
    <w:uiPriority w:val="99"/>
    <w:pPr>
      <w:keepNext/>
      <w:keepLines/>
      <w:spacing w:before="260" w:after="260" w:line="360" w:lineRule="auto"/>
      <w:jc w:val="left"/>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rPr>
  </w:style>
  <w:style w:type="paragraph" w:styleId="6">
    <w:name w:val="annotation text"/>
    <w:basedOn w:val="1"/>
    <w:semiHidden/>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7">
    <w:name w:val="Body Text Indent"/>
    <w:basedOn w:val="1"/>
    <w:next w:val="8"/>
    <w:qFormat/>
    <w:uiPriority w:val="0"/>
    <w:pPr>
      <w:spacing w:after="120"/>
      <w:ind w:left="200" w:leftChars="200"/>
    </w:pPr>
  </w:style>
  <w:style w:type="paragraph" w:styleId="8">
    <w:name w:val="envelope return"/>
    <w:basedOn w:val="1"/>
    <w:qFormat/>
    <w:uiPriority w:val="0"/>
    <w:pPr>
      <w:snapToGrid w:val="0"/>
    </w:pPr>
    <w:rPr>
      <w:rFonts w:ascii="Arial" w:hAnsi="Arial"/>
    </w:rPr>
  </w:style>
  <w:style w:type="paragraph" w:styleId="9">
    <w:name w:val="Body Text Indent 2"/>
    <w:unhideWhenUsed/>
    <w:qFormat/>
    <w:uiPriority w:val="99"/>
    <w:pPr>
      <w:widowControl w:val="0"/>
      <w:spacing w:line="360" w:lineRule="auto"/>
      <w:ind w:firstLine="600" w:firstLineChars="200"/>
      <w:jc w:val="both"/>
    </w:pPr>
    <w:rPr>
      <w:rFonts w:ascii="Times New Roman" w:hAnsi="Times New Roman" w:eastAsia="仿宋_GB2312" w:cs="Times New Roman"/>
      <w:kern w:val="2"/>
      <w:sz w:val="32"/>
      <w:lang w:val="en-US" w:eastAsia="zh-CN" w:bidi="ar-SA"/>
    </w:rPr>
  </w:style>
  <w:style w:type="paragraph" w:styleId="10">
    <w:name w:val="Balloon Text"/>
    <w:basedOn w:val="1"/>
    <w:link w:val="23"/>
    <w:qFormat/>
    <w:uiPriority w:val="0"/>
    <w:rPr>
      <w:sz w:val="18"/>
      <w:szCs w:val="18"/>
    </w:rPr>
  </w:style>
  <w:style w:type="paragraph" w:styleId="11">
    <w:name w:val="footer"/>
    <w:basedOn w:val="1"/>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unhideWhenUsed/>
    <w:qFormat/>
    <w:uiPriority w:val="99"/>
    <w:pPr>
      <w:widowControl w:val="0"/>
      <w:snapToGrid w:val="0"/>
    </w:pPr>
    <w:rPr>
      <w:rFonts w:ascii="Times New Roman" w:hAnsi="Times New Roman" w:eastAsia="仿宋_GB2312" w:cs="Times New Roman"/>
      <w:kern w:val="2"/>
      <w:sz w:val="18"/>
      <w:lang w:val="en-US" w:eastAsia="zh-CN" w:bidi="ar-SA"/>
    </w:rPr>
  </w:style>
  <w:style w:type="paragraph" w:styleId="14">
    <w:name w:val="Normal (Web)"/>
    <w:unhideWhenUsed/>
    <w:qFormat/>
    <w:uiPriority w:val="99"/>
    <w:pPr>
      <w:spacing w:before="100" w:beforeAutospacing="1" w:after="100" w:afterAutospacing="1"/>
    </w:pPr>
    <w:rPr>
      <w:rFonts w:ascii="宋体" w:hAnsi="宋体" w:eastAsia="宋体" w:cs="宋体"/>
      <w:kern w:val="2"/>
      <w:sz w:val="24"/>
      <w:lang w:val="en-US" w:eastAsia="zh-CN" w:bidi="ar-SA"/>
    </w:rPr>
  </w:style>
  <w:style w:type="paragraph" w:styleId="15">
    <w:name w:val="Body Text First Indent 2"/>
    <w:basedOn w:val="7"/>
    <w:qFormat/>
    <w:uiPriority w:val="0"/>
    <w:pPr>
      <w:spacing w:beforeLines="20" w:afterLines="20"/>
      <w:ind w:left="360" w:leftChars="0" w:firstLine="210"/>
    </w:pPr>
  </w:style>
  <w:style w:type="table" w:styleId="1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otnote reference"/>
    <w:unhideWhenUsed/>
    <w:qFormat/>
    <w:uiPriority w:val="99"/>
    <w:rPr>
      <w:vertAlign w:val="superscript"/>
    </w:rPr>
  </w:style>
  <w:style w:type="character" w:customStyle="1" w:styleId="20">
    <w:name w:val="font21"/>
    <w:basedOn w:val="18"/>
    <w:qFormat/>
    <w:uiPriority w:val="0"/>
    <w:rPr>
      <w:rFonts w:hint="eastAsia" w:ascii="仿宋" w:hAnsi="仿宋" w:eastAsia="仿宋" w:cs="仿宋"/>
      <w:color w:val="000000"/>
      <w:sz w:val="24"/>
      <w:szCs w:val="24"/>
      <w:u w:val="none"/>
    </w:rPr>
  </w:style>
  <w:style w:type="character" w:customStyle="1" w:styleId="21">
    <w:name w:val="font31"/>
    <w:basedOn w:val="18"/>
    <w:qFormat/>
    <w:uiPriority w:val="0"/>
    <w:rPr>
      <w:rFonts w:hint="eastAsia" w:ascii="仿宋" w:hAnsi="仿宋" w:eastAsia="仿宋" w:cs="仿宋"/>
      <w:color w:val="0000FF"/>
      <w:sz w:val="24"/>
      <w:szCs w:val="24"/>
      <w:u w:val="none"/>
    </w:rPr>
  </w:style>
  <w:style w:type="paragraph" w:styleId="22">
    <w:name w:val="List Paragraph"/>
    <w:basedOn w:val="1"/>
    <w:qFormat/>
    <w:uiPriority w:val="34"/>
    <w:pPr>
      <w:autoSpaceDE w:val="0"/>
      <w:autoSpaceDN w:val="0"/>
      <w:spacing w:before="11"/>
      <w:ind w:left="105" w:right="109" w:firstLine="655"/>
      <w:jc w:val="left"/>
    </w:pPr>
    <w:rPr>
      <w:rFonts w:ascii="仿宋" w:hAnsi="仿宋" w:eastAsia="仿宋" w:cs="仿宋"/>
      <w:kern w:val="0"/>
      <w:sz w:val="22"/>
      <w:lang w:eastAsia="en-US"/>
    </w:r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character" w:customStyle="1" w:styleId="24">
    <w:name w:val="font41"/>
    <w:basedOn w:val="18"/>
    <w:qFormat/>
    <w:uiPriority w:val="0"/>
    <w:rPr>
      <w:rFonts w:hint="eastAsia" w:ascii="仿宋" w:hAnsi="仿宋" w:eastAsia="仿宋" w:cs="仿宋"/>
      <w:color w:val="000000"/>
      <w:sz w:val="24"/>
      <w:szCs w:val="24"/>
      <w:u w:val="none"/>
    </w:rPr>
  </w:style>
  <w:style w:type="character" w:customStyle="1" w:styleId="25">
    <w:name w:val="font01"/>
    <w:basedOn w:val="18"/>
    <w:qFormat/>
    <w:uiPriority w:val="0"/>
    <w:rPr>
      <w:rFonts w:hint="eastAsia" w:ascii="仿宋" w:hAnsi="仿宋" w:eastAsia="仿宋" w:cs="仿宋"/>
      <w:color w:val="000000"/>
      <w:sz w:val="22"/>
      <w:szCs w:val="22"/>
      <w:u w:val="none"/>
    </w:rPr>
  </w:style>
  <w:style w:type="character" w:customStyle="1" w:styleId="26">
    <w:name w:val="font51"/>
    <w:basedOn w:val="18"/>
    <w:qFormat/>
    <w:uiPriority w:val="0"/>
    <w:rPr>
      <w:rFonts w:hint="eastAsia" w:ascii="仿宋" w:hAnsi="仿宋" w:eastAsia="仿宋" w:cs="仿宋"/>
      <w:color w:val="000000"/>
      <w:sz w:val="24"/>
      <w:szCs w:val="24"/>
      <w:u w:val="none"/>
    </w:rPr>
  </w:style>
  <w:style w:type="character" w:customStyle="1" w:styleId="27">
    <w:name w:val="font61"/>
    <w:basedOn w:val="18"/>
    <w:qFormat/>
    <w:uiPriority w:val="0"/>
    <w:rPr>
      <w:rFonts w:hint="default" w:ascii="方正仿宋_GB2312" w:hAnsi="方正仿宋_GB2312" w:eastAsia="方正仿宋_GB2312" w:cs="方正仿宋_GB2312"/>
      <w:color w:val="FF0000"/>
      <w:sz w:val="24"/>
      <w:szCs w:val="24"/>
      <w:u w:val="none"/>
    </w:rPr>
  </w:style>
  <w:style w:type="character" w:customStyle="1" w:styleId="28">
    <w:name w:val="font71"/>
    <w:basedOn w:val="18"/>
    <w:qFormat/>
    <w:uiPriority w:val="0"/>
    <w:rPr>
      <w:rFonts w:ascii="Arial" w:hAnsi="Arial" w:cs="Arial"/>
      <w:color w:val="000000"/>
      <w:sz w:val="24"/>
      <w:szCs w:val="24"/>
      <w:u w:val="none"/>
    </w:rPr>
  </w:style>
  <w:style w:type="character" w:customStyle="1" w:styleId="29">
    <w:name w:val="font11"/>
    <w:basedOn w:val="18"/>
    <w:qFormat/>
    <w:uiPriority w:val="0"/>
    <w:rPr>
      <w:rFonts w:hint="eastAsia" w:ascii="仿宋" w:hAnsi="仿宋" w:eastAsia="仿宋" w:cs="仿宋"/>
      <w:color w:val="000000"/>
      <w:sz w:val="24"/>
      <w:szCs w:val="24"/>
      <w:u w:val="none"/>
    </w:rPr>
  </w:style>
  <w:style w:type="character" w:customStyle="1" w:styleId="30">
    <w:name w:val="font81"/>
    <w:basedOn w:val="18"/>
    <w:qFormat/>
    <w:uiPriority w:val="0"/>
    <w:rPr>
      <w:rFonts w:hint="default" w:ascii="方正仿宋_GB2312" w:hAnsi="方正仿宋_GB2312" w:eastAsia="方正仿宋_GB2312" w:cs="方正仿宋_GB2312"/>
      <w:color w:val="FF0000"/>
      <w:sz w:val="24"/>
      <w:szCs w:val="24"/>
      <w:u w:val="none"/>
    </w:rPr>
  </w:style>
  <w:style w:type="character" w:customStyle="1" w:styleId="31">
    <w:name w:val="font101"/>
    <w:basedOn w:val="18"/>
    <w:qFormat/>
    <w:uiPriority w:val="0"/>
    <w:rPr>
      <w:rFonts w:hint="eastAsia" w:ascii="宋体" w:hAnsi="宋体" w:eastAsia="宋体" w:cs="宋体"/>
      <w:color w:val="FF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2249</Words>
  <Characters>2500</Characters>
  <Lines>64</Lines>
  <Paragraphs>100</Paragraphs>
  <TotalTime>1</TotalTime>
  <ScaleCrop>false</ScaleCrop>
  <LinksUpToDate>false</LinksUpToDate>
  <CharactersWithSpaces>2671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2022-06-15T07:27:00Z</dcterms:created>
  <dc:creator>zzc</dc:creator>
  <cp:lastModifiedBy>Forever</cp:lastModifiedBy>
  <cp:lastPrinted>2025-05-20T07:24:00Z</cp:lastPrinted>
  <dcterms:modified xsi:type="dcterms:W3CDTF">2025-12-02T08:28:12Z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9ACF35328D154A449BD7AB2AF67F4748</vt:lpwstr>
  </property>
  <property fmtid="{D5CDD505-2E9C-101B-9397-08002B2CF9AE}" pid="4" name="KSOTemplateDocerSaveRecord">
    <vt:lpwstr>eyJoZGlkIjoiM2I0NzllYmVhYzBjZDBiMTIyZDgwNTg2NTJhYmUxNjkiLCJ1c2VySWQiOiI1NjcyNDk5NDQifQ==</vt:lpwstr>
  </property>
</Properties>
</file>