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asciiTheme="majorEastAsia" w:hAnsiTheme="majorEastAsia" w:eastAsiaTheme="majorEastAsia"/>
          <w:color w:val="auto"/>
          <w:sz w:val="44"/>
          <w:szCs w:val="44"/>
          <w:highlight w:val="none"/>
        </w:rPr>
      </w:pPr>
      <w:r>
        <w:rPr>
          <w:rFonts w:hint="eastAsia" w:cs="宋体" w:asciiTheme="majorEastAsia" w:hAnsiTheme="majorEastAsia" w:eastAsiaTheme="majorEastAsia"/>
          <w:color w:val="auto"/>
          <w:sz w:val="44"/>
          <w:szCs w:val="44"/>
          <w:highlight w:val="none"/>
        </w:rPr>
        <w:t>中国银联2025年第一批通讯线路采购项目采购需求</w:t>
      </w:r>
    </w:p>
    <w:p>
      <w:pPr>
        <w:spacing w:line="360" w:lineRule="auto"/>
        <w:ind w:firstLine="640" w:firstLineChars="200"/>
        <w:jc w:val="left"/>
        <w:outlineLvl w:val="1"/>
        <w:rPr>
          <w:rFonts w:hint="eastAsia" w:ascii="楷体" w:hAnsi="楷体" w:eastAsia="楷体" w:cs="Times New Roman"/>
          <w:color w:val="auto"/>
          <w:sz w:val="32"/>
          <w:szCs w:val="32"/>
          <w:highlight w:val="none"/>
          <w:lang w:val="en-US" w:eastAsia="zh-CN"/>
        </w:rPr>
      </w:pPr>
    </w:p>
    <w:p>
      <w:pPr>
        <w:spacing w:line="360" w:lineRule="auto"/>
        <w:ind w:firstLine="640" w:firstLineChars="200"/>
        <w:jc w:val="left"/>
        <w:outlineLvl w:val="1"/>
        <w:rPr>
          <w:rFonts w:hint="default"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一、项目基本信息</w:t>
      </w:r>
      <w:bookmarkStart w:id="0" w:name="_GoBack"/>
      <w:bookmarkEnd w:id="0"/>
    </w:p>
    <w:p>
      <w:pPr>
        <w:snapToGrid w:val="0"/>
        <w:spacing w:line="360" w:lineRule="auto"/>
        <w:ind w:firstLine="640" w:firstLineChars="200"/>
        <w:jc w:val="left"/>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本项目为非政府采购项目，采购标的类型为</w:t>
      </w:r>
      <w:r>
        <w:rPr>
          <w:rFonts w:hint="eastAsia" w:ascii="仿宋" w:hAnsi="仿宋" w:eastAsia="仿宋" w:cs="Times New Roman"/>
          <w:sz w:val="32"/>
          <w:szCs w:val="32"/>
          <w:highlight w:val="none"/>
          <w:lang w:val="en-US" w:eastAsia="zh-CN"/>
        </w:rPr>
        <w:t>服务</w:t>
      </w:r>
      <w:r>
        <w:rPr>
          <w:rFonts w:hint="eastAsia" w:ascii="仿宋" w:hAnsi="仿宋" w:eastAsia="仿宋" w:cs="Times New Roman"/>
          <w:sz w:val="32"/>
          <w:szCs w:val="32"/>
          <w:highlight w:val="none"/>
          <w:lang w:val="en-US" w:eastAsia="zh-CN"/>
        </w:rPr>
        <w:t>，拟采用</w:t>
      </w:r>
      <w:r>
        <w:rPr>
          <w:rFonts w:hint="eastAsia" w:ascii="仿宋" w:hAnsi="仿宋" w:eastAsia="仿宋" w:cs="Times New Roman"/>
          <w:sz w:val="32"/>
          <w:szCs w:val="32"/>
          <w:highlight w:val="none"/>
          <w:lang w:val="en-US" w:eastAsia="zh-CN"/>
        </w:rPr>
        <w:t>公开招标方式</w:t>
      </w:r>
      <w:r>
        <w:rPr>
          <w:rFonts w:hint="eastAsia" w:ascii="仿宋" w:hAnsi="仿宋" w:eastAsia="仿宋" w:cs="Times New Roman"/>
          <w:sz w:val="32"/>
          <w:szCs w:val="32"/>
          <w:highlight w:val="none"/>
          <w:lang w:val="en-US" w:eastAsia="zh-CN"/>
        </w:rPr>
        <w:t>采购。</w:t>
      </w:r>
    </w:p>
    <w:p>
      <w:pPr>
        <w:numPr>
          <w:ilvl w:val="0"/>
          <w:numId w:val="2"/>
        </w:numPr>
        <w:snapToGrid w:val="0"/>
        <w:spacing w:line="360" w:lineRule="auto"/>
        <w:ind w:firstLine="640" w:firstLineChars="200"/>
        <w:jc w:val="left"/>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包件划分</w:t>
      </w:r>
    </w:p>
    <w:p>
      <w:pPr>
        <w:numPr>
          <w:ilvl w:val="-1"/>
          <w:numId w:val="0"/>
        </w:numPr>
        <w:snapToGrid w:val="0"/>
        <w:spacing w:line="360" w:lineRule="auto"/>
        <w:ind w:firstLine="640" w:firstLineChars="200"/>
        <w:jc w:val="left"/>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本项目拟分为6个包件，具体如下：</w:t>
      </w:r>
    </w:p>
    <w:tbl>
      <w:tblPr>
        <w:tblStyle w:val="10"/>
        <w:tblW w:w="80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1080"/>
        <w:gridCol w:w="1638"/>
        <w:gridCol w:w="3210"/>
        <w:gridCol w:w="1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包件编号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A端地址</w:t>
            </w:r>
          </w:p>
        </w:tc>
        <w:tc>
          <w:tcPr>
            <w:tcW w:w="1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运营商要求</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特殊业务需求</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highlight w:val="none"/>
                <w:u w:val="none"/>
              </w:rPr>
            </w:pP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highlight w:val="none"/>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包件1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上海、北京</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需运营商负责完成业务迁移工作并提供指定数量的IP地址</w:t>
            </w:r>
          </w:p>
        </w:tc>
        <w:tc>
          <w:tcPr>
            <w:tcW w:w="125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各包件线路数量等具体情况以招标公告和招标文件为准。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包件2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上海、北京</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与包件1为异构运营商</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需运营商负责完成业务迁移工作并提供指定数量的IP地址</w:t>
            </w:r>
          </w:p>
        </w:tc>
        <w:tc>
          <w:tcPr>
            <w:tcW w:w="1256" w:type="dxa"/>
            <w:vMerge w:val="continue"/>
            <w:tcBorders>
              <w:left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包件3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上海、北京</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与包件1、2为异构运营商</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需运营商负责完成业务迁移工作并提供指定数量的IP地址</w:t>
            </w:r>
          </w:p>
        </w:tc>
        <w:tc>
          <w:tcPr>
            <w:tcW w:w="1256" w:type="dxa"/>
            <w:vMerge w:val="continue"/>
            <w:tcBorders>
              <w:left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包件4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上海、北京</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1256"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包件5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上海、北京</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与包件4为异构运营商</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1256" w:type="dxa"/>
            <w:vMerge w:val="continue"/>
            <w:tcBorders>
              <w:left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包件6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北京</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非联通运营商</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125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p>
        </w:tc>
      </w:tr>
    </w:tbl>
    <w:p>
      <w:pPr>
        <w:snapToGrid w:val="0"/>
        <w:spacing w:line="360" w:lineRule="auto"/>
        <w:ind w:firstLine="0" w:firstLineChars="0"/>
        <w:jc w:val="left"/>
        <w:rPr>
          <w:rFonts w:hint="eastAsia" w:ascii="仿宋" w:hAnsi="仿宋" w:eastAsia="仿宋" w:cs="Times New Roman"/>
          <w:sz w:val="32"/>
          <w:szCs w:val="32"/>
          <w:highlight w:val="none"/>
          <w:lang w:val="en-US" w:eastAsia="zh-CN"/>
        </w:rPr>
      </w:pPr>
    </w:p>
    <w:p>
      <w:pPr>
        <w:snapToGrid w:val="0"/>
        <w:spacing w:line="360" w:lineRule="auto"/>
        <w:ind w:firstLine="640" w:firstLineChars="200"/>
        <w:jc w:val="left"/>
        <w:rPr>
          <w:rFonts w:hint="default"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（二）供应商资格条件（适用于所有包件）：</w:t>
      </w:r>
    </w:p>
    <w:p>
      <w:pPr>
        <w:snapToGrid w:val="0"/>
        <w:spacing w:line="360" w:lineRule="auto"/>
        <w:ind w:firstLine="640" w:firstLineChars="200"/>
        <w:jc w:val="left"/>
        <w:rPr>
          <w:rFonts w:ascii="仿宋" w:hAnsi="仿宋" w:eastAsia="仿宋" w:cs="Times New Roman"/>
          <w:sz w:val="32"/>
          <w:szCs w:val="32"/>
          <w:highlight w:val="none"/>
        </w:rPr>
      </w:pPr>
      <w:r>
        <w:rPr>
          <w:rFonts w:hint="eastAsia" w:ascii="仿宋" w:hAnsi="仿宋" w:eastAsia="仿宋" w:cs="Times New Roman"/>
          <w:sz w:val="32"/>
          <w:szCs w:val="32"/>
          <w:highlight w:val="none"/>
          <w:lang w:val="en-US" w:eastAsia="zh-CN"/>
        </w:rPr>
        <w:t>1、</w:t>
      </w:r>
      <w:r>
        <w:rPr>
          <w:rFonts w:hint="eastAsia" w:ascii="仿宋" w:hAnsi="仿宋" w:eastAsia="仿宋" w:cs="Times New Roman"/>
          <w:sz w:val="32"/>
          <w:szCs w:val="32"/>
          <w:highlight w:val="none"/>
          <w:lang w:val="zh-CN"/>
        </w:rPr>
        <w:t>信用核查</w:t>
      </w:r>
    </w:p>
    <w:p>
      <w:pPr>
        <w:snapToGrid w:val="0"/>
        <w:spacing w:line="360" w:lineRule="auto"/>
        <w:ind w:firstLine="640" w:firstLineChars="200"/>
        <w:jc w:val="left"/>
        <w:rPr>
          <w:rFonts w:ascii="仿宋" w:hAnsi="仿宋" w:eastAsia="仿宋" w:cs="Times New Roman"/>
          <w:sz w:val="32"/>
          <w:szCs w:val="32"/>
          <w:highlight w:val="none"/>
        </w:rPr>
      </w:pPr>
      <w:r>
        <w:rPr>
          <w:rFonts w:hint="eastAsia" w:ascii="仿宋" w:hAnsi="仿宋" w:eastAsia="仿宋" w:cs="Times New Roman"/>
          <w:sz w:val="32"/>
          <w:szCs w:val="32"/>
          <w:highlight w:val="none"/>
          <w:lang w:val="zh-CN"/>
        </w:rPr>
        <w:t>必须为未被列入信用中国网站</w:t>
      </w:r>
      <w:r>
        <w:rPr>
          <w:rFonts w:hint="eastAsia" w:ascii="仿宋" w:hAnsi="仿宋" w:eastAsia="仿宋" w:cs="Times New Roman"/>
          <w:sz w:val="32"/>
          <w:szCs w:val="32"/>
          <w:highlight w:val="none"/>
        </w:rPr>
        <w:t>(www.creditchina.gov.cn)</w:t>
      </w:r>
      <w:r>
        <w:rPr>
          <w:rFonts w:hint="eastAsia" w:ascii="仿宋" w:hAnsi="仿宋" w:eastAsia="仿宋" w:cs="Times New Roman"/>
          <w:sz w:val="32"/>
          <w:szCs w:val="32"/>
          <w:highlight w:val="none"/>
          <w:lang w:val="zh-CN"/>
        </w:rPr>
        <w:t>、中国政府采购网</w:t>
      </w:r>
      <w:r>
        <w:rPr>
          <w:rFonts w:hint="eastAsia" w:ascii="仿宋" w:hAnsi="仿宋" w:eastAsia="仿宋" w:cs="Times New Roman"/>
          <w:sz w:val="32"/>
          <w:szCs w:val="32"/>
          <w:highlight w:val="none"/>
        </w:rPr>
        <w:t>(www.ccgp.gov.cn)</w:t>
      </w:r>
      <w:r>
        <w:rPr>
          <w:rFonts w:hint="eastAsia" w:ascii="仿宋" w:hAnsi="仿宋" w:eastAsia="仿宋" w:cs="Times New Roman"/>
          <w:sz w:val="32"/>
          <w:szCs w:val="32"/>
          <w:highlight w:val="none"/>
          <w:lang w:val="zh-CN"/>
        </w:rPr>
        <w:t>渠道信用记录失信被执行人、重大税收违法案件当事人名单、政府采购严重违法失信行为记录名单的投标人</w:t>
      </w:r>
      <w:r>
        <w:rPr>
          <w:rFonts w:hint="eastAsia" w:ascii="仿宋" w:hAnsi="仿宋" w:eastAsia="仿宋" w:cs="Times New Roman"/>
          <w:sz w:val="32"/>
          <w:szCs w:val="32"/>
          <w:highlight w:val="none"/>
        </w:rPr>
        <w:t>，</w:t>
      </w:r>
      <w:r>
        <w:rPr>
          <w:rFonts w:hint="eastAsia" w:ascii="仿宋" w:hAnsi="仿宋" w:eastAsia="仿宋" w:cs="Times New Roman"/>
          <w:sz w:val="32"/>
          <w:szCs w:val="32"/>
          <w:highlight w:val="none"/>
          <w:lang w:val="zh-CN"/>
        </w:rPr>
        <w:t>否则其投标将被拒绝。</w:t>
      </w:r>
    </w:p>
    <w:p>
      <w:pPr>
        <w:snapToGrid w:val="0"/>
        <w:spacing w:line="360" w:lineRule="auto"/>
        <w:ind w:firstLine="640" w:firstLineChars="200"/>
        <w:jc w:val="left"/>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en-US" w:eastAsia="zh-CN"/>
        </w:rPr>
        <w:t>2、</w:t>
      </w:r>
      <w:r>
        <w:rPr>
          <w:rFonts w:hint="eastAsia" w:ascii="仿宋" w:hAnsi="仿宋" w:eastAsia="仿宋" w:cs="Times New Roman"/>
          <w:sz w:val="32"/>
          <w:szCs w:val="32"/>
          <w:highlight w:val="none"/>
          <w:lang w:val="zh-CN"/>
        </w:rPr>
        <w:t>符合《中华人民共和国政府采购法》第二十二条的规定,投标人必须在投标文件中提供下述资格证明文件，否则按无效投标处理：</w:t>
      </w:r>
    </w:p>
    <w:p>
      <w:pPr>
        <w:snapToGrid w:val="0"/>
        <w:spacing w:line="360" w:lineRule="auto"/>
        <w:ind w:firstLine="640" w:firstLineChars="200"/>
        <w:jc w:val="left"/>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w:t>
      </w:r>
      <w:r>
        <w:rPr>
          <w:rFonts w:hint="eastAsia" w:ascii="仿宋" w:hAnsi="仿宋" w:eastAsia="仿宋" w:cs="Times New Roman"/>
          <w:sz w:val="32"/>
          <w:szCs w:val="32"/>
          <w:highlight w:val="none"/>
          <w:lang w:val="en-US" w:eastAsia="zh-CN"/>
        </w:rPr>
        <w:t>1</w:t>
      </w:r>
      <w:r>
        <w:rPr>
          <w:rFonts w:hint="eastAsia" w:ascii="仿宋" w:hAnsi="仿宋" w:eastAsia="仿宋" w:cs="Times New Roman"/>
          <w:sz w:val="32"/>
          <w:szCs w:val="32"/>
          <w:highlight w:val="none"/>
          <w:lang w:val="zh-CN"/>
        </w:rPr>
        <w:t>）法人或者其他组织的营业执照等证明文件，自然人的身份证明；</w:t>
      </w:r>
    </w:p>
    <w:p>
      <w:pPr>
        <w:snapToGrid w:val="0"/>
        <w:spacing w:line="360" w:lineRule="auto"/>
        <w:ind w:firstLine="640" w:firstLineChars="200"/>
        <w:jc w:val="left"/>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w:t>
      </w:r>
      <w:r>
        <w:rPr>
          <w:rFonts w:hint="eastAsia" w:ascii="仿宋" w:hAnsi="仿宋" w:eastAsia="仿宋" w:cs="Times New Roman"/>
          <w:sz w:val="32"/>
          <w:szCs w:val="32"/>
          <w:highlight w:val="none"/>
          <w:lang w:val="en-US" w:eastAsia="zh-CN"/>
        </w:rPr>
        <w:t>2</w:t>
      </w:r>
      <w:r>
        <w:rPr>
          <w:rFonts w:hint="eastAsia" w:ascii="仿宋" w:hAnsi="仿宋" w:eastAsia="仿宋" w:cs="Times New Roman"/>
          <w:sz w:val="32"/>
          <w:szCs w:val="32"/>
          <w:highlight w:val="none"/>
          <w:lang w:val="zh-CN"/>
        </w:rPr>
        <w:t>）财务状况报告，依法缴纳税收和社会保障资金的相关材料；(供应商应提供书面承诺)</w:t>
      </w:r>
    </w:p>
    <w:p>
      <w:pPr>
        <w:snapToGrid w:val="0"/>
        <w:spacing w:line="360" w:lineRule="auto"/>
        <w:ind w:firstLine="640" w:firstLineChars="200"/>
        <w:jc w:val="left"/>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w:t>
      </w:r>
      <w:r>
        <w:rPr>
          <w:rFonts w:hint="eastAsia" w:ascii="仿宋" w:hAnsi="仿宋" w:eastAsia="仿宋" w:cs="Times New Roman"/>
          <w:sz w:val="32"/>
          <w:szCs w:val="32"/>
          <w:highlight w:val="none"/>
          <w:lang w:val="en-US" w:eastAsia="zh-CN"/>
        </w:rPr>
        <w:t>3</w:t>
      </w:r>
      <w:r>
        <w:rPr>
          <w:rFonts w:hint="eastAsia" w:ascii="仿宋" w:hAnsi="仿宋" w:eastAsia="仿宋" w:cs="Times New Roman"/>
          <w:sz w:val="32"/>
          <w:szCs w:val="32"/>
          <w:highlight w:val="none"/>
          <w:lang w:val="zh-CN"/>
        </w:rPr>
        <w:t>）具备履行合同所必需的设备和专业技术能力的证明材料；(供应商应提供书面承诺)</w:t>
      </w:r>
    </w:p>
    <w:p>
      <w:pPr>
        <w:snapToGrid w:val="0"/>
        <w:spacing w:line="360" w:lineRule="auto"/>
        <w:ind w:firstLine="640" w:firstLineChars="200"/>
        <w:jc w:val="left"/>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w:t>
      </w:r>
      <w:r>
        <w:rPr>
          <w:rFonts w:hint="eastAsia" w:ascii="仿宋" w:hAnsi="仿宋" w:eastAsia="仿宋" w:cs="Times New Roman"/>
          <w:sz w:val="32"/>
          <w:szCs w:val="32"/>
          <w:highlight w:val="none"/>
          <w:lang w:val="en-US" w:eastAsia="zh-CN"/>
        </w:rPr>
        <w:t>4</w:t>
      </w:r>
      <w:r>
        <w:rPr>
          <w:rFonts w:hint="eastAsia" w:ascii="仿宋" w:hAnsi="仿宋" w:eastAsia="仿宋" w:cs="Times New Roman"/>
          <w:sz w:val="32"/>
          <w:szCs w:val="32"/>
          <w:highlight w:val="none"/>
          <w:lang w:val="zh-CN"/>
        </w:rPr>
        <w:t>）参加政府采购活动前3年内在经营活动中没有重大违法记录的书面声明；(供应商应提供书面承诺)</w:t>
      </w:r>
    </w:p>
    <w:p>
      <w:pPr>
        <w:snapToGrid w:val="0"/>
        <w:spacing w:line="360" w:lineRule="auto"/>
        <w:ind w:firstLine="640" w:firstLineChars="200"/>
        <w:jc w:val="left"/>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w:t>
      </w:r>
      <w:r>
        <w:rPr>
          <w:rFonts w:hint="eastAsia" w:ascii="仿宋" w:hAnsi="仿宋" w:eastAsia="仿宋" w:cs="Times New Roman"/>
          <w:sz w:val="32"/>
          <w:szCs w:val="32"/>
          <w:highlight w:val="none"/>
          <w:lang w:val="en-US" w:eastAsia="zh-CN"/>
        </w:rPr>
        <w:t>5</w:t>
      </w:r>
      <w:r>
        <w:rPr>
          <w:rFonts w:hint="eastAsia" w:ascii="仿宋" w:hAnsi="仿宋" w:eastAsia="仿宋" w:cs="Times New Roman"/>
          <w:sz w:val="32"/>
          <w:szCs w:val="32"/>
          <w:highlight w:val="none"/>
          <w:lang w:val="zh-CN"/>
        </w:rPr>
        <w:t>）具备法律、行政法规规定的其他条件的证明材料。</w:t>
      </w:r>
    </w:p>
    <w:p>
      <w:pPr>
        <w:snapToGrid w:val="0"/>
        <w:spacing w:line="360" w:lineRule="auto"/>
        <w:ind w:firstLine="640" w:firstLineChars="200"/>
        <w:jc w:val="left"/>
        <w:rPr>
          <w:rFonts w:hint="eastAsia"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（以上均为《中华人民共和国政府采购法实施条例》第十七条之规定）”；</w:t>
      </w:r>
    </w:p>
    <w:p>
      <w:pPr>
        <w:numPr>
          <w:ilvl w:val="0"/>
          <w:numId w:val="0"/>
        </w:numPr>
        <w:spacing w:line="560" w:lineRule="exact"/>
        <w:ind w:firstLine="640" w:firstLineChars="200"/>
        <w:jc w:val="left"/>
        <w:outlineLvl w:val="1"/>
        <w:rPr>
          <w:rFonts w:hint="eastAsia" w:ascii="楷体" w:hAnsi="楷体" w:eastAsia="楷体" w:cs="Times New Roman"/>
          <w:sz w:val="32"/>
          <w:szCs w:val="32"/>
          <w:highlight w:val="none"/>
        </w:rPr>
      </w:pPr>
      <w:r>
        <w:rPr>
          <w:rFonts w:hint="eastAsia" w:ascii="楷体" w:hAnsi="楷体" w:eastAsia="楷体" w:cs="Times New Roman"/>
          <w:color w:val="auto"/>
          <w:sz w:val="32"/>
          <w:szCs w:val="32"/>
          <w:highlight w:val="none"/>
          <w:lang w:val="en-US" w:eastAsia="zh-CN"/>
        </w:rPr>
        <w:t>二、</w:t>
      </w:r>
      <w:r>
        <w:rPr>
          <w:rFonts w:hint="eastAsia" w:ascii="楷体" w:hAnsi="楷体" w:eastAsia="楷体" w:cs="Times New Roman"/>
          <w:sz w:val="32"/>
          <w:szCs w:val="32"/>
          <w:highlight w:val="none"/>
          <w:lang w:val="en-US" w:eastAsia="zh-CN"/>
        </w:rPr>
        <w:t>服务、</w:t>
      </w:r>
      <w:r>
        <w:rPr>
          <w:rFonts w:hint="eastAsia" w:ascii="楷体" w:hAnsi="楷体" w:eastAsia="楷体" w:cs="Times New Roman"/>
          <w:sz w:val="32"/>
          <w:szCs w:val="32"/>
          <w:highlight w:val="none"/>
        </w:rPr>
        <w:t>技术</w:t>
      </w:r>
      <w:r>
        <w:rPr>
          <w:rFonts w:hint="eastAsia" w:ascii="楷体" w:hAnsi="楷体" w:eastAsia="楷体" w:cs="Times New Roman"/>
          <w:sz w:val="32"/>
          <w:szCs w:val="32"/>
          <w:highlight w:val="none"/>
          <w:lang w:val="en-US" w:eastAsia="zh-CN"/>
        </w:rPr>
        <w:t>及</w:t>
      </w:r>
      <w:r>
        <w:rPr>
          <w:rFonts w:hint="eastAsia" w:ascii="楷体" w:hAnsi="楷体" w:eastAsia="楷体" w:cs="Times New Roman"/>
          <w:sz w:val="32"/>
          <w:szCs w:val="32"/>
          <w:highlight w:val="none"/>
        </w:rPr>
        <w:t>商务要求</w:t>
      </w:r>
      <w:r>
        <w:rPr>
          <w:rFonts w:hint="eastAsia" w:ascii="楷体" w:hAnsi="楷体" w:eastAsia="楷体" w:cs="Times New Roman"/>
          <w:sz w:val="32"/>
          <w:szCs w:val="32"/>
          <w:highlight w:val="none"/>
          <w:lang w:eastAsia="zh-CN"/>
        </w:rPr>
        <w:t>（</w:t>
      </w:r>
      <w:r>
        <w:rPr>
          <w:rFonts w:hint="eastAsia" w:ascii="楷体" w:hAnsi="楷体" w:eastAsia="楷体" w:cs="Times New Roman"/>
          <w:sz w:val="32"/>
          <w:szCs w:val="32"/>
          <w:highlight w:val="none"/>
          <w:lang w:val="en-US" w:eastAsia="zh-CN"/>
        </w:rPr>
        <w:t>所有包件要求一致</w:t>
      </w:r>
      <w:r>
        <w:rPr>
          <w:rFonts w:hint="eastAsia" w:ascii="楷体" w:hAnsi="楷体" w:eastAsia="楷体" w:cs="Times New Roman"/>
          <w:sz w:val="32"/>
          <w:szCs w:val="32"/>
          <w:highlight w:val="none"/>
          <w:lang w:eastAsia="zh-CN"/>
        </w:rPr>
        <w:t>）</w:t>
      </w:r>
    </w:p>
    <w:p>
      <w:pPr>
        <w:spacing w:line="560" w:lineRule="exact"/>
        <w:ind w:firstLine="640" w:firstLineChars="200"/>
        <w:jc w:val="left"/>
        <w:outlineLvl w:val="9"/>
        <w:rPr>
          <w:rFonts w:hint="eastAsia" w:ascii="仿宋" w:hAnsi="仿宋" w:eastAsia="仿宋" w:cs="仿宋"/>
          <w:highlight w:val="none"/>
        </w:rPr>
      </w:pPr>
      <w:r>
        <w:rPr>
          <w:rFonts w:hint="eastAsia" w:ascii="仿宋" w:hAnsi="仿宋" w:eastAsia="仿宋" w:cs="仿宋"/>
          <w:sz w:val="32"/>
          <w:szCs w:val="32"/>
          <w:highlight w:val="none"/>
          <w:lang w:val="en-US" w:eastAsia="zh-CN"/>
        </w:rPr>
        <w:t>服务、</w:t>
      </w:r>
      <w:r>
        <w:rPr>
          <w:rFonts w:hint="eastAsia" w:ascii="仿宋" w:hAnsi="仿宋" w:eastAsia="仿宋" w:cs="仿宋"/>
          <w:sz w:val="32"/>
          <w:szCs w:val="32"/>
          <w:highlight w:val="none"/>
        </w:rPr>
        <w:t>技术</w:t>
      </w:r>
      <w:r>
        <w:rPr>
          <w:rFonts w:hint="eastAsia" w:ascii="仿宋" w:hAnsi="仿宋" w:eastAsia="仿宋" w:cs="仿宋"/>
          <w:sz w:val="32"/>
          <w:szCs w:val="32"/>
          <w:highlight w:val="none"/>
          <w:lang w:val="en-US" w:eastAsia="zh-CN"/>
        </w:rPr>
        <w:t>及</w:t>
      </w:r>
      <w:r>
        <w:rPr>
          <w:rFonts w:hint="eastAsia" w:ascii="仿宋" w:hAnsi="仿宋" w:eastAsia="仿宋" w:cs="仿宋"/>
          <w:sz w:val="32"/>
          <w:szCs w:val="32"/>
          <w:highlight w:val="none"/>
        </w:rPr>
        <w:t>商务</w:t>
      </w:r>
      <w:r>
        <w:rPr>
          <w:rFonts w:hint="eastAsia" w:ascii="仿宋" w:hAnsi="仿宋" w:eastAsia="仿宋" w:cs="仿宋"/>
          <w:sz w:val="32"/>
          <w:szCs w:val="32"/>
          <w:highlight w:val="none"/>
          <w:lang w:val="en-US" w:eastAsia="zh-CN"/>
        </w:rPr>
        <w:t>要求</w:t>
      </w:r>
      <w:r>
        <w:rPr>
          <w:rFonts w:hint="eastAsia" w:ascii="仿宋" w:hAnsi="仿宋" w:eastAsia="仿宋" w:cs="仿宋"/>
          <w:sz w:val="32"/>
          <w:szCs w:val="32"/>
          <w:highlight w:val="none"/>
        </w:rPr>
        <w:t>按重要性分为“★”、“#”和“△”指标。“★”代表最关键指标，不满足该指标项将导致投标被拒绝；“#”代表重要指标，“△”代表一般指标项。“#”和“△”指标</w:t>
      </w:r>
      <w:r>
        <w:rPr>
          <w:rFonts w:hint="eastAsia" w:ascii="仿宋" w:hAnsi="仿宋" w:eastAsia="仿宋" w:cs="仿宋"/>
          <w:sz w:val="32"/>
          <w:szCs w:val="32"/>
          <w:highlight w:val="none"/>
          <w:lang w:val="en-US" w:eastAsia="zh-CN"/>
        </w:rPr>
        <w:t>可作为</w:t>
      </w:r>
      <w:r>
        <w:rPr>
          <w:rFonts w:hint="eastAsia" w:ascii="仿宋" w:hAnsi="仿宋" w:eastAsia="仿宋" w:cs="仿宋"/>
          <w:sz w:val="32"/>
          <w:szCs w:val="32"/>
          <w:highlight w:val="none"/>
        </w:rPr>
        <w:t>比较性评价指标。</w:t>
      </w:r>
    </w:p>
    <w:p>
      <w:pPr>
        <w:spacing w:line="560" w:lineRule="exact"/>
        <w:ind w:firstLine="640" w:firstLineChars="200"/>
        <w:jc w:val="left"/>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.服务</w:t>
      </w:r>
      <w:r>
        <w:rPr>
          <w:rFonts w:hint="eastAsia" w:ascii="仿宋" w:hAnsi="仿宋" w:eastAsia="仿宋" w:cs="仿宋"/>
          <w:sz w:val="32"/>
          <w:szCs w:val="32"/>
          <w:highlight w:val="none"/>
        </w:rPr>
        <w:t>要求</w:t>
      </w:r>
    </w:p>
    <w:p>
      <w:pPr>
        <w:spacing w:line="360" w:lineRule="auto"/>
        <w:ind w:firstLine="640" w:firstLineChars="200"/>
        <w:rPr>
          <w:rFonts w:hint="eastAsia" w:ascii="仿宋" w:hAnsi="仿宋" w:eastAsia="仿宋" w:cs="仿宋"/>
          <w:highlight w:val="none"/>
          <w:lang w:val="en-US" w:eastAsia="zh-CN"/>
        </w:rPr>
      </w:pPr>
      <w:r>
        <w:rPr>
          <w:rFonts w:hint="eastAsia" w:ascii="仿宋" w:hAnsi="仿宋" w:eastAsia="仿宋" w:cs="仿宋"/>
          <w:iCs/>
          <w:color w:val="auto"/>
          <w:sz w:val="32"/>
          <w:szCs w:val="32"/>
          <w:highlight w:val="none"/>
        </w:rPr>
        <w:t>本</w:t>
      </w:r>
      <w:r>
        <w:rPr>
          <w:rFonts w:hint="eastAsia" w:ascii="仿宋" w:hAnsi="仿宋" w:eastAsia="仿宋" w:cs="仿宋"/>
          <w:iCs/>
          <w:color w:val="auto"/>
          <w:sz w:val="32"/>
          <w:szCs w:val="32"/>
          <w:highlight w:val="none"/>
          <w:lang w:val="en-US" w:eastAsia="zh-CN"/>
        </w:rPr>
        <w:t>服务</w:t>
      </w:r>
      <w:r>
        <w:rPr>
          <w:rFonts w:hint="eastAsia" w:ascii="仿宋" w:hAnsi="仿宋" w:eastAsia="仿宋" w:cs="仿宋"/>
          <w:iCs/>
          <w:color w:val="auto"/>
          <w:sz w:val="32"/>
          <w:szCs w:val="32"/>
          <w:highlight w:val="none"/>
        </w:rPr>
        <w:t>要求共有“★”指标</w:t>
      </w:r>
      <w:r>
        <w:rPr>
          <w:rFonts w:hint="eastAsia" w:ascii="仿宋" w:hAnsi="仿宋" w:eastAsia="仿宋" w:cs="仿宋"/>
          <w:iCs/>
          <w:color w:val="auto"/>
          <w:sz w:val="32"/>
          <w:szCs w:val="32"/>
          <w:highlight w:val="none"/>
          <w:u w:val="single"/>
        </w:rPr>
        <w:t xml:space="preserve"> </w:t>
      </w:r>
      <w:r>
        <w:rPr>
          <w:rFonts w:hint="eastAsia" w:ascii="仿宋" w:hAnsi="仿宋" w:eastAsia="仿宋" w:cs="仿宋"/>
          <w:iCs/>
          <w:color w:val="auto"/>
          <w:sz w:val="32"/>
          <w:szCs w:val="32"/>
          <w:highlight w:val="none"/>
          <w:u w:val="single"/>
          <w:lang w:val="en-US" w:eastAsia="zh-CN"/>
        </w:rPr>
        <w:t>38</w:t>
      </w:r>
      <w:r>
        <w:rPr>
          <w:rFonts w:hint="eastAsia" w:ascii="仿宋" w:hAnsi="仿宋" w:eastAsia="仿宋" w:cs="仿宋"/>
          <w:iCs/>
          <w:color w:val="auto"/>
          <w:sz w:val="32"/>
          <w:szCs w:val="32"/>
          <w:highlight w:val="none"/>
          <w:u w:val="single"/>
        </w:rPr>
        <w:t xml:space="preserve"> </w:t>
      </w:r>
      <w:r>
        <w:rPr>
          <w:rFonts w:hint="eastAsia" w:ascii="仿宋" w:hAnsi="仿宋" w:eastAsia="仿宋" w:cs="仿宋"/>
          <w:iCs/>
          <w:color w:val="auto"/>
          <w:sz w:val="32"/>
          <w:szCs w:val="32"/>
          <w:highlight w:val="none"/>
        </w:rPr>
        <w:t>项，“#”指标</w:t>
      </w:r>
      <w:r>
        <w:rPr>
          <w:rFonts w:hint="eastAsia" w:ascii="仿宋" w:hAnsi="仿宋" w:eastAsia="仿宋" w:cs="仿宋"/>
          <w:iCs/>
          <w:color w:val="auto"/>
          <w:sz w:val="32"/>
          <w:szCs w:val="32"/>
          <w:highlight w:val="none"/>
          <w:u w:val="single"/>
        </w:rPr>
        <w:t xml:space="preserve"> </w:t>
      </w:r>
      <w:r>
        <w:rPr>
          <w:rFonts w:hint="eastAsia" w:ascii="仿宋" w:hAnsi="仿宋" w:eastAsia="仿宋" w:cs="仿宋"/>
          <w:iCs/>
          <w:color w:val="auto"/>
          <w:sz w:val="32"/>
          <w:szCs w:val="32"/>
          <w:highlight w:val="none"/>
          <w:u w:val="single"/>
          <w:lang w:val="en-US" w:eastAsia="zh-CN"/>
        </w:rPr>
        <w:t>3</w:t>
      </w:r>
      <w:r>
        <w:rPr>
          <w:rFonts w:hint="eastAsia" w:ascii="仿宋" w:hAnsi="仿宋" w:eastAsia="仿宋" w:cs="仿宋"/>
          <w:iCs/>
          <w:color w:val="auto"/>
          <w:sz w:val="32"/>
          <w:szCs w:val="32"/>
          <w:highlight w:val="none"/>
          <w:u w:val="single"/>
        </w:rPr>
        <w:t xml:space="preserve"> </w:t>
      </w:r>
      <w:r>
        <w:rPr>
          <w:rFonts w:hint="eastAsia" w:ascii="仿宋" w:hAnsi="仿宋" w:eastAsia="仿宋" w:cs="仿宋"/>
          <w:iCs/>
          <w:color w:val="auto"/>
          <w:sz w:val="32"/>
          <w:szCs w:val="32"/>
          <w:highlight w:val="none"/>
        </w:rPr>
        <w:t>项，“△”指标</w:t>
      </w:r>
      <w:r>
        <w:rPr>
          <w:rFonts w:hint="eastAsia" w:ascii="仿宋" w:hAnsi="仿宋" w:eastAsia="仿宋" w:cs="仿宋"/>
          <w:iCs/>
          <w:color w:val="auto"/>
          <w:sz w:val="32"/>
          <w:szCs w:val="32"/>
          <w:highlight w:val="none"/>
          <w:u w:val="single"/>
        </w:rPr>
        <w:t xml:space="preserve">  </w:t>
      </w:r>
      <w:r>
        <w:rPr>
          <w:rFonts w:hint="eastAsia" w:ascii="仿宋" w:hAnsi="仿宋" w:eastAsia="仿宋" w:cs="仿宋"/>
          <w:iCs/>
          <w:color w:val="auto"/>
          <w:sz w:val="32"/>
          <w:szCs w:val="32"/>
          <w:highlight w:val="none"/>
          <w:u w:val="single"/>
          <w:lang w:val="en-US" w:eastAsia="zh-CN"/>
        </w:rPr>
        <w:t>0</w:t>
      </w:r>
      <w:r>
        <w:rPr>
          <w:rFonts w:hint="eastAsia" w:ascii="仿宋" w:hAnsi="仿宋" w:eastAsia="仿宋" w:cs="仿宋"/>
          <w:iCs/>
          <w:color w:val="auto"/>
          <w:sz w:val="32"/>
          <w:szCs w:val="32"/>
          <w:highlight w:val="none"/>
          <w:u w:val="single"/>
        </w:rPr>
        <w:t xml:space="preserve">  </w:t>
      </w:r>
      <w:r>
        <w:rPr>
          <w:rFonts w:hint="eastAsia" w:ascii="仿宋" w:hAnsi="仿宋" w:eastAsia="仿宋" w:cs="仿宋"/>
          <w:iCs/>
          <w:color w:val="auto"/>
          <w:sz w:val="32"/>
          <w:szCs w:val="32"/>
          <w:highlight w:val="none"/>
        </w:rPr>
        <w:t>项</w:t>
      </w:r>
    </w:p>
    <w:p>
      <w:pPr>
        <w:pStyle w:val="4"/>
        <w:numPr>
          <w:ilvl w:val="0"/>
          <w:numId w:val="0"/>
        </w:numPr>
        <w:bidi w:val="0"/>
        <w:ind w:leftChars="0" w:firstLine="56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1.1采购线路服务总体要求</w:t>
      </w:r>
    </w:p>
    <w:p>
      <w:pPr>
        <w:keepNext w:val="0"/>
        <w:keepLines w:val="0"/>
        <w:pageBreakBefore w:val="0"/>
        <w:widowControl/>
        <w:numPr>
          <w:ilvl w:val="-1"/>
          <w:numId w:val="0"/>
        </w:numPr>
        <w:shd w:val="clear"/>
        <w:kinsoku/>
        <w:wordWrap/>
        <w:overflowPunct/>
        <w:topLinePunct w:val="0"/>
        <w:autoSpaceDE/>
        <w:autoSpaceDN/>
        <w:bidi w:val="0"/>
        <w:adjustRightInd/>
        <w:snapToGrid/>
        <w:spacing w:line="500" w:lineRule="exact"/>
        <w:ind w:left="84" w:leftChars="4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考虑到运营商通讯线路使用延续性高，本次拟采用“一采三年，一年一签”的模式采购通讯线路租赁服务。</w:t>
      </w:r>
    </w:p>
    <w:p>
      <w:pPr>
        <w:keepNext w:val="0"/>
        <w:keepLines w:val="0"/>
        <w:pageBreakBefore w:val="0"/>
        <w:widowControl/>
        <w:numPr>
          <w:ilvl w:val="0"/>
          <w:numId w:val="3"/>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★合同总价：为线路基准带宽对应一年租赁服务的费用之和，甲方可以按需对线路实施升降速，并在合同总价范围内按照实际使用带宽计费并据实结算。</w:t>
      </w:r>
    </w:p>
    <w:p>
      <w:pPr>
        <w:keepNext w:val="0"/>
        <w:keepLines w:val="0"/>
        <w:pageBreakBefore w:val="0"/>
        <w:widowControl/>
        <w:numPr>
          <w:ilvl w:val="0"/>
          <w:numId w:val="3"/>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★合同期限：自合同签订之日起至合同第一批线路（因甲方业务需要无需开通使用的线路除外）开始计费之日后一年止。</w:t>
      </w:r>
    </w:p>
    <w:p>
      <w:pPr>
        <w:keepNext w:val="0"/>
        <w:keepLines w:val="0"/>
        <w:pageBreakBefore w:val="0"/>
        <w:widowControl/>
        <w:numPr>
          <w:ilvl w:val="0"/>
          <w:numId w:val="3"/>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★乙方应确保在甲方愿意续</w:t>
      </w:r>
      <w:r>
        <w:rPr>
          <w:rFonts w:hint="eastAsia" w:ascii="仿宋" w:hAnsi="仿宋" w:eastAsia="仿宋" w:cs="仿宋"/>
          <w:color w:val="auto"/>
          <w:sz w:val="28"/>
          <w:szCs w:val="28"/>
          <w:highlight w:val="none"/>
          <w:lang w:val="en-US" w:eastAsia="zh-CN"/>
        </w:rPr>
        <w:t>租</w:t>
      </w:r>
      <w:r>
        <w:rPr>
          <w:rFonts w:hint="eastAsia" w:ascii="仿宋" w:hAnsi="仿宋" w:eastAsia="仿宋" w:cs="仿宋"/>
          <w:color w:val="auto"/>
          <w:sz w:val="28"/>
          <w:szCs w:val="28"/>
          <w:highlight w:val="none"/>
        </w:rPr>
        <w:t>的情况下，甲方可连续使用该</w:t>
      </w:r>
      <w:r>
        <w:rPr>
          <w:rFonts w:hint="eastAsia" w:ascii="仿宋" w:hAnsi="仿宋" w:eastAsia="仿宋" w:cs="仿宋"/>
          <w:color w:val="auto"/>
          <w:sz w:val="28"/>
          <w:szCs w:val="28"/>
          <w:highlight w:val="none"/>
          <w:lang w:val="en-US" w:eastAsia="zh-CN"/>
        </w:rPr>
        <w:t>线路租赁服务</w:t>
      </w:r>
      <w:r>
        <w:rPr>
          <w:rFonts w:hint="eastAsia" w:ascii="仿宋" w:hAnsi="仿宋" w:eastAsia="仿宋" w:cs="仿宋"/>
          <w:color w:val="auto"/>
          <w:sz w:val="28"/>
          <w:szCs w:val="28"/>
          <w:highlight w:val="none"/>
        </w:rPr>
        <w:t>，且</w:t>
      </w:r>
      <w:r>
        <w:rPr>
          <w:rFonts w:hint="eastAsia" w:ascii="仿宋" w:hAnsi="仿宋" w:eastAsia="仿宋" w:cs="仿宋"/>
          <w:color w:val="auto"/>
          <w:sz w:val="28"/>
          <w:szCs w:val="28"/>
          <w:highlight w:val="none"/>
          <w:lang w:val="en-US" w:eastAsia="zh-CN"/>
        </w:rPr>
        <w:t>线路履约</w:t>
      </w:r>
      <w:r>
        <w:rPr>
          <w:rFonts w:hint="eastAsia" w:ascii="仿宋" w:hAnsi="仿宋" w:eastAsia="仿宋" w:cs="仿宋"/>
          <w:color w:val="auto"/>
          <w:sz w:val="28"/>
          <w:szCs w:val="28"/>
          <w:highlight w:val="none"/>
        </w:rPr>
        <w:t>时间不</w:t>
      </w:r>
      <w:r>
        <w:rPr>
          <w:rFonts w:hint="eastAsia" w:ascii="仿宋" w:hAnsi="仿宋" w:eastAsia="仿宋" w:cs="仿宋"/>
          <w:color w:val="auto"/>
          <w:sz w:val="28"/>
          <w:szCs w:val="28"/>
          <w:highlight w:val="none"/>
          <w:lang w:val="en-US" w:eastAsia="zh-CN"/>
        </w:rPr>
        <w:t>超过三</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一年一续</w:t>
      </w:r>
      <w:r>
        <w:rPr>
          <w:rFonts w:hint="eastAsia" w:ascii="仿宋" w:hAnsi="仿宋" w:eastAsia="仿宋" w:cs="仿宋"/>
          <w:color w:val="auto"/>
          <w:sz w:val="28"/>
          <w:szCs w:val="28"/>
          <w:highlight w:val="none"/>
        </w:rPr>
        <w:t>。</w:t>
      </w:r>
    </w:p>
    <w:p>
      <w:pPr>
        <w:keepNext w:val="0"/>
        <w:keepLines w:val="0"/>
        <w:pageBreakBefore w:val="0"/>
        <w:widowControl/>
        <w:numPr>
          <w:ilvl w:val="0"/>
          <w:numId w:val="3"/>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★在履约期内，原则上甲乙双方每年签订合同的服务标准及价格标准应与本次采购的中标/成交结果保持一致。</w:t>
      </w:r>
    </w:p>
    <w:p>
      <w:pPr>
        <w:keepNext w:val="0"/>
        <w:keepLines w:val="0"/>
        <w:pageBreakBefore w:val="0"/>
        <w:widowControl/>
        <w:numPr>
          <w:ilvl w:val="0"/>
          <w:numId w:val="3"/>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★在履约期内，如市场价格相比本次采购的价格标准下调或乙方自愿提供更优惠价格，则乙方在已有合同的基础上签订补充协议下调价格标准。</w:t>
      </w:r>
    </w:p>
    <w:p>
      <w:pPr>
        <w:pStyle w:val="4"/>
        <w:numPr>
          <w:ilvl w:val="0"/>
          <w:numId w:val="0"/>
        </w:numPr>
        <w:bidi w:val="0"/>
        <w:ind w:leftChars="0" w:firstLine="280" w:firstLineChars="100"/>
        <w:rPr>
          <w:rFonts w:hint="eastAsia" w:ascii="仿宋" w:hAnsi="仿宋" w:eastAsia="仿宋" w:cs="仿宋"/>
          <w:highlight w:val="none"/>
        </w:rPr>
      </w:pPr>
      <w:r>
        <w:rPr>
          <w:rFonts w:hint="eastAsia" w:ascii="仿宋" w:hAnsi="仿宋" w:eastAsia="仿宋" w:cs="仿宋"/>
          <w:highlight w:val="none"/>
          <w:lang w:val="en-US" w:eastAsia="zh-CN"/>
        </w:rPr>
        <w:t>1.2乙方权利及义务约束</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★乙方需具备有效期内中华人民共和国基础电信业务经营许可证资质，提供有效期内中华人民共和国基础电信业务经营许可证资质复印件加盖公章。</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★乙方视甲方为重要客户，按照</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约定提供端到端的综合性服务，保证优先处理甲方的业务受理、业务开通和故障修复等各项需求，同时免费为甲方提供各类电信业务的咨询、组网建议等服务。</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具备充足的冗余电路资源,能为甲方提供高可用性的电路，所有设备都是乙方同类设备中的优质资源，为甲方提供的线路的接入局、接入光纤、接入设备、线路管孔、长途光纤资源等是乙方独立的自有资源。如是租用其他</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或单位的资源需经甲方书面同意。</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乙方应依据相关规程和规范对出租的电路及安装在甲方机房的乙方设备进行维护和支持服务。该设备的安装、验收包含在线路开通服务中，应保证在线路开通时间内完成并正常运行。该设备灭失、损坏的风险由乙方承担。</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★乙方负责电路全程连接、调通，并承诺电路供甲方专用。</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★乙方负责全程处理甲方在接入和使用租用电路业务过程中出现的线路故障。</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★为保障甲方线路的高可用性及各项服务的高效、顺利地开展，乙方须为甲方指定服务团队（或专员），协调其全国各地分公司并督促其严格按照</w:t>
      </w:r>
      <w:r>
        <w:rPr>
          <w:rFonts w:hint="eastAsia" w:ascii="仿宋" w:hAnsi="仿宋" w:eastAsia="仿宋" w:cs="仿宋"/>
          <w:sz w:val="28"/>
          <w:szCs w:val="28"/>
          <w:highlight w:val="none"/>
          <w:lang w:val="en-US" w:eastAsia="zh-CN"/>
        </w:rPr>
        <w:t>合同条</w:t>
      </w:r>
      <w:r>
        <w:rPr>
          <w:rFonts w:hint="eastAsia" w:ascii="仿宋" w:hAnsi="仿宋" w:eastAsia="仿宋" w:cs="仿宋"/>
          <w:sz w:val="28"/>
          <w:szCs w:val="28"/>
          <w:highlight w:val="none"/>
          <w:lang w:val="en-US" w:eastAsia="zh-CN"/>
        </w:rPr>
        <w:t>款</w:t>
      </w:r>
      <w:r>
        <w:rPr>
          <w:rFonts w:hint="eastAsia" w:ascii="仿宋" w:hAnsi="仿宋" w:eastAsia="仿宋" w:cs="仿宋"/>
          <w:sz w:val="28"/>
          <w:szCs w:val="28"/>
          <w:highlight w:val="none"/>
        </w:rPr>
        <w:t>要求</w:t>
      </w:r>
      <w:r>
        <w:rPr>
          <w:rFonts w:hint="eastAsia" w:ascii="仿宋" w:hAnsi="仿宋" w:eastAsia="仿宋" w:cs="仿宋"/>
          <w:sz w:val="28"/>
          <w:szCs w:val="28"/>
          <w:highlight w:val="none"/>
        </w:rPr>
        <w:t>执行。</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★乙方对于可以预见的网络维护升级</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或</w:t>
      </w:r>
      <w:r>
        <w:rPr>
          <w:rFonts w:hint="eastAsia" w:ascii="仿宋" w:hAnsi="仿宋" w:eastAsia="仿宋" w:cs="仿宋"/>
          <w:b w:val="0"/>
          <w:bCs w:val="0"/>
          <w:sz w:val="28"/>
          <w:szCs w:val="28"/>
          <w:highlight w:val="none"/>
          <w:lang w:eastAsia="zh-CN"/>
        </w:rPr>
        <w:t>非</w:t>
      </w:r>
      <w:r>
        <w:rPr>
          <w:rFonts w:hint="eastAsia" w:ascii="仿宋" w:hAnsi="仿宋" w:eastAsia="仿宋" w:cs="仿宋"/>
          <w:b w:val="0"/>
          <w:bCs w:val="0"/>
          <w:sz w:val="28"/>
          <w:szCs w:val="28"/>
          <w:highlight w:val="none"/>
        </w:rPr>
        <w:t>不可抗力等可能会造成的电路中断的情况，应</w:t>
      </w:r>
      <w:r>
        <w:rPr>
          <w:rFonts w:hint="eastAsia" w:ascii="仿宋" w:hAnsi="仿宋" w:eastAsia="仿宋" w:cs="仿宋"/>
          <w:b w:val="0"/>
          <w:bCs w:val="0"/>
          <w:sz w:val="28"/>
          <w:szCs w:val="28"/>
          <w:highlight w:val="none"/>
          <w:lang w:val="en-US" w:eastAsia="zh-CN"/>
        </w:rPr>
        <w:t>至少</w:t>
      </w:r>
      <w:r>
        <w:rPr>
          <w:rFonts w:hint="eastAsia" w:ascii="仿宋" w:hAnsi="仿宋" w:eastAsia="仿宋" w:cs="仿宋"/>
          <w:b w:val="0"/>
          <w:bCs w:val="0"/>
          <w:sz w:val="28"/>
          <w:szCs w:val="28"/>
          <w:highlight w:val="none"/>
        </w:rPr>
        <w:t>提前</w:t>
      </w:r>
      <w:r>
        <w:rPr>
          <w:rFonts w:hint="eastAsia" w:ascii="仿宋" w:hAnsi="仿宋" w:eastAsia="仿宋" w:cs="仿宋"/>
          <w:b w:val="0"/>
          <w:bCs w:val="0"/>
          <w:sz w:val="28"/>
          <w:szCs w:val="28"/>
          <w:highlight w:val="none"/>
          <w:lang w:val="en-US" w:eastAsia="zh-CN"/>
        </w:rPr>
        <w:t>3个工作日</w:t>
      </w:r>
      <w:r>
        <w:rPr>
          <w:rFonts w:hint="eastAsia" w:ascii="仿宋" w:hAnsi="仿宋" w:eastAsia="仿宋" w:cs="仿宋"/>
          <w:b w:val="0"/>
          <w:bCs w:val="0"/>
          <w:sz w:val="28"/>
          <w:szCs w:val="28"/>
          <w:highlight w:val="none"/>
        </w:rPr>
        <w:t>通知甲方，并与甲方协商做好应对措施。</w:t>
      </w:r>
      <w:r>
        <w:rPr>
          <w:rFonts w:hint="eastAsia" w:ascii="仿宋" w:hAnsi="仿宋" w:eastAsia="仿宋" w:cs="仿宋"/>
          <w:b w:val="0"/>
          <w:bCs w:val="0"/>
          <w:sz w:val="28"/>
          <w:szCs w:val="28"/>
          <w:highlight w:val="none"/>
          <w:lang w:val="en-US" w:eastAsia="zh-CN"/>
        </w:rPr>
        <w:t>如未按要求提前通知，视为服务未达标，按罚则执行。</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★乙方对于任何已知可能导致线路中断的隐患均需立即告知银联（包括传输硬件故障、商务纠纷等），如未按要求立即告知，视为服务未达标，按罚则执行。</w:t>
      </w:r>
    </w:p>
    <w:p>
      <w:pPr>
        <w:keepNext w:val="0"/>
        <w:keepLines w:val="0"/>
        <w:pageBreakBefore w:val="0"/>
        <w:widowControl/>
        <w:numPr>
          <w:ilvl w:val="0"/>
          <w:numId w:val="4"/>
        </w:numPr>
        <w:shd w:val="clear"/>
        <w:kinsoku/>
        <w:wordWrap/>
        <w:overflowPunct/>
        <w:topLinePunct w:val="0"/>
        <w:autoSpaceDE/>
        <w:autoSpaceDN/>
        <w:bidi w:val="0"/>
        <w:adjustRightInd w:val="0"/>
        <w:snapToGrid/>
        <w:spacing w:line="500" w:lineRule="exact"/>
        <w:ind w:left="509" w:leftChars="4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★承担因乙方原因造成的电路迟延开通的责任。</w:t>
      </w:r>
      <w:r>
        <w:rPr>
          <w:rFonts w:hint="eastAsia" w:ascii="仿宋" w:hAnsi="仿宋" w:eastAsia="仿宋" w:cs="仿宋"/>
          <w:sz w:val="28"/>
          <w:szCs w:val="28"/>
          <w:highlight w:val="none"/>
          <w:lang w:val="en-US" w:eastAsia="zh-CN"/>
        </w:rPr>
        <w:t>如未按照甲方要求时间节点开通电路，按罚则执行。</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★乙方承诺在本</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效期内，向甲方提供不低于同行业同等条件下其他客户的</w:t>
      </w:r>
      <w:r>
        <w:rPr>
          <w:rFonts w:hint="eastAsia" w:ascii="仿宋" w:hAnsi="仿宋" w:eastAsia="仿宋" w:cs="仿宋"/>
          <w:sz w:val="28"/>
          <w:szCs w:val="28"/>
          <w:highlight w:val="none"/>
        </w:rPr>
        <w:t>优惠待遇</w:t>
      </w:r>
      <w:r>
        <w:rPr>
          <w:rFonts w:hint="eastAsia" w:ascii="仿宋" w:hAnsi="仿宋" w:eastAsia="仿宋" w:cs="仿宋"/>
          <w:sz w:val="28"/>
          <w:szCs w:val="28"/>
          <w:highlight w:val="none"/>
        </w:rPr>
        <w:t>。</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509" w:leftChars="40" w:hanging="425" w:firstLineChars="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★乙方须保证其提供给甲方使用的线路可用率符合甲方可用率要求。线路可用率=线路畅通时间/线路连线时间×100%，线路可用率计算周期与付款周期相对应，线路可用率为逐条计算。</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509" w:leftChars="40" w:hanging="425" w:firstLine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须每月向甲方提供一次定期运行报告，主要包括线路及其它电信业务使用和运行情况、相关分析及维护经验总结等。在线路质量严重下降(如时延持续增大、闪断频繁、中断次数较多)等情形时，须立即通知甲方，并说明原因，出具故障报告。</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★乙方收到甲方提供的开通、变更线路等需求申请单后，乙方进行开通、变更线路等服务。乙方受理甲方需求部门信息总中心加盖部门章的需求申请单。</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★乙方应有明确的运维服务团队，每个供应商不少于4人</w:t>
      </w:r>
      <w:r>
        <w:rPr>
          <w:rFonts w:hint="eastAsia" w:ascii="仿宋" w:hAnsi="仿宋" w:eastAsia="仿宋" w:cs="仿宋"/>
          <w:sz w:val="28"/>
          <w:szCs w:val="28"/>
          <w:highlight w:val="none"/>
        </w:rPr>
        <w:t>，实行A、B角负责制，</w:t>
      </w:r>
      <w:r>
        <w:rPr>
          <w:rFonts w:hint="eastAsia" w:ascii="仿宋" w:hAnsi="仿宋" w:eastAsia="仿宋" w:cs="仿宋"/>
          <w:sz w:val="28"/>
          <w:szCs w:val="28"/>
          <w:highlight w:val="none"/>
          <w:lang w:val="en-US" w:eastAsia="zh-CN"/>
        </w:rPr>
        <w:t>负责与用户扎口沟通并有权限能协调调动内部资源，能满足7X24电话受理，5分钟内响应。</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特殊时段（春节、劳动节、国庆节、年终、中国银联重大系统投产等），乙方须按照用户要求提供重点保障服务，重保期间不能对银联租用线路涉及设备及资源做任何变更动作，且安排专人值班重点关注银联租用线路运营情况，有故障优先处理</w:t>
      </w:r>
      <w:r>
        <w:rPr>
          <w:rFonts w:hint="eastAsia" w:ascii="仿宋" w:hAnsi="仿宋" w:eastAsia="仿宋" w:cs="仿宋"/>
          <w:b w:val="0"/>
          <w:bCs w:val="0"/>
          <w:sz w:val="28"/>
          <w:szCs w:val="28"/>
          <w:highlight w:val="none"/>
          <w:lang w:eastAsia="zh-CN"/>
        </w:rPr>
        <w:t>。</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#乙方可根据各自实际情况提供增值服务列表，并对可提供的其他个性化服务按每项分项提供报价。</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sz w:val="28"/>
          <w:szCs w:val="28"/>
          <w:highlight w:val="none"/>
          <w:lang w:val="en-US" w:eastAsia="zh-CN"/>
        </w:rPr>
        <w:t>#乙方需提供对业务影响小、用户协助操作简单和过渡状态持续时间短的网络过渡方案，网络过渡方案中应载明下表，由供应商根据自身方案勾</w:t>
      </w:r>
      <w:r>
        <w:rPr>
          <w:rFonts w:hint="eastAsia" w:ascii="仿宋" w:hAnsi="仿宋" w:eastAsia="仿宋" w:cs="仿宋"/>
          <w:b w:val="0"/>
          <w:bCs w:val="0"/>
          <w:color w:val="auto"/>
          <w:sz w:val="28"/>
          <w:szCs w:val="28"/>
          <w:highlight w:val="none"/>
          <w:lang w:val="en-US" w:eastAsia="zh-CN"/>
        </w:rPr>
        <w:t>选：</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7"/>
        <w:gridCol w:w="1075"/>
        <w:gridCol w:w="1150"/>
        <w:gridCol w:w="2737"/>
        <w:gridCol w:w="2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7" w:type="dxa"/>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15"/>
                <w:szCs w:val="15"/>
                <w:highlight w:val="none"/>
                <w:u w:val="none"/>
              </w:rPr>
            </w:pPr>
            <w:r>
              <w:rPr>
                <w:rFonts w:hint="eastAsia" w:ascii="仿宋" w:hAnsi="仿宋" w:eastAsia="仿宋" w:cs="仿宋"/>
                <w:b w:val="0"/>
                <w:bCs w:val="0"/>
                <w:i w:val="0"/>
                <w:iCs w:val="0"/>
                <w:color w:val="auto"/>
                <w:kern w:val="0"/>
                <w:sz w:val="15"/>
                <w:szCs w:val="15"/>
                <w:highlight w:val="none"/>
                <w:u w:val="none"/>
                <w:lang w:val="en-US" w:eastAsia="zh-CN" w:bidi="ar"/>
              </w:rPr>
              <w:t>序号</w:t>
            </w:r>
          </w:p>
        </w:tc>
        <w:tc>
          <w:tcPr>
            <w:tcW w:w="1075" w:type="dxa"/>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15"/>
                <w:szCs w:val="15"/>
                <w:highlight w:val="none"/>
                <w:u w:val="none"/>
              </w:rPr>
            </w:pPr>
            <w:r>
              <w:rPr>
                <w:rFonts w:hint="eastAsia" w:ascii="仿宋" w:hAnsi="仿宋" w:eastAsia="仿宋" w:cs="仿宋"/>
                <w:b w:val="0"/>
                <w:bCs w:val="0"/>
                <w:i w:val="0"/>
                <w:iCs w:val="0"/>
                <w:color w:val="auto"/>
                <w:kern w:val="0"/>
                <w:sz w:val="15"/>
                <w:szCs w:val="15"/>
                <w:highlight w:val="none"/>
                <w:u w:val="none"/>
                <w:lang w:val="en-US" w:eastAsia="zh-CN" w:bidi="ar"/>
              </w:rPr>
              <w:t>评估项</w:t>
            </w:r>
          </w:p>
        </w:tc>
        <w:tc>
          <w:tcPr>
            <w:tcW w:w="6777" w:type="dxa"/>
            <w:gridSpan w:val="3"/>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15"/>
                <w:szCs w:val="15"/>
                <w:highlight w:val="none"/>
                <w:u w:val="none"/>
              </w:rPr>
            </w:pPr>
            <w:r>
              <w:rPr>
                <w:rFonts w:hint="eastAsia" w:ascii="仿宋" w:hAnsi="仿宋" w:eastAsia="仿宋" w:cs="仿宋"/>
                <w:b w:val="0"/>
                <w:bCs w:val="0"/>
                <w:i w:val="0"/>
                <w:iCs w:val="0"/>
                <w:color w:val="auto"/>
                <w:kern w:val="0"/>
                <w:sz w:val="15"/>
                <w:szCs w:val="15"/>
                <w:highlight w:val="none"/>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val="0"/>
                <w:bCs w:val="0"/>
                <w:i w:val="0"/>
                <w:iCs w:val="0"/>
                <w:color w:val="auto"/>
                <w:sz w:val="15"/>
                <w:szCs w:val="15"/>
                <w:highlight w:val="none"/>
                <w:u w:val="none"/>
              </w:rPr>
            </w:pPr>
            <w:r>
              <w:rPr>
                <w:rFonts w:hint="eastAsia" w:ascii="仿宋" w:hAnsi="仿宋" w:eastAsia="仿宋" w:cs="仿宋"/>
                <w:b w:val="0"/>
                <w:bCs w:val="0"/>
                <w:i w:val="0"/>
                <w:iCs w:val="0"/>
                <w:color w:val="auto"/>
                <w:kern w:val="0"/>
                <w:sz w:val="15"/>
                <w:szCs w:val="15"/>
                <w:highlight w:val="none"/>
                <w:u w:val="none"/>
                <w:lang w:val="en-US" w:eastAsia="zh-CN" w:bidi="ar"/>
              </w:rPr>
              <w:t>业务切换平滑性</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15"/>
                <w:szCs w:val="15"/>
                <w:highlight w:val="none"/>
                <w:u w:val="none"/>
              </w:rPr>
            </w:pPr>
            <w:r>
              <w:rPr>
                <w:rStyle w:val="18"/>
                <w:rFonts w:hint="eastAsia" w:ascii="仿宋" w:hAnsi="仿宋" w:eastAsia="仿宋" w:cs="仿宋"/>
                <w:b w:val="0"/>
                <w:bCs w:val="0"/>
                <w:i w:val="0"/>
                <w:iCs w:val="0"/>
                <w:color w:val="auto"/>
                <w:kern w:val="0"/>
                <w:sz w:val="15"/>
                <w:szCs w:val="15"/>
                <w:highlight w:val="none"/>
                <w:u w:val="none"/>
                <w:lang w:val="en-US" w:eastAsia="zh-CN" w:bidi="ar"/>
              </w:rPr>
              <w:sym w:font="Wingdings" w:char="00A8"/>
            </w:r>
            <w:r>
              <w:rPr>
                <w:rStyle w:val="18"/>
                <w:rFonts w:hint="eastAsia" w:ascii="仿宋" w:hAnsi="仿宋" w:eastAsia="仿宋" w:cs="仿宋"/>
                <w:b w:val="0"/>
                <w:bCs w:val="0"/>
                <w:color w:val="auto"/>
                <w:sz w:val="15"/>
                <w:szCs w:val="15"/>
                <w:highlight w:val="none"/>
                <w:lang w:val="en-US" w:eastAsia="zh-CN" w:bidi="ar"/>
              </w:rPr>
              <w:t>业务无感知</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15"/>
                <w:szCs w:val="15"/>
                <w:highlight w:val="none"/>
                <w:u w:val="none"/>
              </w:rPr>
            </w:pPr>
            <w:r>
              <w:rPr>
                <w:rStyle w:val="18"/>
                <w:rFonts w:hint="eastAsia" w:ascii="仿宋" w:hAnsi="仿宋" w:eastAsia="仿宋" w:cs="仿宋"/>
                <w:b w:val="0"/>
                <w:bCs w:val="0"/>
                <w:i w:val="0"/>
                <w:iCs w:val="0"/>
                <w:color w:val="auto"/>
                <w:kern w:val="0"/>
                <w:sz w:val="15"/>
                <w:szCs w:val="15"/>
                <w:highlight w:val="none"/>
                <w:u w:val="none"/>
                <w:lang w:val="en-US" w:eastAsia="zh-CN" w:bidi="ar"/>
              </w:rPr>
              <w:sym w:font="Wingdings" w:char="00A8"/>
            </w:r>
            <w:r>
              <w:rPr>
                <w:rStyle w:val="18"/>
                <w:rFonts w:hint="eastAsia" w:ascii="仿宋" w:hAnsi="仿宋" w:eastAsia="仿宋" w:cs="仿宋"/>
                <w:b w:val="0"/>
                <w:bCs w:val="0"/>
                <w:color w:val="auto"/>
                <w:sz w:val="15"/>
                <w:szCs w:val="15"/>
                <w:highlight w:val="none"/>
                <w:lang w:val="en-US" w:eastAsia="zh-CN" w:bidi="ar"/>
              </w:rPr>
              <w:t>业务中断时间为秒级</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15"/>
                <w:szCs w:val="15"/>
                <w:highlight w:val="none"/>
                <w:u w:val="none"/>
              </w:rPr>
            </w:pPr>
            <w:r>
              <w:rPr>
                <w:rStyle w:val="18"/>
                <w:rFonts w:hint="eastAsia" w:ascii="仿宋" w:hAnsi="仿宋" w:eastAsia="仿宋" w:cs="仿宋"/>
                <w:b w:val="0"/>
                <w:bCs w:val="0"/>
                <w:i w:val="0"/>
                <w:iCs w:val="0"/>
                <w:color w:val="auto"/>
                <w:kern w:val="0"/>
                <w:sz w:val="15"/>
                <w:szCs w:val="15"/>
                <w:highlight w:val="none"/>
                <w:u w:val="none"/>
                <w:lang w:val="en-US" w:eastAsia="zh-CN" w:bidi="ar"/>
              </w:rPr>
              <w:sym w:font="Wingdings" w:char="00A8"/>
            </w:r>
            <w:r>
              <w:rPr>
                <w:rStyle w:val="18"/>
                <w:rFonts w:hint="eastAsia" w:ascii="仿宋" w:hAnsi="仿宋" w:eastAsia="仿宋" w:cs="仿宋"/>
                <w:b w:val="0"/>
                <w:bCs w:val="0"/>
                <w:color w:val="auto"/>
                <w:sz w:val="15"/>
                <w:szCs w:val="15"/>
                <w:highlight w:val="none"/>
                <w:lang w:val="en-US" w:eastAsia="zh-CN" w:bidi="ar"/>
              </w:rPr>
              <w:t>业务中断时间为分钟级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15"/>
                <w:szCs w:val="15"/>
                <w:highlight w:val="none"/>
                <w:u w:val="none"/>
              </w:rPr>
            </w:pPr>
            <w:r>
              <w:rPr>
                <w:rFonts w:hint="eastAsia" w:ascii="仿宋" w:hAnsi="仿宋" w:eastAsia="仿宋" w:cs="仿宋"/>
                <w:b w:val="0"/>
                <w:bCs w:val="0"/>
                <w:i w:val="0"/>
                <w:iCs w:val="0"/>
                <w:color w:val="auto"/>
                <w:kern w:val="0"/>
                <w:sz w:val="15"/>
                <w:szCs w:val="15"/>
                <w:highlight w:val="none"/>
                <w:u w:val="none"/>
                <w:lang w:val="en-US" w:eastAsia="zh-CN" w:bidi="ar"/>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val="0"/>
                <w:bCs w:val="0"/>
                <w:i w:val="0"/>
                <w:iCs w:val="0"/>
                <w:color w:val="auto"/>
                <w:sz w:val="15"/>
                <w:szCs w:val="15"/>
                <w:highlight w:val="none"/>
                <w:u w:val="none"/>
              </w:rPr>
            </w:pPr>
            <w:r>
              <w:rPr>
                <w:rFonts w:hint="eastAsia" w:ascii="仿宋" w:hAnsi="仿宋" w:eastAsia="仿宋" w:cs="仿宋"/>
                <w:b w:val="0"/>
                <w:bCs w:val="0"/>
                <w:i w:val="0"/>
                <w:iCs w:val="0"/>
                <w:color w:val="auto"/>
                <w:kern w:val="0"/>
                <w:sz w:val="15"/>
                <w:szCs w:val="15"/>
                <w:highlight w:val="none"/>
                <w:u w:val="none"/>
                <w:lang w:val="en-US" w:eastAsia="zh-CN" w:bidi="ar"/>
              </w:rPr>
              <w:t>需要用户协助的工作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15"/>
                <w:szCs w:val="15"/>
                <w:highlight w:val="none"/>
                <w:u w:val="none"/>
              </w:rPr>
            </w:pPr>
            <w:r>
              <w:rPr>
                <w:rStyle w:val="18"/>
                <w:rFonts w:hint="eastAsia" w:ascii="仿宋" w:hAnsi="仿宋" w:eastAsia="仿宋" w:cs="仿宋"/>
                <w:b w:val="0"/>
                <w:bCs w:val="0"/>
                <w:i w:val="0"/>
                <w:iCs w:val="0"/>
                <w:color w:val="auto"/>
                <w:kern w:val="0"/>
                <w:sz w:val="15"/>
                <w:szCs w:val="15"/>
                <w:highlight w:val="none"/>
                <w:u w:val="none"/>
                <w:lang w:val="en-US" w:eastAsia="zh-CN" w:bidi="ar"/>
              </w:rPr>
              <w:sym w:font="Wingdings" w:char="00A8"/>
            </w:r>
            <w:r>
              <w:rPr>
                <w:rStyle w:val="18"/>
                <w:rFonts w:hint="eastAsia" w:ascii="仿宋" w:hAnsi="仿宋" w:eastAsia="仿宋" w:cs="仿宋"/>
                <w:b w:val="0"/>
                <w:bCs w:val="0"/>
                <w:color w:val="auto"/>
                <w:sz w:val="15"/>
                <w:szCs w:val="15"/>
                <w:highlight w:val="none"/>
                <w:lang w:val="en-US" w:eastAsia="zh-CN" w:bidi="ar"/>
              </w:rPr>
              <w:t>协助检查业务是否正常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15"/>
                <w:szCs w:val="15"/>
                <w:highlight w:val="none"/>
                <w:u w:val="none"/>
              </w:rPr>
            </w:pPr>
            <w:r>
              <w:rPr>
                <w:rStyle w:val="18"/>
                <w:rFonts w:hint="eastAsia" w:ascii="仿宋" w:hAnsi="仿宋" w:eastAsia="仿宋" w:cs="仿宋"/>
                <w:b w:val="0"/>
                <w:bCs w:val="0"/>
                <w:i w:val="0"/>
                <w:iCs w:val="0"/>
                <w:color w:val="auto"/>
                <w:kern w:val="0"/>
                <w:sz w:val="15"/>
                <w:szCs w:val="15"/>
                <w:highlight w:val="none"/>
                <w:u w:val="none"/>
                <w:lang w:val="en-US" w:eastAsia="zh-CN" w:bidi="ar"/>
              </w:rPr>
              <w:sym w:font="Wingdings" w:char="00A8"/>
            </w:r>
            <w:r>
              <w:rPr>
                <w:rStyle w:val="18"/>
                <w:rFonts w:hint="eastAsia" w:ascii="仿宋" w:hAnsi="仿宋" w:eastAsia="仿宋" w:cs="仿宋"/>
                <w:b w:val="0"/>
                <w:bCs w:val="0"/>
                <w:color w:val="auto"/>
                <w:sz w:val="15"/>
                <w:szCs w:val="15"/>
                <w:highlight w:val="none"/>
                <w:lang w:val="en-US" w:eastAsia="zh-CN" w:bidi="ar"/>
              </w:rPr>
              <w:t>协助完成银联网络业务切换（业务IP地址不变）并检查业务是否正常</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15"/>
                <w:szCs w:val="15"/>
                <w:highlight w:val="none"/>
                <w:u w:val="none"/>
              </w:rPr>
            </w:pPr>
            <w:r>
              <w:rPr>
                <w:rStyle w:val="18"/>
                <w:rFonts w:hint="eastAsia" w:ascii="仿宋" w:hAnsi="仿宋" w:eastAsia="仿宋" w:cs="仿宋"/>
                <w:b w:val="0"/>
                <w:bCs w:val="0"/>
                <w:i w:val="0"/>
                <w:iCs w:val="0"/>
                <w:color w:val="auto"/>
                <w:kern w:val="0"/>
                <w:sz w:val="15"/>
                <w:szCs w:val="15"/>
                <w:highlight w:val="none"/>
                <w:u w:val="none"/>
                <w:lang w:val="en-US" w:eastAsia="zh-CN" w:bidi="ar"/>
              </w:rPr>
              <w:sym w:font="Wingdings" w:char="00A8"/>
            </w:r>
            <w:r>
              <w:rPr>
                <w:rStyle w:val="18"/>
                <w:rFonts w:hint="eastAsia" w:ascii="仿宋" w:hAnsi="仿宋" w:eastAsia="仿宋" w:cs="仿宋"/>
                <w:b w:val="0"/>
                <w:bCs w:val="0"/>
                <w:color w:val="auto"/>
                <w:sz w:val="15"/>
                <w:szCs w:val="15"/>
                <w:highlight w:val="none"/>
                <w:lang w:val="en-US" w:eastAsia="zh-CN" w:bidi="ar"/>
              </w:rPr>
              <w:t>协助完成银联网络业务切换（业务IP地址改变）并检查业务是否正常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15"/>
                <w:szCs w:val="15"/>
                <w:highlight w:val="none"/>
                <w:u w:val="none"/>
              </w:rPr>
            </w:pPr>
            <w:r>
              <w:rPr>
                <w:rFonts w:hint="eastAsia" w:ascii="仿宋" w:hAnsi="仿宋" w:eastAsia="仿宋" w:cs="仿宋"/>
                <w:b w:val="0"/>
                <w:bCs w:val="0"/>
                <w:i w:val="0"/>
                <w:iCs w:val="0"/>
                <w:color w:val="auto"/>
                <w:kern w:val="0"/>
                <w:sz w:val="15"/>
                <w:szCs w:val="15"/>
                <w:highlight w:val="none"/>
                <w:u w:val="none"/>
                <w:lang w:val="en-US" w:eastAsia="zh-CN" w:bidi="ar"/>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val="0"/>
                <w:bCs w:val="0"/>
                <w:i w:val="0"/>
                <w:iCs w:val="0"/>
                <w:color w:val="auto"/>
                <w:sz w:val="15"/>
                <w:szCs w:val="15"/>
                <w:highlight w:val="none"/>
                <w:u w:val="none"/>
              </w:rPr>
            </w:pPr>
            <w:r>
              <w:rPr>
                <w:rFonts w:hint="eastAsia" w:ascii="仿宋" w:hAnsi="仿宋" w:eastAsia="仿宋" w:cs="仿宋"/>
                <w:b w:val="0"/>
                <w:bCs w:val="0"/>
                <w:i w:val="0"/>
                <w:iCs w:val="0"/>
                <w:color w:val="auto"/>
                <w:kern w:val="0"/>
                <w:sz w:val="15"/>
                <w:szCs w:val="15"/>
                <w:highlight w:val="none"/>
                <w:u w:val="none"/>
                <w:lang w:val="en-US" w:eastAsia="zh-CN" w:bidi="ar"/>
              </w:rPr>
              <w:t>网络过渡状态持续时间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15"/>
                <w:szCs w:val="15"/>
                <w:highlight w:val="none"/>
                <w:u w:val="none"/>
              </w:rPr>
            </w:pPr>
            <w:r>
              <w:rPr>
                <w:rStyle w:val="18"/>
                <w:rFonts w:hint="eastAsia" w:ascii="仿宋" w:hAnsi="仿宋" w:eastAsia="仿宋" w:cs="仿宋"/>
                <w:b w:val="0"/>
                <w:bCs w:val="0"/>
                <w:i w:val="0"/>
                <w:iCs w:val="0"/>
                <w:color w:val="auto"/>
                <w:kern w:val="0"/>
                <w:sz w:val="15"/>
                <w:szCs w:val="15"/>
                <w:highlight w:val="none"/>
                <w:u w:val="none"/>
                <w:lang w:val="en-US" w:eastAsia="zh-CN" w:bidi="ar"/>
              </w:rPr>
              <w:sym w:font="Wingdings" w:char="00A8"/>
            </w:r>
            <w:r>
              <w:rPr>
                <w:rStyle w:val="18"/>
                <w:rFonts w:hint="eastAsia" w:ascii="仿宋" w:hAnsi="仿宋" w:eastAsia="仿宋" w:cs="仿宋"/>
                <w:b w:val="0"/>
                <w:bCs w:val="0"/>
                <w:color w:val="auto"/>
                <w:sz w:val="15"/>
                <w:szCs w:val="15"/>
                <w:highlight w:val="none"/>
                <w:lang w:val="en-US" w:eastAsia="zh-CN" w:bidi="ar"/>
              </w:rPr>
              <w:t>不超过1个自然天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15"/>
                <w:szCs w:val="15"/>
                <w:highlight w:val="none"/>
                <w:u w:val="none"/>
              </w:rPr>
            </w:pPr>
            <w:r>
              <w:rPr>
                <w:rStyle w:val="18"/>
                <w:rFonts w:hint="eastAsia" w:ascii="仿宋" w:hAnsi="仿宋" w:eastAsia="仿宋" w:cs="仿宋"/>
                <w:b w:val="0"/>
                <w:bCs w:val="0"/>
                <w:i w:val="0"/>
                <w:iCs w:val="0"/>
                <w:color w:val="auto"/>
                <w:kern w:val="0"/>
                <w:sz w:val="15"/>
                <w:szCs w:val="15"/>
                <w:highlight w:val="none"/>
                <w:u w:val="none"/>
                <w:lang w:val="en-US" w:eastAsia="zh-CN" w:bidi="ar"/>
              </w:rPr>
              <w:sym w:font="Wingdings" w:char="00A8"/>
            </w:r>
            <w:r>
              <w:rPr>
                <w:rStyle w:val="18"/>
                <w:rFonts w:hint="eastAsia" w:ascii="仿宋" w:hAnsi="仿宋" w:eastAsia="仿宋" w:cs="仿宋"/>
                <w:b w:val="0"/>
                <w:bCs w:val="0"/>
                <w:color w:val="auto"/>
                <w:sz w:val="15"/>
                <w:szCs w:val="15"/>
                <w:highlight w:val="none"/>
                <w:lang w:val="en-US" w:eastAsia="zh-CN" w:bidi="ar"/>
              </w:rPr>
              <w:t>大于1个自然天但不超过1个自然周</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15"/>
                <w:szCs w:val="15"/>
                <w:highlight w:val="none"/>
                <w:u w:val="none"/>
              </w:rPr>
            </w:pPr>
            <w:r>
              <w:rPr>
                <w:rStyle w:val="18"/>
                <w:rFonts w:hint="eastAsia" w:ascii="仿宋" w:hAnsi="仿宋" w:eastAsia="仿宋" w:cs="仿宋"/>
                <w:b w:val="0"/>
                <w:bCs w:val="0"/>
                <w:i w:val="0"/>
                <w:iCs w:val="0"/>
                <w:color w:val="auto"/>
                <w:kern w:val="0"/>
                <w:sz w:val="15"/>
                <w:szCs w:val="15"/>
                <w:highlight w:val="none"/>
                <w:u w:val="none"/>
                <w:lang w:val="en-US" w:eastAsia="zh-CN" w:bidi="ar"/>
              </w:rPr>
              <w:sym w:font="Wingdings" w:char="00A8"/>
            </w:r>
            <w:r>
              <w:rPr>
                <w:rStyle w:val="17"/>
                <w:rFonts w:hint="eastAsia" w:ascii="仿宋" w:hAnsi="仿宋" w:eastAsia="仿宋" w:cs="仿宋"/>
                <w:b w:val="0"/>
                <w:bCs w:val="0"/>
                <w:color w:val="auto"/>
                <w:sz w:val="15"/>
                <w:szCs w:val="15"/>
                <w:highlight w:val="none"/>
                <w:lang w:val="en-US" w:eastAsia="zh-CN" w:bidi="ar"/>
              </w:rPr>
              <w:t>超过1个自然周</w:t>
            </w:r>
          </w:p>
        </w:tc>
      </w:tr>
    </w:tbl>
    <w:p>
      <w:pPr>
        <w:bidi w:val="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注：建议纳入采购评审。</w:t>
      </w:r>
    </w:p>
    <w:p>
      <w:pPr>
        <w:pStyle w:val="4"/>
        <w:numPr>
          <w:ilvl w:val="0"/>
          <w:numId w:val="0"/>
        </w:numPr>
        <w:bidi w:val="0"/>
        <w:ind w:leftChars="0" w:firstLine="280" w:firstLineChars="1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1.3线路及相关服务开通要求</w:t>
      </w:r>
    </w:p>
    <w:p>
      <w:pPr>
        <w:keepNext w:val="0"/>
        <w:keepLines w:val="0"/>
        <w:pageBreakBefore w:val="0"/>
        <w:widowControl/>
        <w:numPr>
          <w:ilvl w:val="0"/>
          <w:numId w:val="5"/>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sz w:val="28"/>
          <w:szCs w:val="28"/>
          <w:highlight w:val="none"/>
        </w:rPr>
        <w:t>电路开通是指甲乙双方商定的接口点外侧间的电路全程测通，并以最晚一端开通为准。</w:t>
      </w:r>
      <w:r>
        <w:rPr>
          <w:rFonts w:hint="eastAsia" w:ascii="仿宋" w:hAnsi="仿宋" w:eastAsia="仿宋" w:cs="仿宋"/>
          <w:sz w:val="28"/>
          <w:szCs w:val="28"/>
          <w:highlight w:val="none"/>
          <w:lang w:val="en-US" w:eastAsia="zh-CN"/>
        </w:rPr>
        <w:t>对于互联网线路，除电路测通外，还应以开通</w:t>
      </w:r>
      <w:r>
        <w:rPr>
          <w:rFonts w:hint="eastAsia" w:ascii="仿宋" w:hAnsi="仿宋" w:eastAsia="仿宋" w:cs="仿宋"/>
          <w:sz w:val="28"/>
          <w:szCs w:val="28"/>
          <w:highlight w:val="none"/>
        </w:rPr>
        <w:t>互联网IP地址的80及8080、443端口</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按照工信部规定</w:t>
      </w:r>
      <w:r>
        <w:rPr>
          <w:rFonts w:hint="eastAsia" w:ascii="仿宋" w:hAnsi="仿宋" w:eastAsia="仿宋" w:cs="仿宋"/>
          <w:sz w:val="28"/>
          <w:szCs w:val="28"/>
          <w:highlight w:val="none"/>
          <w:lang w:val="en-US" w:eastAsia="zh-CN"/>
        </w:rPr>
        <w:t>完成</w:t>
      </w:r>
      <w:r>
        <w:rPr>
          <w:rFonts w:hint="eastAsia" w:ascii="仿宋" w:hAnsi="仿宋" w:eastAsia="仿宋" w:cs="仿宋"/>
          <w:sz w:val="28"/>
          <w:szCs w:val="28"/>
          <w:highlight w:val="none"/>
        </w:rPr>
        <w:t>互联网网站备案</w:t>
      </w:r>
      <w:r>
        <w:rPr>
          <w:rFonts w:hint="eastAsia" w:ascii="仿宋" w:hAnsi="仿宋" w:eastAsia="仿宋" w:cs="仿宋"/>
          <w:sz w:val="28"/>
          <w:szCs w:val="28"/>
          <w:highlight w:val="none"/>
          <w:lang w:val="en-US" w:eastAsia="zh-CN"/>
        </w:rPr>
        <w:t>为准。</w:t>
      </w:r>
      <w:r>
        <w:rPr>
          <w:rFonts w:hint="eastAsia" w:ascii="仿宋" w:hAnsi="仿宋" w:eastAsia="仿宋" w:cs="仿宋"/>
          <w:sz w:val="28"/>
          <w:szCs w:val="28"/>
          <w:highlight w:val="none"/>
        </w:rPr>
        <w:t>每次施工前，须根据甲方各项目要求提供施工方案，在经甲方确认后方可进行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线路开通时供应商负责按照银联开通时间要求将线路接入对端机房</w:t>
      </w:r>
      <w:r>
        <w:rPr>
          <w:rFonts w:hint="eastAsia" w:ascii="仿宋" w:hAnsi="仿宋" w:eastAsia="仿宋" w:cs="仿宋"/>
          <w:sz w:val="28"/>
          <w:szCs w:val="28"/>
          <w:highlight w:val="none"/>
          <w:lang w:eastAsia="zh-CN"/>
        </w:rPr>
        <w:t>。</w:t>
      </w:r>
    </w:p>
    <w:p>
      <w:pPr>
        <w:keepNext w:val="0"/>
        <w:keepLines w:val="0"/>
        <w:pageBreakBefore w:val="0"/>
        <w:widowControl/>
        <w:numPr>
          <w:ilvl w:val="0"/>
          <w:numId w:val="5"/>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sz w:val="28"/>
          <w:szCs w:val="28"/>
          <w:highlight w:val="none"/>
        </w:rPr>
        <w:t>应标时供应商需要提前勘察对端接入资源情况，确认对端具备对应供应商接入条件</w:t>
      </w:r>
      <w:r>
        <w:rPr>
          <w:rFonts w:hint="eastAsia" w:ascii="仿宋" w:hAnsi="仿宋" w:eastAsia="仿宋" w:cs="仿宋"/>
          <w:b w:val="0"/>
          <w:bCs w:val="0"/>
          <w:sz w:val="28"/>
          <w:szCs w:val="28"/>
          <w:highlight w:val="none"/>
          <w:lang w:eastAsia="zh-CN"/>
        </w:rPr>
        <w:t>。</w:t>
      </w:r>
    </w:p>
    <w:p>
      <w:pPr>
        <w:keepNext w:val="0"/>
        <w:keepLines w:val="0"/>
        <w:pageBreakBefore w:val="0"/>
        <w:widowControl/>
        <w:numPr>
          <w:ilvl w:val="0"/>
          <w:numId w:val="5"/>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sz w:val="28"/>
          <w:szCs w:val="28"/>
          <w:highlight w:val="none"/>
          <w:lang w:val="en-US" w:eastAsia="zh-CN"/>
        </w:rPr>
        <w:t>合同签署后，</w:t>
      </w:r>
      <w:r>
        <w:rPr>
          <w:rFonts w:hint="eastAsia" w:ascii="仿宋" w:hAnsi="仿宋" w:eastAsia="仿宋" w:cs="仿宋"/>
          <w:b w:val="0"/>
          <w:bCs w:val="0"/>
          <w:sz w:val="28"/>
          <w:szCs w:val="28"/>
          <w:highlight w:val="none"/>
        </w:rPr>
        <w:t>供应商</w:t>
      </w:r>
      <w:r>
        <w:rPr>
          <w:rFonts w:hint="eastAsia" w:ascii="仿宋" w:hAnsi="仿宋" w:eastAsia="仿宋" w:cs="仿宋"/>
          <w:b w:val="0"/>
          <w:bCs w:val="0"/>
          <w:sz w:val="28"/>
          <w:szCs w:val="28"/>
          <w:highlight w:val="none"/>
          <w:lang w:val="en-US" w:eastAsia="zh-CN"/>
        </w:rPr>
        <w:t>需根据甲方需求分批开通线路。</w:t>
      </w:r>
    </w:p>
    <w:p>
      <w:pPr>
        <w:keepNext w:val="0"/>
        <w:keepLines w:val="0"/>
        <w:pageBreakBefore w:val="0"/>
        <w:widowControl/>
        <w:numPr>
          <w:ilvl w:val="0"/>
          <w:numId w:val="5"/>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rPr>
        <w:t>供应商</w:t>
      </w:r>
      <w:r>
        <w:rPr>
          <w:rFonts w:hint="eastAsia" w:ascii="仿宋" w:hAnsi="仿宋" w:eastAsia="仿宋" w:cs="仿宋"/>
          <w:b w:val="0"/>
          <w:bCs w:val="0"/>
          <w:color w:val="auto"/>
          <w:sz w:val="28"/>
          <w:szCs w:val="28"/>
          <w:highlight w:val="none"/>
          <w:lang w:val="en-US" w:eastAsia="zh-CN"/>
        </w:rPr>
        <w:t>需在收到甲方线路开通通知之日起20个工作日内尽快完成线路开通（包括开通前的准备工作及线路开通工作）。</w:t>
      </w:r>
    </w:p>
    <w:p>
      <w:pPr>
        <w:keepNext w:val="0"/>
        <w:keepLines w:val="0"/>
        <w:pageBreakBefore w:val="0"/>
        <w:widowControl/>
        <w:numPr>
          <w:ilvl w:val="0"/>
          <w:numId w:val="5"/>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#供应商应提供线路开通的实施工期承诺函，明确线路开通所需时间（如，承诺5个工作日以内完成线路开通）。</w:t>
      </w:r>
    </w:p>
    <w:p>
      <w:pPr>
        <w:keepNext w:val="0"/>
        <w:keepLines w:val="0"/>
        <w:pageBreakBefore w:val="0"/>
        <w:widowControl/>
        <w:numPr>
          <w:ilvl w:val="-1"/>
          <w:numId w:val="0"/>
        </w:numPr>
        <w:shd w:val="clear"/>
        <w:kinsoku/>
        <w:wordWrap/>
        <w:overflowPunct/>
        <w:topLinePunct w:val="0"/>
        <w:autoSpaceDE/>
        <w:autoSpaceDN/>
        <w:bidi w:val="0"/>
        <w:adjustRightInd/>
        <w:snapToGrid/>
        <w:spacing w:line="500" w:lineRule="exact"/>
        <w:ind w:left="84" w:leftChars="40" w:firstLine="0" w:firstLineChars="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注：建议纳入采购评审，可按如下三档评估打分：①5（含）个工作日之内；②5（不含）-15（含）个工作日；③15（不含）-20（含）个工作日。</w:t>
      </w:r>
    </w:p>
    <w:p>
      <w:pPr>
        <w:pStyle w:val="4"/>
        <w:numPr>
          <w:ilvl w:val="0"/>
          <w:numId w:val="0"/>
        </w:numPr>
        <w:bidi w:val="0"/>
        <w:ind w:leftChars="0" w:firstLine="280" w:firstLineChars="1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1.4终止服务</w:t>
      </w:r>
    </w:p>
    <w:p>
      <w:pPr>
        <w:keepNext w:val="0"/>
        <w:keepLines w:val="0"/>
        <w:pageBreakBefore w:val="0"/>
        <w:widowControl/>
        <w:numPr>
          <w:ilvl w:val="0"/>
          <w:numId w:val="6"/>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sz w:val="28"/>
          <w:szCs w:val="28"/>
          <w:highlight w:val="none"/>
        </w:rPr>
        <w:t>甲方可根据自身业务需要随时终止电路租用及其它服务。甲方退租租用电路或终止其它服务时，应至少提前10</w:t>
      </w:r>
      <w:r>
        <w:rPr>
          <w:rFonts w:hint="eastAsia" w:ascii="仿宋" w:hAnsi="仿宋" w:eastAsia="仿宋" w:cs="仿宋"/>
          <w:sz w:val="28"/>
          <w:szCs w:val="28"/>
          <w:highlight w:val="none"/>
          <w:lang w:val="en-US" w:eastAsia="zh-CN"/>
        </w:rPr>
        <w:t>个</w:t>
      </w:r>
      <w:r>
        <w:rPr>
          <w:rFonts w:hint="eastAsia" w:ascii="仿宋" w:hAnsi="仿宋" w:eastAsia="仿宋" w:cs="仿宋"/>
          <w:sz w:val="28"/>
          <w:szCs w:val="28"/>
          <w:highlight w:val="none"/>
        </w:rPr>
        <w:t>工作日以书面形式通知乙方。乙方应按照甲方要求的时间关闭电路（或终止服务），并停止计费。</w:t>
      </w:r>
    </w:p>
    <w:p>
      <w:pPr>
        <w:keepNext w:val="0"/>
        <w:keepLines w:val="0"/>
        <w:pageBreakBefore w:val="0"/>
        <w:widowControl/>
        <w:numPr>
          <w:ilvl w:val="0"/>
          <w:numId w:val="6"/>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sz w:val="28"/>
          <w:szCs w:val="28"/>
          <w:highlight w:val="none"/>
          <w:lang w:val="en-US" w:eastAsia="zh-CN"/>
        </w:rPr>
        <w:t>线路合同履约期</w:t>
      </w:r>
      <w:r>
        <w:rPr>
          <w:rFonts w:hint="eastAsia" w:ascii="仿宋" w:hAnsi="仿宋" w:eastAsia="仿宋" w:cs="仿宋"/>
          <w:sz w:val="28"/>
          <w:szCs w:val="28"/>
          <w:highlight w:val="none"/>
        </w:rPr>
        <w:t>内，非经甲方书面同意，乙方不得单方终止租赁。</w:t>
      </w:r>
    </w:p>
    <w:p>
      <w:pPr>
        <w:pStyle w:val="4"/>
        <w:numPr>
          <w:ilvl w:val="0"/>
          <w:numId w:val="0"/>
        </w:numPr>
        <w:bidi w:val="0"/>
        <w:ind w:leftChars="0" w:firstLine="280" w:firstLineChars="1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1.5违约责任：</w:t>
      </w:r>
    </w:p>
    <w:p>
      <w:pPr>
        <w:keepNext w:val="0"/>
        <w:keepLines w:val="0"/>
        <w:pageBreakBefore w:val="0"/>
        <w:widowControl/>
        <w:numPr>
          <w:ilvl w:val="0"/>
          <w:numId w:val="7"/>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sz w:val="28"/>
          <w:szCs w:val="28"/>
          <w:highlight w:val="none"/>
        </w:rPr>
        <w:t>任何一方未履行本</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项下的义务均被视为违约。违约方应承担因违约给对方造成的损失。</w:t>
      </w:r>
      <w:r>
        <w:rPr>
          <w:rFonts w:hint="eastAsia" w:ascii="仿宋" w:hAnsi="仿宋" w:eastAsia="仿宋" w:cs="仿宋"/>
          <w:sz w:val="28"/>
          <w:szCs w:val="28"/>
          <w:highlight w:val="none"/>
          <w:lang w:val="en-US" w:eastAsia="zh-CN"/>
        </w:rPr>
        <w:t>如</w:t>
      </w:r>
      <w:r>
        <w:rPr>
          <w:rFonts w:hint="eastAsia" w:ascii="仿宋" w:hAnsi="仿宋" w:eastAsia="仿宋" w:cs="仿宋"/>
          <w:sz w:val="28"/>
          <w:szCs w:val="28"/>
          <w:highlight w:val="none"/>
        </w:rPr>
        <w:t>乙方</w:t>
      </w:r>
      <w:r>
        <w:rPr>
          <w:rFonts w:hint="eastAsia" w:ascii="仿宋" w:hAnsi="仿宋" w:eastAsia="仿宋" w:cs="仿宋"/>
          <w:sz w:val="28"/>
          <w:szCs w:val="28"/>
          <w:highlight w:val="none"/>
          <w:lang w:val="en-US" w:eastAsia="zh-CN"/>
        </w:rPr>
        <w:t>授权其</w:t>
      </w:r>
      <w:r>
        <w:rPr>
          <w:rFonts w:hint="eastAsia" w:ascii="仿宋" w:hAnsi="仿宋" w:eastAsia="仿宋" w:cs="仿宋"/>
          <w:sz w:val="28"/>
          <w:szCs w:val="28"/>
          <w:highlight w:val="none"/>
        </w:rPr>
        <w:t>分公司</w:t>
      </w:r>
      <w:r>
        <w:rPr>
          <w:rFonts w:hint="eastAsia" w:ascii="仿宋" w:hAnsi="仿宋" w:eastAsia="仿宋" w:cs="仿宋"/>
          <w:sz w:val="28"/>
          <w:szCs w:val="28"/>
          <w:highlight w:val="none"/>
          <w:lang w:val="en-US" w:eastAsia="zh-CN"/>
        </w:rPr>
        <w:t>提供相关服务的，乙方分公司</w:t>
      </w:r>
      <w:r>
        <w:rPr>
          <w:rFonts w:hint="eastAsia" w:ascii="仿宋" w:hAnsi="仿宋" w:eastAsia="仿宋" w:cs="仿宋"/>
          <w:sz w:val="28"/>
          <w:szCs w:val="28"/>
          <w:highlight w:val="none"/>
        </w:rPr>
        <w:t>违约视同乙方违约，乙方须承担违约责任。</w:t>
      </w:r>
    </w:p>
    <w:p>
      <w:pPr>
        <w:keepNext w:val="0"/>
        <w:keepLines w:val="0"/>
        <w:pageBreakBefore w:val="0"/>
        <w:widowControl/>
        <w:numPr>
          <w:ilvl w:val="0"/>
          <w:numId w:val="7"/>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sz w:val="28"/>
          <w:szCs w:val="28"/>
          <w:highlight w:val="none"/>
        </w:rPr>
        <w:t>如因乙方原因逾期开通，乙方以最终开通日期为起算时间向甲方收取第一个收费月的月服务费，同时每延误1日应向甲方支付该电路或服务月服务费（适用通常月的月服务费）的1%作为违约金，乙方延误超过50日的，甲方有权选择终止该</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，并追究乙方的违约责任。</w:t>
      </w:r>
    </w:p>
    <w:p>
      <w:pPr>
        <w:keepNext w:val="0"/>
        <w:keepLines w:val="0"/>
        <w:pageBreakBefore w:val="0"/>
        <w:widowControl/>
        <w:numPr>
          <w:ilvl w:val="0"/>
          <w:numId w:val="7"/>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sz w:val="28"/>
          <w:szCs w:val="28"/>
          <w:highlight w:val="none"/>
        </w:rPr>
        <w:t>要求线路可用率≥99.95%，如线路可用率未达到规定时，乙方按以下</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线路可用率罚则表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比例对甲方进行赔付：</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5"/>
        <w:gridCol w:w="3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ind w:leftChars="4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可用率在99.95％（不含）－99.9％之间</w:t>
            </w:r>
          </w:p>
        </w:tc>
        <w:tc>
          <w:tcPr>
            <w:tcW w:w="3281" w:type="dxa"/>
            <w:noWrap w:val="0"/>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ind w:leftChars="4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赔付</w:t>
            </w:r>
            <w:r>
              <w:rPr>
                <w:rFonts w:hint="eastAsia" w:ascii="仿宋" w:hAnsi="仿宋" w:eastAsia="仿宋" w:cs="仿宋"/>
                <w:sz w:val="28"/>
                <w:szCs w:val="28"/>
                <w:highlight w:val="none"/>
                <w:lang w:val="en-US" w:eastAsia="zh-CN"/>
              </w:rPr>
              <w:t>故障线路</w:t>
            </w:r>
            <w:r>
              <w:rPr>
                <w:rFonts w:hint="eastAsia" w:ascii="仿宋" w:hAnsi="仿宋" w:eastAsia="仿宋" w:cs="仿宋"/>
                <w:sz w:val="28"/>
                <w:szCs w:val="28"/>
                <w:highlight w:val="none"/>
                <w:lang w:eastAsia="zh-CN"/>
              </w:rPr>
              <w:t>月服务费</w:t>
            </w:r>
            <w:r>
              <w:rPr>
                <w:rFonts w:hint="eastAsia" w:ascii="仿宋" w:hAnsi="仿宋" w:eastAsia="仿宋" w:cs="仿宋"/>
                <w:sz w:val="28"/>
                <w:szCs w:val="28"/>
                <w:highlight w:val="none"/>
              </w:rPr>
              <w:t>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ind w:leftChars="4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可用率在99.9％（含）－99％之间</w:t>
            </w:r>
          </w:p>
        </w:tc>
        <w:tc>
          <w:tcPr>
            <w:tcW w:w="3281" w:type="dxa"/>
            <w:noWrap w:val="0"/>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ind w:leftChars="4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赔付</w:t>
            </w:r>
            <w:r>
              <w:rPr>
                <w:rFonts w:hint="eastAsia" w:ascii="仿宋" w:hAnsi="仿宋" w:eastAsia="仿宋" w:cs="仿宋"/>
                <w:sz w:val="28"/>
                <w:szCs w:val="28"/>
                <w:highlight w:val="none"/>
                <w:lang w:val="en-US" w:eastAsia="zh-CN"/>
              </w:rPr>
              <w:t>故障线路</w:t>
            </w:r>
            <w:r>
              <w:rPr>
                <w:rFonts w:hint="eastAsia" w:ascii="仿宋" w:hAnsi="仿宋" w:eastAsia="仿宋" w:cs="仿宋"/>
                <w:sz w:val="28"/>
                <w:szCs w:val="28"/>
                <w:highlight w:val="none"/>
                <w:lang w:eastAsia="zh-CN"/>
              </w:rPr>
              <w:t>月服务费</w:t>
            </w:r>
            <w:r>
              <w:rPr>
                <w:rFonts w:hint="eastAsia" w:ascii="仿宋" w:hAnsi="仿宋" w:eastAsia="仿宋" w:cs="仿宋"/>
                <w:sz w:val="28"/>
                <w:szCs w:val="28"/>
                <w:highlight w:val="none"/>
              </w:rPr>
              <w:t>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ind w:leftChars="4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可用率在99％（含）－97％之间</w:t>
            </w:r>
          </w:p>
        </w:tc>
        <w:tc>
          <w:tcPr>
            <w:tcW w:w="3281" w:type="dxa"/>
            <w:noWrap w:val="0"/>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ind w:leftChars="4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赔付</w:t>
            </w:r>
            <w:r>
              <w:rPr>
                <w:rFonts w:hint="eastAsia" w:ascii="仿宋" w:hAnsi="仿宋" w:eastAsia="仿宋" w:cs="仿宋"/>
                <w:sz w:val="28"/>
                <w:szCs w:val="28"/>
                <w:highlight w:val="none"/>
                <w:lang w:val="en-US" w:eastAsia="zh-CN"/>
              </w:rPr>
              <w:t>故障线路</w:t>
            </w:r>
            <w:r>
              <w:rPr>
                <w:rFonts w:hint="eastAsia" w:ascii="仿宋" w:hAnsi="仿宋" w:eastAsia="仿宋" w:cs="仿宋"/>
                <w:sz w:val="28"/>
                <w:szCs w:val="28"/>
                <w:highlight w:val="none"/>
                <w:lang w:eastAsia="zh-CN"/>
              </w:rPr>
              <w:t>月服务费</w:t>
            </w:r>
            <w:r>
              <w:rPr>
                <w:rFonts w:hint="eastAsia" w:ascii="仿宋" w:hAnsi="仿宋" w:eastAsia="仿宋" w:cs="仿宋"/>
                <w:sz w:val="28"/>
                <w:szCs w:val="28"/>
                <w:highlight w:val="none"/>
              </w:rPr>
              <w:t>的15％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ind w:leftChars="4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可用率在97％（含）－95％之间</w:t>
            </w:r>
          </w:p>
        </w:tc>
        <w:tc>
          <w:tcPr>
            <w:tcW w:w="3281" w:type="dxa"/>
            <w:noWrap w:val="0"/>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ind w:leftChars="4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赔付</w:t>
            </w:r>
            <w:r>
              <w:rPr>
                <w:rFonts w:hint="eastAsia" w:ascii="仿宋" w:hAnsi="仿宋" w:eastAsia="仿宋" w:cs="仿宋"/>
                <w:sz w:val="28"/>
                <w:szCs w:val="28"/>
                <w:highlight w:val="none"/>
                <w:lang w:val="en-US" w:eastAsia="zh-CN"/>
              </w:rPr>
              <w:t>故障线路</w:t>
            </w:r>
            <w:r>
              <w:rPr>
                <w:rFonts w:hint="eastAsia" w:ascii="仿宋" w:hAnsi="仿宋" w:eastAsia="仿宋" w:cs="仿宋"/>
                <w:sz w:val="28"/>
                <w:szCs w:val="28"/>
                <w:highlight w:val="none"/>
                <w:lang w:eastAsia="zh-CN"/>
              </w:rPr>
              <w:t>月服务费</w:t>
            </w:r>
            <w:r>
              <w:rPr>
                <w:rFonts w:hint="eastAsia" w:ascii="仿宋" w:hAnsi="仿宋" w:eastAsia="仿宋" w:cs="仿宋"/>
                <w:sz w:val="28"/>
                <w:szCs w:val="28"/>
                <w:highlight w:val="none"/>
              </w:rPr>
              <w:t>的20％</w:t>
            </w:r>
          </w:p>
        </w:tc>
      </w:tr>
    </w:tbl>
    <w:p>
      <w:pPr>
        <w:keepNext w:val="0"/>
        <w:keepLines w:val="0"/>
        <w:pageBreakBefore w:val="0"/>
        <w:widowControl/>
        <w:numPr>
          <w:ilvl w:val="0"/>
          <w:numId w:val="7"/>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sz w:val="28"/>
          <w:szCs w:val="28"/>
          <w:highlight w:val="none"/>
          <w:lang w:val="en-US" w:eastAsia="zh-CN"/>
        </w:rPr>
        <w:t>在一个付费周期内，发生3条及以上线路可用率不达标触发罚则的故障，或者同一条线路出现同类故障（包括中断、丢包、瞬断、误码等）3次及以上，按《线路可用率罚则表》提高一档处罚，并有权要求乙方新开通线路替换原有线路。</w:t>
      </w:r>
    </w:p>
    <w:p>
      <w:pPr>
        <w:keepNext w:val="0"/>
        <w:keepLines w:val="0"/>
        <w:pageBreakBefore w:val="0"/>
        <w:widowControl/>
        <w:numPr>
          <w:ilvl w:val="0"/>
          <w:numId w:val="7"/>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sz w:val="28"/>
          <w:szCs w:val="28"/>
          <w:highlight w:val="none"/>
          <w:lang w:val="en-US" w:eastAsia="zh-CN"/>
        </w:rPr>
        <w:t>运营商线路割接导致的线路中断时间，计入</w:t>
      </w:r>
      <w:r>
        <w:rPr>
          <w:rFonts w:hint="eastAsia" w:ascii="仿宋" w:hAnsi="仿宋" w:eastAsia="仿宋" w:cs="仿宋"/>
          <w:b w:val="0"/>
          <w:bCs w:val="0"/>
          <w:sz w:val="28"/>
          <w:szCs w:val="28"/>
          <w:highlight w:val="none"/>
        </w:rPr>
        <w:t>线路可用率</w:t>
      </w:r>
      <w:r>
        <w:rPr>
          <w:rFonts w:hint="eastAsia" w:ascii="仿宋" w:hAnsi="仿宋" w:eastAsia="仿宋" w:cs="仿宋"/>
          <w:b w:val="0"/>
          <w:bCs w:val="0"/>
          <w:sz w:val="28"/>
          <w:szCs w:val="28"/>
          <w:highlight w:val="none"/>
          <w:lang w:val="en-US" w:eastAsia="zh-CN"/>
        </w:rPr>
        <w:t>及赔付罚则计算。</w:t>
      </w:r>
    </w:p>
    <w:p>
      <w:pPr>
        <w:keepNext w:val="0"/>
        <w:keepLines w:val="0"/>
        <w:pageBreakBefore w:val="0"/>
        <w:widowControl/>
        <w:numPr>
          <w:ilvl w:val="0"/>
          <w:numId w:val="7"/>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sz w:val="28"/>
          <w:szCs w:val="28"/>
          <w:highlight w:val="none"/>
        </w:rPr>
        <w:t>线路可用率低于95%（含）时，甲方有权单方面终止该</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w:t>
      </w:r>
    </w:p>
    <w:p>
      <w:pPr>
        <w:keepNext w:val="0"/>
        <w:keepLines w:val="0"/>
        <w:pageBreakBefore w:val="0"/>
        <w:widowControl/>
        <w:numPr>
          <w:ilvl w:val="0"/>
          <w:numId w:val="7"/>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sz w:val="28"/>
          <w:szCs w:val="28"/>
          <w:highlight w:val="none"/>
          <w:lang w:val="en-US" w:eastAsia="zh-CN"/>
        </w:rPr>
        <w:t>乙方对于可以预见的网络维护升级，或非不可抗力等可能会造成的电路中断的情况，应至少提前3个工作日通知甲方，并与甲方协商做好应对措施。如未提前3个工作日通知，每次赔付对应线路月服务费的5％。</w:t>
      </w:r>
    </w:p>
    <w:p>
      <w:pPr>
        <w:keepNext w:val="0"/>
        <w:keepLines w:val="0"/>
        <w:pageBreakBefore w:val="0"/>
        <w:widowControl/>
        <w:numPr>
          <w:ilvl w:val="0"/>
          <w:numId w:val="7"/>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sz w:val="28"/>
          <w:szCs w:val="28"/>
          <w:highlight w:val="none"/>
          <w:lang w:val="en-US" w:eastAsia="zh-CN"/>
        </w:rPr>
        <w:t>乙方对于任何已知可能导致线路中断的隐患均需立即告知银联（包括传输硬件故障、商务纠纷等），如未告知，每出现1次按照合同总价（含税金额）的2％的比例支付违约金。</w:t>
      </w:r>
    </w:p>
    <w:p>
      <w:pPr>
        <w:keepNext w:val="0"/>
        <w:keepLines w:val="0"/>
        <w:pageBreakBefore w:val="0"/>
        <w:widowControl/>
        <w:numPr>
          <w:ilvl w:val="0"/>
          <w:numId w:val="7"/>
        </w:numPr>
        <w:shd w:val="clear"/>
        <w:kinsoku/>
        <w:wordWrap/>
        <w:overflowPunct/>
        <w:topLinePunct w:val="0"/>
        <w:autoSpaceDE/>
        <w:autoSpaceDN/>
        <w:bidi w:val="0"/>
        <w:adjustRightInd w:val="0"/>
        <w:snapToGrid/>
        <w:spacing w:line="500" w:lineRule="exact"/>
        <w:ind w:left="509" w:leftChars="4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sz w:val="28"/>
          <w:szCs w:val="28"/>
          <w:highlight w:val="none"/>
          <w:lang w:val="en-US" w:eastAsia="zh-CN"/>
        </w:rPr>
        <w:t>履约期内，除上述线路可用率不达标、线路中断隐患未及时告知外的其他因乙方原因造成银联业务受影响，每出现1次按照合同总价（含税金额）的2％的比例支付违约金。</w:t>
      </w:r>
    </w:p>
    <w:p>
      <w:pPr>
        <w:keepNext w:val="0"/>
        <w:keepLines w:val="0"/>
        <w:pageBreakBefore w:val="0"/>
        <w:widowControl/>
        <w:numPr>
          <w:ilvl w:val="0"/>
          <w:numId w:val="7"/>
        </w:numPr>
        <w:shd w:val="clear"/>
        <w:kinsoku/>
        <w:wordWrap/>
        <w:overflowPunct/>
        <w:topLinePunct w:val="0"/>
        <w:autoSpaceDE/>
        <w:autoSpaceDN/>
        <w:bidi w:val="0"/>
        <w:adjustRightInd w:val="0"/>
        <w:snapToGrid/>
        <w:spacing w:line="500" w:lineRule="exact"/>
        <w:ind w:left="509" w:leftChars="4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sz w:val="28"/>
          <w:szCs w:val="28"/>
          <w:highlight w:val="none"/>
          <w:lang w:val="en-US" w:eastAsia="zh-CN"/>
        </w:rPr>
        <w:t>如乙方有其他违约行为，除本合同另有约定外，每发生一次，乙方应按照合同总价的5‰向甲方支付违约金（或等值服务赔偿），并应在本合同约定的时间内（如无约定，以甲方指定的时间为准）纠正该违约行为。</w:t>
      </w:r>
    </w:p>
    <w:p>
      <w:pPr>
        <w:keepNext w:val="0"/>
        <w:keepLines w:val="0"/>
        <w:pageBreakBefore w:val="0"/>
        <w:widowControl/>
        <w:numPr>
          <w:ilvl w:val="0"/>
          <w:numId w:val="7"/>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iCs/>
          <w:color w:val="auto"/>
          <w:sz w:val="32"/>
          <w:szCs w:val="32"/>
          <w:highlight w:val="none"/>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sz w:val="28"/>
          <w:szCs w:val="28"/>
          <w:highlight w:val="none"/>
        </w:rPr>
        <w:t>乙方违反其他义务性约定的，在甲方提出书面意见15天后仍未能予以纠正的，甲方有权单方解除</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且</w:t>
      </w:r>
      <w:r>
        <w:rPr>
          <w:rFonts w:hint="eastAsia" w:ascii="仿宋" w:hAnsi="仿宋" w:eastAsia="仿宋" w:cs="仿宋"/>
          <w:sz w:val="28"/>
          <w:szCs w:val="28"/>
          <w:highlight w:val="none"/>
        </w:rPr>
        <w:t>乙方应赔偿甲方的直接经济损失。</w:t>
      </w:r>
    </w:p>
    <w:p>
      <w:pPr>
        <w:spacing w:line="560" w:lineRule="exact"/>
        <w:ind w:firstLine="320" w:firstLineChars="100"/>
        <w:jc w:val="left"/>
        <w:outlineLvl w:val="3"/>
        <w:rPr>
          <w:rFonts w:hint="eastAsia" w:ascii="仿宋" w:hAnsi="仿宋" w:eastAsia="仿宋" w:cs="仿宋"/>
          <w:sz w:val="32"/>
          <w:szCs w:val="32"/>
          <w:highlight w:val="none"/>
        </w:rPr>
      </w:pPr>
    </w:p>
    <w:p>
      <w:pPr>
        <w:spacing w:line="560" w:lineRule="exact"/>
        <w:ind w:firstLine="321" w:firstLineChars="100"/>
        <w:jc w:val="left"/>
        <w:outlineLvl w:val="3"/>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w:t>
      </w:r>
      <w:r>
        <w:rPr>
          <w:rFonts w:hint="eastAsia" w:ascii="仿宋" w:hAnsi="仿宋" w:eastAsia="仿宋" w:cs="仿宋"/>
          <w:b/>
          <w:bCs/>
          <w:sz w:val="32"/>
          <w:szCs w:val="32"/>
          <w:highlight w:val="none"/>
          <w:lang w:val="en-US" w:eastAsia="zh-CN"/>
        </w:rPr>
        <w:t>.技术</w:t>
      </w:r>
      <w:r>
        <w:rPr>
          <w:rFonts w:hint="eastAsia" w:ascii="仿宋" w:hAnsi="仿宋" w:eastAsia="仿宋" w:cs="仿宋"/>
          <w:b/>
          <w:bCs/>
          <w:sz w:val="32"/>
          <w:szCs w:val="32"/>
          <w:highlight w:val="none"/>
        </w:rPr>
        <w:t>要求</w:t>
      </w:r>
    </w:p>
    <w:p>
      <w:pPr>
        <w:spacing w:line="360" w:lineRule="auto"/>
        <w:ind w:firstLine="640" w:firstLineChars="200"/>
        <w:rPr>
          <w:rFonts w:hint="eastAsia" w:ascii="仿宋" w:hAnsi="仿宋" w:eastAsia="仿宋" w:cs="仿宋"/>
          <w:highlight w:val="none"/>
          <w:lang w:val="en-US" w:eastAsia="zh-CN"/>
        </w:rPr>
      </w:pPr>
      <w:r>
        <w:rPr>
          <w:rFonts w:hint="eastAsia" w:ascii="仿宋" w:hAnsi="仿宋" w:eastAsia="仿宋" w:cs="仿宋"/>
          <w:iCs/>
          <w:color w:val="auto"/>
          <w:sz w:val="32"/>
          <w:szCs w:val="32"/>
          <w:highlight w:val="none"/>
        </w:rPr>
        <w:t>本</w:t>
      </w:r>
      <w:r>
        <w:rPr>
          <w:rFonts w:hint="eastAsia" w:ascii="仿宋" w:hAnsi="仿宋" w:eastAsia="仿宋" w:cs="仿宋"/>
          <w:iCs/>
          <w:color w:val="auto"/>
          <w:sz w:val="32"/>
          <w:szCs w:val="32"/>
          <w:highlight w:val="none"/>
          <w:lang w:val="en-US" w:eastAsia="zh-CN"/>
        </w:rPr>
        <w:t>技术</w:t>
      </w:r>
      <w:r>
        <w:rPr>
          <w:rFonts w:hint="eastAsia" w:ascii="仿宋" w:hAnsi="仿宋" w:eastAsia="仿宋" w:cs="仿宋"/>
          <w:iCs/>
          <w:color w:val="auto"/>
          <w:sz w:val="32"/>
          <w:szCs w:val="32"/>
          <w:highlight w:val="none"/>
        </w:rPr>
        <w:t>要求共有“★”指标</w:t>
      </w:r>
      <w:r>
        <w:rPr>
          <w:rFonts w:hint="eastAsia" w:ascii="仿宋" w:hAnsi="仿宋" w:eastAsia="仿宋" w:cs="仿宋"/>
          <w:iCs/>
          <w:color w:val="auto"/>
          <w:sz w:val="32"/>
          <w:szCs w:val="32"/>
          <w:highlight w:val="none"/>
          <w:u w:val="single"/>
        </w:rPr>
        <w:t xml:space="preserve"> </w:t>
      </w:r>
      <w:r>
        <w:rPr>
          <w:rFonts w:hint="eastAsia" w:ascii="仿宋" w:hAnsi="仿宋" w:eastAsia="仿宋" w:cs="仿宋"/>
          <w:iCs/>
          <w:color w:val="auto"/>
          <w:sz w:val="32"/>
          <w:szCs w:val="32"/>
          <w:highlight w:val="none"/>
          <w:u w:val="single"/>
          <w:lang w:val="en-US" w:eastAsia="zh-CN"/>
        </w:rPr>
        <w:t>54</w:t>
      </w:r>
      <w:r>
        <w:rPr>
          <w:rFonts w:hint="eastAsia" w:ascii="仿宋" w:hAnsi="仿宋" w:eastAsia="仿宋" w:cs="仿宋"/>
          <w:iCs/>
          <w:color w:val="auto"/>
          <w:sz w:val="32"/>
          <w:szCs w:val="32"/>
          <w:highlight w:val="none"/>
          <w:u w:val="single"/>
        </w:rPr>
        <w:t xml:space="preserve"> </w:t>
      </w:r>
      <w:r>
        <w:rPr>
          <w:rFonts w:hint="eastAsia" w:ascii="仿宋" w:hAnsi="仿宋" w:eastAsia="仿宋" w:cs="仿宋"/>
          <w:iCs/>
          <w:color w:val="auto"/>
          <w:sz w:val="32"/>
          <w:szCs w:val="32"/>
          <w:highlight w:val="none"/>
        </w:rPr>
        <w:t>项，“#”指标</w:t>
      </w:r>
      <w:r>
        <w:rPr>
          <w:rFonts w:hint="eastAsia" w:ascii="仿宋" w:hAnsi="仿宋" w:eastAsia="仿宋" w:cs="仿宋"/>
          <w:iCs/>
          <w:color w:val="auto"/>
          <w:sz w:val="32"/>
          <w:szCs w:val="32"/>
          <w:highlight w:val="none"/>
          <w:u w:val="single"/>
        </w:rPr>
        <w:t xml:space="preserve"> </w:t>
      </w:r>
      <w:r>
        <w:rPr>
          <w:rFonts w:hint="eastAsia" w:ascii="仿宋" w:hAnsi="仿宋" w:eastAsia="仿宋" w:cs="仿宋"/>
          <w:iCs/>
          <w:color w:val="auto"/>
          <w:sz w:val="32"/>
          <w:szCs w:val="32"/>
          <w:highlight w:val="none"/>
          <w:u w:val="single"/>
          <w:lang w:val="en-US" w:eastAsia="zh-CN"/>
        </w:rPr>
        <w:t>4</w:t>
      </w:r>
      <w:r>
        <w:rPr>
          <w:rFonts w:hint="eastAsia" w:ascii="仿宋" w:hAnsi="仿宋" w:eastAsia="仿宋" w:cs="仿宋"/>
          <w:iCs/>
          <w:color w:val="auto"/>
          <w:sz w:val="32"/>
          <w:szCs w:val="32"/>
          <w:highlight w:val="none"/>
          <w:u w:val="single"/>
        </w:rPr>
        <w:t xml:space="preserve"> </w:t>
      </w:r>
      <w:r>
        <w:rPr>
          <w:rFonts w:hint="eastAsia" w:ascii="仿宋" w:hAnsi="仿宋" w:eastAsia="仿宋" w:cs="仿宋"/>
          <w:iCs/>
          <w:color w:val="auto"/>
          <w:sz w:val="32"/>
          <w:szCs w:val="32"/>
          <w:highlight w:val="none"/>
        </w:rPr>
        <w:t>项，“△”指标</w:t>
      </w:r>
      <w:r>
        <w:rPr>
          <w:rFonts w:hint="eastAsia" w:ascii="仿宋" w:hAnsi="仿宋" w:eastAsia="仿宋" w:cs="仿宋"/>
          <w:iCs/>
          <w:color w:val="auto"/>
          <w:sz w:val="32"/>
          <w:szCs w:val="32"/>
          <w:highlight w:val="none"/>
          <w:u w:val="single"/>
        </w:rPr>
        <w:t xml:space="preserve">  </w:t>
      </w:r>
      <w:r>
        <w:rPr>
          <w:rFonts w:hint="eastAsia" w:ascii="仿宋" w:hAnsi="仿宋" w:eastAsia="仿宋" w:cs="仿宋"/>
          <w:iCs/>
          <w:color w:val="auto"/>
          <w:sz w:val="32"/>
          <w:szCs w:val="32"/>
          <w:highlight w:val="none"/>
          <w:u w:val="single"/>
          <w:lang w:val="en-US" w:eastAsia="zh-CN"/>
        </w:rPr>
        <w:t>0</w:t>
      </w:r>
      <w:r>
        <w:rPr>
          <w:rFonts w:hint="eastAsia" w:ascii="仿宋" w:hAnsi="仿宋" w:eastAsia="仿宋" w:cs="仿宋"/>
          <w:iCs/>
          <w:color w:val="auto"/>
          <w:sz w:val="32"/>
          <w:szCs w:val="32"/>
          <w:highlight w:val="none"/>
          <w:u w:val="single"/>
        </w:rPr>
        <w:t xml:space="preserve">  </w:t>
      </w:r>
      <w:r>
        <w:rPr>
          <w:rFonts w:hint="eastAsia" w:ascii="仿宋" w:hAnsi="仿宋" w:eastAsia="仿宋" w:cs="仿宋"/>
          <w:iCs/>
          <w:color w:val="auto"/>
          <w:sz w:val="32"/>
          <w:szCs w:val="32"/>
          <w:highlight w:val="none"/>
        </w:rPr>
        <w:t>项</w:t>
      </w:r>
    </w:p>
    <w:p>
      <w:pPr>
        <w:pStyle w:val="4"/>
        <w:numPr>
          <w:ilvl w:val="0"/>
          <w:numId w:val="0"/>
        </w:numPr>
        <w:bidi w:val="0"/>
        <w:ind w:firstLine="280" w:firstLineChars="1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2.1数据电路（含MSTP线路、ATM线路、SDH线路、VPDN线路、语音拨号线路、OTN线路）</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★数据电路所使用的全程传输资源和光缆资源必须为供应商的自有产权资源，不得为外部租用或者合用资源。</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★供应商需在信息总中心机房和对端用户机房部署传输资源及传输设备。数据电路需在用户机房的供应商传输设备落地，再接入用户设备。供应商需负责将尾纤布放至用户设备。</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★每台传输具备双电源且分别接两路PDU，传输设备具备双上联光路；且双上联光路需从不同管道、不同管井连接至上联局点，全程无耦合；双上联光路需具备高可用切换能力。</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★传输设备双上联光路需满足上联双局点组网要求。</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★数据电路传输资源全程需具备双环路保护高可用切换能力。</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★线路开通及扩容后带宽必须达到银联要求的带宽值，供应商需从线路两端挂表测试全程线路带宽。</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★线路接入设备端口按银联要求配置为百/千/万兆全双工。</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★线路两端端口发光光功率在银联指定范围内。</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★MSTP、SDH线路时延不得超过40ms/1000km，语音拨号线路时延不超过10ms，OTN线路时延不超过25ms/1000km。使用端到端设备接口地址ping进行测试，ping 1000个大包检查：ping -a X.X.X.X -s 8100 -c 1000 X.X.X.X（-a后的X.X.X.X代表源地址，指本地接口地址；末尾的X.X.X.X代表目的地址，指本地接口对端的地址；-s 8100代表包字节大小，-c 代表ping包数量）。如线路在使用过程中发现时延恶化，供应商需要根据用户要求进行传输路由调整，优化线路时延。</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★线路丢包率不得大于0.01%，比特误码率不得大于0.00001%，不得有错包。</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★线路MTU值以甲方书面要求为准。</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★线路需按照甲方要求放通ICMP、OSPF、EIGRP、BGP、LLDP等协议。</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★上述技术参数要求，供应商均需自查通过。</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★提供故障报告和运行报告，线路中断触发罚则，供应商需在24小时内出具故障报告，说明故障原因。</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★供应商需要负责将线路的末端布放至两端用户侧机房指定位置，如涉及到末端园区内的线缆布放协调问题，需要供应商负责解决。</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★在收到中国银联升降速需求后，对于OTN线路，供应商需在1个工作日内将线路升速或者降速至目标带宽；对于除OTN线路之外其他线路，供应商需在20个工作日内将线路升速或者降速至目标带宽。</w:t>
      </w:r>
    </w:p>
    <w:p>
      <w:pPr>
        <w:pStyle w:val="4"/>
        <w:numPr>
          <w:ilvl w:val="0"/>
          <w:numId w:val="0"/>
        </w:numPr>
        <w:bidi w:val="0"/>
        <w:ind w:leftChars="0" w:firstLine="280" w:firstLineChars="100"/>
        <w:rPr>
          <w:rFonts w:hint="eastAsia" w:ascii="仿宋" w:hAnsi="仿宋" w:eastAsia="仿宋" w:cs="仿宋"/>
          <w:highlight w:val="none"/>
          <w:lang w:val="en-US"/>
        </w:rPr>
      </w:pPr>
      <w:r>
        <w:rPr>
          <w:rFonts w:hint="eastAsia" w:ascii="仿宋" w:hAnsi="仿宋" w:eastAsia="仿宋" w:cs="仿宋"/>
          <w:highlight w:val="none"/>
          <w:lang w:val="en-US" w:eastAsia="zh-CN"/>
        </w:rPr>
        <w:t>2.2互联网线路</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lang w:val="en-US" w:eastAsia="zh-CN"/>
        </w:rPr>
        <w:t>互联网线路</w:t>
      </w:r>
      <w:r>
        <w:rPr>
          <w:rFonts w:hint="eastAsia" w:ascii="仿宋" w:hAnsi="仿宋" w:eastAsia="仿宋" w:cs="仿宋"/>
          <w:b w:val="0"/>
          <w:bCs w:val="0"/>
          <w:color w:val="auto"/>
          <w:sz w:val="28"/>
          <w:szCs w:val="28"/>
          <w:highlight w:val="none"/>
          <w:lang w:val="en-US" w:eastAsia="zh-CN"/>
        </w:rPr>
        <w:t>所使用的全程传输资源和光缆资源必须为供应商的自有产权资源，不得为外部租用或者合用资源。</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lang w:val="en-US" w:eastAsia="zh-CN"/>
        </w:rPr>
        <w:t>互联网线路</w:t>
      </w:r>
      <w:r>
        <w:rPr>
          <w:rFonts w:hint="eastAsia" w:ascii="仿宋" w:hAnsi="仿宋" w:eastAsia="仿宋" w:cs="仿宋"/>
          <w:b w:val="0"/>
          <w:bCs w:val="0"/>
          <w:color w:val="auto"/>
          <w:sz w:val="28"/>
          <w:szCs w:val="28"/>
          <w:highlight w:val="none"/>
          <w:lang w:val="en-US" w:eastAsia="zh-CN"/>
        </w:rPr>
        <w:t>需在用户机房的供应商传输设备落地，再接入用户设备。供应商需在信息总中心机房和对端用户机房部署传输设备。</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★每台传输具备双电源且分别接两路PDU，传输设备具备双上联光路；且双上联光路需从不同管道、不同管井连接至上联局点，全程无耦合；双上联光路需具备高可用切换能力。</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★传输设备双上联光路需满足上联双局点组网要求。</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lang w:val="en-US" w:eastAsia="zh-CN"/>
        </w:rPr>
        <w:t>互联网线路</w:t>
      </w:r>
      <w:r>
        <w:rPr>
          <w:rFonts w:hint="eastAsia" w:ascii="仿宋" w:hAnsi="仿宋" w:eastAsia="仿宋" w:cs="仿宋"/>
          <w:b w:val="0"/>
          <w:bCs w:val="0"/>
          <w:color w:val="auto"/>
          <w:sz w:val="28"/>
          <w:szCs w:val="28"/>
          <w:highlight w:val="none"/>
          <w:lang w:val="en-US" w:eastAsia="zh-CN"/>
        </w:rPr>
        <w:t>传输资源全程需具备双环路保护高可用切换能力。</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★承载银联同一类业务的同城同供应商多条互联网线路从接入到骨干在传输层和网络层均无耦合点。</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★线路开通及扩容后带宽必须达到银联要求的带宽值，供应商需从线路两端挂表测试全程线路带宽。</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★线路接入设备端口按银联要求配置为百/千/万兆全双工。</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★线路两端端口发光光功率在银联指定范围内。</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★线路直连地址互ping不大于10ms。使用端到端设备接口地址ping进行测试，ping 1000个大包检查：ping -a X.X.X.X -s 8100 -c 1000 X.X.X.X（-a后的X.X.X.X代表源地址，指本地接口地址；末尾的X.X.X.X代表目的地址，指本地接口对端的地址；-s 8100代表包字节大小，-c 代表ping包数量）。如线路在使用过程中发现时延恶化，供应商需要根据用户要求进行传输路由调整，优化线路时延。</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★线路丢包率不得大于0.01%，比特误码率不得大于0.00001%，不得有错包。</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★线路MTU值不得低于以甲方书面要求为准。</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★线路需按照银联要求放通ICMP、OSPF、EIGRP、BGP、LLDP等协议。</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★供应商需按银联要求完成IP地址分配，且需保证分配给银联的IP地址可用，同时也不能将非银联的IP地址指向银联互联网线路。</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★供应商需配合银联完成IP地址备案并开放80、443、8080端口。供应商配合银联完成IP地址备案并开放80、443、8080端口，且银联验证通过后，线路才具备开通验收条件。</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★上述技术参数要求，供应商均需自查通过。</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★提供故障报告和运行报告，线路中断触发罚则，供应商需在24小时内出具故障报告，说明故障原因。</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★供应商需要负责将线路的末端布放至两端用户侧机房指定位置，如涉及到末端园区内的线缆布放协调问题，需要供应商负责解决。</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★在收到中国银联升降速需求后，供应商需在3个工作日内将线路升速或者降速至目标带宽。</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★供应商需对银联的所有IP地址提供DDOS防护能力。</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★供应商需向银联提供DDOS清洗告障快捷流程，在收到银联DDOS清洗要求后一分钟内开始实施清洗，具备自动DDOS清洗能力的供应商优先。</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#供应商提供DDOS清洗API接口，并配合银联DDOS清洗自动化对接。</w:t>
      </w:r>
    </w:p>
    <w:p>
      <w:pPr>
        <w:keepNext w:val="0"/>
        <w:keepLines w:val="0"/>
        <w:pageBreakBefore w:val="0"/>
        <w:widowControl/>
        <w:numPr>
          <w:ilvl w:val="0"/>
          <w:numId w:val="9"/>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★3A等级互联网线路要求提供两条互联网线路，要求全程物理及逻辑无耦合。两条互联网线路之间支持路由自动切换。</w:t>
      </w:r>
    </w:p>
    <w:p>
      <w:pPr>
        <w:pStyle w:val="4"/>
        <w:numPr>
          <w:ilvl w:val="0"/>
          <w:numId w:val="0"/>
        </w:numPr>
        <w:bidi w:val="0"/>
        <w:ind w:leftChars="0" w:firstLine="280" w:firstLineChars="100"/>
        <w:rPr>
          <w:rFonts w:hint="eastAsia" w:ascii="仿宋" w:hAnsi="仿宋" w:eastAsia="仿宋" w:cs="仿宋"/>
          <w:highlight w:val="none"/>
          <w:lang w:val="en-US"/>
        </w:rPr>
      </w:pPr>
      <w:r>
        <w:rPr>
          <w:rFonts w:hint="eastAsia" w:ascii="仿宋" w:hAnsi="仿宋" w:eastAsia="仿宋" w:cs="仿宋"/>
          <w:highlight w:val="none"/>
          <w:lang w:val="en-US" w:eastAsia="zh-CN"/>
        </w:rPr>
        <w:t>2.3云专网线路</w:t>
      </w:r>
    </w:p>
    <w:p>
      <w:pPr>
        <w:keepNext w:val="0"/>
        <w:keepLines w:val="0"/>
        <w:pageBreakBefore w:val="0"/>
        <w:widowControl/>
        <w:numPr>
          <w:ilvl w:val="0"/>
          <w:numId w:val="10"/>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lang w:val="en-US" w:eastAsia="zh-CN"/>
        </w:rPr>
        <w:t>云专网线路</w:t>
      </w:r>
      <w:r>
        <w:rPr>
          <w:rFonts w:hint="eastAsia" w:ascii="仿宋" w:hAnsi="仿宋" w:eastAsia="仿宋" w:cs="仿宋"/>
          <w:b w:val="0"/>
          <w:bCs w:val="0"/>
          <w:color w:val="auto"/>
          <w:sz w:val="28"/>
          <w:szCs w:val="28"/>
          <w:highlight w:val="none"/>
          <w:lang w:val="en-US" w:eastAsia="zh-CN"/>
        </w:rPr>
        <w:t>所使用的全程传输资源和光缆资源必须为供应商的自有产权资源，不得为外部租用或者合用资源。</w:t>
      </w:r>
    </w:p>
    <w:p>
      <w:pPr>
        <w:keepNext w:val="0"/>
        <w:keepLines w:val="0"/>
        <w:pageBreakBefore w:val="0"/>
        <w:widowControl/>
        <w:numPr>
          <w:ilvl w:val="0"/>
          <w:numId w:val="10"/>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lang w:val="en-US" w:eastAsia="zh-CN"/>
        </w:rPr>
        <w:t>云专网线路</w:t>
      </w:r>
      <w:r>
        <w:rPr>
          <w:rFonts w:hint="eastAsia" w:ascii="仿宋" w:hAnsi="仿宋" w:eastAsia="仿宋" w:cs="仿宋"/>
          <w:b w:val="0"/>
          <w:bCs w:val="0"/>
          <w:color w:val="auto"/>
          <w:sz w:val="28"/>
          <w:szCs w:val="28"/>
          <w:highlight w:val="none"/>
          <w:lang w:val="en-US" w:eastAsia="zh-CN"/>
        </w:rPr>
        <w:t>需根据要求从供应商局端直拉光纤接入，或者在用户机房的供应商传输设备落地，再接入用户设备。供应商需在信息总中心机房和对端用户机房部署传输设备。</w:t>
      </w:r>
    </w:p>
    <w:p>
      <w:pPr>
        <w:keepNext w:val="0"/>
        <w:keepLines w:val="0"/>
        <w:pageBreakBefore w:val="0"/>
        <w:widowControl/>
        <w:numPr>
          <w:ilvl w:val="0"/>
          <w:numId w:val="10"/>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★每台传输具备双电源且分别接两路PDU，传输设备具备双上联光路；且双上联光路需从不同管道、不同管井连接至上联局点，全程无耦合；双上联光路需具备高可用切换能力。</w:t>
      </w:r>
    </w:p>
    <w:p>
      <w:pPr>
        <w:keepNext w:val="0"/>
        <w:keepLines w:val="0"/>
        <w:pageBreakBefore w:val="0"/>
        <w:widowControl/>
        <w:numPr>
          <w:ilvl w:val="0"/>
          <w:numId w:val="10"/>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★传输设备双上联光路需满足上联双局点组网要求。</w:t>
      </w:r>
    </w:p>
    <w:p>
      <w:pPr>
        <w:keepNext w:val="0"/>
        <w:keepLines w:val="0"/>
        <w:pageBreakBefore w:val="0"/>
        <w:widowControl/>
        <w:numPr>
          <w:ilvl w:val="0"/>
          <w:numId w:val="10"/>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lang w:val="en-US" w:eastAsia="zh-CN"/>
        </w:rPr>
        <w:t>云专网线路</w:t>
      </w:r>
      <w:r>
        <w:rPr>
          <w:rFonts w:hint="eastAsia" w:ascii="仿宋" w:hAnsi="仿宋" w:eastAsia="仿宋" w:cs="仿宋"/>
          <w:b w:val="0"/>
          <w:bCs w:val="0"/>
          <w:color w:val="auto"/>
          <w:sz w:val="28"/>
          <w:szCs w:val="28"/>
          <w:highlight w:val="none"/>
          <w:lang w:val="en-US" w:eastAsia="zh-CN"/>
        </w:rPr>
        <w:t>传输资源全程需具备双环路保护高可用切换能力。</w:t>
      </w:r>
    </w:p>
    <w:p>
      <w:pPr>
        <w:keepNext w:val="0"/>
        <w:keepLines w:val="0"/>
        <w:pageBreakBefore w:val="0"/>
        <w:widowControl/>
        <w:numPr>
          <w:ilvl w:val="0"/>
          <w:numId w:val="10"/>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★线路开通及扩容后带宽必须达到银联要求的带宽值，供应商需从线路两端挂表测试全程线路带宽。</w:t>
      </w:r>
    </w:p>
    <w:p>
      <w:pPr>
        <w:keepNext w:val="0"/>
        <w:keepLines w:val="0"/>
        <w:pageBreakBefore w:val="0"/>
        <w:widowControl/>
        <w:numPr>
          <w:ilvl w:val="0"/>
          <w:numId w:val="10"/>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★线路接入设备端口按银联要求配置为百/千/万兆全双工。</w:t>
      </w:r>
    </w:p>
    <w:p>
      <w:pPr>
        <w:keepNext w:val="0"/>
        <w:keepLines w:val="0"/>
        <w:pageBreakBefore w:val="0"/>
        <w:widowControl/>
        <w:numPr>
          <w:ilvl w:val="0"/>
          <w:numId w:val="10"/>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★线路两端端口发光光功率在银联指定范围内。</w:t>
      </w:r>
    </w:p>
    <w:p>
      <w:pPr>
        <w:keepNext w:val="0"/>
        <w:keepLines w:val="0"/>
        <w:pageBreakBefore w:val="0"/>
        <w:widowControl/>
        <w:numPr>
          <w:ilvl w:val="0"/>
          <w:numId w:val="10"/>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★线路CE端口pingPE端口时延不大于10ms。使用端到端设备接口地址ping进行测试，ping 1000个大包检查：ping -a X.X.X.X -s 8100 -c 1000 X.X.X.X（-a后的X.X.X.X代表源地址，指本地接口地址；末尾的X.X.X.X代表目的地址，指本地接口对端的地址；-s 8100代表包字节大小，-c 代表ping包数量）。如线路在使用过程中发现时延恶化，供应商需要根据用户要求进行传输路由调整，优化线路时延。</w:t>
      </w:r>
    </w:p>
    <w:p>
      <w:pPr>
        <w:keepNext w:val="0"/>
        <w:keepLines w:val="0"/>
        <w:pageBreakBefore w:val="0"/>
        <w:widowControl/>
        <w:numPr>
          <w:ilvl w:val="0"/>
          <w:numId w:val="10"/>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★线路丢包率不得大于0.01%，比特误码率不得大于0.00001%，不得有错包。</w:t>
      </w:r>
    </w:p>
    <w:p>
      <w:pPr>
        <w:keepNext w:val="0"/>
        <w:keepLines w:val="0"/>
        <w:pageBreakBefore w:val="0"/>
        <w:widowControl/>
        <w:numPr>
          <w:ilvl w:val="0"/>
          <w:numId w:val="10"/>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★线路MTU值不得低于以甲方书面要求为准。</w:t>
      </w:r>
    </w:p>
    <w:p>
      <w:pPr>
        <w:keepNext w:val="0"/>
        <w:keepLines w:val="0"/>
        <w:pageBreakBefore w:val="0"/>
        <w:widowControl/>
        <w:numPr>
          <w:ilvl w:val="0"/>
          <w:numId w:val="10"/>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★线路需按照银联要求放通ICMP、OSPF、EIGRP、BGP、LLDP等协议。</w:t>
      </w:r>
    </w:p>
    <w:p>
      <w:pPr>
        <w:keepNext w:val="0"/>
        <w:keepLines w:val="0"/>
        <w:pageBreakBefore w:val="0"/>
        <w:widowControl/>
        <w:numPr>
          <w:ilvl w:val="0"/>
          <w:numId w:val="10"/>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★上述技术参数要求，供应商均需自查通过。</w:t>
      </w:r>
    </w:p>
    <w:p>
      <w:pPr>
        <w:keepNext w:val="0"/>
        <w:keepLines w:val="0"/>
        <w:pageBreakBefore w:val="0"/>
        <w:widowControl/>
        <w:numPr>
          <w:ilvl w:val="0"/>
          <w:numId w:val="10"/>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★提供故障报告和运行报告，线路中断触发罚则，供应商需在24小时内出具故障报告，说明故障原因。</w:t>
      </w:r>
    </w:p>
    <w:p>
      <w:pPr>
        <w:keepNext w:val="0"/>
        <w:keepLines w:val="0"/>
        <w:pageBreakBefore w:val="0"/>
        <w:widowControl/>
        <w:numPr>
          <w:ilvl w:val="0"/>
          <w:numId w:val="10"/>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★供应商需要负责将线路的末端布放至两端用户侧机房指定位置，如涉及到末端园区内的线缆布放协调问题，需要供应商负责解决。</w:t>
      </w:r>
    </w:p>
    <w:p>
      <w:pPr>
        <w:keepNext w:val="0"/>
        <w:keepLines w:val="0"/>
        <w:pageBreakBefore w:val="0"/>
        <w:widowControl/>
        <w:numPr>
          <w:ilvl w:val="0"/>
          <w:numId w:val="10"/>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★在收到中国银联升降速需求后，供应商需在1个工作日内将线路升速或者降速至目标带宽。</w:t>
      </w:r>
    </w:p>
    <w:p>
      <w:pPr>
        <w:pStyle w:val="4"/>
        <w:numPr>
          <w:ilvl w:val="0"/>
          <w:numId w:val="0"/>
        </w:numPr>
        <w:bidi w:val="0"/>
        <w:ind w:leftChars="0" w:firstLine="280" w:firstLineChars="1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 其他要求</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#供应商应提供技术支持服务方案，包括售后服务保障制度、运维服务体系、设备及备品备件管理、应急故障相应及修复、重要通讯保障等。</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针对本项目提供全国组网通信服务经验年限证明文件（需附合同首页、签字盖章页、合同签订时间与组网规模证明文件的复印件并加盖公章。合同签署方应为投标人主体（子公司与母公司不视为同一投标人主体））。</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#供应商应列出专线网络通信业务的覆盖范围，包括专线网络通信业务能覆盖到的省级行政区（不含港澳台）名称、数量及其中能覆盖到的地级行政区名称、数量（需提供证明材料）。</w:t>
      </w:r>
    </w:p>
    <w:p>
      <w:pPr>
        <w:pStyle w:val="2"/>
        <w:rPr>
          <w:rFonts w:hint="eastAsia" w:ascii="仿宋" w:hAnsi="仿宋" w:eastAsia="仿宋" w:cs="仿宋"/>
          <w:highlight w:val="none"/>
          <w:lang w:val="en-US" w:eastAsia="zh-CN"/>
        </w:rPr>
      </w:pPr>
    </w:p>
    <w:p>
      <w:pPr>
        <w:spacing w:line="560" w:lineRule="exact"/>
        <w:ind w:firstLine="321" w:firstLineChars="100"/>
        <w:jc w:val="left"/>
        <w:outlineLvl w:val="3"/>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3.商务要求</w:t>
      </w:r>
    </w:p>
    <w:p>
      <w:pPr>
        <w:pStyle w:val="4"/>
        <w:numPr>
          <w:ilvl w:val="0"/>
          <w:numId w:val="0"/>
        </w:numPr>
        <w:bidi w:val="0"/>
        <w:ind w:firstLine="280" w:firstLineChars="1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3.1交付地点及联系人</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各线路甲端交付地址如下，具体以甲方书面通知为准：</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上海地址1：上海市浦东新区顾唐路1699号2号楼</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上海地址2：上海市浦东新区日阪路91号</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上海地址3：上海市闵行区浦星公路699号</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北京地址1：北京市海淀区东北旺西路8号中关村软件园22号楼</w:t>
      </w:r>
    </w:p>
    <w:p>
      <w:pPr>
        <w:pStyle w:val="2"/>
        <w:keepNext w:val="0"/>
        <w:keepLines w:val="0"/>
        <w:pageBreakBefore w:val="0"/>
        <w:widowControl/>
        <w:shd w:val="clear"/>
        <w:kinsoku/>
        <w:wordWrap/>
        <w:overflowPunct/>
        <w:topLinePunct w:val="0"/>
        <w:autoSpaceDE/>
        <w:autoSpaceDN/>
        <w:bidi w:val="0"/>
        <w:adjustRightInd/>
        <w:snapToGrid/>
        <w:spacing w:after="0" w:afterLines="0" w:line="360" w:lineRule="auto"/>
        <w:ind w:firstLine="48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北京地址2：北京市海淀区丰慧中路11号安泰科技园C区B128楼</w:t>
      </w:r>
    </w:p>
    <w:p>
      <w:pPr>
        <w:pStyle w:val="4"/>
        <w:numPr>
          <w:ilvl w:val="0"/>
          <w:numId w:val="0"/>
        </w:numPr>
        <w:bidi w:val="0"/>
        <w:ind w:leftChars="0" w:firstLine="280" w:firstLineChars="1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w:t>
      </w:r>
      <w:r>
        <w:rPr>
          <w:rFonts w:hint="eastAsia" w:ascii="仿宋" w:hAnsi="仿宋" w:cs="仿宋"/>
          <w:highlight w:val="none"/>
          <w:lang w:val="en-US" w:eastAsia="zh-CN"/>
        </w:rPr>
        <w:t>2</w:t>
      </w:r>
      <w:r>
        <w:rPr>
          <w:rFonts w:hint="eastAsia" w:ascii="仿宋" w:hAnsi="仿宋" w:eastAsia="仿宋" w:cs="仿宋"/>
          <w:highlight w:val="none"/>
          <w:lang w:val="en-US" w:eastAsia="zh-CN"/>
        </w:rPr>
        <w:t>计费方式</w:t>
      </w:r>
    </w:p>
    <w:p>
      <w:pPr>
        <w:keepNext w:val="0"/>
        <w:keepLines w:val="0"/>
        <w:pageBreakBefore w:val="0"/>
        <w:widowControl/>
        <w:numPr>
          <w:ilvl w:val="0"/>
          <w:numId w:val="12"/>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乙方完成电路或服务（以下称为“服务”）实际开通后，在业务迁移完成前，如新签订线路和原线路为同一运营商，则取新签订线路和原线路月租费低值计费结算；如新签订线路和原线路为不同运营商，则新签订线路不收取月租费。计费日期以业务迁移完成、且双方书面确认的日期为准，原线路和新线路不可同时计费。</w:t>
      </w:r>
    </w:p>
    <w:p>
      <w:pPr>
        <w:keepNext w:val="0"/>
        <w:keepLines w:val="0"/>
        <w:pageBreakBefore w:val="0"/>
        <w:widowControl/>
        <w:numPr>
          <w:ilvl w:val="0"/>
          <w:numId w:val="12"/>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线路月租费按照银联要求配置带宽根据阶梯报价据实结算。</w:t>
      </w:r>
    </w:p>
    <w:p>
      <w:pPr>
        <w:keepNext w:val="0"/>
        <w:keepLines w:val="0"/>
        <w:pageBreakBefore w:val="0"/>
        <w:widowControl/>
        <w:numPr>
          <w:ilvl w:val="0"/>
          <w:numId w:val="12"/>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服务月服务费按自然月计（当月1日～当月最后一日），不足一个月的部分，每天按(月服务费×12)/365收取（或按照月租/当月实际天数*当月使用天数计算），不足24小时的按一天计算。</w:t>
      </w:r>
    </w:p>
    <w:p>
      <w:pPr>
        <w:keepNext w:val="0"/>
        <w:keepLines w:val="0"/>
        <w:pageBreakBefore w:val="0"/>
        <w:widowControl/>
        <w:numPr>
          <w:ilvl w:val="0"/>
          <w:numId w:val="12"/>
        </w:numPr>
        <w:shd w:val="clear"/>
        <w:kinsoku/>
        <w:wordWrap/>
        <w:overflowPunct/>
        <w:topLinePunct w:val="0"/>
        <w:autoSpaceDE/>
        <w:autoSpaceDN/>
        <w:bidi w:val="0"/>
        <w:adjustRightInd/>
        <w:snapToGrid/>
        <w:spacing w:line="500" w:lineRule="exact"/>
        <w:ind w:left="509" w:leftChars="4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在本合同有效期内，若政府部门进行资费标准调整，双方按新资费标准执行，其中，如调整后新资费标准高于现行标准，按本次报价执行；如调整后新资费标准低于现行标准，按本合同约定的折扣率*新资费标准执行。如今后乙方有权自主定价，双方可另行协商确定资费标准优惠事宜。</w:t>
      </w:r>
    </w:p>
    <w:p>
      <w:pPr>
        <w:pStyle w:val="4"/>
        <w:numPr>
          <w:ilvl w:val="0"/>
          <w:numId w:val="0"/>
        </w:numPr>
        <w:bidi w:val="0"/>
        <w:ind w:leftChars="0" w:firstLine="280" w:firstLineChars="1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w:t>
      </w:r>
      <w:r>
        <w:rPr>
          <w:rFonts w:hint="eastAsia" w:ascii="仿宋" w:hAnsi="仿宋" w:cs="仿宋"/>
          <w:highlight w:val="none"/>
          <w:lang w:val="en-US" w:eastAsia="zh-CN"/>
        </w:rPr>
        <w:t>3</w:t>
      </w:r>
      <w:r>
        <w:rPr>
          <w:rFonts w:hint="eastAsia" w:ascii="仿宋" w:hAnsi="仿宋" w:eastAsia="仿宋" w:cs="仿宋"/>
          <w:highlight w:val="none"/>
          <w:lang w:val="en-US" w:eastAsia="zh-CN"/>
        </w:rPr>
        <w:t>付款方式</w:t>
      </w:r>
    </w:p>
    <w:p>
      <w:pPr>
        <w:keepNext w:val="0"/>
        <w:keepLines w:val="0"/>
        <w:pageBreakBefore w:val="0"/>
        <w:widowControl/>
        <w:numPr>
          <w:ilvl w:val="-1"/>
          <w:numId w:val="0"/>
        </w:numPr>
        <w:shd w:val="clear"/>
        <w:kinsoku/>
        <w:wordWrap/>
        <w:overflowPunct/>
        <w:topLinePunct w:val="0"/>
        <w:autoSpaceDE/>
        <w:autoSpaceDN/>
        <w:bidi w:val="0"/>
        <w:adjustRightInd/>
        <w:snapToGrid/>
        <w:spacing w:line="500" w:lineRule="exact"/>
        <w:ind w:left="84" w:leftChars="4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合同签订且线路验收通过后，每满一个月，经甲方阶段验收合格，乙方于每自然月前</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个工作日内向甲方提供上月结算对账单，甲方在收到对账单后5个工作日内以书面形式对上月结算对账单进行核对，甲方核对无误后向乙方据实支付月服务费。乙方收款后5工作日内向甲方开具等额合法的增值税专用发票。如经甲方核对结算对账单与实际不符，甲方有权要求乙方重新开具。</w:t>
      </w:r>
    </w:p>
    <w:p>
      <w:pPr>
        <w:pStyle w:val="2"/>
        <w:rPr>
          <w:rFonts w:hint="eastAsia" w:ascii="仿宋" w:hAnsi="仿宋" w:eastAsia="仿宋" w:cs="仿宋"/>
          <w:highlight w:val="none"/>
          <w:lang w:val="en-US" w:eastAsia="zh-CN"/>
        </w:rPr>
      </w:pPr>
    </w:p>
    <w:p>
      <w:pPr>
        <w:spacing w:line="560" w:lineRule="exact"/>
        <w:ind w:firstLine="321" w:firstLineChars="100"/>
        <w:jc w:val="left"/>
        <w:outlineLvl w:val="3"/>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4.履约验收方案</w:t>
      </w:r>
    </w:p>
    <w:tbl>
      <w:tblPr>
        <w:tblStyle w:val="10"/>
        <w:tblW w:w="5085" w:type="pct"/>
        <w:tblInd w:w="0" w:type="dxa"/>
        <w:tblLayout w:type="autofit"/>
        <w:tblCellMar>
          <w:top w:w="0" w:type="dxa"/>
          <w:left w:w="108" w:type="dxa"/>
          <w:bottom w:w="0" w:type="dxa"/>
          <w:right w:w="108" w:type="dxa"/>
        </w:tblCellMar>
      </w:tblPr>
      <w:tblGrid>
        <w:gridCol w:w="1250"/>
        <w:gridCol w:w="7417"/>
      </w:tblGrid>
      <w:tr>
        <w:tblPrEx>
          <w:tblCellMar>
            <w:top w:w="0" w:type="dxa"/>
            <w:left w:w="108" w:type="dxa"/>
            <w:bottom w:w="0" w:type="dxa"/>
            <w:right w:w="108" w:type="dxa"/>
          </w:tblCellMar>
        </w:tblPrEx>
        <w:trPr>
          <w:trHeight w:val="480" w:hRule="atLeast"/>
        </w:trPr>
        <w:tc>
          <w:tcPr>
            <w:tcW w:w="50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履约验收方案</w:t>
            </w:r>
          </w:p>
        </w:tc>
      </w:tr>
      <w:tr>
        <w:tblPrEx>
          <w:tblCellMar>
            <w:top w:w="0" w:type="dxa"/>
            <w:left w:w="108" w:type="dxa"/>
            <w:bottom w:w="0" w:type="dxa"/>
            <w:right w:w="108" w:type="dxa"/>
          </w:tblCellMar>
        </w:tblPrEx>
        <w:trPr>
          <w:trHeight w:val="312" w:hRule="atLeast"/>
        </w:trPr>
        <w:tc>
          <w:tcPr>
            <w:tcW w:w="50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b/>
                <w:bCs/>
                <w:color w:val="000000"/>
                <w:sz w:val="24"/>
                <w:szCs w:val="24"/>
                <w:highlight w:val="none"/>
              </w:rPr>
            </w:pPr>
          </w:p>
        </w:tc>
      </w:tr>
      <w:tr>
        <w:tblPrEx>
          <w:tblCellMar>
            <w:top w:w="0" w:type="dxa"/>
            <w:left w:w="108" w:type="dxa"/>
            <w:bottom w:w="0" w:type="dxa"/>
            <w:right w:w="108" w:type="dxa"/>
          </w:tblCellMar>
        </w:tblPrEx>
        <w:trPr>
          <w:trHeight w:val="448"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验收主体</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甲方</w:t>
            </w:r>
          </w:p>
        </w:tc>
      </w:tr>
      <w:tr>
        <w:tblPrEx>
          <w:tblCellMar>
            <w:top w:w="0" w:type="dxa"/>
            <w:left w:w="108" w:type="dxa"/>
            <w:bottom w:w="0" w:type="dxa"/>
            <w:right w:w="108" w:type="dxa"/>
          </w:tblCellMar>
        </w:tblPrEx>
        <w:trPr>
          <w:trHeight w:val="50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验收方式</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分阶段验收</w:t>
            </w:r>
          </w:p>
        </w:tc>
      </w:tr>
      <w:tr>
        <w:tblPrEx>
          <w:tblCellMar>
            <w:top w:w="0" w:type="dxa"/>
            <w:left w:w="108" w:type="dxa"/>
            <w:bottom w:w="0" w:type="dxa"/>
            <w:right w:w="108" w:type="dxa"/>
          </w:tblCellMar>
        </w:tblPrEx>
        <w:trPr>
          <w:trHeight w:val="184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验收方法</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both"/>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线路开通</w:t>
            </w:r>
            <w:r>
              <w:rPr>
                <w:rFonts w:hint="eastAsia" w:ascii="仿宋" w:hAnsi="仿宋" w:eastAsia="仿宋" w:cs="仿宋"/>
                <w:sz w:val="24"/>
                <w:szCs w:val="24"/>
                <w:highlight w:val="none"/>
              </w:rPr>
              <w:t>验收:乙方线路开通施工完成后5个工作日内，乙方提供线路的完工证明及测试报告。甲方核实线路的完工情况和测试报告，如符合订单技术要求和国家有关电信业务规定，双方签署线路验收报告。线路验收报告签署之日作为实际线路开通之日。</w:t>
            </w:r>
          </w:p>
          <w:p>
            <w:pPr>
              <w:widowControl/>
              <w:shd w:val="clear"/>
              <w:jc w:val="both"/>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阶段验收：</w:t>
            </w:r>
            <w:r>
              <w:rPr>
                <w:rFonts w:hint="eastAsia" w:ascii="仿宋" w:hAnsi="仿宋" w:eastAsia="仿宋" w:cs="仿宋"/>
                <w:sz w:val="24"/>
                <w:szCs w:val="24"/>
                <w:highlight w:val="none"/>
              </w:rPr>
              <w:t>实际线路开通</w:t>
            </w:r>
            <w:r>
              <w:rPr>
                <w:rFonts w:hint="eastAsia" w:ascii="仿宋" w:hAnsi="仿宋" w:eastAsia="仿宋" w:cs="仿宋"/>
                <w:sz w:val="24"/>
                <w:szCs w:val="24"/>
                <w:highlight w:val="none"/>
                <w:lang w:val="en-US" w:eastAsia="zh-CN"/>
              </w:rPr>
              <w:t>后，</w:t>
            </w:r>
            <w:r>
              <w:rPr>
                <w:rFonts w:hint="eastAsia" w:ascii="仿宋" w:hAnsi="仿宋" w:eastAsia="仿宋" w:cs="仿宋"/>
                <w:bCs/>
                <w:sz w:val="24"/>
                <w:szCs w:val="24"/>
                <w:highlight w:val="none"/>
                <w:lang w:val="en-US" w:eastAsia="zh-CN"/>
              </w:rPr>
              <w:t>乙方需保证其提供给甲方使用的线路可用率符合甲方订单要求，并每月向甲方提供线路</w:t>
            </w:r>
            <w:r>
              <w:rPr>
                <w:rFonts w:hint="eastAsia" w:ascii="仿宋" w:hAnsi="仿宋" w:eastAsia="仿宋" w:cs="仿宋"/>
                <w:bCs/>
                <w:highlight w:val="none"/>
              </w:rPr>
              <w:t>运行分析报告、结算内容</w:t>
            </w:r>
            <w:r>
              <w:rPr>
                <w:rFonts w:hint="eastAsia" w:ascii="仿宋" w:hAnsi="仿宋" w:eastAsia="仿宋" w:cs="仿宋"/>
                <w:bCs/>
                <w:sz w:val="24"/>
                <w:szCs w:val="24"/>
                <w:highlight w:val="none"/>
                <w:lang w:val="en-US" w:eastAsia="zh-CN"/>
              </w:rPr>
              <w:t>等，</w:t>
            </w:r>
            <w:r>
              <w:rPr>
                <w:rFonts w:hint="eastAsia" w:ascii="仿宋" w:hAnsi="仿宋" w:eastAsia="仿宋" w:cs="仿宋"/>
                <w:sz w:val="24"/>
                <w:szCs w:val="24"/>
                <w:highlight w:val="none"/>
                <w:lang w:val="en-US" w:eastAsia="zh-CN"/>
              </w:rPr>
              <w:t>甲方确认线路运行正常，</w:t>
            </w:r>
            <w:r>
              <w:rPr>
                <w:rFonts w:hint="eastAsia" w:ascii="仿宋" w:hAnsi="仿宋" w:eastAsia="仿宋" w:cs="仿宋"/>
                <w:color w:val="000000"/>
                <w:kern w:val="0"/>
                <w:sz w:val="24"/>
                <w:szCs w:val="24"/>
                <w:highlight w:val="none"/>
                <w:lang w:bidi="ar"/>
              </w:rPr>
              <w:t>服务符合甲方要求</w:t>
            </w:r>
            <w:r>
              <w:rPr>
                <w:rFonts w:hint="eastAsia" w:ascii="仿宋" w:hAnsi="仿宋" w:eastAsia="仿宋" w:cs="仿宋"/>
                <w:color w:val="000000"/>
                <w:kern w:val="0"/>
                <w:sz w:val="24"/>
                <w:szCs w:val="24"/>
                <w:highlight w:val="none"/>
                <w:lang w:val="en-US" w:eastAsia="zh-CN" w:bidi="ar"/>
              </w:rPr>
              <w:t>经验收通过后据实支付款项。</w:t>
            </w:r>
          </w:p>
        </w:tc>
      </w:tr>
      <w:tr>
        <w:tblPrEx>
          <w:tblCellMar>
            <w:top w:w="0" w:type="dxa"/>
            <w:left w:w="108" w:type="dxa"/>
            <w:bottom w:w="0" w:type="dxa"/>
            <w:right w:w="108" w:type="dxa"/>
          </w:tblCellMar>
        </w:tblPrEx>
        <w:trPr>
          <w:trHeight w:val="35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验收时间</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线路</w:t>
            </w:r>
            <w:r>
              <w:rPr>
                <w:rFonts w:hint="eastAsia" w:ascii="仿宋" w:hAnsi="仿宋" w:eastAsia="仿宋" w:cs="仿宋"/>
                <w:sz w:val="24"/>
                <w:szCs w:val="24"/>
                <w:highlight w:val="none"/>
                <w:lang w:val="en-US" w:eastAsia="zh-CN"/>
              </w:rPr>
              <w:t>开通</w:t>
            </w:r>
            <w:r>
              <w:rPr>
                <w:rFonts w:hint="eastAsia" w:ascii="仿宋" w:hAnsi="仿宋" w:eastAsia="仿宋" w:cs="仿宋"/>
                <w:sz w:val="24"/>
                <w:szCs w:val="24"/>
                <w:highlight w:val="none"/>
              </w:rPr>
              <w:t>验收:线路开通施工完成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甲方在线路开通工作单上签字或甲方对线路质量提出异议且协商整改完成后的10</w:t>
            </w:r>
            <w:r>
              <w:rPr>
                <w:rFonts w:hint="eastAsia" w:ascii="仿宋" w:hAnsi="仿宋" w:eastAsia="仿宋" w:cs="仿宋"/>
                <w:sz w:val="24"/>
                <w:szCs w:val="24"/>
                <w:highlight w:val="none"/>
              </w:rPr>
              <w:t>个工作日内</w:t>
            </w:r>
            <w:r>
              <w:rPr>
                <w:rFonts w:hint="eastAsia" w:ascii="仿宋" w:hAnsi="仿宋" w:eastAsia="仿宋" w:cs="仿宋"/>
                <w:sz w:val="24"/>
                <w:szCs w:val="24"/>
                <w:highlight w:val="none"/>
                <w:lang w:eastAsia="zh-CN"/>
              </w:rPr>
              <w:t>。</w:t>
            </w:r>
          </w:p>
          <w:p>
            <w:pPr>
              <w:widowControl/>
              <w:shd w:val="clear"/>
              <w:jc w:val="both"/>
              <w:textAlignment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阶段验收：</w:t>
            </w:r>
            <w:r>
              <w:rPr>
                <w:rFonts w:hint="eastAsia" w:ascii="仿宋" w:hAnsi="仿宋" w:eastAsia="仿宋" w:cs="仿宋"/>
                <w:sz w:val="24"/>
                <w:szCs w:val="24"/>
                <w:highlight w:val="none"/>
              </w:rPr>
              <w:t>实际线路开通</w:t>
            </w:r>
            <w:r>
              <w:rPr>
                <w:rFonts w:hint="eastAsia" w:ascii="仿宋" w:hAnsi="仿宋" w:eastAsia="仿宋" w:cs="仿宋"/>
                <w:sz w:val="24"/>
                <w:szCs w:val="24"/>
                <w:highlight w:val="none"/>
                <w:lang w:val="en-US" w:eastAsia="zh-CN"/>
              </w:rPr>
              <w:t>后，每经过一个月的10</w:t>
            </w:r>
            <w:r>
              <w:rPr>
                <w:rFonts w:hint="eastAsia" w:ascii="仿宋" w:hAnsi="仿宋" w:eastAsia="仿宋" w:cs="仿宋"/>
                <w:sz w:val="24"/>
                <w:szCs w:val="24"/>
                <w:highlight w:val="none"/>
              </w:rPr>
              <w:t>个工作日内</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58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验收地点</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中国银联信息总中心（上海、北京两中心）：</w:t>
            </w:r>
          </w:p>
          <w:p>
            <w:pPr>
              <w:widowControl/>
              <w:shd w:val="clear"/>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上海地址1：上海市浦东新区顾唐路1699号2号楼</w:t>
            </w:r>
          </w:p>
          <w:p>
            <w:pPr>
              <w:widowControl/>
              <w:shd w:val="clear"/>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上海地址2：上海市浦东新区日阪路91号</w:t>
            </w:r>
          </w:p>
          <w:p>
            <w:pPr>
              <w:widowControl/>
              <w:shd w:val="clear"/>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上海地址3：上海市闵行区浦星公路699号</w:t>
            </w:r>
          </w:p>
          <w:p>
            <w:pPr>
              <w:widowControl/>
              <w:shd w:val="clear"/>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北京地址1：北京市海淀区东北旺西路8号中关村软件园22号楼</w:t>
            </w:r>
          </w:p>
          <w:p>
            <w:pPr>
              <w:widowControl/>
              <w:shd w:val="clear"/>
              <w:jc w:val="left"/>
              <w:textAlignment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lang w:val="en-US" w:eastAsia="zh-CN"/>
              </w:rPr>
              <w:t>北京地址2：北京市海淀区丰慧中路11号安泰科技园C区B128楼</w:t>
            </w:r>
          </w:p>
        </w:tc>
      </w:tr>
      <w:tr>
        <w:tblPrEx>
          <w:tblCellMar>
            <w:top w:w="0" w:type="dxa"/>
            <w:left w:w="108" w:type="dxa"/>
            <w:bottom w:w="0" w:type="dxa"/>
            <w:right w:w="108" w:type="dxa"/>
          </w:tblCellMar>
        </w:tblPrEx>
        <w:trPr>
          <w:trHeight w:val="535"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验收内容</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hd w:val="clear"/>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线路的完工情况</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测试报告，符合</w:t>
            </w:r>
            <w:r>
              <w:rPr>
                <w:rFonts w:hint="eastAsia" w:ascii="仿宋" w:hAnsi="仿宋" w:eastAsia="仿宋" w:cs="仿宋"/>
                <w:sz w:val="24"/>
                <w:szCs w:val="24"/>
                <w:highlight w:val="none"/>
                <w:lang w:val="en-US" w:eastAsia="zh-CN"/>
              </w:rPr>
              <w:t>合同约定的</w:t>
            </w:r>
            <w:r>
              <w:rPr>
                <w:rFonts w:hint="eastAsia" w:ascii="仿宋" w:hAnsi="仿宋" w:eastAsia="仿宋" w:cs="仿宋"/>
                <w:sz w:val="24"/>
                <w:szCs w:val="24"/>
                <w:highlight w:val="none"/>
              </w:rPr>
              <w:t>技术要求和国家有关电信业务规定。</w:t>
            </w:r>
          </w:p>
          <w:p>
            <w:pPr>
              <w:widowControl/>
              <w:numPr>
                <w:ilvl w:val="0"/>
                <w:numId w:val="0"/>
              </w:numPr>
              <w:shd w:val="clear"/>
              <w:jc w:val="left"/>
              <w:textAlignment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highlight w:val="none"/>
              </w:rPr>
              <w:t>每个付款周期内运营商通讯线路租赁服务情况</w:t>
            </w:r>
            <w:r>
              <w:rPr>
                <w:rFonts w:hint="eastAsia" w:ascii="仿宋" w:hAnsi="仿宋" w:eastAsia="仿宋" w:cs="仿宋"/>
                <w:highlight w:val="none"/>
                <w:lang w:eastAsia="zh-CN"/>
              </w:rPr>
              <w:t>，</w:t>
            </w:r>
            <w:r>
              <w:rPr>
                <w:rFonts w:hint="eastAsia" w:ascii="仿宋" w:hAnsi="仿宋" w:eastAsia="仿宋" w:cs="仿宋"/>
                <w:sz w:val="24"/>
                <w:szCs w:val="24"/>
                <w:highlight w:val="none"/>
                <w:lang w:val="en-US" w:eastAsia="zh-CN"/>
              </w:rPr>
              <w:t>包括但不限于：</w:t>
            </w:r>
            <w:r>
              <w:rPr>
                <w:rFonts w:hint="eastAsia" w:ascii="仿宋" w:hAnsi="仿宋" w:eastAsia="仿宋" w:cs="仿宋"/>
                <w:highlight w:val="none"/>
              </w:rPr>
              <w:t>1、服务支持及运维人员配置情况；2、运营商通讯线路运行情况；3、运营商通讯网络健康度自查情况；</w:t>
            </w:r>
            <w:r>
              <w:rPr>
                <w:rFonts w:hint="eastAsia" w:ascii="仿宋" w:hAnsi="仿宋" w:eastAsia="仿宋" w:cs="仿宋"/>
                <w:highlight w:val="none"/>
                <w:lang w:val="en-US" w:eastAsia="zh-CN"/>
              </w:rPr>
              <w:t>4.</w:t>
            </w:r>
            <w:r>
              <w:rPr>
                <w:rFonts w:hint="eastAsia" w:ascii="仿宋" w:hAnsi="仿宋" w:eastAsia="仿宋" w:cs="仿宋"/>
                <w:highlight w:val="none"/>
              </w:rPr>
              <w:t>运营商通讯线路清单。</w:t>
            </w:r>
          </w:p>
        </w:tc>
      </w:tr>
      <w:tr>
        <w:tblPrEx>
          <w:tblCellMar>
            <w:top w:w="0" w:type="dxa"/>
            <w:left w:w="108" w:type="dxa"/>
            <w:bottom w:w="0" w:type="dxa"/>
            <w:right w:w="108" w:type="dxa"/>
          </w:tblCellMar>
        </w:tblPrEx>
        <w:trPr>
          <w:trHeight w:val="282"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验收标准</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线路的各项属性符合合同中约定线路标准，</w:t>
            </w:r>
            <w:r>
              <w:rPr>
                <w:rFonts w:hint="eastAsia" w:ascii="仿宋" w:hAnsi="仿宋" w:eastAsia="仿宋" w:cs="仿宋"/>
                <w:color w:val="000000"/>
                <w:highlight w:val="none"/>
                <w:lang w:bidi="ar"/>
              </w:rPr>
              <w:t>服务内容及SLA满足合同实际要求，异常情况均按合同执行</w:t>
            </w:r>
            <w:r>
              <w:rPr>
                <w:rFonts w:hint="eastAsia" w:ascii="仿宋" w:hAnsi="仿宋" w:eastAsia="仿宋" w:cs="仿宋"/>
                <w:color w:val="000000"/>
                <w:kern w:val="0"/>
                <w:sz w:val="24"/>
                <w:szCs w:val="24"/>
                <w:highlight w:val="none"/>
                <w:lang w:bidi="ar"/>
              </w:rPr>
              <w:t>。</w:t>
            </w:r>
            <w:r>
              <w:rPr>
                <w:rFonts w:hint="eastAsia" w:ascii="仿宋" w:hAnsi="仿宋" w:eastAsia="仿宋" w:cs="仿宋"/>
                <w:sz w:val="24"/>
                <w:szCs w:val="24"/>
                <w:highlight w:val="none"/>
              </w:rPr>
              <w:t>以甲方书面确认合格为验收通过标准。</w:t>
            </w:r>
          </w:p>
        </w:tc>
      </w:tr>
      <w:tr>
        <w:tblPrEx>
          <w:tblCellMar>
            <w:top w:w="0" w:type="dxa"/>
            <w:left w:w="108" w:type="dxa"/>
            <w:bottom w:w="0" w:type="dxa"/>
            <w:right w:w="108" w:type="dxa"/>
          </w:tblCellMar>
        </w:tblPrEx>
        <w:trPr>
          <w:trHeight w:val="90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其他事项</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highlight w:val="none"/>
              </w:rPr>
            </w:pPr>
            <w:r>
              <w:rPr>
                <w:rStyle w:val="15"/>
                <w:rFonts w:hint="eastAsia" w:ascii="仿宋" w:hAnsi="仿宋" w:eastAsia="仿宋" w:cs="仿宋"/>
                <w:sz w:val="24"/>
                <w:szCs w:val="24"/>
                <w:highlight w:val="none"/>
                <w:lang w:bidi="ar"/>
              </w:rPr>
              <w:t>验收报告的签署不免除乙方本合同项下的保证责任和相关义务。</w:t>
            </w:r>
            <w:r>
              <w:rPr>
                <w:rStyle w:val="19"/>
                <w:rFonts w:hint="eastAsia" w:ascii="仿宋" w:hAnsi="仿宋" w:eastAsia="仿宋" w:cs="仿宋"/>
                <w:sz w:val="24"/>
                <w:szCs w:val="24"/>
                <w:highlight w:val="none"/>
                <w:lang w:bidi="ar"/>
              </w:rPr>
              <w:t xml:space="preserve">      </w:t>
            </w:r>
          </w:p>
        </w:tc>
      </w:tr>
    </w:tbl>
    <w:p>
      <w:pPr>
        <w:spacing w:line="360" w:lineRule="auto"/>
        <w:ind w:firstLine="640" w:firstLineChars="200"/>
        <w:outlineLvl w:val="4"/>
        <w:rPr>
          <w:rFonts w:hint="eastAsia" w:ascii="仿宋" w:hAnsi="仿宋" w:eastAsia="仿宋" w:cs="仿宋"/>
          <w:iCs/>
          <w:sz w:val="32"/>
          <w:szCs w:val="32"/>
          <w:highlight w:val="none"/>
        </w:rPr>
      </w:pPr>
    </w:p>
    <w:p>
      <w:pPr>
        <w:spacing w:line="360" w:lineRule="auto"/>
        <w:ind w:firstLine="640" w:firstLineChars="200"/>
        <w:outlineLvl w:val="9"/>
        <w:rPr>
          <w:rFonts w:hint="eastAsia" w:ascii="仿宋" w:hAnsi="仿宋" w:eastAsia="仿宋" w:cs="仿宋"/>
          <w:iCs/>
          <w:sz w:val="32"/>
          <w:szCs w:val="32"/>
          <w:highlight w:val="none"/>
        </w:rPr>
      </w:pPr>
    </w:p>
    <w:p>
      <w:pPr>
        <w:pStyle w:val="7"/>
        <w:rPr>
          <w:rFonts w:hint="eastAsia" w:ascii="仿宋" w:hAnsi="仿宋" w:eastAsia="仿宋" w:cs="仿宋"/>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eastAsia="宋体" w:cs="Times New Roman"/>
        <w:sz w:val="28"/>
        <w:szCs w:val="28"/>
        <w:lang w:val="zh-CN"/>
      </w:rPr>
    </w:pPr>
    <w:r>
      <w:rPr>
        <w:sz w:val="2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10EDF"/>
    <w:multiLevelType w:val="singleLevel"/>
    <w:tmpl w:val="9B710EDF"/>
    <w:lvl w:ilvl="0" w:tentative="0">
      <w:start w:val="1"/>
      <w:numFmt w:val="chineseCounting"/>
      <w:suff w:val="nothing"/>
      <w:lvlText w:val="（%1）"/>
      <w:lvlJc w:val="left"/>
      <w:rPr>
        <w:rFonts w:hint="eastAsia"/>
      </w:rPr>
    </w:lvl>
  </w:abstractNum>
  <w:abstractNum w:abstractNumId="1">
    <w:nsid w:val="9C396576"/>
    <w:multiLevelType w:val="singleLevel"/>
    <w:tmpl w:val="9C396576"/>
    <w:lvl w:ilvl="0" w:tentative="0">
      <w:start w:val="1"/>
      <w:numFmt w:val="decimal"/>
      <w:lvlText w:val="(%1)"/>
      <w:lvlJc w:val="left"/>
      <w:pPr>
        <w:ind w:left="425" w:hanging="425"/>
      </w:pPr>
      <w:rPr>
        <w:rFonts w:hint="default"/>
      </w:rPr>
    </w:lvl>
  </w:abstractNum>
  <w:abstractNum w:abstractNumId="2">
    <w:nsid w:val="BEDD6053"/>
    <w:multiLevelType w:val="singleLevel"/>
    <w:tmpl w:val="BEDD6053"/>
    <w:lvl w:ilvl="0" w:tentative="0">
      <w:start w:val="1"/>
      <w:numFmt w:val="decimal"/>
      <w:lvlText w:val="(%1)"/>
      <w:lvlJc w:val="left"/>
      <w:pPr>
        <w:ind w:left="425" w:hanging="425"/>
      </w:pPr>
      <w:rPr>
        <w:rFonts w:hint="default"/>
      </w:rPr>
    </w:lvl>
  </w:abstractNum>
  <w:abstractNum w:abstractNumId="3">
    <w:nsid w:val="E6A2D21C"/>
    <w:multiLevelType w:val="singleLevel"/>
    <w:tmpl w:val="E6A2D21C"/>
    <w:lvl w:ilvl="0" w:tentative="0">
      <w:start w:val="1"/>
      <w:numFmt w:val="decimal"/>
      <w:lvlText w:val="(%1)"/>
      <w:lvlJc w:val="left"/>
      <w:pPr>
        <w:ind w:left="425" w:hanging="425"/>
      </w:pPr>
      <w:rPr>
        <w:rFonts w:hint="default"/>
      </w:rPr>
    </w:lvl>
  </w:abstractNum>
  <w:abstractNum w:abstractNumId="4">
    <w:nsid w:val="E8908423"/>
    <w:multiLevelType w:val="singleLevel"/>
    <w:tmpl w:val="E8908423"/>
    <w:lvl w:ilvl="0" w:tentative="0">
      <w:start w:val="1"/>
      <w:numFmt w:val="decimal"/>
      <w:lvlText w:val="(%1)"/>
      <w:lvlJc w:val="left"/>
      <w:pPr>
        <w:ind w:left="425" w:hanging="425"/>
      </w:pPr>
      <w:rPr>
        <w:rFonts w:hint="default"/>
      </w:rPr>
    </w:lvl>
  </w:abstractNum>
  <w:abstractNum w:abstractNumId="5">
    <w:nsid w:val="EA7F783A"/>
    <w:multiLevelType w:val="singleLevel"/>
    <w:tmpl w:val="EA7F783A"/>
    <w:lvl w:ilvl="0" w:tentative="0">
      <w:start w:val="1"/>
      <w:numFmt w:val="decimal"/>
      <w:lvlText w:val="(%1)"/>
      <w:lvlJc w:val="left"/>
      <w:pPr>
        <w:ind w:left="425" w:hanging="425"/>
      </w:pPr>
      <w:rPr>
        <w:rFonts w:hint="default"/>
      </w:rPr>
    </w:lvl>
  </w:abstractNum>
  <w:abstractNum w:abstractNumId="6">
    <w:nsid w:val="2BA97B52"/>
    <w:multiLevelType w:val="singleLevel"/>
    <w:tmpl w:val="2BA97B52"/>
    <w:lvl w:ilvl="0" w:tentative="0">
      <w:start w:val="1"/>
      <w:numFmt w:val="decimal"/>
      <w:lvlText w:val="(%1)"/>
      <w:lvlJc w:val="left"/>
      <w:pPr>
        <w:ind w:left="425" w:hanging="425"/>
      </w:pPr>
      <w:rPr>
        <w:rFonts w:hint="default"/>
      </w:rPr>
    </w:lvl>
  </w:abstractNum>
  <w:abstractNum w:abstractNumId="7">
    <w:nsid w:val="3C3C7FA0"/>
    <w:multiLevelType w:val="singleLevel"/>
    <w:tmpl w:val="3C3C7FA0"/>
    <w:lvl w:ilvl="0" w:tentative="0">
      <w:start w:val="1"/>
      <w:numFmt w:val="decimal"/>
      <w:lvlText w:val="(%1)"/>
      <w:lvlJc w:val="left"/>
      <w:pPr>
        <w:ind w:left="425" w:hanging="425"/>
      </w:pPr>
      <w:rPr>
        <w:rFonts w:hint="default"/>
      </w:rPr>
    </w:lvl>
  </w:abstractNum>
  <w:abstractNum w:abstractNumId="8">
    <w:nsid w:val="45004571"/>
    <w:multiLevelType w:val="singleLevel"/>
    <w:tmpl w:val="45004571"/>
    <w:lvl w:ilvl="0" w:tentative="0">
      <w:start w:val="1"/>
      <w:numFmt w:val="decimal"/>
      <w:lvlText w:val="(%1)"/>
      <w:lvlJc w:val="left"/>
      <w:pPr>
        <w:ind w:left="425" w:hanging="425"/>
      </w:pPr>
      <w:rPr>
        <w:rFonts w:hint="default"/>
      </w:rPr>
    </w:lvl>
  </w:abstractNum>
  <w:abstractNum w:abstractNumId="9">
    <w:nsid w:val="585F7DF5"/>
    <w:multiLevelType w:val="multilevel"/>
    <w:tmpl w:val="585F7DF5"/>
    <w:lvl w:ilvl="0" w:tentative="0">
      <w:start w:val="1"/>
      <w:numFmt w:val="bullet"/>
      <w:pStyle w:val="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F094A67"/>
    <w:multiLevelType w:val="singleLevel"/>
    <w:tmpl w:val="5F094A67"/>
    <w:lvl w:ilvl="0" w:tentative="0">
      <w:start w:val="1"/>
      <w:numFmt w:val="decimal"/>
      <w:lvlText w:val="(%1)"/>
      <w:lvlJc w:val="left"/>
      <w:pPr>
        <w:ind w:left="425" w:hanging="425"/>
      </w:pPr>
      <w:rPr>
        <w:rFonts w:hint="default"/>
      </w:rPr>
    </w:lvl>
  </w:abstractNum>
  <w:abstractNum w:abstractNumId="11">
    <w:nsid w:val="7597D53B"/>
    <w:multiLevelType w:val="singleLevel"/>
    <w:tmpl w:val="7597D53B"/>
    <w:lvl w:ilvl="0" w:tentative="0">
      <w:start w:val="1"/>
      <w:numFmt w:val="decimal"/>
      <w:lvlText w:val="(%1)"/>
      <w:lvlJc w:val="left"/>
      <w:pPr>
        <w:ind w:left="425" w:hanging="425"/>
      </w:pPr>
      <w:rPr>
        <w:rFonts w:hint="default"/>
      </w:rPr>
    </w:lvl>
  </w:abstractNum>
  <w:num w:numId="1">
    <w:abstractNumId w:val="9"/>
  </w:num>
  <w:num w:numId="2">
    <w:abstractNumId w:val="0"/>
  </w:num>
  <w:num w:numId="3">
    <w:abstractNumId w:val="6"/>
  </w:num>
  <w:num w:numId="4">
    <w:abstractNumId w:val="8"/>
  </w:num>
  <w:num w:numId="5">
    <w:abstractNumId w:val="1"/>
  </w:num>
  <w:num w:numId="6">
    <w:abstractNumId w:val="7"/>
  </w:num>
  <w:num w:numId="7">
    <w:abstractNumId w:val="2"/>
  </w:num>
  <w:num w:numId="8">
    <w:abstractNumId w:val="4"/>
  </w:num>
  <w:num w:numId="9">
    <w:abstractNumId w:val="5"/>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E594F"/>
    <w:rsid w:val="00026EB3"/>
    <w:rsid w:val="000C62E4"/>
    <w:rsid w:val="00121EBA"/>
    <w:rsid w:val="00185E12"/>
    <w:rsid w:val="003D74D2"/>
    <w:rsid w:val="004C11D3"/>
    <w:rsid w:val="006F4D4D"/>
    <w:rsid w:val="008426BB"/>
    <w:rsid w:val="00890649"/>
    <w:rsid w:val="008A3CE5"/>
    <w:rsid w:val="00A34851"/>
    <w:rsid w:val="00A65B5E"/>
    <w:rsid w:val="00D267F0"/>
    <w:rsid w:val="00D4652D"/>
    <w:rsid w:val="00DC2B54"/>
    <w:rsid w:val="01431D21"/>
    <w:rsid w:val="017E2C5D"/>
    <w:rsid w:val="01B81797"/>
    <w:rsid w:val="01D4135C"/>
    <w:rsid w:val="01E33E38"/>
    <w:rsid w:val="02166823"/>
    <w:rsid w:val="024E042C"/>
    <w:rsid w:val="03142861"/>
    <w:rsid w:val="034B4047"/>
    <w:rsid w:val="03D620DE"/>
    <w:rsid w:val="03DF1692"/>
    <w:rsid w:val="03E001E7"/>
    <w:rsid w:val="04363FBF"/>
    <w:rsid w:val="04481B85"/>
    <w:rsid w:val="0462603D"/>
    <w:rsid w:val="04667A33"/>
    <w:rsid w:val="052D1FC1"/>
    <w:rsid w:val="052E40AF"/>
    <w:rsid w:val="05790044"/>
    <w:rsid w:val="059505A0"/>
    <w:rsid w:val="05E97842"/>
    <w:rsid w:val="06147D00"/>
    <w:rsid w:val="062A1AAD"/>
    <w:rsid w:val="064D5914"/>
    <w:rsid w:val="06823565"/>
    <w:rsid w:val="06864813"/>
    <w:rsid w:val="069C6C8A"/>
    <w:rsid w:val="06A14569"/>
    <w:rsid w:val="06F16AC5"/>
    <w:rsid w:val="0732056E"/>
    <w:rsid w:val="075C299E"/>
    <w:rsid w:val="076161D1"/>
    <w:rsid w:val="077839BB"/>
    <w:rsid w:val="07967614"/>
    <w:rsid w:val="07CB3114"/>
    <w:rsid w:val="08006CF6"/>
    <w:rsid w:val="08372AA0"/>
    <w:rsid w:val="085849D9"/>
    <w:rsid w:val="085C1BEE"/>
    <w:rsid w:val="086D6B98"/>
    <w:rsid w:val="08786EEC"/>
    <w:rsid w:val="08903721"/>
    <w:rsid w:val="093963AA"/>
    <w:rsid w:val="09B76E89"/>
    <w:rsid w:val="09B82240"/>
    <w:rsid w:val="09B82702"/>
    <w:rsid w:val="09C40C6D"/>
    <w:rsid w:val="09DA5D4B"/>
    <w:rsid w:val="0A2E381F"/>
    <w:rsid w:val="0B0C41E8"/>
    <w:rsid w:val="0B260D3B"/>
    <w:rsid w:val="0B7619E0"/>
    <w:rsid w:val="0BA72051"/>
    <w:rsid w:val="0BBF2515"/>
    <w:rsid w:val="0BDC0420"/>
    <w:rsid w:val="0BFD11DB"/>
    <w:rsid w:val="0C3D5924"/>
    <w:rsid w:val="0C464B3C"/>
    <w:rsid w:val="0C4F3AE0"/>
    <w:rsid w:val="0C547B97"/>
    <w:rsid w:val="0CA7290D"/>
    <w:rsid w:val="0CD2365A"/>
    <w:rsid w:val="0D723C7E"/>
    <w:rsid w:val="0DFA2B6F"/>
    <w:rsid w:val="0E5D21F2"/>
    <w:rsid w:val="0EB507E4"/>
    <w:rsid w:val="0ED256DB"/>
    <w:rsid w:val="0F030EBD"/>
    <w:rsid w:val="0FB10E78"/>
    <w:rsid w:val="0FB83C44"/>
    <w:rsid w:val="10496DBE"/>
    <w:rsid w:val="105C0F69"/>
    <w:rsid w:val="10B34A66"/>
    <w:rsid w:val="10D16863"/>
    <w:rsid w:val="10DC677F"/>
    <w:rsid w:val="10E74752"/>
    <w:rsid w:val="112B2022"/>
    <w:rsid w:val="11752B7D"/>
    <w:rsid w:val="11A506C8"/>
    <w:rsid w:val="11E40BF0"/>
    <w:rsid w:val="11E95A57"/>
    <w:rsid w:val="11EC2756"/>
    <w:rsid w:val="123062BB"/>
    <w:rsid w:val="12494D87"/>
    <w:rsid w:val="12643464"/>
    <w:rsid w:val="128C5329"/>
    <w:rsid w:val="12B92154"/>
    <w:rsid w:val="130013A5"/>
    <w:rsid w:val="131E2E20"/>
    <w:rsid w:val="136354EA"/>
    <w:rsid w:val="137D5079"/>
    <w:rsid w:val="139E72E4"/>
    <w:rsid w:val="13BF7656"/>
    <w:rsid w:val="13E67435"/>
    <w:rsid w:val="141D1E8C"/>
    <w:rsid w:val="1424170C"/>
    <w:rsid w:val="146D032F"/>
    <w:rsid w:val="14A33FA8"/>
    <w:rsid w:val="14C241AE"/>
    <w:rsid w:val="14C81BB8"/>
    <w:rsid w:val="1523712B"/>
    <w:rsid w:val="15381FC9"/>
    <w:rsid w:val="15747421"/>
    <w:rsid w:val="157F70F0"/>
    <w:rsid w:val="160C41FD"/>
    <w:rsid w:val="1610218E"/>
    <w:rsid w:val="161C17D1"/>
    <w:rsid w:val="16361726"/>
    <w:rsid w:val="16523819"/>
    <w:rsid w:val="16877571"/>
    <w:rsid w:val="16E8400B"/>
    <w:rsid w:val="170834AC"/>
    <w:rsid w:val="172A351A"/>
    <w:rsid w:val="17317E03"/>
    <w:rsid w:val="17A253E2"/>
    <w:rsid w:val="17BC3018"/>
    <w:rsid w:val="17CB280E"/>
    <w:rsid w:val="184A5169"/>
    <w:rsid w:val="1882366E"/>
    <w:rsid w:val="18AA3CB4"/>
    <w:rsid w:val="18F03567"/>
    <w:rsid w:val="199353A0"/>
    <w:rsid w:val="19936974"/>
    <w:rsid w:val="199F268D"/>
    <w:rsid w:val="19A1703D"/>
    <w:rsid w:val="19CA61B7"/>
    <w:rsid w:val="19EE4B1E"/>
    <w:rsid w:val="1A22523D"/>
    <w:rsid w:val="1A4646AB"/>
    <w:rsid w:val="1A4969AD"/>
    <w:rsid w:val="1A787FEF"/>
    <w:rsid w:val="1A945698"/>
    <w:rsid w:val="1AD2428E"/>
    <w:rsid w:val="1B0167A6"/>
    <w:rsid w:val="1B2212A2"/>
    <w:rsid w:val="1B22280B"/>
    <w:rsid w:val="1B22474F"/>
    <w:rsid w:val="1B421807"/>
    <w:rsid w:val="1B7A7F79"/>
    <w:rsid w:val="1BAD674F"/>
    <w:rsid w:val="1BD05552"/>
    <w:rsid w:val="1C073285"/>
    <w:rsid w:val="1C39605B"/>
    <w:rsid w:val="1C5F2808"/>
    <w:rsid w:val="1CBB342D"/>
    <w:rsid w:val="1CEC3144"/>
    <w:rsid w:val="1D03459D"/>
    <w:rsid w:val="1D2B58FA"/>
    <w:rsid w:val="1D7A62AB"/>
    <w:rsid w:val="1DC717B9"/>
    <w:rsid w:val="1DD33487"/>
    <w:rsid w:val="1DD62BA4"/>
    <w:rsid w:val="1DFC1CF4"/>
    <w:rsid w:val="1DFC30C5"/>
    <w:rsid w:val="1E201940"/>
    <w:rsid w:val="1E34627B"/>
    <w:rsid w:val="1ECA0DD0"/>
    <w:rsid w:val="1EED61D3"/>
    <w:rsid w:val="1FC413E9"/>
    <w:rsid w:val="202248B7"/>
    <w:rsid w:val="20755AA2"/>
    <w:rsid w:val="213B089B"/>
    <w:rsid w:val="21480F7E"/>
    <w:rsid w:val="216F08C0"/>
    <w:rsid w:val="220B1DE3"/>
    <w:rsid w:val="22910BEE"/>
    <w:rsid w:val="22C8599E"/>
    <w:rsid w:val="22E2789D"/>
    <w:rsid w:val="22F81507"/>
    <w:rsid w:val="23497BC3"/>
    <w:rsid w:val="235E41CE"/>
    <w:rsid w:val="237B2B1D"/>
    <w:rsid w:val="23BE01F8"/>
    <w:rsid w:val="23C110B2"/>
    <w:rsid w:val="23DB4673"/>
    <w:rsid w:val="23DD53B9"/>
    <w:rsid w:val="23DF00F3"/>
    <w:rsid w:val="23F32065"/>
    <w:rsid w:val="24444B34"/>
    <w:rsid w:val="245D6373"/>
    <w:rsid w:val="2480265F"/>
    <w:rsid w:val="24D143F1"/>
    <w:rsid w:val="24E36533"/>
    <w:rsid w:val="25097C04"/>
    <w:rsid w:val="2571790C"/>
    <w:rsid w:val="2591111E"/>
    <w:rsid w:val="25AB7E23"/>
    <w:rsid w:val="25B319DB"/>
    <w:rsid w:val="25BB3839"/>
    <w:rsid w:val="25CA33C2"/>
    <w:rsid w:val="25E23FE3"/>
    <w:rsid w:val="25E33D92"/>
    <w:rsid w:val="25E84329"/>
    <w:rsid w:val="25EB6F94"/>
    <w:rsid w:val="25FB3A39"/>
    <w:rsid w:val="260E4C49"/>
    <w:rsid w:val="262B22BC"/>
    <w:rsid w:val="263F0B0C"/>
    <w:rsid w:val="26710219"/>
    <w:rsid w:val="268B48BA"/>
    <w:rsid w:val="26A0585E"/>
    <w:rsid w:val="270A1973"/>
    <w:rsid w:val="270A1DB8"/>
    <w:rsid w:val="273F531A"/>
    <w:rsid w:val="2764652B"/>
    <w:rsid w:val="27940254"/>
    <w:rsid w:val="27AE60E0"/>
    <w:rsid w:val="27EA742B"/>
    <w:rsid w:val="280255D6"/>
    <w:rsid w:val="285A12A4"/>
    <w:rsid w:val="2860304C"/>
    <w:rsid w:val="28C81304"/>
    <w:rsid w:val="29033F89"/>
    <w:rsid w:val="291C35D2"/>
    <w:rsid w:val="29697611"/>
    <w:rsid w:val="29836541"/>
    <w:rsid w:val="29945A6E"/>
    <w:rsid w:val="299A5B6E"/>
    <w:rsid w:val="299C7012"/>
    <w:rsid w:val="29BC1561"/>
    <w:rsid w:val="29C721E5"/>
    <w:rsid w:val="29EF0577"/>
    <w:rsid w:val="2A16751A"/>
    <w:rsid w:val="2A172952"/>
    <w:rsid w:val="2A211A5F"/>
    <w:rsid w:val="2A347623"/>
    <w:rsid w:val="2AE16CE5"/>
    <w:rsid w:val="2B065C9E"/>
    <w:rsid w:val="2B140396"/>
    <w:rsid w:val="2B265158"/>
    <w:rsid w:val="2B5D5CB6"/>
    <w:rsid w:val="2BC13EA3"/>
    <w:rsid w:val="2BD57B25"/>
    <w:rsid w:val="2C1E4280"/>
    <w:rsid w:val="2C380499"/>
    <w:rsid w:val="2C5F6892"/>
    <w:rsid w:val="2C790F13"/>
    <w:rsid w:val="2C940EB3"/>
    <w:rsid w:val="2CD0015E"/>
    <w:rsid w:val="2CDD36CF"/>
    <w:rsid w:val="2D041663"/>
    <w:rsid w:val="2D075697"/>
    <w:rsid w:val="2D3070CD"/>
    <w:rsid w:val="2D333958"/>
    <w:rsid w:val="2D474C85"/>
    <w:rsid w:val="2D6A7232"/>
    <w:rsid w:val="2DB23588"/>
    <w:rsid w:val="2DCB5EA1"/>
    <w:rsid w:val="2DE945C5"/>
    <w:rsid w:val="2E4461C1"/>
    <w:rsid w:val="2E893224"/>
    <w:rsid w:val="2ECB7A54"/>
    <w:rsid w:val="2EF56603"/>
    <w:rsid w:val="2EF9740C"/>
    <w:rsid w:val="2F391702"/>
    <w:rsid w:val="2F445854"/>
    <w:rsid w:val="2F9F68E5"/>
    <w:rsid w:val="2FED5293"/>
    <w:rsid w:val="301963E3"/>
    <w:rsid w:val="309C2C4B"/>
    <w:rsid w:val="312C1FC6"/>
    <w:rsid w:val="312E5A3D"/>
    <w:rsid w:val="31402CA6"/>
    <w:rsid w:val="314D62F2"/>
    <w:rsid w:val="31A2166D"/>
    <w:rsid w:val="31A365EF"/>
    <w:rsid w:val="31BB44CA"/>
    <w:rsid w:val="31E12D40"/>
    <w:rsid w:val="31F56B11"/>
    <w:rsid w:val="31F646FD"/>
    <w:rsid w:val="320629FE"/>
    <w:rsid w:val="32126E37"/>
    <w:rsid w:val="32130A40"/>
    <w:rsid w:val="32365EC8"/>
    <w:rsid w:val="326146AC"/>
    <w:rsid w:val="328B1082"/>
    <w:rsid w:val="32A51349"/>
    <w:rsid w:val="32C50254"/>
    <w:rsid w:val="32C72463"/>
    <w:rsid w:val="32D50953"/>
    <w:rsid w:val="333D38D1"/>
    <w:rsid w:val="33417E95"/>
    <w:rsid w:val="337336AA"/>
    <w:rsid w:val="338F27EC"/>
    <w:rsid w:val="33916608"/>
    <w:rsid w:val="33973C7B"/>
    <w:rsid w:val="339C47DA"/>
    <w:rsid w:val="33AB0E51"/>
    <w:rsid w:val="33AC3066"/>
    <w:rsid w:val="33D56C16"/>
    <w:rsid w:val="341004F3"/>
    <w:rsid w:val="3411032C"/>
    <w:rsid w:val="34353856"/>
    <w:rsid w:val="34635AF6"/>
    <w:rsid w:val="34B450A6"/>
    <w:rsid w:val="34EA5B2B"/>
    <w:rsid w:val="34F9760D"/>
    <w:rsid w:val="351A756C"/>
    <w:rsid w:val="352D34EC"/>
    <w:rsid w:val="357876B9"/>
    <w:rsid w:val="35950462"/>
    <w:rsid w:val="359B675B"/>
    <w:rsid w:val="35CB71E7"/>
    <w:rsid w:val="35FF7B18"/>
    <w:rsid w:val="361E7DB5"/>
    <w:rsid w:val="366015C0"/>
    <w:rsid w:val="36807E79"/>
    <w:rsid w:val="36C95CEF"/>
    <w:rsid w:val="372F2757"/>
    <w:rsid w:val="374C04C6"/>
    <w:rsid w:val="37B23372"/>
    <w:rsid w:val="37F244D7"/>
    <w:rsid w:val="38055DEC"/>
    <w:rsid w:val="389C24EE"/>
    <w:rsid w:val="38A0623C"/>
    <w:rsid w:val="38B94D66"/>
    <w:rsid w:val="38CE2BA4"/>
    <w:rsid w:val="38EB1B39"/>
    <w:rsid w:val="39562E14"/>
    <w:rsid w:val="39587240"/>
    <w:rsid w:val="39734575"/>
    <w:rsid w:val="39AF74A3"/>
    <w:rsid w:val="3A154E46"/>
    <w:rsid w:val="3A346E09"/>
    <w:rsid w:val="3A61385B"/>
    <w:rsid w:val="3AF11787"/>
    <w:rsid w:val="3AFB07C9"/>
    <w:rsid w:val="3B033B31"/>
    <w:rsid w:val="3B212DD0"/>
    <w:rsid w:val="3B7C1E1F"/>
    <w:rsid w:val="3B846932"/>
    <w:rsid w:val="3B930BB1"/>
    <w:rsid w:val="3BED2ADE"/>
    <w:rsid w:val="3C842BE5"/>
    <w:rsid w:val="3CF4588F"/>
    <w:rsid w:val="3D0A58B2"/>
    <w:rsid w:val="3D3E4DB3"/>
    <w:rsid w:val="3D405EDC"/>
    <w:rsid w:val="3D6027C7"/>
    <w:rsid w:val="3D7E5FA4"/>
    <w:rsid w:val="3D803E7C"/>
    <w:rsid w:val="3DA0775D"/>
    <w:rsid w:val="3DA71A05"/>
    <w:rsid w:val="3DAF5796"/>
    <w:rsid w:val="3E035D25"/>
    <w:rsid w:val="3E542441"/>
    <w:rsid w:val="3E624C01"/>
    <w:rsid w:val="3E7E2FB8"/>
    <w:rsid w:val="3EA50143"/>
    <w:rsid w:val="3EAD1DF7"/>
    <w:rsid w:val="3EB525B9"/>
    <w:rsid w:val="3ECA7A79"/>
    <w:rsid w:val="3ED52A69"/>
    <w:rsid w:val="3EE90276"/>
    <w:rsid w:val="3F0312AA"/>
    <w:rsid w:val="3F321751"/>
    <w:rsid w:val="3F632413"/>
    <w:rsid w:val="40227C45"/>
    <w:rsid w:val="402A69E4"/>
    <w:rsid w:val="4043167A"/>
    <w:rsid w:val="40645F80"/>
    <w:rsid w:val="407C3544"/>
    <w:rsid w:val="40AA1CDC"/>
    <w:rsid w:val="40BA4EA4"/>
    <w:rsid w:val="40FD267F"/>
    <w:rsid w:val="410A2D28"/>
    <w:rsid w:val="41111ACB"/>
    <w:rsid w:val="412144BE"/>
    <w:rsid w:val="4123612A"/>
    <w:rsid w:val="412D641A"/>
    <w:rsid w:val="41A1170F"/>
    <w:rsid w:val="41AA1A23"/>
    <w:rsid w:val="42104F95"/>
    <w:rsid w:val="421B286A"/>
    <w:rsid w:val="427626A1"/>
    <w:rsid w:val="427F3498"/>
    <w:rsid w:val="42D32BD6"/>
    <w:rsid w:val="42EF6D61"/>
    <w:rsid w:val="43062A32"/>
    <w:rsid w:val="435B486D"/>
    <w:rsid w:val="43675271"/>
    <w:rsid w:val="436B004D"/>
    <w:rsid w:val="43C845DA"/>
    <w:rsid w:val="43C92044"/>
    <w:rsid w:val="43D05A77"/>
    <w:rsid w:val="44E516A5"/>
    <w:rsid w:val="44F4041D"/>
    <w:rsid w:val="451E21D2"/>
    <w:rsid w:val="454C07D0"/>
    <w:rsid w:val="454F73BF"/>
    <w:rsid w:val="45702CAD"/>
    <w:rsid w:val="45742803"/>
    <w:rsid w:val="457A4AEE"/>
    <w:rsid w:val="458542AF"/>
    <w:rsid w:val="458D5581"/>
    <w:rsid w:val="459731A6"/>
    <w:rsid w:val="45DB5CE2"/>
    <w:rsid w:val="46042450"/>
    <w:rsid w:val="461D67A6"/>
    <w:rsid w:val="462906CA"/>
    <w:rsid w:val="46471139"/>
    <w:rsid w:val="467A4A0B"/>
    <w:rsid w:val="46867A41"/>
    <w:rsid w:val="46AE2FE3"/>
    <w:rsid w:val="46C260F6"/>
    <w:rsid w:val="46F86E5F"/>
    <w:rsid w:val="47243153"/>
    <w:rsid w:val="474F288B"/>
    <w:rsid w:val="47585719"/>
    <w:rsid w:val="47591FAB"/>
    <w:rsid w:val="47690D14"/>
    <w:rsid w:val="476E4F16"/>
    <w:rsid w:val="477535AD"/>
    <w:rsid w:val="47BC543D"/>
    <w:rsid w:val="4858004E"/>
    <w:rsid w:val="485F2E42"/>
    <w:rsid w:val="497264F3"/>
    <w:rsid w:val="4998526F"/>
    <w:rsid w:val="49A639A8"/>
    <w:rsid w:val="49D55B1C"/>
    <w:rsid w:val="49DA0376"/>
    <w:rsid w:val="4A406CCB"/>
    <w:rsid w:val="4A6916D0"/>
    <w:rsid w:val="4AE10662"/>
    <w:rsid w:val="4AEA76F0"/>
    <w:rsid w:val="4AF66FE6"/>
    <w:rsid w:val="4B0E594F"/>
    <w:rsid w:val="4B3440E7"/>
    <w:rsid w:val="4B517894"/>
    <w:rsid w:val="4B974814"/>
    <w:rsid w:val="4BB53991"/>
    <w:rsid w:val="4C5001FA"/>
    <w:rsid w:val="4C725EDA"/>
    <w:rsid w:val="4C7E6406"/>
    <w:rsid w:val="4CDA673E"/>
    <w:rsid w:val="4CF61EA4"/>
    <w:rsid w:val="4D272ED9"/>
    <w:rsid w:val="4D346F7C"/>
    <w:rsid w:val="4DCF542C"/>
    <w:rsid w:val="4DD6558D"/>
    <w:rsid w:val="4DFA4F54"/>
    <w:rsid w:val="4E161436"/>
    <w:rsid w:val="4E3F5399"/>
    <w:rsid w:val="4E486798"/>
    <w:rsid w:val="4E4D4D14"/>
    <w:rsid w:val="4E793F0C"/>
    <w:rsid w:val="4EC30493"/>
    <w:rsid w:val="4EC314C8"/>
    <w:rsid w:val="4EDA7A26"/>
    <w:rsid w:val="4EDE2D7F"/>
    <w:rsid w:val="4EFD4FCC"/>
    <w:rsid w:val="4F076678"/>
    <w:rsid w:val="4F100D04"/>
    <w:rsid w:val="4F257797"/>
    <w:rsid w:val="4F446B9D"/>
    <w:rsid w:val="4F5E3989"/>
    <w:rsid w:val="4F922ED7"/>
    <w:rsid w:val="4F924C35"/>
    <w:rsid w:val="4FF4749C"/>
    <w:rsid w:val="502C66EB"/>
    <w:rsid w:val="507E179E"/>
    <w:rsid w:val="50D41344"/>
    <w:rsid w:val="50DE3511"/>
    <w:rsid w:val="511121D4"/>
    <w:rsid w:val="511E3A0D"/>
    <w:rsid w:val="514327E1"/>
    <w:rsid w:val="51AB7BD8"/>
    <w:rsid w:val="520F1B8D"/>
    <w:rsid w:val="52335988"/>
    <w:rsid w:val="52521A0E"/>
    <w:rsid w:val="52885807"/>
    <w:rsid w:val="52EB399B"/>
    <w:rsid w:val="52F032E2"/>
    <w:rsid w:val="53010026"/>
    <w:rsid w:val="533F4125"/>
    <w:rsid w:val="538B5B9E"/>
    <w:rsid w:val="538F224F"/>
    <w:rsid w:val="539866AC"/>
    <w:rsid w:val="53996943"/>
    <w:rsid w:val="539D750B"/>
    <w:rsid w:val="53F2444D"/>
    <w:rsid w:val="53FF395E"/>
    <w:rsid w:val="54C946B2"/>
    <w:rsid w:val="54D44C3B"/>
    <w:rsid w:val="54E22EB0"/>
    <w:rsid w:val="54F04E7B"/>
    <w:rsid w:val="54F25D06"/>
    <w:rsid w:val="550074F5"/>
    <w:rsid w:val="55202A36"/>
    <w:rsid w:val="5528048D"/>
    <w:rsid w:val="55A93047"/>
    <w:rsid w:val="55CB34B8"/>
    <w:rsid w:val="55D040BE"/>
    <w:rsid w:val="55D22B75"/>
    <w:rsid w:val="56205857"/>
    <w:rsid w:val="565D6CC1"/>
    <w:rsid w:val="56800A1D"/>
    <w:rsid w:val="56CC5680"/>
    <w:rsid w:val="56CF5314"/>
    <w:rsid w:val="56EC1A28"/>
    <w:rsid w:val="56F1559F"/>
    <w:rsid w:val="57234F0E"/>
    <w:rsid w:val="57384F5F"/>
    <w:rsid w:val="574826DD"/>
    <w:rsid w:val="575F165C"/>
    <w:rsid w:val="5764335F"/>
    <w:rsid w:val="579E2A0C"/>
    <w:rsid w:val="57A624D3"/>
    <w:rsid w:val="57A75631"/>
    <w:rsid w:val="57B86FD9"/>
    <w:rsid w:val="57E42417"/>
    <w:rsid w:val="580E647E"/>
    <w:rsid w:val="58265808"/>
    <w:rsid w:val="58472064"/>
    <w:rsid w:val="585402C3"/>
    <w:rsid w:val="58AD6BE8"/>
    <w:rsid w:val="58E2665F"/>
    <w:rsid w:val="59283F85"/>
    <w:rsid w:val="59350CFC"/>
    <w:rsid w:val="593F3A1A"/>
    <w:rsid w:val="59643C4E"/>
    <w:rsid w:val="596A2BBC"/>
    <w:rsid w:val="5974356E"/>
    <w:rsid w:val="59D606DD"/>
    <w:rsid w:val="59F418A7"/>
    <w:rsid w:val="5A15432B"/>
    <w:rsid w:val="5A2F7D09"/>
    <w:rsid w:val="5A7B6876"/>
    <w:rsid w:val="5ACF5E44"/>
    <w:rsid w:val="5AE9626A"/>
    <w:rsid w:val="5B5F743E"/>
    <w:rsid w:val="5B74093B"/>
    <w:rsid w:val="5B7D209E"/>
    <w:rsid w:val="5B8A6E7A"/>
    <w:rsid w:val="5B8E6577"/>
    <w:rsid w:val="5B955608"/>
    <w:rsid w:val="5BD70F0B"/>
    <w:rsid w:val="5BD731BA"/>
    <w:rsid w:val="5C1358DE"/>
    <w:rsid w:val="5C173E39"/>
    <w:rsid w:val="5C4E7981"/>
    <w:rsid w:val="5CBA75D9"/>
    <w:rsid w:val="5CD93275"/>
    <w:rsid w:val="5D72400F"/>
    <w:rsid w:val="5D8674BA"/>
    <w:rsid w:val="5DA17794"/>
    <w:rsid w:val="5DB569C6"/>
    <w:rsid w:val="5DEC18DA"/>
    <w:rsid w:val="5E297441"/>
    <w:rsid w:val="5E9C4AD8"/>
    <w:rsid w:val="5ED35121"/>
    <w:rsid w:val="5ED541CB"/>
    <w:rsid w:val="5EE73630"/>
    <w:rsid w:val="5F565210"/>
    <w:rsid w:val="5F7D3A04"/>
    <w:rsid w:val="5F8F4717"/>
    <w:rsid w:val="5F93775D"/>
    <w:rsid w:val="5F98624B"/>
    <w:rsid w:val="5FD41436"/>
    <w:rsid w:val="60063A44"/>
    <w:rsid w:val="600B2011"/>
    <w:rsid w:val="606407EB"/>
    <w:rsid w:val="60A029B9"/>
    <w:rsid w:val="60D92B8A"/>
    <w:rsid w:val="61366589"/>
    <w:rsid w:val="61A72552"/>
    <w:rsid w:val="61C0205A"/>
    <w:rsid w:val="61ED3D96"/>
    <w:rsid w:val="620C3696"/>
    <w:rsid w:val="62131846"/>
    <w:rsid w:val="622720EB"/>
    <w:rsid w:val="625B06FD"/>
    <w:rsid w:val="627B49D4"/>
    <w:rsid w:val="62EE3CCA"/>
    <w:rsid w:val="633F216E"/>
    <w:rsid w:val="63803564"/>
    <w:rsid w:val="638D71FA"/>
    <w:rsid w:val="639E4BF0"/>
    <w:rsid w:val="63BB2531"/>
    <w:rsid w:val="63EC65B7"/>
    <w:rsid w:val="63EE7A34"/>
    <w:rsid w:val="63FA61A4"/>
    <w:rsid w:val="6405362E"/>
    <w:rsid w:val="642A4E14"/>
    <w:rsid w:val="644A0EF3"/>
    <w:rsid w:val="646D0D85"/>
    <w:rsid w:val="646D70FF"/>
    <w:rsid w:val="64A818AD"/>
    <w:rsid w:val="64D46C41"/>
    <w:rsid w:val="64DF78DC"/>
    <w:rsid w:val="653D46BA"/>
    <w:rsid w:val="658E0856"/>
    <w:rsid w:val="659F7BB4"/>
    <w:rsid w:val="65E415A7"/>
    <w:rsid w:val="65EC599E"/>
    <w:rsid w:val="65F154DA"/>
    <w:rsid w:val="66536B24"/>
    <w:rsid w:val="66671A3E"/>
    <w:rsid w:val="66A1417D"/>
    <w:rsid w:val="66E907E3"/>
    <w:rsid w:val="672B1AA3"/>
    <w:rsid w:val="674018F1"/>
    <w:rsid w:val="67746F85"/>
    <w:rsid w:val="678817CA"/>
    <w:rsid w:val="678D45EB"/>
    <w:rsid w:val="689D74D6"/>
    <w:rsid w:val="68C06A6B"/>
    <w:rsid w:val="68E2233A"/>
    <w:rsid w:val="691B3941"/>
    <w:rsid w:val="691C6C1A"/>
    <w:rsid w:val="69380C32"/>
    <w:rsid w:val="69452CBA"/>
    <w:rsid w:val="696F450C"/>
    <w:rsid w:val="69F86638"/>
    <w:rsid w:val="6A851EE7"/>
    <w:rsid w:val="6A963D59"/>
    <w:rsid w:val="6AF8279D"/>
    <w:rsid w:val="6B075269"/>
    <w:rsid w:val="6B7E392D"/>
    <w:rsid w:val="6B84501C"/>
    <w:rsid w:val="6B9F42A6"/>
    <w:rsid w:val="6BB226A3"/>
    <w:rsid w:val="6BC54C3C"/>
    <w:rsid w:val="6BED7214"/>
    <w:rsid w:val="6C0220D6"/>
    <w:rsid w:val="6C172958"/>
    <w:rsid w:val="6C606F88"/>
    <w:rsid w:val="6C9A59BC"/>
    <w:rsid w:val="6CAF0FBB"/>
    <w:rsid w:val="6CD12FAC"/>
    <w:rsid w:val="6CD93FE1"/>
    <w:rsid w:val="6D081BA6"/>
    <w:rsid w:val="6D4B2465"/>
    <w:rsid w:val="6D561DF7"/>
    <w:rsid w:val="6D836F65"/>
    <w:rsid w:val="6DC273FD"/>
    <w:rsid w:val="6DD775C2"/>
    <w:rsid w:val="6DFE0E9A"/>
    <w:rsid w:val="6E1A0C99"/>
    <w:rsid w:val="6E4F7D71"/>
    <w:rsid w:val="6EA25259"/>
    <w:rsid w:val="6EA9513A"/>
    <w:rsid w:val="6EAB5B81"/>
    <w:rsid w:val="6EE705F1"/>
    <w:rsid w:val="6F107084"/>
    <w:rsid w:val="6F1C399F"/>
    <w:rsid w:val="6F7873BC"/>
    <w:rsid w:val="6FD977F1"/>
    <w:rsid w:val="6FFD6E97"/>
    <w:rsid w:val="700B4B0F"/>
    <w:rsid w:val="701A5EC1"/>
    <w:rsid w:val="70203AD9"/>
    <w:rsid w:val="70AD2D65"/>
    <w:rsid w:val="70D9569F"/>
    <w:rsid w:val="70DA629C"/>
    <w:rsid w:val="70F64F61"/>
    <w:rsid w:val="70FA6807"/>
    <w:rsid w:val="710D584B"/>
    <w:rsid w:val="71842883"/>
    <w:rsid w:val="718F76CC"/>
    <w:rsid w:val="71AE1646"/>
    <w:rsid w:val="71E35599"/>
    <w:rsid w:val="71EF4B93"/>
    <w:rsid w:val="71F538C4"/>
    <w:rsid w:val="71FB1B3C"/>
    <w:rsid w:val="72001A91"/>
    <w:rsid w:val="72041FAD"/>
    <w:rsid w:val="72073B4C"/>
    <w:rsid w:val="72291B9C"/>
    <w:rsid w:val="72D71923"/>
    <w:rsid w:val="72EC10CC"/>
    <w:rsid w:val="7301030F"/>
    <w:rsid w:val="73275AFA"/>
    <w:rsid w:val="732C3846"/>
    <w:rsid w:val="73975E0F"/>
    <w:rsid w:val="73F7218D"/>
    <w:rsid w:val="746C0B18"/>
    <w:rsid w:val="74BE0E2A"/>
    <w:rsid w:val="74DA489A"/>
    <w:rsid w:val="74E80502"/>
    <w:rsid w:val="75481D1E"/>
    <w:rsid w:val="7556268A"/>
    <w:rsid w:val="75974B86"/>
    <w:rsid w:val="759E387D"/>
    <w:rsid w:val="75AC19B7"/>
    <w:rsid w:val="75B12143"/>
    <w:rsid w:val="764A5925"/>
    <w:rsid w:val="767F302C"/>
    <w:rsid w:val="76B23B0B"/>
    <w:rsid w:val="76CA086F"/>
    <w:rsid w:val="773D22CA"/>
    <w:rsid w:val="77613FFC"/>
    <w:rsid w:val="77A230C3"/>
    <w:rsid w:val="77A9207C"/>
    <w:rsid w:val="77C6528F"/>
    <w:rsid w:val="77DB7601"/>
    <w:rsid w:val="77FF822A"/>
    <w:rsid w:val="78507928"/>
    <w:rsid w:val="78D1780E"/>
    <w:rsid w:val="78DA278C"/>
    <w:rsid w:val="78DC5F00"/>
    <w:rsid w:val="7965244C"/>
    <w:rsid w:val="79B27E42"/>
    <w:rsid w:val="79D53764"/>
    <w:rsid w:val="7A271F88"/>
    <w:rsid w:val="7A4B7886"/>
    <w:rsid w:val="7A5601DF"/>
    <w:rsid w:val="7A677D25"/>
    <w:rsid w:val="7A921E54"/>
    <w:rsid w:val="7AB14E2E"/>
    <w:rsid w:val="7B0579F4"/>
    <w:rsid w:val="7B612620"/>
    <w:rsid w:val="7B6E26A2"/>
    <w:rsid w:val="7B767D33"/>
    <w:rsid w:val="7B780352"/>
    <w:rsid w:val="7B9D4258"/>
    <w:rsid w:val="7BB65505"/>
    <w:rsid w:val="7BED527E"/>
    <w:rsid w:val="7C631CBF"/>
    <w:rsid w:val="7C8A628A"/>
    <w:rsid w:val="7CD47BE5"/>
    <w:rsid w:val="7CEB63AA"/>
    <w:rsid w:val="7CFA7E57"/>
    <w:rsid w:val="7DFE3E1D"/>
    <w:rsid w:val="7E144E8F"/>
    <w:rsid w:val="7E1A28F2"/>
    <w:rsid w:val="7E1B605F"/>
    <w:rsid w:val="7E335349"/>
    <w:rsid w:val="7E595FB6"/>
    <w:rsid w:val="7EC07188"/>
    <w:rsid w:val="7F1C3A1B"/>
    <w:rsid w:val="7F226E5C"/>
    <w:rsid w:val="7F513E2E"/>
    <w:rsid w:val="7FA91E3C"/>
    <w:rsid w:val="7FC756CE"/>
    <w:rsid w:val="7FD015F1"/>
    <w:rsid w:val="B5FFE8F9"/>
    <w:rsid w:val="DFFFD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autoSpaceDE w:val="0"/>
      <w:autoSpaceDN w:val="0"/>
      <w:spacing w:before="240" w:after="120" w:line="300" w:lineRule="auto"/>
      <w:outlineLvl w:val="2"/>
    </w:pPr>
    <w:rPr>
      <w:b/>
      <w:sz w:val="21"/>
    </w:rPr>
  </w:style>
  <w:style w:type="paragraph" w:styleId="4">
    <w:name w:val="heading 4"/>
    <w:basedOn w:val="5"/>
    <w:next w:val="1"/>
    <w:qFormat/>
    <w:uiPriority w:val="9"/>
    <w:pPr>
      <w:keepNext/>
      <w:keepLines/>
      <w:numPr>
        <w:ilvl w:val="0"/>
        <w:numId w:val="1"/>
      </w:numPr>
      <w:spacing w:line="276" w:lineRule="auto"/>
      <w:ind w:left="0" w:firstLine="0"/>
      <w:outlineLvl w:val="3"/>
    </w:pPr>
    <w:rPr>
      <w:rFonts w:ascii="黑体" w:hAnsi="黑体" w:eastAsia="仿宋"/>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1"/>
    <w:qFormat/>
    <w:uiPriority w:val="0"/>
    <w:rPr>
      <w:rFonts w:ascii="宋体"/>
      <w:color w:val="000080"/>
    </w:rPr>
  </w:style>
  <w:style w:type="paragraph" w:styleId="5">
    <w:name w:val="Normal Indent"/>
    <w:basedOn w:val="1"/>
    <w:qFormat/>
    <w:uiPriority w:val="0"/>
    <w:pPr>
      <w:widowControl/>
      <w:adjustRightInd w:val="0"/>
      <w:snapToGrid w:val="0"/>
      <w:spacing w:before="240" w:line="360" w:lineRule="atLeast"/>
      <w:ind w:firstLine="420"/>
      <w:jc w:val="left"/>
    </w:pPr>
    <w:rPr>
      <w:rFonts w:ascii="宋体" w:hAnsi="Times New Roman" w:eastAsia="宋体" w:cs="Times New Roman"/>
      <w:szCs w:val="24"/>
    </w:r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Title"/>
    <w:basedOn w:val="1"/>
    <w:next w:val="1"/>
    <w:qFormat/>
    <w:uiPriority w:val="0"/>
    <w:pPr>
      <w:spacing w:before="240" w:after="60"/>
      <w:jc w:val="center"/>
      <w:outlineLvl w:val="0"/>
    </w:pPr>
    <w:rPr>
      <w:rFonts w:ascii="Cambria" w:hAnsi="Cambria"/>
      <w:b/>
      <w:bCs/>
      <w:sz w:val="32"/>
      <w:szCs w:val="32"/>
      <w:lang w:val="zh-CN"/>
    </w:rPr>
  </w:style>
  <w:style w:type="paragraph" w:styleId="9">
    <w:name w:val="footer"/>
    <w:qFormat/>
    <w:uiPriority w:val="0"/>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table" w:styleId="11">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font61"/>
    <w:basedOn w:val="12"/>
    <w:qFormat/>
    <w:uiPriority w:val="0"/>
    <w:rPr>
      <w:rFonts w:hint="eastAsia" w:ascii="黑体" w:hAnsi="宋体" w:eastAsia="黑体" w:cs="黑体"/>
      <w:color w:val="000000"/>
      <w:sz w:val="8"/>
      <w:szCs w:val="8"/>
      <w:u w:val="none"/>
    </w:rPr>
  </w:style>
  <w:style w:type="character" w:customStyle="1" w:styleId="14">
    <w:name w:val="font01"/>
    <w:basedOn w:val="12"/>
    <w:qFormat/>
    <w:uiPriority w:val="0"/>
    <w:rPr>
      <w:rFonts w:hint="eastAsia" w:ascii="黑体" w:hAnsi="宋体" w:eastAsia="黑体" w:cs="黑体"/>
      <w:color w:val="FF0000"/>
      <w:sz w:val="18"/>
      <w:szCs w:val="18"/>
      <w:u w:val="none"/>
    </w:rPr>
  </w:style>
  <w:style w:type="character" w:customStyle="1" w:styleId="15">
    <w:name w:val="font11"/>
    <w:basedOn w:val="12"/>
    <w:qFormat/>
    <w:uiPriority w:val="0"/>
    <w:rPr>
      <w:rFonts w:hint="eastAsia" w:ascii="黑体" w:hAnsi="宋体" w:eastAsia="黑体" w:cs="黑体"/>
      <w:color w:val="000000"/>
      <w:sz w:val="18"/>
      <w:szCs w:val="18"/>
      <w:u w:val="none"/>
    </w:rPr>
  </w:style>
  <w:style w:type="character" w:customStyle="1" w:styleId="16">
    <w:name w:val="font41"/>
    <w:basedOn w:val="12"/>
    <w:qFormat/>
    <w:uiPriority w:val="0"/>
    <w:rPr>
      <w:rFonts w:hint="eastAsia" w:ascii="黑体" w:hAnsi="宋体" w:eastAsia="黑体" w:cs="黑体"/>
      <w:color w:val="000000"/>
      <w:sz w:val="8"/>
      <w:szCs w:val="8"/>
      <w:u w:val="none"/>
    </w:rPr>
  </w:style>
  <w:style w:type="character" w:customStyle="1" w:styleId="17">
    <w:name w:val="font51"/>
    <w:basedOn w:val="12"/>
    <w:qFormat/>
    <w:uiPriority w:val="0"/>
    <w:rPr>
      <w:rFonts w:hint="eastAsia" w:ascii="黑体" w:hAnsi="宋体" w:eastAsia="黑体" w:cs="黑体"/>
      <w:b/>
      <w:bCs/>
      <w:color w:val="FF0000"/>
      <w:sz w:val="18"/>
      <w:szCs w:val="18"/>
      <w:u w:val="none"/>
    </w:rPr>
  </w:style>
  <w:style w:type="character" w:customStyle="1" w:styleId="18">
    <w:name w:val="font21"/>
    <w:basedOn w:val="12"/>
    <w:qFormat/>
    <w:uiPriority w:val="0"/>
    <w:rPr>
      <w:rFonts w:hint="eastAsia" w:ascii="黑体" w:hAnsi="宋体" w:eastAsia="黑体" w:cs="黑体"/>
      <w:color w:val="FF0000"/>
      <w:sz w:val="18"/>
      <w:szCs w:val="18"/>
      <w:u w:val="none"/>
    </w:rPr>
  </w:style>
  <w:style w:type="character" w:customStyle="1" w:styleId="19">
    <w:name w:val="font31"/>
    <w:basedOn w:val="12"/>
    <w:qFormat/>
    <w:uiPriority w:val="0"/>
    <w:rPr>
      <w:rFonts w:hint="eastAsia" w:ascii="黑体" w:hAnsi="宋体" w:eastAsia="黑体" w:cs="黑体"/>
      <w:color w:val="000000"/>
      <w:sz w:val="18"/>
      <w:szCs w:val="18"/>
      <w:u w:val="none"/>
    </w:rPr>
  </w:style>
  <w:style w:type="paragraph" w:customStyle="1" w:styleId="20">
    <w:name w:val="Table Paragraph"/>
    <w:basedOn w:val="1"/>
    <w:qFormat/>
    <w:uiPriority w:val="1"/>
    <w:rPr>
      <w:rFonts w:ascii="宋体" w:hAnsi="宋体" w:eastAsia="宋体" w:cs="宋体"/>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155</Pages>
  <Words>81914</Words>
  <Characters>92967</Characters>
  <Lines>257</Lines>
  <Paragraphs>247</Paragraphs>
  <TotalTime>6</TotalTime>
  <ScaleCrop>false</ScaleCrop>
  <LinksUpToDate>false</LinksUpToDate>
  <CharactersWithSpaces>94050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2024-06-26T07:15:00Z</dcterms:created>
  <dc:creator>suxiaolan</dc:creator>
  <cp:lastModifiedBy>suxiaolan</cp:lastModifiedBy>
  <dcterms:modified xsi:type="dcterms:W3CDTF">2025-08-01T06:07:19Z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3EC52315E6A14E55B33830637F34A11D</vt:lpwstr>
  </property>
</Properties>
</file>