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楷体" w:hAnsi="楷体" w:eastAsia="楷体" w:cs="Times New Roman"/>
          <w:color w:val="auto"/>
          <w:sz w:val="32"/>
          <w:szCs w:val="32"/>
          <w:highlight w:val="none"/>
          <w:lang w:val="en-US" w:eastAsia="zh-CN"/>
        </w:rPr>
      </w:pPr>
      <w:r>
        <w:rPr>
          <w:rFonts w:hint="eastAsia" w:cs="宋体" w:asciiTheme="majorEastAsia" w:hAnsiTheme="majorEastAsia" w:eastAsiaTheme="majorEastAsia"/>
          <w:color w:val="auto"/>
          <w:sz w:val="48"/>
          <w:szCs w:val="48"/>
          <w:highlight w:val="none"/>
          <w:lang w:eastAsia="zh-CN"/>
        </w:rPr>
        <w:t>中国银联2025年办公及生产系统华为设备维保服务采购项目</w:t>
      </w:r>
      <w:r>
        <w:rPr>
          <w:rFonts w:hint="eastAsia" w:cs="宋体" w:asciiTheme="majorEastAsia" w:hAnsiTheme="majorEastAsia" w:eastAsiaTheme="majorEastAsia"/>
          <w:color w:val="auto"/>
          <w:sz w:val="48"/>
          <w:szCs w:val="48"/>
          <w:highlight w:val="none"/>
        </w:rPr>
        <w:t>采购需求</w:t>
      </w:r>
    </w:p>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p>
    <w:p>
      <w:pPr>
        <w:spacing w:line="360" w:lineRule="auto"/>
        <w:ind w:firstLine="640" w:firstLineChars="200"/>
        <w:jc w:val="left"/>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一、项目基本信息</w:t>
      </w:r>
    </w:p>
    <w:p>
      <w:pPr>
        <w:snapToGrid w:val="0"/>
        <w:spacing w:line="360" w:lineRule="auto"/>
        <w:ind w:firstLine="640" w:firstLineChars="200"/>
        <w:jc w:val="left"/>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本项目为非政府采购项目，采购标的类型为服务，拟采用公开招标方式采购，供应商资格条件如下：</w:t>
      </w:r>
    </w:p>
    <w:p>
      <w:pPr>
        <w:snapToGrid w:val="0"/>
        <w:spacing w:line="360" w:lineRule="auto"/>
        <w:ind w:firstLine="640" w:firstLineChars="200"/>
        <w:jc w:val="both"/>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zh-CN"/>
        </w:rPr>
        <w:t>一</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zh-CN"/>
        </w:rPr>
        <w:t>信用核查</w:t>
      </w:r>
    </w:p>
    <w:p>
      <w:pPr>
        <w:snapToGrid w:val="0"/>
        <w:spacing w:line="360" w:lineRule="auto"/>
        <w:ind w:firstLine="640" w:firstLineChars="200"/>
        <w:jc w:val="both"/>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zh-CN"/>
        </w:rPr>
        <w:t>必须为未被列入信用中国网站</w:t>
      </w:r>
      <w:r>
        <w:rPr>
          <w:rFonts w:hint="eastAsia" w:ascii="仿宋" w:hAnsi="仿宋" w:eastAsia="仿宋" w:cs="Times New Roman"/>
          <w:color w:val="auto"/>
          <w:sz w:val="32"/>
          <w:szCs w:val="32"/>
          <w:highlight w:val="none"/>
        </w:rPr>
        <w:t>(www.creditchina.gov.cn)</w:t>
      </w:r>
      <w:r>
        <w:rPr>
          <w:rFonts w:hint="eastAsia" w:ascii="仿宋" w:hAnsi="仿宋" w:eastAsia="仿宋" w:cs="Times New Roman"/>
          <w:color w:val="auto"/>
          <w:sz w:val="32"/>
          <w:szCs w:val="32"/>
          <w:highlight w:val="none"/>
          <w:lang w:val="zh-CN"/>
        </w:rPr>
        <w:t>、中国政府采购网</w:t>
      </w:r>
      <w:r>
        <w:rPr>
          <w:rFonts w:hint="eastAsia" w:ascii="仿宋" w:hAnsi="仿宋" w:eastAsia="仿宋" w:cs="Times New Roman"/>
          <w:color w:val="auto"/>
          <w:sz w:val="32"/>
          <w:szCs w:val="32"/>
          <w:highlight w:val="none"/>
        </w:rPr>
        <w:t>(www.ccgp.gov.cn)</w:t>
      </w:r>
      <w:r>
        <w:rPr>
          <w:rFonts w:hint="eastAsia" w:ascii="仿宋" w:hAnsi="仿宋" w:eastAsia="仿宋" w:cs="Times New Roman"/>
          <w:color w:val="auto"/>
          <w:sz w:val="32"/>
          <w:szCs w:val="32"/>
          <w:highlight w:val="none"/>
          <w:lang w:val="zh-CN"/>
        </w:rPr>
        <w:t>渠道信用记录失信被执行人、重大税收违法案件当事人名单、政府采购严重违法失信行为记录名单的投标人</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zh-CN"/>
        </w:rPr>
        <w:t>否则其投标将被拒绝。</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（二）符合《中华人民共和国政府采购法》第二十二条的规定,投标人必须在投标文件中提供下述资格证明文件，否则按无效投标处理：</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1、法人或者其他组织的营业执照等证明文件，自然人的身份证明；</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2、财务状况报告，依法缴纳税收和社会保障资金的相关材料；(供应商应提供书面承诺)</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3、具备履行合同所必需的设备和专业技术能力的证明材料；(供应商应提供书面承诺)</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4、参加政府采购活动前3年内在经营活动中没有重大违法记录的书面声明；(供应商应提供书面承诺)</w:t>
      </w:r>
    </w:p>
    <w:p>
      <w:pPr>
        <w:snapToGrid w:val="0"/>
        <w:spacing w:line="360" w:lineRule="auto"/>
        <w:ind w:firstLine="640" w:firstLineChars="200"/>
        <w:jc w:val="both"/>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5、具备法律、行政法规规定的其他条件的证明材料。</w:t>
      </w:r>
    </w:p>
    <w:p>
      <w:pPr>
        <w:rPr>
          <w:rFonts w:ascii="方正小标宋简体" w:hAnsi="方正小标宋简体" w:eastAsia="方正小标宋简体" w:cs="Times New Roman"/>
          <w:color w:val="auto"/>
          <w:sz w:val="44"/>
          <w:szCs w:val="44"/>
          <w:highlight w:val="none"/>
        </w:rPr>
      </w:pPr>
      <w:r>
        <w:rPr>
          <w:rFonts w:hint="eastAsia" w:ascii="仿宋" w:hAnsi="仿宋" w:eastAsia="仿宋" w:cs="Times New Roman"/>
          <w:color w:val="auto"/>
          <w:sz w:val="32"/>
          <w:szCs w:val="32"/>
          <w:highlight w:val="none"/>
          <w:lang w:val="zh-CN"/>
        </w:rPr>
        <w:t>（以上均为《中华人民共和国政府采购法实施条例》第十七条之规定）；</w:t>
      </w:r>
    </w:p>
    <w:p>
      <w:pPr>
        <w:spacing w:line="560" w:lineRule="exact"/>
        <w:ind w:firstLine="640" w:firstLineChars="200"/>
        <w:jc w:val="left"/>
        <w:outlineLvl w:val="1"/>
        <w:rPr>
          <w:rFonts w:hint="eastAsia" w:ascii="楷体" w:hAnsi="楷体" w:eastAsia="楷体" w:cs="Times New Roman"/>
          <w:sz w:val="32"/>
          <w:szCs w:val="32"/>
        </w:rPr>
      </w:pPr>
    </w:p>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二、采购标的汇总表</w:t>
      </w:r>
    </w:p>
    <w:p>
      <w:pPr>
        <w:spacing w:line="560" w:lineRule="exact"/>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包1</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19"/>
        <w:gridCol w:w="2313"/>
        <w:gridCol w:w="1418"/>
        <w:gridCol w:w="1026"/>
        <w:gridCol w:w="747"/>
        <w:gridCol w:w="83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357" w:type="pct"/>
            <w:vAlign w:val="center"/>
          </w:tcPr>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22" w:type="pct"/>
            <w:vAlign w:val="center"/>
          </w:tcPr>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品目号</w:t>
            </w:r>
          </w:p>
        </w:tc>
        <w:tc>
          <w:tcPr>
            <w:tcW w:w="1357" w:type="pct"/>
            <w:vAlign w:val="center"/>
          </w:tcPr>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标的名称</w:t>
            </w:r>
          </w:p>
        </w:tc>
        <w:tc>
          <w:tcPr>
            <w:tcW w:w="832" w:type="pct"/>
            <w:vAlign w:val="center"/>
          </w:tcPr>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品目</w:t>
            </w:r>
          </w:p>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分类编码</w:t>
            </w:r>
          </w:p>
        </w:tc>
        <w:tc>
          <w:tcPr>
            <w:tcW w:w="602" w:type="pct"/>
            <w:vAlign w:val="center"/>
          </w:tcPr>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计量</w:t>
            </w:r>
          </w:p>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单位</w:t>
            </w:r>
          </w:p>
        </w:tc>
        <w:tc>
          <w:tcPr>
            <w:tcW w:w="438" w:type="pct"/>
            <w:vAlign w:val="center"/>
          </w:tcPr>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数量</w:t>
            </w:r>
          </w:p>
        </w:tc>
        <w:tc>
          <w:tcPr>
            <w:tcW w:w="488" w:type="pct"/>
            <w:vAlign w:val="center"/>
          </w:tcPr>
          <w:p>
            <w:pPr>
              <w:spacing w:line="560" w:lineRule="exact"/>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是否进口</w:t>
            </w:r>
          </w:p>
        </w:tc>
        <w:tc>
          <w:tcPr>
            <w:tcW w:w="500" w:type="pct"/>
            <w:vAlign w:val="center"/>
          </w:tcPr>
          <w:p>
            <w:pPr>
              <w:spacing w:line="56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357" w:type="pct"/>
            <w:vAlign w:val="center"/>
          </w:tcPr>
          <w:p>
            <w:pPr>
              <w:adjustRightInd w:val="0"/>
              <w:snapToGrid w:val="0"/>
              <w:spacing w:line="560" w:lineRule="exact"/>
              <w:jc w:val="center"/>
              <w:rPr>
                <w:rFonts w:hint="eastAsia" w:ascii="仿宋" w:hAnsi="仿宋" w:eastAsia="仿宋" w:cs="仿宋"/>
                <w:color w:val="auto"/>
                <w:sz w:val="22"/>
                <w:szCs w:val="22"/>
                <w:highlight w:val="none"/>
                <w:lang w:val="en-US" w:eastAsia="zh-CN"/>
              </w:rPr>
            </w:pPr>
            <w:bookmarkStart w:id="0" w:name="OLE_LINK1" w:colFirst="0" w:colLast="7"/>
            <w:r>
              <w:rPr>
                <w:rFonts w:hint="eastAsia" w:ascii="仿宋" w:hAnsi="仿宋" w:eastAsia="仿宋" w:cs="仿宋"/>
                <w:color w:val="auto"/>
                <w:sz w:val="22"/>
                <w:szCs w:val="22"/>
                <w:highlight w:val="none"/>
                <w:lang w:val="en-US" w:eastAsia="zh-CN"/>
              </w:rPr>
              <w:t>1</w:t>
            </w:r>
          </w:p>
        </w:tc>
        <w:tc>
          <w:tcPr>
            <w:tcW w:w="422" w:type="pct"/>
            <w:vAlign w:val="center"/>
          </w:tcPr>
          <w:p>
            <w:pPr>
              <w:pStyle w:val="2"/>
              <w:jc w:val="center"/>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品目一</w:t>
            </w:r>
          </w:p>
        </w:tc>
        <w:tc>
          <w:tcPr>
            <w:tcW w:w="1357" w:type="pct"/>
            <w:vAlign w:val="center"/>
          </w:tcPr>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华为设备维保服务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（服务器和存储类设备）</w:t>
            </w:r>
          </w:p>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（7*24*4）</w:t>
            </w:r>
          </w:p>
        </w:tc>
        <w:tc>
          <w:tcPr>
            <w:tcW w:w="832" w:type="pct"/>
            <w:vAlign w:val="center"/>
          </w:tcPr>
          <w:p>
            <w:pPr>
              <w:adjustRightInd w:val="0"/>
              <w:snapToGrid w:val="0"/>
              <w:spacing w:line="560" w:lineRule="exact"/>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C16070200</w:t>
            </w:r>
          </w:p>
        </w:tc>
        <w:tc>
          <w:tcPr>
            <w:tcW w:w="602"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438" w:type="pct"/>
            <w:vAlign w:val="center"/>
          </w:tcPr>
          <w:p>
            <w:pPr>
              <w:adjustRightInd w:val="0"/>
              <w:snapToGrid w:val="0"/>
              <w:spacing w:line="56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55</w:t>
            </w:r>
          </w:p>
        </w:tc>
        <w:tc>
          <w:tcPr>
            <w:tcW w:w="488"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否</w:t>
            </w:r>
          </w:p>
        </w:tc>
        <w:tc>
          <w:tcPr>
            <w:tcW w:w="500" w:type="pct"/>
            <w:vAlign w:val="center"/>
          </w:tcPr>
          <w:p>
            <w:pPr>
              <w:adjustRightInd w:val="0"/>
              <w:snapToGrid w:val="0"/>
              <w:spacing w:line="560" w:lineRule="exact"/>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357" w:type="pct"/>
            <w:vAlign w:val="center"/>
          </w:tcPr>
          <w:p>
            <w:pPr>
              <w:adjustRightInd w:val="0"/>
              <w:snapToGrid w:val="0"/>
              <w:spacing w:line="56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422" w:type="pct"/>
            <w:vAlign w:val="center"/>
          </w:tcPr>
          <w:p>
            <w:pPr>
              <w:pStyle w:val="2"/>
              <w:jc w:val="center"/>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品目二</w:t>
            </w:r>
          </w:p>
        </w:tc>
        <w:tc>
          <w:tcPr>
            <w:tcW w:w="1357" w:type="pct"/>
            <w:vAlign w:val="center"/>
          </w:tcPr>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华为设备维保服务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（安全类设备）</w:t>
            </w:r>
          </w:p>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（7*24*4）</w:t>
            </w:r>
          </w:p>
        </w:tc>
        <w:tc>
          <w:tcPr>
            <w:tcW w:w="832" w:type="pct"/>
            <w:vAlign w:val="center"/>
          </w:tcPr>
          <w:p>
            <w:pPr>
              <w:adjustRightInd w:val="0"/>
              <w:snapToGrid w:val="0"/>
              <w:spacing w:line="560" w:lineRule="exact"/>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C16070200</w:t>
            </w:r>
          </w:p>
        </w:tc>
        <w:tc>
          <w:tcPr>
            <w:tcW w:w="602"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438" w:type="pct"/>
            <w:vAlign w:val="center"/>
          </w:tcPr>
          <w:p>
            <w:pPr>
              <w:adjustRightInd w:val="0"/>
              <w:snapToGrid w:val="0"/>
              <w:spacing w:line="56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36</w:t>
            </w:r>
          </w:p>
        </w:tc>
        <w:tc>
          <w:tcPr>
            <w:tcW w:w="488"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否</w:t>
            </w:r>
          </w:p>
        </w:tc>
        <w:tc>
          <w:tcPr>
            <w:tcW w:w="500" w:type="pct"/>
            <w:vAlign w:val="center"/>
          </w:tcPr>
          <w:p>
            <w:pPr>
              <w:adjustRightInd w:val="0"/>
              <w:snapToGrid w:val="0"/>
              <w:spacing w:line="560" w:lineRule="exact"/>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357" w:type="pct"/>
            <w:vAlign w:val="center"/>
          </w:tcPr>
          <w:p>
            <w:pPr>
              <w:adjustRightInd w:val="0"/>
              <w:snapToGrid w:val="0"/>
              <w:spacing w:line="56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22" w:type="pct"/>
            <w:vAlign w:val="center"/>
          </w:tcPr>
          <w:p>
            <w:pPr>
              <w:pStyle w:val="2"/>
              <w:jc w:val="center"/>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品目三</w:t>
            </w:r>
          </w:p>
        </w:tc>
        <w:tc>
          <w:tcPr>
            <w:tcW w:w="1357" w:type="pct"/>
            <w:vAlign w:val="center"/>
          </w:tcPr>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华为设备维保服务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（视频会议）</w:t>
            </w:r>
          </w:p>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（7*24*4）</w:t>
            </w:r>
          </w:p>
        </w:tc>
        <w:tc>
          <w:tcPr>
            <w:tcW w:w="832" w:type="pct"/>
            <w:vAlign w:val="center"/>
          </w:tcPr>
          <w:p>
            <w:pPr>
              <w:adjustRightInd w:val="0"/>
              <w:snapToGrid w:val="0"/>
              <w:spacing w:line="560" w:lineRule="exact"/>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C16070200</w:t>
            </w:r>
          </w:p>
        </w:tc>
        <w:tc>
          <w:tcPr>
            <w:tcW w:w="602"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438" w:type="pct"/>
            <w:vAlign w:val="center"/>
          </w:tcPr>
          <w:p>
            <w:pPr>
              <w:adjustRightInd w:val="0"/>
              <w:snapToGrid w:val="0"/>
              <w:spacing w:line="56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88"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否</w:t>
            </w:r>
          </w:p>
        </w:tc>
        <w:tc>
          <w:tcPr>
            <w:tcW w:w="500" w:type="pct"/>
            <w:vAlign w:val="center"/>
          </w:tcPr>
          <w:p>
            <w:pPr>
              <w:adjustRightInd w:val="0"/>
              <w:snapToGrid w:val="0"/>
              <w:spacing w:line="560" w:lineRule="exact"/>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357" w:type="pct"/>
            <w:vAlign w:val="center"/>
          </w:tcPr>
          <w:p>
            <w:pPr>
              <w:adjustRightInd w:val="0"/>
              <w:snapToGrid w:val="0"/>
              <w:spacing w:line="56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422" w:type="pct"/>
            <w:vAlign w:val="center"/>
          </w:tcPr>
          <w:p>
            <w:pPr>
              <w:pStyle w:val="2"/>
              <w:jc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品目四</w:t>
            </w:r>
          </w:p>
        </w:tc>
        <w:tc>
          <w:tcPr>
            <w:tcW w:w="1357" w:type="pct"/>
            <w:vAlign w:val="center"/>
          </w:tcPr>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华为设备维保服务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（网络通信类设备）</w:t>
            </w:r>
          </w:p>
          <w:p>
            <w:pPr>
              <w:pStyle w:val="2"/>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（7*24*4）</w:t>
            </w:r>
          </w:p>
        </w:tc>
        <w:tc>
          <w:tcPr>
            <w:tcW w:w="832" w:type="pct"/>
            <w:vAlign w:val="center"/>
          </w:tcPr>
          <w:p>
            <w:pPr>
              <w:adjustRightInd w:val="0"/>
              <w:snapToGrid w:val="0"/>
              <w:spacing w:line="560" w:lineRule="exact"/>
              <w:jc w:val="center"/>
              <w:rPr>
                <w:rFonts w:hint="default" w:ascii="仿宋" w:hAnsi="仿宋" w:eastAsia="仿宋" w:cs="仿宋"/>
                <w:i w:val="0"/>
                <w:iCs w:val="0"/>
                <w:color w:val="000000"/>
                <w:sz w:val="22"/>
                <w:szCs w:val="22"/>
                <w:u w:val="none"/>
                <w:lang w:val="en-US" w:eastAsia="zh-CN"/>
              </w:rPr>
            </w:pPr>
            <w:r>
              <w:rPr>
                <w:rFonts w:hint="default" w:ascii="仿宋" w:hAnsi="仿宋" w:eastAsia="仿宋" w:cs="仿宋"/>
                <w:i w:val="0"/>
                <w:iCs w:val="0"/>
                <w:color w:val="000000"/>
                <w:sz w:val="22"/>
                <w:szCs w:val="22"/>
                <w:u w:val="none"/>
                <w:lang w:val="en-US" w:eastAsia="zh-CN"/>
              </w:rPr>
              <w:t>C16070200</w:t>
            </w:r>
          </w:p>
        </w:tc>
        <w:tc>
          <w:tcPr>
            <w:tcW w:w="602"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438" w:type="pct"/>
            <w:vAlign w:val="center"/>
          </w:tcPr>
          <w:p>
            <w:pPr>
              <w:adjustRightInd w:val="0"/>
              <w:snapToGrid w:val="0"/>
              <w:spacing w:line="56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1437</w:t>
            </w:r>
          </w:p>
        </w:tc>
        <w:tc>
          <w:tcPr>
            <w:tcW w:w="488" w:type="pct"/>
            <w:vAlign w:val="center"/>
          </w:tcPr>
          <w:p>
            <w:pPr>
              <w:adjustRightInd w:val="0"/>
              <w:snapToGrid w:val="0"/>
              <w:spacing w:line="5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否</w:t>
            </w:r>
          </w:p>
        </w:tc>
        <w:tc>
          <w:tcPr>
            <w:tcW w:w="500" w:type="pct"/>
            <w:vAlign w:val="center"/>
          </w:tcPr>
          <w:p>
            <w:pPr>
              <w:adjustRightInd w:val="0"/>
              <w:snapToGrid w:val="0"/>
              <w:spacing w:line="56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w:t>
            </w:r>
          </w:p>
        </w:tc>
      </w:tr>
      <w:bookmarkEnd w:id="0"/>
    </w:tbl>
    <w:p>
      <w:pPr>
        <w:spacing w:line="560" w:lineRule="exact"/>
        <w:ind w:firstLine="640" w:firstLineChars="200"/>
        <w:jc w:val="left"/>
        <w:outlineLvl w:val="2"/>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lang w:eastAsia="zh-CN"/>
        </w:rPr>
        <w:t>设备列表</w:t>
      </w:r>
    </w:p>
    <w:p>
      <w:pPr>
        <w:numPr>
          <w:ilvl w:val="0"/>
          <w:numId w:val="2"/>
        </w:numPr>
        <w:spacing w:line="560" w:lineRule="exact"/>
        <w:ind w:firstLine="640" w:firstLineChars="200"/>
        <w:jc w:val="left"/>
        <w:outlineLvl w:val="2"/>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品目一：华为维保服务（服务器和存储类设备）</w:t>
      </w:r>
    </w:p>
    <w:tbl>
      <w:tblPr>
        <w:tblStyle w:val="1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1521"/>
        <w:gridCol w:w="1304"/>
        <w:gridCol w:w="434"/>
        <w:gridCol w:w="651"/>
        <w:gridCol w:w="1086"/>
        <w:gridCol w:w="1086"/>
        <w:gridCol w:w="814"/>
        <w:gridCol w:w="651"/>
        <w:gridCol w:w="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序号</w:t>
            </w:r>
          </w:p>
        </w:tc>
        <w:tc>
          <w:tcPr>
            <w:tcW w:w="77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资产编号</w:t>
            </w:r>
          </w:p>
        </w:tc>
        <w:tc>
          <w:tcPr>
            <w:tcW w:w="65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序列号</w:t>
            </w:r>
          </w:p>
        </w:tc>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品牌</w:t>
            </w:r>
          </w:p>
        </w:tc>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型号</w:t>
            </w:r>
          </w:p>
        </w:tc>
        <w:tc>
          <w:tcPr>
            <w:tcW w:w="46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本次维保开始时间</w:t>
            </w:r>
          </w:p>
        </w:tc>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本次维保结束时间</w:t>
            </w:r>
          </w:p>
        </w:tc>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维保方式</w:t>
            </w:r>
          </w:p>
        </w:tc>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维保等级</w:t>
            </w:r>
          </w:p>
        </w:tc>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服务地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ASTINFO20210825173301765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2102312JES10K3000016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ASTINFO20210825173301768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2102312JES10K3000010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ASTINFO20210825173301766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2102312JES10K3000013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ASTINFO20210825173301767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2102312JES10K2000017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ASTINFO20210825173301774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2102312JES10K2000025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6</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ASTINFO20210825173301773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2102312JES10K2000030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ASTINFO20210825173301769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ASTINFO20210825173301770</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2102312JES10KC000013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ASTINFO20210825173301763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ASTINFO20210825173301772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ASTINFO20210825173301764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ASTINFO20210825173301771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2102312JES10KC000011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ASTINFO20210330184667394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ASTINFO20210330184667395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2102311TYBN0L3000105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15</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ASTINFO20210330184667396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16</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ASTINFO20210330184667397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2102311TYB6TL4002372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2027/7/25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17</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ASTINFO20210330184667398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ASTINFO20210330184667399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2102311TYBN0L3000109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ASTINFO20210330184667400</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2102311TYB6TL4002371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2027/7/25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ASTINFO20210330184667401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ASTINFO20210330184667402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2102311TYBN0L3000103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ASTINFO20210330184667403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2102311TYBN0L3000110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2026/6/6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25</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26</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27</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ASTINFO20210804175502880</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2102312JES10KC000015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2102312JES10KC000012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ASTINFO20210804175502881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2102312JES10KC000014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2288H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ASTINFO20221205184500089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ASTINFO20221205184500088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2102313YYSN0NB100003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ASTINFO20221205184500087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2102313YYSN0NB100009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35</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ASTINFO20221205184500085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36</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ASTINFO20230216164600126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2102313YYSN0NB100032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37</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ASTINFO20230216164600125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2102313YYSN0NB100016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ASTINFO20230216164600123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ASTINFO20230216164600124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2102313YYSN0NB100024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ASTINFO20221205184500086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2102313YYSN0NB100001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ASTINFO20221018182200269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2102313YUJ10N1100021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ASTINFO20221018182200270</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2102313YUJ10N1100015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2102313YUJ10N1100013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45</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46</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2102313YUJ10N1100019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47</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2102313YUJ10N1100018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ASTINFO20221018182200280</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2102313YUJ10N1100009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2102313YUJ10N1100016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2102313YUJ10N1100002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ASTINFO20221018182200277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2102313YUJ10N1100010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53</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ASTINFO20211101134700014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2102313CLX10M4000029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合同签订之次日</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ASTINFO20211101134700015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2102313CLX10M4000027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合同签订之次日</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55</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ASTINFO20211101134700016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2102313CLX10M4000028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2288X V5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合同签订之次日</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2028/12/31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bl>
    <w:p>
      <w:pPr>
        <w:numPr>
          <w:ilvl w:val="0"/>
          <w:numId w:val="2"/>
        </w:numPr>
        <w:spacing w:line="560" w:lineRule="exact"/>
        <w:ind w:firstLine="640" w:firstLineChars="200"/>
        <w:jc w:val="left"/>
        <w:outlineLvl w:val="2"/>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品目二：华为维保服务（安全类设备）</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11"/>
        <w:gridCol w:w="1390"/>
        <w:gridCol w:w="1195"/>
        <w:gridCol w:w="412"/>
        <w:gridCol w:w="1048"/>
        <w:gridCol w:w="999"/>
        <w:gridCol w:w="1195"/>
        <w:gridCol w:w="754"/>
        <w:gridCol w:w="608"/>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FFFF00"/>
            <w:noWrap/>
            <w:vAlign w:val="center"/>
          </w:tcPr>
          <w:p>
            <w:pPr>
              <w:keepNext w:val="0"/>
              <w:keepLines w:val="0"/>
              <w:widowControl/>
              <w:suppressLineNumbers w:val="0"/>
              <w:jc w:val="center"/>
              <w:textAlignment w:val="center"/>
              <w:rPr>
                <w:rFonts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序号</w:t>
            </w:r>
          </w:p>
        </w:tc>
        <w:tc>
          <w:tcPr>
            <w:tcW w:w="738"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资产编号</w:t>
            </w:r>
          </w:p>
        </w:tc>
        <w:tc>
          <w:tcPr>
            <w:tcW w:w="656"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序列号</w:t>
            </w:r>
          </w:p>
        </w:tc>
        <w:tc>
          <w:tcPr>
            <w:tcW w:w="391"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品牌</w:t>
            </w:r>
          </w:p>
        </w:tc>
        <w:tc>
          <w:tcPr>
            <w:tcW w:w="548"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型号</w:t>
            </w:r>
          </w:p>
        </w:tc>
        <w:tc>
          <w:tcPr>
            <w:tcW w:w="467"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本次维保开始时间</w:t>
            </w:r>
          </w:p>
        </w:tc>
        <w:tc>
          <w:tcPr>
            <w:tcW w:w="629"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本次维保结束时间</w:t>
            </w:r>
          </w:p>
        </w:tc>
        <w:tc>
          <w:tcPr>
            <w:tcW w:w="391"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维保方式</w:t>
            </w:r>
          </w:p>
        </w:tc>
        <w:tc>
          <w:tcPr>
            <w:tcW w:w="391"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维保等级</w:t>
            </w:r>
          </w:p>
        </w:tc>
        <w:tc>
          <w:tcPr>
            <w:tcW w:w="391" w:type="pct"/>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服务地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ASTINFO20231011091600003</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102337418944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USG12004</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2026/11/15</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2029/11/14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ASTINFO20231011091600004</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102337418942</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USG12004</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2026/11/15</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2029/11/14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ASTINFO20231011091600001</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102337418945</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USG12004</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2026/11/15</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2029/11/14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4</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ASTINFO20231011091600002</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102337418946</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USG12004</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2026/11/15</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2029/11/14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5</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ASTINFO20220411144400013</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102160209420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2027/6/30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6</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ASTINFO20220411144400015</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102160209418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2027/6/30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ASTINFO20220411144400014</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102160209419</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2027/6/30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8</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ASTINFO20220411144400016</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102160209417</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2027/6/30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9</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ASTINFO20220411144400017</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102160209416</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2027/6/30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ASTINFO20220411144400018</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102160209415</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2026/7/1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2027/6/30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11</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ASTINFO20210810112400004</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1020B0053870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合同签订之次日</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合同签订之次日后1年</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12</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ASTINFO20210330165745440</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210235G7G610KC000012</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13</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ASTINFO20210330165745437</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210235G7G610KC000014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14</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ASTINFO20210330165745434</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210235G7G610KC000019</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15</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ASTINFO20210330165745436</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210235G7G610KC000017</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16</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ASTINFO20210330165745433</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210235G7G610KC000016</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17</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ASTINFO20210330165745435</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210235G7G610KC000010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18</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ASTINFO20210330165745439</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210235G7G610F9000016</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2026/5/29</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2027/5/28</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19</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ASTINFO20210330165745350</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210235G7G610J9000009</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USG6670-AC</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2026/12/31</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ASTINFO20210330165745351</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210235G7G610J9000010</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USG6670-AC</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2026/1/1</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2026/12/31</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ASTINFO20221018182200119</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2102350FRR10N3100002</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USG9520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2027/5/25</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22</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ASTINFO20221018182200120</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2102350FRR10N3100001</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USG9520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2026/5/26</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2027/5/25</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23</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ASTINFO20230803094700044</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2102350FRR10N8100006</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USG9520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2026/3/15</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2027/3/14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24</w:t>
            </w:r>
          </w:p>
        </w:tc>
        <w:tc>
          <w:tcPr>
            <w:tcW w:w="73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ASTINFO20230803094700045</w:t>
            </w:r>
          </w:p>
        </w:tc>
        <w:tc>
          <w:tcPr>
            <w:tcW w:w="65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2102350FRR10N8100005</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USG9520</w:t>
            </w:r>
          </w:p>
        </w:tc>
        <w:tc>
          <w:tcPr>
            <w:tcW w:w="46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2026/3/15</w:t>
            </w:r>
          </w:p>
        </w:tc>
        <w:tc>
          <w:tcPr>
            <w:tcW w:w="62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2027/3/14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25</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ASTINFO20210723181600998</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102020066503</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USG6615E_AC</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26</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ASTINFO20210723181600999</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102020066504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USG6615E_AC</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27</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ASTINFO20220620162400075</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102120045672</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USG6680E</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2026/6/17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2029/6/16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28</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ASTINFO20220620162400076</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102120045673</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USG6680E</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2026/6/17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2029/6/16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29</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ASTINFO20211104152700012</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1020B0175336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30</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ASTINFO20211104152700013</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1020B0175338</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USG6655E</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31</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ASTINFO20211105145400015</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1020B0192899</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IPS6555E</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32</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ASTINFO20211105145400016</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1020B0192897</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IPS6555E</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33</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ASTINFO20211104152700010</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1020B0192872</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AntiDDos1825</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34</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ASTINFO20211104152700011</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1020B0192870</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AntiDDos1825</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35</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ASTINFO20211117112100003</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2102313CLX10LC000066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H22X_05_NCEE_128G</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36</w:t>
            </w:r>
          </w:p>
        </w:tc>
        <w:tc>
          <w:tcPr>
            <w:tcW w:w="7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ASTINFO20211117112100004</w:t>
            </w:r>
          </w:p>
        </w:tc>
        <w:tc>
          <w:tcPr>
            <w:tcW w:w="65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2102313CLX10LC000070</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5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H22X_05_NCEE_128G</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62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39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3"/>
                <w:szCs w:val="13"/>
                <w:u w:val="none"/>
              </w:rPr>
            </w:pPr>
            <w:r>
              <w:rPr>
                <w:rFonts w:hint="eastAsia" w:ascii="仿宋" w:hAnsi="仿宋" w:eastAsia="仿宋" w:cs="仿宋"/>
                <w:i w:val="0"/>
                <w:iCs w:val="0"/>
                <w:color w:val="auto"/>
                <w:kern w:val="0"/>
                <w:sz w:val="13"/>
                <w:szCs w:val="13"/>
                <w:u w:val="none"/>
                <w:lang w:val="en-US" w:eastAsia="zh-CN" w:bidi="ar"/>
              </w:rPr>
              <w:t>7*24*4</w:t>
            </w:r>
          </w:p>
        </w:tc>
        <w:tc>
          <w:tcPr>
            <w:tcW w:w="39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bl>
    <w:p>
      <w:pPr>
        <w:numPr>
          <w:ilvl w:val="0"/>
          <w:numId w:val="2"/>
        </w:numPr>
        <w:spacing w:line="560" w:lineRule="exact"/>
        <w:ind w:firstLine="640" w:firstLineChars="200"/>
        <w:jc w:val="left"/>
        <w:outlineLvl w:val="2"/>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品目三：华为维保服务（视频会议）</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7"/>
        <w:gridCol w:w="1544"/>
        <w:gridCol w:w="1322"/>
        <w:gridCol w:w="437"/>
        <w:gridCol w:w="548"/>
        <w:gridCol w:w="1101"/>
        <w:gridCol w:w="1101"/>
        <w:gridCol w:w="825"/>
        <w:gridCol w:w="659"/>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序号</w:t>
            </w:r>
          </w:p>
        </w:tc>
        <w:tc>
          <w:tcPr>
            <w:tcW w:w="819"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资产编号</w:t>
            </w:r>
          </w:p>
        </w:tc>
        <w:tc>
          <w:tcPr>
            <w:tcW w:w="699"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序列号</w:t>
            </w:r>
          </w:p>
        </w:tc>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品牌</w:t>
            </w:r>
          </w:p>
        </w:tc>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型号</w:t>
            </w:r>
          </w:p>
        </w:tc>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本次维保开始时间</w:t>
            </w:r>
          </w:p>
        </w:tc>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本次维保结束时间</w:t>
            </w:r>
          </w:p>
        </w:tc>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维保方式</w:t>
            </w:r>
          </w:p>
        </w:tc>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维保等级</w:t>
            </w:r>
          </w:p>
        </w:tc>
        <w:tc>
          <w:tcPr>
            <w:tcW w:w="435" w:type="pct"/>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服务地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1</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ASTINFO20211112150800002</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2102312CQN10LB000079</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VP9660</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ASTINFO20211112150800003</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2102312CQN10LB000080</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VP9660</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2029/1/16</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3</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ASTINFO20211112150800004</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2102312BCJ10LB000065</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SMC2.0</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2026/12/31</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4</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ASTINFO20211112150800005</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2102312BCJ10LB000069</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SMC2.0</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2026/12/31</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5</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ASTINFO20211112150800006</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2102312BCJ10LB000071</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SC</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2026/12/31</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6</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ASTINFO20211112150800007</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2102312BCJ10LB000072</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SC</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2026/12/31</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ASTINFO20211112150800008</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2102312BCJ10LB000074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SC</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2026/12/31</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8</w:t>
            </w:r>
          </w:p>
        </w:tc>
        <w:tc>
          <w:tcPr>
            <w:tcW w:w="8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ASTINFO20211112150800009</w:t>
            </w:r>
          </w:p>
        </w:tc>
        <w:tc>
          <w:tcPr>
            <w:tcW w:w="69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2102312BCJ10LB000075</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华为</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SC</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2026/1/17</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2026/12/31</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原厂+第三方</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7*24*4</w:t>
            </w:r>
          </w:p>
        </w:tc>
        <w:tc>
          <w:tcPr>
            <w:tcW w:w="4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上海</w:t>
            </w:r>
          </w:p>
        </w:tc>
      </w:tr>
    </w:tbl>
    <w:p>
      <w:pPr>
        <w:numPr>
          <w:ilvl w:val="0"/>
          <w:numId w:val="2"/>
        </w:numPr>
        <w:spacing w:line="560" w:lineRule="exact"/>
        <w:ind w:firstLine="640" w:firstLineChars="200"/>
        <w:jc w:val="left"/>
        <w:outlineLvl w:val="2"/>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品目四：华为维保服务（网络通信类设备）</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4"/>
        <w:gridCol w:w="1346"/>
        <w:gridCol w:w="1159"/>
        <w:gridCol w:w="405"/>
        <w:gridCol w:w="1253"/>
        <w:gridCol w:w="970"/>
        <w:gridCol w:w="1159"/>
        <w:gridCol w:w="734"/>
        <w:gridCol w:w="593"/>
        <w:gridCol w:w="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资产编号</w:t>
            </w:r>
          </w:p>
        </w:tc>
        <w:tc>
          <w:tcPr>
            <w:tcW w:w="62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序列号</w:t>
            </w:r>
          </w:p>
        </w:tc>
        <w:tc>
          <w:tcPr>
            <w:tcW w:w="38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品牌</w:t>
            </w:r>
          </w:p>
        </w:tc>
        <w:tc>
          <w:tcPr>
            <w:tcW w:w="67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型号</w:t>
            </w:r>
          </w:p>
        </w:tc>
        <w:tc>
          <w:tcPr>
            <w:tcW w:w="44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本次维保开始时间</w:t>
            </w:r>
          </w:p>
        </w:tc>
        <w:tc>
          <w:tcPr>
            <w:tcW w:w="5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本次维保结束时间</w:t>
            </w:r>
          </w:p>
        </w:tc>
        <w:tc>
          <w:tcPr>
            <w:tcW w:w="38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维保方式</w:t>
            </w:r>
          </w:p>
        </w:tc>
        <w:tc>
          <w:tcPr>
            <w:tcW w:w="38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维保等级</w:t>
            </w:r>
          </w:p>
        </w:tc>
        <w:tc>
          <w:tcPr>
            <w:tcW w:w="38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服务地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ASTINFO20211101134700008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2102115641DMM4000099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AR6280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ASTINFO20211101134700011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2102115641DMM3000096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AR6280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ASTINFO20211101134700009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2102115641DMM4000098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AR6280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ASTINFO20211101134700010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2102115641DMM3000099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AR6280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ASTINFO20211101134700012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2102115640DMM4000074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AR6300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ASTINFO20211101134700013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2102115640DMM4000076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AR6300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2102113774P0K6000211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2102113774P0K6000109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ASTINFO20210330191274599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2102113774P0J9000055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2102113774P0J9000017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2102113774P0K3000002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2102113774P0K3000001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ASTINFO20210330192275935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2102113774P0K9000128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2102351BTV10H2000010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2027/6/14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2102351BTV10H2000012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2027/6/14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ASTINFO20210330192276000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2102113774P0K9000118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ASTINFO20210330192175790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2102113774P0K9000148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ASTINFO20210330192175791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2102113774P0K9000144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ASTINFO20210330192276058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2102113774P0K9000125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ASTINFO20210330192276002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2102113774P0KC000080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ASTINFO20210330192275850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2102113774P0K9000097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ASTINFO20210330192275937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2102113774P0K9000126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2102113774P0KC000106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2102113774P0J9000058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2102113774P0J9000063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2102113774P0K3000003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2102113774P0K3000005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2102113774P0J9000066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2102113774P0J9000067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102225053826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102225053824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102337303090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102337303088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102346263603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102346263599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102346263602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102315366116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102337303094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102337303092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102215010536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102225053825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102225312467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102225312468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102225053823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102215010540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102315366113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102346263608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102337303085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102337303086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CE16804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2102350GTU6TK3000245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2102350GTW6TK3000441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ASTINFO20220906140800172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2102350GTWDMLC000302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ASTINFO20220906140800187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2102350GTWDMLC000297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2102350GTWDMKC000295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2102350GTWDMKC000146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2102350GTWDMKC000379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2102350GTWDMKC000072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2102350GTW6THB000153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ASTINFO20220519184100371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2102350GTWDMLC000158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2102350GTU6TK3000309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2102350GTU6TK3000429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ASTINFO20220906140800190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2102350GTWDMLC000102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2102350GTW6TJ9000287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2102350GTW6TJ9000491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2102350GTW6TJ9000495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2102350GTW6TJ9000320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2102350GTW6TJ9000492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2102350GTWDMKC000135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2102350GTWDMKC000112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ASTINFO20220519184100323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2102350GTWDMLC000086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ASTINFO20220519184100326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2102350GTWDMLB000564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ASTINFO20220519184100341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2102350GTWDMLC000059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ASTINFO20220519184100329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2102350GTWDMLB000551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2102350GTW6TJ9000121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2102350GTW6TJ9000011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ASTINFO20220519184100333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2102350GTWDMLC000161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ASTINFO20220519184100353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2102350GTWDMLC000187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ASTINFO20220519184100171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2102350GTWDMLC000114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2102350GTW6TJ5000724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2025/12/12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2102350GTW6TJ5000722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2102350GTU6TK3000376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2102350GTUDMK8000136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2102350GTUDMKB000138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2102350GTUDMKB000191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ASTINFO20210804175502899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2102350GTUDMKB000147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CE5855-48T4S2Q-EI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2102350SRE10K3000006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2102350SRE10K3000010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ASTINFO20210330192579194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2026/4/13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2027/4/12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2026/4/13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2027/4/12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2026/4/13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2027/4/12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2026/4/13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2027/4/12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ASTINFO20210330192175755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2102350SRF10K6000004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ASTINFO20210330192175756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2102350SRF10K6000002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2102350SRF10K3000004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ASTINFO20210330192579195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2026/4/13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2027/4/12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2026/4/13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2027/4/12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ASTINFO20210330191274593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2102350SRF10J9000027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2102350SRE10K3000004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2102350SRE10K3000003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CE6880-48S4Q2CQ-EI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2102350SRK10J7000003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2102350SRE10H2000001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2102350SRE10H7000001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2102350SRJ10K9000012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2102350SRJ10H9000003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2102350SRJ10K9000002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2102350SRJ10K9000020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2102350SRJ10K9000017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ASTINFO20210330191574992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2102350SRJ10K2000020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2102350SRJ10H8000002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ASTINFO20210330191274592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2102350SRK10K1000002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399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2102350SRK10J8000003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ASTINFO20210330192175754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ASTINFO20210330192175757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2102350SRK10K1000013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2102350SRK10K1000012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2102350SRK10K1000011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2102350SRK10K1000006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2102350SRK10K1000005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499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ASTINFO20210330191274589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2102350SRK10K1000004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2102350SRK10J8000002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2102350SRK10K3000103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2102350SRK10J8000006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ASTINFO20210330191274597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ASTINFO20210330191274590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599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2102350SRJ10K5000030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2027/5/28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ASTINFO20210330191274718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2102350SRK10J8000009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2102350SRK10J9000207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2102350SRF10K3000002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2102350SRF10K3000001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合同签订之次日后1年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ASTINFO20210330191274656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ASTINFO20210330191374768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ASTINFO20210330191374839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2102350SRK10J9000086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ASTINFO20210330191775280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ASTINFO20210330191775346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2102350SRK10K3000020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ASTINFO20210330191074359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2102350SRJ10J4000028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2102350SRK10J5000043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ASTINFO20210330190673769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2102350SRJ10H5000022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2102350SRJ10H8000005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2102350SRJ10H8000004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2102350SRJ10K9000021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2102350SRK10K8000063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ASTINFO20210330191474870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合同签订之次日后1年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ASTINFO20210330192579197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2102350SRJ10H8000006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ASTINFO20210330192579252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2102350SRJ10H2000011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ASTINFO20210330191474928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合同签订之次日后1年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ASTINFO20210330191875423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2102350SRJ10K3000036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ASTINFO20210330191675227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2102350SRF10K3000005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CE6880-48T4Q2CQ-EI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1021BA297994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1021BA297954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6T22A0003820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6T22A0003899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DU19C0003071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DU19C0003547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DU19C0003550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DU19C0003277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1021BA297741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1021B0287665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1021B0446088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1021BA244184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1021B0287655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1021BA445763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1021BA244166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1021BA244195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1021BA244145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1021BA244218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1021BA297981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1021BA297984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1021BA244137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1021B0287654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1021B0287659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1021BA244175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1021BA244144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1021BA297997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1021B0107821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1021BA445770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1021BA445752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1021BA298037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102266066500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102266066447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DU19C0004170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DU19C0003570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DU19C0003360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DU19C0004502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DU19C0004386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DU19C0000877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DU19C0004128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DU19C0002892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DU19C0004398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DU19C0004394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DU19C0000511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DU19C0004610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DU19C0005347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DU19C0000390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DU19C0004395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DU19C0004329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DU19C0002902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DU19C0002859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DU19C0004330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DU19C0000276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DU19C0003103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DU19C0004112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DU19C0000886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DU19C0005350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DU19C0000505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DU19C0000894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DU19C0000513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DU19C0003075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DU19C0000887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DU19C0000265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DU19C0003096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DU19C0000271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DU19C0005356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DU19C0001084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DU19C0003554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DU19C0002900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DU19C0000825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DU19C0002894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DU19C0003544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DU19C0004693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DU19C0005183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DU19C0000257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DU19C0001080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DU19C0003072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DU19C0004612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DU19C0003073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DU19C0004552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DU19C0004609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DU19C0002901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DU19C0001235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DU19C0003959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DU19C0003888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DU19C0003729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DU19C0001083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DU19C0003276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DU19C0003568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DU19C0000831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DU19C0001085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DU19C0001086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DU19C0005334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DU19C0004562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DU19C0001081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DU19C0003592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DU19C0004460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DU19C0000827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ASTINFO20210825173301483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DU19C0004555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DU19C0000904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DU19C0000475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ASTINFO20210825173301739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DU19C0004501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899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ASTINFO20210825173301504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DU19C0003474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ASTINFO20230926141800102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ASTINFO20230926141800101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102345846836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102345846843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102347888508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102345846862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102355643582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102355643623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102345846842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102345846839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102355643707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102355643518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102355643702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102355643690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102355643577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102355643595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102345846834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102345846876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102355643559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ASTINFO20231024143000031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102355643686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102337380062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102337380043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102347888511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102345624509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102346447201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102345624511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102355643556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102346447184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102345624502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102337380060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102355459096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ASTINFO20230926141800103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102345624512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102355459112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102345624506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999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102347888475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102345397153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102345624503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102345624497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ASTINFO20230926141800094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102346447156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6T22B0020296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102276130450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102276130460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6T22B0020132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102276130461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6T22B0020153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6T22B0020258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102297092770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6T22B0020287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6T22B0020289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6T22B0020311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6T22B0020142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6T22B0020128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102276130419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6T22B0020322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6T22B0020146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DU19C0004247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ASTINFO20210825173301268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DU19C0003930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ASTINFO20210825173301393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DU19C0005269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DU19C0004733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6T22B0020293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6T22B0020294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6T22B0020186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ASTINFO20210825173301666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DU19C0002704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6T22B0020138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ASTINFO20231031143700071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1022C5675311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1022C5687296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1022C5687317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ASTINFO20231031143700144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6T22B0020047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ASTINFO20211117151900008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102080107473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ASTINFO20211117151900009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102120098552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ASTINFO20211117151900010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102120098546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ASTINFO20211117151900011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102080107470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1021BA033287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1021BA033464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1021BA033264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1021BA033262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1021B0446251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1021B0107839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1021B0446297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1021BA033446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1021BA033279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102225210277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1021BA033465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1021B0287667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1021B0107810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1021B0107870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1021BA244383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1021B0446268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1021B0107864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1021B0446274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1021BA033462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1021BA033290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1021BA033402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1021B0446248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1021BA033405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1021BA033419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1021BA033382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102225210276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1021B0446254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1021BA033295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1021BA033332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1021BA244380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1199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ASTINFO20210330192276570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DU2030100104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2029/6/26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ASTINFO20210330192276572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DU2030100024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2029/6/26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102336283527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102336283470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102336283516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102336283514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102336012693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102336012699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102336012708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102336283549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102336283461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102336283486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102336283550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102336012691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1021B0287652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1021BA033266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1021BA244410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1021B0446333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ASTINFO20221018182200208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1021B0181906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ASTINFO20221018182200144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1021B0143107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2026/5/26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2029/5/25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1019B0007433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DU19B0000322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ASTINFO20210804175502893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ASTINFO20210804175502898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DU19C0002051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ASTINFO20210804175502977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ASTINFO20210804175502896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DU19C0002054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DU19B0000337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DU19C0002048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ASTINFO20210804175502992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DU19C0002158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DU19C0002172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ASTINFO20210330192276166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102030068853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2029/6/25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ASTINFO20210330192276167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102020072945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2026/6/26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2029/6/25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1299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DU19C0002068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CE6881-48S6CQ-F</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ASTINFO20231026095600001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2102301704N0NC000059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E6616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ASTINFO20231026095600002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2102301704N0NC000056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E6616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ASTINFO20231026095600003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2102301704N0NC000055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E6616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ASTINFO20231026095600004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2102301704N0NC000057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E6616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ASTINFO20230216164600099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2102352PQN10NB100069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2102352PQN10NB100078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NE40E-X8A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ASTINFO20230216164600112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ASTINFO20221205184500071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2102353VMM10NB100108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ASTINFO20221205184500076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2102353VMM10NB100098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NetEngine 8000 M14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1339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ASTINFO20210804175502891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2102359576DMKC000072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2102359576DMKC000065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2102359576DMKC000073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ASTINFO20210804175502955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2102359576DMKC000057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2102359576DMKC000070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2102359576DMKC000067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ASTINFO20210804175503058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2102359576DMKC000066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S5720-56C-PWR-EI</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2026/3/27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2027/3/26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1021C5162253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1021C6003924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1349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1021C5162235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1021C5162262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ASTINFO20220930151800068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1021C5162285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ASTINFO20220930151800064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1021C5162263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1021C6003929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ASTINFO20220930151800065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1021C6003927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S5731-H48T4XC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DM2262020475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S5731-S48T4X</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2026/7/24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2029/7/23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ASTINFO20230803094600042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DM2262020476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S5731-S48T4X</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2026/7/24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2029/7/23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ASTINFO20210330190273005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2102113307P0D5000079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S7706-ES0B17706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2026/6/17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2027/6/16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ASTINFO20210330190273010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2102113307P0D5000074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S7706-ES0B17706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2026/6/17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2027/6/16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1359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2102314JJS10P3100044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TaiShan 2280 v2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2102314JJS10P3100042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TaiShan 2280 v2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ASTINFO20230927173600354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2102314JJS10P3100043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TaiShan 2280 v2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2026/11/23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2029/11/22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033VWA10N1100107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TNF2ELOM01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033VWA10N1100109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TNF2ELOM01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033VWA10N1100128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TNF2ELOM01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033VWA10N1100130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TNF2ELOM01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032YVW10N1100114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TNF2LTX</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032YVW10N1100113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TNF2LTX</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032YVW10N1100111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TNF2LTX</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1369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ASTINFO20221114103300156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032YVW10N1100112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TNF2LTX</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合同签订之次日后3年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210235G7G610J9000012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USG6670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210235G7G610J9000013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USG6670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210235G7G610J9000002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USG6670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210235G7G610J9000003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USG6670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210235G7G610J9000004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USG6670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ASTINFO20210330191174531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210235G7G610J8000012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USG6670-AC</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ASTINFO20210804175002641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2102113774P0JB000004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2102113774P0JB000007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CE12804A-B06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1379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ASTINFO20210804175002595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ASTINFO20210804175002596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2102350SRK10JB000042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2102350SRK10J9000153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1389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2102350SRK10J9000199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ASTINFO20210804175002597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ASTINFO20210804175002591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1399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ASTINFO20210804175002601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2102350SRK10K4000014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ASTINFO20210804175002649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2102350SRK10J9000111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1409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ASTINFO20210804175002642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ASTINFO20210804175002648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ASTINFO20210804175002603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1419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ASTINFO20210804175002590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2102350SRK10JB000024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2102350SRK10JB000017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2102350SRF10K7000020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ASTINFO20210804175002650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2102350SRF10JB000001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 CE6880-EI-B-B0A</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2026/12/31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1429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ASTINFO20210330192579529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ASTINFO20210330192579532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ASTINFO20210330192579533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ASTINFO20210330192579536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2102301517N0K3000006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TNFK17AFB</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2028/12/31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1437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ASTINFO20210330191675144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2102350GTW6TGB000245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华为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CE5855-EI-B-B00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合同签订之次日后1年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原厂+第三方</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7*24*4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北京</w:t>
            </w:r>
          </w:p>
        </w:tc>
      </w:tr>
    </w:tbl>
    <w:p>
      <w:pPr>
        <w:pStyle w:val="13"/>
        <w:rPr>
          <w:rFonts w:hint="eastAsia"/>
          <w:lang w:val="en-US" w:eastAsia="zh-CN"/>
        </w:rPr>
      </w:pPr>
    </w:p>
    <w:p>
      <w:pPr>
        <w:pStyle w:val="13"/>
        <w:numPr>
          <w:ilvl w:val="0"/>
          <w:numId w:val="0"/>
        </w:numPr>
        <w:ind w:leftChars="200"/>
        <w:rPr>
          <w:rFonts w:hint="default"/>
          <w:lang w:val="en-US" w:eastAsia="zh-CN"/>
        </w:rPr>
      </w:pPr>
    </w:p>
    <w:p>
      <w:pPr>
        <w:numPr>
          <w:ilvl w:val="0"/>
          <w:numId w:val="0"/>
        </w:numPr>
        <w:spacing w:line="560" w:lineRule="exact"/>
        <w:ind w:leftChars="200"/>
        <w:jc w:val="left"/>
        <w:outlineLvl w:val="1"/>
        <w:rPr>
          <w:rFonts w:hint="eastAsia" w:ascii="楷体" w:hAnsi="楷体" w:eastAsia="楷体" w:cs="Times New Roman"/>
          <w:sz w:val="32"/>
          <w:szCs w:val="32"/>
        </w:rPr>
      </w:pPr>
      <w:r>
        <w:rPr>
          <w:rFonts w:hint="eastAsia" w:ascii="楷体" w:hAnsi="楷体" w:eastAsia="楷体" w:cs="Times New Roman"/>
          <w:sz w:val="32"/>
          <w:szCs w:val="32"/>
          <w:lang w:val="en-US" w:eastAsia="zh-CN"/>
        </w:rPr>
        <w:t>三、</w:t>
      </w:r>
      <w:r>
        <w:rPr>
          <w:rFonts w:hint="eastAsia" w:ascii="楷体" w:hAnsi="楷体" w:eastAsia="楷体" w:cs="Times New Roman"/>
          <w:sz w:val="32"/>
          <w:szCs w:val="32"/>
        </w:rPr>
        <w:t>技术要求</w:t>
      </w:r>
    </w:p>
    <w:p>
      <w:pPr>
        <w:spacing w:line="560" w:lineRule="exact"/>
        <w:ind w:firstLine="640" w:firstLineChars="200"/>
        <w:jc w:val="left"/>
        <w:outlineLvl w:val="2"/>
        <w:rPr>
          <w:rFonts w:hint="eastAsia"/>
        </w:rPr>
      </w:pPr>
      <w:r>
        <w:rPr>
          <w:rFonts w:hint="eastAsia" w:ascii="仿宋" w:hAnsi="仿宋" w:eastAsia="仿宋" w:cs="Times New Roman"/>
          <w:sz w:val="32"/>
          <w:szCs w:val="32"/>
          <w:highlight w:val="none"/>
        </w:rPr>
        <w:t>技术、商务</w:t>
      </w:r>
      <w:r>
        <w:rPr>
          <w:rFonts w:hint="eastAsia" w:ascii="仿宋" w:hAnsi="仿宋" w:eastAsia="仿宋" w:cs="Times New Roman"/>
          <w:sz w:val="32"/>
          <w:szCs w:val="32"/>
          <w:highlight w:val="none"/>
          <w:lang w:val="en-US" w:eastAsia="zh-CN"/>
        </w:rPr>
        <w:t>要求</w:t>
      </w:r>
      <w:r>
        <w:rPr>
          <w:rFonts w:hint="eastAsia" w:ascii="仿宋" w:hAnsi="仿宋" w:eastAsia="仿宋" w:cs="Times New Roman"/>
          <w:sz w:val="32"/>
          <w:szCs w:val="32"/>
          <w:highlight w:val="none"/>
        </w:rPr>
        <w:t>按重要性分为“★”、“#”和“△”指标。“★”代表最关键指标，不满足该指标项将导致投标被拒绝；“#”代表重要指标，“△”代表一般指标项。“#”和“△”指标</w:t>
      </w:r>
      <w:r>
        <w:rPr>
          <w:rFonts w:hint="eastAsia" w:ascii="仿宋" w:hAnsi="仿宋" w:eastAsia="仿宋" w:cs="Times New Roman"/>
          <w:sz w:val="32"/>
          <w:szCs w:val="32"/>
          <w:highlight w:val="none"/>
          <w:lang w:val="en-US" w:eastAsia="zh-CN"/>
        </w:rPr>
        <w:t>可作为</w:t>
      </w:r>
      <w:r>
        <w:rPr>
          <w:rFonts w:hint="eastAsia" w:ascii="仿宋" w:hAnsi="仿宋" w:eastAsia="仿宋" w:cs="Times New Roman"/>
          <w:sz w:val="32"/>
          <w:szCs w:val="32"/>
          <w:highlight w:val="none"/>
        </w:rPr>
        <w:t>比较性评价指标。</w:t>
      </w:r>
    </w:p>
    <w:p>
      <w:pPr>
        <w:spacing w:line="560" w:lineRule="exact"/>
        <w:ind w:firstLine="640" w:firstLineChars="200"/>
        <w:jc w:val="left"/>
        <w:outlineLvl w:val="2"/>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1.技术要求</w:t>
      </w:r>
    </w:p>
    <w:p>
      <w:pPr>
        <w:spacing w:line="560" w:lineRule="exact"/>
        <w:ind w:leftChars="100" w:firstLine="560" w:firstLineChars="200"/>
        <w:jc w:val="left"/>
        <w:outlineLvl w:val="3"/>
        <w:rPr>
          <w:sz w:val="28"/>
          <w:szCs w:val="32"/>
        </w:rPr>
      </w:pPr>
      <w:r>
        <w:rPr>
          <w:rFonts w:hint="eastAsia"/>
          <w:sz w:val="28"/>
          <w:szCs w:val="32"/>
        </w:rPr>
        <w:t>（1）包1</w:t>
      </w:r>
    </w:p>
    <w:p>
      <w:pPr>
        <w:spacing w:line="360" w:lineRule="auto"/>
        <w:ind w:firstLine="560" w:firstLineChars="200"/>
        <w:rPr>
          <w:rFonts w:hint="eastAsia" w:ascii="仿宋" w:hAnsi="仿宋" w:eastAsia="仿宋" w:cs="Times New Roman"/>
          <w:iCs/>
          <w:sz w:val="24"/>
          <w:szCs w:val="24"/>
          <w:lang w:val="en-US" w:eastAsia="zh-CN"/>
        </w:rPr>
      </w:pPr>
      <w:r>
        <w:rPr>
          <w:rFonts w:hint="eastAsia" w:ascii="仿宋" w:hAnsi="仿宋" w:eastAsia="仿宋" w:cs="Times New Roman"/>
          <w:iCs/>
          <w:sz w:val="28"/>
          <w:szCs w:val="28"/>
        </w:rPr>
        <w:t>本技术要求</w:t>
      </w:r>
      <w:r>
        <w:rPr>
          <w:rFonts w:ascii="仿宋" w:hAnsi="仿宋" w:eastAsia="仿宋" w:cs="Times New Roman"/>
          <w:iCs/>
          <w:sz w:val="28"/>
          <w:szCs w:val="28"/>
        </w:rPr>
        <w:t>共有“</w:t>
      </w:r>
      <w:r>
        <w:rPr>
          <w:rFonts w:hint="eastAsia" w:ascii="仿宋" w:hAnsi="仿宋" w:eastAsia="仿宋" w:cs="Times New Roman"/>
          <w:iCs/>
          <w:sz w:val="28"/>
          <w:szCs w:val="28"/>
        </w:rPr>
        <w:t>★</w:t>
      </w:r>
      <w:r>
        <w:rPr>
          <w:rFonts w:ascii="仿宋" w:hAnsi="仿宋" w:eastAsia="仿宋" w:cs="Times New Roman"/>
          <w:iCs/>
          <w:sz w:val="28"/>
          <w:szCs w:val="28"/>
        </w:rPr>
        <w:t>”</w:t>
      </w:r>
      <w:r>
        <w:rPr>
          <w:rFonts w:hint="eastAsia"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0</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r>
        <w:rPr>
          <w:rFonts w:ascii="仿宋" w:hAnsi="仿宋" w:eastAsia="仿宋" w:cs="Times New Roman"/>
          <w:iCs/>
          <w:sz w:val="28"/>
          <w:szCs w:val="28"/>
        </w:rPr>
        <w:t>，“#”</w:t>
      </w:r>
      <w:r>
        <w:rPr>
          <w:rFonts w:hint="eastAsia"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0</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r>
        <w:rPr>
          <w:rFonts w:ascii="仿宋" w:hAnsi="仿宋" w:eastAsia="仿宋" w:cs="Times New Roman"/>
          <w:iCs/>
          <w:sz w:val="28"/>
          <w:szCs w:val="28"/>
        </w:rPr>
        <w:t>，</w:t>
      </w:r>
      <w:r>
        <w:rPr>
          <w:rFonts w:hint="eastAsia" w:ascii="仿宋" w:hAnsi="仿宋" w:eastAsia="仿宋" w:cs="Times New Roman"/>
          <w:iCs/>
          <w:sz w:val="28"/>
          <w:szCs w:val="28"/>
        </w:rPr>
        <w:t>“△”</w:t>
      </w:r>
      <w:r>
        <w:rPr>
          <w:rFonts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0</w:t>
      </w:r>
      <w:r>
        <w:rPr>
          <w:rFonts w:ascii="仿宋" w:hAnsi="仿宋" w:eastAsia="仿宋" w:cs="Times New Roman"/>
          <w:iCs/>
          <w:sz w:val="28"/>
          <w:szCs w:val="28"/>
          <w:u w:val="single"/>
        </w:rPr>
        <w:t xml:space="preserve"> </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r>
        <w:rPr>
          <w:rFonts w:hint="eastAsia" w:ascii="仿宋" w:hAnsi="仿宋" w:eastAsia="仿宋" w:cs="Times New Roman"/>
          <w:iCs/>
          <w:sz w:val="28"/>
          <w:szCs w:val="28"/>
          <w:lang w:eastAsia="zh-CN"/>
        </w:rPr>
        <w:t>。</w:t>
      </w:r>
    </w:p>
    <w:tbl>
      <w:tblPr>
        <w:tblStyle w:val="16"/>
        <w:tblpPr w:leftFromText="180" w:rightFromText="180" w:vertAnchor="text" w:horzAnchor="page" w:tblpX="2121" w:tblpY="356"/>
        <w:tblOverlap w:val="never"/>
        <w:tblW w:w="0" w:type="auto"/>
        <w:jc w:val="center"/>
        <w:tblLayout w:type="autofit"/>
        <w:tblCellMar>
          <w:top w:w="0" w:type="dxa"/>
          <w:left w:w="108" w:type="dxa"/>
          <w:bottom w:w="0" w:type="dxa"/>
          <w:right w:w="108" w:type="dxa"/>
        </w:tblCellMar>
      </w:tblPr>
      <w:tblGrid>
        <w:gridCol w:w="553"/>
        <w:gridCol w:w="711"/>
        <w:gridCol w:w="868"/>
        <w:gridCol w:w="868"/>
        <w:gridCol w:w="868"/>
        <w:gridCol w:w="1813"/>
        <w:gridCol w:w="869"/>
        <w:gridCol w:w="1972"/>
      </w:tblGrid>
      <w:tr>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重要性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指标分类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黑体" w:hAnsi="宋体" w:eastAsia="黑体" w:cs="黑体"/>
                <w:color w:val="auto"/>
                <w:kern w:val="2"/>
                <w:sz w:val="18"/>
                <w:szCs w:val="18"/>
                <w:highlight w:val="none"/>
                <w:lang w:val="en-US" w:eastAsia="zh-CN" w:bidi="ar-SA"/>
              </w:rPr>
            </w:pPr>
            <w:r>
              <w:rPr>
                <w:rFonts w:hint="eastAsia" w:ascii="黑体" w:hAnsi="宋体" w:eastAsia="黑体" w:cs="黑体"/>
                <w:color w:val="auto"/>
                <w:kern w:val="0"/>
                <w:sz w:val="18"/>
                <w:szCs w:val="18"/>
                <w:highlight w:val="none"/>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黑体" w:hAnsi="宋体" w:eastAsia="黑体" w:cs="黑体"/>
                <w:color w:val="auto"/>
                <w:kern w:val="0"/>
                <w:sz w:val="18"/>
                <w:szCs w:val="18"/>
                <w:highlight w:val="none"/>
                <w:lang w:val="en-US" w:eastAsia="zh-CN" w:bidi="ar"/>
              </w:rPr>
            </w:pPr>
            <w:r>
              <w:rPr>
                <w:rFonts w:hint="eastAsia" w:ascii="黑体" w:hAnsi="宋体" w:eastAsia="黑体" w:cs="黑体"/>
                <w:color w:val="auto"/>
                <w:kern w:val="0"/>
                <w:sz w:val="18"/>
                <w:szCs w:val="18"/>
                <w:highlight w:val="none"/>
                <w:lang w:val="en-US" w:eastAsia="zh-CN" w:bidi="ar"/>
              </w:rPr>
              <w:t>是否可以作为评分因素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参数编写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kern w:val="0"/>
                <w:sz w:val="18"/>
                <w:szCs w:val="18"/>
                <w:highlight w:val="none"/>
                <w:lang w:bidi="ar"/>
              </w:rPr>
              <w:t>是否提供证明材料及方式</w:t>
            </w:r>
          </w:p>
        </w:tc>
      </w:tr>
      <w:tr>
        <w:tblPrEx>
          <w:tblCellMar>
            <w:top w:w="0" w:type="dxa"/>
            <w:left w:w="108" w:type="dxa"/>
            <w:bottom w:w="0" w:type="dxa"/>
            <w:right w:w="108" w:type="dxa"/>
          </w:tblCellMar>
        </w:tblPrEx>
        <w:trPr>
          <w:trHeight w:val="112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auto"/>
                <w:sz w:val="18"/>
                <w:szCs w:val="18"/>
                <w:highlight w:val="none"/>
                <w:lang w:val="en-US" w:eastAsia="zh-CN"/>
              </w:rPr>
            </w:pPr>
            <w:r>
              <w:rPr>
                <w:rFonts w:hint="eastAsia" w:ascii="黑体" w:hAnsi="宋体" w:eastAsia="黑体" w:cs="黑体"/>
                <w:color w:val="auto"/>
                <w:sz w:val="18"/>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sz w:val="18"/>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sz w:val="18"/>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color w:val="auto"/>
                <w:sz w:val="18"/>
                <w:szCs w:val="18"/>
                <w:highlight w:val="none"/>
              </w:rPr>
            </w:pPr>
            <w:r>
              <w:rPr>
                <w:rFonts w:hint="eastAsia" w:ascii="黑体" w:hAnsi="宋体" w:eastAsia="黑体" w:cs="黑体"/>
                <w:color w:val="auto"/>
                <w:sz w:val="18"/>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黑体" w:hAnsi="宋体" w:eastAsia="黑体" w:cs="黑体"/>
                <w:color w:val="auto"/>
                <w:kern w:val="2"/>
                <w:sz w:val="18"/>
                <w:szCs w:val="18"/>
                <w:highlight w:val="none"/>
                <w:lang w:val="en-US" w:eastAsia="zh-CN" w:bidi="ar-SA"/>
              </w:rPr>
            </w:pPr>
            <w:r>
              <w:rPr>
                <w:rFonts w:hint="eastAsia" w:ascii="黑体" w:hAnsi="宋体" w:eastAsia="黑体" w:cs="黑体"/>
                <w:color w:val="auto"/>
                <w:sz w:val="18"/>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auto"/>
                <w:kern w:val="0"/>
                <w:sz w:val="18"/>
                <w:szCs w:val="18"/>
                <w:highlight w:val="none"/>
                <w:lang w:val="en-US" w:eastAsia="zh-CN" w:bidi="ar"/>
              </w:rPr>
            </w:pPr>
            <w:r>
              <w:rPr>
                <w:rFonts w:hint="eastAsia" w:ascii="黑体" w:hAnsi="宋体" w:eastAsia="黑体" w:cs="黑体"/>
                <w:color w:val="auto"/>
                <w:sz w:val="18"/>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auto"/>
                <w:sz w:val="18"/>
                <w:szCs w:val="18"/>
                <w:highlight w:val="none"/>
              </w:rPr>
            </w:pPr>
            <w:r>
              <w:rPr>
                <w:rFonts w:hint="eastAsia" w:ascii="黑体" w:hAnsi="宋体" w:eastAsia="黑体" w:cs="黑体"/>
                <w:color w:val="auto"/>
                <w:sz w:val="18"/>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auto"/>
                <w:sz w:val="18"/>
                <w:szCs w:val="18"/>
                <w:highlight w:val="none"/>
                <w:lang w:val="en-US" w:eastAsia="zh-CN"/>
              </w:rPr>
            </w:pPr>
            <w:r>
              <w:rPr>
                <w:rFonts w:hint="eastAsia" w:ascii="黑体" w:hAnsi="宋体" w:eastAsia="黑体" w:cs="黑体"/>
                <w:color w:val="auto"/>
                <w:sz w:val="18"/>
                <w:szCs w:val="18"/>
                <w:highlight w:val="none"/>
                <w:lang w:val="en-US" w:eastAsia="zh-CN"/>
              </w:rPr>
              <w:t>-</w:t>
            </w:r>
          </w:p>
        </w:tc>
      </w:tr>
    </w:tbl>
    <w:p>
      <w:pPr>
        <w:pStyle w:val="2"/>
        <w:bidi w:val="0"/>
        <w:rPr>
          <w:rFonts w:hint="eastAsia"/>
          <w:lang w:val="en-US" w:eastAsia="zh-CN"/>
        </w:rPr>
      </w:pPr>
    </w:p>
    <w:p>
      <w:pPr>
        <w:numPr>
          <w:ilvl w:val="0"/>
          <w:numId w:val="0"/>
        </w:numPr>
        <w:spacing w:line="560" w:lineRule="exact"/>
        <w:ind w:leftChars="200"/>
        <w:jc w:val="left"/>
        <w:outlineLvl w:val="1"/>
        <w:rPr>
          <w:rFonts w:hint="eastAsia" w:ascii="楷体" w:hAnsi="楷体" w:eastAsia="楷体" w:cs="Times New Roman"/>
          <w:sz w:val="32"/>
          <w:szCs w:val="32"/>
        </w:rPr>
      </w:pPr>
      <w:r>
        <w:rPr>
          <w:rFonts w:hint="eastAsia" w:ascii="楷体" w:hAnsi="楷体" w:eastAsia="楷体" w:cs="Times New Roman"/>
          <w:sz w:val="32"/>
          <w:szCs w:val="32"/>
          <w:lang w:val="en-US" w:eastAsia="zh-CN"/>
        </w:rPr>
        <w:t>四、商务</w:t>
      </w:r>
      <w:bookmarkStart w:id="1" w:name="_GoBack"/>
      <w:bookmarkEnd w:id="1"/>
      <w:r>
        <w:rPr>
          <w:rFonts w:hint="eastAsia" w:ascii="楷体" w:hAnsi="楷体" w:eastAsia="楷体" w:cs="Times New Roman"/>
          <w:sz w:val="32"/>
          <w:szCs w:val="32"/>
        </w:rPr>
        <w:t>要求</w:t>
      </w:r>
    </w:p>
    <w:p>
      <w:pPr>
        <w:rPr>
          <w:rFonts w:hint="eastAsia"/>
          <w:lang w:val="en-US" w:eastAsia="zh-CN"/>
        </w:rPr>
      </w:pPr>
    </w:p>
    <w:p>
      <w:pPr>
        <w:pStyle w:val="13"/>
        <w:numPr>
          <w:ilvl w:val="-1"/>
          <w:numId w:val="0"/>
        </w:numPr>
        <w:rPr>
          <w:rFonts w:hint="default" w:eastAsia="仿宋"/>
          <w:color w:val="auto"/>
          <w:highlight w:val="none"/>
          <w:lang w:val="en-US" w:eastAsia="zh-CN"/>
        </w:rPr>
      </w:pPr>
      <w:r>
        <w:rPr>
          <w:rFonts w:hint="eastAsia" w:ascii="仿宋" w:hAnsi="仿宋" w:eastAsia="仿宋" w:cs="Times New Roman"/>
          <w:color w:val="auto"/>
          <w:sz w:val="32"/>
          <w:szCs w:val="32"/>
          <w:highlight w:val="none"/>
          <w:lang w:val="en-US" w:eastAsia="zh-CN"/>
        </w:rPr>
        <w:t>（1）适用于包1（品目一、二、三、四）</w:t>
      </w:r>
    </w:p>
    <w:p>
      <w:pPr>
        <w:spacing w:line="360" w:lineRule="auto"/>
        <w:ind w:firstLine="560" w:firstLineChars="200"/>
        <w:rPr>
          <w:rFonts w:hint="eastAsia"/>
          <w:lang w:val="en-US" w:eastAsia="zh-CN"/>
        </w:rPr>
      </w:pPr>
      <w:r>
        <w:rPr>
          <w:rFonts w:hint="eastAsia" w:ascii="仿宋" w:hAnsi="仿宋" w:eastAsia="仿宋" w:cs="仿宋"/>
          <w:iCs/>
          <w:color w:val="auto"/>
          <w:sz w:val="28"/>
          <w:szCs w:val="28"/>
          <w:highlight w:val="none"/>
        </w:rPr>
        <w:t>本商务要求共有“★”指标</w:t>
      </w:r>
      <w:r>
        <w:rPr>
          <w:rFonts w:hint="eastAsia" w:ascii="仿宋" w:hAnsi="仿宋" w:eastAsia="仿宋" w:cs="仿宋"/>
          <w:iCs/>
          <w:color w:val="auto"/>
          <w:sz w:val="28"/>
          <w:szCs w:val="28"/>
          <w:highlight w:val="none"/>
          <w:u w:val="single"/>
          <w:lang w:val="en-US" w:eastAsia="zh-CN"/>
        </w:rPr>
        <w:t>11</w:t>
      </w:r>
      <w:r>
        <w:rPr>
          <w:rFonts w:hint="eastAsia" w:ascii="仿宋" w:hAnsi="仿宋" w:eastAsia="仿宋" w:cs="仿宋"/>
          <w:iCs/>
          <w:color w:val="auto"/>
          <w:sz w:val="28"/>
          <w:szCs w:val="28"/>
          <w:highlight w:val="none"/>
        </w:rPr>
        <w:t>项，“#”指标</w:t>
      </w:r>
      <w:r>
        <w:rPr>
          <w:rFonts w:hint="eastAsia" w:ascii="仿宋" w:hAnsi="仿宋" w:eastAsia="仿宋" w:cs="仿宋"/>
          <w:iCs/>
          <w:color w:val="auto"/>
          <w:sz w:val="28"/>
          <w:szCs w:val="28"/>
          <w:highlight w:val="none"/>
          <w:u w:val="single"/>
          <w:lang w:val="en-US" w:eastAsia="zh-CN"/>
        </w:rPr>
        <w:t>8</w:t>
      </w:r>
      <w:r>
        <w:rPr>
          <w:rFonts w:hint="eastAsia" w:ascii="仿宋" w:hAnsi="仿宋" w:eastAsia="仿宋" w:cs="仿宋"/>
          <w:iCs/>
          <w:color w:val="auto"/>
          <w:sz w:val="28"/>
          <w:szCs w:val="28"/>
          <w:highlight w:val="none"/>
        </w:rPr>
        <w:t>项，“</w:t>
      </w:r>
      <w:r>
        <w:rPr>
          <w:rFonts w:hint="eastAsia" w:ascii="仿宋" w:hAnsi="仿宋" w:eastAsia="仿宋" w:cs="Times New Roman"/>
          <w:iCs/>
          <w:color w:val="auto"/>
          <w:sz w:val="28"/>
          <w:szCs w:val="28"/>
          <w:highlight w:val="none"/>
        </w:rPr>
        <w:t>△</w:t>
      </w:r>
      <w:r>
        <w:rPr>
          <w:rFonts w:hint="eastAsia" w:ascii="仿宋" w:hAnsi="仿宋" w:eastAsia="仿宋" w:cs="仿宋"/>
          <w:iCs/>
          <w:color w:val="auto"/>
          <w:sz w:val="28"/>
          <w:szCs w:val="28"/>
          <w:highlight w:val="none"/>
        </w:rPr>
        <w:t>”指标</w:t>
      </w:r>
      <w:r>
        <w:rPr>
          <w:rFonts w:hint="eastAsia" w:ascii="仿宋" w:hAnsi="仿宋" w:eastAsia="仿宋" w:cs="仿宋"/>
          <w:iCs/>
          <w:color w:val="auto"/>
          <w:sz w:val="28"/>
          <w:szCs w:val="28"/>
          <w:highlight w:val="none"/>
          <w:u w:val="single"/>
          <w:lang w:val="en-US" w:eastAsia="zh-CN"/>
        </w:rPr>
        <w:t>0</w:t>
      </w:r>
      <w:r>
        <w:rPr>
          <w:rFonts w:hint="eastAsia" w:ascii="仿宋" w:hAnsi="仿宋" w:eastAsia="仿宋" w:cs="仿宋"/>
          <w:iCs/>
          <w:color w:val="auto"/>
          <w:sz w:val="28"/>
          <w:szCs w:val="28"/>
          <w:highlight w:val="none"/>
        </w:rPr>
        <w:t>项</w:t>
      </w:r>
      <w:r>
        <w:rPr>
          <w:rFonts w:hint="eastAsia" w:ascii="仿宋" w:hAnsi="仿宋" w:eastAsia="仿宋" w:cs="仿宋"/>
          <w:iCs/>
          <w:color w:val="auto"/>
          <w:sz w:val="28"/>
          <w:szCs w:val="28"/>
          <w:highlight w:val="none"/>
          <w:lang w:eastAsia="zh-CN"/>
        </w:rPr>
        <w:t>。</w:t>
      </w:r>
    </w:p>
    <w:p>
      <w:pPr>
        <w:numPr>
          <w:ilvl w:val="0"/>
          <w:numId w:val="3"/>
        </w:numPr>
        <w:spacing w:line="360" w:lineRule="auto"/>
        <w:ind w:left="-10" w:firstLine="640" w:firstLineChars="0"/>
        <w:outlineLvl w:val="4"/>
        <w:rPr>
          <w:rFonts w:ascii="仿宋" w:hAnsi="仿宋" w:eastAsia="仿宋" w:cs="仿宋"/>
          <w:iCs/>
          <w:color w:val="auto"/>
          <w:sz w:val="32"/>
          <w:szCs w:val="32"/>
          <w:highlight w:val="none"/>
        </w:rPr>
      </w:pPr>
      <w:r>
        <w:rPr>
          <w:rFonts w:hint="eastAsia" w:ascii="仿宋" w:hAnsi="仿宋" w:eastAsia="仿宋" w:cs="仿宋"/>
          <w:iCs/>
          <w:color w:val="auto"/>
          <w:sz w:val="32"/>
          <w:szCs w:val="32"/>
          <w:highlight w:val="none"/>
        </w:rPr>
        <w:t>服务要求</w:t>
      </w:r>
    </w:p>
    <w:tbl>
      <w:tblPr>
        <w:tblStyle w:val="16"/>
        <w:tblW w:w="5177" w:type="pct"/>
        <w:tblInd w:w="0" w:type="dxa"/>
        <w:tblLayout w:type="autofit"/>
        <w:tblCellMar>
          <w:top w:w="0" w:type="dxa"/>
          <w:left w:w="108" w:type="dxa"/>
          <w:bottom w:w="0" w:type="dxa"/>
          <w:right w:w="108" w:type="dxa"/>
        </w:tblCellMar>
      </w:tblPr>
      <w:tblGrid>
        <w:gridCol w:w="678"/>
        <w:gridCol w:w="427"/>
        <w:gridCol w:w="1090"/>
        <w:gridCol w:w="1121"/>
        <w:gridCol w:w="4137"/>
        <w:gridCol w:w="1371"/>
      </w:tblGrid>
      <w:tr>
        <w:tblPrEx>
          <w:tblCellMar>
            <w:top w:w="0" w:type="dxa"/>
            <w:left w:w="108" w:type="dxa"/>
            <w:bottom w:w="0" w:type="dxa"/>
            <w:right w:w="108" w:type="dxa"/>
          </w:tblCellMar>
        </w:tblPrEx>
        <w:trPr>
          <w:trHeight w:val="285" w:hRule="atLeast"/>
          <w:tblHeader/>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重要性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内容</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kern w:val="0"/>
                <w:szCs w:val="21"/>
                <w:highlight w:val="none"/>
                <w:lang w:bidi="ar"/>
              </w:rPr>
            </w:pPr>
            <w:r>
              <w:rPr>
                <w:rFonts w:hint="eastAsia" w:ascii="仿宋" w:hAnsi="仿宋" w:eastAsia="仿宋" w:cs="仿宋"/>
                <w:b/>
                <w:bCs/>
                <w:color w:val="auto"/>
                <w:kern w:val="0"/>
                <w:szCs w:val="21"/>
                <w:highlight w:val="none"/>
                <w:lang w:val="en-US" w:eastAsia="zh-CN" w:bidi="ar"/>
              </w:rPr>
              <w:t>是否可以作为评分因素</w:t>
            </w:r>
          </w:p>
        </w:tc>
        <w:tc>
          <w:tcPr>
            <w:tcW w:w="23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服务要求标准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是否提供证明材料及方式</w:t>
            </w:r>
          </w:p>
        </w:tc>
      </w:tr>
      <w:tr>
        <w:tblPrEx>
          <w:tblCellMar>
            <w:top w:w="0" w:type="dxa"/>
            <w:left w:w="108" w:type="dxa"/>
            <w:bottom w:w="0" w:type="dxa"/>
            <w:right w:w="108" w:type="dxa"/>
          </w:tblCellMar>
        </w:tblPrEx>
        <w:trPr>
          <w:trHeight w:val="305"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总体说明</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pStyle w:val="13"/>
              <w:rPr>
                <w:rFonts w:hint="eastAsia" w:ascii="仿宋" w:hAnsi="仿宋" w:eastAsia="仿宋" w:cs="仿宋"/>
                <w:lang w:val="en-US" w:eastAsia="zh-CN"/>
              </w:rPr>
            </w:pPr>
            <w:r>
              <w:rPr>
                <w:rFonts w:hint="eastAsia" w:ascii="仿宋" w:hAnsi="仿宋" w:eastAsia="仿宋" w:cs="仿宋"/>
                <w:lang w:val="en-US" w:eastAsia="zh-CN"/>
              </w:rPr>
              <w:t>A、如设备在本次采购维保服务期届满之前退出使用或者实际维保服务天数少于分项报价表中服务天数，按照实际维保服务天数计算维保费用并据实结算付款。</w:t>
            </w:r>
          </w:p>
          <w:p>
            <w:pPr>
              <w:pStyle w:val="13"/>
              <w:rPr>
                <w:rFonts w:hint="eastAsia" w:ascii="仿宋" w:hAnsi="仿宋" w:eastAsia="仿宋" w:cs="仿宋"/>
                <w:lang w:val="en-US" w:eastAsia="zh-CN"/>
              </w:rPr>
            </w:pPr>
            <w:r>
              <w:rPr>
                <w:rFonts w:hint="eastAsia" w:ascii="仿宋" w:hAnsi="仿宋" w:eastAsia="仿宋" w:cs="仿宋"/>
                <w:lang w:val="en-US" w:eastAsia="zh-CN"/>
              </w:rPr>
              <w:t>B、对于维保清单中维保开始日期晚于合同签订之日的设备，维保实际开始时间自维保清单中维保开始时间（含当日）起计算。</w:t>
            </w:r>
          </w:p>
          <w:p>
            <w:pPr>
              <w:pStyle w:val="13"/>
              <w:rPr>
                <w:rFonts w:hint="eastAsia" w:ascii="仿宋" w:hAnsi="仿宋" w:eastAsia="仿宋" w:cs="仿宋"/>
                <w:lang w:val="en-US" w:eastAsia="zh-CN"/>
              </w:rPr>
            </w:pPr>
            <w:r>
              <w:rPr>
                <w:rFonts w:hint="eastAsia" w:ascii="仿宋" w:hAnsi="仿宋" w:eastAsia="仿宋" w:cs="仿宋"/>
                <w:lang w:val="en-US" w:eastAsia="zh-CN"/>
              </w:rPr>
              <w:t>C、对于维保清单中维保开始日期早于合同签订之日的设备，维保实际开始时间自合同签订之次日起计算；维保实际结束时间按照维保周期（即维保开始时间至维保结束时间）的服务天数相应延后。</w:t>
            </w:r>
          </w:p>
          <w:p>
            <w:pPr>
              <w:pStyle w:val="13"/>
              <w:rPr>
                <w:rFonts w:hint="eastAsia" w:ascii="仿宋" w:hAnsi="仿宋" w:eastAsia="仿宋" w:cs="仿宋"/>
                <w:lang w:val="en-US" w:eastAsia="zh-CN"/>
              </w:rPr>
            </w:pPr>
            <w:r>
              <w:rPr>
                <w:rFonts w:hint="eastAsia" w:ascii="仿宋" w:hAnsi="仿宋" w:eastAsia="仿宋" w:cs="仿宋"/>
                <w:lang w:val="en-US" w:eastAsia="zh-CN"/>
              </w:rPr>
              <w:t>D、所有待保的设备需以采购人实际的设备配置为准，包含设备上所有板卡、模块、软件和license，投标人应在合同签订后主动和采购人进行确认。</w:t>
            </w:r>
          </w:p>
          <w:p>
            <w:pPr>
              <w:pStyle w:val="13"/>
              <w:rPr>
                <w:rFonts w:hint="eastAsia" w:ascii="仿宋" w:hAnsi="仿宋" w:eastAsia="仿宋" w:cs="仿宋"/>
                <w:lang w:val="en-US" w:eastAsia="zh-CN"/>
              </w:rPr>
            </w:pPr>
            <w:r>
              <w:rPr>
                <w:rFonts w:hint="eastAsia" w:ascii="仿宋" w:hAnsi="仿宋" w:eastAsia="仿宋" w:cs="仿宋"/>
                <w:lang w:val="en-US" w:eastAsia="zh-CN"/>
              </w:rPr>
              <w:t>E、投标人应建立完备的设备全生命周期管理机制，严格把控设备维保清单的准确性。若因投标人操作存在失误，或是所提供信息有误，致使采购人重复采购维保服务，采购人有权解除合同或免除重复时间段内款项。</w:t>
            </w:r>
          </w:p>
          <w:p>
            <w:pPr>
              <w:pStyle w:val="13"/>
              <w:rPr>
                <w:rFonts w:hint="eastAsia" w:ascii="仿宋" w:hAnsi="仿宋" w:eastAsia="仿宋" w:cs="仿宋"/>
                <w:lang w:val="en-US" w:eastAsia="zh-CN"/>
              </w:rPr>
            </w:pPr>
            <w:r>
              <w:rPr>
                <w:rFonts w:hint="eastAsia" w:ascii="仿宋" w:hAnsi="仿宋" w:eastAsia="仿宋" w:cs="仿宋"/>
                <w:lang w:val="en-US" w:eastAsia="zh-CN"/>
              </w:rPr>
              <w:t>F、投标人应书面承诺中标后应取得原厂备品备件和原厂技术支持（提供书面承诺书并加盖公司公章）。</w:t>
            </w:r>
          </w:p>
          <w:p>
            <w:pPr>
              <w:pStyle w:val="2"/>
              <w:rPr>
                <w:rFonts w:hint="eastAsia" w:ascii="仿宋" w:hAnsi="仿宋" w:eastAsia="仿宋" w:cs="仿宋"/>
              </w:rPr>
            </w:pPr>
            <w:r>
              <w:rPr>
                <w:rFonts w:hint="eastAsia" w:ascii="仿宋" w:hAnsi="仿宋" w:eastAsia="仿宋" w:cs="仿宋"/>
                <w:lang w:val="en-US" w:eastAsia="zh-CN"/>
              </w:rPr>
              <w:t>G、本文中“原厂”特指“华为”原厂商。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是，由投标人提供包含</w:t>
            </w:r>
            <w:r>
              <w:rPr>
                <w:rFonts w:hint="eastAsia" w:ascii="仿宋" w:hAnsi="仿宋" w:eastAsia="仿宋" w:cs="仿宋"/>
                <w:lang w:val="en-US" w:eastAsia="zh-CN"/>
              </w:rPr>
              <w:t>原厂备品备件和原厂技术支持内容的书面承诺并加盖公司公章</w:t>
            </w:r>
          </w:p>
        </w:tc>
      </w:tr>
      <w:tr>
        <w:tblPrEx>
          <w:tblCellMar>
            <w:top w:w="0" w:type="dxa"/>
            <w:left w:w="108" w:type="dxa"/>
            <w:bottom w:w="0" w:type="dxa"/>
            <w:right w:w="108" w:type="dxa"/>
          </w:tblCellMar>
        </w:tblPrEx>
        <w:trPr>
          <w:trHeight w:val="305"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color w:val="auto"/>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不得转包承诺</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sz w:val="21"/>
                <w:szCs w:val="21"/>
              </w:rPr>
              <w:t>必须提供对其授权投标人的</w:t>
            </w:r>
            <w:r>
              <w:rPr>
                <w:rFonts w:hint="eastAsia" w:ascii="仿宋" w:hAnsi="仿宋" w:eastAsia="仿宋" w:cs="仿宋"/>
                <w:color w:val="000000"/>
                <w:sz w:val="21"/>
                <w:szCs w:val="21"/>
                <w:lang w:val="en-US" w:eastAsia="zh-CN"/>
              </w:rPr>
              <w:t>维保</w:t>
            </w:r>
            <w:r>
              <w:rPr>
                <w:rFonts w:hint="eastAsia" w:ascii="仿宋" w:hAnsi="仿宋" w:eastAsia="仿宋" w:cs="仿宋"/>
                <w:color w:val="000000"/>
                <w:sz w:val="21"/>
                <w:szCs w:val="21"/>
              </w:rPr>
              <w:t>服务的所有保修和服务的承诺，并不得转包</w:t>
            </w:r>
            <w:r>
              <w:rPr>
                <w:rFonts w:hint="eastAsia" w:ascii="仿宋" w:hAnsi="仿宋" w:eastAsia="仿宋" w:cs="仿宋"/>
                <w:color w:val="000000"/>
                <w:sz w:val="21"/>
                <w:szCs w:val="21"/>
                <w:lang w:eastAsia="zh-CN"/>
              </w:rPr>
              <w:t>。</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是，由投标人提供承诺函</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服务热线</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须拥有国内专有的技术支持中心和和完善的服务体系，为本项目提供7×24小时实时在线技术支持。</w:t>
            </w:r>
          </w:p>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需具备7×24小时热线支持电话，并能得到原厂专家团队的支持，同时拥有并提供</w:t>
            </w:r>
            <w:r>
              <w:rPr>
                <w:rFonts w:hint="eastAsia" w:ascii="仿宋" w:hAnsi="仿宋" w:eastAsia="仿宋" w:cs="仿宋"/>
                <w:color w:val="000000"/>
                <w:sz w:val="21"/>
                <w:szCs w:val="21"/>
                <w:lang w:val="en-US" w:eastAsia="zh-CN"/>
              </w:rPr>
              <w:t>华为</w:t>
            </w:r>
            <w:r>
              <w:rPr>
                <w:rFonts w:hint="eastAsia" w:ascii="仿宋" w:hAnsi="仿宋" w:eastAsia="仿宋" w:cs="仿宋"/>
                <w:color w:val="000000"/>
                <w:sz w:val="21"/>
                <w:szCs w:val="21"/>
              </w:rPr>
              <w:t>相关软硬件实验室的后台直接支持。</w:t>
            </w:r>
          </w:p>
          <w:p>
            <w:pPr>
              <w:widowControl/>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须在</w:t>
            </w:r>
            <w:r>
              <w:rPr>
                <w:rFonts w:hint="eastAsia" w:ascii="仿宋" w:hAnsi="仿宋" w:eastAsia="仿宋" w:cs="仿宋"/>
                <w:color w:val="000000"/>
                <w:sz w:val="21"/>
                <w:szCs w:val="21"/>
                <w:lang w:val="en-US" w:eastAsia="zh-CN"/>
              </w:rPr>
              <w:t>采购人</w:t>
            </w:r>
            <w:r>
              <w:rPr>
                <w:rFonts w:hint="eastAsia" w:ascii="仿宋" w:hAnsi="仿宋" w:eastAsia="仿宋" w:cs="仿宋"/>
                <w:color w:val="000000"/>
                <w:sz w:val="21"/>
                <w:szCs w:val="21"/>
              </w:rPr>
              <w:t>认为必要时，能够直接联系原厂的相关软、硬件设计人员或实验室相关软件模块开发人员，获得他们的技术支持</w:t>
            </w:r>
            <w:r>
              <w:rPr>
                <w:rFonts w:hint="eastAsia" w:ascii="仿宋" w:hAnsi="仿宋" w:eastAsia="仿宋" w:cs="仿宋"/>
                <w:color w:val="000000"/>
                <w:sz w:val="21"/>
                <w:szCs w:val="21"/>
                <w:lang w:eastAsia="zh-CN"/>
              </w:rPr>
              <w:t>。</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服务团队人员配置</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是</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针对本项目有明确的服务团队，在国内专职从事本服务的售后服务工程师[上海、北京]分别具有至少5名，其中[上海、北京]分别具有至少3人以上获得原厂认证（提供人员姓名和身份证复印件、技术认证证书复印件，技术认证证书指华为认证的ICT专家证书：HCIA,HCIP和HCIE任选其一）。除售后服务工程师外，如有必要，应能获得原厂二线支持工程师以及实验室研发人员相关技术支持（提供人员姓名、在职证明和联系方式等）。[投标人]指定1名客户经理，协调其内部人员、软硬件等资源，及时对采购人提供服务、保证故障的及时解决，7×24小时接听采购人电话。如客户服务经理或现场服务人员发生变更，须至少提前两周书面通知。</w:t>
            </w:r>
          </w:p>
          <w:p>
            <w:pPr>
              <w:widowControl/>
              <w:textAlignment w:val="center"/>
              <w:rPr>
                <w:rFonts w:hint="default" w:ascii="仿宋" w:hAnsi="仿宋" w:eastAsia="仿宋" w:cs="仿宋"/>
                <w:color w:val="auto"/>
                <w:szCs w:val="21"/>
                <w:highlight w:val="none"/>
                <w:lang w:val="en-US"/>
              </w:rPr>
            </w:pPr>
            <w:r>
              <w:rPr>
                <w:rFonts w:hint="eastAsia" w:ascii="仿宋" w:hAnsi="仿宋" w:eastAsia="仿宋" w:cs="仿宋"/>
                <w:color w:val="000000"/>
                <w:sz w:val="21"/>
                <w:szCs w:val="21"/>
                <w:lang w:val="en-US" w:eastAsia="zh-CN"/>
              </w:rPr>
              <w:t>[投标人]在[上海、北京]分别至少2名负责工程师，提供属地现场技术支持和服务。工程师必须对采购人的系统架构和部署有一定的了解。如投标人提供的服务人员态度和能力不符合采购人要求，在采购人提出改进要求3个工作日内，客户经理需要现场监督改进。3个工作日如果没有明显改进，客户经理的上级领导需要现场监督改进。依次类推，直到服务总经理（或同级别经理）现场监督改进，直到完全改进。</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提供售后服务工程师人员姓名和身份证复印件、技术认证证书（HCIA,HCIP和HCIE）复印件；</w:t>
            </w:r>
          </w:p>
          <w:p>
            <w:pPr>
              <w:jc w:val="center"/>
              <w:rPr>
                <w:rFonts w:ascii="仿宋" w:hAnsi="仿宋" w:eastAsia="仿宋" w:cs="仿宋"/>
                <w:color w:val="auto"/>
                <w:szCs w:val="21"/>
                <w:highlight w:val="none"/>
              </w:rPr>
            </w:pPr>
            <w:r>
              <w:rPr>
                <w:rFonts w:hint="eastAsia" w:ascii="仿宋" w:hAnsi="仿宋" w:eastAsia="仿宋" w:cs="仿宋"/>
                <w:color w:val="auto"/>
                <w:sz w:val="21"/>
                <w:szCs w:val="21"/>
                <w:highlight w:val="none"/>
                <w:lang w:val="en-US" w:eastAsia="zh-CN"/>
              </w:rPr>
              <w:t>如涉及原厂二线支持工程师以及实验室研发人员，提供人员姓名、在职证明和联系方式</w:t>
            </w:r>
          </w:p>
        </w:tc>
      </w:tr>
      <w:tr>
        <w:tblPrEx>
          <w:tblCellMar>
            <w:top w:w="0" w:type="dxa"/>
            <w:left w:w="108" w:type="dxa"/>
            <w:bottom w:w="0" w:type="dxa"/>
            <w:right w:w="108" w:type="dxa"/>
          </w:tblCellMar>
        </w:tblPrEx>
        <w:trPr>
          <w:trHeight w:val="765"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问题诊断和支持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投标人须提供问题诊断和技术支持服务，包括设备硬件、软件类的问题确认及解决，并最终形成问题解决报告。在采购人认为必要时，直接升级到原厂的相关软、硬件设计人员或实验室相关软件模块开发人员，</w:t>
            </w:r>
            <w:r>
              <w:rPr>
                <w:rFonts w:hint="eastAsia" w:ascii="仿宋" w:hAnsi="仿宋" w:eastAsia="仿宋" w:cs="仿宋"/>
                <w:color w:val="auto"/>
                <w:szCs w:val="21"/>
                <w:highlight w:val="none"/>
              </w:rPr>
              <w:t>必要时原厂专家团队及实验室团队需进行现场支持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成立包括原厂的相关软、硬件设计人员或实验室相关软件模块开发人员在内的问题解决团队全程参与问题分析（提供人员姓名、联系方式、原厂Case号等），每周给出至少一次进展情况更新，直至问题解决，并提供采购人认可的根本原因定位分析和最终解决方案。</w:t>
            </w:r>
            <w:r>
              <w:rPr>
                <w:rFonts w:hint="eastAsia" w:ascii="仿宋" w:hAnsi="仿宋" w:eastAsia="仿宋" w:cs="仿宋"/>
                <w:color w:val="000000"/>
                <w:sz w:val="21"/>
                <w:szCs w:val="21"/>
                <w:lang w:val="en-US" w:eastAsia="zh-CN"/>
              </w:rPr>
              <w:t>投标人</w:t>
            </w:r>
            <w:r>
              <w:rPr>
                <w:rFonts w:hint="eastAsia" w:ascii="仿宋" w:hAnsi="仿宋" w:eastAsia="仿宋" w:cs="仿宋"/>
                <w:color w:val="auto"/>
                <w:szCs w:val="21"/>
                <w:highlight w:val="none"/>
                <w:lang w:val="en-US" w:eastAsia="zh-CN"/>
              </w:rPr>
              <w:t>无法在规定时间内解决故障问题时，应</w:t>
            </w:r>
            <w:r>
              <w:rPr>
                <w:rFonts w:hint="eastAsia" w:ascii="仿宋" w:hAnsi="仿宋" w:eastAsia="仿宋" w:cs="仿宋"/>
                <w:color w:val="000000"/>
                <w:sz w:val="21"/>
                <w:szCs w:val="21"/>
                <w:lang w:val="en-US" w:eastAsia="zh-CN"/>
              </w:rPr>
              <w:t>能够协调原厂</w:t>
            </w:r>
            <w:r>
              <w:rPr>
                <w:rFonts w:hint="eastAsia" w:ascii="仿宋" w:hAnsi="仿宋" w:eastAsia="仿宋" w:cs="仿宋"/>
                <w:color w:val="auto"/>
                <w:szCs w:val="21"/>
                <w:highlight w:val="none"/>
                <w:lang w:val="en-US" w:eastAsia="zh-CN"/>
              </w:rPr>
              <w:t>或采取其他可能的方式为采购人解决问题，并承担相关费用。</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b w:val="0"/>
                <w:bCs w:val="0"/>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事件分析处理和应急响应</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0"/>
              </w:numPr>
              <w:spacing w:line="240" w:lineRule="auto"/>
              <w:ind w:leftChars="0"/>
              <w:jc w:val="both"/>
              <w:rPr>
                <w:rFonts w:hint="eastAsia"/>
                <w:sz w:val="21"/>
                <w:szCs w:val="21"/>
              </w:rPr>
            </w:pPr>
            <w:r>
              <w:rPr>
                <w:rFonts w:hint="eastAsia" w:ascii="仿宋" w:hAnsi="仿宋" w:eastAsia="仿宋" w:cs="仿宋"/>
                <w:b w:val="0"/>
                <w:bCs w:val="0"/>
                <w:color w:val="000000"/>
                <w:sz w:val="21"/>
                <w:szCs w:val="21"/>
                <w:lang w:val="en-US" w:eastAsia="zh-CN"/>
              </w:rPr>
              <w:t>投标人提供</w:t>
            </w:r>
            <w:r>
              <w:rPr>
                <w:rFonts w:hint="eastAsia" w:ascii="仿宋" w:hAnsi="仿宋" w:eastAsia="仿宋" w:cs="仿宋"/>
                <w:b w:val="0"/>
                <w:bCs w:val="0"/>
                <w:i w:val="0"/>
                <w:iCs w:val="0"/>
                <w:color w:val="auto"/>
                <w:kern w:val="2"/>
                <w:sz w:val="21"/>
                <w:szCs w:val="21"/>
                <w:highlight w:val="none"/>
                <w:lang w:val="en-US" w:eastAsia="zh-CN"/>
              </w:rPr>
              <w:t>属地现场技术支持和服务的工程师须7×24小时接听采购人电话，接到支持需求必须在30分钟内做出回应。</w:t>
            </w:r>
            <w:r>
              <w:rPr>
                <w:rFonts w:hint="eastAsia" w:ascii="仿宋" w:hAnsi="仿宋" w:eastAsia="仿宋" w:cs="仿宋"/>
                <w:color w:val="000000"/>
                <w:sz w:val="21"/>
                <w:szCs w:val="21"/>
                <w:lang w:val="en-US" w:eastAsia="zh-CN"/>
              </w:rPr>
              <w:t>当远程电话支持无法解决故障时，根据采购人要求，2小时内赶到现场进行现场应急响应，对于故障恢复场景，4小时之内排除故障恢复生产。双方另有约定的，以约定时效为准。投标人需建立完善的事件进展沟通机制，确保所有关键事件的进展情况能够及时、准确地向采购人通报。对于重大或具有复杂协调难度的故障及其衍生问题，投标人应主动采取措施，成立专项工作小组并制定详细的协商解决机制。在必要时，投标人应积极与原厂商或其他相关方进行有效对接，利用所有可用渠道和技术手段以确保问题得到高效解决，并需承担因故障处理所产生的一切费用。</w:t>
            </w:r>
          </w:p>
          <w:p>
            <w:pPr>
              <w:widowControl w:val="0"/>
              <w:numPr>
                <w:ilvl w:val="0"/>
                <w:numId w:val="0"/>
              </w:numPr>
              <w:spacing w:line="240"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针对影响系统正常对外服务的BUG，要求投标人在24小时内提供方案并修复。不影响系统正常对外服务的BUG，要求在5个工作日内提供修复方案。对于可能会对有关系统、应用或业务造成影响的设备软硬件问题，如软硬件的缺陷、隐患等，需在3个工作日之内通知采购人，并经过采购人评估同意后，负责进行测试和实施，并保证期间系统正常运行，不会对采购人生产系统造成不良影响。保证：（1）软件升级完全符合强制性的国家技术质量规范和合同规定的质量、规格、性能和技术规范等要求；（2）在交付前，投标人须在自有环境对软件升级验证通过，确保正确安装、正常运转及符合升级预期；（3）软件升级程序安装完毕后，如发现该软件功能存在瑕疵，应按照原被保设备维保要求进行无偿更新，并为由于软件升级的缺陷而发生的采购人系统或设备故障承担违约责任。如遇疑难问题，能够根据问题分析结果发布新的软件补丁以保障系统稳定运行。</w:t>
            </w:r>
          </w:p>
          <w:p>
            <w:pPr>
              <w:widowControl w:val="0"/>
              <w:numPr>
                <w:ilvl w:val="0"/>
                <w:numId w:val="0"/>
              </w:numPr>
              <w:spacing w:line="240" w:lineRule="auto"/>
              <w:ind w:left="0" w:leftChars="0" w:firstLine="0" w:firstLineChars="0"/>
              <w:jc w:val="both"/>
              <w:rPr>
                <w:rFonts w:hint="default" w:ascii="仿宋" w:hAnsi="仿宋" w:eastAsia="仿宋" w:cs="仿宋"/>
                <w:color w:val="auto"/>
                <w:sz w:val="21"/>
                <w:szCs w:val="21"/>
                <w:highlight w:val="none"/>
                <w:lang w:val="en-US"/>
              </w:rPr>
            </w:pPr>
            <w:r>
              <w:rPr>
                <w:rFonts w:hint="eastAsia" w:ascii="仿宋" w:hAnsi="仿宋" w:eastAsia="仿宋" w:cs="仿宋"/>
                <w:color w:val="000000"/>
                <w:sz w:val="21"/>
                <w:szCs w:val="21"/>
                <w:lang w:val="en-US" w:eastAsia="zh-CN"/>
              </w:rPr>
              <w:t>对于生产环境使用的设备发生问题并无法短时间内定位软硬件故障原因的情况，尤其涉及到设备高可用或对处理性能有影响，</w:t>
            </w: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lang w:val="en-US" w:eastAsia="zh-CN"/>
              </w:rPr>
              <w:t>应协调资源，通过原厂备件先行的方式优先对设备进行替换恢复生产环境稳定，可以在测试环境或实验室环境对故障现象进行复现，但不得在生产环境通过反复测试验证来定位故障原因。</w:t>
            </w:r>
            <w:r>
              <w:rPr>
                <w:rFonts w:hint="eastAsia" w:ascii="仿宋" w:hAnsi="仿宋" w:eastAsia="仿宋" w:cs="仿宋"/>
                <w:b w:val="0"/>
                <w:bCs w:val="0"/>
                <w:color w:val="000000"/>
                <w:sz w:val="21"/>
                <w:szCs w:val="21"/>
                <w:lang w:val="en-US" w:eastAsia="zh-CN"/>
              </w:rPr>
              <w:t>如果投标人仍无法解决问题，须进行升级支持，有能力协调原厂和部件供应商联合研判，确保最终解决问题</w:t>
            </w:r>
            <w:r>
              <w:rPr>
                <w:rFonts w:hint="eastAsia" w:ascii="仿宋" w:hAnsi="仿宋" w:eastAsia="仿宋" w:cs="仿宋"/>
                <w:color w:val="000000"/>
                <w:sz w:val="21"/>
                <w:szCs w:val="21"/>
                <w:lang w:val="en-US" w:eastAsia="zh-CN"/>
              </w:rPr>
              <w:t>。</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b w:val="0"/>
                <w:bCs w:val="0"/>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方案咨询</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color w:val="auto"/>
                <w:szCs w:val="21"/>
                <w:highlight w:val="none"/>
                <w:lang w:val="en-US" w:eastAsia="zh-CN"/>
              </w:rPr>
              <w:t>]应提供维保设备全面、完善的监控方案，并在维保期内持续优化监控措施。若因监控方案存在缺陷，致使设备故障未能及时报警或未能准确识别软硬件缺陷，进而对采购人业务造成影响的，由</w:t>
            </w:r>
            <w:r>
              <w:rPr>
                <w:rFonts w:hint="eastAsia" w:ascii="仿宋" w:hAnsi="仿宋" w:eastAsia="仿宋" w:cs="仿宋"/>
                <w:color w:val="000000"/>
                <w:sz w:val="21"/>
                <w:szCs w:val="21"/>
                <w:lang w:val="en-US" w:eastAsia="zh-CN"/>
              </w:rPr>
              <w:t>投标人</w:t>
            </w:r>
            <w:r>
              <w:rPr>
                <w:rFonts w:hint="eastAsia" w:ascii="仿宋" w:hAnsi="仿宋" w:eastAsia="仿宋" w:cs="仿宋"/>
                <w:color w:val="auto"/>
                <w:szCs w:val="21"/>
                <w:highlight w:val="none"/>
                <w:lang w:val="en-US" w:eastAsia="zh-CN"/>
              </w:rPr>
              <w:t>承担违约责任。在采购人使用的硬件、软件产品出现兼容性问题时，需积极配合，与有关硬件、软件厂商接洽，及时定位问题原因、寻求解决方案。采购人系统在相关环境上进行研发测试过程中，遇到技术难题时，应能提供技术咨询服务，包括远程电话支持和现场研讨支持。</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b w:val="0"/>
                <w:bCs w:val="0"/>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现场备件</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color w:val="FF0000"/>
                <w:sz w:val="21"/>
                <w:szCs w:val="21"/>
                <w:lang w:val="en-US" w:eastAsia="zh-CN"/>
              </w:rPr>
              <w:t>]</w:t>
            </w:r>
            <w:r>
              <w:rPr>
                <w:rFonts w:hint="eastAsia" w:ascii="仿宋" w:hAnsi="仿宋" w:eastAsia="仿宋" w:cs="仿宋"/>
                <w:b w:val="0"/>
                <w:bCs w:val="0"/>
                <w:color w:val="000000"/>
                <w:sz w:val="21"/>
                <w:szCs w:val="21"/>
                <w:lang w:val="en-US" w:eastAsia="zh-CN"/>
              </w:rPr>
              <w:t>根据采购人要求在现场提供相关原厂备品备件，配合采购人的要求完成相应操作，并在规定时间内提交报告。</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kern w:val="2"/>
                <w:sz w:val="21"/>
                <w:szCs w:val="21"/>
                <w:highlight w:val="none"/>
                <w:lang w:val="en-US" w:eastAsia="zh-CN" w:bidi="ar-SA"/>
              </w:rPr>
            </w:pPr>
            <w:r>
              <w:rPr>
                <w:rFonts w:hint="eastAsia" w:ascii="仿宋" w:hAnsi="仿宋" w:eastAsia="仿宋" w:cs="仿宋"/>
                <w:b w:val="0"/>
                <w:bCs w:val="0"/>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2"/>
                <w:sz w:val="21"/>
                <w:szCs w:val="21"/>
                <w:highlight w:val="none"/>
                <w:lang w:val="en-US" w:eastAsia="zh-CN" w:bidi="ar-SA"/>
              </w:rPr>
            </w:pPr>
            <w:r>
              <w:rPr>
                <w:rFonts w:hint="eastAsia" w:ascii="仿宋" w:hAnsi="仿宋" w:eastAsia="仿宋" w:cs="仿宋"/>
                <w:b/>
                <w:bCs/>
                <w:color w:val="000000"/>
                <w:sz w:val="21"/>
                <w:szCs w:val="21"/>
                <w:lang w:val="en-US" w:eastAsia="zh-CN"/>
              </w:rPr>
              <w:t>配件更换和整机替换</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仿宋" w:hAnsi="仿宋" w:eastAsia="仿宋" w:cs="仿宋"/>
                <w:color w:val="auto"/>
                <w:szCs w:val="21"/>
                <w:highlight w:val="none"/>
                <w:lang w:val="en-US"/>
              </w:rPr>
            </w:pPr>
            <w:r>
              <w:rPr>
                <w:rFonts w:hint="eastAsia" w:ascii="仿宋" w:hAnsi="仿宋" w:eastAsia="仿宋" w:cs="仿宋"/>
                <w:b w:val="0"/>
                <w:bCs w:val="0"/>
                <w:color w:val="FF0000"/>
                <w:sz w:val="21"/>
                <w:szCs w:val="21"/>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b w:val="0"/>
                <w:bCs w:val="0"/>
                <w:color w:val="FF0000"/>
                <w:sz w:val="21"/>
                <w:szCs w:val="21"/>
                <w:lang w:val="en-US" w:eastAsia="zh-CN"/>
              </w:rPr>
              <w:t>]</w:t>
            </w:r>
            <w:r>
              <w:rPr>
                <w:rFonts w:hint="eastAsia" w:ascii="仿宋" w:hAnsi="仿宋" w:eastAsia="仿宋" w:cs="仿宋"/>
                <w:b w:val="0"/>
                <w:bCs w:val="0"/>
                <w:color w:val="000000"/>
                <w:sz w:val="21"/>
                <w:szCs w:val="21"/>
                <w:lang w:val="en-US" w:eastAsia="zh-CN"/>
              </w:rPr>
              <w:t>支持原厂备件先行服务，为合同清单中的设备及模块提供相应维保等级的原厂硬件保修服务，在维保期内提供充足相同型号的原厂备品备件，确保清单内设备在出现硬件故障时，及时将替换设备发送至指定现场。对于7*24*4等级服务每周7天每天24小时受理原厂备品备件服务，在收到备件请求后4小时内将备件送达用户现场。对于7*8*NCD等级服务每周7天每天8小时受理原厂备品备件服务，在收到采购人备件请求后的下一个自然日内送达。对于7*8*NBD等级服务每周7天每天8小时受理原厂备品备件服务，在收到采购人备件请求后的下一个工作日内送达。对于5*11*NBD等级服务每周5天（工作日）每天11小时受理原厂备品备件服务，在收到采购人备件请求后的下一个工作日内送达。对于5*8*NBD等级服务每周5天（工作日）每天8小时受理原厂备品备件服务，在收到采购人备件请求后的下一个工作日内送达。如确认为某一型号产品的缺陷且短期内无法解决，在不损失采购人利益的前提下，需对设备进行升级替换。</w:t>
            </w:r>
            <w:r>
              <w:rPr>
                <w:rFonts w:hint="eastAsia" w:ascii="仿宋" w:hAnsi="仿宋" w:eastAsia="仿宋" w:cs="仿宋"/>
                <w:b w:val="0"/>
                <w:bCs w:val="0"/>
                <w:color w:val="000000"/>
                <w:sz w:val="21"/>
                <w:szCs w:val="21"/>
                <w:highlight w:val="none"/>
                <w:lang w:val="en-US" w:eastAsia="zh-CN"/>
              </w:rPr>
              <w:t>（备注：NCD:下一个自然日;NBD:下一个工作日）</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设备移机</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是</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auto"/>
                <w:szCs w:val="21"/>
                <w:highlight w:val="none"/>
              </w:rPr>
            </w:pPr>
            <w:r>
              <w:rPr>
                <w:rFonts w:hint="eastAsia" w:ascii="仿宋" w:hAnsi="仿宋" w:eastAsia="仿宋" w:cs="仿宋"/>
                <w:color w:val="000000"/>
                <w:sz w:val="21"/>
                <w:szCs w:val="21"/>
                <w:lang w:val="en-US" w:eastAsia="zh-CN"/>
              </w:rPr>
              <w:t>投标人根据用户实际需求提供每年不超过1次/台的硬件设备的物理搬迁服务（包括设备搬迁、安装及调试），设备搬迁完成后需保证设备正常运行。搬迁机型应涵盖所有承保机型。在搬迁过程中，必须提供相当于搬迁设备同样配置的</w:t>
            </w:r>
            <w:r>
              <w:rPr>
                <w:rFonts w:hint="eastAsia" w:ascii="仿宋" w:hAnsi="仿宋" w:eastAsia="仿宋" w:cs="仿宋"/>
                <w:b w:val="0"/>
                <w:bCs w:val="0"/>
                <w:color w:val="000000"/>
                <w:sz w:val="21"/>
                <w:szCs w:val="21"/>
                <w:lang w:val="en-US" w:eastAsia="zh-CN"/>
              </w:rPr>
              <w:t>原厂</w:t>
            </w:r>
            <w:r>
              <w:rPr>
                <w:rFonts w:hint="eastAsia" w:ascii="仿宋" w:hAnsi="仿宋" w:eastAsia="仿宋" w:cs="仿宋"/>
                <w:color w:val="000000"/>
                <w:sz w:val="21"/>
                <w:szCs w:val="21"/>
                <w:lang w:val="en-US" w:eastAsia="zh-CN"/>
              </w:rPr>
              <w:t>备件或备机在用户本地，以备不时之需，保障设备移机前后的正常运行。搬迁过程中如设备有任何损坏，其造成的损失在得到用户认可的前提下，全部由投标人负责赔偿。</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重要时期现场值守服务和变更演练支持</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auto"/>
                <w:szCs w:val="21"/>
                <w:highlight w:val="none"/>
              </w:rPr>
            </w:pP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遇有重大节假日（春节、劳动节、国庆节等）、当业务系统发生重大事项（如重要变更、重要演练、重大活动、系统迁移调整部署、系统升级）等情况时，根据用户需要，需提供现场人员支持服务及现场</w:t>
            </w:r>
            <w:r>
              <w:rPr>
                <w:rFonts w:hint="eastAsia" w:ascii="仿宋" w:hAnsi="仿宋" w:eastAsia="仿宋" w:cs="仿宋"/>
                <w:b w:val="0"/>
                <w:bCs w:val="0"/>
                <w:color w:val="000000"/>
                <w:sz w:val="21"/>
                <w:szCs w:val="21"/>
                <w:lang w:val="en-US" w:eastAsia="zh-CN"/>
              </w:rPr>
              <w:t>原厂</w:t>
            </w:r>
            <w:r>
              <w:rPr>
                <w:rFonts w:hint="eastAsia" w:ascii="仿宋" w:hAnsi="仿宋" w:eastAsia="仿宋" w:cs="仿宋"/>
                <w:color w:val="000000"/>
                <w:sz w:val="21"/>
                <w:szCs w:val="21"/>
                <w:lang w:val="en-US" w:eastAsia="zh-CN"/>
              </w:rPr>
              <w:t>备件服务（整机可用，含license，无需二次替换）。对于遇到特殊事项情况人员无法正常出入机房所在区域时，需按照用户要求提供现场驻守保障服务，确保生产业务的连续性。</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巡检</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是</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auto"/>
                <w:szCs w:val="21"/>
                <w:highlight w:val="none"/>
                <w:lang w:eastAsia="zh-CN"/>
              </w:rPr>
            </w:pP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color w:val="FF0000"/>
                <w:sz w:val="21"/>
                <w:szCs w:val="21"/>
                <w:lang w:val="en-US" w:eastAsia="zh-CN"/>
              </w:rPr>
              <w:t>]</w:t>
            </w:r>
            <w:r>
              <w:rPr>
                <w:rFonts w:hint="eastAsia" w:ascii="仿宋" w:hAnsi="仿宋" w:eastAsia="仿宋" w:cs="仿宋"/>
                <w:b w:val="0"/>
                <w:bCs w:val="0"/>
                <w:i w:val="0"/>
                <w:iCs w:val="0"/>
                <w:color w:val="auto"/>
                <w:kern w:val="2"/>
                <w:sz w:val="21"/>
                <w:szCs w:val="21"/>
                <w:highlight w:val="none"/>
              </w:rPr>
              <w:t>节假日（春节、五一、十一）</w:t>
            </w:r>
            <w:r>
              <w:rPr>
                <w:rFonts w:hint="eastAsia" w:ascii="仿宋" w:hAnsi="仿宋" w:eastAsia="仿宋" w:cs="仿宋"/>
                <w:b w:val="0"/>
                <w:bCs w:val="0"/>
                <w:i w:val="0"/>
                <w:iCs w:val="0"/>
                <w:color w:val="auto"/>
                <w:kern w:val="2"/>
                <w:sz w:val="21"/>
                <w:szCs w:val="21"/>
                <w:highlight w:val="none"/>
                <w:lang w:eastAsia="zh-CN"/>
              </w:rPr>
              <w:t>、</w:t>
            </w:r>
            <w:r>
              <w:rPr>
                <w:rFonts w:hint="eastAsia" w:ascii="仿宋" w:hAnsi="仿宋" w:eastAsia="仿宋" w:cs="仿宋"/>
                <w:b w:val="0"/>
                <w:bCs w:val="0"/>
                <w:i w:val="0"/>
                <w:iCs w:val="0"/>
                <w:color w:val="auto"/>
                <w:kern w:val="2"/>
                <w:sz w:val="21"/>
                <w:szCs w:val="21"/>
                <w:highlight w:val="none"/>
              </w:rPr>
              <w:t>国家重大活动前</w:t>
            </w:r>
            <w:r>
              <w:rPr>
                <w:rFonts w:hint="eastAsia" w:ascii="仿宋" w:hAnsi="仿宋" w:eastAsia="仿宋" w:cs="仿宋"/>
                <w:b w:val="0"/>
                <w:bCs w:val="0"/>
                <w:i w:val="0"/>
                <w:iCs w:val="0"/>
                <w:color w:val="auto"/>
                <w:kern w:val="2"/>
                <w:sz w:val="21"/>
                <w:szCs w:val="21"/>
                <w:highlight w:val="none"/>
                <w:lang w:val="en-US" w:eastAsia="zh-CN"/>
              </w:rPr>
              <w:t>及根据采购人需求</w:t>
            </w:r>
            <w:r>
              <w:rPr>
                <w:rFonts w:hint="eastAsia" w:ascii="仿宋" w:hAnsi="仿宋" w:eastAsia="仿宋" w:cs="仿宋"/>
                <w:b w:val="0"/>
                <w:bCs w:val="0"/>
                <w:i w:val="0"/>
                <w:iCs w:val="0"/>
                <w:color w:val="auto"/>
                <w:kern w:val="2"/>
                <w:sz w:val="21"/>
                <w:szCs w:val="21"/>
                <w:highlight w:val="none"/>
              </w:rPr>
              <w:t>对</w:t>
            </w:r>
            <w:r>
              <w:rPr>
                <w:rFonts w:hint="eastAsia" w:ascii="仿宋" w:hAnsi="仿宋" w:eastAsia="仿宋" w:cs="仿宋"/>
                <w:b w:val="0"/>
                <w:bCs w:val="0"/>
                <w:i w:val="0"/>
                <w:iCs w:val="0"/>
                <w:color w:val="auto"/>
                <w:kern w:val="2"/>
                <w:sz w:val="21"/>
                <w:szCs w:val="21"/>
                <w:highlight w:val="none"/>
                <w:lang w:eastAsia="zh-CN"/>
              </w:rPr>
              <w:t>采购人</w:t>
            </w:r>
            <w:r>
              <w:rPr>
                <w:rFonts w:hint="eastAsia" w:ascii="仿宋" w:hAnsi="仿宋" w:eastAsia="仿宋" w:cs="仿宋"/>
                <w:b w:val="0"/>
                <w:bCs w:val="0"/>
                <w:i w:val="0"/>
                <w:iCs w:val="0"/>
                <w:color w:val="auto"/>
                <w:kern w:val="2"/>
                <w:sz w:val="21"/>
                <w:szCs w:val="21"/>
                <w:highlight w:val="none"/>
              </w:rPr>
              <w:t>系统进行全面巡检、分析系统运行状况、查看系统日志、进行预防性检测，以及防患于未然，同时帮助排除故障和进行性能优化，提供系统管理改进建议、巡检后一周内向</w:t>
            </w:r>
            <w:r>
              <w:rPr>
                <w:rFonts w:hint="eastAsia" w:ascii="仿宋" w:hAnsi="仿宋" w:eastAsia="仿宋" w:cs="仿宋"/>
                <w:b w:val="0"/>
                <w:bCs w:val="0"/>
                <w:i w:val="0"/>
                <w:iCs w:val="0"/>
                <w:color w:val="auto"/>
                <w:kern w:val="2"/>
                <w:sz w:val="21"/>
                <w:szCs w:val="21"/>
                <w:highlight w:val="none"/>
                <w:lang w:eastAsia="zh-CN"/>
              </w:rPr>
              <w:t>采购人</w:t>
            </w:r>
            <w:r>
              <w:rPr>
                <w:rFonts w:hint="eastAsia" w:ascii="仿宋" w:hAnsi="仿宋" w:eastAsia="仿宋" w:cs="仿宋"/>
                <w:b w:val="0"/>
                <w:bCs w:val="0"/>
                <w:i w:val="0"/>
                <w:iCs w:val="0"/>
                <w:color w:val="auto"/>
                <w:kern w:val="2"/>
                <w:sz w:val="21"/>
                <w:szCs w:val="21"/>
                <w:highlight w:val="none"/>
              </w:rPr>
              <w:t>提交巡检报告初稿</w:t>
            </w:r>
            <w:r>
              <w:rPr>
                <w:rFonts w:hint="eastAsia" w:ascii="仿宋" w:hAnsi="仿宋" w:eastAsia="仿宋" w:cs="仿宋"/>
                <w:b w:val="0"/>
                <w:bCs w:val="0"/>
                <w:i w:val="0"/>
                <w:iCs w:val="0"/>
                <w:color w:val="auto"/>
                <w:kern w:val="2"/>
                <w:sz w:val="21"/>
                <w:szCs w:val="21"/>
                <w:highlight w:val="none"/>
                <w:lang w:eastAsia="zh-CN"/>
              </w:rPr>
              <w:t>。</w:t>
            </w:r>
            <w:r>
              <w:rPr>
                <w:rFonts w:hint="eastAsia" w:ascii="仿宋" w:hAnsi="仿宋" w:eastAsia="仿宋" w:cs="仿宋"/>
                <w:b w:val="0"/>
                <w:bCs w:val="0"/>
                <w:i w:val="0"/>
                <w:iCs w:val="0"/>
                <w:color w:val="auto"/>
                <w:kern w:val="2"/>
                <w:sz w:val="21"/>
                <w:szCs w:val="21"/>
                <w:highlight w:val="none"/>
              </w:rPr>
              <w:t>如遇节假日及国家重大活动时间重叠的情况，可合并实施巡检</w:t>
            </w:r>
            <w:r>
              <w:rPr>
                <w:rFonts w:hint="eastAsia" w:ascii="仿宋" w:hAnsi="仿宋" w:eastAsia="仿宋" w:cs="仿宋"/>
                <w:b w:val="0"/>
                <w:bCs w:val="0"/>
                <w:i w:val="0"/>
                <w:iCs w:val="0"/>
                <w:color w:val="auto"/>
                <w:kern w:val="2"/>
                <w:sz w:val="21"/>
                <w:szCs w:val="21"/>
                <w:highlight w:val="none"/>
                <w:lang w:eastAsia="zh-CN"/>
              </w:rPr>
              <w:t>。</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版本升级和补丁服务</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0"/>
              </w:numPr>
              <w:spacing w:line="240" w:lineRule="auto"/>
              <w:jc w:val="both"/>
              <w:rPr>
                <w:rFonts w:hint="eastAsia" w:ascii="仿宋" w:hAnsi="仿宋" w:eastAsia="仿宋" w:cs="仿宋"/>
                <w:color w:val="000000"/>
                <w:sz w:val="21"/>
                <w:szCs w:val="21"/>
              </w:rPr>
            </w:pP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应在维保期内持续进行软硬件缺陷跟踪，发现可能影响采购人运行的缺陷要及时书面通告，提供软硬件版本升级、软硬件补丁升级、Bug修复、设备驱动更新等服务。若引发故障的软硬件缺陷（BUG）已发布超过6个月，但投标人未能及时告知且造成采购人业务系统受影响的，由投标人承担违约责任。如对软硬件有新的改进、增加新的功能或者为适应新的标准所形成的最新版本，均应及时通知并提供介质。积极配合系统补丁升级、调研、测试的实施工作。对于产品过期EOL(End of life)，</w:t>
            </w: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需至少提前1年书面通知采购人。对于产品服务到期EOS（End of service），需提前6个月书面通知采购人，同时维保期内需继续提供服务及支持。对于部分设备软件EOS(End of service)的情况，投标人应协助用户判断可能的软件或硬件问题，不得以要求先升级版本为理由不进行故障分析。</w:t>
            </w:r>
          </w:p>
          <w:p>
            <w:pPr>
              <w:widowControl/>
              <w:spacing w:line="240" w:lineRule="auto"/>
              <w:textAlignment w:val="center"/>
              <w:rPr>
                <w:rFonts w:hint="default" w:ascii="仿宋" w:hAnsi="仿宋" w:eastAsia="仿宋" w:cs="仿宋"/>
                <w:color w:val="auto"/>
                <w:szCs w:val="21"/>
                <w:highlight w:val="none"/>
                <w:lang w:val="en-US"/>
              </w:rPr>
            </w:pP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投标人</w:t>
            </w:r>
            <w:r>
              <w:rPr>
                <w:rFonts w:hint="eastAsia" w:ascii="仿宋" w:hAnsi="仿宋" w:eastAsia="仿宋" w:cs="仿宋"/>
                <w:color w:val="FF0000"/>
                <w:sz w:val="21"/>
                <w:szCs w:val="21"/>
                <w:lang w:val="en-US" w:eastAsia="zh-CN"/>
              </w:rPr>
              <w:t>]</w:t>
            </w:r>
            <w:r>
              <w:rPr>
                <w:rFonts w:hint="eastAsia" w:ascii="仿宋" w:hAnsi="仿宋" w:eastAsia="仿宋" w:cs="仿宋"/>
                <w:color w:val="000000"/>
                <w:sz w:val="21"/>
                <w:szCs w:val="21"/>
                <w:lang w:val="en-US" w:eastAsia="zh-CN"/>
              </w:rPr>
              <w:t>维保期内如因国家政策环境的变更引发的系统变更需求和原有系统的错误修正，应及时提供免费支持和满足。</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14</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版本评估</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是</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auto"/>
                <w:szCs w:val="21"/>
                <w:highlight w:val="none"/>
              </w:rPr>
            </w:pPr>
            <w:r>
              <w:rPr>
                <w:rFonts w:hint="eastAsia" w:ascii="仿宋" w:hAnsi="仿宋" w:eastAsia="仿宋" w:cs="仿宋"/>
                <w:color w:val="000000"/>
                <w:sz w:val="21"/>
                <w:szCs w:val="21"/>
                <w:lang w:val="en-US" w:eastAsia="zh-CN"/>
              </w:rPr>
              <w:t>根据采购人要求开展版本评估工作，</w:t>
            </w:r>
            <w:r>
              <w:rPr>
                <w:rFonts w:hint="eastAsia" w:ascii="仿宋" w:hAnsi="仿宋" w:eastAsia="仿宋" w:cs="仿宋"/>
                <w:color w:val="000000"/>
                <w:sz w:val="21"/>
                <w:szCs w:val="21"/>
                <w:highlight w:val="none"/>
                <w:lang w:val="en-US" w:eastAsia="zh-CN"/>
              </w:rPr>
              <w:t>投标人须</w:t>
            </w:r>
            <w:r>
              <w:rPr>
                <w:rFonts w:hint="eastAsia" w:ascii="仿宋" w:hAnsi="仿宋" w:eastAsia="仿宋" w:cs="仿宋"/>
                <w:color w:val="000000"/>
                <w:sz w:val="21"/>
                <w:szCs w:val="21"/>
                <w:lang w:val="en-US" w:eastAsia="zh-CN"/>
              </w:rPr>
              <w:t>根据采购人实际运行设备情况给出合适版本推荐，并提供版本评估报告、测试报告、升级方案等。为保证采购人系统的可靠性、性能、技术的先进性，适时向采购人提出软件升级、改造或更新换代的技术建议书，并最小化采购人投资。</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保密要求</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否</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auto"/>
                <w:szCs w:val="21"/>
                <w:highlight w:val="none"/>
              </w:rPr>
            </w:pPr>
            <w:r>
              <w:rPr>
                <w:rFonts w:hint="eastAsia" w:ascii="仿宋" w:hAnsi="仿宋" w:eastAsia="仿宋" w:cs="仿宋"/>
                <w:color w:val="auto"/>
                <w:szCs w:val="21"/>
                <w:lang w:val="en-US" w:eastAsia="zh-CN"/>
              </w:rPr>
              <w:t>服务人员进场必须遵守采购人的安全管理及保密要求，现场服务人员在未取得采购人授权时，不允许以任何形式存储、传播中国采购人相关保密信息，保密信息包括但不限于商业、营销、技术资料、运营数据及其他性质资料。服务人员在进行设备维修或保养时，应采取必要的安全措施，防止保密信息的泄露或丢失。</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102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授权要求</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是</w:t>
            </w:r>
          </w:p>
        </w:tc>
        <w:tc>
          <w:tcPr>
            <w:tcW w:w="41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仿宋" w:hAnsi="仿宋" w:eastAsia="仿宋" w:cs="仿宋"/>
                <w:color w:val="auto"/>
                <w:szCs w:val="21"/>
                <w:highlight w:val="none"/>
              </w:rPr>
            </w:pPr>
            <w:r>
              <w:rPr>
                <w:rFonts w:hint="eastAsia" w:ascii="仿宋" w:hAnsi="仿宋" w:eastAsia="仿宋" w:cs="仿宋"/>
                <w:color w:val="000000"/>
                <w:sz w:val="21"/>
                <w:szCs w:val="21"/>
                <w:lang w:val="en-US" w:eastAsia="zh-CN"/>
              </w:rPr>
              <w:t>投标人</w:t>
            </w:r>
            <w:r>
              <w:rPr>
                <w:rFonts w:hint="eastAsia" w:ascii="仿宋" w:hAnsi="仿宋" w:eastAsia="仿宋" w:cs="仿宋"/>
                <w:b w:val="0"/>
                <w:bCs w:val="0"/>
                <w:i w:val="0"/>
                <w:iCs w:val="0"/>
                <w:color w:val="auto"/>
                <w:kern w:val="2"/>
                <w:sz w:val="21"/>
                <w:szCs w:val="21"/>
                <w:highlight w:val="none"/>
                <w:lang w:val="en-US" w:eastAsia="zh-CN"/>
              </w:rPr>
              <w:t>应具有本包件货物的原厂商对相关服务的授权书或原厂资质证明。</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是</w:t>
            </w:r>
            <w:r>
              <w:rPr>
                <w:rFonts w:hint="eastAsia" w:ascii="仿宋" w:hAnsi="仿宋" w:eastAsia="仿宋" w:cs="仿宋"/>
                <w:color w:val="auto"/>
                <w:kern w:val="0"/>
                <w:sz w:val="21"/>
                <w:szCs w:val="21"/>
                <w:highlight w:val="none"/>
                <w:lang w:eastAsia="zh-CN" w:bidi="ar"/>
              </w:rPr>
              <w:t>，</w:t>
            </w:r>
          </w:p>
          <w:p>
            <w:pPr>
              <w:jc w:val="center"/>
              <w:rPr>
                <w:rFonts w:ascii="仿宋" w:hAnsi="仿宋" w:eastAsia="仿宋" w:cs="仿宋"/>
                <w:color w:val="auto"/>
                <w:szCs w:val="21"/>
                <w:highlight w:val="none"/>
              </w:rPr>
            </w:pPr>
            <w:r>
              <w:rPr>
                <w:rFonts w:hint="eastAsia" w:ascii="仿宋" w:hAnsi="仿宋" w:eastAsia="仿宋" w:cs="仿宋"/>
                <w:color w:val="auto"/>
                <w:kern w:val="0"/>
                <w:sz w:val="21"/>
                <w:szCs w:val="21"/>
                <w:highlight w:val="none"/>
                <w:lang w:val="en-US" w:eastAsia="zh-CN" w:bidi="ar"/>
              </w:rPr>
              <w:t>投标人需</w:t>
            </w:r>
            <w:r>
              <w:rPr>
                <w:rFonts w:hint="eastAsia" w:ascii="仿宋" w:hAnsi="仿宋" w:eastAsia="仿宋" w:cs="仿宋"/>
                <w:color w:val="auto"/>
                <w:kern w:val="0"/>
                <w:sz w:val="21"/>
                <w:szCs w:val="21"/>
                <w:highlight w:val="none"/>
                <w:lang w:bidi="ar"/>
              </w:rPr>
              <w:t>提供</w:t>
            </w:r>
            <w:r>
              <w:rPr>
                <w:rFonts w:hint="eastAsia" w:ascii="仿宋" w:hAnsi="仿宋" w:eastAsia="仿宋" w:cs="仿宋"/>
                <w:color w:val="auto"/>
                <w:kern w:val="0"/>
                <w:sz w:val="21"/>
                <w:szCs w:val="21"/>
                <w:highlight w:val="none"/>
                <w:lang w:val="en-US" w:eastAsia="zh-CN" w:bidi="ar"/>
              </w:rPr>
              <w:t>原厂商</w:t>
            </w:r>
            <w:r>
              <w:rPr>
                <w:rFonts w:hint="eastAsia" w:ascii="仿宋" w:hAnsi="仿宋" w:eastAsia="仿宋" w:cs="仿宋"/>
                <w:color w:val="auto"/>
                <w:kern w:val="0"/>
                <w:sz w:val="21"/>
                <w:szCs w:val="21"/>
                <w:highlight w:val="none"/>
                <w:lang w:bidi="ar"/>
              </w:rPr>
              <w:t>授权书</w:t>
            </w:r>
            <w:r>
              <w:rPr>
                <w:rFonts w:hint="eastAsia" w:ascii="仿宋" w:hAnsi="仿宋" w:eastAsia="仿宋" w:cs="仿宋"/>
                <w:b w:val="0"/>
                <w:bCs w:val="0"/>
                <w:i w:val="0"/>
                <w:iCs w:val="0"/>
                <w:color w:val="auto"/>
                <w:kern w:val="2"/>
                <w:sz w:val="21"/>
                <w:szCs w:val="21"/>
                <w:highlight w:val="none"/>
                <w:lang w:val="en-US" w:eastAsia="zh-CN"/>
              </w:rPr>
              <w:t>或原厂资质证明</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snapToGrid w:val="0"/>
                <w:color w:val="auto"/>
                <w:kern w:val="0"/>
                <w:sz w:val="21"/>
                <w:szCs w:val="21"/>
                <w:highlight w:val="none"/>
                <w:lang w:val="en-US" w:eastAsia="zh-CN" w:bidi="ar"/>
              </w:rPr>
              <w:t>需</w:t>
            </w:r>
            <w:r>
              <w:rPr>
                <w:rFonts w:hint="eastAsia" w:ascii="仿宋" w:hAnsi="仿宋" w:eastAsia="仿宋" w:cs="仿宋"/>
                <w:color w:val="auto"/>
                <w:kern w:val="0"/>
                <w:sz w:val="21"/>
                <w:szCs w:val="21"/>
                <w:highlight w:val="none"/>
                <w:lang w:bidi="ar"/>
              </w:rPr>
              <w:t>加盖原厂商公章</w:t>
            </w:r>
            <w:r>
              <w:rPr>
                <w:rFonts w:hint="eastAsia" w:ascii="仿宋" w:hAnsi="仿宋" w:eastAsia="仿宋" w:cs="仿宋"/>
                <w:color w:val="auto"/>
                <w:kern w:val="0"/>
                <w:sz w:val="21"/>
                <w:szCs w:val="21"/>
                <w:highlight w:val="none"/>
                <w:lang w:eastAsia="zh-CN" w:bidi="ar"/>
              </w:rPr>
              <w:t>。</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17</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000000"/>
                <w:sz w:val="21"/>
                <w:szCs w:val="21"/>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b/>
                <w:bCs/>
                <w:color w:val="000000"/>
                <w:sz w:val="21"/>
                <w:szCs w:val="21"/>
                <w:lang w:val="en-US" w:eastAsia="zh-CN"/>
              </w:rPr>
              <w:t>维保服务地点</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否</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rPr>
              <w:t>1-上海园区</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地址：上海市浦东新区顾唐路1699号</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邮编：201201（以实际为准）</w:t>
            </w:r>
          </w:p>
          <w:p>
            <w:pPr>
              <w:widowControl/>
              <w:jc w:val="left"/>
              <w:textAlignment w:val="center"/>
              <w:rPr>
                <w:rFonts w:hint="eastAsia" w:ascii="仿宋" w:hAnsi="仿宋" w:eastAsia="仿宋" w:cs="仿宋"/>
                <w:color w:val="auto"/>
                <w:szCs w:val="21"/>
                <w:highlight w:val="none"/>
              </w:rPr>
            </w:pP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rPr>
              <w:t>2-万国新发展IDC</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地址：上海市浦东新区日阪路91号</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邮编：201208（以实际为准）</w:t>
            </w:r>
          </w:p>
          <w:p>
            <w:pPr>
              <w:widowControl/>
              <w:jc w:val="left"/>
              <w:textAlignment w:val="center"/>
              <w:rPr>
                <w:rFonts w:hint="eastAsia" w:ascii="仿宋" w:hAnsi="仿宋" w:eastAsia="仿宋" w:cs="仿宋"/>
                <w:color w:val="auto"/>
                <w:szCs w:val="21"/>
                <w:highlight w:val="none"/>
              </w:rPr>
            </w:pP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rPr>
              <w:t>3-万国浦江IDC</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地址：上海市闵行区浦星公路699号</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邮编：201114（以实际为准）</w:t>
            </w:r>
          </w:p>
          <w:p>
            <w:pPr>
              <w:widowControl/>
              <w:jc w:val="left"/>
              <w:textAlignment w:val="center"/>
              <w:rPr>
                <w:rFonts w:hint="eastAsia" w:ascii="仿宋" w:hAnsi="仿宋" w:eastAsia="仿宋" w:cs="仿宋"/>
                <w:color w:val="auto"/>
                <w:szCs w:val="21"/>
                <w:highlight w:val="none"/>
              </w:rPr>
            </w:pP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rPr>
              <w:t>4-电信真如IDC</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地址：上海市普陀区真大路6号</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邮编：200331（以实际为准）</w:t>
            </w:r>
          </w:p>
          <w:p>
            <w:pPr>
              <w:widowControl/>
              <w:jc w:val="left"/>
              <w:textAlignment w:val="center"/>
              <w:rPr>
                <w:rFonts w:hint="eastAsia" w:ascii="仿宋" w:hAnsi="仿宋" w:eastAsia="仿宋" w:cs="仿宋"/>
                <w:color w:val="auto"/>
                <w:szCs w:val="21"/>
                <w:highlight w:val="none"/>
              </w:rPr>
            </w:pP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rPr>
              <w:t>5-万国外高桥IDC</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地址：上海市浦东新区华京路6号</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邮编：200131（以实际为准）</w:t>
            </w:r>
          </w:p>
          <w:p>
            <w:pPr>
              <w:widowControl/>
              <w:jc w:val="left"/>
              <w:textAlignment w:val="center"/>
              <w:rPr>
                <w:rFonts w:hint="eastAsia" w:ascii="仿宋" w:hAnsi="仿宋" w:eastAsia="仿宋" w:cs="仿宋"/>
                <w:color w:val="auto"/>
                <w:szCs w:val="21"/>
                <w:highlight w:val="none"/>
              </w:rPr>
            </w:pP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-北京园区</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地址：北京市海淀区东北旺西路8号中关村软件园22号楼</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邮编：100193（以实际为准）</w:t>
            </w:r>
          </w:p>
          <w:p>
            <w:pPr>
              <w:widowControl/>
              <w:jc w:val="left"/>
              <w:textAlignment w:val="center"/>
              <w:rPr>
                <w:rFonts w:hint="eastAsia" w:ascii="仿宋" w:hAnsi="仿宋" w:eastAsia="仿宋" w:cs="仿宋"/>
                <w:color w:val="auto"/>
                <w:szCs w:val="21"/>
                <w:highlight w:val="none"/>
              </w:rPr>
            </w:pP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-软件园IDC</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地址：北京海淀区软件园二期西北旺东路10号院1号楼</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邮编：100193（以实际为准）</w:t>
            </w:r>
          </w:p>
          <w:p>
            <w:pPr>
              <w:widowControl/>
              <w:jc w:val="left"/>
              <w:textAlignment w:val="center"/>
              <w:rPr>
                <w:rFonts w:hint="eastAsia" w:ascii="仿宋" w:hAnsi="仿宋" w:eastAsia="仿宋" w:cs="仿宋"/>
                <w:color w:val="auto"/>
                <w:szCs w:val="21"/>
                <w:highlight w:val="none"/>
              </w:rPr>
            </w:pP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收货地址</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-有孚IDC</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地址：北京市海淀区西北旺镇永丰产业基地安泰科技园区C区</w:t>
            </w:r>
          </w:p>
          <w:p>
            <w:pPr>
              <w:widowControl/>
              <w:jc w:val="left"/>
              <w:textAlignment w:val="center"/>
              <w:rPr>
                <w:rFonts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邮编：100094（以实际为准）</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服务方案</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是</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投标人针对招标人的维保设备应制定全年服务方案，包含指定的服务人员、明确的技术服务内容（比如巡检、产品安装升级、故障部件更换等）</w:t>
            </w:r>
            <w:r>
              <w:rPr>
                <w:rFonts w:hint="eastAsia" w:ascii="仿宋" w:hAnsi="仿宋" w:eastAsia="仿宋" w:cs="仿宋"/>
                <w:color w:val="auto"/>
                <w:sz w:val="21"/>
                <w:szCs w:val="21"/>
                <w:lang w:val="en-US" w:eastAsia="zh-CN"/>
              </w:rPr>
              <w:t>。</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否</w:t>
            </w:r>
          </w:p>
        </w:tc>
      </w:tr>
      <w:tr>
        <w:tblPrEx>
          <w:tblCellMar>
            <w:top w:w="0" w:type="dxa"/>
            <w:left w:w="108" w:type="dxa"/>
            <w:bottom w:w="0" w:type="dxa"/>
            <w:right w:w="108" w:type="dxa"/>
          </w:tblCellMar>
        </w:tblPrEx>
        <w:trPr>
          <w:trHeight w:val="51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案例业绩</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是</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000000"/>
                <w:sz w:val="21"/>
                <w:szCs w:val="21"/>
                <w:lang w:val="en-US" w:eastAsia="zh-CN"/>
              </w:rPr>
              <w:t>须具有近三年以来国内企业/机构的售后服务(限本次招标的同类项目)的项目业绩，并提供以上成功案例的证明材料（合同复印件）。</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是，由投标人提供材料并加盖</w:t>
            </w:r>
            <w:r>
              <w:rPr>
                <w:rFonts w:hint="eastAsia" w:ascii="仿宋" w:hAnsi="仿宋" w:eastAsia="仿宋" w:cs="仿宋"/>
                <w:color w:val="auto"/>
                <w:kern w:val="0"/>
                <w:sz w:val="21"/>
                <w:szCs w:val="21"/>
                <w:highlight w:val="none"/>
                <w:lang w:bidi="ar"/>
              </w:rPr>
              <w:t>公章</w:t>
            </w:r>
          </w:p>
        </w:tc>
      </w:tr>
    </w:tbl>
    <w:p>
      <w:pPr>
        <w:pStyle w:val="2"/>
        <w:bidi w:val="0"/>
        <w:rPr>
          <w:rFonts w:hint="eastAsia"/>
          <w:lang w:val="en-US" w:eastAsia="zh-CN"/>
        </w:rPr>
      </w:pPr>
    </w:p>
    <w:p>
      <w:pPr>
        <w:numPr>
          <w:ilvl w:val="0"/>
          <w:numId w:val="3"/>
        </w:numPr>
        <w:spacing w:line="360" w:lineRule="auto"/>
        <w:ind w:left="-10" w:leftChars="0" w:firstLine="640" w:firstLineChars="0"/>
        <w:outlineLvl w:val="4"/>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rPr>
        <w:t>付款方式</w:t>
      </w:r>
    </w:p>
    <w:p>
      <w:pPr>
        <w:rPr>
          <w:rFonts w:hint="eastAsia"/>
          <w:lang w:val="en-US" w:eastAsia="zh-CN"/>
        </w:rPr>
      </w:pPr>
    </w:p>
    <w:tbl>
      <w:tblPr>
        <w:tblStyle w:val="16"/>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ascii="仿宋" w:hAnsi="仿宋" w:eastAsia="仿宋" w:cs="宋体"/>
                <w:b/>
                <w:kern w:val="0"/>
                <w:sz w:val="21"/>
                <w:szCs w:val="21"/>
              </w:rPr>
            </w:pPr>
            <w:r>
              <w:rPr>
                <w:rFonts w:hint="eastAsia" w:ascii="仿宋" w:hAnsi="仿宋" w:eastAsia="仿宋" w:cs="宋体"/>
                <w:b/>
                <w:kern w:val="0"/>
                <w:sz w:val="21"/>
                <w:szCs w:val="21"/>
              </w:rPr>
              <w:t>序号</w:t>
            </w:r>
          </w:p>
        </w:tc>
        <w:tc>
          <w:tcPr>
            <w:tcW w:w="1559" w:type="dxa"/>
            <w:vAlign w:val="center"/>
          </w:tcPr>
          <w:p>
            <w:pPr>
              <w:jc w:val="center"/>
              <w:rPr>
                <w:rFonts w:ascii="仿宋" w:hAnsi="仿宋" w:eastAsia="仿宋" w:cs="Times New Roman"/>
                <w:b/>
                <w:sz w:val="21"/>
                <w:szCs w:val="21"/>
              </w:rPr>
            </w:pPr>
            <w:r>
              <w:rPr>
                <w:rFonts w:hint="eastAsia" w:ascii="仿宋" w:hAnsi="仿宋" w:eastAsia="仿宋" w:cs="Times New Roman"/>
                <w:b/>
                <w:sz w:val="21"/>
                <w:szCs w:val="21"/>
              </w:rPr>
              <w:t>付款节点（进度</w:t>
            </w:r>
            <w:r>
              <w:rPr>
                <w:rFonts w:ascii="仿宋" w:hAnsi="仿宋" w:eastAsia="仿宋" w:cs="Times New Roman"/>
                <w:b/>
                <w:sz w:val="21"/>
                <w:szCs w:val="21"/>
              </w:rPr>
              <w:t>）</w:t>
            </w:r>
          </w:p>
        </w:tc>
        <w:tc>
          <w:tcPr>
            <w:tcW w:w="2410" w:type="dxa"/>
            <w:vAlign w:val="center"/>
          </w:tcPr>
          <w:p>
            <w:pPr>
              <w:jc w:val="center"/>
              <w:rPr>
                <w:rFonts w:ascii="仿宋" w:hAnsi="仿宋" w:eastAsia="仿宋" w:cs="Times New Roman"/>
                <w:b/>
                <w:sz w:val="21"/>
                <w:szCs w:val="21"/>
              </w:rPr>
            </w:pPr>
            <w:r>
              <w:rPr>
                <w:rFonts w:hint="eastAsia" w:ascii="仿宋" w:hAnsi="仿宋" w:eastAsia="仿宋" w:cs="Times New Roman"/>
                <w:b/>
                <w:sz w:val="21"/>
                <w:szCs w:val="21"/>
              </w:rPr>
              <w:t>付款条件</w:t>
            </w:r>
          </w:p>
        </w:tc>
        <w:tc>
          <w:tcPr>
            <w:tcW w:w="1701" w:type="dxa"/>
            <w:vAlign w:val="center"/>
          </w:tcPr>
          <w:p>
            <w:pPr>
              <w:jc w:val="center"/>
              <w:rPr>
                <w:rFonts w:ascii="仿宋" w:hAnsi="仿宋" w:eastAsia="仿宋" w:cs="Times New Roman"/>
                <w:b/>
                <w:sz w:val="21"/>
                <w:szCs w:val="21"/>
              </w:rPr>
            </w:pPr>
            <w:r>
              <w:rPr>
                <w:rFonts w:hint="eastAsia" w:ascii="仿宋" w:hAnsi="仿宋" w:eastAsia="仿宋" w:cs="Times New Roman"/>
                <w:b/>
                <w:sz w:val="21"/>
                <w:szCs w:val="21"/>
              </w:rPr>
              <w:t>付款比例（或金额）</w:t>
            </w:r>
          </w:p>
        </w:tc>
        <w:tc>
          <w:tcPr>
            <w:tcW w:w="1276" w:type="dxa"/>
          </w:tcPr>
          <w:p>
            <w:pPr>
              <w:jc w:val="center"/>
              <w:rPr>
                <w:rFonts w:ascii="仿宋" w:hAnsi="仿宋" w:eastAsia="仿宋" w:cs="Times New Roman"/>
                <w:b/>
                <w:sz w:val="21"/>
                <w:szCs w:val="21"/>
              </w:rPr>
            </w:pPr>
            <w:r>
              <w:rPr>
                <w:rFonts w:hint="eastAsia" w:ascii="仿宋" w:hAnsi="仿宋" w:eastAsia="仿宋" w:cs="Times New Roman"/>
                <w:b/>
                <w:sz w:val="21"/>
                <w:szCs w:val="21"/>
              </w:rPr>
              <w:t>资金支付</w:t>
            </w:r>
            <w:r>
              <w:rPr>
                <w:rFonts w:ascii="仿宋" w:hAnsi="仿宋" w:eastAsia="仿宋" w:cs="Times New Roman"/>
                <w:b/>
                <w:sz w:val="21"/>
                <w:szCs w:val="21"/>
              </w:rPr>
              <w:t>方式</w:t>
            </w:r>
          </w:p>
        </w:tc>
        <w:tc>
          <w:tcPr>
            <w:tcW w:w="992" w:type="dxa"/>
            <w:vAlign w:val="center"/>
          </w:tcPr>
          <w:p>
            <w:pPr>
              <w:jc w:val="center"/>
              <w:rPr>
                <w:rFonts w:ascii="仿宋" w:hAnsi="仿宋" w:eastAsia="仿宋" w:cs="Times New Roman"/>
                <w:b/>
                <w:sz w:val="21"/>
                <w:szCs w:val="21"/>
              </w:rPr>
            </w:pPr>
            <w:r>
              <w:rPr>
                <w:rFonts w:hint="eastAsia" w:ascii="仿宋" w:hAnsi="仿宋" w:eastAsia="仿宋"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ascii="仿宋" w:hAnsi="仿宋" w:eastAsia="仿宋" w:cs="宋体"/>
                <w:kern w:val="0"/>
                <w:sz w:val="21"/>
                <w:szCs w:val="21"/>
              </w:rPr>
            </w:pPr>
            <w:r>
              <w:rPr>
                <w:rFonts w:hint="eastAsia" w:ascii="仿宋" w:hAnsi="仿宋" w:eastAsia="仿宋" w:cs="仿宋"/>
                <w:color w:val="auto"/>
                <w:sz w:val="21"/>
                <w:szCs w:val="21"/>
                <w:lang w:val="en-US" w:eastAsia="zh-CN"/>
              </w:rPr>
              <w:t>1</w:t>
            </w:r>
          </w:p>
        </w:tc>
        <w:tc>
          <w:tcPr>
            <w:tcW w:w="1559" w:type="dxa"/>
          </w:tcPr>
          <w:p>
            <w:pPr>
              <w:rPr>
                <w:rFonts w:hint="eastAsia" w:ascii="仿宋" w:hAnsi="仿宋" w:eastAsia="仿宋" w:cs="Times New Roman"/>
                <w:sz w:val="21"/>
                <w:szCs w:val="21"/>
                <w:lang w:val="en-US" w:eastAsia="zh-CN"/>
              </w:rPr>
            </w:pPr>
            <w:r>
              <w:rPr>
                <w:rFonts w:hint="eastAsia" w:ascii="仿宋" w:hAnsi="仿宋" w:eastAsia="仿宋" w:cs="仿宋"/>
                <w:color w:val="auto"/>
                <w:sz w:val="21"/>
                <w:szCs w:val="21"/>
                <w:lang w:val="en-US" w:eastAsia="zh-CN"/>
              </w:rPr>
              <w:t>首付款</w:t>
            </w:r>
          </w:p>
        </w:tc>
        <w:tc>
          <w:tcPr>
            <w:tcW w:w="2410" w:type="dxa"/>
          </w:tcPr>
          <w:p>
            <w:pPr>
              <w:rPr>
                <w:rFonts w:ascii="仿宋" w:hAnsi="仿宋" w:eastAsia="仿宋" w:cs="Times New Roman"/>
                <w:sz w:val="21"/>
                <w:szCs w:val="21"/>
              </w:rPr>
            </w:pPr>
            <w:r>
              <w:rPr>
                <w:rFonts w:hint="eastAsia" w:ascii="仿宋" w:hAnsi="仿宋" w:eastAsia="仿宋" w:cs="仿宋"/>
                <w:color w:val="auto"/>
                <w:sz w:val="21"/>
                <w:szCs w:val="21"/>
              </w:rPr>
              <w:t>合同签订且首次维保期开始后，甲方收到乙方第一年的原厂下单证明和等额合格增值税专用发票后的</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0个工作日内</w:t>
            </w:r>
          </w:p>
        </w:tc>
        <w:tc>
          <w:tcPr>
            <w:tcW w:w="1701" w:type="dxa"/>
          </w:tcPr>
          <w:p>
            <w:pP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30%</w:t>
            </w:r>
          </w:p>
        </w:tc>
        <w:tc>
          <w:tcPr>
            <w:tcW w:w="1276" w:type="dxa"/>
          </w:tcPr>
          <w:p>
            <w:pP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线上公对公转账</w:t>
            </w:r>
          </w:p>
        </w:tc>
        <w:tc>
          <w:tcPr>
            <w:tcW w:w="992" w:type="dxa"/>
          </w:tcPr>
          <w:p>
            <w:pP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559" w:type="dxa"/>
          </w:tcPr>
          <w:p>
            <w:pP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阶段款</w:t>
            </w:r>
          </w:p>
        </w:tc>
        <w:tc>
          <w:tcPr>
            <w:tcW w:w="2410" w:type="dxa"/>
          </w:tcPr>
          <w:p>
            <w:pPr>
              <w:rPr>
                <w:rFonts w:ascii="仿宋" w:hAnsi="仿宋" w:eastAsia="仿宋" w:cs="Times New Roman"/>
                <w:sz w:val="21"/>
                <w:szCs w:val="21"/>
              </w:rPr>
            </w:pPr>
            <w:r>
              <w:rPr>
                <w:rFonts w:hint="eastAsia" w:ascii="仿宋" w:hAnsi="仿宋" w:eastAsia="仿宋" w:cs="仿宋"/>
                <w:color w:val="auto"/>
                <w:sz w:val="21"/>
                <w:szCs w:val="21"/>
              </w:rPr>
              <w:t>首次维保服务期满12个月，服务验收合格，并收到下一阶段的原厂下单证明和等额合格增值税专用发票后的</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0个工作日内</w:t>
            </w:r>
          </w:p>
        </w:tc>
        <w:tc>
          <w:tcPr>
            <w:tcW w:w="1701" w:type="dxa"/>
          </w:tcPr>
          <w:p>
            <w:pPr>
              <w:rPr>
                <w:rFonts w:ascii="仿宋" w:hAnsi="仿宋" w:eastAsia="仿宋" w:cs="Times New Roman"/>
                <w:sz w:val="21"/>
                <w:szCs w:val="21"/>
              </w:rPr>
            </w:pPr>
            <w:r>
              <w:rPr>
                <w:rFonts w:hint="eastAsia" w:ascii="仿宋" w:hAnsi="仿宋" w:eastAsia="仿宋" w:cs="仿宋"/>
                <w:color w:val="auto"/>
                <w:sz w:val="21"/>
                <w:szCs w:val="21"/>
              </w:rPr>
              <w:t>按照实际维保天数及单价，据实结算超出首付款部分的维保费用</w:t>
            </w:r>
          </w:p>
        </w:tc>
        <w:tc>
          <w:tcPr>
            <w:tcW w:w="1276" w:type="dxa"/>
          </w:tcPr>
          <w:p>
            <w:pPr>
              <w:rPr>
                <w:rFonts w:ascii="仿宋" w:hAnsi="仿宋" w:eastAsia="仿宋" w:cs="Times New Roman"/>
                <w:sz w:val="21"/>
                <w:szCs w:val="21"/>
              </w:rPr>
            </w:pPr>
            <w:r>
              <w:rPr>
                <w:rFonts w:hint="eastAsia" w:ascii="仿宋" w:hAnsi="仿宋" w:eastAsia="仿宋" w:cs="Times New Roman"/>
                <w:sz w:val="21"/>
                <w:szCs w:val="21"/>
                <w:lang w:val="en-US" w:eastAsia="zh-CN"/>
              </w:rPr>
              <w:t>线上公对公转账</w:t>
            </w:r>
          </w:p>
        </w:tc>
        <w:tc>
          <w:tcPr>
            <w:tcW w:w="992" w:type="dxa"/>
          </w:tcPr>
          <w:p>
            <w:pP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559" w:type="dxa"/>
          </w:tcPr>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阶段款</w:t>
            </w:r>
          </w:p>
        </w:tc>
        <w:tc>
          <w:tcPr>
            <w:tcW w:w="2410" w:type="dxa"/>
          </w:tcPr>
          <w:p>
            <w:pPr>
              <w:rPr>
                <w:rFonts w:ascii="仿宋" w:hAnsi="仿宋" w:eastAsia="仿宋" w:cs="Times New Roman"/>
                <w:sz w:val="21"/>
                <w:szCs w:val="21"/>
              </w:rPr>
            </w:pPr>
            <w:r>
              <w:rPr>
                <w:rFonts w:hint="eastAsia" w:ascii="仿宋" w:hAnsi="仿宋" w:eastAsia="仿宋" w:cs="仿宋"/>
                <w:color w:val="auto"/>
                <w:sz w:val="21"/>
                <w:szCs w:val="21"/>
              </w:rPr>
              <w:t>首次维保服务期满后，维保服务每满12个月，服务验收合格，并收到下一阶段的原厂下单证明和等额合格增值税专用发票后的</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0个工作日内</w:t>
            </w:r>
          </w:p>
        </w:tc>
        <w:tc>
          <w:tcPr>
            <w:tcW w:w="1701" w:type="dxa"/>
          </w:tcPr>
          <w:p>
            <w:pPr>
              <w:rPr>
                <w:rFonts w:ascii="仿宋" w:hAnsi="仿宋" w:eastAsia="仿宋" w:cs="Times New Roman"/>
                <w:sz w:val="21"/>
                <w:szCs w:val="21"/>
              </w:rPr>
            </w:pPr>
            <w:r>
              <w:rPr>
                <w:rFonts w:hint="eastAsia" w:ascii="仿宋" w:hAnsi="仿宋" w:eastAsia="仿宋" w:cs="仿宋"/>
                <w:color w:val="auto"/>
                <w:sz w:val="21"/>
                <w:szCs w:val="21"/>
              </w:rPr>
              <w:t>按照实际维保天数及单价据实结算维保费用（共支付</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1或者2</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次）</w:t>
            </w:r>
          </w:p>
        </w:tc>
        <w:tc>
          <w:tcPr>
            <w:tcW w:w="1276" w:type="dxa"/>
          </w:tcPr>
          <w:p>
            <w:pPr>
              <w:rPr>
                <w:rFonts w:ascii="仿宋" w:hAnsi="仿宋" w:eastAsia="仿宋" w:cs="Times New Roman"/>
                <w:sz w:val="21"/>
                <w:szCs w:val="21"/>
              </w:rPr>
            </w:pPr>
            <w:r>
              <w:rPr>
                <w:rFonts w:hint="eastAsia" w:ascii="仿宋" w:hAnsi="仿宋" w:eastAsia="仿宋" w:cs="Times New Roman"/>
                <w:sz w:val="21"/>
                <w:szCs w:val="21"/>
                <w:lang w:val="en-US" w:eastAsia="zh-CN"/>
              </w:rPr>
              <w:t>线上公对公转账</w:t>
            </w:r>
          </w:p>
        </w:tc>
        <w:tc>
          <w:tcPr>
            <w:tcW w:w="992" w:type="dxa"/>
          </w:tcPr>
          <w:p>
            <w:pP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top"/>
          </w:tcPr>
          <w:p>
            <w:pPr>
              <w:widowControl/>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4</w:t>
            </w:r>
          </w:p>
        </w:tc>
        <w:tc>
          <w:tcPr>
            <w:tcW w:w="1559" w:type="dxa"/>
            <w:vAlign w:val="top"/>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尾款</w:t>
            </w:r>
          </w:p>
        </w:tc>
        <w:tc>
          <w:tcPr>
            <w:tcW w:w="2410" w:type="dxa"/>
          </w:tcPr>
          <w:p>
            <w:pPr>
              <w:rPr>
                <w:rFonts w:ascii="仿宋" w:hAnsi="仿宋" w:eastAsia="仿宋" w:cs="Times New Roman"/>
                <w:sz w:val="21"/>
                <w:szCs w:val="21"/>
              </w:rPr>
            </w:pPr>
            <w:r>
              <w:rPr>
                <w:rFonts w:hint="eastAsia" w:ascii="仿宋" w:hAnsi="仿宋" w:eastAsia="仿宋" w:cs="仿宋"/>
                <w:color w:val="auto"/>
                <w:sz w:val="21"/>
                <w:szCs w:val="21"/>
              </w:rPr>
              <w:t>维保期满，服务验收合格，收到等额合格增值税专用发票后的</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0个工作日内，</w:t>
            </w:r>
          </w:p>
        </w:tc>
        <w:tc>
          <w:tcPr>
            <w:tcW w:w="1701" w:type="dxa"/>
          </w:tcPr>
          <w:p>
            <w:pPr>
              <w:rPr>
                <w:rFonts w:ascii="仿宋" w:hAnsi="仿宋" w:eastAsia="仿宋" w:cs="Times New Roman"/>
                <w:sz w:val="21"/>
                <w:szCs w:val="21"/>
              </w:rPr>
            </w:pPr>
            <w:r>
              <w:rPr>
                <w:rFonts w:hint="eastAsia" w:ascii="仿宋" w:hAnsi="仿宋" w:eastAsia="仿宋" w:cs="仿宋"/>
                <w:color w:val="auto"/>
                <w:sz w:val="21"/>
                <w:szCs w:val="21"/>
              </w:rPr>
              <w:t>按照实际维保天数及单价据实结算维保费用。</w:t>
            </w:r>
          </w:p>
        </w:tc>
        <w:tc>
          <w:tcPr>
            <w:tcW w:w="1276" w:type="dxa"/>
          </w:tcPr>
          <w:p>
            <w:pPr>
              <w:rPr>
                <w:rFonts w:ascii="仿宋" w:hAnsi="仿宋" w:eastAsia="仿宋" w:cs="Times New Roman"/>
                <w:sz w:val="21"/>
                <w:szCs w:val="21"/>
              </w:rPr>
            </w:pPr>
            <w:r>
              <w:rPr>
                <w:rFonts w:hint="eastAsia" w:ascii="仿宋" w:hAnsi="仿宋" w:eastAsia="仿宋" w:cs="Times New Roman"/>
                <w:sz w:val="21"/>
                <w:szCs w:val="21"/>
                <w:lang w:val="en-US" w:eastAsia="zh-CN"/>
              </w:rPr>
              <w:t>线上公对公转账</w:t>
            </w:r>
          </w:p>
        </w:tc>
        <w:tc>
          <w:tcPr>
            <w:tcW w:w="992" w:type="dxa"/>
          </w:tcPr>
          <w:p>
            <w:pPr>
              <w:rPr>
                <w:rFonts w:ascii="仿宋" w:hAnsi="仿宋" w:eastAsia="仿宋" w:cs="Times New Roman"/>
                <w:sz w:val="21"/>
                <w:szCs w:val="21"/>
              </w:rPr>
            </w:pPr>
            <w:r>
              <w:rPr>
                <w:rFonts w:hint="eastAsia" w:ascii="仿宋" w:hAnsi="仿宋" w:eastAsia="仿宋" w:cs="仿宋"/>
                <w:color w:val="auto"/>
                <w:sz w:val="21"/>
                <w:szCs w:val="21"/>
              </w:rPr>
              <w:t>对于维保期满时间据上一阶段服务结束时间不足6个月的，可合并进行验收及支付</w:t>
            </w:r>
          </w:p>
        </w:tc>
      </w:tr>
    </w:tbl>
    <w:p>
      <w:pPr>
        <w:pStyle w:val="2"/>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DBE04"/>
    <w:multiLevelType w:val="singleLevel"/>
    <w:tmpl w:val="A56DBE04"/>
    <w:lvl w:ilvl="0" w:tentative="0">
      <w:start w:val="1"/>
      <w:numFmt w:val="upperLetter"/>
      <w:suff w:val="nothing"/>
      <w:lvlText w:val="%1、"/>
      <w:lvlJc w:val="left"/>
      <w:pPr>
        <w:ind w:left="-10"/>
      </w:pPr>
    </w:lvl>
  </w:abstractNum>
  <w:abstractNum w:abstractNumId="1">
    <w:nsid w:val="FEBF8EAC"/>
    <w:multiLevelType w:val="singleLevel"/>
    <w:tmpl w:val="FEBF8EAC"/>
    <w:lvl w:ilvl="0" w:tentative="0">
      <w:start w:val="1"/>
      <w:numFmt w:val="decimal"/>
      <w:lvlText w:val="%1."/>
      <w:lvlJc w:val="left"/>
      <w:pPr>
        <w:tabs>
          <w:tab w:val="left" w:pos="312"/>
        </w:tabs>
      </w:pPr>
    </w:lvl>
  </w:abstractNum>
  <w:abstractNum w:abstractNumId="2">
    <w:nsid w:val="7753692C"/>
    <w:multiLevelType w:val="multilevel"/>
    <w:tmpl w:val="7753692C"/>
    <w:lvl w:ilvl="0" w:tentative="0">
      <w:start w:val="1"/>
      <w:numFmt w:val="decimal"/>
      <w:pStyle w:val="3"/>
      <w:lvlText w:val="%1."/>
      <w:lvlJc w:val="left"/>
      <w:pPr>
        <w:tabs>
          <w:tab w:val="left" w:pos="840"/>
        </w:tabs>
        <w:ind w:left="1272" w:hanging="432"/>
      </w:pPr>
      <w:rPr>
        <w:rFonts w:hint="default"/>
      </w:rPr>
    </w:lvl>
    <w:lvl w:ilvl="1" w:tentative="0">
      <w:start w:val="1"/>
      <w:numFmt w:val="decimal"/>
      <w:pStyle w:val="4"/>
      <w:lvlText w:val="%1.%2."/>
      <w:lvlJc w:val="left"/>
      <w:pPr>
        <w:tabs>
          <w:tab w:val="left" w:pos="840"/>
        </w:tabs>
        <w:ind w:left="1415" w:hanging="575"/>
      </w:pPr>
      <w:rPr>
        <w:rFonts w:hint="default"/>
      </w:rPr>
    </w:lvl>
    <w:lvl w:ilvl="2" w:tentative="0">
      <w:start w:val="1"/>
      <w:numFmt w:val="decimal"/>
      <w:pStyle w:val="5"/>
      <w:lvlText w:val="%1.%2.%3."/>
      <w:lvlJc w:val="left"/>
      <w:pPr>
        <w:tabs>
          <w:tab w:val="left" w:pos="840"/>
        </w:tabs>
        <w:ind w:left="1560" w:hanging="720"/>
      </w:pPr>
      <w:rPr>
        <w:rFonts w:hint="default"/>
      </w:rPr>
    </w:lvl>
    <w:lvl w:ilvl="3" w:tentative="0">
      <w:start w:val="1"/>
      <w:numFmt w:val="decimal"/>
      <w:pStyle w:val="6"/>
      <w:lvlText w:val="%1.%2.%3.%4."/>
      <w:lvlJc w:val="left"/>
      <w:pPr>
        <w:tabs>
          <w:tab w:val="left" w:pos="840"/>
        </w:tabs>
        <w:ind w:left="1704" w:hanging="864"/>
      </w:pPr>
      <w:rPr>
        <w:rFonts w:hint="default"/>
      </w:rPr>
    </w:lvl>
    <w:lvl w:ilvl="4" w:tentative="0">
      <w:start w:val="1"/>
      <w:numFmt w:val="decimal"/>
      <w:pStyle w:val="7"/>
      <w:lvlText w:val="%1.%2.%3.%4.%5."/>
      <w:lvlJc w:val="left"/>
      <w:pPr>
        <w:tabs>
          <w:tab w:val="left" w:pos="840"/>
        </w:tabs>
        <w:ind w:left="1848" w:hanging="1008"/>
      </w:pPr>
      <w:rPr>
        <w:rFonts w:hint="default"/>
      </w:rPr>
    </w:lvl>
    <w:lvl w:ilvl="5" w:tentative="0">
      <w:start w:val="1"/>
      <w:numFmt w:val="decimal"/>
      <w:pStyle w:val="8"/>
      <w:lvlText w:val="%1.%2.%3.%4.%5.%6."/>
      <w:lvlJc w:val="left"/>
      <w:pPr>
        <w:tabs>
          <w:tab w:val="left" w:pos="840"/>
        </w:tabs>
        <w:ind w:left="1991" w:hanging="1151"/>
      </w:pPr>
      <w:rPr>
        <w:rFonts w:hint="default"/>
      </w:rPr>
    </w:lvl>
    <w:lvl w:ilvl="6" w:tentative="0">
      <w:start w:val="1"/>
      <w:numFmt w:val="decimal"/>
      <w:pStyle w:val="9"/>
      <w:lvlText w:val="%1.%2.%3.%4.%5.%6.%7."/>
      <w:lvlJc w:val="left"/>
      <w:pPr>
        <w:tabs>
          <w:tab w:val="left" w:pos="840"/>
        </w:tabs>
        <w:ind w:left="2136" w:hanging="1296"/>
      </w:pPr>
      <w:rPr>
        <w:rFonts w:hint="default"/>
      </w:rPr>
    </w:lvl>
    <w:lvl w:ilvl="7" w:tentative="0">
      <w:start w:val="1"/>
      <w:numFmt w:val="decimal"/>
      <w:pStyle w:val="10"/>
      <w:lvlText w:val="%1.%2.%3.%4.%5.%6.%7.%8."/>
      <w:lvlJc w:val="left"/>
      <w:pPr>
        <w:tabs>
          <w:tab w:val="left" w:pos="840"/>
        </w:tabs>
        <w:ind w:left="2280" w:hanging="1440"/>
      </w:pPr>
      <w:rPr>
        <w:rFonts w:hint="default"/>
      </w:rPr>
    </w:lvl>
    <w:lvl w:ilvl="8" w:tentative="0">
      <w:start w:val="1"/>
      <w:numFmt w:val="decimal"/>
      <w:pStyle w:val="11"/>
      <w:lvlText w:val="%1.%2.%3.%4.%5.%6.%7.%8.%9."/>
      <w:lvlJc w:val="left"/>
      <w:pPr>
        <w:tabs>
          <w:tab w:val="left" w:pos="840"/>
        </w:tabs>
        <w:ind w:left="242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mM3NjVkMjkzOGEzZDkzNzdjZDliOTNkYzU0YzEifQ=="/>
  </w:docVars>
  <w:rsids>
    <w:rsidRoot w:val="59310473"/>
    <w:rsid w:val="01783D8A"/>
    <w:rsid w:val="0327793A"/>
    <w:rsid w:val="04546045"/>
    <w:rsid w:val="052E5785"/>
    <w:rsid w:val="05DC5C43"/>
    <w:rsid w:val="06132BF0"/>
    <w:rsid w:val="06365507"/>
    <w:rsid w:val="08E00331"/>
    <w:rsid w:val="09831EA8"/>
    <w:rsid w:val="0A2E56DA"/>
    <w:rsid w:val="0B5829D0"/>
    <w:rsid w:val="0B894C60"/>
    <w:rsid w:val="0BA63757"/>
    <w:rsid w:val="0C4B6E38"/>
    <w:rsid w:val="0C4E4D2A"/>
    <w:rsid w:val="0DE66BD9"/>
    <w:rsid w:val="0EE71E0B"/>
    <w:rsid w:val="0F5848BD"/>
    <w:rsid w:val="0FBB52B8"/>
    <w:rsid w:val="0FF3EA90"/>
    <w:rsid w:val="104B2CAB"/>
    <w:rsid w:val="124C5A62"/>
    <w:rsid w:val="12DE0A0E"/>
    <w:rsid w:val="12EB5F24"/>
    <w:rsid w:val="14191A53"/>
    <w:rsid w:val="14CA12F5"/>
    <w:rsid w:val="155D6EE1"/>
    <w:rsid w:val="15C838CC"/>
    <w:rsid w:val="174F038F"/>
    <w:rsid w:val="19020E7D"/>
    <w:rsid w:val="1AAE75B0"/>
    <w:rsid w:val="1B1948E1"/>
    <w:rsid w:val="1B225D02"/>
    <w:rsid w:val="1C0B5290"/>
    <w:rsid w:val="1D023CF7"/>
    <w:rsid w:val="20AD7C39"/>
    <w:rsid w:val="210D7225"/>
    <w:rsid w:val="21931B6F"/>
    <w:rsid w:val="21D4060F"/>
    <w:rsid w:val="22C121E9"/>
    <w:rsid w:val="2377403C"/>
    <w:rsid w:val="23D8443A"/>
    <w:rsid w:val="242B2FD0"/>
    <w:rsid w:val="255B7F54"/>
    <w:rsid w:val="25FB1468"/>
    <w:rsid w:val="263A3D46"/>
    <w:rsid w:val="266E3521"/>
    <w:rsid w:val="26987832"/>
    <w:rsid w:val="27CB64DD"/>
    <w:rsid w:val="29577F85"/>
    <w:rsid w:val="29DE5908"/>
    <w:rsid w:val="2A522A6D"/>
    <w:rsid w:val="2C641231"/>
    <w:rsid w:val="2CD17928"/>
    <w:rsid w:val="2D294EA9"/>
    <w:rsid w:val="2F0857B3"/>
    <w:rsid w:val="2F5D35C4"/>
    <w:rsid w:val="30260A0B"/>
    <w:rsid w:val="309C50B0"/>
    <w:rsid w:val="318A7B3D"/>
    <w:rsid w:val="319C396A"/>
    <w:rsid w:val="31B3151A"/>
    <w:rsid w:val="31EF12F3"/>
    <w:rsid w:val="343354DC"/>
    <w:rsid w:val="345507B0"/>
    <w:rsid w:val="34585BC2"/>
    <w:rsid w:val="35CE0055"/>
    <w:rsid w:val="36EC4307"/>
    <w:rsid w:val="389868CB"/>
    <w:rsid w:val="38EA26C4"/>
    <w:rsid w:val="3C086B8B"/>
    <w:rsid w:val="3C2C70DB"/>
    <w:rsid w:val="3C4334ED"/>
    <w:rsid w:val="3D1E2716"/>
    <w:rsid w:val="3E1120C7"/>
    <w:rsid w:val="3EED0ECD"/>
    <w:rsid w:val="3F7F1BD0"/>
    <w:rsid w:val="3FE13BB6"/>
    <w:rsid w:val="3FF7658B"/>
    <w:rsid w:val="40166CA1"/>
    <w:rsid w:val="40CE6C2E"/>
    <w:rsid w:val="40F55A1F"/>
    <w:rsid w:val="423C3D5C"/>
    <w:rsid w:val="43F07D06"/>
    <w:rsid w:val="441F0220"/>
    <w:rsid w:val="44486A8A"/>
    <w:rsid w:val="44924401"/>
    <w:rsid w:val="45011D41"/>
    <w:rsid w:val="454239FF"/>
    <w:rsid w:val="45E510BA"/>
    <w:rsid w:val="4A250263"/>
    <w:rsid w:val="4A4F74F9"/>
    <w:rsid w:val="4C950C9C"/>
    <w:rsid w:val="4C9978BA"/>
    <w:rsid w:val="4D802526"/>
    <w:rsid w:val="4D8D4983"/>
    <w:rsid w:val="4E744BCB"/>
    <w:rsid w:val="4EDD0AD6"/>
    <w:rsid w:val="4EF33F43"/>
    <w:rsid w:val="50760648"/>
    <w:rsid w:val="50DF2ABC"/>
    <w:rsid w:val="51441D4B"/>
    <w:rsid w:val="532F6B09"/>
    <w:rsid w:val="539B3FCB"/>
    <w:rsid w:val="53EFFB15"/>
    <w:rsid w:val="5688516F"/>
    <w:rsid w:val="56FE7F16"/>
    <w:rsid w:val="5705494D"/>
    <w:rsid w:val="574B30C6"/>
    <w:rsid w:val="59310473"/>
    <w:rsid w:val="5A801297"/>
    <w:rsid w:val="5C8C15AB"/>
    <w:rsid w:val="5D7DE853"/>
    <w:rsid w:val="5FD81B40"/>
    <w:rsid w:val="609F3113"/>
    <w:rsid w:val="61181282"/>
    <w:rsid w:val="61DB4D8F"/>
    <w:rsid w:val="628B5C5F"/>
    <w:rsid w:val="62A22714"/>
    <w:rsid w:val="636B52CA"/>
    <w:rsid w:val="637B5DB7"/>
    <w:rsid w:val="63DB042B"/>
    <w:rsid w:val="665D3214"/>
    <w:rsid w:val="671F23A8"/>
    <w:rsid w:val="69437F8C"/>
    <w:rsid w:val="69806B5F"/>
    <w:rsid w:val="6AD30CA9"/>
    <w:rsid w:val="6B872DC1"/>
    <w:rsid w:val="6CDBA9AD"/>
    <w:rsid w:val="6D066D20"/>
    <w:rsid w:val="6D6E111A"/>
    <w:rsid w:val="6DFD6CB9"/>
    <w:rsid w:val="6EDE1E0C"/>
    <w:rsid w:val="6FD310F8"/>
    <w:rsid w:val="700F04E7"/>
    <w:rsid w:val="70A108AB"/>
    <w:rsid w:val="717410B3"/>
    <w:rsid w:val="71757920"/>
    <w:rsid w:val="72BF4209"/>
    <w:rsid w:val="73056934"/>
    <w:rsid w:val="738E2BDD"/>
    <w:rsid w:val="73994F2D"/>
    <w:rsid w:val="73C361AA"/>
    <w:rsid w:val="74CE7B30"/>
    <w:rsid w:val="75337449"/>
    <w:rsid w:val="77FDC435"/>
    <w:rsid w:val="784A3A42"/>
    <w:rsid w:val="786B4C91"/>
    <w:rsid w:val="79B779D0"/>
    <w:rsid w:val="7A5346AF"/>
    <w:rsid w:val="7AB96501"/>
    <w:rsid w:val="7AFB7C27"/>
    <w:rsid w:val="7B215011"/>
    <w:rsid w:val="7BAA253A"/>
    <w:rsid w:val="7CA52C0F"/>
    <w:rsid w:val="7D5675CA"/>
    <w:rsid w:val="7E4548B9"/>
    <w:rsid w:val="7E7F3D26"/>
    <w:rsid w:val="7EEE53E9"/>
    <w:rsid w:val="7F3F04DF"/>
    <w:rsid w:val="7F7EFEB6"/>
    <w:rsid w:val="7F877A55"/>
    <w:rsid w:val="AAFBBBDA"/>
    <w:rsid w:val="B75B6391"/>
    <w:rsid w:val="BF7248DC"/>
    <w:rsid w:val="C7FFDAED"/>
    <w:rsid w:val="CFE3062C"/>
    <w:rsid w:val="DE7D5A9C"/>
    <w:rsid w:val="ECFB94B3"/>
    <w:rsid w:val="FBFDDB19"/>
    <w:rsid w:val="FFFE47A8"/>
    <w:rsid w:val="FFFF9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2"/>
    <w:basedOn w:val="1"/>
    <w:next w:val="1"/>
    <w:qFormat/>
    <w:uiPriority w:val="0"/>
    <w:pPr>
      <w:spacing w:after="120" w:line="480" w:lineRule="auto"/>
    </w:pPr>
  </w:style>
  <w:style w:type="paragraph" w:styleId="12">
    <w:name w:val="annotation text"/>
    <w:semiHidden/>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13">
    <w:name w:val="Body Text"/>
    <w:basedOn w:val="1"/>
    <w:next w:val="14"/>
    <w:qFormat/>
    <w:uiPriority w:val="0"/>
    <w:pPr>
      <w:spacing w:after="120"/>
    </w:pPr>
  </w:style>
  <w:style w:type="paragraph" w:styleId="14">
    <w:name w:val="Title"/>
    <w:basedOn w:val="1"/>
    <w:next w:val="1"/>
    <w:qFormat/>
    <w:uiPriority w:val="0"/>
    <w:pPr>
      <w:spacing w:before="240" w:after="60"/>
      <w:jc w:val="center"/>
      <w:outlineLvl w:val="0"/>
    </w:pPr>
    <w:rPr>
      <w:rFonts w:ascii="Cambria" w:hAnsi="Cambria"/>
      <w:b/>
      <w:bCs/>
      <w:sz w:val="32"/>
      <w:szCs w:val="32"/>
      <w:lang w:val="zh-CN"/>
    </w:rPr>
  </w:style>
  <w:style w:type="paragraph" w:styleId="1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1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styleId="20">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34113</Words>
  <Characters>148006</Characters>
  <Lines>0</Lines>
  <Paragraphs>0</Paragraphs>
  <TotalTime>0</TotalTime>
  <ScaleCrop>false</ScaleCrop>
  <LinksUpToDate>false</LinksUpToDate>
  <CharactersWithSpaces>148517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2022-06-02T01:24:00Z</dcterms:created>
  <dc:creator>zzc</dc:creator>
  <cp:lastModifiedBy>zhengyi1</cp:lastModifiedBy>
  <cp:lastPrinted>2022-12-05T18:34:00Z</cp:lastPrinted>
  <dcterms:modified xsi:type="dcterms:W3CDTF">2025-09-03T03:42:15Z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00FEF2E8DA124C3599CFA8843A0227B5</vt:lpwstr>
  </property>
</Properties>
</file>