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2026-2027年（两年）造币用黄铜带集中采购及边废料回收项目（包1）(二次)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RH-WTGK2025072-1</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2026-2027年（两年）造币用黄铜带集中采购及边废料回收项目（包1）(二次)</w:t>
      </w:r>
      <w:r>
        <w:rPr/>
        <w:t xml:space="preserve"> ”（项目编号： </w:t>
      </w:r>
      <w:r>
        <w:rPr/>
        <w:t>RH-WTGK2025072-1</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黄铜带集中采购及边废料回收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both"/>
            </w:pPr>
            <w:r>
              <w:rPr>
                <w:rFonts w:ascii="宋体" w:hAnsi="宋体" w:cs="宋体" w:eastAsia="宋体"/>
                <w:sz w:val="21"/>
                <w:shd w:fill="FFFF00" w:val="clear"/>
              </w:rPr>
              <w:t>数量</w:t>
            </w:r>
            <w:r>
              <w:rPr>
                <w:rFonts w:ascii="calibri" w:hAnsi="calibri" w:cs="calibri" w:eastAsia="calibri"/>
                <w:sz w:val="21"/>
                <w:shd w:fill="FFFF00" w:val="clear"/>
              </w:rPr>
              <w:t>1</w:t>
            </w:r>
            <w:r>
              <w:rPr>
                <w:rFonts w:ascii="宋体" w:hAnsi="宋体" w:cs="宋体" w:eastAsia="宋体"/>
                <w:sz w:val="21"/>
                <w:shd w:fill="FFFF00" w:val="clear"/>
              </w:rPr>
              <w:t>代表采购黄铜带</w:t>
            </w:r>
            <w:r>
              <w:rPr>
                <w:rFonts w:ascii="宋体" w:hAnsi="宋体" w:cs="宋体" w:eastAsia="宋体"/>
                <w:sz w:val="21"/>
                <w:shd w:fill="FFFF00" w:val="clear"/>
              </w:rPr>
              <w:t>2700吨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造币用黄铜带用于普通纪念币生产，采购人分2026-2027年（两年）造币用黄铜带集中采购及边废料回收（包1）（简称“包1”）、2026-2027年（两年）造币用黄铜带集中采购及边废料回收（包2）（简称“包2”）、2026-2027年（两年）造币用黄铜带集中采购及边废料回收（包3）（简称“包3”）三个标包实施造币用黄铜带集中采购及边废料回收。包1预估采购数量约2700吨，为最高采购数量，根据采购人实际需求分批采购，在采购人采购黄铜带时要求中标人必须按照投标的边废料回收比例回收边废料。采购和回收周期均为两年。回收的黄铜带边废料包括黄铜带边料（含销毁铸锭）和碎屑两种形态，回收边废料要求黄铜边料与碎屑回收比例为4:3。黄铜带要求送货到沈阳造币有限公司指定地点，包括：沈阳造币有限公司：沈阳市大东路138号沈阳造币有限公司仓库或采购人指定的沈阳市内地点。黄铜带由投标人负责运输，运费（含保险费等）由采购人承担。边废料由采购人负责运输，送货到中标人指定地点，运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《造币用黄铜带》（ Q/SYB/G 2203.3506-2025）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造币用黄铜带采购及边废料回收满足普通纪念币生产需要。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2026-2027年（两年）造币用黄铜带集中采购及边废料回收（包1）预估采购数量约2700吨，为最高采购数量，根据采购人实际需求分批采购，在采购人采购黄铜带时要求中标人必须按照投标的边废料回收比例回收边废料。本项目采购人：沈阳造币有限公司 核心产品：造币用黄铜带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2026-2027年（两年）造币用黄铜带集中采购及边废料回收（包1）预估采购数量约2700吨，为最高采购数量，根据采购人实际需求分批采购，在采购人采购黄铜带时要求中标人必须按照投标的边废料回收比例回收边废料。</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黄铜带是生产国家法定普通纪念币的重要原材料之一，是中国印钞造币集团有限公司履职央行、服务行业不可或缺的生产资源。可靠、优质、高效的造币用黄铜带是维持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 状态及规格应符合表1的规定。</w:t>
            </w:r>
          </w:p>
          <w:p>
            <w:pPr>
              <w:pStyle w:val="null3"/>
            </w:pPr>
            <w:r>
              <w:rPr/>
              <w:t>表</w:t>
            </w:r>
            <w:r>
              <w:rPr/>
              <w:t xml:space="preserve">1  </w:t>
            </w:r>
            <w:r>
              <w:rPr/>
              <w:t>牌号、状态及规格                    （单位：</w:t>
            </w:r>
            <w:r>
              <w:rPr/>
              <w:t>mm</w:t>
            </w:r>
            <w:r>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1.60</w:t>
                  </w:r>
                </w:p>
              </w:tc>
              <w:tc>
                <w:tcPr>
                  <w:tcW w:type="dxa" w:w="137"/>
                </w:tcPr>
                <w:p>
                  <w:pPr>
                    <w:pStyle w:val="null3"/>
                  </w:pPr>
                  <w:r>
                    <w:rPr/>
                    <w:t>±0.0</w:t>
                  </w:r>
                  <w:r>
                    <w:rPr/>
                    <w:t>2</w:t>
                  </w:r>
                </w:p>
              </w:tc>
              <w:tc>
                <w:tcPr>
                  <w:tcW w:type="dxa" w:w="137"/>
                </w:tcPr>
                <w:p>
                  <w:pPr>
                    <w:pStyle w:val="null3"/>
                  </w:pPr>
                  <w:r>
                    <w:rPr/>
                    <w:t>196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1.90</w:t>
                  </w:r>
                </w:p>
              </w:tc>
              <w:tc>
                <w:tcPr>
                  <w:tcW w:type="dxa" w:w="137"/>
                </w:tcPr>
                <w:p>
                  <w:pPr>
                    <w:pStyle w:val="null3"/>
                  </w:pPr>
                  <w:r>
                    <w:rPr/>
                    <w:t>±0.0</w:t>
                  </w:r>
                  <w:r>
                    <w:rPr/>
                    <w:t>2</w:t>
                  </w:r>
                </w:p>
              </w:tc>
              <w:tc>
                <w:tcPr>
                  <w:tcW w:type="dxa" w:w="137"/>
                </w:tcPr>
                <w:p>
                  <w:pPr>
                    <w:pStyle w:val="null3"/>
                  </w:pPr>
                  <w:r>
                    <w:rPr/>
                    <w:t>186</w:t>
                  </w:r>
                </w:p>
                <w:p>
                  <w:pPr>
                    <w:pStyle w:val="null3"/>
                  </w:pPr>
                  <w:r>
                    <w:rPr/>
                    <w:t>或</w:t>
                  </w:r>
                  <w:r>
                    <w:rPr/>
                    <w:t>306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w:t>
                  </w:r>
                  <w:r>
                    <w:rPr/>
                    <w:t>3</w:t>
                  </w:r>
                </w:p>
              </w:tc>
              <w:tc>
                <w:tcPr>
                  <w:tcW w:type="dxa" w:w="137"/>
                </w:tcPr>
                <w:p>
                  <w:pPr>
                    <w:pStyle w:val="null3"/>
                  </w:pPr>
                  <w:r>
                    <w:rPr/>
                    <w:t>±0.02</w:t>
                  </w:r>
                </w:p>
              </w:tc>
              <w:tc>
                <w:tcPr>
                  <w:tcW w:type="dxa" w:w="137"/>
                </w:tcPr>
                <w:p>
                  <w:pPr>
                    <w:pStyle w:val="null3"/>
                  </w:pPr>
                  <w:r>
                    <w:rPr/>
                    <w:t>196</w:t>
                  </w:r>
                  <w:r>
                    <w:rPr/>
                    <w:t>或</w:t>
                  </w:r>
                  <w:r>
                    <w:rPr/>
                    <w:t>284</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2.17</w:t>
                  </w:r>
                </w:p>
              </w:tc>
              <w:tc>
                <w:tcPr>
                  <w:tcW w:type="dxa" w:w="137"/>
                </w:tcPr>
                <w:p>
                  <w:pPr>
                    <w:pStyle w:val="null3"/>
                  </w:pPr>
                  <w:r>
                    <w:rPr/>
                    <w:t>±0.02</w:t>
                  </w:r>
                </w:p>
              </w:tc>
              <w:tc>
                <w:tcPr>
                  <w:tcW w:type="dxa" w:w="137"/>
                </w:tcPr>
                <w:p>
                  <w:pPr>
                    <w:pStyle w:val="null3"/>
                  </w:pPr>
                  <w:r>
                    <w:rPr/>
                    <w:t>306</w:t>
                  </w:r>
                </w:p>
              </w:tc>
              <w:tc>
                <w:tcPr>
                  <w:tcW w:type="dxa" w:w="137"/>
                </w:tcPr>
                <w:p>
                  <w:pPr>
                    <w:pStyle w:val="null3"/>
                  </w:pPr>
                  <w:r>
                    <w:rPr/>
                    <w:t>+0.00</w:t>
                  </w:r>
                </w:p>
                <w:p>
                  <w:pPr>
                    <w:pStyle w:val="null3"/>
                  </w:pPr>
                  <w:r>
                    <w:rPr/>
                    <w:t>-</w:t>
                  </w:r>
                  <w:r>
                    <w:rPr/>
                    <w:t>1</w:t>
                  </w:r>
                  <w:r>
                    <w:rPr/>
                    <w:t>.</w:t>
                  </w:r>
                  <w:r>
                    <w:rPr/>
                    <w:t>0</w:t>
                  </w:r>
                  <w:r>
                    <w:rPr/>
                    <w:t>0</w:t>
                  </w:r>
                </w:p>
              </w:tc>
            </w:tr>
          </w:tbl>
          <w:p>
            <w:pPr>
              <w:pStyle w:val="null3"/>
            </w:pPr>
            <w:r>
              <w:rPr/>
              <w:t>1.2  带材内径为500 mm±10 mm。</w:t>
            </w:r>
            <w:r>
              <w:rPr/>
              <w:t>宽度为</w:t>
            </w:r>
            <w:r>
              <w:rPr/>
              <w:t>186mm和196mm的窄带材，</w:t>
            </w:r>
            <w:r>
              <w:rPr/>
              <w:t>每卷带材重量为</w:t>
            </w:r>
            <w:r>
              <w:rPr/>
              <w:t>800 kg～1500 kg，</w:t>
            </w:r>
            <w:r>
              <w:rPr/>
              <w:t>每批次窄带供货比例（按卷数计算）不高于当批次订单总数</w:t>
            </w:r>
            <w:r>
              <w:rPr/>
              <w:t>10%。</w:t>
            </w:r>
            <w:r>
              <w:rPr/>
              <w:t>宽度</w:t>
            </w:r>
            <w:r>
              <w:rPr/>
              <w:t>284 mm带材每卷带材重量为800kg～2300 kg，如重量为800kg-1150kg的卷被认定为小卷，小卷每批次来料比例（按卷数计算）不高于</w:t>
            </w:r>
            <w:r>
              <w:rPr/>
              <w:t>当批次订单总数</w:t>
            </w:r>
            <w:r>
              <w:rPr/>
              <w:t>10%。宽度306 mm带材每卷带材重量为800 kg～2400 kg，如重量为800kg-1250kg的卷被认定为小卷，小卷每批次来料比例（按卷数计算）不高于</w:t>
            </w:r>
            <w:r>
              <w:rPr/>
              <w:t>当批次订单总数</w:t>
            </w:r>
            <w:r>
              <w:rPr/>
              <w:t>10%。</w:t>
            </w:r>
          </w:p>
          <w:p>
            <w:pPr>
              <w:pStyle w:val="null3"/>
            </w:pPr>
            <w:r>
              <w:rPr/>
              <w:t>1.3 带材外形应平直，带材在长度方向上的不平度每米不大于10mm或不大于长度的1%。</w:t>
            </w:r>
          </w:p>
          <w:p>
            <w:pPr>
              <w:pStyle w:val="null3"/>
            </w:pPr>
            <w:r>
              <w:rPr/>
              <w:t>1.4 带材侧弯不超过2mm/m；带卷塔形度小于2mm。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造币用黄铜合金是一种六元锡黄铜合金，与牌号</w:t>
            </w:r>
            <w:r>
              <w:rPr/>
              <w:t>HSn70-1锡黄铜合金相近但不完全相同，其中Cu、Sn、Ni三个主元素含量与HSn70-1锡黄铜合金相比，有不超过±2%浮动。另外，合金中含少量（不高于0.2%）的Mn元素，但不含As元素。造币用黄铜带还添加了一种易烧损的微量元素“X”。HSn70-1黄铜合金化学成分见下表。</w:t>
            </w:r>
          </w:p>
          <w:p>
            <w:pPr>
              <w:pStyle w:val="null3"/>
            </w:pPr>
            <w:r>
              <w:rPr/>
              <w:t>HSn70-1黄铜合金化学成分</w:t>
            </w:r>
          </w:p>
          <w:p>
            <w:pPr>
              <w:pStyle w:val="null3"/>
            </w:pPr>
            <w:r>
              <w:rPr/>
              <w:t>单位为重量百分比</w:t>
            </w:r>
          </w:p>
          <w:tbl>
            <w:tblPr>
              <w:tblBorders>
                <w:top w:val="single"/>
                <w:left w:val="single"/>
                <w:bottom w:val="single"/>
                <w:right w:val="single"/>
                <w:insideH w:val="single"/>
                <w:insideV w:val="single"/>
              </w:tblBorders>
            </w:tblPr>
            <w:tblGrid>
              <w:gridCol w:w="91"/>
              <w:gridCol w:w="91"/>
              <w:gridCol w:w="91"/>
              <w:gridCol w:w="91"/>
              <w:gridCol w:w="91"/>
              <w:gridCol w:w="91"/>
              <w:gridCol w:w="91"/>
              <w:gridCol w:w="91"/>
              <w:gridCol w:w="91"/>
            </w:tblGrid>
            <w:tr>
              <w:tc>
                <w:tcPr>
                  <w:tcW w:type="dxa" w:w="91"/>
                </w:tcPr>
                <w:p>
                  <w:pPr>
                    <w:pStyle w:val="null3"/>
                  </w:pPr>
                  <w:r>
                    <w:rPr/>
                    <w:t>牌号</w:t>
                  </w:r>
                </w:p>
              </w:tc>
              <w:tc>
                <w:tcPr>
                  <w:tcW w:type="dxa" w:w="91"/>
                </w:tcPr>
                <w:p>
                  <w:pPr>
                    <w:pStyle w:val="null3"/>
                  </w:pPr>
                  <w:r>
                    <w:rPr/>
                    <w:t>Cu</w:t>
                  </w:r>
                </w:p>
              </w:tc>
              <w:tc>
                <w:tcPr>
                  <w:tcW w:type="dxa" w:w="91"/>
                </w:tcPr>
                <w:p>
                  <w:pPr>
                    <w:pStyle w:val="null3"/>
                  </w:pPr>
                  <w:r>
                    <w:rPr/>
                    <w:t>Sn</w:t>
                  </w:r>
                </w:p>
              </w:tc>
              <w:tc>
                <w:tcPr>
                  <w:tcW w:type="dxa" w:w="91"/>
                </w:tcPr>
                <w:p>
                  <w:pPr>
                    <w:pStyle w:val="null3"/>
                  </w:pPr>
                  <w:r>
                    <w:rPr/>
                    <w:t>Ni</w:t>
                  </w:r>
                </w:p>
              </w:tc>
              <w:tc>
                <w:tcPr>
                  <w:tcW w:type="dxa" w:w="91"/>
                </w:tcPr>
                <w:p>
                  <w:pPr>
                    <w:pStyle w:val="null3"/>
                  </w:pPr>
                  <w:r>
                    <w:rPr/>
                    <w:t>As</w:t>
                  </w:r>
                </w:p>
              </w:tc>
              <w:tc>
                <w:tcPr>
                  <w:tcW w:type="dxa" w:w="91"/>
                </w:tcPr>
                <w:p>
                  <w:pPr>
                    <w:pStyle w:val="null3"/>
                  </w:pPr>
                  <w:r>
                    <w:rPr/>
                    <w:t>Fe</w:t>
                  </w:r>
                </w:p>
              </w:tc>
              <w:tc>
                <w:tcPr>
                  <w:tcW w:type="dxa" w:w="91"/>
                </w:tcPr>
                <w:p>
                  <w:pPr>
                    <w:pStyle w:val="null3"/>
                  </w:pPr>
                  <w:r>
                    <w:rPr/>
                    <w:t>Pb</w:t>
                  </w:r>
                </w:p>
              </w:tc>
              <w:tc>
                <w:tcPr>
                  <w:tcW w:type="dxa" w:w="91"/>
                </w:tcPr>
                <w:p>
                  <w:pPr>
                    <w:pStyle w:val="null3"/>
                  </w:pPr>
                  <w:r>
                    <w:rPr/>
                    <w:t>Zn</w:t>
                  </w:r>
                </w:p>
              </w:tc>
              <w:tc>
                <w:tcPr>
                  <w:tcW w:type="dxa" w:w="91"/>
                </w:tcPr>
                <w:p>
                  <w:pPr>
                    <w:pStyle w:val="null3"/>
                  </w:pPr>
                  <w:r>
                    <w:rPr/>
                    <w:t>杂质</w:t>
                  </w:r>
                  <w:r>
                    <w:br/>
                  </w:r>
                  <w:r>
                    <w:rPr/>
                    <w:t>总和</w:t>
                  </w:r>
                </w:p>
              </w:tc>
            </w:tr>
            <w:tr>
              <w:tc>
                <w:tcPr>
                  <w:tcW w:type="dxa" w:w="91"/>
                  <w:vMerge w:val="restart"/>
                </w:tcPr>
                <w:p>
                  <w:pPr>
                    <w:pStyle w:val="null3"/>
                  </w:pPr>
                  <w:r>
                    <w:rPr/>
                    <w:t>HSn7</w:t>
                  </w:r>
                  <w:r>
                    <w:rPr/>
                    <w:t>0-1</w:t>
                  </w:r>
                </w:p>
              </w:tc>
              <w:tc>
                <w:tcPr>
                  <w:tcW w:type="dxa" w:w="91"/>
                </w:tcPr>
                <w:p>
                  <w:pPr>
                    <w:pStyle w:val="null3"/>
                  </w:pPr>
                  <w:r>
                    <w:rPr/>
                    <w:t>69</w:t>
                  </w:r>
                  <w:r>
                    <w:rPr/>
                    <w:t>.0</w:t>
                  </w:r>
                </w:p>
              </w:tc>
              <w:tc>
                <w:tcPr>
                  <w:tcW w:type="dxa" w:w="91"/>
                </w:tcPr>
                <w:p>
                  <w:pPr>
                    <w:pStyle w:val="null3"/>
                  </w:pPr>
                  <w:r>
                    <w:rPr/>
                    <w:t>0.</w:t>
                  </w:r>
                  <w:r>
                    <w:rPr/>
                    <w:t>8</w:t>
                  </w:r>
                </w:p>
              </w:tc>
              <w:tc>
                <w:tcPr>
                  <w:tcW w:type="dxa" w:w="91"/>
                  <w:vMerge w:val="restart"/>
                </w:tcPr>
                <w:p>
                  <w:pPr>
                    <w:pStyle w:val="null3"/>
                  </w:pPr>
                  <w:r>
                    <w:rPr/>
                    <w:t>0.5</w:t>
                  </w:r>
                </w:p>
              </w:tc>
              <w:tc>
                <w:tcPr>
                  <w:tcW w:type="dxa" w:w="91"/>
                </w:tcPr>
                <w:p>
                  <w:pPr>
                    <w:pStyle w:val="null3"/>
                  </w:pPr>
                  <w:r>
                    <w:rPr/>
                    <w:t>0.03</w:t>
                  </w:r>
                </w:p>
              </w:tc>
              <w:tc>
                <w:tcPr>
                  <w:tcW w:type="dxa" w:w="91"/>
                </w:tcPr>
                <w:p>
                  <w:pPr>
                    <w:pStyle w:val="null3"/>
                  </w:pPr>
                  <w:r>
                    <w:rPr/>
                    <w:t>－</w:t>
                  </w:r>
                </w:p>
              </w:tc>
              <w:tc>
                <w:tcPr>
                  <w:tcW w:type="dxa" w:w="91"/>
                </w:tcPr>
                <w:p>
                  <w:pPr>
                    <w:pStyle w:val="null3"/>
                  </w:pPr>
                  <w:r>
                    <w:rPr/>
                    <w:t>－</w:t>
                  </w:r>
                </w:p>
              </w:tc>
              <w:tc>
                <w:tcPr>
                  <w:tcW w:type="dxa" w:w="91"/>
                  <w:vMerge w:val="restart"/>
                </w:tcPr>
                <w:p>
                  <w:pPr>
                    <w:pStyle w:val="null3"/>
                  </w:pPr>
                  <w:r>
                    <w:rPr/>
                    <w:t>余量</w:t>
                  </w:r>
                </w:p>
              </w:tc>
              <w:tc>
                <w:tcPr>
                  <w:tcW w:type="dxa" w:w="91"/>
                  <w:vMerge w:val="restart"/>
                </w:tcPr>
                <w:p>
                  <w:pPr>
                    <w:pStyle w:val="null3"/>
                  </w:pPr>
                  <w:r>
                    <w:rPr/>
                    <w:t>≤0.3</w:t>
                  </w:r>
                </w:p>
              </w:tc>
            </w:tr>
            <w:tr>
              <w:tc>
                <w:tcPr>
                  <w:tcW w:type="dxa" w:w="91"/>
                  <w:vMerge/>
                </w:tcPr>
                <w:p/>
              </w:tc>
              <w:tc>
                <w:tcPr>
                  <w:tcW w:type="dxa" w:w="91"/>
                </w:tcPr>
                <w:p>
                  <w:pPr>
                    <w:pStyle w:val="null3"/>
                  </w:pPr>
                  <w:r>
                    <w:rPr/>
                    <w:t>7</w:t>
                  </w:r>
                  <w:r>
                    <w:rPr/>
                    <w:t>1</w:t>
                  </w:r>
                  <w:r>
                    <w:rPr/>
                    <w:t>.0</w:t>
                  </w:r>
                </w:p>
              </w:tc>
              <w:tc>
                <w:tcPr>
                  <w:tcW w:type="dxa" w:w="91"/>
                </w:tcPr>
                <w:p>
                  <w:pPr>
                    <w:pStyle w:val="null3"/>
                  </w:pPr>
                  <w:r>
                    <w:rPr/>
                    <w:t>1.</w:t>
                  </w:r>
                  <w:r>
                    <w:rPr/>
                    <w:t>3</w:t>
                  </w:r>
                </w:p>
              </w:tc>
              <w:tc>
                <w:tcPr>
                  <w:tcW w:type="dxa" w:w="91"/>
                  <w:vMerge/>
                </w:tcPr>
                <w:p/>
              </w:tc>
              <w:tc>
                <w:tcPr>
                  <w:tcW w:type="dxa" w:w="91"/>
                </w:tcPr>
                <w:p>
                  <w:pPr>
                    <w:pStyle w:val="null3"/>
                  </w:pPr>
                  <w:r>
                    <w:rPr/>
                    <w:t>0.06</w:t>
                  </w:r>
                </w:p>
              </w:tc>
              <w:tc>
                <w:tcPr>
                  <w:tcW w:type="dxa" w:w="91"/>
                </w:tcPr>
                <w:p>
                  <w:pPr>
                    <w:pStyle w:val="null3"/>
                  </w:pPr>
                  <w:r>
                    <w:rPr/>
                    <w:t>0.1</w:t>
                  </w:r>
                </w:p>
              </w:tc>
              <w:tc>
                <w:tcPr>
                  <w:tcW w:type="dxa" w:w="91"/>
                </w:tcPr>
                <w:p>
                  <w:pPr>
                    <w:pStyle w:val="null3"/>
                  </w:pPr>
                  <w:r>
                    <w:rPr/>
                    <w:t>0.05</w:t>
                  </w:r>
                </w:p>
              </w:tc>
              <w:tc>
                <w:tcPr>
                  <w:tcW w:type="dxa" w:w="91"/>
                  <w:vMerge/>
                </w:tcPr>
                <w:p/>
              </w:tc>
              <w:tc>
                <w:tcPr>
                  <w:tcW w:type="dxa" w:w="91"/>
                  <w:vMerge/>
                </w:tcPr>
                <w:p/>
              </w:tc>
            </w:tr>
          </w:tbl>
          <w:p>
            <w:pPr>
              <w:pStyle w:val="null3"/>
            </w:pPr>
            <w:r>
              <w:rPr/>
              <w:t>本项目参考上述化学成分信息进行报价。在采购合同签订时，采购人再向中标人提供造币用黄铜带化学成分的具体名称及其准确含量，包括添加的微量元素</w:t>
            </w:r>
            <w:r>
              <w:rPr/>
              <w:t>“X”及其含量。</w:t>
            </w:r>
          </w:p>
          <w:p>
            <w:pPr>
              <w:pStyle w:val="null3"/>
            </w:pPr>
            <w:r>
              <w:rPr/>
              <w:t>本招标的黄铜带成分为报价参考，实际供货时以采购人提供的成分为准，投标人应承诺按照投标报价进行造币用黄铜带的供货。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力学性能</w:t>
            </w:r>
          </w:p>
        </w:tc>
        <w:tc>
          <w:tcPr>
            <w:tcW w:type="dxa" w:w="1038"/>
          </w:tcPr>
          <w:p/>
        </w:tc>
        <w:tc>
          <w:tcPr>
            <w:tcW w:type="dxa" w:w="1038"/>
          </w:tcPr>
          <w:tbl>
            <w:tblPr>
              <w:tblBorders>
                <w:top w:val="single"/>
                <w:left w:val="single"/>
                <w:bottom w:val="single"/>
                <w:right w:val="single"/>
                <w:insideH w:val="single"/>
                <w:insideV w:val="single"/>
              </w:tblBorders>
            </w:tblPr>
            <w:tblGrid>
              <w:gridCol w:w="822"/>
            </w:tblGrid>
            <w:tr>
              <w:tc>
                <w:tcPr>
                  <w:tcW w:type="dxa" w:w="822"/>
                </w:tcPr>
                <w:p>
                  <w:pPr>
                    <w:pStyle w:val="null3"/>
                  </w:pPr>
                  <w:r>
                    <w:rPr/>
                    <w:t xml:space="preserve">  </w:t>
                  </w:r>
                  <w:r>
                    <w:rPr/>
                    <w:t>带材室温下的力学性能应符合表</w:t>
                  </w:r>
                  <w:r>
                    <w:rPr/>
                    <w:t>3</w:t>
                  </w:r>
                  <w:r>
                    <w:rPr/>
                    <w:t>的规定。</w:t>
                  </w:r>
                </w:p>
                <w:p>
                  <w:pPr>
                    <w:pStyle w:val="null3"/>
                  </w:pPr>
                  <w:r>
                    <w:rPr/>
                    <w:t xml:space="preserve"> </w:t>
                  </w:r>
                  <w:r>
                    <w:rPr/>
                    <w:t>造币用黄铜带力学性能</w:t>
                  </w:r>
                </w:p>
                <w:tbl>
                  <w:tblPr>
                    <w:tblBorders>
                      <w:top w:val="single"/>
                      <w:left w:val="single"/>
                      <w:bottom w:val="single"/>
                      <w:right w:val="single"/>
                      <w:insideH w:val="single"/>
                      <w:insideV w:val="single"/>
                    </w:tblBorders>
                  </w:tblPr>
                  <w:tblGrid>
                    <w:gridCol w:w="121"/>
                    <w:gridCol w:w="121"/>
                    <w:gridCol w:w="121"/>
                    <w:gridCol w:w="121"/>
                    <w:gridCol w:w="121"/>
                  </w:tblGrid>
                  <w:tr>
                    <w:tc>
                      <w:tcPr>
                        <w:tcW w:type="dxa" w:w="121"/>
                        <w:vMerge w:val="restart"/>
                      </w:tcPr>
                      <w:p>
                        <w:pPr>
                          <w:pStyle w:val="null3"/>
                        </w:pPr>
                        <w:r>
                          <w:rPr/>
                          <w:t>厚度</w:t>
                        </w:r>
                      </w:p>
                      <w:p>
                        <w:pPr>
                          <w:pStyle w:val="null3"/>
                        </w:pPr>
                        <w:r>
                          <w:rPr/>
                          <w:t>（</w:t>
                        </w:r>
                        <w:r>
                          <w:rPr/>
                          <w:t>mm）</w:t>
                        </w:r>
                      </w:p>
                    </w:tc>
                    <w:tc>
                      <w:tcPr>
                        <w:tcW w:type="dxa" w:w="121"/>
                        <w:vMerge w:val="restart"/>
                      </w:tcPr>
                      <w:p>
                        <w:pPr>
                          <w:pStyle w:val="null3"/>
                        </w:pPr>
                        <w:r>
                          <w:rPr/>
                          <w:t>硬度（</w:t>
                        </w:r>
                        <w:r>
                          <w:rPr/>
                          <w:t>HB）</w:t>
                        </w:r>
                      </w:p>
                    </w:tc>
                    <w:tc>
                      <w:tcPr>
                        <w:tcW w:type="dxa" w:w="363"/>
                        <w:gridSpan w:val="3"/>
                      </w:tcPr>
                      <w:p>
                        <w:pPr>
                          <w:pStyle w:val="null3"/>
                        </w:pPr>
                        <w:r>
                          <w:rPr/>
                          <w:t>拉伸性能</w:t>
                        </w:r>
                      </w:p>
                    </w:tc>
                  </w:tr>
                  <w:tr>
                    <w:tc>
                      <w:tcPr>
                        <w:tcW w:type="dxa" w:w="121"/>
                        <w:vMerge/>
                      </w:tcPr>
                      <w:p/>
                    </w:tc>
                    <w:tc>
                      <w:tcPr>
                        <w:tcW w:type="dxa" w:w="121"/>
                        <w:vMerge/>
                      </w:tcPr>
                      <w:p/>
                    </w:tc>
                    <w:tc>
                      <w:tcPr>
                        <w:tcW w:type="dxa" w:w="121"/>
                      </w:tcPr>
                      <w:p>
                        <w:pPr>
                          <w:pStyle w:val="null3"/>
                        </w:pPr>
                        <w:r>
                          <w:rPr/>
                          <w:t>抗拉强度（</w:t>
                        </w:r>
                        <w:r>
                          <w:rPr/>
                          <w:t>MPa）</w:t>
                        </w:r>
                      </w:p>
                    </w:tc>
                    <w:tc>
                      <w:tcPr>
                        <w:tcW w:type="dxa" w:w="121"/>
                      </w:tcPr>
                      <w:p>
                        <w:pPr>
                          <w:pStyle w:val="null3"/>
                        </w:pPr>
                        <w:r>
                          <w:rPr/>
                          <w:t>延伸率</w:t>
                        </w:r>
                        <w:r>
                          <w:rPr/>
                          <w:t>(%)</w:t>
                        </w:r>
                      </w:p>
                    </w:tc>
                    <w:tc>
                      <w:tcPr>
                        <w:tcW w:type="dxa" w:w="121"/>
                      </w:tcPr>
                      <w:p>
                        <w:pPr>
                          <w:pStyle w:val="null3"/>
                        </w:pPr>
                        <w:r>
                          <w:rPr/>
                          <w:t>屈服强度（</w:t>
                        </w:r>
                        <w:r>
                          <w:rPr/>
                          <w:t>MPa）</w:t>
                        </w:r>
                      </w:p>
                    </w:tc>
                  </w:tr>
                  <w:tr>
                    <w:tc>
                      <w:tcPr>
                        <w:tcW w:type="dxa" w:w="121"/>
                      </w:tcPr>
                      <w:p>
                        <w:pPr>
                          <w:pStyle w:val="null3"/>
                        </w:pPr>
                        <w:r>
                          <w:rPr/>
                          <w:t>1.60</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≥270</w:t>
                        </w:r>
                      </w:p>
                    </w:tc>
                  </w:tr>
                  <w:tr>
                    <w:tc>
                      <w:tcPr>
                        <w:tcW w:type="dxa" w:w="121"/>
                      </w:tcPr>
                      <w:p>
                        <w:pPr>
                          <w:pStyle w:val="null3"/>
                        </w:pPr>
                        <w:r>
                          <w:rPr/>
                          <w:t>1.90</w:t>
                        </w:r>
                      </w:p>
                    </w:tc>
                    <w:tc>
                      <w:tcPr>
                        <w:tcW w:type="dxa" w:w="121"/>
                      </w:tcPr>
                      <w:p>
                        <w:pPr>
                          <w:pStyle w:val="null3"/>
                        </w:pPr>
                        <w:r>
                          <w:rPr/>
                          <w:t>120-140</w:t>
                        </w:r>
                      </w:p>
                    </w:tc>
                    <w:tc>
                      <w:tcPr>
                        <w:tcW w:type="dxa" w:w="121"/>
                      </w:tcPr>
                      <w:p>
                        <w:pPr>
                          <w:pStyle w:val="null3"/>
                        </w:pPr>
                        <w:r>
                          <w:rPr/>
                          <w:t>≥410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1.90</w:t>
                        </w:r>
                      </w:p>
                    </w:tc>
                    <w:tc>
                      <w:tcPr>
                        <w:tcW w:type="dxa" w:w="121"/>
                      </w:tcPr>
                      <w:p>
                        <w:pPr>
                          <w:pStyle w:val="null3"/>
                        </w:pPr>
                        <w:r>
                          <w:rPr/>
                          <w:t>140-160</w:t>
                        </w:r>
                      </w:p>
                    </w:tc>
                    <w:tc>
                      <w:tcPr>
                        <w:tcW w:type="dxa" w:w="121"/>
                      </w:tcPr>
                      <w:p>
                        <w:pPr>
                          <w:pStyle w:val="null3"/>
                        </w:pPr>
                        <w:r>
                          <w:rPr/>
                          <w:t>≥450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2.13</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r>
                    <w:tc>
                      <w:tcPr>
                        <w:tcW w:type="dxa" w:w="121"/>
                      </w:tcPr>
                      <w:p>
                        <w:pPr>
                          <w:pStyle w:val="null3"/>
                        </w:pPr>
                        <w:r>
                          <w:rPr/>
                          <w:t>2.17</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bl>
                <w:p>
                  <w:pPr>
                    <w:pStyle w:val="null3"/>
                  </w:pPr>
                </w:p>
              </w:tc>
            </w:tr>
            <w:tr>
              <w:tc>
                <w:tcPr>
                  <w:tcW w:type="dxa" w:w="822"/>
                </w:tcPr>
                <w:p>
                  <w:pPr>
                    <w:pStyle w:val="null3"/>
                  </w:pPr>
                  <w:r>
                    <w:rPr/>
                    <w:t>带材晶粒组织均匀，平均晶粒度为</w:t>
                  </w:r>
                  <w:r>
                    <w:rPr/>
                    <w:t>0.02mm～0.10mm。</w:t>
                  </w:r>
                </w:p>
              </w:tc>
            </w:tr>
          </w:tbl>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5.1 带材表面应清洁。</w:t>
            </w:r>
          </w:p>
          <w:p>
            <w:pPr>
              <w:pStyle w:val="null3"/>
            </w:pPr>
            <w:r>
              <w:rPr/>
              <w:t>5.2 不允许有分层、半分层缺陷。</w:t>
            </w:r>
          </w:p>
          <w:p>
            <w:pPr>
              <w:pStyle w:val="null3"/>
            </w:pPr>
            <w:r>
              <w:rPr/>
              <w:t>5.3 不允许有气泡、夹杂、孔洞、凹坑等缺陷。</w:t>
            </w:r>
          </w:p>
          <w:p>
            <w:pPr>
              <w:pStyle w:val="null3"/>
            </w:pPr>
            <w:r>
              <w:rPr/>
              <w:t>5.4 不允许有裂纹、起皮、起刺、压折等缺陷。</w:t>
            </w:r>
          </w:p>
          <w:p>
            <w:pPr>
              <w:pStyle w:val="null3"/>
            </w:pPr>
            <w:r>
              <w:rPr/>
              <w:t>5.5 不允许有变色、锈蚀、明显轧痕、局部油迹等缺陷。</w:t>
            </w:r>
          </w:p>
          <w:p>
            <w:pPr>
              <w:pStyle w:val="null3"/>
            </w:pPr>
            <w:r>
              <w:rPr/>
              <w:t>5.6 带材表面粗糙度Ra≤0.3μm。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显微组织</w:t>
            </w:r>
          </w:p>
        </w:tc>
        <w:tc>
          <w:tcPr>
            <w:tcW w:type="dxa" w:w="1038"/>
          </w:tcPr>
          <w:p/>
        </w:tc>
        <w:tc>
          <w:tcPr>
            <w:tcW w:type="dxa" w:w="1038"/>
          </w:tcPr>
          <w:p>
            <w:pPr>
              <w:pStyle w:val="null3"/>
            </w:pPr>
            <w:r>
              <w:rPr/>
              <w:t>带材晶粒组织均匀，平均晶粒度为</w:t>
            </w:r>
            <w:r>
              <w:rPr/>
              <w:t>0.02mm～0.10mm。</w:t>
            </w:r>
          </w:p>
        </w:tc>
        <w:tc>
          <w:tcPr>
            <w:tcW w:type="dxa" w:w="1038"/>
          </w:tcPr>
          <w:p>
            <w:pPr>
              <w:pStyle w:val="null3"/>
            </w:pPr>
            <w:r>
              <w:rPr/>
              <w:t>否</w:t>
            </w:r>
          </w:p>
        </w:tc>
        <w:tc>
          <w:tcPr>
            <w:tcW w:type="dxa" w:w="1038"/>
          </w:tcPr>
          <w:p/>
        </w:tc>
      </w:tr>
    </w:tbl>
    <w:p>
      <w:pPr>
        <w:pStyle w:val="null3"/>
        <w:jc w:val="both"/>
      </w:pPr>
      <w:r>
        <w:rPr/>
        <w:t>本商务要求共有“★”指标14个，”#”指标0个，“▲”指标0个。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r>
              <w:rPr/>
              <w:t>。</w:t>
            </w:r>
          </w:p>
          <w:p>
            <w:pPr>
              <w:pStyle w:val="null3"/>
            </w:pPr>
            <w:r>
              <w:rPr/>
              <w:t>如中标人通过试制带材质量验证，则该中标人具备正式供货资格，采购人方可批量下达采购订单，采购人对试制合格的带材按合同价格进行结算。</w:t>
            </w:r>
          </w:p>
          <w:p>
            <w:pPr>
              <w:pStyle w:val="null3"/>
            </w:pPr>
            <w:r>
              <w:rPr/>
              <w:t>如中标人未通过试制带材质量验证，采购人不支付任何费用并扣除履约保证金</w:t>
            </w:r>
            <w:r>
              <w:rPr/>
              <w:t>20万元，采购人对试制不合格的带材及质量验证产生的边料、废品进行退货处理，要求中标人进行熔化销毁处理，采购人与中标人解除合同，试制带材的各种费用由中标人承担。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65</w:t>
            </w:r>
            <w:r>
              <w:rPr/>
              <w:t>吨）供货无质量问题，保证金全额退回，如中标人前两次订单供货出现以下质量问题，扣除全额履约保证金。问题如下：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）有裂纹、起皮、起刺、压折等缺陷。</w:t>
            </w:r>
          </w:p>
          <w:p>
            <w:pPr>
              <w:pStyle w:val="null3"/>
            </w:pPr>
            <w:r>
              <w:rPr/>
              <w:t>（</w:t>
            </w:r>
            <w:r>
              <w:rPr/>
              <w:t>4</w:t>
            </w:r>
            <w:r>
              <w:rPr/>
              <w:t>）有变色、锈蚀、明显轧痕、局部油迹等缺陷。</w:t>
            </w:r>
          </w:p>
          <w:p>
            <w:pPr>
              <w:pStyle w:val="null3"/>
            </w:pPr>
            <w:r>
              <w:rPr/>
              <w:t>（</w:t>
            </w:r>
            <w:r>
              <w:rPr/>
              <w:t>5</w:t>
            </w:r>
            <w:r>
              <w:rPr/>
              <w:t>）带材表面粗糙度</w:t>
            </w:r>
            <w:r>
              <w:rPr/>
              <w:t>Ra</w:t>
            </w:r>
            <w:r>
              <w:rPr/>
              <w:t>≤</w:t>
            </w:r>
            <w:r>
              <w:rPr/>
              <w:t>0.3</w:t>
            </w:r>
            <w:r>
              <w:rPr/>
              <w:t>μ</w:t>
            </w:r>
            <w:r>
              <w:rPr/>
              <w:t>m</w:t>
            </w:r>
            <w:r>
              <w:rPr/>
              <w:t>。</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黄铜带交货地点</w:t>
            </w:r>
          </w:p>
        </w:tc>
        <w:tc>
          <w:tcPr>
            <w:tcW w:type="dxa" w:w="1038"/>
          </w:tcPr>
          <w:p/>
        </w:tc>
        <w:tc>
          <w:tcPr>
            <w:tcW w:type="dxa" w:w="1038"/>
          </w:tcPr>
          <w:p>
            <w:pPr>
              <w:pStyle w:val="null3"/>
            </w:pPr>
            <w:r>
              <w:rPr/>
              <w:t>沈阳市大东路</w:t>
            </w:r>
            <w:r>
              <w:rPr/>
              <w:t>138号沈阳造币有限公司仓库或采购人指定的沈阳市内地点。</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1.本项目要求投标人回收黄铜边废料，根据采购人实际需求分批回收；</w:t>
            </w:r>
            <w:r>
              <w:br/>
            </w:r>
            <w:r>
              <w:rPr/>
              <w:t xml:space="preserve"> 2.边废料回收自合同生效起两年内,采购人分批交货；</w:t>
            </w:r>
            <w:r>
              <w:br/>
            </w:r>
            <w:r>
              <w:rPr/>
              <w:t xml:space="preserve"> 3.严禁投标人在不改变成分情况下，直接对外销售黄铜边废料；</w:t>
            </w:r>
            <w:r>
              <w:br/>
            </w:r>
            <w:r>
              <w:rPr/>
              <w:t xml:space="preserve"> 4.黄铜边废料交货地点：中标人生产地；</w:t>
            </w:r>
            <w:r>
              <w:br/>
            </w:r>
            <w:r>
              <w:rPr/>
              <w:t xml:space="preserve"> 5.黄铜边废料根据采购人边废料产生情况，由采购人随时运输，运费（含保险费）由采购人承担。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供应商试制带材质量验证管理办法</w:t>
            </w:r>
          </w:p>
        </w:tc>
        <w:tc>
          <w:tcPr>
            <w:tcW w:type="dxa" w:w="1038"/>
          </w:tcPr>
          <w:p/>
        </w:tc>
        <w:tc>
          <w:tcPr>
            <w:tcW w:type="dxa" w:w="1038"/>
          </w:tcPr>
          <w:p>
            <w:pPr>
              <w:pStyle w:val="null3"/>
            </w:pPr>
            <w:r>
              <w:rPr/>
              <w:t>黄铜带供应商试制带材质量验证管理办法如下：</w:t>
            </w:r>
          </w:p>
          <w:p>
            <w:pPr>
              <w:pStyle w:val="null3"/>
            </w:pPr>
            <w:r>
              <w:rPr/>
              <w:t>1.试制数量</w:t>
            </w:r>
          </w:p>
          <w:p>
            <w:pPr>
              <w:pStyle w:val="null3"/>
            </w:pPr>
            <w:r>
              <w:rPr/>
              <w:t>1.1 新供应商带材质量验证阶段分为两个阶段，第一阶段为小批量试制（验证带材数量小于10吨，供应商需提供两个或两个以上炉号的试制品）。</w:t>
            </w:r>
          </w:p>
          <w:p>
            <w:pPr>
              <w:pStyle w:val="null3"/>
            </w:pPr>
            <w:r>
              <w:rPr/>
              <w:t>1.2 第二阶段为放量试制（验证带材数量大于10吨，小于30吨，供应商需提供不同于第一阶段的两个或两个以上炉号的试制品）。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新供应商试制带材在第一阶段质量验证中未出现质量问题，方可以进行第二阶段验证。第一阶段和第二阶段均未发现带材质量问题，则验证通过。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新供应商按照技术要求按批次提供包括化学成分、硬度、厚度、内径、宽度、拉伸性能、表面质量、表面粗糙度、带材不平度、侧弯及带卷塔形度等项目的检测报告。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（2）验收方式</w:t>
            </w:r>
            <w:r>
              <w:br/>
            </w:r>
            <w:r>
              <w:rPr/>
              <w:t xml:space="preserve"> 现场验收：交货时间的及时性和交货地点的准确性；品名、规格、数量、外观、包装、质保期、质检报告等客观验收。</w:t>
            </w:r>
            <w:r>
              <w:br/>
            </w:r>
            <w:r>
              <w:rPr/>
              <w:t xml:space="preserve"> 理化指标复检验收：各项理化指标复检验收。</w:t>
            </w:r>
            <w:r>
              <w:br/>
            </w:r>
            <w:r>
              <w:rPr/>
              <w:t xml:space="preserve"> 使用验收：使用过程中质量反馈。</w:t>
            </w:r>
            <w:r>
              <w:br/>
            </w:r>
            <w:r>
              <w:rPr/>
              <w:t xml:space="preserve"> （3）验收时间</w:t>
            </w:r>
            <w:r>
              <w:br/>
            </w:r>
            <w:r>
              <w:rPr/>
              <w:t xml:space="preserve"> 现场验收时间：自每批次货物到货后40个日历日内完成；</w:t>
            </w:r>
            <w:r>
              <w:br/>
            </w:r>
            <w:r>
              <w:rPr/>
              <w:t xml:space="preserve"> 理化指标复检验收时间：自每批次货物现场验收完成后20个日历日内完成；</w:t>
            </w:r>
            <w:r>
              <w:br/>
            </w:r>
            <w:r>
              <w:rPr/>
              <w:t xml:space="preserve"> 使用验收时间：自每批次货物使用完后20个日历日内完成。</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——每批带材厂家需按批提供化学成分、硬度、厚度、内径、宽度、拉伸性能、表面质量、表面粗糙度、带材不平度、侧弯及带卷塔形度等项目检测报告，每批次两个报告（成分中X微量元素单独一个报告）。</w:t>
            </w:r>
            <w:r>
              <w:br/>
            </w:r>
            <w:r>
              <w:rPr/>
              <w:t xml:space="preserve"> ——每批带材到达采购人指定地点后应进行化学成分、硬度、厚度、内径、宽度、表面质量和表面粗糙度的检验；带材重量、拉伸性能、不平度、侧弯及带卷塔形度由厂家保证，必要时检测。</w:t>
            </w:r>
            <w:r>
              <w:br/>
            </w:r>
            <w:r>
              <w:rPr/>
              <w:t xml:space="preserve"> 3.取样及判定标准</w:t>
            </w:r>
            <w:r>
              <w:br/>
            </w:r>
            <w:r>
              <w:rPr/>
              <w:t xml:space="preserve"> ——每批带材首先确认厂家质量检测报告，沈阳造币有限公司物资管理部签字确认合格后，将签字后厂家质量检测报告交给技术质量部检查员进行入厂检验。</w:t>
            </w:r>
            <w:r>
              <w:br/>
            </w:r>
            <w:r>
              <w:rPr/>
              <w:t xml:space="preserve"> ——在带材头部取样，取样大小沿长度方向不小于150mm或以供货单位预留位置为准。</w:t>
            </w:r>
            <w:r>
              <w:br/>
            </w:r>
            <w:r>
              <w:rPr/>
              <w:t xml:space="preserve"> ——每批带材任选一卷取一个试样，进行化学成分（主要进行Cu、Sn、Ni、Mn、X（微量元素）成分分析，必要时进行其它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——每批带材中任取一卷进行带材厚度、内径、宽度、表面质量和表面粗糙度检验。若带材厚度、内径、宽度、表面质量和表面粗糙度不符合此标准的相关规定，则视该批带材为不合格。</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6.使用效果验收。</w:t>
            </w:r>
            <w:r>
              <w:br/>
            </w:r>
            <w:r>
              <w:rPr/>
              <w:t xml:space="preserve"> （6）验收标准</w:t>
            </w:r>
            <w:r>
              <w:br/>
            </w:r>
            <w:r>
              <w:rPr/>
              <w:t xml:space="preserve"> 交货时间：自下达订单之日起30个日历日内开始分批交货。</w:t>
            </w:r>
            <w:r>
              <w:br/>
            </w:r>
            <w:r>
              <w:rPr/>
              <w:t xml:space="preserve"> 交货地点：沈阳市大东路138号沈阳造币有限公司仓库或采购人指定的沈阳市内地点。</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3.若验收时发现货物存在质量问题或其他缺陷的，则该货物视为不合格产品，中标人应当负责将该货物从采购人处运回并调换或者退货，并承担调换或者退货所产生的费用；</w:t>
            </w:r>
            <w:r>
              <w:br/>
            </w:r>
            <w:r>
              <w:rPr/>
              <w:t xml:space="preserve"> 4.黄铜带及边废料重量的称差标准为千分之二，千分之二以内以发货方为准，超过千分之二以采购人现场称重为准；</w:t>
            </w:r>
          </w:p>
          <w:p>
            <w:pPr>
              <w:pStyle w:val="null3"/>
            </w:pPr>
            <w:r>
              <w:rPr/>
              <w:t>5.中标人必须严格执行合同到货数量要求，黄铜带实际到货总数量不允许超过采购人下达全部订单的采购总数量。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黄铜带包装和运输</w:t>
            </w:r>
          </w:p>
        </w:tc>
        <w:tc>
          <w:tcPr>
            <w:tcW w:type="dxa" w:w="1038"/>
          </w:tcPr>
          <w:p/>
        </w:tc>
        <w:tc>
          <w:tcPr>
            <w:tcW w:type="dxa" w:w="1038"/>
          </w:tcPr>
          <w:p>
            <w:pPr>
              <w:pStyle w:val="null3"/>
            </w:pPr>
            <w:r>
              <w:rPr/>
              <w:t>1.黄铜带的包装均应附有标识卡，其上需注明规格、状态、重量、批号、卷号、生产日期。不允许在卷内外表面粘贴标签，可在包装件的外部粘贴标签，应保证标识的可追溯性；</w:t>
            </w:r>
          </w:p>
          <w:p>
            <w:pPr>
              <w:pStyle w:val="null3"/>
            </w:pPr>
            <w:r>
              <w:rPr/>
              <w:t>2.黄铜带按采购人实际需求分批次供货，每批供货量30吨以上；</w:t>
            </w:r>
          </w:p>
          <w:p>
            <w:pPr>
              <w:pStyle w:val="null3"/>
            </w:pPr>
            <w:r>
              <w:rPr/>
              <w:t>3.中标人采取汽车运输方式，运输时采取适当的防护和隔离措施，应防止碰伤、受潮和腐蚀，货物在运输中出现损毁、丢失等风险由中标人承担。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黄铜带售后服务标准</w:t>
            </w:r>
          </w:p>
        </w:tc>
        <w:tc>
          <w:tcPr>
            <w:tcW w:type="dxa" w:w="1038"/>
          </w:tcPr>
          <w:p/>
        </w:tc>
        <w:tc>
          <w:tcPr>
            <w:tcW w:type="dxa" w:w="1038"/>
          </w:tcPr>
          <w:p>
            <w:pPr>
              <w:pStyle w:val="null3"/>
            </w:pPr>
            <w:r>
              <w:rPr/>
              <w:t>黄铜带在使用过程中如出现质量问题或者不能达到使用要求，中标人应及时免费到采购人指定地点更换，</w:t>
            </w:r>
            <w:r>
              <w:rPr/>
              <w:t>在质保期，</w:t>
            </w:r>
            <w:r>
              <w:rPr/>
              <w:t>2小时内电话响应，</w:t>
            </w:r>
            <w:r>
              <w:rPr/>
              <w:t>48小时内上门服务。一切费用由中标人承担。</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黄铜带质量监造实施具体要求</w:t>
            </w:r>
          </w:p>
        </w:tc>
        <w:tc>
          <w:tcPr>
            <w:tcW w:type="dxa" w:w="1038"/>
          </w:tcPr>
          <w:p/>
        </w:tc>
        <w:tc>
          <w:tcPr>
            <w:tcW w:type="dxa" w:w="1038"/>
          </w:tcPr>
          <w:p>
            <w:pPr>
              <w:pStyle w:val="null3"/>
            </w:pPr>
            <w:r>
              <w:rPr/>
              <w:t>合同签订后，采购人将安排人员对中标人造币用黄铜带的生产开展质量监造工作，造币带材质量监造实施具体要求如下：</w:t>
            </w:r>
          </w:p>
          <w:p>
            <w:pPr>
              <w:pStyle w:val="null3"/>
            </w:pPr>
            <w:r>
              <w:rPr/>
              <w:t>中标人应在签订合同以及生产中，按照要求运行</w:t>
            </w:r>
            <w:r>
              <w:rPr/>
              <w:t>“质量监造”模式，按照质量监造要求完善全员、全面、全过程质量管理及配套制度，具体要求如下：</w:t>
            </w:r>
          </w:p>
          <w:p>
            <w:pPr>
              <w:pStyle w:val="null3"/>
            </w:pPr>
            <w:r>
              <w:rPr/>
              <w:t>1、设立造币带材专检员</w:t>
            </w:r>
          </w:p>
          <w:p>
            <w:pPr>
              <w:pStyle w:val="null3"/>
            </w:pPr>
            <w:r>
              <w:rPr/>
              <w:t>要求中标人设置造币带</w:t>
            </w:r>
            <w:r>
              <w:rPr/>
              <w:t>“专检员”，专检员负责造币带材全流程质量管控，与沈币公司监造员进行工作对接，协助开展监造工作。造币带专检员按照质量监造清单内容进行质量专检工作。</w:t>
            </w:r>
          </w:p>
          <w:p>
            <w:pPr>
              <w:pStyle w:val="null3"/>
            </w:pPr>
            <w:r>
              <w:rPr/>
              <w:t>2、建立“质量跟踪卡”和“质量工艺周统计报表”制度</w:t>
            </w:r>
          </w:p>
          <w:p>
            <w:pPr>
              <w:pStyle w:val="null3"/>
            </w:pPr>
            <w:r>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pPr>
            <w:r>
              <w:rPr/>
              <w:t>为便于采购人监造员非现场监造，中标人专检员负责统计造币带材质量及工艺情况，填写《造币带材质量工艺周统计表》，并于每周一将上周的统计表上报监造员。</w:t>
            </w:r>
          </w:p>
          <w:p>
            <w:pPr>
              <w:pStyle w:val="null3"/>
            </w:pPr>
            <w:r>
              <w:rPr/>
              <w:t>3、重点工序实行“双人两面全检”人检模式</w:t>
            </w:r>
          </w:p>
          <w:p>
            <w:pPr>
              <w:pStyle w:val="null3"/>
            </w:pPr>
            <w:r>
              <w:rPr/>
              <w:t>要求中标人在</w:t>
            </w:r>
            <w:r>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pPr>
            <w:r>
              <w:rPr/>
              <w:t>要求中标人在现场配备必要的照明辅助工具，确保能在光线明亮条件下清晰检查带材的表面质量。每卷带材检查后，在每卷带材的</w:t>
            </w:r>
            <w:r>
              <w:rPr/>
              <w:t>“造币带材质量跟踪卡”上签字确认，带材方可流转到下道工序。</w:t>
            </w:r>
          </w:p>
          <w:p>
            <w:pPr>
              <w:pStyle w:val="null3"/>
            </w:pPr>
            <w:r>
              <w:rPr/>
              <w:t>4、完善视频监控，确保关键工序监控无死角</w:t>
            </w:r>
          </w:p>
          <w:p>
            <w:pPr>
              <w:pStyle w:val="null3"/>
            </w:pPr>
            <w:r>
              <w:rPr/>
              <w:t>在四道</w:t>
            </w:r>
            <w:r>
              <w:rPr/>
              <w:t>“双人两面全检”工序加装视频摄像，对检查过程进行视频录像，便于生产实时监管以及采购人监造员回放抽检。</w:t>
            </w:r>
          </w:p>
          <w:p>
            <w:pPr>
              <w:pStyle w:val="null3"/>
            </w:pPr>
            <w:r>
              <w:rPr/>
              <w:t>5、及时提供造币带材的生产计划</w:t>
            </w:r>
          </w:p>
          <w:p>
            <w:pPr>
              <w:pStyle w:val="null3"/>
            </w:pPr>
            <w:r>
              <w:rPr/>
              <w:t>中标人在确认排产计划后，在带材生产启动日的</w:t>
            </w:r>
            <w:r>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pPr>
            <w:r>
              <w:rPr/>
              <w:t>6、配合监造员进行带材质量管控工作</w:t>
            </w:r>
          </w:p>
          <w:p>
            <w:pPr>
              <w:pStyle w:val="null3"/>
            </w:pPr>
            <w:r>
              <w:rPr/>
              <w:t>中标人应配合采购人监造员，对生产中出现的带材质量问题进行调查、取证工作，以便监造员对带材的质量水平进行判断。</w:t>
            </w:r>
          </w:p>
          <w:p>
            <w:pPr>
              <w:pStyle w:val="null3"/>
            </w:pPr>
            <w:r>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pPr>
            <w:r>
              <w:rPr/>
              <w:t>中标人应对监造员反馈的带材生产中出现的各项问题及时整改，无法及时整改的要提出整改措施及实施计划。</w:t>
            </w:r>
          </w:p>
          <w:p>
            <w:pPr>
              <w:pStyle w:val="null3"/>
            </w:pPr>
            <w:r>
              <w:rPr/>
              <w:t>7、未严格执行监造要求的后续整改工作</w:t>
            </w:r>
          </w:p>
          <w:p>
            <w:pPr>
              <w:pStyle w:val="null3"/>
            </w:pPr>
            <w:r>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pPr>
            <w:r>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pPr>
            <w:r>
              <w:rPr/>
              <w:t>当中标人已完善</w:t>
            </w:r>
            <w:r>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pPr>
            <w:r>
              <w:rPr/>
              <w:t>8、积极改进生产工艺，探索应用技防手段</w:t>
            </w:r>
          </w:p>
          <w:p>
            <w:pPr>
              <w:pStyle w:val="null3"/>
            </w:pPr>
            <w:r>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pPr>
            <w:r>
              <w:rPr/>
              <w:t>要求中标人严格质量监造工作要求配合采购人落实质量监造工作。</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采购人每次下达采购订单后，10个工作日内支付中标人5%的订单货款。</w:t>
            </w:r>
          </w:p>
        </w:tc>
        <w:tc>
          <w:tcPr>
            <w:tcW w:type="dxa" w:w="1384"/>
          </w:tcPr>
          <w:p>
            <w:pPr>
              <w:pStyle w:val="null3"/>
              <w:jc w:val="left"/>
            </w:pPr>
            <w:r>
              <w:rPr/>
              <w:t>5.00</w:t>
            </w:r>
            <w:r>
              <w:rPr/>
              <w:t>%</w:t>
            </w:r>
          </w:p>
        </w:tc>
        <w:tc>
          <w:tcPr>
            <w:tcW w:type="dxa" w:w="1384"/>
          </w:tcPr>
          <w:p>
            <w:pPr>
              <w:pStyle w:val="null3"/>
              <w:jc w:val="left"/>
            </w:pPr>
            <w:r>
              <w:rPr/>
              <w:t>银行转账</w:t>
            </w:r>
          </w:p>
        </w:tc>
        <w:tc>
          <w:tcPr>
            <w:tcW w:type="dxa" w:w="1384"/>
          </w:tcPr>
          <w:p>
            <w:pPr>
              <w:pStyle w:val="null3"/>
              <w:jc w:val="left"/>
            </w:pPr>
            <w:r>
              <w:rPr/>
              <w:t>5%订单货款</w:t>
            </w:r>
          </w:p>
        </w:tc>
      </w:tr>
      <w:tr>
        <w:tc>
          <w:tcPr>
            <w:tcW w:type="dxa" w:w="1384"/>
          </w:tcPr>
          <w:p>
            <w:pPr>
              <w:pStyle w:val="null3"/>
              <w:jc w:val="left"/>
            </w:pPr>
            <w:r>
              <w:rPr/>
              <w:t>2</w:t>
            </w:r>
          </w:p>
        </w:tc>
        <w:tc>
          <w:tcPr>
            <w:tcW w:type="dxa" w:w="1384"/>
          </w:tcPr>
          <w:p>
            <w:pPr>
              <w:pStyle w:val="null3"/>
              <w:jc w:val="left"/>
            </w:pPr>
            <w:r>
              <w:rPr/>
              <w:t>验收货款</w:t>
            </w:r>
          </w:p>
        </w:tc>
        <w:tc>
          <w:tcPr>
            <w:tcW w:type="dxa" w:w="1384"/>
          </w:tcPr>
          <w:p>
            <w:pPr>
              <w:pStyle w:val="null3"/>
              <w:jc w:val="left"/>
            </w:pPr>
            <w:r>
              <w:rPr/>
              <w:t>订单带材可分多批次到货，按月进行结算。每批次带材现场验收和理化指标复检验收合格，并收到增值税专用发票后，10个工作日内支付到货批次带材15%货款。</w:t>
            </w:r>
          </w:p>
        </w:tc>
        <w:tc>
          <w:tcPr>
            <w:tcW w:type="dxa" w:w="1384"/>
          </w:tcPr>
          <w:p>
            <w:pPr>
              <w:pStyle w:val="null3"/>
              <w:jc w:val="left"/>
            </w:pPr>
            <w:r>
              <w:rPr/>
              <w:t>15.00</w:t>
            </w:r>
            <w:r>
              <w:rPr/>
              <w:t>%</w:t>
            </w:r>
          </w:p>
        </w:tc>
        <w:tc>
          <w:tcPr>
            <w:tcW w:type="dxa" w:w="1384"/>
          </w:tcPr>
          <w:p>
            <w:pPr>
              <w:pStyle w:val="null3"/>
              <w:jc w:val="left"/>
            </w:pPr>
            <w:r>
              <w:rPr/>
              <w:t>银行转账</w:t>
            </w:r>
          </w:p>
        </w:tc>
        <w:tc>
          <w:tcPr>
            <w:tcW w:type="dxa" w:w="1384"/>
          </w:tcPr>
          <w:p>
            <w:pPr>
              <w:pStyle w:val="null3"/>
              <w:jc w:val="left"/>
            </w:pPr>
            <w:r>
              <w:rPr/>
              <w:t>每批次到货带材的15%货款</w:t>
            </w:r>
          </w:p>
        </w:tc>
      </w:tr>
      <w:tr>
        <w:tc>
          <w:tcPr>
            <w:tcW w:type="dxa" w:w="1384"/>
          </w:tcPr>
          <w:p>
            <w:pPr>
              <w:pStyle w:val="null3"/>
              <w:jc w:val="left"/>
            </w:pPr>
            <w:r>
              <w:rPr/>
              <w:t>3</w:t>
            </w:r>
          </w:p>
        </w:tc>
        <w:tc>
          <w:tcPr>
            <w:tcW w:type="dxa" w:w="1384"/>
          </w:tcPr>
          <w:p>
            <w:pPr>
              <w:pStyle w:val="null3"/>
              <w:jc w:val="left"/>
            </w:pPr>
            <w:r>
              <w:rPr/>
              <w:t>余款</w:t>
            </w:r>
          </w:p>
        </w:tc>
        <w:tc>
          <w:tcPr>
            <w:tcW w:type="dxa" w:w="1384"/>
          </w:tcPr>
          <w:p>
            <w:pPr>
              <w:pStyle w:val="null3"/>
              <w:jc w:val="left"/>
            </w:pPr>
            <w:r>
              <w:rPr/>
              <w:t>采购人确认到货带材使用无质量问题后，10个工作日内付给中标人采购带材（含运费）与销售边废料差额款的余款。</w:t>
            </w:r>
          </w:p>
        </w:tc>
        <w:tc>
          <w:tcPr>
            <w:tcW w:type="dxa" w:w="1384"/>
          </w:tcPr>
          <w:p>
            <w:pPr>
              <w:pStyle w:val="null3"/>
              <w:jc w:val="left"/>
            </w:pPr>
            <w:r>
              <w:rPr/>
              <w:t>80.00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现场验收时间：自每批次货物到货后40个日历日内完成；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——每批带材厂家需按批提供化学成分、硬度、厚度、内径、宽度、拉伸性能、表面质量、表面粗糙度、带材不平度、侧弯及带卷塔形度等项目检测报告，每批次两个报告（成分中X特征元素单独一个报告）。 ——每批带材入厂应进行化学成分、硬度、厚度、内径、宽度、表面质量和表面粗糙度的检验；带材重量、拉伸性能、不平度、侧弯及带卷塔形度由厂家保证，必要时检测。 3.取样及判定标准 ——每批带材首先确认厂家质量检测报告，集中采购部签字确认合格后，将签字后厂家质量检测报告交给技术质量部检查员进行入厂检验。 ——在带材头部取样，取样大小沿长度方向不小于150mm或以供货单位预留位置为准。 ——每批带材任选一卷取一个试样，进行化学成分（主要进行Cu、Sn、Ni、Mn、X（微量元素）成分分析，必要时进行其它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——每批带材中任取一卷进行带材厚度、内径、宽度、表面质量和表面粗糙度检验。若带材厚度、内径、宽度、表面质量和表面粗糙度不符合此标准的相关规定，则视该批带材为不合格。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交货地点：沈阳市大东路138号沈阳造币有限公司仓库或采购人指定的沈阳市内地点。 现场验收：交货时间的及时性和交货地点的准确性；品名、规格、数量是否与订单要求相符，货物是否完好，包装方式是否符合要求，质保期是否在规定期限内，厂方质检报告是否与合同约定一致。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rFonts w:ascii="宋体" w:hAnsi="宋体" w:cs="宋体" w:eastAsia="宋体"/>
          <w:sz w:val="24"/>
        </w:rPr>
        <w:t>2.</w:t>
      </w:r>
      <w:r>
        <w:rPr>
          <w:rFonts w:ascii="宋体" w:hAnsi="宋体" w:cs="宋体" w:eastAsia="宋体"/>
          <w:sz w:val="24"/>
        </w:rPr>
        <w:t>黄铜边废料回收由采购人负责运输和运费。</w:t>
      </w:r>
    </w:p>
    <w:p>
      <w:pPr>
        <w:pStyle w:val="null3"/>
        <w:ind w:firstLine="640"/>
        <w:jc w:val="both"/>
      </w:pPr>
      <w:r>
        <w:rPr>
          <w:rFonts w:ascii="仿宋" w:hAnsi="仿宋" w:cs="仿宋" w:eastAsia="仿宋"/>
          <w:sz w:val="32"/>
        </w:rPr>
        <w:t>C、报价说明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612"/>
        <w:gridCol w:w="973"/>
        <w:gridCol w:w="669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投标人投标时需在《投标报价明细单》中分别报出造币用黄铜带采购的金属损耗、加工费单价、边废料回收比例、同城运费单价、异地运费单价；同时需要算出本项目造币用黄铜带采购总价及运费总价，按权重计算后作为投标报价。</w:t>
            </w:r>
            <w:r>
              <w:br/>
            </w:r>
            <w:r>
              <w:rPr>
                <w:rFonts w:ascii="&quot;times new roman&quot;" w:hAnsi="&quot;times new roman&quot;" w:cs="&quot;times new roman&quot;" w:eastAsia="&quot;times new roman&quot;"/>
                <w:sz w:val="19"/>
              </w:rPr>
              <w:t xml:space="preserve"> 投标报价=造币用黄铜带采购总价*0.95+造币用黄铜带运费总价*0.05</w:t>
            </w:r>
            <w:r>
              <w:br/>
            </w:r>
            <w:r>
              <w:rPr>
                <w:rFonts w:ascii="&quot;times new roman&quot;" w:hAnsi="&quot;times new roman&quot;" w:cs="&quot;times new roman&quot;" w:eastAsia="&quot;times new roman&quot;"/>
                <w:sz w:val="19"/>
              </w:rPr>
              <w:t xml:space="preserve"> 投标报价只作为评标依据。金属损耗、加工费单价、边废料回收比例、同城运费单价、异地运费单价，定标后作为合同签订依据，项目预算金额作为合同总金额。</w:t>
            </w:r>
            <w:r>
              <w:br/>
            </w:r>
            <w:r>
              <w:rPr>
                <w:rFonts w:ascii="&quot;times new roman&quot;" w:hAnsi="&quot;times new roman&quot;" w:cs="&quot;times new roman&quot;" w:eastAsia="&quot;times new roman&quot;"/>
                <w:sz w:val="19"/>
              </w:rPr>
              <w:t xml:space="preserve"> 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造币用黄铜带金属损耗最高限值为</w:t>
            </w:r>
            <w:r>
              <w:rPr>
                <w:rFonts w:ascii="宋体" w:hAnsi="宋体" w:cs="宋体" w:eastAsia="宋体"/>
                <w:sz w:val="21"/>
              </w:rPr>
              <w:t>5.8%，加工费折算最高限价为8250元/吨，边废料回收比例范围为75%～85%，同城运费最高限价为41元/吨、异地运费最高限价为0.31元/吨公里。以上价格均含税。</w:t>
            </w:r>
          </w:p>
          <w:p>
            <w:pPr>
              <w:pStyle w:val="null3"/>
              <w:jc w:val="left"/>
            </w:pPr>
            <w:r>
              <w:rPr>
                <w:rFonts w:ascii="宋体" w:hAnsi="宋体" w:cs="宋体" w:eastAsia="宋体"/>
                <w:sz w:val="21"/>
              </w:rPr>
              <w:t>投标人的造币用黄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）投标人可以同时参与</w:t>
            </w:r>
            <w:r>
              <w:rPr>
                <w:rFonts w:ascii="calibri" w:hAnsi="calibri" w:cs="calibri" w:eastAsia="calibri"/>
                <w:sz w:val="21"/>
              </w:rPr>
              <w:t>包1、包2和包3三个包件</w:t>
            </w:r>
            <w:r>
              <w:rPr>
                <w:rFonts w:ascii="宋体" w:hAnsi="宋体" w:cs="宋体" w:eastAsia="宋体"/>
                <w:sz w:val="21"/>
              </w:rPr>
              <w:t>的投标，可以兼投但不能兼中。每个投标人可同时参与所有包件投标，但仅能中标</w:t>
            </w:r>
            <w:r>
              <w:rPr>
                <w:rFonts w:ascii="calibri" w:hAnsi="calibri" w:cs="calibri" w:eastAsia="calibri"/>
                <w:sz w:val="21"/>
              </w:rPr>
              <w:t>1</w:t>
            </w:r>
            <w:r>
              <w:rPr>
                <w:rFonts w:ascii="宋体" w:hAnsi="宋体" w:cs="宋体" w:eastAsia="宋体"/>
                <w:sz w:val="21"/>
              </w:rPr>
              <w:t>个包件。评标委员会按照包件</w:t>
            </w:r>
            <w:r>
              <w:rPr>
                <w:rFonts w:ascii="calibri" w:hAnsi="calibri" w:cs="calibri" w:eastAsia="calibri"/>
                <w:sz w:val="21"/>
              </w:rPr>
              <w:t>1</w:t>
            </w:r>
            <w:r>
              <w:rPr>
                <w:rFonts w:ascii="宋体" w:hAnsi="宋体" w:cs="宋体" w:eastAsia="宋体"/>
                <w:sz w:val="21"/>
              </w:rPr>
              <w:t>、包件</w:t>
            </w:r>
            <w:r>
              <w:rPr>
                <w:rFonts w:ascii="calibri" w:hAnsi="calibri" w:cs="calibri" w:eastAsia="calibri"/>
                <w:sz w:val="21"/>
              </w:rPr>
              <w:t>2</w:t>
            </w:r>
            <w:r>
              <w:rPr>
                <w:rFonts w:ascii="宋体" w:hAnsi="宋体" w:cs="宋体" w:eastAsia="宋体"/>
                <w:sz w:val="21"/>
              </w:rPr>
              <w:t>、包件</w:t>
            </w:r>
            <w:r>
              <w:rPr>
                <w:rFonts w:ascii="calibri" w:hAnsi="calibri" w:cs="calibri" w:eastAsia="calibri"/>
                <w:sz w:val="21"/>
              </w:rPr>
              <w:t>3</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w:hAnsi="calibri" w:cs="calibri" w:eastAsia="calibri"/>
                <w:sz w:val="21"/>
              </w:rPr>
              <w:t>3</w:t>
            </w:r>
            <w:r>
              <w:rPr>
                <w:rFonts w:ascii="宋体" w:hAnsi="宋体" w:cs="宋体" w:eastAsia="宋体"/>
                <w:sz w:val="21"/>
              </w:rPr>
              <w:t>家、开标后通过资格评审不足</w:t>
            </w:r>
            <w:r>
              <w:rPr>
                <w:rFonts w:ascii="calibri" w:hAnsi="calibri" w:cs="calibri" w:eastAsia="calibri"/>
                <w:sz w:val="21"/>
              </w:rPr>
              <w:t>3</w:t>
            </w:r>
            <w:r>
              <w:rPr>
                <w:rFonts w:ascii="宋体" w:hAnsi="宋体" w:cs="宋体" w:eastAsia="宋体"/>
                <w:sz w:val="21"/>
              </w:rPr>
              <w:t>家、评标时通过符合性审查不足</w:t>
            </w:r>
            <w:r>
              <w:rPr>
                <w:rFonts w:ascii="calibri" w:hAnsi="calibri" w:cs="calibri" w:eastAsia="calibri"/>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如同一包件有两家或两家以上有效投标人投标报价相同且最低，则对报价相同且最低的投标人按边废料回收比例由高到低的顺序推荐中标候选人；如投标人的边废料回收比例也相同，则按造币用黄铜带采购加工费报价由低到高的顺序推荐中标候选人；如造币用黄铜带加工费报价也相同，则由评标委员会现场抽签确定中标候选人顺序。</w:t>
            </w:r>
          </w:p>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当开标未出现包件流标时，</w:t>
            </w:r>
            <w:r>
              <w:rPr>
                <w:rFonts w:ascii="宋体" w:hAnsi="宋体" w:cs="宋体" w:eastAsia="宋体"/>
                <w:sz w:val="21"/>
              </w:rPr>
              <w:t>3</w:t>
            </w:r>
            <w:r>
              <w:rPr>
                <w:rFonts w:ascii="宋体" w:hAnsi="宋体" w:cs="宋体" w:eastAsia="宋体"/>
                <w:sz w:val="21"/>
              </w:rPr>
              <w:t>个包的中标人边废料回收比例排序，作为各包合同执行顺序，优先执行边废料回收比例最高包合同。当排序靠前的中标人无法执行当批次订单时，无法执行的订单按顺序依次向其他中标人顺延。当开标出现包件流标时，已开标包件执行顺序保持不变，再次招标开标包件的执行顺序为：在前阶段各包件执行顺序之后按边废料回收比例从高到低的顺序执行。</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left"/>
            </w:pPr>
            <w:r>
              <w:rPr>
                <w:rFonts w:ascii="宋体" w:hAnsi="宋体" w:cs="宋体" w:eastAsia="宋体"/>
                <w:sz w:val="21"/>
              </w:rPr>
              <w:t>如中标人通过试制带材质量验证，则该中标人具备正式供货资格，采购人方可批量下达采购订单；采购人对试制合格的带材按合同价格进行结算。如中标人未通过试制带材质量验证，采购人不支付任何费用并扣除履约保证金</w:t>
            </w:r>
            <w:r>
              <w:rPr>
                <w:rFonts w:ascii="宋体" w:hAnsi="宋体" w:cs="宋体" w:eastAsia="宋体"/>
                <w:sz w:val="21"/>
              </w:rPr>
              <w:t>20万元，采购人对试制不合格的带材及质量验证产生的边料、废品进行退货处理，要求中标人进行熔化销毁，采购人与中标人解除合同，试制带材的各种费用由中标人承担。</w:t>
            </w:r>
          </w:p>
        </w:tc>
      </w:tr>
    </w:tbl>
    <w:p>
      <w:pPr>
        <w:pStyle w:val="null3"/>
      </w:pPr>
      <w:r>
        <w:rPr/>
        <w:t>报价明细及承诺函见投标文件格式。</w:t>
      </w:r>
    </w:p>
    <w:p>
      <w:pPr>
        <w:pStyle w:val="null3"/>
        <w:jc w:val="left"/>
      </w:pPr>
      <w:r>
        <w:rPr/>
        <w:t xml:space="preserve"> </w:t>
      </w:r>
    </w:p>
    <w:p>
      <w:pPr>
        <w:pStyle w:val="null3"/>
        <w:jc w:val="both"/>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spacing w:after="165"/>
        <w:ind w:left="105" w:right="105"/>
        <w:jc w:val="both"/>
        <w:outlineLvl w:val="1"/>
      </w:pPr>
      <w:r>
        <w:rPr>
          <w:rFonts w:ascii="黑体" w:hAnsi="黑体" w:cs="黑体" w:eastAsia="黑体"/>
          <w:sz w:val="44"/>
        </w:rPr>
        <w:t>造币用黄铜带采购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除另有明确说明或上下文另有要求，在本合同中(包括附件，下同)，如有下列名词及术语均应具有本条所赋予的含义。</w:t>
      </w:r>
      <w:r>
        <w:br/>
      </w:r>
      <w:r>
        <w:rPr>
          <w:rFonts w:ascii="宋体" w:hAnsi="宋体" w:cs="宋体" w:eastAsia="宋体"/>
          <w:sz w:val="24"/>
        </w:rPr>
        <w:t xml:space="preserve"> 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1.2“货物”：系指乙方按照合同规定，应当向甲方交付的一定品种、数量、规格的产品。</w:t>
      </w:r>
      <w:r>
        <w:br/>
      </w:r>
      <w:r>
        <w:rPr>
          <w:rFonts w:ascii="宋体" w:hAnsi="宋体" w:cs="宋体" w:eastAsia="宋体"/>
          <w:sz w:val="24"/>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 xml:space="preserve"> 第2条合同标的物</w:t>
      </w:r>
      <w:r>
        <w:br/>
      </w:r>
      <w:r>
        <w:rPr>
          <w:rFonts w:ascii="宋体" w:hAnsi="宋体" w:cs="宋体" w:eastAsia="宋体"/>
          <w:sz w:val="24"/>
        </w:rPr>
        <w:t xml:space="preserve"> 2.1本合同标的物情况具体见本合同附件  1  、附件  2  。</w:t>
      </w:r>
      <w:r>
        <w:br/>
      </w:r>
      <w:r>
        <w:rPr>
          <w:rFonts w:ascii="宋体" w:hAnsi="宋体" w:cs="宋体" w:eastAsia="宋体"/>
          <w:sz w:val="24"/>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 xml:space="preserve"> 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 xml:space="preserve"> 第3条合同价款</w:t>
      </w:r>
      <w:r>
        <w:br/>
      </w:r>
      <w:r>
        <w:rPr>
          <w:rFonts w:ascii="宋体" w:hAnsi="宋体" w:cs="宋体" w:eastAsia="宋体"/>
          <w:sz w:val="24"/>
        </w:rPr>
        <w:t xml:space="preserve"> 3.1本合同价款选择如下方式  一  ：</w:t>
      </w:r>
      <w:r>
        <w:br/>
      </w:r>
      <w:r>
        <w:rPr>
          <w:rFonts w:ascii="宋体" w:hAnsi="宋体" w:cs="宋体" w:eastAsia="宋体"/>
          <w:sz w:val="24"/>
        </w:rPr>
        <w:t xml:space="preserve"> 方式一：</w:t>
      </w:r>
    </w:p>
    <w:p>
      <w:pPr>
        <w:pStyle w:val="null3"/>
        <w:spacing w:before="255" w:after="255"/>
        <w:ind w:left="1245"/>
      </w:pP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Borders>
          <w:top w:val="none" w:color="000000" w:sz="4"/>
          <w:left w:val="none" w:color="000000" w:sz="4"/>
          <w:bottom w:val="none" w:color="000000" w:sz="4"/>
          <w:right w:val="none" w:color="000000" w:sz="4"/>
          <w:insideH w:val="none"/>
          <w:insideV w:val="none"/>
        </w:tblBorders>
      </w:tblPr>
      <w:tblGrid>
        <w:gridCol w:w="624"/>
        <w:gridCol w:w="624"/>
        <w:gridCol w:w="611"/>
        <w:gridCol w:w="675"/>
        <w:gridCol w:w="662"/>
        <w:gridCol w:w="649"/>
        <w:gridCol w:w="649"/>
        <w:gridCol w:w="649"/>
        <w:gridCol w:w="496"/>
        <w:gridCol w:w="636"/>
        <w:gridCol w:w="471"/>
        <w:gridCol w:w="1541"/>
      </w:tblGrid>
      <w:tr>
        <w:tc>
          <w:tcPr>
            <w:tcW w:type="dxa" w:w="1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2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3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4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5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496"/>
            <w:vMerge/>
            <w:tcBorders>
              <w:top w:val="single" w:color="000000" w:sz="4"/>
              <w:left w:val="none" w:color="000000" w:sz="4"/>
              <w:bottom w:val="singl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471"/>
            <w:vMerge/>
            <w:tcBorders>
              <w:top w:val="single" w:color="000000" w:sz="4"/>
              <w:left w:val="none" w:color="000000" w:sz="4"/>
              <w:bottom w:val="none" w:color="000000" w:sz="4"/>
              <w:right w:val="single" w:color="000000" w:sz="4"/>
            </w:tcBorders>
          </w:tcPr>
          <w:p/>
        </w:tc>
        <w:tc>
          <w:tcPr>
            <w:tcW w:type="dxa" w:w="1541"/>
            <w:vMerge/>
            <w:tcBorders>
              <w:top w:val="single" w:color="000000" w:sz="4"/>
              <w:left w:val="none" w:color="000000" w:sz="4"/>
              <w:bottom w:val="singl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⑩</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(①*②+③*④+⑤*⑥+⑦*⑧)*(1+⑨)+⑩+11</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黄铜带材采购单价。即：原料价×（1+金属损耗）+中标加工费+运费。黄铜带材采购单价计算见上表。2.</w:t>
      </w:r>
      <w:r>
        <w:rPr>
          <w:rFonts w:ascii="宋体" w:hAnsi="宋体" w:cs="宋体" w:eastAsia="宋体"/>
          <w:sz w:val="24"/>
        </w:rPr>
        <w:t>同城运输是指在同一城市区域内的运输，异地运输距离为高德地图中走高速路线的距离。</w:t>
      </w:r>
    </w:p>
    <w:p>
      <w:pPr>
        <w:pStyle w:val="null3"/>
        <w:numPr>
          <w:ilvl w:val="0"/>
          <w:numId w:val="1"/>
        </w:numPr>
        <w:spacing w:before="255" w:after="255"/>
        <w:ind w:left="390"/>
      </w:pP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90"/>
      </w:pPr>
      <w:r>
        <w:rPr/>
        <w:t>3.2合同履行过程中，若有经甲方事先书面确认的货物数量变更，实际结算的总金额应以最终验收合格的实际货物的数量和本合同约定的单价为依据进行修正。</w:t>
      </w:r>
      <w:r>
        <w:br/>
      </w:r>
      <w:r>
        <w:rPr/>
        <w:t xml:space="preserve"> 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t xml:space="preserve"> (2)本合同为分批订单采购合同，甲方将通过分批下达采购订单的方式执行合同。甲方每次下达采购订单后，10个工作日内预付给乙方5%的订单货款；带材分批到货后现场验收和理化指标复检验收合格并收到  %增值税专用发票后10个工作日内支付到货批次带材15%货款。</w:t>
      </w:r>
      <w:r>
        <w:br/>
      </w:r>
      <w:r>
        <w:rPr/>
        <w:t xml:space="preserve"> （3）甲方确认到货带材使用无质量问题后，10个工作日内付给乙方采购带材（含运费）与销售边废料差额款的余款。</w:t>
      </w:r>
      <w:r>
        <w:br/>
      </w:r>
      <w:r>
        <w:rPr/>
        <w:t xml:space="preserve"> （4）甲、乙双方一致同意将合同价款总金额的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t xml:space="preserve"> （5）甲方需要组织乙方进行带材试制和质量验证，具体黄铜带供应商试制带材质量验证管理办法见附件 3  。如乙方通过带材试制和质量验证，则乙方具备正式供货资格，甲方可批量下达采购订单，同时甲方对试制合格的带材按合同价格进行结算。如乙方未通过带材试制和质量验证，甲方对试制不合格的带材及质量验证产生的边料、废品进行退货处理，要求乙方进行熔化销毁处理，甲方与乙方解除合同，试制带材的各种费用由乙方承担。</w:t>
      </w:r>
      <w:r>
        <w:br/>
      </w:r>
      <w:r>
        <w:rPr/>
        <w:t xml:space="preserve"> 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乙方对上述账号各项内容予以确认，若乙方账号发生变化应提前五（5）个工作日内书面通知甲方。如因乙方告知的账户内容不准确或发生变化而造成支付延迟、支付差错等情形，甲方不承担任何责任。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t xml:space="preserve"> 4.4.3乙方在首次供货前，向甲方提交履约担保。乙方向甲方提供履约担保金额：人民币 1,000,000.00 元（大写： 壹佰万 元），期限至质量验证结束后 10 个工作日。如乙方前两个订单供货无质量问题，甲方将于质量验证结束后 10 个工作日内无息退还履约保证金；如乙方前两次订单供货出现起皮、开裂等质量情况，甲方将不予退还履约保证金。</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4.4.6未提供或约定履约担保的，甲方有权不进行试制和质量验证，要求乙方履行相关义务或承担责任。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沈阳市大东路138号沈阳造币有限公司仓库或甲方指定的沈阳市内地点。</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第6条货物运输（包括装卸）及包装</w:t>
      </w:r>
      <w:r>
        <w:br/>
      </w:r>
      <w:r>
        <w:rPr/>
        <w:t xml:space="preserve"> 6.1货物运输（包括装卸）、包装由乙方负责，费用由甲方承担。</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7.1甲方应在乙方将每批次的货物到货后进行验收，验收程序见附件  4 。对甲方出具的相关验收结果，乙方不得持有任何异议。自货物到货现场验收和理化指标复检验收合格之日起，货物损毁、丢失等风险由甲方承担。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7.4造币用黄铜带的称差标准为千分之二，千分之二以内以发货方为准，超过千分之二以双方现场称重为准。</w:t>
      </w:r>
      <w:r>
        <w:br/>
      </w:r>
      <w:r>
        <w:rPr/>
        <w:t xml:space="preserve"> 7.5乙方必须严格执行合同到货数量要求，造币用黄铜带实际到货总数量不允许超过甲方给乙方下达全部订单的采购总数量。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8.4乙方应在生产中，按照要求运行“质量监造”模式，具体见附件  5 </w:t>
      </w:r>
      <w:r>
        <w:br/>
      </w:r>
      <w:r>
        <w:rPr/>
        <w:t xml:space="preserve"> 8.5对批量供货的供应商提供不合格带材的赔偿要求及标准</w:t>
      </w:r>
      <w:r>
        <w:br/>
      </w:r>
      <w:r>
        <w:rPr/>
        <w:t xml:space="preserve"> 8.5.1退换货或扣除加工费原则</w:t>
      </w:r>
      <w:r>
        <w:br/>
      </w:r>
      <w:r>
        <w:rPr/>
        <w:t xml:space="preserve"> ——黄铜带出现的质量问题检验批次全部进行退换货或者扣除加工费处理。</w:t>
      </w:r>
      <w:r>
        <w:br/>
      </w:r>
      <w:r>
        <w:rPr/>
        <w:t xml:space="preserve"> ——在入厂检验环节、坯饼生产环节和花饼成品环节出现的质量问题，无论是问题产品，还是隔离产品，全部倒推出带材数量，将全部进行退换货处理或者扣除加工费处理，由于退换货产生的运输等费用由乙方承担。</w:t>
      </w:r>
      <w:r>
        <w:br/>
      </w:r>
      <w:r>
        <w:rPr/>
        <w:t xml:space="preserve"> 8.5.2赔偿原则</w:t>
      </w:r>
      <w:r>
        <w:br/>
      </w:r>
      <w:r>
        <w:rPr/>
        <w:t xml:space="preserve"> 如在花饼工序发现质量问题，会对潜在风险的批量花饼进行隔离或者报废处理。由于花饼是成品，会造成一定量的包装物损失，此损失需乙方全额赔偿。</w:t>
      </w:r>
      <w:r>
        <w:br/>
      </w:r>
      <w:r>
        <w:rPr/>
        <w:t xml:space="preserve"> 8.5.3 处罚原则</w:t>
      </w:r>
      <w:r>
        <w:br/>
      </w:r>
      <w:r>
        <w:rPr/>
        <w:t xml:space="preserve"> 对于黄铜带入厂检验环节发现的质量问题，将不进行处罚；对于生产环节发现的质量问题，将进行处罚；在生产环节发现的质量问题，会造成甲方一定量的成本消耗。对乙方处罚标准：坯饼工序发现质量问题：处罚1637元/吨；花饼工序发现质量问题：处罚3466元/吨。由此造成的甲方停工等额外损失，处罚原则为：停工一天扣乙方5万元。</w:t>
      </w:r>
      <w:r>
        <w:br/>
      </w:r>
      <w:r>
        <w:rPr/>
        <w:t xml:space="preserve"> 8.5.4处罚账务处理</w:t>
      </w:r>
      <w:r>
        <w:br/>
      </w:r>
      <w:r>
        <w:rPr/>
        <w:t xml:space="preserve"> 为了便于统计，兼顾财务方面的记账要求，对于赔偿或处罚金额将在下次订单中，以折扣加工费的形式予以扣除。</w:t>
      </w:r>
      <w:r>
        <w:br/>
      </w:r>
      <w:r>
        <w:rPr/>
        <w:t xml:space="preserve"> 8.5.5对于严重质量缺陷的处理</w:t>
      </w:r>
      <w:r>
        <w:br/>
      </w:r>
      <w:r>
        <w:rPr/>
        <w:t xml:space="preserve"> 对于乙方带材出现“开裂、分层、起皮、夹杂、气泡、孔洞、凹坑、压折”这些严重质量缺陷，甲方将对乙方从严处理，有权根据问题严重程度进行停产整改等处罚。如果连续多次出现类似问题将从重处理，直至取消供货资格。</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10.1货物损坏、灭失的风险在货物经甲方现场验收之日起由乙方转移至甲方。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15.5乙方在履行本合同过程中，应保守国家秘密义务，具体要求见附件  7  。 </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   甲方所在地   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 柒 份，甲方持   肆 份，乙方持  叁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1.货物清单                             </w:t>
      </w:r>
      <w:r>
        <w:br/>
      </w:r>
      <w:r>
        <w:rPr/>
        <w:t xml:space="preserve"> 2. 技术要求                            </w:t>
      </w:r>
      <w:r>
        <w:br/>
      </w:r>
      <w:r>
        <w:rPr/>
        <w:t xml:space="preserve"> 3.黄铜带供应商试制带材质量验证管理办法</w:t>
      </w:r>
      <w:r>
        <w:br/>
      </w:r>
      <w:r>
        <w:rPr/>
        <w:t xml:space="preserve"> 4.履约验收方案                         </w:t>
      </w:r>
      <w:r>
        <w:br/>
      </w:r>
      <w:r>
        <w:rPr/>
        <w:t xml:space="preserve"> 5.监造方案                             </w:t>
      </w:r>
      <w:r>
        <w:br/>
      </w:r>
      <w:r>
        <w:rPr/>
        <w:t xml:space="preserve"> 6.保密承诺书                           </w:t>
      </w:r>
      <w:r>
        <w:br/>
      </w:r>
      <w:r>
        <w:rPr/>
        <w:t xml:space="preserve"> 7.廉洁责任保证书                       </w:t>
      </w:r>
      <w:r>
        <w:br/>
      </w:r>
      <w:r>
        <w:rPr/>
        <w:t xml:space="preserve"> 8.质量保证承诺书                       </w:t>
      </w:r>
      <w:r>
        <w:br/>
      </w:r>
      <w:r>
        <w:rPr/>
        <w:t xml:space="preserve"> 9.廉洁交往告知书                       </w:t>
      </w:r>
      <w:r>
        <w:br/>
      </w:r>
      <w:r>
        <w:rPr/>
        <w:t xml:space="preserve"> （以下无正文）</w:t>
      </w:r>
    </w:p>
    <w:p>
      <w:pPr>
        <w:pStyle w:val="null3"/>
        <w:spacing w:before="255" w:after="255"/>
        <w:ind w:left="990"/>
      </w:pPr>
      <w:r>
        <w:rPr/>
        <w:t xml:space="preserve"> </w:t>
      </w:r>
    </w:p>
    <w:p>
      <w:pPr>
        <w:pStyle w:val="null3"/>
        <w:spacing w:before="255" w:after="255"/>
        <w:ind w:left="990"/>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65"/>
        <w:jc w:val="center"/>
      </w:pPr>
      <w:r>
        <w:rPr>
          <w:rFonts w:ascii="宋体" w:hAnsi="宋体" w:cs="宋体" w:eastAsia="宋体"/>
          <w:sz w:val="24"/>
          <w:b/>
        </w:rPr>
        <w:t>技术要求</w:t>
      </w:r>
    </w:p>
    <w:p>
      <w:pPr>
        <w:pStyle w:val="null3"/>
        <w:ind w:left="210"/>
      </w:pPr>
      <w:r>
        <w:rPr>
          <w:rFonts w:ascii="宋体" w:hAnsi="宋体" w:cs="宋体" w:eastAsia="宋体"/>
          <w:sz w:val="24"/>
          <w:b/>
        </w:rPr>
        <w:t>造币用黄铜带技术要求</w:t>
      </w:r>
    </w:p>
    <w:p>
      <w:pPr>
        <w:pStyle w:val="null3"/>
        <w:numPr>
          <w:ilvl w:val="1"/>
          <w:numId w:val="2"/>
        </w:numPr>
      </w:pPr>
      <w:r>
        <w:rPr>
          <w:rFonts w:ascii="黑体" w:hAnsi="黑体" w:cs="黑体" w:eastAsia="黑体"/>
          <w:sz w:val="24"/>
        </w:rPr>
        <w:t>状态及规格</w:t>
      </w:r>
    </w:p>
    <w:p>
      <w:pPr>
        <w:pStyle w:val="null3"/>
        <w:numPr>
          <w:ilvl w:val="2"/>
          <w:numId w:val="2"/>
        </w:numPr>
        <w:spacing w:before="150" w:after="150"/>
      </w:pP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pPr>
      <w:r>
        <w:rPr>
          <w:rFonts w:ascii="&quot;times new roman&quot;" w:hAnsi="&quot;times new roman&quot;" w:cs="&quot;times new roman&quot;" w:eastAsia="&quot;times new roman&quot;"/>
          <w:sz w:val="21"/>
        </w:rPr>
        <w:t xml:space="preserve">                           </w:t>
      </w:r>
      <w:r>
        <w:rPr>
          <w:rFonts w:ascii="宋体" w:hAnsi="宋体" w:cs="宋体" w:eastAsia="宋体"/>
          <w:sz w:val="21"/>
        </w:rPr>
        <w:t>表</w:t>
      </w:r>
      <w:r>
        <w:rPr>
          <w:rFonts w:ascii="&quot;times new roman&quot;" w:hAnsi="&quot;times new roman&quot;" w:cs="&quot;times new roman&quot;" w:eastAsia="&quot;times new roman&quot;"/>
          <w:sz w:val="21"/>
        </w:rPr>
        <w:t xml:space="preserve">1  </w:t>
      </w:r>
      <w:r>
        <w:rPr>
          <w:rFonts w:ascii="宋体" w:hAnsi="宋体" w:cs="宋体" w:eastAsia="宋体"/>
          <w:sz w:val="21"/>
        </w:rPr>
        <w:t>牌号、状态及规格                    （单位：</w:t>
      </w:r>
      <w:r>
        <w:rPr>
          <w:rFonts w:ascii="times new roman, times, serif" w:hAnsi="times new roman, times, serif" w:cs="times new roman, times, serif" w:eastAsia="times new roman, times, serif"/>
          <w:sz w:val="21"/>
        </w:rPr>
        <w:t>mm</w:t>
      </w:r>
      <w:r>
        <w:rPr>
          <w:rFonts w:ascii="宋体" w:hAnsi="宋体" w:cs="宋体" w:eastAsia="宋体"/>
          <w:sz w:val="21"/>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1557"/>
        <w:gridCol w:w="1081"/>
        <w:gridCol w:w="1369"/>
        <w:gridCol w:w="1470"/>
        <w:gridCol w:w="1240"/>
        <w:gridCol w:w="1528"/>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1.60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1.90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186</w:t>
            </w:r>
          </w:p>
          <w:p>
            <w:pPr>
              <w:pStyle w:val="null3"/>
              <w:jc w:val="center"/>
            </w:pPr>
            <w:r>
              <w:rPr>
                <w:rFonts w:ascii="宋体" w:hAnsi="宋体" w:cs="宋体" w:eastAsia="宋体"/>
                <w:sz w:val="21"/>
              </w:rPr>
              <w:t>或</w:t>
            </w:r>
            <w:r>
              <w:rPr>
                <w:rFonts w:ascii="&quot;times new roman&quot;" w:hAnsi="&quot;times new roman&quot;" w:cs="&quot;times new roman&quot;" w:eastAsia="&quot;times new roman&quot;"/>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w:t>
            </w:r>
            <w:r>
              <w:rPr>
                <w:rFonts w:ascii="calibri" w:hAnsi="calibri" w:cs="calibri" w:eastAsia="calibri"/>
                <w:sz w:val="21"/>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r>
              <w:rPr>
                <w:rFonts w:ascii="宋体" w:hAnsi="宋体" w:cs="宋体" w:eastAsia="宋体"/>
                <w:sz w:val="21"/>
              </w:rPr>
              <w:t>或</w:t>
            </w:r>
            <w:r>
              <w:rPr>
                <w:rFonts w:ascii="times new roman, times, serif" w:hAnsi="times new roman, times, serif" w:cs="times new roman, times, serif" w:eastAsia="times new roman, times, serif"/>
                <w:sz w:val="21"/>
              </w:rPr>
              <w:t>284</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numPr>
          <w:ilvl w:val="2"/>
          <w:numId w:val="2"/>
        </w:numPr>
      </w:pPr>
      <w:r>
        <w:rPr>
          <w:rFonts w:ascii="宋体" w:hAnsi="宋体" w:cs="宋体" w:eastAsia="宋体"/>
          <w:sz w:val="24"/>
        </w:rPr>
        <w:t>带材内径为</w:t>
      </w:r>
      <w:r>
        <w:rPr>
          <w:rFonts w:ascii="times new roman, times, serif" w:hAnsi="times new roman, times, serif" w:cs="times new roman, times, serif" w:eastAsia="times new roman, times, serif"/>
          <w:sz w:val="24"/>
        </w:rPr>
        <w:t>500 mm</w:t>
      </w:r>
      <w:r>
        <w:rPr>
          <w:rFonts w:ascii="宋体" w:hAnsi="宋体" w:cs="宋体" w:eastAsia="宋体"/>
          <w:sz w:val="24"/>
        </w:rPr>
        <w:t>±</w:t>
      </w:r>
      <w:r>
        <w:rPr>
          <w:rFonts w:ascii="times new roman, times, serif" w:hAnsi="times new roman, times, serif" w:cs="times new roman, times, serif" w:eastAsia="times new roman, times, serif"/>
          <w:sz w:val="24"/>
        </w:rPr>
        <w:t>10 mm</w:t>
      </w:r>
      <w:r>
        <w:rPr>
          <w:rFonts w:ascii="宋体" w:hAnsi="宋体" w:cs="宋体" w:eastAsia="宋体"/>
          <w:sz w:val="24"/>
        </w:rPr>
        <w:t>。</w:t>
      </w:r>
      <w:r>
        <w:rPr>
          <w:rFonts w:ascii="宋体" w:hAnsi="宋体" w:cs="宋体" w:eastAsia="宋体"/>
          <w:sz w:val="24"/>
        </w:rPr>
        <w:t>宽度为</w:t>
      </w:r>
      <w:r>
        <w:rPr>
          <w:rFonts w:ascii="times new roman, times, serif" w:hAnsi="times new roman, times, serif" w:cs="times new roman, times, serif" w:eastAsia="times new roman, times, serif"/>
          <w:sz w:val="24"/>
        </w:rPr>
        <w:t>186mm</w:t>
      </w:r>
      <w:r>
        <w:rPr>
          <w:rFonts w:ascii="宋体" w:hAnsi="宋体" w:cs="宋体" w:eastAsia="宋体"/>
          <w:sz w:val="24"/>
        </w:rPr>
        <w:t>和</w:t>
      </w:r>
      <w:r>
        <w:rPr>
          <w:rFonts w:ascii="times new roman, times, serif" w:hAnsi="times new roman, times, serif" w:cs="times new roman, times, serif" w:eastAsia="times new roman, times, serif"/>
          <w:sz w:val="24"/>
        </w:rPr>
        <w:t>196mm</w:t>
      </w:r>
      <w:r>
        <w:rPr>
          <w:rFonts w:ascii="宋体" w:hAnsi="宋体" w:cs="宋体" w:eastAsia="宋体"/>
          <w:sz w:val="24"/>
        </w:rPr>
        <w:t>的窄带材每批次供货比例（按卷数计算）不高于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1500 kg</w:t>
      </w:r>
      <w:r>
        <w:rPr>
          <w:rFonts w:ascii="宋体" w:hAnsi="宋体" w:cs="宋体" w:eastAsia="宋体"/>
          <w:sz w:val="24"/>
        </w:rPr>
        <w:t>；宽度</w:t>
      </w:r>
      <w:r>
        <w:rPr>
          <w:rFonts w:ascii="times new roman, times, serif" w:hAnsi="times new roman, times, serif" w:cs="times new roman, times, serif" w:eastAsia="times new roman, times, serif"/>
          <w:sz w:val="24"/>
        </w:rPr>
        <w:t>284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800kg</w:t>
      </w:r>
      <w:r>
        <w:rPr>
          <w:rFonts w:ascii="宋体" w:hAnsi="宋体" w:cs="宋体" w:eastAsia="宋体"/>
          <w:sz w:val="24"/>
        </w:rPr>
        <w:t>～</w:t>
      </w:r>
      <w:r>
        <w:rPr>
          <w:rFonts w:ascii="times new roman, times, serif" w:hAnsi="times new roman, times, serif" w:cs="times new roman, times, serif" w:eastAsia="times new roman, times, serif"/>
          <w:sz w:val="24"/>
        </w:rPr>
        <w:t>2300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800kg-1150kg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；宽度</w:t>
      </w:r>
      <w:r>
        <w:rPr>
          <w:rFonts w:ascii="times new roman, times, serif" w:hAnsi="times new roman, times, serif" w:cs="times new roman, times, serif" w:eastAsia="times new roman, times, serif"/>
          <w:sz w:val="24"/>
        </w:rPr>
        <w:t>306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2400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800kg-1250kg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mm/m</w:t>
      </w:r>
      <w:r>
        <w:rPr>
          <w:rFonts w:ascii="宋体" w:hAnsi="宋体" w:cs="宋体" w:eastAsia="宋体"/>
          <w:sz w:val="24"/>
        </w:rPr>
        <w:t>；带卷塔形度小于</w:t>
      </w:r>
      <w:r>
        <w:rPr>
          <w:rFonts w:ascii="&quot;times new roman&quot;" w:hAnsi="&quot;times new roman&quot;" w:cs="&quot;times new roman&quot;" w:eastAsia="&quot;times new roman&quot;"/>
          <w:sz w:val="24"/>
        </w:rPr>
        <w:t>2mm</w:t>
      </w:r>
      <w:r>
        <w:rPr>
          <w:rFonts w:ascii="宋体" w:hAnsi="宋体" w:cs="宋体" w:eastAsia="宋体"/>
          <w:sz w:val="24"/>
        </w:rPr>
        <w:t>。</w:t>
      </w:r>
    </w:p>
    <w:p>
      <w:pPr>
        <w:pStyle w:val="null3"/>
        <w:numPr>
          <w:ilvl w:val="1"/>
          <w:numId w:val="2"/>
        </w:numPr>
        <w:spacing w:before="150" w:after="150"/>
      </w:pPr>
      <w:r>
        <w:rPr>
          <w:rFonts w:ascii="黑体" w:hAnsi="黑体" w:cs="黑体" w:eastAsia="黑体"/>
          <w:sz w:val="24"/>
        </w:rPr>
        <w:t>化学成分</w:t>
      </w:r>
    </w:p>
    <w:p>
      <w:pPr>
        <w:pStyle w:val="null3"/>
        <w:spacing w:before="150" w:after="150"/>
        <w:ind w:right="420"/>
      </w:pPr>
      <w:r>
        <w:rPr>
          <w:rFonts w:ascii="黑体" w:hAnsi="黑体" w:cs="黑体" w:eastAsia="黑体"/>
          <w:sz w:val="21"/>
        </w:rPr>
        <w:t>黄铜合金</w:t>
      </w:r>
      <w:r>
        <w:rPr>
          <w:rFonts w:ascii="黑体" w:hAnsi="黑体" w:cs="黑体" w:eastAsia="黑体"/>
          <w:sz w:val="21"/>
        </w:rPr>
        <w:t>化学成分</w:t>
      </w:r>
    </w:p>
    <w:p>
      <w:pPr>
        <w:pStyle w:val="null3"/>
        <w:spacing w:before="150" w:after="150"/>
        <w:ind w:right="225"/>
        <w:jc w:val="right"/>
      </w:pP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170"/>
        <w:gridCol w:w="915"/>
        <w:gridCol w:w="915"/>
        <w:gridCol w:w="915"/>
        <w:gridCol w:w="915"/>
        <w:gridCol w:w="915"/>
        <w:gridCol w:w="915"/>
        <w:gridCol w:w="915"/>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rPr>
              <w:t>牌号</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p>
          <w:p>
            <w:pPr>
              <w:pStyle w:val="null3"/>
              <w:spacing w:before="105" w:after="105"/>
              <w:ind w:left="-105" w:right="-105"/>
              <w:jc w:val="center"/>
            </w:pPr>
            <w:r>
              <w:rPr>
                <w:rFonts w:ascii="宋体" w:hAnsi="宋体" w:cs="宋体" w:eastAsia="宋体"/>
                <w:sz w:val="21"/>
              </w:rPr>
              <w:t>总和</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r>
      <w:tr>
        <w:tc>
          <w:tcPr>
            <w:tcW w:type="dxa" w:w="1170"/>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bl>
    <w:p>
      <w:pPr>
        <w:pStyle w:val="null3"/>
        <w:numPr>
          <w:ilvl w:val="1"/>
          <w:numId w:val="2"/>
        </w:numPr>
      </w:pPr>
      <w:r>
        <w:rPr>
          <w:rFonts w:ascii="黑体" w:hAnsi="黑体" w:cs="黑体" w:eastAsia="黑体"/>
          <w:sz w:val="24"/>
        </w:rPr>
        <w:t>力学性能</w:t>
      </w:r>
    </w:p>
    <w:p>
      <w:pPr>
        <w:pStyle w:val="null3"/>
        <w:ind w:firstLine="228"/>
      </w:pPr>
      <w:r>
        <w:rPr>
          <w:rFonts w:ascii="&quot;times new roman&quot;" w:hAnsi="&quot;times new roman&quot;" w:cs="&quot;times new roman&quot;" w:eastAsia="&quot;times new roman&quot;"/>
          <w:sz w:val="24"/>
        </w:rPr>
        <w:t xml:space="preserve">  </w:t>
      </w:r>
      <w:r>
        <w:rPr>
          <w:rFonts w:ascii="宋体" w:hAnsi="宋体" w:cs="宋体" w:eastAsia="宋体"/>
          <w:sz w:val="24"/>
        </w:rPr>
        <w:t>带材室温下的力学性能应符合表</w:t>
      </w:r>
      <w:r>
        <w:rPr>
          <w:rFonts w:ascii="&quot;times new roman&quot;" w:hAnsi="&quot;times new roman&quot;" w:cs="&quot;times new roman&quot;" w:eastAsia="&quot;times new roman&quot;"/>
          <w:sz w:val="24"/>
        </w:rPr>
        <w:t>3</w:t>
      </w:r>
      <w:r>
        <w:rPr>
          <w:rFonts w:ascii="宋体" w:hAnsi="宋体" w:cs="宋体" w:eastAsia="宋体"/>
          <w:sz w:val="24"/>
        </w:rPr>
        <w:t>的规定。</w:t>
      </w:r>
    </w:p>
    <w:p>
      <w:pPr>
        <w:pStyle w:val="null3"/>
        <w:spacing w:before="150" w:after="150"/>
      </w:pPr>
      <w:r>
        <w:rPr>
          <w:rFonts w:ascii="黑体" w:hAnsi="黑体" w:cs="黑体" w:eastAsia="黑体"/>
          <w:sz w:val="21"/>
        </w:rPr>
        <w:t>表</w:t>
      </w:r>
      <w:r>
        <w:rPr>
          <w:rFonts w:ascii="&quot;times new roman&quot;" w:hAnsi="&quot;times new roman&quot;" w:cs="&quot;times new roman&quot;" w:eastAsia="&quot;times new roman&quot;"/>
          <w:sz w:val="21"/>
        </w:rPr>
        <w:t xml:space="preserve">3     </w:t>
      </w:r>
      <w:r>
        <w:rPr>
          <w:rFonts w:ascii="黑体" w:hAnsi="黑体" w:cs="黑体" w:eastAsia="黑体"/>
          <w:sz w:val="21"/>
        </w:rPr>
        <w:t xml:space="preserve"> </w:t>
      </w:r>
      <w:r>
        <w:rPr>
          <w:rFonts w:ascii="黑体" w:hAnsi="黑体" w:cs="黑体" w:eastAsia="黑体"/>
          <w:sz w:val="21"/>
        </w:rPr>
        <w:t>造币用黄铜带力学性能</w:t>
      </w:r>
    </w:p>
    <w:tbl>
      <w:tblPr>
        <w:tblW w:w="0" w:type="auto"/>
        <w:tblBorders>
          <w:top w:val="none" w:color="000000" w:sz="4"/>
          <w:left w:val="none" w:color="000000" w:sz="4"/>
          <w:bottom w:val="none" w:color="000000" w:sz="4"/>
          <w:right w:val="none" w:color="000000" w:sz="4"/>
          <w:insideH w:val="none"/>
          <w:insideV w:val="none"/>
        </w:tblBorders>
      </w:tblPr>
      <w:tblGrid>
        <w:gridCol w:w="1033"/>
        <w:gridCol w:w="2460"/>
        <w:gridCol w:w="1590"/>
        <w:gridCol w:w="1590"/>
        <w:gridCol w:w="1590"/>
      </w:tblGrid>
      <w:tr>
        <w:tc>
          <w:tcPr>
            <w:tcW w:type="dxa" w:w="10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厚度</w:t>
            </w:r>
          </w:p>
          <w:p>
            <w:pPr>
              <w:pStyle w:val="null3"/>
              <w:jc w:val="center"/>
            </w:pPr>
            <w:r>
              <w:rPr>
                <w:rFonts w:ascii="宋体" w:hAnsi="宋体" w:cs="宋体" w:eastAsia="宋体"/>
                <w:sz w:val="18"/>
              </w:rPr>
              <w:t>（</w:t>
            </w:r>
            <w:r>
              <w:rPr>
                <w:rFonts w:ascii="宋体" w:hAnsi="宋体" w:cs="宋体" w:eastAsia="宋体"/>
                <w:sz w:val="18"/>
              </w:rPr>
              <w:t>mm）</w:t>
            </w:r>
          </w:p>
        </w:tc>
        <w:tc>
          <w:tcPr>
            <w:tcW w:type="dxa" w:w="24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硬度（</w:t>
            </w:r>
            <w:r>
              <w:rPr>
                <w:rFonts w:ascii="宋体" w:hAnsi="宋体" w:cs="宋体" w:eastAsia="宋体"/>
                <w:sz w:val="18"/>
              </w:rPr>
              <w:t>HB）</w:t>
            </w:r>
          </w:p>
        </w:tc>
        <w:tc>
          <w:tcPr>
            <w:tcW w:type="dxa" w:w="47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拉伸性能</w:t>
            </w:r>
          </w:p>
        </w:tc>
      </w:tr>
      <w:tr>
        <w:tc>
          <w:tcPr>
            <w:tcW w:type="dxa" w:w="1033"/>
            <w:vMerge/>
            <w:tcBorders>
              <w:top w:val="single" w:color="000000" w:sz="4"/>
              <w:left w:val="single" w:color="000000" w:sz="4"/>
              <w:bottom w:val="single" w:color="000000" w:sz="4"/>
              <w:right w:val="single" w:color="000000" w:sz="4"/>
            </w:tcBorders>
          </w:tcPr>
          <w:p/>
        </w:tc>
        <w:tc>
          <w:tcPr>
            <w:tcW w:type="dxa" w:w="2460"/>
            <w:vMerge/>
            <w:tcBorders>
              <w:top w:val="singl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抗拉强度（</w:t>
            </w:r>
            <w:r>
              <w:rPr>
                <w:rFonts w:ascii="宋体" w:hAnsi="宋体" w:cs="宋体" w:eastAsia="宋体"/>
                <w:sz w:val="18"/>
              </w:rPr>
              <w:t>MPa）</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宋体" w:hAnsi="宋体" w:cs="宋体" w:eastAsia="宋体"/>
                <w:sz w:val="18"/>
              </w:rPr>
              <w:t>延伸率</w:t>
            </w:r>
            <w:r>
              <w:rPr>
                <w:rFonts w:ascii="宋体" w:hAnsi="宋体" w:cs="宋体" w:eastAsia="宋体"/>
                <w:sz w:val="18"/>
              </w:rPr>
              <w:t>(%)</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屈服强度（</w:t>
            </w:r>
            <w:r>
              <w:rPr>
                <w:rFonts w:ascii="宋体" w:hAnsi="宋体" w:cs="宋体" w:eastAsia="宋体"/>
                <w:sz w:val="18"/>
              </w:rPr>
              <w:t>MPa）</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1.60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120-140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140-160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2.13</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2.17</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bl>
    <w:p>
      <w:pPr>
        <w:pStyle w:val="null3"/>
        <w:numPr>
          <w:ilvl w:val="1"/>
          <w:numId w:val="2"/>
        </w:numPr>
      </w:pPr>
      <w:r>
        <w:rPr>
          <w:rFonts w:ascii="黑体" w:hAnsi="黑体" w:cs="黑体" w:eastAsia="黑体"/>
          <w:sz w:val="24"/>
        </w:rPr>
        <w:t>显微组织</w:t>
      </w:r>
    </w:p>
    <w:p>
      <w:pPr>
        <w:pStyle w:val="null3"/>
        <w:spacing w:before="150" w:after="150"/>
        <w:ind w:left="420"/>
      </w:pPr>
      <w:r>
        <w:rPr>
          <w:rFonts w:ascii="宋体" w:hAnsi="宋体" w:cs="宋体" w:eastAsia="宋体"/>
          <w:sz w:val="24"/>
        </w:rPr>
        <w:t>带材晶粒组织均匀，平均晶粒度为</w:t>
      </w:r>
      <w:r>
        <w:rPr>
          <w:rFonts w:ascii="宋体" w:hAnsi="宋体" w:cs="宋体" w:eastAsia="宋体"/>
          <w:sz w:val="24"/>
        </w:rPr>
        <w:t>0.02mm～0.10mm。</w:t>
      </w:r>
    </w:p>
    <w:p>
      <w:pPr>
        <w:pStyle w:val="null3"/>
        <w:numPr>
          <w:ilvl w:val="1"/>
          <w:numId w:val="2"/>
        </w:numPr>
      </w:pPr>
      <w:r>
        <w:rPr>
          <w:rFonts w:ascii="黑体" w:hAnsi="黑体" w:cs="黑体" w:eastAsia="黑体"/>
          <w:sz w:val="24"/>
        </w:rPr>
        <w:t>表面质量</w:t>
      </w:r>
    </w:p>
    <w:p>
      <w:pPr>
        <w:pStyle w:val="null3"/>
        <w:numPr>
          <w:ilvl w:val="2"/>
          <w:numId w:val="2"/>
        </w:numPr>
        <w:spacing w:before="150" w:after="150"/>
      </w:pPr>
      <w:r>
        <w:rPr>
          <w:rFonts w:ascii="宋体" w:hAnsi="宋体" w:cs="宋体" w:eastAsia="宋体"/>
          <w:sz w:val="24"/>
        </w:rPr>
        <w:t>带材表面应清洁</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不允许有分层、</w:t>
      </w:r>
      <w:r>
        <w:rPr>
          <w:rFonts w:ascii="宋体" w:hAnsi="宋体" w:cs="宋体" w:eastAsia="宋体"/>
          <w:sz w:val="24"/>
        </w:rPr>
        <w:t>半分层缺陷。</w:t>
      </w:r>
    </w:p>
    <w:p>
      <w:pPr>
        <w:pStyle w:val="null3"/>
        <w:numPr>
          <w:ilvl w:val="2"/>
          <w:numId w:val="2"/>
        </w:numPr>
        <w:spacing w:before="150" w:after="150"/>
      </w:pPr>
      <w:r>
        <w:rPr>
          <w:rFonts w:ascii="宋体" w:hAnsi="宋体" w:cs="宋体" w:eastAsia="宋体"/>
          <w:sz w:val="24"/>
        </w:rPr>
        <w:t>不允许有</w:t>
      </w:r>
      <w:r>
        <w:rPr>
          <w:rFonts w:ascii="宋体" w:hAnsi="宋体" w:cs="宋体" w:eastAsia="宋体"/>
          <w:sz w:val="24"/>
        </w:rPr>
        <w:t>气泡、夹杂</w:t>
      </w:r>
      <w:r>
        <w:rPr>
          <w:rFonts w:ascii="宋体" w:hAnsi="宋体" w:cs="宋体" w:eastAsia="宋体"/>
          <w:sz w:val="24"/>
        </w:rPr>
        <w:t>、孔洞、凹坑等缺陷。</w:t>
      </w:r>
    </w:p>
    <w:p>
      <w:pPr>
        <w:pStyle w:val="null3"/>
        <w:numPr>
          <w:ilvl w:val="2"/>
          <w:numId w:val="2"/>
        </w:numPr>
        <w:spacing w:before="150" w:after="150"/>
      </w:pPr>
      <w:r>
        <w:rPr>
          <w:rFonts w:ascii="宋体" w:hAnsi="宋体" w:cs="宋体" w:eastAsia="宋体"/>
          <w:sz w:val="24"/>
        </w:rPr>
        <w:t>不允许有裂纹、起皮、起刺、压折</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不允许有变色、锈蚀、明显轧痕、</w:t>
      </w:r>
      <w:r>
        <w:rPr>
          <w:rFonts w:ascii="宋体" w:hAnsi="宋体" w:cs="宋体" w:eastAsia="宋体"/>
          <w:sz w:val="24"/>
        </w:rPr>
        <w:t>局部油迹</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带材表面粗糙度</w:t>
      </w:r>
      <w:r>
        <w:rPr>
          <w:rFonts w:ascii="&quot;times new roman&quot;" w:hAnsi="&quot;times new roman&quot;" w:cs="&quot;times new roman&quot;" w:eastAsia="&quot;times new roman&quot;"/>
          <w:sz w:val="24"/>
        </w:rPr>
        <w:t>Ra≤</w:t>
      </w:r>
      <w:r>
        <w:rPr>
          <w:rFonts w:ascii="times new roman, times, serif" w:hAnsi="times new roman, times, serif" w:cs="times new roman, times, serif" w:eastAsia="times new roman, times, serif"/>
          <w:sz w:val="24"/>
        </w:rPr>
        <w:t>0.3</w:t>
      </w:r>
      <w:r>
        <w:rPr>
          <w:rFonts w:ascii="times new roman, times, serif" w:hAnsi="times new roman, times, serif" w:cs="times new roman, times, serif" w:eastAsia="times new roman, times, serif"/>
          <w:sz w:val="24"/>
        </w:rPr>
        <w:t>μm</w:t>
      </w:r>
      <w:r>
        <w:rPr>
          <w:rFonts w:ascii="宋体" w:hAnsi="宋体" w:cs="宋体" w:eastAsia="宋体"/>
          <w:sz w:val="24"/>
        </w:rPr>
        <w:t>。</w:t>
      </w:r>
    </w:p>
    <w:p>
      <w:pPr>
        <w:pStyle w:val="null3"/>
        <w:spacing w:after="165"/>
        <w:jc w:val="left"/>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黄铜带供应商试制带材质量验证管理办法</w:t>
      </w:r>
    </w:p>
    <w:p>
      <w:pPr>
        <w:pStyle w:val="null3"/>
        <w:spacing w:after="165"/>
        <w:jc w:val="both"/>
      </w:pPr>
      <w:r>
        <w:rPr>
          <w:rFonts w:ascii="宋体" w:hAnsi="宋体" w:cs="宋体" w:eastAsia="宋体"/>
          <w:sz w:val="24"/>
        </w:rPr>
        <w:t>1.试制数量</w:t>
      </w:r>
    </w:p>
    <w:p>
      <w:pPr>
        <w:pStyle w:val="null3"/>
        <w:spacing w:after="165"/>
        <w:ind w:firstLine="480"/>
        <w:jc w:val="both"/>
      </w:pPr>
      <w:r>
        <w:rPr>
          <w:rFonts w:ascii="宋体" w:hAnsi="宋体" w:cs="宋体" w:eastAsia="宋体"/>
          <w:sz w:val="24"/>
        </w:rPr>
        <w:t>1.1 供应商带材质量验证阶段分为两个阶段，第一阶段为小批量试制（验证带材数量小于10吨，供应商需提供两个或两个以上炉号的试制品）。</w:t>
      </w:r>
    </w:p>
    <w:p>
      <w:pPr>
        <w:pStyle w:val="null3"/>
        <w:spacing w:after="165"/>
        <w:ind w:firstLine="480"/>
        <w:jc w:val="both"/>
      </w:pPr>
      <w:r>
        <w:rPr>
          <w:rFonts w:ascii="宋体" w:hAnsi="宋体" w:cs="宋体" w:eastAsia="宋体"/>
          <w:sz w:val="24"/>
        </w:rPr>
        <w:t>1.2 第二阶段为放量试制（验证带材数量大于10吨，小于30吨，供应商需提供不同于第一阶段的两个或两个以上炉号的试制品）。</w:t>
      </w:r>
    </w:p>
    <w:p>
      <w:pPr>
        <w:pStyle w:val="null3"/>
        <w:spacing w:after="165"/>
        <w:ind w:firstLine="480"/>
        <w:jc w:val="both"/>
      </w:pPr>
      <w:r>
        <w:rPr>
          <w:rFonts w:ascii="宋体" w:hAnsi="宋体" w:cs="宋体" w:eastAsia="宋体"/>
          <w:sz w:val="24"/>
        </w:rPr>
        <w:t>1.3 配合采购人调查分析质量验证阶段出现质量问题的原因及提供详实可靠的整改方案。</w:t>
      </w:r>
    </w:p>
    <w:p>
      <w:pPr>
        <w:pStyle w:val="null3"/>
        <w:spacing w:after="165"/>
        <w:ind w:firstLine="480"/>
        <w:jc w:val="both"/>
      </w:pPr>
      <w:r>
        <w:rPr>
          <w:rFonts w:ascii="宋体" w:hAnsi="宋体" w:cs="宋体" w:eastAsia="宋体"/>
          <w:sz w:val="24"/>
        </w:rPr>
        <w:t>2  质量验证要求及判定规则</w:t>
      </w:r>
    </w:p>
    <w:p>
      <w:pPr>
        <w:pStyle w:val="null3"/>
        <w:spacing w:after="165"/>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65"/>
        <w:ind w:firstLine="480"/>
        <w:jc w:val="both"/>
      </w:pPr>
      <w:r>
        <w:rPr>
          <w:rFonts w:ascii="宋体" w:hAnsi="宋体" w:cs="宋体" w:eastAsia="宋体"/>
          <w:sz w:val="24"/>
        </w:rPr>
        <w:t>3  质量验证内容</w:t>
      </w:r>
    </w:p>
    <w:p>
      <w:pPr>
        <w:pStyle w:val="null3"/>
        <w:spacing w:after="165"/>
        <w:ind w:firstLine="480"/>
        <w:jc w:val="both"/>
      </w:pPr>
      <w:r>
        <w:rPr>
          <w:rFonts w:ascii="宋体" w:hAnsi="宋体" w:cs="宋体" w:eastAsia="宋体"/>
          <w:sz w:val="24"/>
        </w:rPr>
        <w:t>3.1 供应商按照技术要求按批次提供包括化学成分、硬度、厚度、内径、宽度、拉伸性能、表面质量、表面粗糙度、带材不平度、侧弯及带卷塔形度等项目的检测报告。</w:t>
      </w:r>
    </w:p>
    <w:p>
      <w:pPr>
        <w:pStyle w:val="null3"/>
        <w:spacing w:after="165"/>
        <w:ind w:firstLine="480"/>
        <w:jc w:val="both"/>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65"/>
        <w:ind w:firstLine="480"/>
        <w:jc w:val="both"/>
      </w:pPr>
      <w:r>
        <w:rPr>
          <w:rFonts w:ascii="宋体" w:hAnsi="宋体" w:cs="宋体" w:eastAsia="宋体"/>
          <w:sz w:val="24"/>
        </w:rPr>
        <w:t>3.3 采购人生产部门领入试制带材后，按照生产工艺规程进行坯饼制作工序全流程生产和质量检验。</w:t>
      </w:r>
    </w:p>
    <w:p>
      <w:pPr>
        <w:pStyle w:val="null3"/>
        <w:spacing w:after="165"/>
        <w:ind w:firstLine="480"/>
        <w:jc w:val="both"/>
      </w:pPr>
      <w:r>
        <w:rPr>
          <w:rFonts w:ascii="宋体" w:hAnsi="宋体" w:cs="宋体" w:eastAsia="宋体"/>
          <w:sz w:val="24"/>
        </w:rPr>
        <w:t>3.4 质量验证过程中，发现带材存在质量问题时，应立即报告质量部门进行现场确认评估。</w:t>
      </w:r>
    </w:p>
    <w:p>
      <w:pPr>
        <w:pStyle w:val="null3"/>
        <w:spacing w:after="165"/>
        <w:ind w:firstLine="480"/>
        <w:jc w:val="both"/>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65"/>
        <w:ind w:firstLine="480"/>
        <w:jc w:val="both"/>
      </w:pPr>
      <w:r>
        <w:rPr>
          <w:rFonts w:ascii="宋体" w:hAnsi="宋体" w:cs="宋体" w:eastAsia="宋体"/>
          <w:sz w:val="24"/>
        </w:rPr>
        <w:t>3.6 采购人物资管理部将质量验证结果通知供应商。</w:t>
      </w:r>
    </w:p>
    <w:p>
      <w:pPr>
        <w:pStyle w:val="null3"/>
        <w:spacing w:after="165"/>
        <w:ind w:left="105" w:right="105"/>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65"/>
        <w:ind w:firstLine="480"/>
        <w:jc w:val="both"/>
      </w:pPr>
      <w:r>
        <w:rPr>
          <w:rFonts w:ascii="宋体" w:hAnsi="宋体" w:cs="宋体" w:eastAsia="宋体"/>
          <w:sz w:val="24"/>
        </w:rPr>
        <w:t>（</w:t>
      </w:r>
      <w:r>
        <w:rPr>
          <w:rFonts w:ascii="宋体" w:hAnsi="宋体" w:cs="宋体" w:eastAsia="宋体"/>
          <w:sz w:val="24"/>
        </w:rPr>
        <w:t>1）验收主体</w:t>
      </w:r>
    </w:p>
    <w:p>
      <w:pPr>
        <w:pStyle w:val="null3"/>
        <w:spacing w:after="165"/>
        <w:ind w:firstLine="480"/>
        <w:jc w:val="both"/>
      </w:pPr>
      <w:r>
        <w:rPr>
          <w:rFonts w:ascii="宋体" w:hAnsi="宋体" w:cs="宋体" w:eastAsia="宋体"/>
          <w:sz w:val="24"/>
        </w:rPr>
        <w:t>采购人（需求部门）</w:t>
      </w:r>
      <w:r>
        <w:rPr>
          <w:rFonts w:ascii="宋体" w:hAnsi="宋体" w:cs="宋体" w:eastAsia="宋体"/>
          <w:sz w:val="24"/>
        </w:rPr>
        <w:t>沈阳造币有限公司物资管理部</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w:t>
      </w:r>
      <w:r>
        <w:rPr>
          <w:rFonts w:ascii="宋体" w:hAnsi="宋体" w:cs="宋体" w:eastAsia="宋体"/>
          <w:sz w:val="24"/>
        </w:rPr>
        <w:t>2）验收方式</w:t>
      </w:r>
    </w:p>
    <w:p>
      <w:pPr>
        <w:pStyle w:val="null3"/>
        <w:spacing w:after="165"/>
        <w:ind w:firstLine="480"/>
        <w:jc w:val="both"/>
      </w:pPr>
      <w:r>
        <w:rPr>
          <w:rFonts w:ascii="宋体" w:hAnsi="宋体" w:cs="宋体" w:eastAsia="宋体"/>
          <w:sz w:val="24"/>
        </w:rPr>
        <w:t>现场验收：交货时间的及时性和交货地点的准确性；品名、规格、数量、外观、包装、质检报告等客观验收。</w:t>
      </w:r>
    </w:p>
    <w:p>
      <w:pPr>
        <w:pStyle w:val="null3"/>
        <w:spacing w:after="165"/>
        <w:ind w:firstLine="480"/>
        <w:jc w:val="both"/>
      </w:pPr>
      <w:r>
        <w:rPr>
          <w:rFonts w:ascii="宋体" w:hAnsi="宋体" w:cs="宋体" w:eastAsia="宋体"/>
          <w:sz w:val="24"/>
        </w:rPr>
        <w:t>理化指标复检验收：各项理化指标复检验收。</w:t>
      </w:r>
    </w:p>
    <w:p>
      <w:pPr>
        <w:pStyle w:val="null3"/>
        <w:spacing w:after="165"/>
        <w:ind w:firstLine="480"/>
        <w:jc w:val="both"/>
      </w:pPr>
      <w:r>
        <w:rPr>
          <w:rFonts w:ascii="宋体" w:hAnsi="宋体" w:cs="宋体" w:eastAsia="宋体"/>
          <w:sz w:val="24"/>
        </w:rPr>
        <w:t>使用验收：使用过程中质量反馈。</w:t>
      </w:r>
    </w:p>
    <w:p>
      <w:pPr>
        <w:pStyle w:val="null3"/>
        <w:spacing w:after="165"/>
        <w:ind w:firstLine="480"/>
        <w:jc w:val="both"/>
      </w:pPr>
      <w:r>
        <w:rPr>
          <w:rFonts w:ascii="宋体" w:hAnsi="宋体" w:cs="宋体" w:eastAsia="宋体"/>
          <w:sz w:val="24"/>
        </w:rPr>
        <w:t>（</w:t>
      </w:r>
      <w:r>
        <w:rPr>
          <w:rFonts w:ascii="宋体" w:hAnsi="宋体" w:cs="宋体" w:eastAsia="宋体"/>
          <w:sz w:val="24"/>
        </w:rPr>
        <w:t>3）验收时间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40个日历日内完成；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——每批带材厂家需按批提供化学成分、硬度、厚度、内径、宽度、拉伸性能、表面质量、表面粗糙度、带材不平度、侧弯及带卷塔形度等项目检测报告，每批次两个报告（成分中X特征元素单独一个报告）。</w:t>
      </w:r>
    </w:p>
    <w:p>
      <w:pPr>
        <w:pStyle w:val="null3"/>
        <w:spacing w:after="165"/>
        <w:ind w:firstLine="480"/>
        <w:jc w:val="both"/>
      </w:pPr>
      <w:r>
        <w:rPr>
          <w:rFonts w:ascii="宋体" w:hAnsi="宋体" w:cs="宋体" w:eastAsia="宋体"/>
          <w:sz w:val="24"/>
        </w:rPr>
        <w:t>——每批带材入厂应进行化学成分、硬度、厚度、内径、宽度、表面质量和表面粗糙度的检验；带材重量、拉伸性能、不平度、侧弯及带卷塔形度由厂家保证，必要时检测。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——每批带材首先确认厂家质量检测报告，集中采购部签字确认合格后，将签字后厂家质量检测报告交给技术质量部检查员进行入厂检验。</w:t>
      </w:r>
    </w:p>
    <w:p>
      <w:pPr>
        <w:pStyle w:val="null3"/>
        <w:spacing w:after="165"/>
        <w:ind w:firstLine="480"/>
        <w:jc w:val="both"/>
      </w:pPr>
      <w:r>
        <w:rPr>
          <w:rFonts w:ascii="宋体" w:hAnsi="宋体" w:cs="宋体" w:eastAsia="宋体"/>
          <w:sz w:val="24"/>
        </w:rPr>
        <w:t>——在带材头部取样，取样大小沿长度方向不小于150mm或以供货单位预留位置为准。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Sn、Ni、Mn、X（特征元素）成分分析，必要时进行其它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——每批带材中任取一卷进行带材厚度、内径、宽度、表面质量和表面粗糙度检验。若带材厚度、内径、宽度、表面质量和表面粗糙度不符合此标准的相关规定，则视该批带材为不合格。</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——检测结果若有一个试样结果不合格，从该批中再取双倍试样进行复验，复验中若有一个试样不合格，则整批判废。</w:t>
      </w:r>
    </w:p>
    <w:p>
      <w:pPr>
        <w:pStyle w:val="null3"/>
        <w:spacing w:after="165"/>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480"/>
        <w:jc w:val="both"/>
      </w:pPr>
      <w:r>
        <w:rPr>
          <w:rFonts w:ascii="宋体" w:hAnsi="宋体" w:cs="宋体" w:eastAsia="宋体"/>
          <w:sz w:val="24"/>
        </w:rPr>
        <w:t>（</w:t>
      </w:r>
      <w:r>
        <w:rPr>
          <w:rFonts w:ascii="宋体" w:hAnsi="宋体" w:cs="宋体" w:eastAsia="宋体"/>
          <w:sz w:val="24"/>
        </w:rPr>
        <w:t>6）验收标准</w:t>
      </w:r>
    </w:p>
    <w:p>
      <w:pPr>
        <w:pStyle w:val="null3"/>
        <w:spacing w:after="165"/>
        <w:ind w:firstLine="480"/>
        <w:jc w:val="both"/>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spacing w:after="165"/>
        <w:ind w:firstLine="480"/>
        <w:jc w:val="both"/>
      </w:pPr>
      <w:r>
        <w:rPr>
          <w:rFonts w:ascii="宋体" w:hAnsi="宋体" w:cs="宋体" w:eastAsia="宋体"/>
          <w:sz w:val="24"/>
        </w:rPr>
        <w:t>交货地点：沈阳市大东路</w:t>
      </w:r>
      <w:r>
        <w:rPr>
          <w:rFonts w:ascii="宋体" w:hAnsi="宋体" w:cs="宋体" w:eastAsia="宋体"/>
          <w:sz w:val="24"/>
        </w:rPr>
        <w:t>138号沈阳造币有限公司仓库或采购人指定的沈阳市内地点。</w:t>
      </w:r>
    </w:p>
    <w:p>
      <w:pPr>
        <w:pStyle w:val="null3"/>
        <w:spacing w:after="165"/>
        <w:ind w:firstLine="480"/>
        <w:jc w:val="both"/>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firstLine="480"/>
        <w:jc w:val="both"/>
      </w:pPr>
      <w:r>
        <w:rPr>
          <w:rFonts w:ascii="宋体" w:hAnsi="宋体" w:cs="宋体" w:eastAsia="宋体"/>
          <w:sz w:val="24"/>
        </w:rPr>
        <w:t>理化指标复检验收：理化指标复检是否与合同约定一致。</w:t>
      </w:r>
    </w:p>
    <w:p>
      <w:pPr>
        <w:pStyle w:val="null3"/>
        <w:spacing w:after="165"/>
        <w:ind w:firstLine="480"/>
        <w:jc w:val="both"/>
      </w:pPr>
      <w:r>
        <w:rPr>
          <w:rFonts w:ascii="宋体" w:hAnsi="宋体" w:cs="宋体" w:eastAsia="宋体"/>
          <w:sz w:val="24"/>
        </w:rPr>
        <w:t>使用验收：使用过程中是否有质量问题反馈。</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65"/>
        <w:jc w:val="center"/>
      </w:pPr>
      <w:r>
        <w:rPr>
          <w:rFonts w:ascii="宋体" w:hAnsi="宋体" w:cs="宋体" w:eastAsia="宋体"/>
          <w:sz w:val="28"/>
        </w:rPr>
        <w:t>监造方案</w:t>
      </w:r>
    </w:p>
    <w:p>
      <w:pPr>
        <w:pStyle w:val="null3"/>
        <w:spacing w:after="165"/>
        <w:ind w:firstLine="480"/>
        <w:jc w:val="both"/>
      </w:pPr>
      <w:r>
        <w:rPr>
          <w:rFonts w:ascii="宋体" w:hAnsi="宋体" w:cs="宋体" w:eastAsia="宋体"/>
          <w:sz w:val="24"/>
        </w:rPr>
        <w:t>中标人应在签订合同以及生产中，按照要求运行</w:t>
      </w:r>
      <w:r>
        <w:rPr>
          <w:rFonts w:ascii="宋体" w:hAnsi="宋体" w:cs="宋体" w:eastAsia="宋体"/>
          <w:sz w:val="24"/>
        </w:rPr>
        <w:t>“质量监造”模式，按照质量监造要求完善全员、全面、全过程质量管理及配套制度，具体要求如下：</w:t>
      </w:r>
    </w:p>
    <w:p>
      <w:pPr>
        <w:pStyle w:val="null3"/>
        <w:spacing w:after="165"/>
        <w:ind w:firstLine="480"/>
        <w:jc w:val="both"/>
      </w:pPr>
      <w:r>
        <w:rPr>
          <w:rFonts w:ascii="宋体" w:hAnsi="宋体" w:cs="宋体" w:eastAsia="宋体"/>
          <w:sz w:val="24"/>
        </w:rPr>
        <w:t>1、设立造币带材专检员</w:t>
      </w:r>
    </w:p>
    <w:p>
      <w:pPr>
        <w:pStyle w:val="null3"/>
        <w:spacing w:after="165"/>
        <w:ind w:firstLine="480"/>
        <w:jc w:val="both"/>
      </w:pPr>
      <w:r>
        <w:rPr>
          <w:rFonts w:ascii="宋体" w:hAnsi="宋体" w:cs="宋体" w:eastAsia="宋体"/>
          <w:sz w:val="24"/>
        </w:rPr>
        <w:t>要求中标人设置造币带</w:t>
      </w:r>
      <w:r>
        <w:rPr>
          <w:rFonts w:ascii="宋体" w:hAnsi="宋体" w:cs="宋体" w:eastAsia="宋体"/>
          <w:sz w:val="24"/>
        </w:rPr>
        <w:t>“专检员”，专检员负责造币带材全流程质量管控，与沈币公司监造员进行工作对接，协助开展监造工作。造币带专检员按照质量监造内容清单内容进行质量专检工作。</w:t>
      </w:r>
    </w:p>
    <w:p>
      <w:pPr>
        <w:pStyle w:val="null3"/>
        <w:spacing w:after="165"/>
        <w:ind w:firstLine="480"/>
        <w:jc w:val="both"/>
      </w:pPr>
      <w:r>
        <w:rPr>
          <w:rFonts w:ascii="宋体" w:hAnsi="宋体" w:cs="宋体" w:eastAsia="宋体"/>
          <w:sz w:val="24"/>
        </w:rPr>
        <w:t>2、建立“质量跟踪卡”和“质量工艺周统计报表”制度</w:t>
      </w:r>
    </w:p>
    <w:p>
      <w:pPr>
        <w:pStyle w:val="null3"/>
        <w:spacing w:after="165"/>
        <w:ind w:firstLine="480"/>
        <w:jc w:val="both"/>
      </w:pPr>
      <w:r>
        <w:rPr>
          <w:rFonts w:ascii="宋体" w:hAnsi="宋体" w:cs="宋体" w:eastAsia="宋体"/>
          <w:sz w:val="24"/>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spacing w:after="165"/>
        <w:ind w:firstLine="480"/>
        <w:jc w:val="both"/>
      </w:pPr>
      <w:r>
        <w:rPr>
          <w:rFonts w:ascii="宋体" w:hAnsi="宋体" w:cs="宋体" w:eastAsia="宋体"/>
          <w:sz w:val="24"/>
        </w:rPr>
        <w:t>为便于采购人监造员非现场监造，中标人专检员负责统计造币带材质量及工艺情况，填写《造币带材质量工艺周统计表》，并于每周一将上周的统计表上报监造员。</w:t>
      </w:r>
    </w:p>
    <w:p>
      <w:pPr>
        <w:pStyle w:val="null3"/>
        <w:spacing w:after="165"/>
        <w:ind w:firstLine="480"/>
        <w:jc w:val="both"/>
      </w:pPr>
      <w:r>
        <w:rPr>
          <w:rFonts w:ascii="宋体" w:hAnsi="宋体" w:cs="宋体" w:eastAsia="宋体"/>
          <w:sz w:val="24"/>
        </w:rPr>
        <w:t>3、重点工序实行“双人两面全检”人检模式</w:t>
      </w:r>
    </w:p>
    <w:p>
      <w:pPr>
        <w:pStyle w:val="null3"/>
        <w:spacing w:after="165"/>
        <w:ind w:firstLine="480"/>
        <w:jc w:val="both"/>
      </w:pPr>
      <w:r>
        <w:rPr>
          <w:rFonts w:ascii="宋体" w:hAnsi="宋体" w:cs="宋体" w:eastAsia="宋体"/>
          <w:sz w:val="24"/>
        </w:rPr>
        <w:t>鉴于中标人现场技防措施匮乏现状，要求在</w:t>
      </w:r>
      <w:r>
        <w:rPr>
          <w:rFonts w:ascii="宋体" w:hAnsi="宋体" w:cs="宋体" w:eastAsia="宋体"/>
          <w:sz w:val="24"/>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spacing w:after="165"/>
        <w:ind w:firstLine="480"/>
        <w:jc w:val="both"/>
      </w:pPr>
      <w:r>
        <w:rPr>
          <w:rFonts w:ascii="宋体" w:hAnsi="宋体" w:cs="宋体" w:eastAsia="宋体"/>
          <w:sz w:val="24"/>
        </w:rPr>
        <w:t>要求中标人在现场配备必要的照明辅助工具，确保能在光线明亮条件下清晰检查带材的表面质量。每卷带材检查后，在每卷带材的</w:t>
      </w:r>
      <w:r>
        <w:rPr>
          <w:rFonts w:ascii="宋体" w:hAnsi="宋体" w:cs="宋体" w:eastAsia="宋体"/>
          <w:sz w:val="24"/>
        </w:rPr>
        <w:t>“质量跟踪卡”上签字确认，带材方可流转到下道工序。</w:t>
      </w:r>
    </w:p>
    <w:p>
      <w:pPr>
        <w:pStyle w:val="null3"/>
        <w:spacing w:after="165"/>
        <w:ind w:firstLine="480"/>
        <w:jc w:val="both"/>
      </w:pPr>
      <w:r>
        <w:rPr>
          <w:rFonts w:ascii="宋体" w:hAnsi="宋体" w:cs="宋体" w:eastAsia="宋体"/>
          <w:sz w:val="24"/>
        </w:rPr>
        <w:t>4、完善视频监控，确保关键工序监控无死角</w:t>
      </w:r>
    </w:p>
    <w:p>
      <w:pPr>
        <w:pStyle w:val="null3"/>
        <w:spacing w:after="165"/>
        <w:ind w:firstLine="480"/>
        <w:jc w:val="both"/>
      </w:pPr>
      <w:r>
        <w:rPr>
          <w:rFonts w:ascii="宋体" w:hAnsi="宋体" w:cs="宋体" w:eastAsia="宋体"/>
          <w:sz w:val="24"/>
        </w:rPr>
        <w:t>在四道</w:t>
      </w:r>
      <w:r>
        <w:rPr>
          <w:rFonts w:ascii="宋体" w:hAnsi="宋体" w:cs="宋体" w:eastAsia="宋体"/>
          <w:sz w:val="24"/>
        </w:rPr>
        <w:t>“双人两面全检”工序加装视频摄像，对检查过程进行视频录像，便于生产实时监管以及采购人监造员回放抽检。</w:t>
      </w:r>
    </w:p>
    <w:p>
      <w:pPr>
        <w:pStyle w:val="null3"/>
        <w:spacing w:after="165"/>
        <w:ind w:firstLine="480"/>
        <w:jc w:val="both"/>
      </w:pPr>
      <w:r>
        <w:rPr>
          <w:rFonts w:ascii="宋体" w:hAnsi="宋体" w:cs="宋体" w:eastAsia="宋体"/>
          <w:sz w:val="24"/>
        </w:rPr>
        <w:t>5、及时提供造币带材的生产计划</w:t>
      </w:r>
    </w:p>
    <w:p>
      <w:pPr>
        <w:pStyle w:val="null3"/>
        <w:spacing w:after="165"/>
        <w:ind w:firstLine="480"/>
        <w:jc w:val="both"/>
      </w:pPr>
      <w:r>
        <w:rPr>
          <w:rFonts w:ascii="宋体" w:hAnsi="宋体" w:cs="宋体" w:eastAsia="宋体"/>
          <w:sz w:val="24"/>
        </w:rPr>
        <w:t>中标人在确认排产计划后，在带材生产启动日的</w:t>
      </w:r>
      <w:r>
        <w:rPr>
          <w:rFonts w:ascii="宋体" w:hAnsi="宋体" w:cs="宋体" w:eastAsia="宋体"/>
          <w:sz w:val="24"/>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spacing w:after="165"/>
        <w:ind w:firstLine="480"/>
        <w:jc w:val="both"/>
      </w:pPr>
      <w:r>
        <w:rPr>
          <w:rFonts w:ascii="宋体" w:hAnsi="宋体" w:cs="宋体" w:eastAsia="宋体"/>
          <w:sz w:val="24"/>
        </w:rPr>
        <w:t>6、配合监造员进行带材质量管控工作</w:t>
      </w:r>
    </w:p>
    <w:p>
      <w:pPr>
        <w:pStyle w:val="null3"/>
        <w:spacing w:after="165"/>
        <w:ind w:firstLine="480"/>
        <w:jc w:val="both"/>
      </w:pPr>
      <w:r>
        <w:rPr>
          <w:rFonts w:ascii="宋体" w:hAnsi="宋体" w:cs="宋体" w:eastAsia="宋体"/>
          <w:sz w:val="24"/>
        </w:rPr>
        <w:t>中标人应配合采购人监造员，对生产中出现的带材质量问题进行调查、取证工作，以便监造员对带材的质量水平进行判断。</w:t>
      </w:r>
    </w:p>
    <w:p>
      <w:pPr>
        <w:pStyle w:val="null3"/>
        <w:spacing w:after="165"/>
        <w:ind w:firstLine="480"/>
        <w:jc w:val="both"/>
      </w:pPr>
      <w:r>
        <w:rPr>
          <w:rFonts w:ascii="宋体" w:hAnsi="宋体" w:cs="宋体" w:eastAsia="宋体"/>
          <w:sz w:val="24"/>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spacing w:after="165"/>
        <w:ind w:firstLine="480"/>
        <w:jc w:val="both"/>
      </w:pPr>
      <w:r>
        <w:rPr>
          <w:rFonts w:ascii="宋体" w:hAnsi="宋体" w:cs="宋体" w:eastAsia="宋体"/>
          <w:sz w:val="24"/>
        </w:rPr>
        <w:t>中标人应对监造员反馈的带材生产中出现的各项问题及时整改，无法及时整改的要提出整改措施及实施计划。</w:t>
      </w:r>
    </w:p>
    <w:p>
      <w:pPr>
        <w:pStyle w:val="null3"/>
        <w:spacing w:after="165"/>
        <w:ind w:firstLine="480"/>
        <w:jc w:val="both"/>
      </w:pPr>
      <w:r>
        <w:rPr>
          <w:rFonts w:ascii="宋体" w:hAnsi="宋体" w:cs="宋体" w:eastAsia="宋体"/>
          <w:sz w:val="24"/>
        </w:rPr>
        <w:t>7、未严格执行监造要求的后续整改工作</w:t>
      </w:r>
    </w:p>
    <w:p>
      <w:pPr>
        <w:pStyle w:val="null3"/>
        <w:spacing w:after="165"/>
        <w:ind w:firstLine="480"/>
        <w:jc w:val="both"/>
      </w:pPr>
      <w:r>
        <w:rPr>
          <w:rFonts w:ascii="宋体" w:hAnsi="宋体" w:cs="宋体" w:eastAsia="宋体"/>
          <w:sz w:val="24"/>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spacing w:after="165"/>
        <w:ind w:firstLine="480"/>
        <w:jc w:val="both"/>
      </w:pPr>
      <w:r>
        <w:rPr>
          <w:rFonts w:ascii="宋体" w:hAnsi="宋体" w:cs="宋体" w:eastAsia="宋体"/>
          <w:sz w:val="24"/>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spacing w:after="165"/>
        <w:ind w:firstLine="480"/>
        <w:jc w:val="both"/>
      </w:pPr>
      <w:r>
        <w:rPr>
          <w:rFonts w:ascii="宋体" w:hAnsi="宋体" w:cs="宋体" w:eastAsia="宋体"/>
          <w:sz w:val="24"/>
        </w:rPr>
        <w:t>当中标人已完善</w:t>
      </w:r>
      <w:r>
        <w:rPr>
          <w:rFonts w:ascii="宋体" w:hAnsi="宋体" w:cs="宋体" w:eastAsia="宋体"/>
          <w:sz w:val="24"/>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spacing w:after="165"/>
        <w:ind w:firstLine="480"/>
        <w:jc w:val="both"/>
      </w:pPr>
      <w:r>
        <w:rPr>
          <w:rFonts w:ascii="宋体" w:hAnsi="宋体" w:cs="宋体" w:eastAsia="宋体"/>
          <w:sz w:val="24"/>
        </w:rPr>
        <w:t>8、积极改进生产工艺，探索应用技防手段</w:t>
      </w:r>
    </w:p>
    <w:p>
      <w:pPr>
        <w:pStyle w:val="null3"/>
        <w:spacing w:after="165"/>
        <w:ind w:firstLine="480"/>
        <w:jc w:val="both"/>
      </w:pPr>
      <w:r>
        <w:rPr>
          <w:rFonts w:ascii="宋体" w:hAnsi="宋体" w:cs="宋体" w:eastAsia="宋体"/>
          <w:sz w:val="24"/>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spacing w:after="165"/>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65"/>
        <w:jc w:val="both"/>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65"/>
        <w:jc w:val="left"/>
      </w:pPr>
      <w:r>
        <w:rPr>
          <w:rFonts w:ascii="宋体" w:hAnsi="宋体" w:cs="宋体" w:eastAsia="宋体"/>
          <w:sz w:val="44"/>
        </w:rPr>
        <w:t>黄铜边废料销售合同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除另有明确说明或上下文另有要求，在本合同中(包括附件，下同)，下列名词及术语均应具有本条所赋予的含义。</w:t>
      </w:r>
      <w:r>
        <w:br/>
      </w:r>
      <w:r>
        <w:rPr>
          <w:rFonts w:ascii="宋体" w:hAnsi="宋体" w:cs="宋体" w:eastAsia="宋体"/>
          <w:sz w:val="24"/>
        </w:rPr>
        <w:t xml:space="preserve"> 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1.2“货物”：系指乙方按照合同规定，应当向甲方提供的一定品种、数量、规格的产品。</w:t>
      </w:r>
      <w:r>
        <w:br/>
      </w:r>
      <w:r>
        <w:rPr>
          <w:rFonts w:ascii="宋体" w:hAnsi="宋体" w:cs="宋体" w:eastAsia="宋体"/>
          <w:sz w:val="24"/>
        </w:rPr>
        <w:t xml:space="preserve"> 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第2条合同标的物和价格</w:t>
      </w:r>
      <w:r>
        <w:br/>
      </w:r>
      <w:r>
        <w:rPr>
          <w:rFonts w:ascii="宋体" w:hAnsi="宋体" w:cs="宋体" w:eastAsia="宋体"/>
          <w:sz w:val="24"/>
        </w:rPr>
        <w:t xml:space="preserve"> 2.1本合同标的物情况（包括但不限于合同标的物的名称、规格、数量、单价等信息）具体见本合同附件  1  。</w:t>
      </w:r>
      <w:r>
        <w:br/>
      </w:r>
      <w:r>
        <w:rPr>
          <w:rFonts w:ascii="宋体" w:hAnsi="宋体" w:cs="宋体" w:eastAsia="宋体"/>
          <w:sz w:val="24"/>
        </w:rPr>
        <w:t xml:space="preserve"> 2.2本合同价款为    元（大写：               元）,其中不含税金额为   /     元，增值税金额为      元，增值税税率为   %。在本合同履行期间，不含税价格不因国家税率变化而变化，如遇国家税率调整，则价税合计的价格应相应调整，以开具发票时间为准。</w:t>
      </w:r>
      <w:r>
        <w:br/>
      </w:r>
      <w:r>
        <w:rPr>
          <w:rFonts w:ascii="宋体" w:hAnsi="宋体" w:cs="宋体" w:eastAsia="宋体"/>
          <w:sz w:val="24"/>
        </w:rPr>
        <w:t xml:space="preserve"> 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 xml:space="preserve"> 第3条付款方式及期限</w:t>
      </w:r>
      <w:r>
        <w:br/>
      </w:r>
      <w:r>
        <w:rPr>
          <w:rFonts w:ascii="宋体" w:hAnsi="宋体" w:cs="宋体" w:eastAsia="宋体"/>
          <w:sz w:val="24"/>
        </w:rPr>
        <w:t xml:space="preserve"> 3.1本合同采用以下第 （3）  种支付方式：</w:t>
      </w:r>
      <w:r>
        <w:br/>
      </w:r>
      <w:r>
        <w:rPr>
          <w:rFonts w:ascii="宋体" w:hAnsi="宋体" w:cs="宋体" w:eastAsia="宋体"/>
          <w:sz w:val="24"/>
        </w:rPr>
        <w:t xml:space="preserve"> （1）方式一：一次性支付</w:t>
      </w:r>
      <w:r>
        <w:br/>
      </w:r>
      <w:r>
        <w:rPr>
          <w:rFonts w:ascii="宋体" w:hAnsi="宋体" w:cs="宋体" w:eastAsia="宋体"/>
          <w:sz w:val="24"/>
        </w:rPr>
        <w:t xml:space="preserve"> 甲方对乙方交付的货物验收合格并在收到乙方开具的与合同价款总金额等额且合法有效的增值税专用发票后__/__个工作日内，一次性将全部合同价款，即人民币        /    元（大写：人民币 __/__               元）支付至乙方指定的银行账户。</w:t>
      </w:r>
      <w:r>
        <w:br/>
      </w:r>
      <w:r>
        <w:rPr>
          <w:rFonts w:ascii="宋体" w:hAnsi="宋体" w:cs="宋体" w:eastAsia="宋体"/>
          <w:sz w:val="24"/>
        </w:rPr>
        <w:t xml:space="preserve"> （2）方式二：分期支付</w:t>
      </w:r>
      <w:r>
        <w:br/>
      </w:r>
      <w:r>
        <w:rPr>
          <w:rFonts w:ascii="宋体" w:hAnsi="宋体" w:cs="宋体" w:eastAsia="宋体"/>
          <w:sz w:val="24"/>
        </w:rPr>
        <w:t xml:space="preserve"> 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 xml:space="preserve"> （3）其他付款方式： 乙方负责将黄铜边废料发给甲方，甲方确认每批次黄铜边废料到货后，乙方开具全额  13%  增值税专用发票。</w:t>
      </w:r>
      <w:r>
        <w:br/>
      </w:r>
      <w:r>
        <w:rPr>
          <w:rFonts w:ascii="宋体" w:hAnsi="宋体" w:cs="宋体" w:eastAsia="宋体"/>
          <w:sz w:val="24"/>
        </w:rPr>
        <w:t xml:space="preserve"> 备注：边废料销售付款与黄铜带采购付款相关联，甲方不另付乙方边废料款。</w:t>
      </w:r>
    </w:p>
    <w:p>
      <w:pPr>
        <w:pStyle w:val="null3"/>
        <w:spacing w:before="255" w:after="255"/>
        <w:ind w:left="960"/>
      </w:pPr>
      <w:r>
        <w:rPr>
          <w:rFonts w:ascii="仿宋_gb2312" w:hAnsi="仿宋_gb2312" w:cs="仿宋_gb2312" w:eastAsia="仿宋_gb2312"/>
          <w:sz w:val="28"/>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756"/>
        <w:gridCol w:w="858"/>
        <w:gridCol w:w="756"/>
        <w:gridCol w:w="858"/>
        <w:gridCol w:w="756"/>
        <w:gridCol w:w="959"/>
        <w:gridCol w:w="756"/>
        <w:gridCol w:w="959"/>
        <w:gridCol w:w="1599"/>
      </w:tblGrid>
      <w:tr>
        <w:tc>
          <w:tcPr>
            <w:tcW w:type="dxa" w:w="16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6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15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p>
            <w:pPr>
              <w:pStyle w:val="null3"/>
              <w:spacing w:after="165"/>
              <w:jc w:val="center"/>
            </w:pPr>
            <w:r>
              <w:rPr>
                <w:rFonts w:ascii="仿宋_gb2312" w:hAnsi="仿宋_gb2312" w:cs="仿宋_gb2312" w:eastAsia="仿宋_gb2312"/>
                <w:sz w:val="24"/>
              </w:rPr>
              <w:t>（元</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1599"/>
            <w:vMerge/>
            <w:tcBorders>
              <w:top w:val="single" w:color="000000" w:sz="4"/>
              <w:left w:val="none" w:color="000000" w:sz="4"/>
              <w:bottom w:val="single" w:color="000000" w:sz="4"/>
              <w:right w:val="single" w:color="000000" w:sz="4"/>
            </w:tcBorders>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③</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④</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⑤</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⑥</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①*②+③*④+</w:t>
            </w:r>
          </w:p>
          <w:p>
            <w:pPr>
              <w:pStyle w:val="null3"/>
              <w:spacing w:after="165"/>
              <w:jc w:val="center"/>
            </w:pPr>
            <w:r>
              <w:rPr>
                <w:rFonts w:ascii="仿宋_gb2312" w:hAnsi="仿宋_gb2312" w:cs="仿宋_gb2312" w:eastAsia="仿宋_gb2312"/>
                <w:sz w:val="24"/>
              </w:rPr>
              <w:t>⑤*⑥+⑦*⑧</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right="120"/>
              <w:jc w:val="center"/>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rPr>
        <w:t>注：边废料结算时以实际发生数量为准。</w:t>
      </w:r>
      <w:r>
        <w:rPr>
          <w:rFonts w:ascii="仿宋_gb2312" w:hAnsi="仿宋_gb2312" w:cs="仿宋_gb2312" w:eastAsia="仿宋_gb2312"/>
          <w:sz w:val="28"/>
        </w:rPr>
        <w:t>各种有色金属价格由甲方根据订单签约当日锁定的长江有色金属现货市场上午各相应</w:t>
      </w:r>
      <w:r>
        <w:rPr>
          <w:rFonts w:ascii="宋体" w:hAnsi="宋体" w:cs="宋体" w:eastAsia="宋体"/>
          <w:sz w:val="28"/>
        </w:rPr>
        <w:t>1#</w:t>
      </w:r>
      <w:r>
        <w:rPr>
          <w:rFonts w:ascii="仿宋_gb2312" w:hAnsi="仿宋_gb2312" w:cs="仿宋_gb2312" w:eastAsia="仿宋_gb2312"/>
          <w:sz w:val="28"/>
        </w:rPr>
        <w:t>金属均价确定。黄铜边废料的化学成分与造币用黄铜带的化学成分相同。</w:t>
      </w:r>
      <w:r>
        <w:rPr>
          <w:rFonts w:ascii="仿宋_gb2312" w:hAnsi="仿宋_gb2312" w:cs="仿宋_gb2312" w:eastAsia="仿宋_gb2312"/>
          <w:sz w:val="28"/>
        </w:rPr>
        <w:t>销售金额：</w:t>
      </w:r>
      <w:r>
        <w:rPr>
          <w:rFonts w:ascii="仿宋_gb2312" w:hAnsi="仿宋_gb2312" w:cs="仿宋_gb2312" w:eastAsia="仿宋_gb2312"/>
          <w:sz w:val="28"/>
        </w:rPr>
        <w:t>XXXX.XX元（含13%增值税），其中不含税金额为</w:t>
      </w:r>
      <w:r>
        <w:rPr>
          <w:u w:val="single"/>
        </w:rPr>
        <w:t xml:space="preserve">         </w:t>
      </w:r>
      <w:r>
        <w:rPr>
          <w:rFonts w:ascii="仿宋_gb2312" w:hAnsi="仿宋_gb2312" w:cs="仿宋_gb2312" w:eastAsia="仿宋_gb2312"/>
          <w:sz w:val="28"/>
        </w:rPr>
        <w:t>元，增值税金额为</w:t>
      </w:r>
      <w:r>
        <w:rPr>
          <w:u w:val="single"/>
        </w:rPr>
        <w:t xml:space="preserve">      </w:t>
      </w:r>
      <w:r>
        <w:rPr>
          <w:rFonts w:ascii="仿宋_gb2312" w:hAnsi="仿宋_gb2312" w:cs="仿宋_gb2312" w:eastAsia="仿宋_gb2312"/>
          <w:sz w:val="28"/>
        </w:rPr>
        <w:t>元。</w:t>
      </w:r>
    </w:p>
    <w:p>
      <w:pPr>
        <w:pStyle w:val="null3"/>
        <w:spacing w:before="60"/>
      </w:pPr>
      <w:r>
        <w:rPr>
          <w:rFonts w:ascii="宋体" w:hAnsi="宋体" w:cs="宋体" w:eastAsia="宋体"/>
          <w:sz w:val="24"/>
        </w:rPr>
        <w:t>3.2甲方向乙方支付的合同价款通过银行转账方式进行支付。乙方的银行账号为：</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乙方对上述账号各项内容予以确认，如乙方账号发生变化的，应提前五（5）个工作日书面通知甲方。</w:t>
      </w:r>
      <w:r>
        <w:br/>
      </w:r>
      <w:r>
        <w:rPr>
          <w:rFonts w:ascii="宋体" w:hAnsi="宋体" w:cs="宋体" w:eastAsia="宋体"/>
          <w:sz w:val="24"/>
        </w:rPr>
        <w:t xml:space="preserve"> 甲方的开票信息如下：</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甲方对上述开票信息各项内容予以确认，如甲方信息发生变化的，应提前五（5）个工作日书面通知乙方。</w:t>
      </w:r>
      <w:r>
        <w:br/>
      </w:r>
      <w:r>
        <w:rPr>
          <w:rFonts w:ascii="宋体" w:hAnsi="宋体" w:cs="宋体" w:eastAsia="宋体"/>
          <w:sz w:val="24"/>
        </w:rPr>
        <w:t xml:space="preserve"> 第4条交货</w:t>
      </w:r>
      <w:r>
        <w:br/>
      </w:r>
      <w:r>
        <w:rPr>
          <w:rFonts w:ascii="宋体" w:hAnsi="宋体" w:cs="宋体" w:eastAsia="宋体"/>
          <w:sz w:val="24"/>
        </w:rPr>
        <w:t xml:space="preserve"> 4.1交货时间</w:t>
      </w:r>
      <w:r>
        <w:br/>
      </w:r>
      <w:r>
        <w:rPr>
          <w:rFonts w:ascii="宋体" w:hAnsi="宋体" w:cs="宋体" w:eastAsia="宋体"/>
          <w:sz w:val="24"/>
        </w:rPr>
        <w:t xml:space="preserve"> 乙方应当在发出带材书面订单之日起 10 个工作日内开始分批发货。除非乙方事先书面同意，甲方不得要求提前交货或延期交货。经乙方同意延迟交货的，甲方应在约定的交货之日前 5 个工作日以书面形式通知乙方。</w:t>
      </w:r>
      <w:r>
        <w:br/>
      </w:r>
      <w:r>
        <w:rPr>
          <w:rFonts w:ascii="宋体" w:hAnsi="宋体" w:cs="宋体" w:eastAsia="宋体"/>
          <w:sz w:val="24"/>
        </w:rPr>
        <w:t xml:space="preserve"> 4.2交货地点为           甲方生产地          ，除非乙方事先书面同意，甲方不得要求变更发货地点。经乙方同意变更交货地点的，甲方应当在约定的交货之日前  5  个工作日书面通知乙方。非因乙方原因将货物错发交货地点和/或接货人的，甲方可以要求乙方配合运送至双方重新约定的交货地点和/或接货人，但应由甲方承担因此导致的一切额外费用并承担重新运送过程中货物出现的损毁、丢失等风险。</w:t>
      </w:r>
      <w:r>
        <w:br/>
      </w:r>
      <w:r>
        <w:rPr>
          <w:rFonts w:ascii="宋体" w:hAnsi="宋体" w:cs="宋体" w:eastAsia="宋体"/>
          <w:sz w:val="24"/>
        </w:rPr>
        <w:t xml:space="preserve"> 第5条货物运输（包括装卸）及包装</w:t>
      </w:r>
      <w:r>
        <w:br/>
      </w:r>
      <w:r>
        <w:rPr>
          <w:rFonts w:ascii="宋体" w:hAnsi="宋体" w:cs="宋体" w:eastAsia="宋体"/>
          <w:sz w:val="24"/>
        </w:rPr>
        <w:t xml:space="preserve"> 5.1货物运输（包括装卸）、包装由乙方负责，费用由乙方承担。</w:t>
      </w:r>
      <w:r>
        <w:br/>
      </w:r>
      <w:r>
        <w:rPr>
          <w:rFonts w:ascii="宋体" w:hAnsi="宋体" w:cs="宋体" w:eastAsia="宋体"/>
          <w:sz w:val="24"/>
        </w:rPr>
        <w:t xml:space="preserve"> 5.2除本合同另有约定外，货物在运输（包括装卸）中出现损毁、丢失等风险由乙方承担。</w:t>
      </w:r>
      <w:r>
        <w:br/>
      </w:r>
      <w:r>
        <w:rPr>
          <w:rFonts w:ascii="宋体" w:hAnsi="宋体" w:cs="宋体" w:eastAsia="宋体"/>
          <w:sz w:val="24"/>
        </w:rPr>
        <w:t xml:space="preserve"> 5.3对于特殊物品（易燃、易爆、有毒物品及其他危险品和运输过程中对温度等环境因素和震动有特殊要求的货物或物品）必须特别标明其品名、性质、特殊保护措施、保存方法以及处理意外情况的方法。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 5.4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 xml:space="preserve"> 第6条验收</w:t>
      </w:r>
      <w:r>
        <w:br/>
      </w:r>
      <w:r>
        <w:rPr>
          <w:rFonts w:ascii="宋体" w:hAnsi="宋体" w:cs="宋体" w:eastAsia="宋体"/>
          <w:sz w:val="24"/>
        </w:rPr>
        <w:t xml:space="preserve"> 6.1甲方应在乙方将每批次货物运送到交货地点后应当立即进行验收，乙方明确表示不参与验收的，甲方可自行验收。自货物到货验收合格之日起，货物损毁、丢失等风险由甲方承担。</w:t>
      </w:r>
      <w:r>
        <w:br/>
      </w:r>
      <w:r>
        <w:rPr>
          <w:rFonts w:ascii="宋体" w:hAnsi="宋体" w:cs="宋体" w:eastAsia="宋体"/>
          <w:sz w:val="24"/>
        </w:rPr>
        <w:t xml:space="preserve"> 6.2若验收时发现货物的品种、规格、数量、质量包装等不符合本合同约定，甲方应在收到货物之日起  5  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宋体" w:hAnsi="宋体" w:cs="宋体" w:eastAsia="宋体"/>
          <w:sz w:val="24"/>
        </w:rPr>
        <w:t xml:space="preserve"> 6.3乙方确认甲方异议后，应当负责及时通过补发、调换或双方一致同意的其他方式处理，因乙方原因造成的额外费用由乙方承担。</w:t>
      </w:r>
      <w:r>
        <w:br/>
      </w:r>
      <w:r>
        <w:rPr>
          <w:rFonts w:ascii="宋体" w:hAnsi="宋体" w:cs="宋体" w:eastAsia="宋体"/>
          <w:sz w:val="24"/>
        </w:rPr>
        <w:t xml:space="preserve"> 6.4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宋体" w:hAnsi="宋体" w:cs="宋体" w:eastAsia="宋体"/>
          <w:sz w:val="24"/>
        </w:rPr>
        <w:t xml:space="preserve"> 6.5边废料的称差标准为千分之二，千分之二以内以发货方为准，超过千分之二以双方现场称重为准。</w:t>
      </w:r>
      <w:r>
        <w:br/>
      </w:r>
      <w:r>
        <w:rPr>
          <w:rFonts w:ascii="宋体" w:hAnsi="宋体" w:cs="宋体" w:eastAsia="宋体"/>
          <w:sz w:val="24"/>
        </w:rPr>
        <w:t xml:space="preserve"> 第7条质量条款</w:t>
      </w:r>
      <w:r>
        <w:br/>
      </w:r>
      <w:r>
        <w:rPr>
          <w:rFonts w:ascii="宋体" w:hAnsi="宋体" w:cs="宋体" w:eastAsia="宋体"/>
          <w:sz w:val="24"/>
        </w:rPr>
        <w:t xml:space="preserve"> 7.1货物及相关服务应符合中华人民共和国相应的国家标准或行业标准；如果中华人民共和国没有相关标准的，则采用货物来源国适用的官方标准。乙方保证其向甲方交付的货物均符合上述标准。</w:t>
      </w:r>
      <w:r>
        <w:br/>
      </w:r>
      <w:r>
        <w:rPr>
          <w:rFonts w:ascii="宋体" w:hAnsi="宋体" w:cs="宋体" w:eastAsia="宋体"/>
          <w:sz w:val="24"/>
        </w:rPr>
        <w:t xml:space="preserve"> 7.2若乙方交付的货物质量与本合同约定的不符，乙方应负责更换，如乙方拒绝更换或更换后的货物质量仍不能达到本合同约定标准、国家和行业标准的，甲方有权解除合同并有权要求乙方支付相应的违约金。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 xml:space="preserve"> 第8条所有权与风险转移</w:t>
      </w:r>
      <w:r>
        <w:br/>
      </w:r>
      <w:r>
        <w:rPr>
          <w:rFonts w:ascii="宋体" w:hAnsi="宋体" w:cs="宋体" w:eastAsia="宋体"/>
          <w:sz w:val="24"/>
        </w:rPr>
        <w:t xml:space="preserve"> 8.1除本合同另有约定外，货物损坏、灭失的风险在货物到货验收合格之日起由乙方转移至甲方承担。</w:t>
      </w:r>
      <w:r>
        <w:br/>
      </w:r>
      <w:r>
        <w:rPr>
          <w:rFonts w:ascii="宋体" w:hAnsi="宋体" w:cs="宋体" w:eastAsia="宋体"/>
          <w:sz w:val="24"/>
        </w:rPr>
        <w:t xml:space="preserve"> 8.2因乙方货物未能达到甲方要求导致甲方拒收的或者解除合同时，货物损坏、灭失的风险由乙方承担。</w:t>
      </w:r>
      <w:r>
        <w:br/>
      </w:r>
      <w:r>
        <w:rPr>
          <w:rFonts w:ascii="宋体" w:hAnsi="宋体" w:cs="宋体" w:eastAsia="宋体"/>
          <w:sz w:val="24"/>
        </w:rPr>
        <w:t xml:space="preserve"> 第9条违约责任</w:t>
      </w:r>
      <w:r>
        <w:br/>
      </w:r>
      <w:r>
        <w:rPr>
          <w:rFonts w:ascii="宋体" w:hAnsi="宋体" w:cs="宋体" w:eastAsia="宋体"/>
          <w:sz w:val="24"/>
        </w:rPr>
        <w:t xml:space="preserve"> 9.1甲方向乙方发出书面发货通知并经乙方确认生产后，甲方变更货物数量、规格、型号等要素或者要求终止订单的，构成严重违约。乙方有权要求甲方按本合同价款总金额的 1  %支付违约金，如违约金不足以赔偿乙方因此造成的损失，甲方应当予以赔偿。</w:t>
      </w:r>
      <w:r>
        <w:br/>
      </w:r>
      <w:r>
        <w:rPr>
          <w:rFonts w:ascii="宋体" w:hAnsi="宋体" w:cs="宋体" w:eastAsia="宋体"/>
          <w:sz w:val="24"/>
        </w:rPr>
        <w:t xml:space="preserve"> 9.2甲方未按本合同约定的付款期限支付合同价款的，应从逾期之日起每日按本合同价款总金额的  1 %向乙方支付违约金。如前述违约金不足以赔偿乙方因甲方违约造成的损失，甲方应当予以赔偿。</w:t>
      </w:r>
      <w:r>
        <w:br/>
      </w:r>
      <w:r>
        <w:rPr>
          <w:rFonts w:ascii="宋体" w:hAnsi="宋体" w:cs="宋体" w:eastAsia="宋体"/>
          <w:sz w:val="24"/>
        </w:rPr>
        <w:t xml:space="preserve"> 9.3乙方无正当理由未按本合同约定的交货时间交付货物的，或者交付的货物未能通过甲方验收，乙方应从逾期之日起每日按该批货物价值的 0.01  %向甲方支付违约金；逾期超过 10  个工作日的，甲方有权解除合同，要求乙方退回甲方已付合同价款。如前述违约金不足以赔偿甲方因乙方违约造成的直接经济损失，乙方应当予以赔偿。</w:t>
      </w:r>
      <w:r>
        <w:br/>
      </w:r>
      <w:r>
        <w:rPr>
          <w:rFonts w:ascii="宋体" w:hAnsi="宋体" w:cs="宋体" w:eastAsia="宋体"/>
          <w:sz w:val="24"/>
        </w:rPr>
        <w:t xml:space="preserve"> 9.4乙方交付货物不符合合同约定的品牌、质量缺陷、规格、数量等要求，甲方有权选择（1）要求乙方按合同约定更换、补交货物，因此导致逾期的，乙方应按第9.3条约定承担逾期违约责任；（2）要求解除合同，拒绝接受乙方交付。乙方除退回甲方已付合同价款外，还须向甲方支付本合同价款总金额  1 %的违约金。</w:t>
      </w:r>
      <w:r>
        <w:br/>
      </w:r>
      <w:r>
        <w:rPr>
          <w:rFonts w:ascii="宋体" w:hAnsi="宋体" w:cs="宋体" w:eastAsia="宋体"/>
          <w:sz w:val="24"/>
        </w:rPr>
        <w:t xml:space="preserve"> 9.5甲乙任意一方违反本合同其他约定条款的，除本合同另有约定外，应承担守约方为实现债权而支付的律师费、保全费、仲裁费、诉讼收费、公证费、鉴定费等合理开支。</w:t>
      </w:r>
      <w:r>
        <w:br/>
      </w:r>
      <w:r>
        <w:rPr>
          <w:rFonts w:ascii="宋体" w:hAnsi="宋体" w:cs="宋体" w:eastAsia="宋体"/>
          <w:sz w:val="24"/>
        </w:rPr>
        <w:t xml:space="preserve"> 9.6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 100 %的违约金；同时，乙方有权视情节轻重程度提出终止合同执行，或取消其下一轮次供应商资格；造成严重不良社会影响的，依法追究甲方法律责任。</w:t>
      </w:r>
      <w:r>
        <w:br/>
      </w:r>
      <w:r>
        <w:rPr>
          <w:rFonts w:ascii="宋体" w:hAnsi="宋体" w:cs="宋体" w:eastAsia="宋体"/>
          <w:sz w:val="24"/>
        </w:rPr>
        <w:t xml:space="preserve"> 第10条不可抗力</w:t>
      </w:r>
      <w:r>
        <w:br/>
      </w:r>
      <w:r>
        <w:rPr>
          <w:rFonts w:ascii="宋体" w:hAnsi="宋体" w:cs="宋体" w:eastAsia="宋体"/>
          <w:sz w:val="24"/>
        </w:rPr>
        <w:t xml:space="preserve"> 10.1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 xml:space="preserve"> 10.2受到不可抗力影响的一方应在不可抗力事故发生后，尽快将所发生的不可抗力事件的情况通知另一方，并在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 xml:space="preserve"> 10.3如双方对不可抗力事件的影响估计将延续到  10 个工作日以上时，双方应通过友好协商解决本合同的执行问题（包括交货、安装、验收等问题）。</w:t>
      </w:r>
      <w:r>
        <w:br/>
      </w:r>
      <w:r>
        <w:rPr>
          <w:rFonts w:ascii="宋体" w:hAnsi="宋体" w:cs="宋体" w:eastAsia="宋体"/>
          <w:sz w:val="24"/>
        </w:rPr>
        <w:t xml:space="preserve"> 第11条反商业贿赂</w:t>
      </w:r>
      <w:r>
        <w:br/>
      </w:r>
      <w:r>
        <w:rPr>
          <w:rFonts w:ascii="宋体" w:hAnsi="宋体" w:cs="宋体" w:eastAsia="宋体"/>
          <w:sz w:val="24"/>
        </w:rPr>
        <w:t xml:space="preserve"> 11.1双方同意反对不正当竞争，拒绝商业索贿、行贿、受贿。</w:t>
      </w:r>
      <w:r>
        <w:br/>
      </w:r>
      <w:r>
        <w:rPr>
          <w:rFonts w:ascii="宋体" w:hAnsi="宋体" w:cs="宋体" w:eastAsia="宋体"/>
          <w:sz w:val="24"/>
        </w:rPr>
        <w:t xml:space="preserve"> 11.2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1  %作为违约金。</w:t>
      </w:r>
      <w:r>
        <w:br/>
      </w:r>
      <w:r>
        <w:rPr>
          <w:rFonts w:ascii="宋体" w:hAnsi="宋体" w:cs="宋体" w:eastAsia="宋体"/>
          <w:sz w:val="24"/>
        </w:rPr>
        <w:t xml:space="preserve"> 11.3本合同无论由于何原因终止，在双方决定不再合作的情况下，任何一方如存在前述商业贿赂行为，仍应当承担相应违约责任。</w:t>
      </w:r>
      <w:r>
        <w:br/>
      </w:r>
      <w:r>
        <w:rPr>
          <w:rFonts w:ascii="宋体" w:hAnsi="宋体" w:cs="宋体" w:eastAsia="宋体"/>
          <w:sz w:val="24"/>
        </w:rPr>
        <w:t xml:space="preserve"> 第12条保密条款</w:t>
      </w:r>
      <w:r>
        <w:br/>
      </w:r>
      <w:r>
        <w:rPr>
          <w:rFonts w:ascii="宋体" w:hAnsi="宋体" w:cs="宋体" w:eastAsia="宋体"/>
          <w:sz w:val="24"/>
        </w:rPr>
        <w:t xml:space="preserve"> 12.1甲乙双方对在履行本合同过程中知悉的对方的商业秘密负有保密义务，但非因一方原因导致的公开或因司法程序的原因公开、政府机构的要求造成商业秘密公开的除外。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 xml:space="preserve"> 12.2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 xml:space="preserve"> 12.3本合同无论由于何原因终止，在双方决定不再合作的情况下，双方仍应对知悉的商业秘密负有保密义务。保密期限至甲方收到乙方出具的书面解密通知之日止。</w:t>
      </w:r>
      <w:r>
        <w:br/>
      </w:r>
      <w:r>
        <w:rPr>
          <w:rFonts w:ascii="宋体" w:hAnsi="宋体" w:cs="宋体" w:eastAsia="宋体"/>
          <w:sz w:val="24"/>
        </w:rPr>
        <w:t xml:space="preserve"> 12.4任何一方未经对方事先书面允许，不得将保密信息用于本合同之外的目的、向第三方披露、使用、许可他人使用或以其他任何方式侵犯对方的商业秘密，否则，应向对方支付本合同价款总金额的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 xml:space="preserve"> 第13条合同的变更、修改和补充</w:t>
      </w:r>
      <w:r>
        <w:br/>
      </w:r>
      <w:r>
        <w:rPr>
          <w:rFonts w:ascii="宋体" w:hAnsi="宋体" w:cs="宋体" w:eastAsia="宋体"/>
          <w:sz w:val="24"/>
        </w:rPr>
        <w:t xml:space="preserve"> 13.1合同（附件）中注明的原材料、供应商、规格、产地、牌号、数量等因客观原因确需变更的，乙方需事先书面提交甲方确认同意，因此引起的交货期延迟等影响，乙方不承担责任。</w:t>
      </w:r>
      <w:r>
        <w:br/>
      </w:r>
      <w:r>
        <w:rPr>
          <w:rFonts w:ascii="宋体" w:hAnsi="宋体" w:cs="宋体" w:eastAsia="宋体"/>
          <w:sz w:val="24"/>
        </w:rPr>
        <w:t xml:space="preserve"> 13.2在履行本合同的过程中如有未尽事宜，双方可以书面形式对本合同进行变更。附件、补充合同为本合同不可分割的一部分，与本合同具有同等法律效力。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 xml:space="preserve"> 第14条通知</w:t>
      </w:r>
      <w:r>
        <w:br/>
      </w:r>
      <w:r>
        <w:rPr>
          <w:rFonts w:ascii="宋体" w:hAnsi="宋体" w:cs="宋体" w:eastAsia="宋体"/>
          <w:sz w:val="24"/>
        </w:rPr>
        <w:t xml:space="preserve"> 14.1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 xml:space="preserve"> 14.2本合同项下的任何通知、报告或其他通信以及抄送给对方的副本，均应按本合同首页载明的注册地址、邮政编码、联系人、电话号码或双方根据本合同第14.3条书面形式通知对方的通讯地址或联络方式送达对方。</w:t>
      </w:r>
      <w:r>
        <w:br/>
      </w:r>
      <w:r>
        <w:rPr>
          <w:rFonts w:ascii="宋体" w:hAnsi="宋体" w:cs="宋体" w:eastAsia="宋体"/>
          <w:sz w:val="24"/>
        </w:rPr>
        <w:t xml:space="preserve"> 14.3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 xml:space="preserve"> 14.4双方确认，双方发生争议后，若不能协商达成一致意见，按第16条约定的方式向解决，人民法院或仲裁委员会按照14.2条或14.3条约定的方式进行送达的，双方不得提出异议。</w:t>
      </w:r>
      <w:r>
        <w:br/>
      </w:r>
      <w:r>
        <w:rPr>
          <w:rFonts w:ascii="宋体" w:hAnsi="宋体" w:cs="宋体" w:eastAsia="宋体"/>
          <w:sz w:val="24"/>
        </w:rPr>
        <w:t xml:space="preserve"> 第15条法律适用</w:t>
      </w:r>
      <w:r>
        <w:br/>
      </w:r>
      <w:r>
        <w:rPr>
          <w:rFonts w:ascii="宋体" w:hAnsi="宋体" w:cs="宋体" w:eastAsia="宋体"/>
          <w:sz w:val="24"/>
        </w:rPr>
        <w:t xml:space="preserve"> 15.1本合同的成立、生效、履行、解释、变更和终止等事项适用中华人民共和国的法律。</w:t>
      </w:r>
      <w:r>
        <w:br/>
      </w:r>
      <w:r>
        <w:rPr>
          <w:rFonts w:ascii="宋体" w:hAnsi="宋体" w:cs="宋体" w:eastAsia="宋体"/>
          <w:sz w:val="24"/>
        </w:rPr>
        <w:t xml:space="preserve"> 第16条争议解决</w:t>
      </w:r>
      <w:r>
        <w:br/>
      </w:r>
      <w:r>
        <w:rPr>
          <w:rFonts w:ascii="宋体" w:hAnsi="宋体" w:cs="宋体" w:eastAsia="宋体"/>
          <w:sz w:val="24"/>
        </w:rPr>
        <w:t xml:space="preserve"> 16.1双方在履行本合同中发生的争议，由双方协商解决。协商不成的，任何一方均有权按以下第   （1）   种方式解决：</w:t>
      </w:r>
      <w:r>
        <w:br/>
      </w:r>
      <w:r>
        <w:rPr>
          <w:rFonts w:ascii="宋体" w:hAnsi="宋体" w:cs="宋体" w:eastAsia="宋体"/>
          <w:sz w:val="24"/>
        </w:rPr>
        <w:t xml:space="preserve"> （1）向__乙方所在地___人民法院提起诉讼。诉讼费由败诉方承担。</w:t>
      </w:r>
      <w:r>
        <w:br/>
      </w:r>
      <w:r>
        <w:rPr>
          <w:rFonts w:ascii="宋体" w:hAnsi="宋体" w:cs="宋体" w:eastAsia="宋体"/>
          <w:sz w:val="24"/>
        </w:rPr>
        <w:t xml:space="preserve"> （2）提交    /    仲裁委员会进行仲裁。仲裁裁决是终局的，对双方均有约束力。仲裁费用由败诉方承担。</w:t>
      </w:r>
      <w:r>
        <w:br/>
      </w:r>
      <w:r>
        <w:rPr>
          <w:rFonts w:ascii="宋体" w:hAnsi="宋体" w:cs="宋体" w:eastAsia="宋体"/>
          <w:sz w:val="24"/>
        </w:rPr>
        <w:t xml:space="preserve"> 16.2守约方为实现本合同权利而支出的包括并不限于公告费、保全费、保函费、律师费、评估费等一切费用由违约方承担。</w:t>
      </w:r>
      <w:r>
        <w:br/>
      </w:r>
      <w:r>
        <w:rPr>
          <w:rFonts w:ascii="宋体" w:hAnsi="宋体" w:cs="宋体" w:eastAsia="宋体"/>
          <w:sz w:val="24"/>
        </w:rPr>
        <w:t xml:space="preserve"> 16.3除因争议事项导致本合同完全不能履行或双方协商一致同意在争议解决期间中止合同履行，在争议解决期间，除争议事项外，双方应在其他一切方面继续履行本合同。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 xml:space="preserve"> 第17条合同生效和终止</w:t>
      </w:r>
      <w:r>
        <w:br/>
      </w:r>
      <w:r>
        <w:rPr>
          <w:rFonts w:ascii="宋体" w:hAnsi="宋体" w:cs="宋体" w:eastAsia="宋体"/>
          <w:sz w:val="24"/>
        </w:rPr>
        <w:t xml:space="preserve"> 17.1本合同自双方法定代表人/授权代表的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 xml:space="preserve"> 17.2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 xml:space="preserve"> 17.3本合同有效期从合同生效之日起到甲乙双方货款两清之日止。部分条款对有效期限存在特殊约定的，按照相关条款约定执行。</w:t>
      </w:r>
      <w:r>
        <w:br/>
      </w:r>
      <w:r>
        <w:rPr>
          <w:rFonts w:ascii="宋体" w:hAnsi="宋体" w:cs="宋体" w:eastAsia="宋体"/>
          <w:sz w:val="24"/>
        </w:rPr>
        <w:t xml:space="preserve"> 第18条合同文本</w:t>
      </w:r>
      <w:r>
        <w:br/>
      </w:r>
      <w:r>
        <w:rPr>
          <w:rFonts w:ascii="宋体" w:hAnsi="宋体" w:cs="宋体" w:eastAsia="宋体"/>
          <w:sz w:val="24"/>
        </w:rPr>
        <w:t xml:space="preserve"> 18.1本合同一式 柒 份，甲方持   肆 份，乙方持  叁  份，各份合同均具有同等法律效力。</w:t>
      </w:r>
      <w:r>
        <w:br/>
      </w:r>
      <w:r>
        <w:rPr>
          <w:rFonts w:ascii="宋体" w:hAnsi="宋体" w:cs="宋体" w:eastAsia="宋体"/>
          <w:sz w:val="24"/>
        </w:rPr>
        <w:t xml:space="preserve"> 第19条其他事项</w:t>
      </w:r>
      <w:r>
        <w:br/>
      </w:r>
      <w:r>
        <w:rPr>
          <w:rFonts w:ascii="宋体" w:hAnsi="宋体" w:cs="宋体" w:eastAsia="宋体"/>
          <w:sz w:val="24"/>
        </w:rPr>
        <w:t xml:space="preserve"> 19.1本合同签署前形成的与本次交易相关的任何协议、合同或承诺如与本合同相冲突，均应以本合同为准。</w:t>
      </w:r>
      <w:r>
        <w:br/>
      </w:r>
      <w:r>
        <w:rPr>
          <w:rFonts w:ascii="宋体" w:hAnsi="宋体" w:cs="宋体" w:eastAsia="宋体"/>
          <w:sz w:val="24"/>
        </w:rPr>
        <w:t xml:space="preserve"> 19.2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 xml:space="preserve"> 19.3本合同中所有条款的标题仅为查阅方便，在任何情况下均不得被解释为本合同之组成部分，或构成对其所指示之条款的限制。</w:t>
      </w:r>
      <w:r>
        <w:br/>
      </w:r>
      <w:r>
        <w:rPr>
          <w:rFonts w:ascii="宋体" w:hAnsi="宋体" w:cs="宋体" w:eastAsia="宋体"/>
          <w:sz w:val="24"/>
        </w:rPr>
        <w:t xml:space="preserve"> 19.4本合同所填金额大小写不一致的，以大写金额为准。</w:t>
      </w:r>
      <w:r>
        <w:br/>
      </w:r>
      <w:r>
        <w:rPr>
          <w:rFonts w:ascii="宋体" w:hAnsi="宋体" w:cs="宋体" w:eastAsia="宋体"/>
          <w:sz w:val="24"/>
        </w:rPr>
        <w:t xml:space="preserve"> 附件：</w:t>
      </w:r>
      <w:r>
        <w:br/>
      </w:r>
      <w:r>
        <w:rPr>
          <w:rFonts w:ascii="宋体" w:hAnsi="宋体" w:cs="宋体" w:eastAsia="宋体"/>
          <w:sz w:val="24"/>
        </w:rPr>
        <w:t xml:space="preserve"> 1. 货物清单                             </w:t>
      </w:r>
      <w:r>
        <w:br/>
      </w:r>
      <w:r>
        <w:rPr>
          <w:rFonts w:ascii="宋体" w:hAnsi="宋体" w:cs="宋体" w:eastAsia="宋体"/>
          <w:sz w:val="24"/>
        </w:rPr>
        <w:t xml:space="preserve"> 2. 廉洁责任保证书                       </w:t>
      </w:r>
      <w:r>
        <w:br/>
      </w:r>
      <w:r>
        <w:rPr>
          <w:rFonts w:ascii="宋体" w:hAnsi="宋体" w:cs="宋体" w:eastAsia="宋体"/>
          <w:sz w:val="24"/>
        </w:rPr>
        <w:t xml:space="preserve"> 3. 保密承诺书                           </w:t>
      </w:r>
      <w:r>
        <w:br/>
      </w:r>
      <w:r>
        <w:rPr>
          <w:rFonts w:ascii="宋体" w:hAnsi="宋体" w:cs="宋体" w:eastAsia="宋体"/>
          <w:sz w:val="24"/>
        </w:rPr>
        <w:t xml:space="preserve"> 4. 廉洁交往告知书                       </w:t>
      </w:r>
      <w:r>
        <w:br/>
      </w:r>
      <w:r>
        <w:rPr>
          <w:rFonts w:ascii="宋体" w:hAnsi="宋体" w:cs="宋体" w:eastAsia="宋体"/>
          <w:sz w:val="24"/>
        </w:rPr>
        <w:t xml:space="preserve"> （以下无正文）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黄铜边料</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黄铜碎屑</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jc w:val="left"/>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