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ind w:left="420" w:hanging="420"/>
        <w:jc w:val="center"/>
        <w:rPr>
          <w:rFonts w:hint="eastAsia" w:ascii="宋体" w:hAnsi="宋体" w:cs="宋体"/>
          <w:b/>
          <w:sz w:val="44"/>
          <w:szCs w:val="44"/>
          <w:highlight w:val="none"/>
          <w:lang w:bidi="ar"/>
        </w:rPr>
      </w:pPr>
    </w:p>
    <w:p>
      <w:pPr>
        <w:autoSpaceDE w:val="0"/>
        <w:autoSpaceDN w:val="0"/>
        <w:ind w:left="420" w:hanging="420"/>
        <w:jc w:val="center"/>
        <w:rPr>
          <w:rFonts w:hint="eastAsia" w:ascii="宋体" w:hAnsi="宋体" w:cs="宋体"/>
          <w:b/>
          <w:sz w:val="44"/>
          <w:szCs w:val="44"/>
          <w:highlight w:val="none"/>
          <w:lang w:bidi="ar"/>
        </w:rPr>
      </w:pPr>
    </w:p>
    <w:p>
      <w:pPr>
        <w:autoSpaceDE w:val="0"/>
        <w:autoSpaceDN w:val="0"/>
        <w:ind w:left="420" w:hanging="420"/>
        <w:jc w:val="center"/>
        <w:rPr>
          <w:rFonts w:hint="eastAsia" w:ascii="宋体" w:hAnsi="宋体" w:cs="宋体"/>
          <w:b/>
          <w:sz w:val="44"/>
          <w:szCs w:val="44"/>
          <w:highlight w:val="none"/>
          <w:lang w:bidi="ar"/>
        </w:rPr>
      </w:pPr>
    </w:p>
    <w:p>
      <w:pPr>
        <w:autoSpaceDE w:val="0"/>
        <w:autoSpaceDN w:val="0"/>
        <w:ind w:left="420" w:hanging="420"/>
        <w:jc w:val="center"/>
        <w:rPr>
          <w:rFonts w:hint="eastAsia" w:ascii="宋体" w:hAnsi="宋体" w:cs="宋体"/>
          <w:b/>
          <w:sz w:val="44"/>
          <w:szCs w:val="44"/>
          <w:highlight w:val="none"/>
          <w:lang w:bidi="ar"/>
        </w:rPr>
      </w:pPr>
    </w:p>
    <w:p>
      <w:pPr>
        <w:autoSpaceDE w:val="0"/>
        <w:autoSpaceDN w:val="0"/>
        <w:ind w:left="420" w:hanging="420"/>
        <w:jc w:val="center"/>
        <w:rPr>
          <w:rFonts w:hint="eastAsia" w:ascii="宋体" w:hAnsi="宋体" w:cs="宋体"/>
          <w:b/>
          <w:sz w:val="44"/>
          <w:szCs w:val="44"/>
          <w:highlight w:val="none"/>
          <w:lang w:bidi="ar"/>
        </w:rPr>
      </w:pPr>
    </w:p>
    <w:p>
      <w:pPr>
        <w:autoSpaceDE w:val="0"/>
        <w:autoSpaceDN w:val="0"/>
        <w:ind w:left="420" w:hanging="420"/>
        <w:jc w:val="center"/>
        <w:rPr>
          <w:rFonts w:ascii="宋体" w:hAnsi="Calibri" w:cs="宋体"/>
          <w:b/>
          <w:sz w:val="44"/>
          <w:szCs w:val="44"/>
          <w:highlight w:val="none"/>
        </w:rPr>
      </w:pPr>
      <w:r>
        <w:rPr>
          <w:rFonts w:hint="eastAsia" w:ascii="宋体" w:hAnsi="宋体" w:cs="宋体"/>
          <w:b/>
          <w:sz w:val="44"/>
          <w:szCs w:val="44"/>
          <w:highlight w:val="none"/>
          <w:lang w:bidi="ar"/>
        </w:rPr>
        <w:t>中国人民银行征信中心2</w:t>
      </w:r>
      <w:r>
        <w:rPr>
          <w:rFonts w:ascii="宋体" w:hAnsi="宋体" w:cs="宋体"/>
          <w:b/>
          <w:sz w:val="44"/>
          <w:szCs w:val="44"/>
          <w:highlight w:val="none"/>
          <w:lang w:bidi="ar"/>
        </w:rPr>
        <w:t>02</w:t>
      </w:r>
      <w:r>
        <w:rPr>
          <w:rFonts w:hint="eastAsia" w:ascii="宋体" w:hAnsi="宋体" w:cs="宋体"/>
          <w:b/>
          <w:sz w:val="44"/>
          <w:szCs w:val="44"/>
          <w:highlight w:val="none"/>
          <w:lang w:bidi="ar"/>
        </w:rPr>
        <w:t>6</w:t>
      </w:r>
      <w:r>
        <w:rPr>
          <w:rFonts w:ascii="宋体" w:hAnsi="宋体" w:cs="宋体"/>
          <w:b/>
          <w:sz w:val="44"/>
          <w:szCs w:val="44"/>
          <w:highlight w:val="none"/>
          <w:lang w:bidi="ar"/>
        </w:rPr>
        <w:t>年</w:t>
      </w:r>
      <w:r>
        <w:rPr>
          <w:rFonts w:hint="eastAsia" w:ascii="宋体" w:hAnsi="宋体" w:cs="宋体"/>
          <w:b/>
          <w:sz w:val="44"/>
          <w:szCs w:val="44"/>
          <w:highlight w:val="none"/>
          <w:lang w:bidi="ar"/>
        </w:rPr>
        <w:t>主机、存储及网络等软硬件设备维保服务采购项目合同</w:t>
      </w:r>
    </w:p>
    <w:p>
      <w:pPr>
        <w:autoSpaceDE w:val="0"/>
        <w:autoSpaceDN w:val="0"/>
        <w:ind w:left="420" w:hanging="420"/>
        <w:jc w:val="center"/>
        <w:rPr>
          <w:rFonts w:ascii="宋体" w:hAnsi="Calibri" w:cs="宋体"/>
          <w:b/>
          <w:sz w:val="44"/>
          <w:szCs w:val="44"/>
          <w:highlight w:val="none"/>
        </w:rPr>
      </w:pPr>
    </w:p>
    <w:p>
      <w:pPr>
        <w:autoSpaceDE w:val="0"/>
        <w:autoSpaceDN w:val="0"/>
        <w:ind w:left="420" w:hanging="420"/>
        <w:jc w:val="center"/>
        <w:rPr>
          <w:rFonts w:hint="default" w:ascii="宋体" w:hAnsi="Calibri" w:eastAsia="宋体" w:cs="宋体"/>
          <w:b/>
          <w:sz w:val="44"/>
          <w:szCs w:val="44"/>
          <w:highlight w:val="none"/>
          <w:lang w:val="en-US" w:eastAsia="zh-CN" w:bidi="ar"/>
        </w:rPr>
      </w:pPr>
      <w:r>
        <w:rPr>
          <w:rFonts w:hint="eastAsia" w:ascii="宋体" w:hAnsi="宋体" w:cs="宋体"/>
          <w:b/>
          <w:sz w:val="44"/>
          <w:szCs w:val="44"/>
          <w:highlight w:val="none"/>
          <w:lang w:bidi="ar"/>
        </w:rPr>
        <w:t>合同编号：</w:t>
      </w:r>
      <w:r>
        <w:rPr>
          <w:rFonts w:hint="eastAsia" w:ascii="宋体" w:hAnsi="Calibri" w:cs="宋体"/>
          <w:b/>
          <w:sz w:val="44"/>
          <w:szCs w:val="44"/>
          <w:highlight w:val="none"/>
          <w:lang w:bidi="ar"/>
        </w:rPr>
        <w:t>ZXZX-2025-</w:t>
      </w:r>
      <w:r>
        <w:rPr>
          <w:rFonts w:hint="eastAsia" w:ascii="宋体" w:hAnsi="Calibri" w:cs="宋体"/>
          <w:b/>
          <w:sz w:val="44"/>
          <w:szCs w:val="44"/>
          <w:highlight w:val="none"/>
          <w:lang w:val="en-US" w:eastAsia="zh-CN" w:bidi="ar"/>
        </w:rPr>
        <w:t>0658</w:t>
      </w:r>
    </w:p>
    <w:p>
      <w:pPr>
        <w:autoSpaceDE w:val="0"/>
        <w:autoSpaceDN w:val="0"/>
        <w:ind w:left="420" w:hanging="420"/>
        <w:rPr>
          <w:rFonts w:ascii="宋体" w:hAnsi="Calibri" w:cs="宋体"/>
          <w:b/>
          <w:szCs w:val="24"/>
          <w:highlight w:val="none"/>
        </w:rPr>
      </w:pPr>
    </w:p>
    <w:p>
      <w:pPr>
        <w:autoSpaceDE w:val="0"/>
        <w:autoSpaceDN w:val="0"/>
        <w:ind w:left="420" w:hanging="420"/>
        <w:rPr>
          <w:rFonts w:ascii="宋体" w:hAnsi="Calibri" w:cs="宋体"/>
          <w:b/>
          <w:szCs w:val="24"/>
          <w:highlight w:val="none"/>
        </w:rPr>
      </w:pPr>
    </w:p>
    <w:p>
      <w:pPr>
        <w:autoSpaceDE w:val="0"/>
        <w:autoSpaceDN w:val="0"/>
        <w:ind w:left="420" w:hanging="420"/>
        <w:rPr>
          <w:rFonts w:ascii="宋体" w:hAnsi="Calibri" w:cs="宋体"/>
          <w:b/>
          <w:szCs w:val="24"/>
          <w:highlight w:val="none"/>
        </w:rPr>
      </w:pPr>
    </w:p>
    <w:p>
      <w:pPr>
        <w:autoSpaceDE w:val="0"/>
        <w:autoSpaceDN w:val="0"/>
        <w:ind w:left="420" w:hanging="420"/>
        <w:rPr>
          <w:rFonts w:ascii="宋体" w:hAnsi="Calibri" w:cs="宋体"/>
          <w:b/>
          <w:szCs w:val="24"/>
          <w:highlight w:val="none"/>
        </w:rPr>
      </w:pPr>
    </w:p>
    <w:p>
      <w:pPr>
        <w:autoSpaceDE w:val="0"/>
        <w:autoSpaceDN w:val="0"/>
        <w:ind w:left="420" w:hanging="420"/>
        <w:rPr>
          <w:rFonts w:ascii="宋体" w:hAnsi="Calibri" w:cs="宋体"/>
          <w:b/>
          <w:szCs w:val="24"/>
          <w:highlight w:val="none"/>
        </w:rPr>
      </w:pPr>
    </w:p>
    <w:p>
      <w:pPr>
        <w:autoSpaceDE w:val="0"/>
        <w:autoSpaceDN w:val="0"/>
        <w:rPr>
          <w:rFonts w:ascii="宋体" w:hAnsi="Calibri" w:cs="宋体"/>
          <w:b/>
          <w:szCs w:val="24"/>
          <w:highlight w:val="none"/>
        </w:rPr>
      </w:pPr>
    </w:p>
    <w:p>
      <w:pPr>
        <w:autoSpaceDE w:val="0"/>
        <w:autoSpaceDN w:val="0"/>
        <w:ind w:left="420" w:hanging="420"/>
        <w:rPr>
          <w:rFonts w:ascii="宋体" w:hAnsi="Calibri" w:cs="宋体"/>
          <w:b/>
          <w:szCs w:val="24"/>
          <w:highlight w:val="none"/>
        </w:rPr>
      </w:pPr>
    </w:p>
    <w:p>
      <w:pPr>
        <w:autoSpaceDE w:val="0"/>
        <w:autoSpaceDN w:val="0"/>
        <w:rPr>
          <w:rFonts w:ascii="宋体" w:hAnsi="Calibri" w:cs="宋体"/>
          <w:b/>
          <w:szCs w:val="24"/>
          <w:highlight w:val="none"/>
        </w:rPr>
      </w:pPr>
    </w:p>
    <w:p>
      <w:pPr>
        <w:autoSpaceDE w:val="0"/>
        <w:autoSpaceDN w:val="0"/>
        <w:jc w:val="center"/>
        <w:rPr>
          <w:rFonts w:ascii="宋体" w:hAnsi="Calibri" w:cs="宋体"/>
          <w:b/>
          <w:szCs w:val="24"/>
          <w:highlight w:val="none"/>
        </w:rPr>
      </w:pPr>
      <w:r>
        <w:rPr>
          <w:rFonts w:hint="eastAsia" w:ascii="宋体" w:hAnsi="宋体" w:cs="宋体"/>
          <w:b/>
          <w:szCs w:val="24"/>
          <w:highlight w:val="none"/>
          <w:lang w:bidi="ar"/>
        </w:rPr>
        <w:t>甲方：中国人民银行征信中心</w:t>
      </w:r>
    </w:p>
    <w:p>
      <w:pPr>
        <w:autoSpaceDE w:val="0"/>
        <w:autoSpaceDN w:val="0"/>
        <w:jc w:val="center"/>
        <w:rPr>
          <w:rFonts w:ascii="宋体" w:hAnsi="Calibri" w:cs="宋体"/>
          <w:b/>
          <w:szCs w:val="24"/>
          <w:highlight w:val="none"/>
        </w:rPr>
      </w:pPr>
    </w:p>
    <w:p>
      <w:pPr>
        <w:autoSpaceDE w:val="0"/>
        <w:autoSpaceDN w:val="0"/>
        <w:ind w:firstLine="3373" w:firstLineChars="1400"/>
        <w:rPr>
          <w:rFonts w:ascii="宋体" w:hAnsi="Calibri" w:cs="宋体"/>
          <w:b/>
          <w:szCs w:val="24"/>
          <w:highlight w:val="none"/>
        </w:rPr>
      </w:pPr>
      <w:r>
        <w:rPr>
          <w:rFonts w:hint="eastAsia" w:ascii="宋体" w:hAnsi="宋体" w:cs="宋体"/>
          <w:b/>
          <w:szCs w:val="24"/>
          <w:highlight w:val="none"/>
          <w:lang w:bidi="ar"/>
        </w:rPr>
        <w:t>乙方：东华软件股份公司</w:t>
      </w:r>
    </w:p>
    <w:p>
      <w:pPr>
        <w:autoSpaceDE w:val="0"/>
        <w:autoSpaceDN w:val="0"/>
        <w:ind w:left="420" w:hanging="420"/>
        <w:jc w:val="center"/>
        <w:rPr>
          <w:rFonts w:ascii="宋体" w:hAnsi="Calibri" w:cs="宋体"/>
          <w:b/>
          <w:szCs w:val="24"/>
          <w:highlight w:val="none"/>
        </w:rPr>
      </w:pPr>
    </w:p>
    <w:p>
      <w:pPr>
        <w:autoSpaceDE w:val="0"/>
        <w:autoSpaceDN w:val="0"/>
        <w:ind w:left="420" w:hanging="420"/>
        <w:jc w:val="center"/>
        <w:rPr>
          <w:rFonts w:ascii="宋体" w:hAnsi="Calibri" w:cs="宋体"/>
          <w:b/>
          <w:szCs w:val="24"/>
          <w:highlight w:val="none"/>
        </w:rPr>
      </w:pPr>
    </w:p>
    <w:p>
      <w:pPr>
        <w:autoSpaceDE w:val="0"/>
        <w:autoSpaceDN w:val="0"/>
        <w:ind w:left="420" w:hanging="420"/>
        <w:jc w:val="center"/>
        <w:rPr>
          <w:rFonts w:ascii="宋体" w:hAnsi="Calibri" w:cs="宋体"/>
          <w:b/>
          <w:szCs w:val="24"/>
          <w:highlight w:val="none"/>
        </w:rPr>
      </w:pPr>
    </w:p>
    <w:p>
      <w:pPr>
        <w:autoSpaceDE w:val="0"/>
        <w:autoSpaceDN w:val="0"/>
        <w:ind w:left="420" w:hanging="420"/>
        <w:jc w:val="center"/>
        <w:rPr>
          <w:rFonts w:ascii="宋体" w:hAnsi="Calibri" w:cs="宋体"/>
          <w:b/>
          <w:szCs w:val="24"/>
          <w:highlight w:val="none"/>
        </w:rPr>
      </w:pPr>
    </w:p>
    <w:p>
      <w:pPr>
        <w:widowControl/>
        <w:jc w:val="center"/>
        <w:rPr>
          <w:rFonts w:ascii="宋体" w:hAnsi="Calibri" w:cs="宋体"/>
          <w:b/>
          <w:szCs w:val="24"/>
          <w:highlight w:val="none"/>
        </w:rPr>
      </w:pPr>
      <w:r>
        <w:rPr>
          <w:rFonts w:hint="eastAsia" w:ascii="宋体" w:hAnsi="宋体" w:cs="宋体"/>
          <w:b/>
          <w:szCs w:val="24"/>
          <w:highlight w:val="none"/>
          <w:lang w:bidi="ar"/>
        </w:rPr>
        <w:t>二〇二五年十二月</w:t>
      </w:r>
    </w:p>
    <w:p>
      <w:pPr>
        <w:jc w:val="center"/>
        <w:rPr>
          <w:rFonts w:hint="eastAsia" w:ascii="宋体" w:hAnsi="宋体"/>
          <w:b/>
          <w:szCs w:val="24"/>
          <w:highlight w:val="none"/>
        </w:rPr>
      </w:pPr>
    </w:p>
    <w:p>
      <w:pPr>
        <w:jc w:val="center"/>
        <w:rPr>
          <w:rFonts w:hint="eastAsia" w:ascii="宋体" w:hAnsi="宋体"/>
          <w:b/>
          <w:szCs w:val="24"/>
          <w:highlight w:val="none"/>
        </w:rPr>
      </w:pPr>
    </w:p>
    <w:p>
      <w:pPr>
        <w:jc w:val="center"/>
        <w:rPr>
          <w:rFonts w:hint="eastAsia" w:ascii="宋体" w:hAnsi="宋体"/>
          <w:b/>
          <w:szCs w:val="24"/>
          <w:highlight w:val="none"/>
        </w:rPr>
      </w:pPr>
    </w:p>
    <w:p>
      <w:pPr>
        <w:jc w:val="center"/>
        <w:rPr>
          <w:rFonts w:ascii="Calibri" w:hAnsi="Calibri" w:eastAsia="黑体"/>
          <w:b/>
          <w:szCs w:val="24"/>
          <w:highlight w:val="none"/>
        </w:rPr>
      </w:pPr>
      <w:r>
        <w:rPr>
          <w:rFonts w:hint="eastAsia" w:ascii="宋体" w:hAnsi="宋体" w:cs="宋体"/>
          <w:b/>
          <w:szCs w:val="24"/>
          <w:highlight w:val="none"/>
          <w:lang w:bidi="ar"/>
        </w:rPr>
        <w:t>签订地点：上海</w:t>
      </w:r>
    </w:p>
    <w:p>
      <w:pPr>
        <w:autoSpaceDE w:val="0"/>
        <w:autoSpaceDN w:val="0"/>
        <w:jc w:val="center"/>
        <w:outlineLvl w:val="0"/>
        <w:rPr>
          <w:rFonts w:hint="eastAsia" w:ascii="宋体" w:hAnsi="宋体"/>
          <w:b/>
          <w:bCs/>
          <w:sz w:val="44"/>
          <w:szCs w:val="44"/>
          <w:highlight w:val="none"/>
        </w:rPr>
      </w:pPr>
    </w:p>
    <w:p>
      <w:pPr>
        <w:rPr>
          <w:highlight w:val="none"/>
        </w:rPr>
      </w:pPr>
    </w:p>
    <w:p>
      <w:pPr>
        <w:rPr>
          <w:highlight w:val="none"/>
        </w:rPr>
      </w:pPr>
    </w:p>
    <w:p>
      <w:pPr>
        <w:pStyle w:val="29"/>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甲方：中国人民银行征信中心</w:t>
      </w:r>
    </w:p>
    <w:p>
      <w:pPr>
        <w:pStyle w:val="29"/>
        <w:ind w:left="0" w:firstLine="480" w:firstLineChars="200"/>
        <w:rPr>
          <w:rFonts w:hint="eastAsia" w:ascii="宋体" w:hAnsi="宋体" w:eastAsia="宋体" w:cs="宋体"/>
          <w:highlight w:val="none"/>
        </w:rPr>
      </w:pPr>
      <w:r>
        <w:rPr>
          <w:rFonts w:hint="eastAsia" w:ascii="宋体" w:hAnsi="宋体" w:eastAsia="宋体" w:cs="宋体"/>
          <w:highlight w:val="none"/>
        </w:rPr>
        <w:t>法定代表人：</w:t>
      </w:r>
    </w:p>
    <w:p>
      <w:pPr>
        <w:pStyle w:val="29"/>
        <w:ind w:left="0" w:firstLine="480" w:firstLineChars="200"/>
        <w:rPr>
          <w:rFonts w:hint="eastAsia" w:ascii="宋体" w:hAnsi="宋体" w:eastAsia="宋体" w:cs="宋体"/>
          <w:highlight w:val="none"/>
        </w:rPr>
      </w:pPr>
      <w:r>
        <w:rPr>
          <w:rFonts w:hint="eastAsia" w:ascii="宋体" w:hAnsi="宋体" w:eastAsia="宋体" w:cs="宋体"/>
          <w:highlight w:val="none"/>
        </w:rPr>
        <w:t>地址：</w:t>
      </w:r>
    </w:p>
    <w:p>
      <w:pPr>
        <w:pStyle w:val="29"/>
        <w:ind w:left="0" w:firstLine="480" w:firstLineChars="200"/>
        <w:rPr>
          <w:rFonts w:hint="eastAsia" w:ascii="宋体" w:hAnsi="宋体" w:eastAsia="宋体" w:cs="宋体"/>
          <w:highlight w:val="none"/>
        </w:rPr>
      </w:pPr>
      <w:r>
        <w:rPr>
          <w:rFonts w:hint="eastAsia" w:ascii="宋体" w:hAnsi="宋体" w:eastAsia="宋体" w:cs="宋体"/>
          <w:highlight w:val="none"/>
        </w:rPr>
        <w:t>邮政编码：</w:t>
      </w:r>
    </w:p>
    <w:p>
      <w:pPr>
        <w:pStyle w:val="29"/>
        <w:ind w:left="0" w:firstLine="480" w:firstLineChars="200"/>
        <w:rPr>
          <w:rFonts w:hint="eastAsia" w:ascii="宋体" w:hAnsi="宋体" w:eastAsia="宋体" w:cs="宋体"/>
          <w:highlight w:val="none"/>
        </w:rPr>
      </w:pPr>
      <w:r>
        <w:rPr>
          <w:rFonts w:hint="eastAsia" w:ascii="宋体" w:hAnsi="宋体" w:eastAsia="宋体" w:cs="宋体"/>
          <w:highlight w:val="none"/>
        </w:rPr>
        <w:t>联系人：</w:t>
      </w:r>
    </w:p>
    <w:p>
      <w:pPr>
        <w:pStyle w:val="29"/>
        <w:ind w:left="0" w:firstLine="480" w:firstLineChars="200"/>
        <w:rPr>
          <w:rFonts w:hint="eastAsia" w:ascii="宋体" w:hAnsi="宋体" w:eastAsia="宋体" w:cs="宋体"/>
          <w:highlight w:val="none"/>
        </w:rPr>
      </w:pPr>
      <w:r>
        <w:rPr>
          <w:rFonts w:hint="eastAsia" w:ascii="宋体" w:hAnsi="宋体" w:eastAsia="宋体" w:cs="宋体"/>
          <w:highlight w:val="none"/>
        </w:rPr>
        <w:t>联系电话：</w:t>
      </w:r>
    </w:p>
    <w:p>
      <w:pPr>
        <w:pStyle w:val="29"/>
        <w:ind w:left="0" w:firstLine="480" w:firstLineChars="200"/>
        <w:rPr>
          <w:rFonts w:hint="eastAsia" w:ascii="宋体" w:hAnsi="宋体" w:eastAsia="宋体" w:cs="宋体"/>
          <w:highlight w:val="none"/>
        </w:rPr>
      </w:pPr>
      <w:r>
        <w:rPr>
          <w:rFonts w:hint="eastAsia" w:ascii="宋体" w:hAnsi="宋体" w:eastAsia="宋体" w:cs="宋体"/>
          <w:highlight w:val="none"/>
        </w:rPr>
        <w:t>开户银行：</w:t>
      </w:r>
    </w:p>
    <w:p>
      <w:pPr>
        <w:pStyle w:val="29"/>
        <w:ind w:left="0" w:firstLine="480" w:firstLineChars="200"/>
        <w:rPr>
          <w:rFonts w:hint="eastAsia" w:ascii="宋体" w:hAnsi="宋体" w:eastAsia="宋体" w:cs="宋体"/>
          <w:highlight w:val="none"/>
        </w:rPr>
      </w:pPr>
      <w:r>
        <w:rPr>
          <w:rFonts w:hint="eastAsia" w:ascii="宋体" w:hAnsi="宋体" w:eastAsia="宋体" w:cs="宋体"/>
          <w:highlight w:val="none"/>
        </w:rPr>
        <w:t>银行账号：</w:t>
      </w:r>
    </w:p>
    <w:p>
      <w:pPr>
        <w:spacing w:line="360" w:lineRule="auto"/>
        <w:rPr>
          <w:rFonts w:hint="eastAsia" w:ascii="宋体" w:hAnsi="宋体" w:cs="宋体"/>
          <w:b/>
          <w:szCs w:val="24"/>
          <w:highlight w:val="none"/>
        </w:rPr>
      </w:pPr>
    </w:p>
    <w:p>
      <w:pPr>
        <w:spacing w:line="360" w:lineRule="auto"/>
        <w:rPr>
          <w:rFonts w:hint="eastAsia" w:ascii="宋体" w:hAnsi="宋体" w:cs="宋体"/>
          <w:b/>
          <w:szCs w:val="24"/>
          <w:highlight w:val="none"/>
        </w:rPr>
      </w:pPr>
    </w:p>
    <w:p>
      <w:pPr>
        <w:pStyle w:val="27"/>
        <w:spacing w:line="360" w:lineRule="auto"/>
        <w:ind w:firstLine="482"/>
        <w:rPr>
          <w:rFonts w:hint="eastAsia" w:ascii="宋体" w:hAnsi="宋体" w:cs="宋体"/>
          <w:b/>
          <w:bCs/>
          <w:sz w:val="24"/>
          <w:szCs w:val="24"/>
          <w:highlight w:val="none"/>
        </w:rPr>
      </w:pPr>
      <w:r>
        <w:rPr>
          <w:rFonts w:hint="eastAsia" w:ascii="宋体" w:hAnsi="宋体" w:cs="宋体"/>
          <w:b/>
          <w:bCs/>
          <w:sz w:val="24"/>
          <w:szCs w:val="24"/>
          <w:highlight w:val="none"/>
        </w:rPr>
        <w:t>乙    方：</w:t>
      </w:r>
      <w:r>
        <w:rPr>
          <w:rFonts w:hint="eastAsia" w:ascii="宋体" w:hAnsi="宋体"/>
          <w:b/>
          <w:bCs/>
          <w:sz w:val="24"/>
          <w:szCs w:val="24"/>
          <w:highlight w:val="none"/>
        </w:rPr>
        <w:t>东华软件股份公司</w:t>
      </w:r>
    </w:p>
    <w:p>
      <w:pPr>
        <w:pStyle w:val="29"/>
        <w:rPr>
          <w:rFonts w:hint="eastAsia" w:ascii="宋体" w:hAnsi="宋体" w:eastAsia="宋体"/>
          <w:bCs/>
          <w:highlight w:val="none"/>
        </w:rPr>
      </w:pPr>
      <w:bookmarkStart w:id="0" w:name="_Hlk217036775"/>
      <w:r>
        <w:rPr>
          <w:rFonts w:hint="eastAsia" w:ascii="宋体" w:hAnsi="宋体" w:eastAsia="宋体"/>
          <w:bCs/>
          <w:highlight w:val="none"/>
        </w:rPr>
        <w:t>法定代表人：</w:t>
      </w:r>
      <w:bookmarkStart w:id="1" w:name="_Hlk217036792"/>
    </w:p>
    <w:bookmarkEnd w:id="1"/>
    <w:p>
      <w:pPr>
        <w:pStyle w:val="29"/>
        <w:rPr>
          <w:rFonts w:hint="eastAsia" w:ascii="宋体" w:hAnsi="宋体" w:eastAsia="宋体"/>
          <w:bCs/>
          <w:highlight w:val="none"/>
        </w:rPr>
      </w:pPr>
      <w:r>
        <w:rPr>
          <w:rFonts w:hint="eastAsia" w:ascii="宋体" w:hAnsi="宋体" w:eastAsia="宋体"/>
          <w:bCs/>
          <w:highlight w:val="none"/>
        </w:rPr>
        <w:t>地址：</w:t>
      </w:r>
    </w:p>
    <w:p>
      <w:pPr>
        <w:pStyle w:val="29"/>
        <w:rPr>
          <w:rFonts w:hint="eastAsia" w:ascii="宋体" w:hAnsi="宋体" w:eastAsia="宋体"/>
          <w:bCs/>
          <w:highlight w:val="none"/>
        </w:rPr>
      </w:pPr>
      <w:r>
        <w:rPr>
          <w:rFonts w:hint="eastAsia" w:ascii="宋体" w:hAnsi="宋体" w:eastAsia="宋体"/>
          <w:bCs/>
          <w:highlight w:val="none"/>
        </w:rPr>
        <w:t>邮政编码：</w:t>
      </w:r>
    </w:p>
    <w:p>
      <w:pPr>
        <w:pStyle w:val="29"/>
        <w:rPr>
          <w:rFonts w:hint="eastAsia" w:ascii="宋体" w:hAnsi="宋体" w:eastAsia="宋体"/>
          <w:bCs/>
          <w:highlight w:val="none"/>
        </w:rPr>
      </w:pPr>
      <w:r>
        <w:rPr>
          <w:rFonts w:hint="eastAsia" w:ascii="宋体" w:hAnsi="宋体" w:eastAsia="宋体"/>
          <w:bCs/>
          <w:highlight w:val="none"/>
        </w:rPr>
        <w:t>联系人：</w:t>
      </w:r>
    </w:p>
    <w:p>
      <w:pPr>
        <w:pStyle w:val="29"/>
        <w:rPr>
          <w:rFonts w:hint="eastAsia" w:ascii="宋体" w:hAnsi="宋体" w:eastAsia="宋体"/>
          <w:bCs/>
          <w:highlight w:val="none"/>
        </w:rPr>
      </w:pPr>
      <w:r>
        <w:rPr>
          <w:rFonts w:hint="eastAsia" w:ascii="宋体" w:hAnsi="宋体" w:eastAsia="宋体"/>
          <w:bCs/>
          <w:highlight w:val="none"/>
        </w:rPr>
        <w:t>联系电话：</w:t>
      </w:r>
    </w:p>
    <w:p>
      <w:pPr>
        <w:pStyle w:val="29"/>
        <w:rPr>
          <w:rFonts w:hint="eastAsia" w:ascii="宋体" w:hAnsi="宋体" w:eastAsia="宋体"/>
          <w:bCs/>
          <w:highlight w:val="none"/>
        </w:rPr>
      </w:pPr>
      <w:r>
        <w:rPr>
          <w:rFonts w:hint="eastAsia" w:ascii="宋体" w:hAnsi="宋体" w:eastAsia="宋体"/>
          <w:bCs/>
          <w:highlight w:val="none"/>
        </w:rPr>
        <w:t>传真号码：</w:t>
      </w:r>
    </w:p>
    <w:p>
      <w:pPr>
        <w:pStyle w:val="29"/>
        <w:rPr>
          <w:rFonts w:hint="eastAsia" w:ascii="宋体" w:hAnsi="宋体" w:eastAsia="宋体"/>
          <w:bCs/>
          <w:highlight w:val="none"/>
        </w:rPr>
      </w:pPr>
      <w:r>
        <w:rPr>
          <w:rFonts w:hint="eastAsia" w:ascii="宋体" w:hAnsi="宋体" w:eastAsia="宋体"/>
          <w:bCs/>
          <w:highlight w:val="none"/>
        </w:rPr>
        <w:t>开户银行：</w:t>
      </w:r>
    </w:p>
    <w:p>
      <w:pPr>
        <w:pStyle w:val="29"/>
        <w:rPr>
          <w:rFonts w:hint="eastAsia" w:ascii="宋体" w:hAnsi="宋体" w:eastAsia="宋体"/>
          <w:bCs/>
          <w:highlight w:val="none"/>
        </w:rPr>
      </w:pPr>
      <w:r>
        <w:rPr>
          <w:rFonts w:hint="eastAsia" w:ascii="宋体" w:hAnsi="宋体" w:eastAsia="宋体"/>
          <w:bCs/>
          <w:highlight w:val="none"/>
        </w:rPr>
        <w:t>银行账号：</w:t>
      </w:r>
    </w:p>
    <w:p>
      <w:pPr>
        <w:pStyle w:val="29"/>
        <w:rPr>
          <w:rFonts w:hint="eastAsia" w:ascii="宋体" w:hAnsi="宋体" w:eastAsia="宋体"/>
          <w:bCs/>
          <w:highlight w:val="none"/>
        </w:rPr>
      </w:pPr>
      <w:r>
        <w:rPr>
          <w:rFonts w:hint="eastAsia" w:ascii="宋体" w:hAnsi="宋体" w:eastAsia="宋体"/>
          <w:bCs/>
          <w:highlight w:val="none"/>
        </w:rPr>
        <w:t>税号：</w:t>
      </w:r>
    </w:p>
    <w:bookmarkEnd w:id="0"/>
    <w:p>
      <w:pPr>
        <w:pStyle w:val="27"/>
        <w:spacing w:line="360" w:lineRule="auto"/>
        <w:ind w:firstLine="0"/>
        <w:rPr>
          <w:rFonts w:hint="eastAsia" w:ascii="宋体" w:hAnsi="宋体" w:cs="宋体"/>
          <w:sz w:val="24"/>
          <w:szCs w:val="24"/>
          <w:highlight w:val="none"/>
        </w:rPr>
      </w:pPr>
    </w:p>
    <w:p>
      <w:pPr>
        <w:autoSpaceDE w:val="0"/>
        <w:autoSpaceDN w:val="0"/>
        <w:spacing w:line="360" w:lineRule="auto"/>
        <w:ind w:firstLine="480"/>
        <w:rPr>
          <w:rFonts w:hint="eastAsia" w:ascii="宋体" w:hAnsi="宋体" w:cs="宋体"/>
          <w:szCs w:val="24"/>
          <w:highlight w:val="none"/>
          <w:lang w:bidi="ar"/>
        </w:rPr>
        <w:sectPr>
          <w:footerReference r:id="rId7" w:type="first"/>
          <w:footerReference r:id="rId5" w:type="default"/>
          <w:footerReference r:id="rId6" w:type="even"/>
          <w:pgSz w:w="11906" w:h="16838"/>
          <w:pgMar w:top="1588" w:right="1021" w:bottom="1474" w:left="1021" w:header="851" w:footer="992" w:gutter="340"/>
          <w:cols w:space="720" w:num="1"/>
          <w:docGrid w:linePitch="312" w:charSpace="0"/>
        </w:sectPr>
      </w:pPr>
    </w:p>
    <w:p>
      <w:pPr>
        <w:autoSpaceDE w:val="0"/>
        <w:autoSpaceDN w:val="0"/>
        <w:spacing w:line="360" w:lineRule="auto"/>
        <w:ind w:firstLine="480"/>
        <w:rPr>
          <w:rFonts w:hint="eastAsia" w:ascii="宋体" w:hAnsi="宋体" w:cs="宋体"/>
          <w:szCs w:val="24"/>
          <w:highlight w:val="none"/>
        </w:rPr>
      </w:pPr>
      <w:r>
        <w:rPr>
          <w:rFonts w:hint="eastAsia" w:ascii="宋体" w:hAnsi="宋体" w:cs="宋体"/>
          <w:szCs w:val="24"/>
          <w:highlight w:val="none"/>
          <w:lang w:bidi="ar"/>
        </w:rPr>
        <w:t>甲乙双方依据“中国人民银行征信中心2026年主机、存储及网络等软硬件设备维保服务采购项目（项目编号：2306089082）招标结果，本着自愿、平等、互利、诚实信用的原则，通过友好协商，现授权各自代表按照下述条款签署本合同。</w:t>
      </w:r>
    </w:p>
    <w:p>
      <w:pPr>
        <w:spacing w:before="120" w:beforeLines="50" w:line="360" w:lineRule="auto"/>
        <w:jc w:val="center"/>
        <w:outlineLvl w:val="1"/>
        <w:rPr>
          <w:rFonts w:hint="eastAsia" w:ascii="宋体" w:hAnsi="宋体" w:cs="宋体"/>
          <w:b/>
          <w:sz w:val="28"/>
          <w:szCs w:val="28"/>
          <w:highlight w:val="none"/>
          <w:lang w:bidi="ar"/>
        </w:rPr>
      </w:pPr>
      <w:r>
        <w:rPr>
          <w:rFonts w:hint="eastAsia" w:ascii="宋体" w:hAnsi="宋体" w:cs="宋体"/>
          <w:b/>
          <w:sz w:val="28"/>
          <w:szCs w:val="28"/>
          <w:highlight w:val="none"/>
          <w:lang w:bidi="ar"/>
        </w:rPr>
        <w:t>第一部分 合同的组成</w:t>
      </w:r>
    </w:p>
    <w:p>
      <w:pPr>
        <w:autoSpaceDE w:val="0"/>
        <w:autoSpaceDN w:val="0"/>
        <w:spacing w:line="360" w:lineRule="auto"/>
        <w:ind w:left="562"/>
        <w:rPr>
          <w:rFonts w:hint="eastAsia" w:ascii="宋体" w:hAnsi="宋体" w:cs="宋体"/>
          <w:b/>
          <w:szCs w:val="24"/>
          <w:highlight w:val="none"/>
        </w:rPr>
      </w:pPr>
      <w:r>
        <w:rPr>
          <w:rFonts w:hint="eastAsia" w:ascii="宋体" w:hAnsi="宋体" w:cs="宋体"/>
          <w:szCs w:val="24"/>
          <w:highlight w:val="none"/>
          <w:lang w:bidi="ar"/>
        </w:rPr>
        <w:t>1.1下述文件是构成本合同不可分割的部分:</w:t>
      </w:r>
    </w:p>
    <w:p>
      <w:pPr>
        <w:autoSpaceDE w:val="0"/>
        <w:autoSpaceDN w:val="0"/>
        <w:spacing w:line="360" w:lineRule="auto"/>
        <w:ind w:left="480"/>
        <w:rPr>
          <w:rFonts w:hint="eastAsia" w:ascii="宋体" w:hAnsi="宋体" w:cs="宋体"/>
          <w:szCs w:val="24"/>
          <w:highlight w:val="none"/>
        </w:rPr>
      </w:pPr>
      <w:r>
        <w:rPr>
          <w:rFonts w:hint="eastAsia" w:ascii="宋体" w:hAnsi="宋体" w:cs="宋体"/>
          <w:szCs w:val="24"/>
          <w:highlight w:val="none"/>
          <w:lang w:bidi="ar"/>
        </w:rPr>
        <w:t>（1）本合同条款及其所有附件；</w:t>
      </w:r>
    </w:p>
    <w:p>
      <w:pPr>
        <w:autoSpaceDE w:val="0"/>
        <w:autoSpaceDN w:val="0"/>
        <w:spacing w:line="360" w:lineRule="auto"/>
        <w:ind w:firstLine="480"/>
        <w:jc w:val="left"/>
        <w:rPr>
          <w:rFonts w:hint="eastAsia" w:ascii="宋体" w:hAnsi="宋体" w:cs="宋体"/>
          <w:szCs w:val="24"/>
          <w:highlight w:val="none"/>
        </w:rPr>
      </w:pPr>
      <w:r>
        <w:rPr>
          <w:rFonts w:hint="eastAsia" w:ascii="宋体" w:hAnsi="宋体" w:cs="宋体"/>
          <w:szCs w:val="24"/>
          <w:highlight w:val="none"/>
          <w:lang w:bidi="ar"/>
        </w:rPr>
        <w:t>（2）甲方的招标文件及澄清文件；</w:t>
      </w:r>
    </w:p>
    <w:p>
      <w:pPr>
        <w:autoSpaceDE w:val="0"/>
        <w:autoSpaceDN w:val="0"/>
        <w:spacing w:line="360" w:lineRule="auto"/>
        <w:ind w:firstLine="480"/>
        <w:jc w:val="left"/>
        <w:rPr>
          <w:rFonts w:hint="eastAsia" w:ascii="宋体" w:hAnsi="宋体" w:cs="宋体"/>
          <w:szCs w:val="24"/>
          <w:highlight w:val="none"/>
        </w:rPr>
      </w:pPr>
      <w:r>
        <w:rPr>
          <w:rFonts w:hint="eastAsia" w:ascii="宋体" w:hAnsi="宋体" w:cs="宋体"/>
          <w:szCs w:val="24"/>
          <w:highlight w:val="none"/>
          <w:lang w:bidi="ar"/>
        </w:rPr>
        <w:t>（3）乙方的投标文件及质疑解答文件；</w:t>
      </w:r>
    </w:p>
    <w:p>
      <w:pPr>
        <w:autoSpaceDE w:val="0"/>
        <w:autoSpaceDN w:val="0"/>
        <w:spacing w:line="360" w:lineRule="auto"/>
        <w:ind w:firstLine="480"/>
        <w:rPr>
          <w:rFonts w:hint="eastAsia" w:ascii="宋体" w:hAnsi="宋体" w:cs="宋体"/>
          <w:szCs w:val="24"/>
          <w:highlight w:val="none"/>
        </w:rPr>
      </w:pPr>
      <w:r>
        <w:rPr>
          <w:rFonts w:hint="eastAsia" w:ascii="宋体" w:hAnsi="宋体" w:cs="宋体"/>
          <w:szCs w:val="24"/>
          <w:highlight w:val="none"/>
          <w:lang w:bidi="ar"/>
        </w:rPr>
        <w:t>（4）中标通知书；</w:t>
      </w:r>
    </w:p>
    <w:p>
      <w:pPr>
        <w:autoSpaceDE w:val="0"/>
        <w:autoSpaceDN w:val="0"/>
        <w:spacing w:line="360" w:lineRule="auto"/>
        <w:ind w:firstLine="480"/>
        <w:rPr>
          <w:rFonts w:hint="eastAsia" w:ascii="宋体" w:hAnsi="宋体" w:cs="宋体"/>
          <w:szCs w:val="24"/>
          <w:highlight w:val="none"/>
        </w:rPr>
      </w:pPr>
      <w:r>
        <w:rPr>
          <w:rFonts w:hint="eastAsia" w:ascii="宋体" w:hAnsi="宋体" w:cs="宋体"/>
          <w:szCs w:val="24"/>
          <w:highlight w:val="none"/>
          <w:lang w:bidi="ar"/>
        </w:rPr>
        <w:t>（5）法定代表人授权书；</w:t>
      </w:r>
    </w:p>
    <w:p>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lang w:bidi="ar"/>
        </w:rPr>
        <w:t>（6）双方与合同有关的往来信函、传真，经双方法定代表人或其授权代表签字并加盖单位公章或合同专用章确认后，视为本合同的组成部分；</w:t>
      </w:r>
    </w:p>
    <w:p>
      <w:pPr>
        <w:autoSpaceDE w:val="0"/>
        <w:autoSpaceDN w:val="0"/>
        <w:spacing w:line="360" w:lineRule="auto"/>
        <w:ind w:firstLine="480"/>
        <w:rPr>
          <w:rFonts w:hint="eastAsia" w:ascii="宋体" w:hAnsi="宋体" w:cs="宋体"/>
          <w:szCs w:val="24"/>
          <w:highlight w:val="none"/>
        </w:rPr>
      </w:pPr>
      <w:r>
        <w:rPr>
          <w:rFonts w:hint="eastAsia" w:ascii="宋体" w:hAnsi="宋体" w:cs="宋体"/>
          <w:szCs w:val="24"/>
          <w:highlight w:val="none"/>
          <w:lang w:bidi="ar"/>
        </w:rPr>
        <w:t>（7）经双方法定代表人或其授权代表签字并加盖单位公章或合同专用章确认的补充协议。</w:t>
      </w:r>
    </w:p>
    <w:p>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lang w:bidi="ar"/>
        </w:rPr>
        <w:t>1.2如果乙方的投标文件及质疑解答文件内容违背或低于甲方招标文件要求或任何可能导致影响当次采购目的的情形，均应当被视为乙方自动放弃投标文件及质疑解答文件中相应部分而同意以招标文件相应内容为准。如果乙方的投标文件及质疑解答文件内容高于甲方招标文件要求，则以乙方的投标文件及质疑解答文件内容为准。如果合同条款与合同附件有矛盾之处，以合同条款内容为准。如果合同附件之间有矛盾之处，以有利于甲方的附件内容为准。</w:t>
      </w:r>
    </w:p>
    <w:p>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lang w:bidi="ar"/>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120" w:beforeLines="50" w:line="360" w:lineRule="auto"/>
        <w:jc w:val="center"/>
        <w:outlineLvl w:val="1"/>
        <w:rPr>
          <w:rFonts w:hint="eastAsia" w:ascii="宋体" w:hAnsi="宋体" w:cs="宋体"/>
          <w:b/>
          <w:sz w:val="28"/>
          <w:szCs w:val="28"/>
          <w:highlight w:val="none"/>
          <w:lang w:bidi="ar"/>
        </w:rPr>
      </w:pPr>
      <w:r>
        <w:rPr>
          <w:rFonts w:hint="eastAsia" w:ascii="宋体" w:hAnsi="宋体" w:cs="宋体"/>
          <w:b/>
          <w:sz w:val="28"/>
          <w:szCs w:val="28"/>
          <w:highlight w:val="none"/>
          <w:lang w:bidi="ar"/>
        </w:rPr>
        <w:t>第二部分 服务内容及方式</w:t>
      </w:r>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2.1服务内容：详见《附件三、甲方的业务需求及技术规范》。</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服务方式：现场服务、电话支持服务和电子邮件支持服务，以及甲方要求的其他服务方式。</w:t>
      </w:r>
    </w:p>
    <w:p>
      <w:pPr>
        <w:spacing w:before="120" w:beforeLines="50" w:line="360" w:lineRule="auto"/>
        <w:jc w:val="center"/>
        <w:outlineLvl w:val="1"/>
        <w:rPr>
          <w:rFonts w:hint="eastAsia" w:ascii="宋体" w:hAnsi="宋体" w:cs="宋体"/>
          <w:b/>
          <w:sz w:val="28"/>
          <w:szCs w:val="28"/>
          <w:highlight w:val="none"/>
          <w:lang w:bidi="ar"/>
        </w:rPr>
      </w:pPr>
      <w:r>
        <w:rPr>
          <w:rFonts w:hint="eastAsia" w:ascii="宋体" w:hAnsi="宋体" w:cs="宋体"/>
          <w:b/>
          <w:sz w:val="28"/>
          <w:szCs w:val="28"/>
          <w:highlight w:val="none"/>
          <w:lang w:bidi="ar"/>
        </w:rPr>
        <w:t>第三部分 服务标准及验收</w:t>
      </w:r>
    </w:p>
    <w:p>
      <w:pPr>
        <w:spacing w:line="360" w:lineRule="auto"/>
        <w:ind w:firstLine="559" w:firstLineChars="233"/>
        <w:rPr>
          <w:rFonts w:hint="eastAsia" w:ascii="宋体" w:hAnsi="宋体" w:cs="宋体"/>
          <w:szCs w:val="24"/>
          <w:highlight w:val="none"/>
          <w:lang w:bidi="ar"/>
        </w:rPr>
      </w:pPr>
      <w:r>
        <w:rPr>
          <w:rFonts w:hint="eastAsia" w:ascii="宋体" w:hAnsi="宋体" w:cs="宋体"/>
          <w:szCs w:val="24"/>
          <w:highlight w:val="none"/>
          <w:lang w:bidi="ar"/>
        </w:rPr>
        <w:t>3.1乙方保证为甲方提供优质的服务及产品，服务及产品的各项指标均能符合本合同规定的要求。服务期内，乙方保证提供甲方在需求文件中要求的全部服务。详见附件三。</w:t>
      </w:r>
    </w:p>
    <w:p>
      <w:pPr>
        <w:tabs>
          <w:tab w:val="left" w:pos="900"/>
        </w:tabs>
        <w:spacing w:line="360" w:lineRule="auto"/>
        <w:ind w:firstLine="480" w:firstLineChars="200"/>
        <w:rPr>
          <w:rFonts w:hint="eastAsia" w:ascii="宋体" w:hAnsi="宋体" w:cs="宋体"/>
          <w:szCs w:val="24"/>
          <w:highlight w:val="none"/>
          <w:lang w:bidi="ar"/>
        </w:rPr>
      </w:pPr>
      <w:r>
        <w:rPr>
          <w:rFonts w:hint="eastAsia" w:ascii="宋体" w:hAnsi="宋体" w:cs="宋体"/>
          <w:szCs w:val="24"/>
          <w:highlight w:val="none"/>
          <w:lang w:bidi="ar"/>
        </w:rPr>
        <w:t>3.2</w:t>
      </w:r>
      <w:r>
        <w:rPr>
          <w:rFonts w:hint="eastAsia" w:ascii="宋体" w:hAnsi="宋体" w:cs="宋体"/>
          <w:szCs w:val="24"/>
          <w:highlight w:val="none"/>
        </w:rPr>
        <w:t>乙方每季度须按甲方要求提供1份《季度服务报告》，列明本阶段提供的维保服务内容，并加盖单位公章。</w:t>
      </w:r>
    </w:p>
    <w:p>
      <w:pPr>
        <w:tabs>
          <w:tab w:val="left" w:pos="6804"/>
        </w:tabs>
        <w:spacing w:line="360" w:lineRule="auto"/>
        <w:ind w:firstLine="559" w:firstLineChars="233"/>
        <w:rPr>
          <w:rFonts w:hint="eastAsia" w:ascii="宋体" w:hAnsi="宋体"/>
          <w:szCs w:val="24"/>
          <w:highlight w:val="none"/>
        </w:rPr>
      </w:pPr>
      <w:r>
        <w:rPr>
          <w:rFonts w:hint="eastAsia" w:ascii="宋体" w:hAnsi="宋体" w:cs="宋体"/>
          <w:szCs w:val="24"/>
          <w:highlight w:val="none"/>
          <w:lang w:bidi="ar"/>
        </w:rPr>
        <w:t>3.3甲方于到达维保服务期限(各软硬件设备的维保服务期限不一致的，以最长的期限为准进行计算）一半后按照本合同规定的标准和要求对乙方服务进行中期验收，乙方应当予以配合，最迟不晚于2026年9月底前完成，甲方通知乙方延期的情况除外。</w:t>
      </w:r>
      <w:r>
        <w:rPr>
          <w:rFonts w:hint="eastAsia" w:ascii="宋体" w:hAnsi="宋体" w:cs="宋体"/>
          <w:szCs w:val="24"/>
          <w:highlight w:val="none"/>
        </w:rPr>
        <w:t>验收通过后,</w:t>
      </w:r>
      <w:r>
        <w:rPr>
          <w:rFonts w:hint="eastAsia" w:ascii="宋体" w:hAnsi="宋体"/>
          <w:highlight w:val="none"/>
        </w:rPr>
        <w:t>由甲方出具</w:t>
      </w:r>
      <w:r>
        <w:rPr>
          <w:rFonts w:hint="eastAsia" w:ascii="宋体" w:hAnsi="宋体" w:cs="宋体"/>
          <w:highlight w:val="none"/>
        </w:rPr>
        <w:t>验收单/验收报告</w:t>
      </w:r>
      <w:r>
        <w:rPr>
          <w:rFonts w:hint="eastAsia" w:ascii="宋体" w:hAnsi="宋体"/>
          <w:highlight w:val="none"/>
        </w:rPr>
        <w:t>，乙方进行书面确认。乙方拒绝书面确认</w:t>
      </w:r>
      <w:r>
        <w:rPr>
          <w:rFonts w:hint="eastAsia" w:ascii="宋体" w:hAnsi="宋体" w:cs="宋体"/>
          <w:highlight w:val="none"/>
        </w:rPr>
        <w:t>验收单/验收报告</w:t>
      </w:r>
      <w:r>
        <w:rPr>
          <w:rFonts w:hint="eastAsia" w:ascii="宋体" w:hAnsi="宋体"/>
          <w:highlight w:val="none"/>
        </w:rPr>
        <w:t>的，视为同意。</w:t>
      </w:r>
    </w:p>
    <w:p>
      <w:pPr>
        <w:tabs>
          <w:tab w:val="left" w:pos="900"/>
        </w:tabs>
        <w:spacing w:line="360" w:lineRule="auto"/>
        <w:ind w:firstLine="480" w:firstLineChars="200"/>
        <w:rPr>
          <w:rFonts w:hint="eastAsia" w:ascii="宋体" w:hAnsi="宋体"/>
          <w:szCs w:val="24"/>
          <w:highlight w:val="none"/>
        </w:rPr>
      </w:pPr>
      <w:r>
        <w:rPr>
          <w:rFonts w:hint="eastAsia" w:ascii="宋体" w:hAnsi="宋体" w:cs="宋体"/>
          <w:szCs w:val="24"/>
          <w:highlight w:val="none"/>
          <w:lang w:bidi="ar"/>
        </w:rPr>
        <w:t>3.4甲方于维保服务期限(各软硬件设备的维保服务期限不一致的，以最长的期限为准进行计算）届满按照本合同规定的标准和要求对乙方服务进行最终验收，乙方应当予以配合，最迟不晚于2027年4月底前完成，甲方通知乙方延期的情况除外。</w:t>
      </w:r>
      <w:r>
        <w:rPr>
          <w:rFonts w:hint="eastAsia" w:ascii="宋体" w:hAnsi="宋体" w:cs="宋体"/>
          <w:szCs w:val="24"/>
          <w:highlight w:val="none"/>
        </w:rPr>
        <w:t>验收通过后,</w:t>
      </w:r>
      <w:r>
        <w:rPr>
          <w:rFonts w:hint="eastAsia" w:ascii="宋体" w:hAnsi="宋体"/>
          <w:highlight w:val="none"/>
        </w:rPr>
        <w:t>由甲方出具</w:t>
      </w:r>
      <w:r>
        <w:rPr>
          <w:rFonts w:hint="eastAsia" w:ascii="宋体" w:hAnsi="宋体" w:cs="宋体"/>
          <w:highlight w:val="none"/>
        </w:rPr>
        <w:t>验收单/验收报告</w:t>
      </w:r>
      <w:r>
        <w:rPr>
          <w:rFonts w:hint="eastAsia" w:ascii="宋体" w:hAnsi="宋体"/>
          <w:highlight w:val="none"/>
        </w:rPr>
        <w:t>，乙方进行书面确认。乙方拒绝书面确认</w:t>
      </w:r>
      <w:r>
        <w:rPr>
          <w:rFonts w:hint="eastAsia" w:ascii="宋体" w:hAnsi="宋体" w:cs="宋体"/>
          <w:highlight w:val="none"/>
        </w:rPr>
        <w:t>验收单/验收报告</w:t>
      </w:r>
      <w:r>
        <w:rPr>
          <w:rFonts w:hint="eastAsia" w:ascii="宋体" w:hAnsi="宋体"/>
          <w:highlight w:val="none"/>
        </w:rPr>
        <w:t>的，视为同意。</w:t>
      </w:r>
    </w:p>
    <w:p>
      <w:pPr>
        <w:spacing w:line="360" w:lineRule="auto"/>
        <w:ind w:firstLine="559" w:firstLineChars="233"/>
        <w:rPr>
          <w:rFonts w:hint="eastAsia" w:ascii="宋体" w:hAnsi="宋体" w:cs="宋体"/>
          <w:szCs w:val="24"/>
          <w:highlight w:val="none"/>
          <w:lang w:bidi="ar"/>
        </w:rPr>
      </w:pPr>
      <w:r>
        <w:rPr>
          <w:rFonts w:hint="eastAsia" w:ascii="宋体" w:hAnsi="宋体" w:cs="宋体"/>
          <w:szCs w:val="24"/>
          <w:highlight w:val="none"/>
          <w:lang w:bidi="ar"/>
        </w:rPr>
        <w:t>3.5</w:t>
      </w:r>
      <w:r>
        <w:rPr>
          <w:rFonts w:hint="eastAsia" w:ascii="宋体" w:hAnsi="宋体"/>
          <w:highlight w:val="none"/>
        </w:rPr>
        <w:t>乙方未能通过甲方中期验收或最终验收的，</w:t>
      </w:r>
      <w:r>
        <w:rPr>
          <w:rFonts w:hint="eastAsia" w:ascii="宋体"/>
          <w:highlight w:val="none"/>
        </w:rPr>
        <w:t>应在验收单/验收报告载明后续处理方案，并由乙方书面确认。乙方</w:t>
      </w:r>
      <w:r>
        <w:rPr>
          <w:rFonts w:hint="eastAsia" w:ascii="宋体" w:hAnsi="宋体"/>
          <w:highlight w:val="none"/>
        </w:rPr>
        <w:t>应采取一切补救措施继续履行合同义务、限期整改后再次进行验收，由此产生的费用由乙方负担。</w:t>
      </w:r>
      <w:r>
        <w:rPr>
          <w:rFonts w:hint="eastAsia" w:ascii="宋体"/>
          <w:highlight w:val="none"/>
        </w:rPr>
        <w:t>每次验收均需出具</w:t>
      </w:r>
      <w:r>
        <w:rPr>
          <w:rFonts w:hint="eastAsia" w:ascii="宋体" w:hAnsi="宋体" w:cs="宋体"/>
          <w:highlight w:val="none"/>
        </w:rPr>
        <w:t>验收单/验收报告</w:t>
      </w:r>
      <w:r>
        <w:rPr>
          <w:rFonts w:hint="eastAsia" w:ascii="宋体" w:hAnsi="宋体"/>
          <w:highlight w:val="none"/>
        </w:rPr>
        <w:t>。</w:t>
      </w:r>
      <w:r>
        <w:rPr>
          <w:rFonts w:hint="eastAsia" w:ascii="宋体"/>
          <w:highlight w:val="none"/>
        </w:rPr>
        <w:t>乙方拒绝书面确认的，视为同意。</w:t>
      </w:r>
    </w:p>
    <w:p>
      <w:pPr>
        <w:spacing w:before="120" w:beforeLines="50" w:line="360" w:lineRule="auto"/>
        <w:jc w:val="center"/>
        <w:outlineLvl w:val="1"/>
        <w:rPr>
          <w:rFonts w:hint="eastAsia" w:ascii="宋体" w:hAnsi="宋体" w:cs="宋体"/>
          <w:b/>
          <w:sz w:val="28"/>
          <w:szCs w:val="28"/>
          <w:highlight w:val="none"/>
          <w:lang w:bidi="ar"/>
        </w:rPr>
      </w:pPr>
      <w:r>
        <w:rPr>
          <w:rFonts w:hint="eastAsia" w:ascii="宋体" w:hAnsi="宋体" w:cs="宋体"/>
          <w:b/>
          <w:sz w:val="28"/>
          <w:szCs w:val="28"/>
          <w:highlight w:val="none"/>
          <w:lang w:bidi="ar"/>
        </w:rPr>
        <w:t>第四部分 履行期限、服务地点</w:t>
      </w:r>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4.1履约期限：</w:t>
      </w:r>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详见《附件三、甲方的业务需求及技术规范》。</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4.2续签条款</w:t>
      </w:r>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若本次服务期内的服务质量满足甲方要求，在服务内容和要求不变情况下，经甲乙双方确认后，服务合同可以续签1年,续签次数最多为2次。</w:t>
      </w:r>
      <w:r>
        <w:rPr>
          <w:rFonts w:hint="eastAsia" w:ascii="宋体" w:hAnsi="宋体"/>
          <w:highlight w:val="none"/>
        </w:rPr>
        <w:t>甲乙双方最晚可在合同到期前一个月就是否续签事宜进行确认。如双方确认续签的，可以就本项目服务下年度续签进行商务谈判议定价格，续签合同价款不得高于本合同价款。</w:t>
      </w:r>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在服务期限内，如甲方追加与现有维保对象相同品牌型号的软硬件设备纳入维保范围，乙方应承诺以本次中标单价提供软硬件设备维保服务。</w:t>
      </w:r>
    </w:p>
    <w:p>
      <w:pPr>
        <w:tabs>
          <w:tab w:val="left" w:pos="900"/>
        </w:tabs>
        <w:spacing w:line="360" w:lineRule="auto"/>
        <w:ind w:firstLine="480" w:firstLineChars="200"/>
        <w:rPr>
          <w:rFonts w:hint="eastAsia" w:ascii="宋体" w:hAnsi="宋体" w:cs="宋体"/>
          <w:szCs w:val="24"/>
          <w:highlight w:val="none"/>
          <w:lang w:bidi="ar"/>
        </w:rPr>
      </w:pPr>
      <w:r>
        <w:rPr>
          <w:rFonts w:hint="eastAsia" w:ascii="宋体" w:hAnsi="宋体" w:cs="宋体"/>
          <w:szCs w:val="24"/>
          <w:highlight w:val="none"/>
          <w:lang w:bidi="ar"/>
        </w:rPr>
        <w:t>4.3服务地点：</w:t>
      </w:r>
    </w:p>
    <w:p>
      <w:pPr>
        <w:spacing w:line="360" w:lineRule="auto"/>
        <w:ind w:firstLine="559" w:firstLineChars="233"/>
        <w:rPr>
          <w:rFonts w:hint="eastAsia" w:ascii="宋体" w:hAnsi="宋体" w:cs="宋体"/>
          <w:szCs w:val="24"/>
          <w:highlight w:val="none"/>
        </w:rPr>
      </w:pPr>
      <w:r>
        <w:rPr>
          <w:rFonts w:hint="eastAsia" w:ascii="宋体" w:hAnsi="宋体" w:cs="宋体"/>
          <w:szCs w:val="24"/>
          <w:highlight w:val="none"/>
        </w:rPr>
        <w:t>上海市（上海市浦东新区繁昌路298号、上海市静安区海宁路889号）；</w:t>
      </w:r>
    </w:p>
    <w:p>
      <w:pPr>
        <w:spacing w:line="360" w:lineRule="auto"/>
        <w:ind w:firstLine="559" w:firstLineChars="233"/>
        <w:rPr>
          <w:rFonts w:hint="eastAsia" w:ascii="宋体" w:hAnsi="宋体" w:cs="宋体"/>
          <w:szCs w:val="24"/>
          <w:highlight w:val="none"/>
        </w:rPr>
      </w:pPr>
      <w:r>
        <w:rPr>
          <w:rFonts w:hint="eastAsia" w:ascii="宋体" w:hAnsi="宋体" w:cs="宋体"/>
          <w:szCs w:val="24"/>
          <w:highlight w:val="none"/>
        </w:rPr>
        <w:t>天津市（天津市滨海新区洞庭北路北塘融汇商务园二区4号楼）；</w:t>
      </w:r>
    </w:p>
    <w:p>
      <w:pPr>
        <w:spacing w:line="360" w:lineRule="auto"/>
        <w:ind w:firstLine="559" w:firstLineChars="233"/>
        <w:rPr>
          <w:rFonts w:hint="eastAsia" w:ascii="宋体" w:hAnsi="宋体" w:cs="宋体"/>
          <w:szCs w:val="24"/>
          <w:highlight w:val="none"/>
        </w:rPr>
      </w:pPr>
      <w:r>
        <w:rPr>
          <w:rFonts w:hint="eastAsia" w:ascii="宋体" w:hAnsi="宋体" w:cs="宋体"/>
          <w:szCs w:val="24"/>
          <w:highlight w:val="none"/>
        </w:rPr>
        <w:t>北京市（北京市西城区西直门外大街140号首建金融中心7层）。</w:t>
      </w:r>
    </w:p>
    <w:p>
      <w:pPr>
        <w:spacing w:before="120" w:beforeLines="50" w:line="360" w:lineRule="auto"/>
        <w:jc w:val="center"/>
        <w:outlineLvl w:val="1"/>
        <w:rPr>
          <w:rFonts w:hint="eastAsia" w:ascii="宋体" w:hAnsi="宋体" w:cs="宋体"/>
          <w:b/>
          <w:sz w:val="28"/>
          <w:szCs w:val="28"/>
          <w:highlight w:val="none"/>
          <w:lang w:bidi="ar"/>
        </w:rPr>
      </w:pPr>
      <w:r>
        <w:rPr>
          <w:rFonts w:hint="eastAsia" w:ascii="宋体" w:hAnsi="宋体" w:cs="宋体"/>
          <w:b/>
          <w:sz w:val="28"/>
          <w:szCs w:val="28"/>
          <w:highlight w:val="none"/>
          <w:lang w:bidi="ar"/>
        </w:rPr>
        <w:t>第五部分 合同总金额及其支付方式</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5.1根据中标通知书，本合同的总金额（含税）为人民币：</w:t>
      </w:r>
      <w:bookmarkStart w:id="7" w:name="_GoBack"/>
      <w:r>
        <w:rPr>
          <w:rFonts w:hint="eastAsia" w:ascii="宋体" w:hAnsi="宋体"/>
          <w:b/>
          <w:bCs/>
          <w:highlight w:val="none"/>
        </w:rPr>
        <w:t>￥1,468,050</w:t>
      </w:r>
      <w:r>
        <w:rPr>
          <w:rFonts w:hint="eastAsia" w:ascii="宋体" w:hAnsi="宋体"/>
          <w:b/>
          <w:bCs/>
          <w:highlight w:val="none"/>
          <w:lang w:val="en-US" w:eastAsia="zh-CN"/>
        </w:rPr>
        <w:t>.00</w:t>
      </w:r>
      <w:bookmarkEnd w:id="7"/>
      <w:r>
        <w:rPr>
          <w:rFonts w:hint="eastAsia" w:ascii="宋体" w:hAnsi="宋体" w:cs="宋体"/>
          <w:b/>
          <w:bCs/>
          <w:szCs w:val="24"/>
          <w:highlight w:val="none"/>
          <w:lang w:bidi="ar"/>
        </w:rPr>
        <w:t>元</w:t>
      </w:r>
      <w:r>
        <w:rPr>
          <w:rFonts w:hint="eastAsia" w:ascii="宋体" w:hAnsi="宋体" w:cs="宋体"/>
          <w:szCs w:val="24"/>
          <w:highlight w:val="none"/>
          <w:lang w:bidi="ar"/>
        </w:rPr>
        <w:t>整(大写：人民币</w:t>
      </w:r>
      <w:r>
        <w:rPr>
          <w:rFonts w:hint="eastAsia" w:ascii="宋体" w:hAnsi="宋体" w:cs="宋体"/>
          <w:b/>
          <w:bCs/>
          <w:szCs w:val="24"/>
          <w:highlight w:val="none"/>
          <w:lang w:bidi="ar"/>
        </w:rPr>
        <w:t>壹佰肆拾陆万捌仟零伍拾</w:t>
      </w:r>
      <w:r>
        <w:rPr>
          <w:rFonts w:hint="eastAsia" w:ascii="宋体" w:hAnsi="宋体"/>
          <w:b/>
          <w:bCs/>
          <w:highlight w:val="none"/>
        </w:rPr>
        <w:t>元</w:t>
      </w:r>
      <w:r>
        <w:rPr>
          <w:rFonts w:hint="eastAsia" w:ascii="宋体" w:hAnsi="宋体"/>
          <w:highlight w:val="none"/>
        </w:rPr>
        <w:t>整</w:t>
      </w:r>
      <w:r>
        <w:rPr>
          <w:rFonts w:hint="eastAsia" w:ascii="宋体" w:hAnsi="宋体" w:cs="宋体"/>
          <w:szCs w:val="24"/>
          <w:highlight w:val="none"/>
          <w:lang w:bidi="ar"/>
        </w:rPr>
        <w:t>）。合同总金额为乙方在正确地完全履行本合同项下的义务后，甲方应支付给乙方的全部价款的数额，包括但不限于：技术服务费、仪器仪表使用费、差旅费以及与履行本合同义务有关的所有费用、税款。除上述金额外，甲方不再向乙方支付其他任何费用。</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5.2付款方式</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5.2.1预付款</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合同生效后，在收到乙方提供的与本阶段付款金额等值的正式发票以及乙方加盖单位公章的《付款申请》后十（10）个工作日内，甲方向乙方支付合同总金额的</w:t>
      </w:r>
      <w:r>
        <w:rPr>
          <w:rFonts w:hint="eastAsia" w:ascii="宋体" w:hAnsi="宋体" w:cs="宋体"/>
          <w:szCs w:val="24"/>
          <w:highlight w:val="none"/>
          <w:u w:val="single"/>
          <w:lang w:bidi="ar"/>
        </w:rPr>
        <w:t>30%</w:t>
      </w:r>
      <w:r>
        <w:rPr>
          <w:rFonts w:hint="eastAsia" w:ascii="宋体" w:hAnsi="宋体" w:cs="宋体"/>
          <w:szCs w:val="24"/>
          <w:highlight w:val="none"/>
          <w:lang w:bidi="ar"/>
        </w:rPr>
        <w:t>（百分之</w:t>
      </w:r>
      <w:r>
        <w:rPr>
          <w:rFonts w:hint="eastAsia" w:ascii="宋体" w:hAnsi="宋体" w:cs="宋体"/>
          <w:szCs w:val="24"/>
          <w:highlight w:val="none"/>
          <w:u w:val="single"/>
          <w:lang w:bidi="ar"/>
        </w:rPr>
        <w:t>三十</w:t>
      </w:r>
      <w:r>
        <w:rPr>
          <w:rFonts w:hint="eastAsia" w:ascii="宋体" w:hAnsi="宋体" w:cs="宋体"/>
          <w:szCs w:val="24"/>
          <w:highlight w:val="none"/>
          <w:lang w:bidi="ar"/>
        </w:rPr>
        <w:t>），即人民币</w:t>
      </w:r>
      <w:r>
        <w:rPr>
          <w:rFonts w:hint="eastAsia" w:ascii="宋体" w:hAnsi="宋体" w:cs="宋体"/>
          <w:b/>
          <w:bCs/>
          <w:szCs w:val="24"/>
          <w:highlight w:val="none"/>
          <w:lang w:bidi="ar"/>
        </w:rPr>
        <w:t>￥440,415</w:t>
      </w:r>
      <w:r>
        <w:rPr>
          <w:rFonts w:hint="eastAsia" w:ascii="宋体" w:hAnsi="宋体" w:cs="宋体"/>
          <w:b/>
          <w:bCs/>
          <w:szCs w:val="24"/>
          <w:highlight w:val="none"/>
          <w:lang w:val="en-US" w:eastAsia="zh-CN" w:bidi="ar"/>
        </w:rPr>
        <w:t>.00</w:t>
      </w:r>
      <w:r>
        <w:rPr>
          <w:rFonts w:hint="eastAsia" w:ascii="宋体" w:hAnsi="宋体" w:cs="宋体"/>
          <w:szCs w:val="24"/>
          <w:highlight w:val="none"/>
          <w:lang w:bidi="ar"/>
        </w:rPr>
        <w:t>元整（大写：人民币</w:t>
      </w:r>
      <w:r>
        <w:rPr>
          <w:rFonts w:hint="eastAsia" w:ascii="宋体" w:hAnsi="宋体" w:cs="宋体"/>
          <w:b/>
          <w:bCs/>
          <w:szCs w:val="24"/>
          <w:highlight w:val="none"/>
          <w:lang w:bidi="ar"/>
        </w:rPr>
        <w:t>肆拾肆万零肆佰壹拾伍元</w:t>
      </w:r>
      <w:r>
        <w:rPr>
          <w:rFonts w:hint="eastAsia" w:ascii="宋体" w:hAnsi="宋体" w:cs="宋体"/>
          <w:szCs w:val="24"/>
          <w:highlight w:val="none"/>
          <w:lang w:bidi="ar"/>
        </w:rPr>
        <w:t>整）。</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5.2.2中期付款</w:t>
      </w:r>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乙方向甲方提供所有服务达到本合同规定的维保服务期限的一半（以较长服务期限的项目为准）后，由甲方验收小组出具验收单（或验收报告），乙方进行书面确认（若拒绝书面确认，则视为同意），验收合格后，甲方在收到乙方提供的与本阶段付款金额等值的正式发票以及乙方加盖单位公章的《付款申请》后十（10）个工作日内，向乙方支付合同总金额的40%（百分之四十），即人民币</w:t>
      </w:r>
      <w:r>
        <w:rPr>
          <w:rFonts w:hint="eastAsia" w:ascii="宋体" w:hAnsi="宋体" w:cs="宋体"/>
          <w:b/>
          <w:bCs/>
          <w:szCs w:val="24"/>
          <w:highlight w:val="none"/>
          <w:lang w:bidi="ar"/>
        </w:rPr>
        <w:t>￥587,220</w:t>
      </w:r>
      <w:r>
        <w:rPr>
          <w:rFonts w:hint="eastAsia" w:ascii="宋体" w:hAnsi="宋体" w:cs="宋体"/>
          <w:b/>
          <w:bCs/>
          <w:szCs w:val="24"/>
          <w:highlight w:val="none"/>
          <w:lang w:val="en-US" w:eastAsia="zh-CN" w:bidi="ar"/>
        </w:rPr>
        <w:t>.00</w:t>
      </w:r>
      <w:r>
        <w:rPr>
          <w:rFonts w:hint="eastAsia" w:ascii="宋体" w:hAnsi="宋体" w:cs="宋体"/>
          <w:szCs w:val="24"/>
          <w:highlight w:val="none"/>
          <w:lang w:bidi="ar"/>
        </w:rPr>
        <w:t>元整（大写：人民币</w:t>
      </w:r>
      <w:r>
        <w:rPr>
          <w:rFonts w:hint="eastAsia" w:ascii="宋体" w:hAnsi="宋体" w:cs="宋体"/>
          <w:b/>
          <w:bCs/>
          <w:szCs w:val="24"/>
          <w:highlight w:val="none"/>
          <w:lang w:bidi="ar"/>
        </w:rPr>
        <w:t>伍拾捌万柒仟贰佰贰拾元</w:t>
      </w:r>
      <w:r>
        <w:rPr>
          <w:rFonts w:hint="eastAsia" w:ascii="宋体" w:hAnsi="宋体" w:cs="宋体"/>
          <w:szCs w:val="24"/>
          <w:highlight w:val="none"/>
          <w:lang w:bidi="ar"/>
        </w:rPr>
        <w:t>整）。</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5.2.3后期款</w:t>
      </w:r>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乙方向甲方提供维保服务期限届满且服务内容完成（以较长服务期限的项目为准）后，由甲方验收小组出具验收单（或验收报告），乙方进行书面确认（若拒绝书面确认，则视为同意），验收合格后，甲方在收到乙方提供的与本阶段付款金额等值的正式发票以及乙方加盖单位公章的《付款申请》后十（10）个工作日内，向乙方支付合同总金额的30%（百分之三十），即人民币</w:t>
      </w:r>
      <w:r>
        <w:rPr>
          <w:rFonts w:hint="eastAsia" w:ascii="宋体" w:hAnsi="宋体" w:cs="宋体"/>
          <w:b/>
          <w:bCs/>
          <w:szCs w:val="24"/>
          <w:highlight w:val="none"/>
          <w:lang w:bidi="ar"/>
        </w:rPr>
        <w:t>￥440,415</w:t>
      </w:r>
      <w:r>
        <w:rPr>
          <w:rFonts w:hint="eastAsia" w:ascii="宋体" w:hAnsi="宋体" w:cs="宋体"/>
          <w:b/>
          <w:bCs/>
          <w:szCs w:val="24"/>
          <w:highlight w:val="none"/>
          <w:lang w:val="en-US" w:eastAsia="zh-CN" w:bidi="ar"/>
        </w:rPr>
        <w:t>.00</w:t>
      </w:r>
      <w:r>
        <w:rPr>
          <w:rFonts w:hint="eastAsia" w:ascii="宋体" w:hAnsi="宋体" w:cs="宋体"/>
          <w:szCs w:val="24"/>
          <w:highlight w:val="none"/>
          <w:lang w:bidi="ar"/>
        </w:rPr>
        <w:t>元整（大写：人民币</w:t>
      </w:r>
      <w:r>
        <w:rPr>
          <w:rFonts w:hint="eastAsia" w:ascii="宋体" w:hAnsi="宋体" w:cs="宋体"/>
          <w:b/>
          <w:bCs/>
          <w:szCs w:val="24"/>
          <w:highlight w:val="none"/>
          <w:lang w:bidi="ar"/>
        </w:rPr>
        <w:t>肆拾肆万零肆佰壹拾伍元</w:t>
      </w:r>
      <w:r>
        <w:rPr>
          <w:rFonts w:hint="eastAsia" w:ascii="宋体" w:hAnsi="宋体" w:cs="宋体"/>
          <w:szCs w:val="24"/>
          <w:highlight w:val="none"/>
          <w:lang w:bidi="ar"/>
        </w:rPr>
        <w:t>整）。</w:t>
      </w:r>
    </w:p>
    <w:p>
      <w:pPr>
        <w:spacing w:line="480" w:lineRule="exact"/>
        <w:ind w:firstLine="480" w:firstLineChars="200"/>
        <w:rPr>
          <w:rFonts w:hint="eastAsia" w:ascii="宋体" w:hAnsi="宋体" w:cs="宋体"/>
          <w:b/>
          <w:szCs w:val="24"/>
          <w:highlight w:val="none"/>
        </w:rPr>
      </w:pPr>
      <w:r>
        <w:rPr>
          <w:rFonts w:hint="eastAsia" w:ascii="宋体" w:hAnsi="宋体" w:cs="宋体"/>
          <w:szCs w:val="24"/>
          <w:highlight w:val="none"/>
          <w:lang w:bidi="ar"/>
        </w:rPr>
        <w:t>5.3本条中的“收到”是指甲方实际接收到乙方交付的发票和《付款申请》，收到日不以发票和/或《付款申请》中载明的日期为准。双方对甲方是否“收到”及收到日有争议的，由乙方负责证明甲方已经“收到”及收到日。</w:t>
      </w:r>
    </w:p>
    <w:p>
      <w:pPr>
        <w:spacing w:before="120" w:beforeLines="50" w:line="360" w:lineRule="auto"/>
        <w:jc w:val="center"/>
        <w:outlineLvl w:val="1"/>
        <w:rPr>
          <w:rFonts w:hint="eastAsia" w:ascii="宋体" w:hAnsi="宋体" w:cs="宋体"/>
          <w:b/>
          <w:sz w:val="28"/>
          <w:szCs w:val="28"/>
          <w:highlight w:val="none"/>
          <w:lang w:bidi="ar"/>
        </w:rPr>
      </w:pPr>
      <w:r>
        <w:rPr>
          <w:rFonts w:hint="eastAsia" w:ascii="宋体" w:hAnsi="宋体" w:cs="宋体"/>
          <w:b/>
          <w:sz w:val="28"/>
          <w:szCs w:val="28"/>
          <w:highlight w:val="none"/>
          <w:lang w:bidi="ar"/>
        </w:rPr>
        <w:t>第六部分 履约保证金</w:t>
      </w:r>
    </w:p>
    <w:p>
      <w:pPr>
        <w:spacing w:line="52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6.1 乙方应于签订合同的同时向甲方提交下述金额的履约保证金。</w:t>
      </w:r>
    </w:p>
    <w:p>
      <w:pPr>
        <w:spacing w:line="520" w:lineRule="exact"/>
        <w:ind w:left="199" w:leftChars="83" w:firstLine="240" w:firstLineChars="100"/>
        <w:rPr>
          <w:rFonts w:hint="eastAsia" w:ascii="宋体" w:hAnsi="宋体" w:cs="宋体"/>
          <w:szCs w:val="24"/>
          <w:highlight w:val="none"/>
        </w:rPr>
      </w:pPr>
      <w:r>
        <w:rPr>
          <w:rFonts w:hint="eastAsia" w:ascii="宋体" w:hAnsi="宋体" w:cs="宋体"/>
          <w:szCs w:val="24"/>
          <w:highlight w:val="none"/>
          <w:lang w:bidi="ar"/>
        </w:rPr>
        <w:t>6.2 履约保证金为合同总金额的5％（百分之五）即人民币</w:t>
      </w:r>
      <w:r>
        <w:rPr>
          <w:rFonts w:hint="eastAsia" w:ascii="宋体" w:hAnsi="宋体" w:cs="宋体"/>
          <w:b/>
          <w:bCs w:val="0"/>
          <w:szCs w:val="24"/>
          <w:highlight w:val="none"/>
          <w:u w:val="single"/>
          <w:lang w:bidi="ar"/>
        </w:rPr>
        <w:t>￥73402.5</w:t>
      </w:r>
      <w:r>
        <w:rPr>
          <w:rFonts w:hint="eastAsia" w:ascii="宋体" w:hAnsi="宋体" w:cs="宋体"/>
          <w:bCs/>
          <w:szCs w:val="24"/>
          <w:highlight w:val="none"/>
          <w:lang w:bidi="ar"/>
        </w:rPr>
        <w:t>元整(大写:人民币</w:t>
      </w:r>
      <w:r>
        <w:rPr>
          <w:rFonts w:hint="eastAsia" w:ascii="宋体" w:hAnsi="宋体" w:cs="宋体"/>
          <w:b/>
          <w:bCs w:val="0"/>
          <w:szCs w:val="24"/>
          <w:highlight w:val="none"/>
          <w:lang w:bidi="ar"/>
        </w:rPr>
        <w:t>柒万叁仟肆佰零贰元伍角</w:t>
      </w:r>
      <w:r>
        <w:rPr>
          <w:rFonts w:hint="eastAsia" w:ascii="宋体" w:hAnsi="宋体" w:cs="宋体"/>
          <w:bCs/>
          <w:szCs w:val="24"/>
          <w:highlight w:val="none"/>
          <w:lang w:bidi="ar"/>
        </w:rPr>
        <w:t>)，其有效期截至本合同履约期限届满。履约保证金用以保证乙</w:t>
      </w:r>
      <w:r>
        <w:rPr>
          <w:rFonts w:hint="eastAsia" w:ascii="宋体" w:hAnsi="宋体" w:cs="宋体"/>
          <w:szCs w:val="24"/>
          <w:highlight w:val="none"/>
          <w:lang w:bidi="ar"/>
        </w:rPr>
        <w:t>方履行合同规定的所有义务。</w:t>
      </w:r>
    </w:p>
    <w:p>
      <w:pPr>
        <w:spacing w:line="52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6.3 除非双方另有协定，在履约保证金有效期届满后，甲方接到乙方提请退还履约保证金的书面申请和双方约定的有关单据后十五（15）个工作日内，应将扣除违约金后剩余的履约保证金退还乙方(不计息)。</w:t>
      </w:r>
    </w:p>
    <w:p>
      <w:pPr>
        <w:spacing w:line="360" w:lineRule="auto"/>
        <w:ind w:firstLine="540" w:firstLineChars="225"/>
        <w:rPr>
          <w:rFonts w:hint="eastAsia" w:ascii="宋体" w:hAnsi="宋体" w:cs="宋体"/>
          <w:szCs w:val="24"/>
          <w:highlight w:val="none"/>
        </w:rPr>
      </w:pPr>
      <w:r>
        <w:rPr>
          <w:rFonts w:hint="eastAsia" w:ascii="宋体" w:hAnsi="宋体" w:cs="宋体"/>
          <w:szCs w:val="24"/>
          <w:highlight w:val="none"/>
          <w:lang w:bidi="ar"/>
        </w:rPr>
        <w:t>6.4履约保证金采取银行电汇或支票倒存的方式汇入或存入甲方在招标中指定的账户。</w:t>
      </w:r>
    </w:p>
    <w:p>
      <w:pPr>
        <w:spacing w:line="360" w:lineRule="auto"/>
        <w:ind w:firstLine="540" w:firstLineChars="225"/>
        <w:rPr>
          <w:rFonts w:hint="eastAsia" w:ascii="宋体" w:hAnsi="宋体" w:cs="宋体"/>
          <w:szCs w:val="24"/>
          <w:highlight w:val="none"/>
        </w:rPr>
      </w:pPr>
      <w:r>
        <w:rPr>
          <w:rFonts w:hint="eastAsia" w:ascii="宋体" w:hAnsi="宋体" w:cs="宋体"/>
          <w:szCs w:val="24"/>
          <w:highlight w:val="none"/>
          <w:lang w:bidi="ar"/>
        </w:rPr>
        <w:t>6.5维保服务期开始后，乙方可以以银行保函的形式替换签约时提交的合同履约保证金。</w:t>
      </w:r>
    </w:p>
    <w:p>
      <w:pPr>
        <w:spacing w:before="120" w:beforeLines="50" w:line="360" w:lineRule="auto"/>
        <w:jc w:val="center"/>
        <w:outlineLvl w:val="1"/>
        <w:rPr>
          <w:rFonts w:hint="eastAsia" w:ascii="宋体" w:hAnsi="宋体" w:cs="宋体"/>
          <w:b/>
          <w:sz w:val="28"/>
          <w:szCs w:val="28"/>
          <w:highlight w:val="none"/>
          <w:lang w:bidi="ar"/>
        </w:rPr>
      </w:pPr>
      <w:r>
        <w:rPr>
          <w:rFonts w:hint="eastAsia" w:ascii="宋体" w:hAnsi="宋体" w:cs="宋体"/>
          <w:b/>
          <w:sz w:val="28"/>
          <w:szCs w:val="28"/>
          <w:highlight w:val="none"/>
          <w:lang w:bidi="ar"/>
        </w:rPr>
        <w:t>第七部分 各方责任及违约</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7.1对于因非正版软件或硬件引发的故障，乙方只负责判断故障原因，并将故障情况反映给甲方及甲方相关负责人。</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7.2</w:t>
      </w:r>
      <w:r>
        <w:rPr>
          <w:rFonts w:hint="eastAsia" w:ascii="宋体" w:hAnsi="宋体"/>
          <w:szCs w:val="24"/>
          <w:highlight w:val="none"/>
        </w:rPr>
        <w:t>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如果第三方提出任何侵权主张，乙方应负责与第三方交涉，并应向甲方赔偿因乙方侵权（或潜在侵权）而对甲方造成的全部经济损失（包括直接损失和间接损失），并承担由此产生的全部法律责任。该等赔偿不以合同价款金额为限，以甲方实际遭受的损失确定赔偿金额</w:t>
      </w:r>
      <w:r>
        <w:rPr>
          <w:rFonts w:hint="eastAsia" w:ascii="宋体" w:hAnsi="宋体" w:cs="宋体"/>
          <w:szCs w:val="24"/>
          <w:highlight w:val="none"/>
          <w:lang w:bidi="ar"/>
        </w:rPr>
        <w:t>。</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7.3乙方有义务严守甲方及甲方的商业机密，不以任何的形式窃取或获取甲方保密信息，并不得将甲方及甲方数据资料带出工作现场。</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7.4乙方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负责出面解决并承担全部法律责任和经济赔偿。</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7.5违约责任和合同解除</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7.5.1乙方未按合同要求向甲方提供服务时，甲方有权扣除其相应的服务费，其计算方法为：乙方因自身原因未能完成甲方要求的服务工作的，每出现一次，每次支付违约金数额不低于合同总金额的2%（百分之二）。当以上违约金的累计金额达到合同总金额的5%（百分之五）时，甲方有权解除合同。</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7.5.2乙方工作人员在提供服务时或提供服务外，造成甲方设施、材料、其他财产及甲方客户物品损失或损坏的，由乙方承担相应的赔偿责任。</w:t>
      </w:r>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7.5.3甲方对乙方的投诉超过2次（含）的,乙方每次每项应按合同总金额的1‰(千分之一)向甲方支付违约金，投诉超过5次（含）的，甲方有权解除本合同。</w:t>
      </w:r>
    </w:p>
    <w:p>
      <w:pPr>
        <w:tabs>
          <w:tab w:val="left" w:pos="900"/>
        </w:tabs>
        <w:spacing w:line="360" w:lineRule="auto"/>
        <w:ind w:firstLine="480" w:firstLineChars="200"/>
        <w:rPr>
          <w:rFonts w:hint="eastAsia" w:ascii="宋体" w:hAnsi="宋体" w:cs="宋体"/>
          <w:szCs w:val="24"/>
          <w:highlight w:val="none"/>
        </w:rPr>
      </w:pPr>
      <w:r>
        <w:rPr>
          <w:rFonts w:hint="eastAsia" w:ascii="宋体" w:hAnsi="宋体" w:cs="宋体"/>
          <w:szCs w:val="24"/>
          <w:highlight w:val="none"/>
          <w:lang w:bidi="ar"/>
        </w:rPr>
        <w:t>7.5.4甲方未按照合同规定期限支付服务费用的，除支付应付费用外，每日应按逾期支付服务费用的0.2‰(万分之二)向乙方支付违约金，直至实际支付相应款项为止，但甲方支付的违约金最多不得超过逾期付款金额的5%（百分之五）；违约金达到合同费用总额的5%（百分之五）时，乙方有权解除合同。</w:t>
      </w:r>
      <w:r>
        <w:rPr>
          <w:rFonts w:hint="eastAsia" w:ascii="宋体" w:hAnsi="宋体"/>
          <w:szCs w:val="24"/>
          <w:highlight w:val="none"/>
        </w:rPr>
        <w:t>但因乙方未及时完成合同义务导致的延期付款除外。</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7.5.5除本合同另有约定外，当发生以下情形之一时，视为乙方构成根本违约，甲方有权解除合同并向乙方要求赔偿且合同价款未支付部分不用再行支付，发生第（1）、（5）至第（12）项的情形时，乙方还应向甲方支付合同总金额20%的违约金：</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（1）乙方未能按照合同履行规定的义务，致使甲方无法实现合同目的；</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（2）乙方发生分立、并购、重组、解散等重大改变；</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（3）乙方因清偿诉讼债务被扣押资产、冻结账户；</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（4）乙方申请或被申请重整、和解或者破产清算；</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（5）乙方将本合同转包或分包；</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（6）乙方部分转让或全部转让其应履行的合同义务或享有的合同权利；</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（7）乙方所提供服务存在严重瑕疵或重大缺陷；</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（8）乙方资质、提供服务人员等情况的真实性存在重大瑕疵或相应的资质失效；</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（9）乙方中期验收或最终验收不合格且未采取经甲方认可的改善措施的，以及在第三部分规定的各阶段验收时间期限内一直未通过验收的；</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（10）给甲方或中国人民银行的既有硬件、软件或其他财产重大损害（包括损失额超过（人民币￥3,000.00）元整（大写：人民币叁仟元整）或造成重大负面影响的）；</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（11）乙方违反本合同规定的条款并在甲方给予书面通知后3个工作日内仍未采取合理有效且被甲方书面认可的补救措施；</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（12）法律规定和本合同约定的其他甲方有权解除合同的情形。</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7.5.6如果违约方在收到守约方正式书面通知的违约金额7日内没有答复，则守约方提出的违约金额将视为被违约方接受。</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7.5.7甲乙双方承担违约责任并不影响双方继续履行合同未履行的部分。</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7.5.8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spacing w:line="480" w:lineRule="exact"/>
        <w:ind w:firstLine="480" w:firstLineChars="200"/>
        <w:rPr>
          <w:szCs w:val="24"/>
          <w:highlight w:val="none"/>
        </w:rPr>
      </w:pPr>
      <w:r>
        <w:rPr>
          <w:rFonts w:hint="eastAsia" w:ascii="宋体" w:hAnsi="宋体" w:cs="宋体"/>
          <w:szCs w:val="24"/>
          <w:highlight w:val="none"/>
          <w:lang w:bidi="ar"/>
        </w:rPr>
        <w:t>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p>
    <w:p>
      <w:pPr>
        <w:tabs>
          <w:tab w:val="left" w:pos="900"/>
        </w:tabs>
        <w:spacing w:line="360" w:lineRule="auto"/>
        <w:ind w:firstLine="480" w:firstLineChars="200"/>
        <w:rPr>
          <w:rFonts w:hint="eastAsia" w:ascii="宋体" w:hAnsi="宋体"/>
          <w:szCs w:val="24"/>
          <w:highlight w:val="none"/>
        </w:rPr>
      </w:pPr>
      <w:r>
        <w:rPr>
          <w:rFonts w:hint="eastAsia" w:ascii="宋体" w:hAnsi="宋体"/>
          <w:szCs w:val="24"/>
          <w:highlight w:val="none"/>
        </w:rPr>
        <w:t>7.5.9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spacing w:line="480" w:lineRule="exact"/>
        <w:ind w:firstLine="480" w:firstLineChars="200"/>
        <w:rPr>
          <w:rFonts w:hint="eastAsia" w:ascii="宋体" w:hAnsi="宋体"/>
          <w:szCs w:val="24"/>
          <w:highlight w:val="none"/>
          <w:lang w:bidi="ar"/>
        </w:rPr>
      </w:pPr>
      <w:r>
        <w:rPr>
          <w:rFonts w:hint="eastAsia" w:ascii="宋体" w:hAnsi="宋体"/>
          <w:szCs w:val="24"/>
          <w:highlight w:val="none"/>
          <w:lang w:bidi="ar"/>
        </w:rPr>
        <w:t>7.5.10</w:t>
      </w:r>
      <w:r>
        <w:rPr>
          <w:rFonts w:hint="eastAsia" w:ascii="宋体" w:hAnsi="宋体" w:cs="宋体"/>
          <w:szCs w:val="24"/>
          <w:highlight w:val="none"/>
          <w:lang w:bidi="ar"/>
        </w:rPr>
        <w:t>如果因乙方提供的货物或服务损害第三方合法权益（含知识产权或其他合法权益）的，乙方应予以处理并承担全部法律责任，还应当按合同总金额的</w:t>
      </w:r>
      <w:r>
        <w:rPr>
          <w:rFonts w:hint="eastAsia" w:ascii="宋体" w:hAnsi="宋体"/>
          <w:szCs w:val="24"/>
          <w:highlight w:val="none"/>
          <w:lang w:bidi="ar"/>
        </w:rPr>
        <w:t>20% （百分之二十）向甲方支付违约金。甲方因此承担责任的，有权向乙方全额追偿。因此导致甲方合同目的不能实现的，甲方有权解除本合同并要求乙方按本合同第7.5.</w:t>
      </w:r>
      <w:r>
        <w:rPr>
          <w:rFonts w:ascii="宋体" w:hAnsi="宋体"/>
          <w:szCs w:val="24"/>
          <w:highlight w:val="none"/>
          <w:lang w:bidi="ar"/>
        </w:rPr>
        <w:t>10</w:t>
      </w:r>
      <w:r>
        <w:rPr>
          <w:rFonts w:hint="eastAsia" w:ascii="宋体" w:hAnsi="宋体" w:cs="宋体"/>
          <w:szCs w:val="24"/>
          <w:highlight w:val="none"/>
          <w:lang w:bidi="ar"/>
        </w:rPr>
        <w:t>条之约定承担违约责任。</w:t>
      </w:r>
      <w:bookmarkStart w:id="2" w:name="_Hlk84685245"/>
      <w:r>
        <w:rPr>
          <w:rFonts w:hint="eastAsia" w:ascii="宋体" w:hAnsi="宋体" w:cs="宋体"/>
          <w:szCs w:val="24"/>
          <w:highlight w:val="none"/>
          <w:lang w:bidi="ar"/>
        </w:rPr>
        <w:t>不论合同是否解除或终止，本条持续永</w:t>
      </w:r>
      <w:r>
        <w:rPr>
          <w:rFonts w:hint="eastAsia" w:ascii="宋体" w:hAnsi="宋体"/>
          <w:szCs w:val="24"/>
          <w:highlight w:val="none"/>
          <w:lang w:bidi="ar"/>
        </w:rPr>
        <w:t>久有效。</w:t>
      </w:r>
      <w:bookmarkEnd w:id="2"/>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7.5.1</w:t>
      </w:r>
      <w:bookmarkStart w:id="3" w:name="_Hlk84862184"/>
      <w:r>
        <w:rPr>
          <w:rFonts w:hint="eastAsia" w:ascii="宋体" w:hAnsi="宋体" w:cs="宋体"/>
          <w:szCs w:val="24"/>
          <w:highlight w:val="none"/>
          <w:lang w:bidi="ar"/>
        </w:rPr>
        <w:t>1在甲方根据上述规定终止合同后，甲方可以依其认为适当的条件和方法购买与乙方未能通过甲方验收的货物或服务，并自行安排提供服务，如甲方因此支付的费用加上应向乙方支付的费用（如有）超出合同总金额，则乙方应当向甲方赔偿超出部分的款项，并承担由此造成甲方的损失</w:t>
      </w:r>
      <w:bookmarkEnd w:id="3"/>
      <w:r>
        <w:rPr>
          <w:rFonts w:hint="eastAsia" w:ascii="宋体" w:hAnsi="宋体" w:cs="宋体"/>
          <w:szCs w:val="24"/>
          <w:highlight w:val="none"/>
          <w:lang w:bidi="ar"/>
        </w:rPr>
        <w:t>。</w:t>
      </w:r>
    </w:p>
    <w:p>
      <w:pPr>
        <w:spacing w:before="120" w:beforeLines="50" w:line="360" w:lineRule="auto"/>
        <w:jc w:val="center"/>
        <w:outlineLvl w:val="1"/>
        <w:rPr>
          <w:rFonts w:hint="eastAsia" w:ascii="宋体" w:hAnsi="宋体" w:cs="宋体"/>
          <w:b/>
          <w:sz w:val="28"/>
          <w:szCs w:val="28"/>
          <w:highlight w:val="none"/>
          <w:lang w:bidi="ar"/>
        </w:rPr>
      </w:pPr>
      <w:r>
        <w:rPr>
          <w:rFonts w:hint="eastAsia" w:ascii="宋体" w:hAnsi="宋体" w:cs="宋体"/>
          <w:b/>
          <w:sz w:val="28"/>
          <w:szCs w:val="28"/>
          <w:highlight w:val="none"/>
          <w:lang w:bidi="ar"/>
        </w:rPr>
        <w:t>第八部分 不可抗力</w:t>
      </w:r>
    </w:p>
    <w:p>
      <w:pPr>
        <w:spacing w:line="360" w:lineRule="auto"/>
        <w:ind w:firstLine="540" w:firstLineChars="225"/>
        <w:rPr>
          <w:rFonts w:hint="eastAsia" w:ascii="宋体" w:hAnsi="宋体" w:cs="宋体"/>
          <w:szCs w:val="24"/>
          <w:highlight w:val="none"/>
        </w:rPr>
      </w:pPr>
      <w:r>
        <w:rPr>
          <w:rFonts w:hint="eastAsia" w:ascii="宋体" w:hAnsi="宋体" w:cs="宋体"/>
          <w:szCs w:val="24"/>
          <w:highlight w:val="none"/>
          <w:lang w:bidi="ar"/>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hint="eastAsia" w:ascii="宋体" w:hAnsi="宋体" w:cs="宋体"/>
          <w:szCs w:val="24"/>
          <w:highlight w:val="none"/>
        </w:rPr>
      </w:pPr>
      <w:r>
        <w:rPr>
          <w:rFonts w:hint="eastAsia" w:ascii="宋体" w:hAnsi="宋体" w:cs="宋体"/>
          <w:szCs w:val="24"/>
          <w:highlight w:val="none"/>
          <w:lang w:bidi="ar"/>
        </w:rPr>
        <w:t>8.2遭受不可抗力一方应在不可抗力事件发生后2日内以书面形式通知其他方;并在事件发生后 10 日内，将有关部门出具的证明文件、详细情况报告以及不可抗力对合同影响程度的说明用特快专递或挂号信的形式寄给其他方。如果不可抗力影响时间延续 60 日以上，各方应通过友好协商在合理的时间内达成进一步履行合同或终止合同的协议。</w:t>
      </w:r>
    </w:p>
    <w:p>
      <w:pPr>
        <w:spacing w:line="360" w:lineRule="auto"/>
        <w:ind w:firstLine="540" w:firstLineChars="225"/>
        <w:rPr>
          <w:rFonts w:hint="eastAsia" w:ascii="宋体" w:hAnsi="宋体" w:cs="宋体"/>
          <w:szCs w:val="24"/>
          <w:highlight w:val="none"/>
        </w:rPr>
      </w:pPr>
      <w:r>
        <w:rPr>
          <w:rFonts w:hint="eastAsia" w:ascii="宋体" w:hAnsi="宋体" w:cs="宋体"/>
          <w:szCs w:val="24"/>
          <w:highlight w:val="none"/>
          <w:lang w:bidi="ar"/>
        </w:rPr>
        <w:t xml:space="preserve">8.3 </w:t>
      </w:r>
      <w:r>
        <w:rPr>
          <w:rFonts w:hint="eastAsia" w:ascii="宋体" w:hAnsi="宋体" w:cs="宋体"/>
          <w:szCs w:val="24"/>
          <w:highlight w:val="none"/>
        </w:rPr>
        <w:t>除非迟延履行后发生不可抗力的，</w:t>
      </w:r>
      <w:r>
        <w:rPr>
          <w:rFonts w:hint="eastAsia" w:ascii="宋体" w:hAnsi="宋体" w:cs="宋体"/>
          <w:szCs w:val="24"/>
          <w:highlight w:val="none"/>
          <w:lang w:bidi="ar"/>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8.4 受事件影响的一方应在不可抗力事件影响停止或消除后10日内将不可抗力事件已停止的报告以书面形式通知其他方。</w:t>
      </w:r>
    </w:p>
    <w:p>
      <w:pPr>
        <w:spacing w:before="120" w:beforeLines="50" w:line="360" w:lineRule="auto"/>
        <w:jc w:val="center"/>
        <w:outlineLvl w:val="1"/>
        <w:rPr>
          <w:rFonts w:hint="eastAsia" w:ascii="宋体" w:hAnsi="宋体" w:cs="宋体"/>
          <w:b/>
          <w:sz w:val="28"/>
          <w:szCs w:val="28"/>
          <w:highlight w:val="none"/>
        </w:rPr>
      </w:pPr>
      <w:r>
        <w:rPr>
          <w:rFonts w:hint="eastAsia" w:ascii="宋体" w:hAnsi="宋体" w:cs="宋体"/>
          <w:b/>
          <w:sz w:val="28"/>
          <w:szCs w:val="28"/>
          <w:highlight w:val="none"/>
          <w:lang w:bidi="ar"/>
        </w:rPr>
        <w:t>第九部分 保密约定</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9.2 除合同本身以外，由甲方提供给乙方的所有资料始终为甲方的财产，乙方应于合同义务履行完毕后【30】日内将上述资料包括副本退还给甲方。</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9.3 不论合同是否解除或终止，本条持续永久有效。</w:t>
      </w:r>
    </w:p>
    <w:p>
      <w:pPr>
        <w:spacing w:before="120" w:beforeLines="50" w:line="360" w:lineRule="auto"/>
        <w:jc w:val="center"/>
        <w:outlineLvl w:val="1"/>
        <w:rPr>
          <w:rFonts w:hint="eastAsia" w:ascii="宋体" w:hAnsi="宋体" w:cs="宋体"/>
          <w:b/>
          <w:sz w:val="28"/>
          <w:szCs w:val="28"/>
          <w:highlight w:val="none"/>
        </w:rPr>
      </w:pPr>
      <w:r>
        <w:rPr>
          <w:rFonts w:hint="eastAsia" w:ascii="宋体" w:hAnsi="宋体" w:cs="宋体"/>
          <w:b/>
          <w:sz w:val="28"/>
          <w:szCs w:val="28"/>
          <w:highlight w:val="none"/>
          <w:lang w:bidi="ar"/>
        </w:rPr>
        <w:t>第十部分 争议</w:t>
      </w:r>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10.1在执行本合同中所发生的争端，或与本合同有关的一切争端，甲、乙双方应通过协商解决。如通过协商方式仍不能解决争议，双方同意依法向甲方所在地人民法院提起诉讼。</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10.2在诉讼期间，除正在进行诉讼部分外，本合同其他部分应继续执行。</w:t>
      </w:r>
    </w:p>
    <w:p>
      <w:pPr>
        <w:spacing w:before="120" w:beforeLines="50" w:line="360" w:lineRule="auto"/>
        <w:jc w:val="center"/>
        <w:outlineLvl w:val="1"/>
        <w:rPr>
          <w:rFonts w:hint="eastAsia" w:ascii="宋体" w:hAnsi="宋体" w:cs="宋体"/>
          <w:b/>
          <w:sz w:val="28"/>
          <w:szCs w:val="28"/>
          <w:highlight w:val="none"/>
        </w:rPr>
      </w:pPr>
      <w:r>
        <w:rPr>
          <w:rFonts w:hint="eastAsia" w:ascii="宋体" w:hAnsi="宋体" w:cs="宋体"/>
          <w:b/>
          <w:sz w:val="28"/>
          <w:szCs w:val="28"/>
          <w:highlight w:val="none"/>
          <w:lang w:bidi="ar"/>
        </w:rPr>
        <w:t>第十一部分 合同的终止</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11.1甲乙双方均不得单方面随意变更或解除合同。出现下列情况时本合同自行终止：</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11.1.1本合同正常履行完毕；</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11.1.2甲乙双方在不违反法律、法规规定的情况下协议终止本合同的履行；</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11.1.3不可抗力导致本合同无法履行或履行不必要时；</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11.1.4一方根据本合同规定提出解除合同后，本合同在责任方按照本合同的约定履行完毕全部支付义务或其他义务后终止。</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11.2合同的终止并不影响甲乙双方承担其他法律责任。</w:t>
      </w:r>
    </w:p>
    <w:p>
      <w:pPr>
        <w:spacing w:before="120" w:beforeLines="50" w:line="360" w:lineRule="auto"/>
        <w:jc w:val="center"/>
        <w:outlineLvl w:val="1"/>
        <w:rPr>
          <w:rFonts w:hint="eastAsia" w:ascii="宋体" w:hAnsi="宋体" w:cs="宋体"/>
          <w:b/>
          <w:sz w:val="28"/>
          <w:szCs w:val="28"/>
          <w:highlight w:val="none"/>
        </w:rPr>
      </w:pPr>
      <w:r>
        <w:rPr>
          <w:rFonts w:hint="eastAsia" w:ascii="宋体" w:hAnsi="宋体" w:cs="宋体"/>
          <w:b/>
          <w:sz w:val="28"/>
          <w:szCs w:val="28"/>
          <w:highlight w:val="none"/>
          <w:lang w:bidi="ar"/>
        </w:rPr>
        <w:t>第十二部分 法律适用</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12.1本合同应适用中华人民共和国法律。</w:t>
      </w:r>
    </w:p>
    <w:p>
      <w:pPr>
        <w:spacing w:line="480" w:lineRule="exact"/>
        <w:jc w:val="center"/>
        <w:rPr>
          <w:rFonts w:hint="eastAsia" w:ascii="宋体" w:hAnsi="宋体" w:cs="宋体"/>
          <w:sz w:val="28"/>
          <w:szCs w:val="28"/>
          <w:highlight w:val="none"/>
        </w:rPr>
      </w:pPr>
      <w:r>
        <w:rPr>
          <w:rFonts w:hint="eastAsia" w:ascii="宋体" w:hAnsi="宋体" w:cs="宋体"/>
          <w:b/>
          <w:sz w:val="28"/>
          <w:szCs w:val="28"/>
          <w:highlight w:val="none"/>
          <w:lang w:bidi="ar"/>
        </w:rPr>
        <w:t>第十三部分 其他</w:t>
      </w:r>
    </w:p>
    <w:p>
      <w:pPr>
        <w:spacing w:line="480" w:lineRule="exact"/>
        <w:ind w:firstLine="480" w:firstLineChars="200"/>
        <w:rPr>
          <w:rFonts w:hint="eastAsia" w:ascii="宋体" w:hAnsi="宋体" w:cs="宋体"/>
          <w:szCs w:val="24"/>
          <w:highlight w:val="none"/>
        </w:rPr>
      </w:pPr>
      <w:bookmarkStart w:id="4" w:name="_Hlk84687756"/>
      <w:r>
        <w:rPr>
          <w:rFonts w:hint="eastAsia" w:ascii="宋体" w:hAnsi="宋体" w:cs="宋体"/>
          <w:szCs w:val="24"/>
          <w:highlight w:val="none"/>
          <w:lang w:bidi="ar"/>
        </w:rPr>
        <w:t xml:space="preserve">13.1 </w:t>
      </w:r>
      <w:r>
        <w:rPr>
          <w:rFonts w:hint="eastAsia" w:ascii="宋体" w:hAnsi="宋体" w:cs="宋体"/>
          <w:szCs w:val="24"/>
          <w:highlight w:val="none"/>
        </w:rPr>
        <w:t>除非得到甲方的书面同意，本合同项下的权利和义务均不得转让。</w:t>
      </w:r>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13.2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bookmarkEnd w:id="4"/>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合同书写应用中文，各方所有的来往信函，以及合同有关的文件均应以中文书写，以外文书写的必须附有相应的中文译本。如果两种文本的含义发生冲突，各方同意以中文文本为准。</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13.3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双方的联络方式以本合同首部载明为准。任何一方变更列明的通讯地址、传真等联络方式的，应提前五日书面通知对方。因未履行书面告知义务导致的不利后果，由未履行告知义务的一方自行承担。</w:t>
      </w:r>
    </w:p>
    <w:p>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lang w:bidi="ar"/>
        </w:rPr>
        <w:t>13.4本合同一式四份，甲方持二份，乙方持二份，均具有同等法律效力，经甲、乙双方法定代表人或其授权代表签字并加盖单位公章或合同章并在</w:t>
      </w:r>
      <w:bookmarkStart w:id="5" w:name="_Hlk84685443"/>
      <w:r>
        <w:rPr>
          <w:rFonts w:hint="eastAsia" w:ascii="宋体" w:hAnsi="宋体" w:cs="宋体"/>
          <w:szCs w:val="24"/>
          <w:highlight w:val="none"/>
          <w:lang w:bidi="ar"/>
        </w:rPr>
        <w:t>甲方收到履约保证金后生效</w:t>
      </w:r>
      <w:bookmarkEnd w:id="5"/>
      <w:r>
        <w:rPr>
          <w:rFonts w:hint="eastAsia" w:ascii="宋体" w:hAnsi="宋体" w:cs="宋体"/>
          <w:szCs w:val="24"/>
          <w:highlight w:val="none"/>
          <w:lang w:bidi="ar"/>
        </w:rPr>
        <w:t>。</w:t>
      </w:r>
    </w:p>
    <w:p>
      <w:pPr>
        <w:spacing w:before="120" w:beforeLines="50" w:line="360" w:lineRule="auto"/>
        <w:jc w:val="center"/>
        <w:outlineLvl w:val="1"/>
        <w:rPr>
          <w:rFonts w:hint="eastAsia" w:ascii="宋体" w:hAnsi="宋体" w:cs="宋体"/>
          <w:b/>
          <w:sz w:val="28"/>
          <w:szCs w:val="28"/>
          <w:highlight w:val="none"/>
        </w:rPr>
      </w:pPr>
      <w:r>
        <w:rPr>
          <w:rFonts w:hint="eastAsia" w:ascii="宋体" w:hAnsi="宋体" w:cs="宋体"/>
          <w:b/>
          <w:sz w:val="28"/>
          <w:szCs w:val="28"/>
          <w:highlight w:val="none"/>
          <w:lang w:bidi="ar"/>
        </w:rPr>
        <w:t>第十四部分 附件</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14.1本合同附件均为本合同不可分割的部分，与合同正文具有同等法律效力。</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合同附件目录如下：</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附件一、业务合作保密协议</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附件二、合同清单及价格</w:t>
      </w:r>
    </w:p>
    <w:p>
      <w:pPr>
        <w:spacing w:line="480" w:lineRule="exact"/>
        <w:ind w:firstLine="480" w:firstLineChars="200"/>
        <w:rPr>
          <w:rFonts w:hint="eastAsia" w:ascii="宋体" w:hAnsi="宋体" w:cs="宋体"/>
          <w:szCs w:val="24"/>
          <w:highlight w:val="none"/>
        </w:rPr>
      </w:pPr>
      <w:r>
        <w:rPr>
          <w:rFonts w:hint="eastAsia" w:ascii="宋体" w:hAnsi="宋体" w:cs="宋体"/>
          <w:szCs w:val="24"/>
          <w:highlight w:val="none"/>
          <w:lang w:bidi="ar"/>
        </w:rPr>
        <w:t>附件三、甲方的业务需求及技术规范</w:t>
      </w:r>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附件四、乙方维护服务及质量保证承诺</w:t>
      </w:r>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附件五、中标通知书</w:t>
      </w:r>
    </w:p>
    <w:p>
      <w:pPr>
        <w:spacing w:line="480" w:lineRule="exact"/>
        <w:ind w:firstLine="480" w:firstLineChars="200"/>
        <w:rPr>
          <w:rFonts w:hint="eastAsia" w:ascii="宋体" w:hAnsi="宋体" w:cs="宋体"/>
          <w:szCs w:val="24"/>
          <w:highlight w:val="none"/>
          <w:lang w:bidi="ar"/>
        </w:rPr>
      </w:pPr>
      <w:r>
        <w:rPr>
          <w:rFonts w:hint="eastAsia" w:ascii="宋体" w:hAnsi="宋体" w:cs="宋体"/>
          <w:szCs w:val="24"/>
          <w:highlight w:val="none"/>
          <w:lang w:bidi="ar"/>
        </w:rPr>
        <w:t>附件六、供应商拥有者性别声明</w:t>
      </w:r>
    </w:p>
    <w:p>
      <w:pPr>
        <w:autoSpaceDE w:val="0"/>
        <w:autoSpaceDN w:val="0"/>
        <w:snapToGrid w:val="0"/>
        <w:spacing w:line="360" w:lineRule="auto"/>
        <w:ind w:left="360"/>
        <w:rPr>
          <w:rFonts w:hint="eastAsia" w:ascii="宋体" w:hAnsi="宋体" w:cs="宋体"/>
          <w:szCs w:val="24"/>
          <w:highlight w:val="none"/>
          <w:lang w:bidi="ar"/>
        </w:rPr>
      </w:pPr>
    </w:p>
    <w:p>
      <w:pPr>
        <w:autoSpaceDE w:val="0"/>
        <w:autoSpaceDN w:val="0"/>
        <w:snapToGrid w:val="0"/>
        <w:spacing w:line="360" w:lineRule="auto"/>
        <w:ind w:left="360"/>
        <w:jc w:val="center"/>
        <w:rPr>
          <w:rFonts w:hint="eastAsia" w:ascii="宋体" w:hAnsi="宋体" w:cs="宋体"/>
          <w:szCs w:val="24"/>
          <w:highlight w:val="none"/>
        </w:rPr>
      </w:pPr>
      <w:r>
        <w:rPr>
          <w:rFonts w:hint="eastAsia" w:ascii="宋体" w:hAnsi="宋体" w:cs="宋体"/>
          <w:szCs w:val="24"/>
          <w:highlight w:val="none"/>
          <w:lang w:bidi="ar"/>
        </w:rPr>
        <w:t>（本行以下无正文）</w:t>
      </w:r>
    </w:p>
    <w:p>
      <w:pPr>
        <w:autoSpaceDE w:val="0"/>
        <w:autoSpaceDN w:val="0"/>
        <w:snapToGrid w:val="0"/>
        <w:spacing w:line="360" w:lineRule="auto"/>
        <w:ind w:left="360"/>
        <w:jc w:val="center"/>
        <w:rPr>
          <w:rFonts w:hint="eastAsia" w:ascii="宋体" w:hAnsi="宋体" w:cs="宋体"/>
          <w:szCs w:val="24"/>
          <w:highlight w:val="none"/>
        </w:rPr>
      </w:pPr>
    </w:p>
    <w:p>
      <w:pPr>
        <w:autoSpaceDE w:val="0"/>
        <w:autoSpaceDN w:val="0"/>
        <w:snapToGrid w:val="0"/>
        <w:spacing w:line="720" w:lineRule="auto"/>
        <w:rPr>
          <w:rFonts w:hint="eastAsia" w:ascii="宋体" w:hAnsi="宋体" w:cs="宋体"/>
          <w:szCs w:val="24"/>
          <w:highlight w:val="none"/>
        </w:rPr>
      </w:pPr>
      <w:r>
        <w:rPr>
          <w:rFonts w:hint="eastAsia" w:ascii="宋体" w:hAnsi="宋体" w:cs="宋体"/>
          <w:szCs w:val="24"/>
          <w:highlight w:val="none"/>
          <w:lang w:bidi="ar"/>
        </w:rPr>
        <w:t>甲方：中国人民银行征信中心                  乙方：东华软件股份公司</w:t>
      </w:r>
    </w:p>
    <w:p>
      <w:pPr>
        <w:autoSpaceDE w:val="0"/>
        <w:autoSpaceDN w:val="0"/>
        <w:snapToGrid w:val="0"/>
        <w:spacing w:line="720" w:lineRule="auto"/>
        <w:jc w:val="left"/>
        <w:rPr>
          <w:rFonts w:hint="eastAsia" w:ascii="宋体" w:hAnsi="宋体" w:cs="宋体"/>
          <w:szCs w:val="24"/>
          <w:highlight w:val="none"/>
        </w:rPr>
      </w:pPr>
      <w:r>
        <w:rPr>
          <w:rFonts w:hint="eastAsia" w:ascii="宋体" w:hAnsi="宋体" w:cs="宋体"/>
          <w:szCs w:val="24"/>
          <w:highlight w:val="none"/>
          <w:lang w:bidi="ar"/>
        </w:rPr>
        <w:t>单位盖章：                                  单位盖章：</w:t>
      </w:r>
    </w:p>
    <w:p>
      <w:pPr>
        <w:autoSpaceDE w:val="0"/>
        <w:autoSpaceDN w:val="0"/>
        <w:snapToGrid w:val="0"/>
        <w:spacing w:line="720" w:lineRule="auto"/>
        <w:jc w:val="left"/>
        <w:rPr>
          <w:rFonts w:hint="eastAsia" w:ascii="宋体" w:hAnsi="宋体" w:cs="宋体"/>
          <w:szCs w:val="24"/>
          <w:highlight w:val="none"/>
        </w:rPr>
      </w:pPr>
      <w:r>
        <w:rPr>
          <w:rFonts w:hint="eastAsia" w:ascii="宋体" w:hAnsi="宋体" w:cs="宋体"/>
          <w:szCs w:val="24"/>
          <w:highlight w:val="none"/>
          <w:lang w:bidi="ar"/>
        </w:rPr>
        <w:t>法定代表人或授权代表签字：                  法定代表人或授权代表签字：</w:t>
      </w:r>
    </w:p>
    <w:p>
      <w:pPr>
        <w:autoSpaceDE w:val="0"/>
        <w:autoSpaceDN w:val="0"/>
        <w:snapToGrid w:val="0"/>
        <w:spacing w:line="720" w:lineRule="auto"/>
        <w:jc w:val="left"/>
        <w:rPr>
          <w:rFonts w:hint="eastAsia" w:ascii="宋体" w:hAnsi="宋体" w:cs="宋体"/>
          <w:szCs w:val="24"/>
          <w:highlight w:val="none"/>
          <w:lang w:bidi="ar"/>
        </w:rPr>
      </w:pPr>
      <w:r>
        <w:rPr>
          <w:rFonts w:hint="eastAsia" w:ascii="宋体" w:hAnsi="宋体" w:cs="宋体"/>
          <w:szCs w:val="24"/>
          <w:highlight w:val="none"/>
          <w:lang w:bidi="ar"/>
        </w:rPr>
        <w:t>日期：                                      日期：</w:t>
      </w:r>
    </w:p>
    <w:p>
      <w:pPr>
        <w:spacing w:before="120" w:after="120"/>
        <w:jc w:val="center"/>
        <w:rPr>
          <w:rFonts w:hint="eastAsia" w:asciiTheme="minorEastAsia" w:hAnsiTheme="minorEastAsia" w:eastAsiaTheme="minorEastAsia"/>
          <w:szCs w:val="24"/>
          <w:highlight w:val="none"/>
        </w:rPr>
      </w:pPr>
      <w:r>
        <w:rPr>
          <w:highlight w:val="none"/>
        </w:rPr>
        <w:br w:type="page"/>
      </w:r>
      <w:bookmarkStart w:id="6" w:name="_Hlk217047621"/>
    </w:p>
    <w:bookmarkEnd w:id="6"/>
    <w:p>
      <w:pPr>
        <w:tabs>
          <w:tab w:val="left" w:pos="2948"/>
        </w:tabs>
        <w:spacing w:line="480" w:lineRule="exact"/>
        <w:rPr>
          <w:rFonts w:hint="eastAsia" w:ascii="宋体" w:hAnsi="宋体" w:cs="宋体"/>
          <w:szCs w:val="24"/>
          <w:highlight w:val="none"/>
          <w:lang w:bidi="ar"/>
        </w:rPr>
      </w:pPr>
      <w:r>
        <w:rPr>
          <w:rFonts w:hint="eastAsia" w:ascii="宋体" w:hAnsi="宋体" w:cs="宋体"/>
          <w:szCs w:val="24"/>
          <w:highlight w:val="none"/>
          <w:lang w:bidi="ar"/>
        </w:rPr>
        <w:t>附件五、中标通知书</w:t>
      </w:r>
      <w:r>
        <w:rPr>
          <w:rFonts w:hint="eastAsia" w:ascii="宋体" w:hAnsi="宋体" w:cs="宋体"/>
          <w:szCs w:val="24"/>
          <w:highlight w:val="none"/>
          <w:lang w:bidi="ar"/>
        </w:rPr>
        <w:tab/>
      </w:r>
    </w:p>
    <w:p>
      <w:pPr>
        <w:pStyle w:val="2"/>
        <w:ind w:left="480"/>
        <w:rPr>
          <w:highlight w:val="none"/>
          <w:lang w:bidi="ar"/>
        </w:rPr>
      </w:pPr>
      <w:r>
        <w:rPr>
          <w:highlight w:val="none"/>
        </w:rPr>
        <w:drawing>
          <wp:inline distT="0" distB="0" distL="0" distR="0">
            <wp:extent cx="4758055" cy="4796155"/>
            <wp:effectExtent l="0" t="0" r="4445" b="4445"/>
            <wp:docPr id="277635635"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35635" name="图片 1" descr="文本, 信件&#10;&#10;AI 生成的内容可能不正确。"/>
                    <pic:cNvPicPr>
                      <a:picLocks noChangeAspect="1"/>
                    </pic:cNvPicPr>
                  </pic:nvPicPr>
                  <pic:blipFill>
                    <a:blip r:embed="rId10"/>
                    <a:stretch>
                      <a:fillRect/>
                    </a:stretch>
                  </pic:blipFill>
                  <pic:spPr>
                    <a:xfrm>
                      <a:off x="0" y="0"/>
                      <a:ext cx="4763207" cy="4801056"/>
                    </a:xfrm>
                    <a:prstGeom prst="rect">
                      <a:avLst/>
                    </a:prstGeom>
                  </pic:spPr>
                </pic:pic>
              </a:graphicData>
            </a:graphic>
          </wp:inline>
        </w:drawing>
      </w:r>
    </w:p>
    <w:p>
      <w:pPr>
        <w:spacing w:line="480" w:lineRule="exact"/>
        <w:rPr>
          <w:rFonts w:hint="eastAsia" w:ascii="宋体" w:hAnsi="宋体" w:cs="宋体"/>
          <w:szCs w:val="24"/>
          <w:highlight w:val="none"/>
          <w:lang w:bidi="ar"/>
        </w:rPr>
      </w:pPr>
    </w:p>
    <w:p>
      <w:pPr>
        <w:spacing w:line="480" w:lineRule="exact"/>
        <w:rPr>
          <w:rFonts w:hint="eastAsia" w:ascii="宋体" w:hAnsi="宋体" w:cs="宋体"/>
          <w:szCs w:val="24"/>
          <w:highlight w:val="none"/>
          <w:lang w:bidi="ar"/>
        </w:rPr>
      </w:pPr>
    </w:p>
    <w:p>
      <w:pPr>
        <w:spacing w:line="480" w:lineRule="exact"/>
        <w:rPr>
          <w:rFonts w:hint="eastAsia" w:ascii="宋体" w:hAnsi="宋体" w:cs="宋体"/>
          <w:szCs w:val="24"/>
          <w:highlight w:val="none"/>
          <w:lang w:bidi="ar"/>
        </w:rPr>
      </w:pPr>
    </w:p>
    <w:p>
      <w:pPr>
        <w:spacing w:line="480" w:lineRule="exact"/>
        <w:rPr>
          <w:rFonts w:hint="eastAsia" w:ascii="宋体" w:hAnsi="宋体" w:cs="宋体"/>
          <w:szCs w:val="24"/>
          <w:highlight w:val="none"/>
          <w:lang w:bidi="ar"/>
        </w:rPr>
      </w:pPr>
    </w:p>
    <w:p>
      <w:pPr>
        <w:spacing w:line="480" w:lineRule="exact"/>
        <w:rPr>
          <w:rFonts w:hint="eastAsia" w:ascii="宋体" w:hAnsi="宋体" w:cs="宋体"/>
          <w:szCs w:val="24"/>
          <w:highlight w:val="none"/>
          <w:lang w:bidi="ar"/>
        </w:rPr>
      </w:pPr>
    </w:p>
    <w:p>
      <w:pPr>
        <w:spacing w:line="480" w:lineRule="exact"/>
        <w:rPr>
          <w:rFonts w:hint="eastAsia" w:ascii="宋体" w:hAnsi="宋体" w:cs="宋体"/>
          <w:szCs w:val="24"/>
          <w:highlight w:val="none"/>
          <w:lang w:bidi="ar"/>
        </w:rPr>
      </w:pPr>
    </w:p>
    <w:p>
      <w:pPr>
        <w:spacing w:line="480" w:lineRule="exact"/>
        <w:rPr>
          <w:rFonts w:hint="eastAsia" w:ascii="宋体" w:hAnsi="宋体" w:cs="宋体"/>
          <w:szCs w:val="24"/>
          <w:highlight w:val="none"/>
          <w:lang w:bidi="ar"/>
        </w:rPr>
      </w:pPr>
    </w:p>
    <w:p>
      <w:pPr>
        <w:spacing w:line="480" w:lineRule="exact"/>
        <w:rPr>
          <w:rFonts w:hint="eastAsia" w:ascii="宋体" w:hAnsi="宋体" w:cs="宋体"/>
          <w:szCs w:val="24"/>
          <w:highlight w:val="none"/>
          <w:lang w:bidi="ar"/>
        </w:rPr>
      </w:pPr>
    </w:p>
    <w:p>
      <w:pPr>
        <w:spacing w:line="480" w:lineRule="exact"/>
        <w:rPr>
          <w:rFonts w:hint="eastAsia" w:ascii="宋体" w:hAnsi="宋体" w:cs="宋体"/>
          <w:szCs w:val="24"/>
          <w:highlight w:val="none"/>
          <w:lang w:bidi="ar"/>
        </w:rPr>
      </w:pPr>
    </w:p>
    <w:p>
      <w:pPr>
        <w:spacing w:line="480" w:lineRule="exact"/>
        <w:rPr>
          <w:rFonts w:hint="eastAsia" w:ascii="宋体" w:hAnsi="宋体" w:cs="宋体"/>
          <w:szCs w:val="24"/>
          <w:highlight w:val="none"/>
          <w:lang w:bidi="ar"/>
        </w:rPr>
      </w:pPr>
    </w:p>
    <w:p>
      <w:pPr>
        <w:spacing w:line="480" w:lineRule="exact"/>
        <w:rPr>
          <w:rFonts w:hint="eastAsia" w:ascii="宋体" w:hAnsi="宋体" w:cs="宋体"/>
          <w:szCs w:val="24"/>
          <w:highlight w:val="none"/>
          <w:lang w:bidi="ar"/>
        </w:rPr>
      </w:pPr>
    </w:p>
    <w:p>
      <w:pPr>
        <w:widowControl/>
        <w:adjustRightInd/>
        <w:spacing w:line="240" w:lineRule="auto"/>
        <w:jc w:val="left"/>
        <w:textAlignment w:val="auto"/>
        <w:rPr>
          <w:rFonts w:hint="eastAsia" w:ascii="宋体" w:hAnsi="宋体" w:cs="宋体"/>
          <w:szCs w:val="24"/>
          <w:highlight w:val="none"/>
          <w:lang w:bidi="ar"/>
        </w:rPr>
      </w:pPr>
      <w:r>
        <w:drawing>
          <wp:inline distT="0" distB="0" distL="114300" distR="114300">
            <wp:extent cx="4457700" cy="622935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4457700" cy="6229350"/>
                    </a:xfrm>
                    <a:prstGeom prst="rect">
                      <a:avLst/>
                    </a:prstGeom>
                    <a:noFill/>
                    <a:ln>
                      <a:noFill/>
                    </a:ln>
                  </pic:spPr>
                </pic:pic>
              </a:graphicData>
            </a:graphic>
          </wp:inline>
        </w:drawing>
      </w:r>
    </w:p>
    <w:sectPr>
      <w:footerReference r:id="rId8"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44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9156083" name="文本框 12191560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20</w:t>
                          </w:r>
                          <w:r>
                            <w:fldChar w:fldCharType="end"/>
                          </w:r>
                          <w:r>
                            <w:t xml:space="preserve"> / </w:t>
                          </w:r>
                          <w:r>
                            <w:fldChar w:fldCharType="begin"/>
                          </w:r>
                          <w:r>
                            <w:instrText xml:space="preserve"> NUMPAGES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kVC81AgAAZwQAAA4AAABkcnMvZTJvRG9jLnhtbK1UzY7TMBC+I/EO&#10;lu80aVdblarpqmxVhFSxKxXE2XWcJpL/ZLtNygPAG3Diwp3n6nPwOWna1cJhD1yc8Yznm5lvZjK7&#10;a5QkB+F8ZXRGh4OUEqG5ySu9y+jnT6s3E0p8YDpn0miR0aPw9G7++tWstlMxMqWRuXAEINpPa5vR&#10;MgQ7TRLPS6GYHxgrNIyFcYoFXN0uyR2rga5kMkrTcVIbl1tnuPAe2mVnpGdE9xJAUxQVF0vD90ro&#10;0KE6IVlASb6srKfzNtuiEDw8FIUXgciMotLQnggCeRvPZD5j051jtqz4OQX2khSe1aRYpRH0ArVk&#10;gZG9q/6CUhV3xpsiDLhRSVdIywiqGKbPuNmUzIq2FlDt7YV0//9g+cfDoyNVjkkYDd8Ob8fp5IYS&#10;zRQ6f/rx/fTz9+nXN/LEBsJq66fw21h4huadaeAciYx6D2XkoSmcil9USGAH3ccL3aIJhEenyWgy&#10;SWHisPUX4CRXd+t8eC+MIlHIqEM/W5rZYe1D97R/EqNps6qkhJ5NpSZ1Rsc3t2nrcLEAXGrEuCYb&#10;pdBsm3MFW5MfUZgz3ax4y1cVgq+ZD4/MYTiQMNYnPOAopEEQc5YoKY37+i99fI+ewUpJjWHLqMZu&#10;USI/aPQSgKEXXC9se0Hv1b3B9A6xlpa3IhxckL1YOKO+YKcWMQZMTHNEymjoxfvQDTx2kovFon2E&#10;6bMsrPXG8ggdGfN2sQ8gsOU1ktIxceYK89d25rwrccCf3ttX1//D/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aRULzUCAABnBAAADgAAAAAAAAABACAAAAAfAQAAZHJzL2Uyb0RvYy54bWxQ&#10;SwUGAAAAAAYABgBZAQAAxg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20</w:t>
                    </w:r>
                    <w:r>
                      <w:fldChar w:fldCharType="end"/>
                    </w:r>
                    <w:r>
                      <w:t xml:space="preserve"> / </w:t>
                    </w:r>
                    <w:r>
                      <w:fldChar w:fldCharType="begin"/>
                    </w:r>
                    <w:r>
                      <w:instrText xml:space="preserve"> NUMPAGES  \* MERGEFORMAT </w:instrText>
                    </w:r>
                    <w:r>
                      <w:fldChar w:fldCharType="separate"/>
                    </w:r>
                    <w:r>
                      <w:t>44</w:t>
                    </w:r>
                    <w:r>
                      <w:fldChar w:fldCharType="end"/>
                    </w:r>
                  </w:p>
                </w:txbxContent>
              </v:textbox>
            </v:shape>
          </w:pict>
        </mc:Fallback>
      </mc:AlternateConten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255" w:legacyIndent="0"/>
      <w:lvlJc w:val="left"/>
      <w:rPr>
        <w:rFonts w:hint="eastAsia" w:ascii="黑体" w:eastAsia="黑体"/>
        <w:b w:val="0"/>
        <w:i w:val="0"/>
        <w:sz w:val="24"/>
      </w:rPr>
    </w:lvl>
    <w:lvl w:ilvl="1" w:tentative="0">
      <w:start w:val="1"/>
      <w:numFmt w:val="decimal"/>
      <w:lvlText w:val="%1.%2"/>
      <w:legacy w:legacy="1" w:legacySpace="255" w:legacyIndent="0"/>
      <w:lvlJc w:val="left"/>
      <w:rPr>
        <w:rFonts w:hint="eastAsia" w:ascii="黑体" w:eastAsia="黑体"/>
        <w:b w:val="0"/>
        <w:i w:val="0"/>
        <w:sz w:val="24"/>
      </w:rPr>
    </w:lvl>
    <w:lvl w:ilvl="2" w:tentative="0">
      <w:start w:val="1"/>
      <w:numFmt w:val="decimal"/>
      <w:lvlText w:val="%1.%2.%3"/>
      <w:legacy w:legacy="1" w:legacySpace="255" w:legacyIndent="0"/>
      <w:lvlJc w:val="left"/>
      <w:rPr>
        <w:rFonts w:hint="eastAsia" w:ascii="黑体" w:eastAsia="黑体"/>
        <w:b w:val="0"/>
        <w:i w:val="0"/>
        <w:sz w:val="24"/>
      </w:rPr>
    </w:lvl>
    <w:lvl w:ilvl="3" w:tentative="0">
      <w:start w:val="1"/>
      <w:numFmt w:val="decimal"/>
      <w:lvlText w:val="%1.%2.%3.%4"/>
      <w:legacy w:legacy="1" w:legacySpace="255" w:legacyIndent="0"/>
      <w:lvlJc w:val="left"/>
      <w:rPr>
        <w:rFonts w:hint="eastAsia" w:ascii="黑体" w:eastAsia="黑体"/>
        <w:b w:val="0"/>
        <w:i w:val="0"/>
        <w:sz w:val="24"/>
      </w:rPr>
    </w:lvl>
    <w:lvl w:ilvl="4" w:tentative="0">
      <w:start w:val="1"/>
      <w:numFmt w:val="decimal"/>
      <w:lvlText w:val="%1.%2.%3.%4.%5"/>
      <w:legacy w:legacy="1" w:legacySpace="255" w:legacyIndent="0"/>
      <w:lvlJc w:val="left"/>
      <w:rPr>
        <w:rFonts w:hint="eastAsia" w:ascii="黑体" w:eastAsia="黑体"/>
        <w:b w:val="0"/>
        <w:i w:val="0"/>
        <w:sz w:val="24"/>
      </w:rPr>
    </w:lvl>
    <w:lvl w:ilvl="5" w:tentative="0">
      <w:start w:val="1"/>
      <w:numFmt w:val="decimal"/>
      <w:lvlText w:val="%1.%2.%3.%4.%5.%6"/>
      <w:legacy w:legacy="1" w:legacySpace="255" w:legacyIndent="0"/>
      <w:lvlJc w:val="left"/>
      <w:rPr>
        <w:rFonts w:hint="eastAsia" w:ascii="黑体" w:eastAsia="黑体"/>
        <w:b w:val="0"/>
        <w:i w:val="0"/>
        <w:sz w:val="24"/>
      </w:rPr>
    </w:lvl>
    <w:lvl w:ilvl="6" w:tentative="0">
      <w:start w:val="1"/>
      <w:numFmt w:val="decimal"/>
      <w:pStyle w:val="11"/>
      <w:lvlText w:val="（%7）"/>
      <w:legacy w:legacy="1" w:legacySpace="113" w:legacyIndent="0"/>
      <w:lvlJc w:val="left"/>
      <w:pPr>
        <w:ind w:left="1191" w:firstLine="0"/>
      </w:pPr>
      <w:rPr>
        <w:rFonts w:hint="eastAsia" w:ascii="黑体" w:eastAsia="黑体"/>
        <w:b w:val="0"/>
        <w:i w:val="0"/>
        <w:sz w:val="24"/>
      </w:rPr>
    </w:lvl>
    <w:lvl w:ilvl="7" w:tentative="0">
      <w:start w:val="1"/>
      <w:numFmt w:val="lowerLetter"/>
      <w:lvlText w:val="（%8）"/>
      <w:legacy w:legacy="1" w:legacySpace="113" w:legacyIndent="0"/>
      <w:lvlJc w:val="left"/>
      <w:pPr>
        <w:ind w:left="1888" w:firstLine="0"/>
      </w:pPr>
      <w:rPr>
        <w:rFonts w:hint="eastAsia" w:ascii="黑体" w:eastAsia="黑体"/>
        <w:b w:val="0"/>
        <w:i w:val="0"/>
        <w:sz w:val="24"/>
      </w:rPr>
    </w:lvl>
    <w:lvl w:ilvl="8" w:tentative="0">
      <w:start w:val="1"/>
      <w:numFmt w:val="lowerRoman"/>
      <w:lvlText w:val="（%9）"/>
      <w:legacy w:legacy="1" w:legacySpace="113" w:legacyIndent="0"/>
      <w:lvlJc w:val="left"/>
      <w:pPr>
        <w:ind w:left="2591" w:firstLine="0"/>
      </w:pPr>
      <w:rPr>
        <w:rFonts w:hint="eastAsia" w:ascii="黑体" w:eastAsia="黑体"/>
        <w:b w:val="0"/>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88"/>
    <w:rsid w:val="001001F0"/>
    <w:rsid w:val="00454181"/>
    <w:rsid w:val="004E66E2"/>
    <w:rsid w:val="00547C88"/>
    <w:rsid w:val="007A2E36"/>
    <w:rsid w:val="009101C3"/>
    <w:rsid w:val="0092150C"/>
    <w:rsid w:val="00A905E7"/>
    <w:rsid w:val="00D51D07"/>
    <w:rsid w:val="06214B0D"/>
    <w:rsid w:val="06367DD0"/>
    <w:rsid w:val="0A3F74CC"/>
    <w:rsid w:val="0DEC6564"/>
    <w:rsid w:val="0E052D00"/>
    <w:rsid w:val="11D56E4F"/>
    <w:rsid w:val="154D6FE5"/>
    <w:rsid w:val="19D47BEF"/>
    <w:rsid w:val="1DAC4D3C"/>
    <w:rsid w:val="209173AA"/>
    <w:rsid w:val="25597EEF"/>
    <w:rsid w:val="299E1875"/>
    <w:rsid w:val="2C22315D"/>
    <w:rsid w:val="2DFB7200"/>
    <w:rsid w:val="2E0F2A9C"/>
    <w:rsid w:val="3066315E"/>
    <w:rsid w:val="31BA5C46"/>
    <w:rsid w:val="37407D52"/>
    <w:rsid w:val="3BA65A6A"/>
    <w:rsid w:val="431D3A0D"/>
    <w:rsid w:val="4B2F3034"/>
    <w:rsid w:val="55003430"/>
    <w:rsid w:val="5D8D6A6E"/>
    <w:rsid w:val="660F7943"/>
    <w:rsid w:val="6CC35E58"/>
    <w:rsid w:val="6DCB5D2E"/>
    <w:rsid w:val="6E5A576B"/>
    <w:rsid w:val="79027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paragraph" w:styleId="5">
    <w:name w:val="heading 1"/>
    <w:basedOn w:val="1"/>
    <w:next w:val="1"/>
    <w:link w:val="31"/>
    <w:qFormat/>
    <w:uiPriority w:val="9"/>
    <w:pPr>
      <w:keepNext/>
      <w:keepLines/>
      <w:adjustRightInd/>
      <w:spacing w:before="480" w:after="80" w:line="240" w:lineRule="auto"/>
      <w:textAlignment w:val="auto"/>
      <w:outlineLvl w:val="0"/>
    </w:pPr>
    <w:rPr>
      <w:rFonts w:asciiTheme="majorHAnsi" w:hAnsiTheme="majorHAnsi" w:eastAsiaTheme="majorEastAsia" w:cstheme="majorBidi"/>
      <w:color w:val="2E75B6" w:themeColor="accent1" w:themeShade="BF"/>
      <w:kern w:val="2"/>
      <w:sz w:val="48"/>
      <w:szCs w:val="48"/>
    </w:rPr>
  </w:style>
  <w:style w:type="paragraph" w:styleId="6">
    <w:name w:val="heading 2"/>
    <w:basedOn w:val="1"/>
    <w:next w:val="1"/>
    <w:link w:val="32"/>
    <w:semiHidden/>
    <w:unhideWhenUsed/>
    <w:qFormat/>
    <w:uiPriority w:val="9"/>
    <w:pPr>
      <w:keepNext/>
      <w:keepLines/>
      <w:adjustRightInd/>
      <w:spacing w:before="160" w:after="80" w:line="240" w:lineRule="auto"/>
      <w:textAlignment w:val="auto"/>
      <w:outlineLvl w:val="1"/>
    </w:pPr>
    <w:rPr>
      <w:rFonts w:asciiTheme="majorHAnsi" w:hAnsiTheme="majorHAnsi" w:eastAsiaTheme="majorEastAsia" w:cstheme="majorBidi"/>
      <w:color w:val="2E75B6" w:themeColor="accent1" w:themeShade="BF"/>
      <w:kern w:val="2"/>
      <w:sz w:val="40"/>
      <w:szCs w:val="40"/>
    </w:rPr>
  </w:style>
  <w:style w:type="paragraph" w:styleId="7">
    <w:name w:val="heading 3"/>
    <w:basedOn w:val="1"/>
    <w:next w:val="1"/>
    <w:link w:val="33"/>
    <w:semiHidden/>
    <w:unhideWhenUsed/>
    <w:qFormat/>
    <w:uiPriority w:val="9"/>
    <w:pPr>
      <w:keepNext/>
      <w:keepLines/>
      <w:adjustRightInd/>
      <w:spacing w:before="160" w:after="80" w:line="240" w:lineRule="auto"/>
      <w:textAlignment w:val="auto"/>
      <w:outlineLvl w:val="2"/>
    </w:pPr>
    <w:rPr>
      <w:rFonts w:asciiTheme="majorHAnsi" w:hAnsiTheme="majorHAnsi" w:eastAsiaTheme="majorEastAsia" w:cstheme="majorBidi"/>
      <w:color w:val="2E75B6" w:themeColor="accent1" w:themeShade="BF"/>
      <w:kern w:val="2"/>
      <w:sz w:val="32"/>
      <w:szCs w:val="32"/>
    </w:rPr>
  </w:style>
  <w:style w:type="paragraph" w:styleId="8">
    <w:name w:val="heading 4"/>
    <w:basedOn w:val="1"/>
    <w:next w:val="1"/>
    <w:link w:val="34"/>
    <w:semiHidden/>
    <w:unhideWhenUsed/>
    <w:qFormat/>
    <w:uiPriority w:val="9"/>
    <w:pPr>
      <w:keepNext/>
      <w:keepLines/>
      <w:adjustRightInd/>
      <w:spacing w:before="80" w:after="40" w:line="240" w:lineRule="auto"/>
      <w:textAlignment w:val="auto"/>
      <w:outlineLvl w:val="3"/>
    </w:pPr>
    <w:rPr>
      <w:rFonts w:asciiTheme="minorHAnsi" w:hAnsiTheme="minorHAnsi" w:eastAsiaTheme="minorEastAsia" w:cstheme="majorBidi"/>
      <w:color w:val="2E75B6" w:themeColor="accent1" w:themeShade="BF"/>
      <w:kern w:val="2"/>
      <w:sz w:val="28"/>
      <w:szCs w:val="28"/>
    </w:rPr>
  </w:style>
  <w:style w:type="paragraph" w:styleId="9">
    <w:name w:val="heading 5"/>
    <w:basedOn w:val="1"/>
    <w:next w:val="1"/>
    <w:link w:val="35"/>
    <w:semiHidden/>
    <w:unhideWhenUsed/>
    <w:qFormat/>
    <w:uiPriority w:val="9"/>
    <w:pPr>
      <w:keepNext/>
      <w:keepLines/>
      <w:adjustRightInd/>
      <w:spacing w:before="80" w:after="40" w:line="240" w:lineRule="auto"/>
      <w:textAlignment w:val="auto"/>
      <w:outlineLvl w:val="4"/>
    </w:pPr>
    <w:rPr>
      <w:rFonts w:asciiTheme="minorHAnsi" w:hAnsiTheme="minorHAnsi" w:eastAsiaTheme="minorEastAsia" w:cstheme="majorBidi"/>
      <w:color w:val="2E75B6" w:themeColor="accent1" w:themeShade="BF"/>
      <w:kern w:val="2"/>
      <w:szCs w:val="24"/>
    </w:rPr>
  </w:style>
  <w:style w:type="paragraph" w:styleId="10">
    <w:name w:val="heading 6"/>
    <w:basedOn w:val="1"/>
    <w:next w:val="1"/>
    <w:link w:val="36"/>
    <w:semiHidden/>
    <w:unhideWhenUsed/>
    <w:qFormat/>
    <w:uiPriority w:val="9"/>
    <w:pPr>
      <w:keepNext/>
      <w:keepLines/>
      <w:adjustRightInd/>
      <w:spacing w:before="40" w:line="240" w:lineRule="auto"/>
      <w:textAlignment w:val="auto"/>
      <w:outlineLvl w:val="5"/>
    </w:pPr>
    <w:rPr>
      <w:rFonts w:asciiTheme="minorHAnsi" w:hAnsiTheme="minorHAnsi" w:eastAsiaTheme="minorEastAsia" w:cstheme="majorBidi"/>
      <w:b/>
      <w:bCs/>
      <w:color w:val="2E75B6" w:themeColor="accent1" w:themeShade="BF"/>
      <w:kern w:val="2"/>
      <w:sz w:val="21"/>
      <w:szCs w:val="22"/>
    </w:rPr>
  </w:style>
  <w:style w:type="paragraph" w:styleId="11">
    <w:name w:val="heading 7"/>
    <w:basedOn w:val="1"/>
    <w:next w:val="1"/>
    <w:link w:val="39"/>
    <w:qFormat/>
    <w:uiPriority w:val="9"/>
    <w:pPr>
      <w:numPr>
        <w:ilvl w:val="6"/>
        <w:numId w:val="1"/>
      </w:numPr>
      <w:ind w:left="1196" w:hanging="714"/>
      <w:outlineLvl w:val="6"/>
    </w:pPr>
  </w:style>
  <w:style w:type="paragraph" w:styleId="12">
    <w:name w:val="heading 8"/>
    <w:basedOn w:val="1"/>
    <w:next w:val="1"/>
    <w:link w:val="37"/>
    <w:semiHidden/>
    <w:unhideWhenUsed/>
    <w:qFormat/>
    <w:uiPriority w:val="9"/>
    <w:pPr>
      <w:keepNext/>
      <w:keepLines/>
      <w:adjustRightInd/>
      <w:spacing w:line="240" w:lineRule="auto"/>
      <w:textAlignment w:val="auto"/>
      <w:outlineLvl w:val="7"/>
    </w:pPr>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rPr>
  </w:style>
  <w:style w:type="paragraph" w:styleId="13">
    <w:name w:val="heading 9"/>
    <w:basedOn w:val="1"/>
    <w:next w:val="1"/>
    <w:link w:val="38"/>
    <w:semiHidden/>
    <w:unhideWhenUsed/>
    <w:qFormat/>
    <w:uiPriority w:val="9"/>
    <w:pPr>
      <w:keepNext/>
      <w:keepLines/>
      <w:adjustRightInd/>
      <w:spacing w:line="240" w:lineRule="auto"/>
      <w:textAlignment w:val="auto"/>
      <w:outlineLvl w:val="8"/>
    </w:pPr>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rPr>
  </w:style>
  <w:style w:type="character" w:default="1" w:styleId="23">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9"/>
    <w:unhideWhenUsed/>
    <w:qFormat/>
    <w:uiPriority w:val="0"/>
    <w:pPr>
      <w:adjustRightInd/>
      <w:spacing w:after="120" w:line="240" w:lineRule="auto"/>
      <w:ind w:left="420" w:leftChars="200" w:right="0" w:rightChars="0" w:firstLine="420" w:firstLineChars="200"/>
      <w:jc w:val="both"/>
      <w:textAlignment w:val="auto"/>
    </w:pPr>
    <w:rPr>
      <w:rFonts w:ascii="Calibri" w:hAnsi="Calibri" w:eastAsia="宋体"/>
      <w:kern w:val="2"/>
      <w:szCs w:val="22"/>
    </w:rPr>
  </w:style>
  <w:style w:type="paragraph" w:styleId="3">
    <w:name w:val="Body Text Indent"/>
    <w:basedOn w:val="1"/>
    <w:next w:val="4"/>
    <w:link w:val="48"/>
    <w:qFormat/>
    <w:uiPriority w:val="99"/>
    <w:pPr>
      <w:spacing w:after="60"/>
      <w:ind w:left="30" w:leftChars="30" w:right="30" w:rightChars="30"/>
      <w:jc w:val="center"/>
    </w:pPr>
    <w:rPr>
      <w:rFonts w:ascii="Arial" w:hAnsi="Arial" w:eastAsia="黑体"/>
      <w:sz w:val="21"/>
    </w:rPr>
  </w:style>
  <w:style w:type="paragraph" w:styleId="4">
    <w:name w:val="envelope return"/>
    <w:basedOn w:val="1"/>
    <w:qFormat/>
    <w:uiPriority w:val="0"/>
    <w:pPr>
      <w:snapToGrid w:val="0"/>
    </w:pPr>
    <w:rPr>
      <w:rFonts w:ascii="Arial" w:hAnsi="Arial"/>
    </w:rPr>
  </w:style>
  <w:style w:type="paragraph" w:styleId="14">
    <w:name w:val="annotation text"/>
    <w:basedOn w:val="1"/>
    <w:semiHidden/>
    <w:qFormat/>
    <w:uiPriority w:val="99"/>
    <w:pPr>
      <w:jc w:val="left"/>
    </w:pPr>
  </w:style>
  <w:style w:type="paragraph" w:styleId="15">
    <w:name w:val="Body Text"/>
    <w:basedOn w:val="1"/>
    <w:next w:val="16"/>
    <w:qFormat/>
    <w:uiPriority w:val="99"/>
    <w:pPr>
      <w:spacing w:after="60"/>
      <w:ind w:left="72" w:leftChars="30" w:right="72" w:rightChars="30"/>
      <w:jc w:val="center"/>
    </w:pPr>
    <w:rPr>
      <w:sz w:val="21"/>
    </w:rPr>
  </w:style>
  <w:style w:type="paragraph" w:styleId="16">
    <w:name w:val="Plain Text"/>
    <w:basedOn w:val="1"/>
    <w:qFormat/>
    <w:uiPriority w:val="0"/>
    <w:rPr>
      <w:rFonts w:ascii="宋体"/>
    </w:rPr>
  </w:style>
  <w:style w:type="paragraph" w:styleId="17">
    <w:name w:val="footer"/>
    <w:basedOn w:val="1"/>
    <w:qFormat/>
    <w:uiPriority w:val="0"/>
    <w:pPr>
      <w:spacing w:line="240" w:lineRule="atLeast"/>
      <w:ind w:left="255" w:right="255"/>
      <w:jc w:val="left"/>
    </w:p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9">
    <w:name w:val="Subtitle"/>
    <w:basedOn w:val="1"/>
    <w:next w:val="1"/>
    <w:link w:val="41"/>
    <w:qFormat/>
    <w:uiPriority w:val="11"/>
    <w:pPr>
      <w:adjustRightInd/>
      <w:spacing w:after="160" w:line="240" w:lineRule="auto"/>
      <w:jc w:val="center"/>
      <w:textAlignment w:val="auto"/>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20">
    <w:name w:val="Body Text Indent 3"/>
    <w:basedOn w:val="1"/>
    <w:link w:val="30"/>
    <w:qFormat/>
    <w:uiPriority w:val="0"/>
    <w:pPr>
      <w:spacing w:after="120"/>
      <w:ind w:left="420" w:leftChars="200"/>
    </w:pPr>
    <w:rPr>
      <w:sz w:val="16"/>
      <w:szCs w:val="16"/>
    </w:rPr>
  </w:style>
  <w:style w:type="paragraph" w:styleId="21">
    <w:name w:val="Title"/>
    <w:basedOn w:val="1"/>
    <w:next w:val="1"/>
    <w:link w:val="40"/>
    <w:qFormat/>
    <w:uiPriority w:val="10"/>
    <w:pPr>
      <w:adjustRightInd/>
      <w:spacing w:after="80" w:line="240" w:lineRule="auto"/>
      <w:contextualSpacing/>
      <w:jc w:val="center"/>
      <w:textAlignment w:val="auto"/>
    </w:pPr>
    <w:rPr>
      <w:rFonts w:asciiTheme="majorHAnsi" w:hAnsiTheme="majorHAnsi" w:eastAsiaTheme="majorEastAsia" w:cstheme="majorBidi"/>
      <w:spacing w:val="-10"/>
      <w:kern w:val="28"/>
      <w:sz w:val="56"/>
      <w:szCs w:val="56"/>
    </w:rPr>
  </w:style>
  <w:style w:type="character" w:styleId="24">
    <w:name w:val="page number"/>
    <w:qFormat/>
    <w:uiPriority w:val="0"/>
  </w:style>
  <w:style w:type="character" w:styleId="25">
    <w:name w:val="FollowedHyperlink"/>
    <w:basedOn w:val="23"/>
    <w:unhideWhenUsed/>
    <w:qFormat/>
    <w:uiPriority w:val="99"/>
    <w:rPr>
      <w:color w:val="7E1FAD"/>
      <w:u w:val="single"/>
    </w:rPr>
  </w:style>
  <w:style w:type="character" w:styleId="26">
    <w:name w:val="Hyperlink"/>
    <w:basedOn w:val="23"/>
    <w:unhideWhenUsed/>
    <w:qFormat/>
    <w:uiPriority w:val="99"/>
    <w:rPr>
      <w:color w:val="0026E5"/>
      <w:u w:val="single"/>
    </w:rPr>
  </w:style>
  <w:style w:type="paragraph" w:customStyle="1" w:styleId="27">
    <w:name w:val="p0"/>
    <w:basedOn w:val="1"/>
    <w:qFormat/>
    <w:uiPriority w:val="0"/>
    <w:pPr>
      <w:widowControl/>
      <w:adjustRightInd/>
      <w:spacing w:line="240" w:lineRule="auto"/>
      <w:textAlignment w:val="auto"/>
    </w:pPr>
    <w:rPr>
      <w:rFonts w:ascii="Calibri" w:hAnsi="Calibri"/>
      <w:kern w:val="2"/>
      <w:sz w:val="21"/>
      <w:szCs w:val="21"/>
    </w:rPr>
  </w:style>
  <w:style w:type="paragraph" w:styleId="28">
    <w:name w:val="List Paragraph"/>
    <w:basedOn w:val="1"/>
    <w:qFormat/>
    <w:uiPriority w:val="34"/>
    <w:pPr>
      <w:ind w:firstLine="420" w:firstLineChars="200"/>
    </w:pPr>
    <w:rPr>
      <w:rFonts w:ascii="Calibri" w:hAnsi="Calibri"/>
      <w:szCs w:val="22"/>
    </w:rPr>
  </w:style>
  <w:style w:type="paragraph" w:customStyle="1" w:styleId="29">
    <w:name w:val="列表1"/>
    <w:basedOn w:val="1"/>
    <w:qFormat/>
    <w:uiPriority w:val="0"/>
    <w:pPr>
      <w:tabs>
        <w:tab w:val="left" w:pos="840"/>
      </w:tabs>
      <w:spacing w:line="360" w:lineRule="auto"/>
      <w:ind w:left="840" w:hanging="420"/>
    </w:pPr>
    <w:rPr>
      <w:rFonts w:eastAsia="仿宋_GB2312"/>
      <w:szCs w:val="24"/>
    </w:rPr>
  </w:style>
  <w:style w:type="character" w:customStyle="1" w:styleId="30">
    <w:name w:val="正文文本缩进 3 字符"/>
    <w:basedOn w:val="23"/>
    <w:link w:val="20"/>
    <w:qFormat/>
    <w:uiPriority w:val="0"/>
    <w:rPr>
      <w:sz w:val="16"/>
      <w:szCs w:val="16"/>
    </w:rPr>
  </w:style>
  <w:style w:type="character" w:customStyle="1" w:styleId="31">
    <w:name w:val="标题 1 字符"/>
    <w:basedOn w:val="23"/>
    <w:link w:val="5"/>
    <w:qFormat/>
    <w:uiPriority w:val="9"/>
    <w:rPr>
      <w:rFonts w:asciiTheme="majorHAnsi" w:hAnsiTheme="majorHAnsi" w:eastAsiaTheme="majorEastAsia" w:cstheme="majorBidi"/>
      <w:color w:val="2E75B6" w:themeColor="accent1" w:themeShade="BF"/>
      <w:kern w:val="2"/>
      <w:sz w:val="48"/>
      <w:szCs w:val="48"/>
    </w:rPr>
  </w:style>
  <w:style w:type="character" w:customStyle="1" w:styleId="32">
    <w:name w:val="标题 2 字符"/>
    <w:basedOn w:val="23"/>
    <w:link w:val="6"/>
    <w:semiHidden/>
    <w:qFormat/>
    <w:uiPriority w:val="9"/>
    <w:rPr>
      <w:rFonts w:asciiTheme="majorHAnsi" w:hAnsiTheme="majorHAnsi" w:eastAsiaTheme="majorEastAsia" w:cstheme="majorBidi"/>
      <w:color w:val="2E75B6" w:themeColor="accent1" w:themeShade="BF"/>
      <w:kern w:val="2"/>
      <w:sz w:val="40"/>
      <w:szCs w:val="40"/>
    </w:rPr>
  </w:style>
  <w:style w:type="character" w:customStyle="1" w:styleId="33">
    <w:name w:val="标题 3 字符"/>
    <w:basedOn w:val="23"/>
    <w:link w:val="7"/>
    <w:semiHidden/>
    <w:qFormat/>
    <w:uiPriority w:val="9"/>
    <w:rPr>
      <w:rFonts w:asciiTheme="majorHAnsi" w:hAnsiTheme="majorHAnsi" w:eastAsiaTheme="majorEastAsia" w:cstheme="majorBidi"/>
      <w:color w:val="2E75B6" w:themeColor="accent1" w:themeShade="BF"/>
      <w:kern w:val="2"/>
      <w:sz w:val="32"/>
      <w:szCs w:val="32"/>
    </w:rPr>
  </w:style>
  <w:style w:type="character" w:customStyle="1" w:styleId="34">
    <w:name w:val="标题 4 字符"/>
    <w:basedOn w:val="23"/>
    <w:link w:val="8"/>
    <w:semiHidden/>
    <w:qFormat/>
    <w:uiPriority w:val="9"/>
    <w:rPr>
      <w:rFonts w:asciiTheme="minorHAnsi" w:hAnsiTheme="minorHAnsi" w:eastAsiaTheme="minorEastAsia" w:cstheme="majorBidi"/>
      <w:color w:val="2E75B6" w:themeColor="accent1" w:themeShade="BF"/>
      <w:kern w:val="2"/>
      <w:sz w:val="28"/>
      <w:szCs w:val="28"/>
    </w:rPr>
  </w:style>
  <w:style w:type="character" w:customStyle="1" w:styleId="35">
    <w:name w:val="标题 5 字符"/>
    <w:basedOn w:val="23"/>
    <w:link w:val="9"/>
    <w:semiHidden/>
    <w:qFormat/>
    <w:uiPriority w:val="9"/>
    <w:rPr>
      <w:rFonts w:asciiTheme="minorHAnsi" w:hAnsiTheme="minorHAnsi" w:eastAsiaTheme="minorEastAsia" w:cstheme="majorBidi"/>
      <w:color w:val="2E75B6" w:themeColor="accent1" w:themeShade="BF"/>
      <w:kern w:val="2"/>
      <w:sz w:val="24"/>
      <w:szCs w:val="24"/>
    </w:rPr>
  </w:style>
  <w:style w:type="character" w:customStyle="1" w:styleId="36">
    <w:name w:val="标题 6 字符"/>
    <w:basedOn w:val="23"/>
    <w:link w:val="10"/>
    <w:semiHidden/>
    <w:qFormat/>
    <w:uiPriority w:val="9"/>
    <w:rPr>
      <w:rFonts w:asciiTheme="minorHAnsi" w:hAnsiTheme="minorHAnsi" w:eastAsiaTheme="minorEastAsia" w:cstheme="majorBidi"/>
      <w:b/>
      <w:bCs/>
      <w:color w:val="2E75B6" w:themeColor="accent1" w:themeShade="BF"/>
      <w:kern w:val="2"/>
      <w:sz w:val="21"/>
      <w:szCs w:val="22"/>
    </w:rPr>
  </w:style>
  <w:style w:type="character" w:customStyle="1" w:styleId="37">
    <w:name w:val="标题 8 字符"/>
    <w:basedOn w:val="23"/>
    <w:link w:val="12"/>
    <w:semiHidden/>
    <w:qFormat/>
    <w:uiPriority w:val="9"/>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38">
    <w:name w:val="标题 9 字符"/>
    <w:basedOn w:val="23"/>
    <w:link w:val="13"/>
    <w:semiHidden/>
    <w:qFormat/>
    <w:uiPriority w:val="9"/>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39">
    <w:name w:val="标题 7 字符"/>
    <w:basedOn w:val="23"/>
    <w:link w:val="11"/>
    <w:qFormat/>
    <w:uiPriority w:val="9"/>
    <w:rPr>
      <w:sz w:val="24"/>
    </w:rPr>
  </w:style>
  <w:style w:type="character" w:customStyle="1" w:styleId="40">
    <w:name w:val="标题 字符"/>
    <w:basedOn w:val="23"/>
    <w:link w:val="21"/>
    <w:qFormat/>
    <w:uiPriority w:val="10"/>
    <w:rPr>
      <w:rFonts w:asciiTheme="majorHAnsi" w:hAnsiTheme="majorHAnsi" w:eastAsiaTheme="majorEastAsia" w:cstheme="majorBidi"/>
      <w:spacing w:val="-10"/>
      <w:kern w:val="28"/>
      <w:sz w:val="56"/>
      <w:szCs w:val="56"/>
    </w:rPr>
  </w:style>
  <w:style w:type="character" w:customStyle="1" w:styleId="41">
    <w:name w:val="副标题 字符"/>
    <w:basedOn w:val="23"/>
    <w:link w:val="19"/>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42">
    <w:name w:val="Quote"/>
    <w:basedOn w:val="1"/>
    <w:next w:val="1"/>
    <w:link w:val="43"/>
    <w:qFormat/>
    <w:uiPriority w:val="29"/>
    <w:pPr>
      <w:adjustRightInd/>
      <w:spacing w:before="160" w:after="160" w:line="240" w:lineRule="auto"/>
      <w:jc w:val="center"/>
      <w:textAlignment w:val="auto"/>
    </w:pPr>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43">
    <w:name w:val="引用 字符"/>
    <w:basedOn w:val="23"/>
    <w:link w:val="42"/>
    <w:qFormat/>
    <w:uiPriority w:val="2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44">
    <w:name w:val="Intense Emphasis"/>
    <w:basedOn w:val="23"/>
    <w:qFormat/>
    <w:uiPriority w:val="21"/>
    <w:rPr>
      <w:i/>
      <w:iCs/>
      <w:color w:val="2E75B6" w:themeColor="accent1" w:themeShade="BF"/>
    </w:rPr>
  </w:style>
  <w:style w:type="paragraph" w:styleId="45">
    <w:name w:val="Intense Quote"/>
    <w:basedOn w:val="1"/>
    <w:next w:val="1"/>
    <w:link w:val="46"/>
    <w:qFormat/>
    <w:uiPriority w:val="30"/>
    <w:pPr>
      <w:pBdr>
        <w:top w:val="single" w:color="2E75B5" w:themeColor="accent1" w:themeShade="BF" w:sz="4" w:space="10"/>
        <w:bottom w:val="single" w:color="2E75B5" w:themeColor="accent1" w:themeShade="BF" w:sz="4" w:space="10"/>
      </w:pBdr>
      <w:adjustRightInd/>
      <w:spacing w:before="360" w:after="360" w:line="240" w:lineRule="auto"/>
      <w:ind w:left="864" w:right="864"/>
      <w:jc w:val="center"/>
      <w:textAlignment w:val="auto"/>
    </w:pPr>
    <w:rPr>
      <w:rFonts w:asciiTheme="minorHAnsi" w:hAnsiTheme="minorHAnsi" w:eastAsiaTheme="minorEastAsia" w:cstheme="minorBidi"/>
      <w:i/>
      <w:iCs/>
      <w:color w:val="2E75B6" w:themeColor="accent1" w:themeShade="BF"/>
      <w:kern w:val="2"/>
      <w:sz w:val="21"/>
      <w:szCs w:val="22"/>
    </w:rPr>
  </w:style>
  <w:style w:type="character" w:customStyle="1" w:styleId="46">
    <w:name w:val="明显引用 字符"/>
    <w:basedOn w:val="23"/>
    <w:link w:val="45"/>
    <w:qFormat/>
    <w:uiPriority w:val="30"/>
    <w:rPr>
      <w:rFonts w:asciiTheme="minorHAnsi" w:hAnsiTheme="minorHAnsi" w:eastAsiaTheme="minorEastAsia" w:cstheme="minorBidi"/>
      <w:i/>
      <w:iCs/>
      <w:color w:val="2E75B6" w:themeColor="accent1" w:themeShade="BF"/>
      <w:kern w:val="2"/>
      <w:sz w:val="21"/>
      <w:szCs w:val="22"/>
    </w:rPr>
  </w:style>
  <w:style w:type="character" w:customStyle="1" w:styleId="47">
    <w:name w:val="Intense Reference"/>
    <w:basedOn w:val="23"/>
    <w:qFormat/>
    <w:uiPriority w:val="32"/>
    <w:rPr>
      <w:b/>
      <w:bCs/>
      <w:smallCaps/>
      <w:color w:val="2E75B6" w:themeColor="accent1" w:themeShade="BF"/>
      <w:spacing w:val="5"/>
    </w:rPr>
  </w:style>
  <w:style w:type="character" w:customStyle="1" w:styleId="48">
    <w:name w:val="正文文本缩进 字符"/>
    <w:basedOn w:val="23"/>
    <w:link w:val="3"/>
    <w:uiPriority w:val="99"/>
    <w:rPr>
      <w:rFonts w:ascii="Arial" w:hAnsi="Arial" w:eastAsia="黑体"/>
      <w:sz w:val="21"/>
    </w:rPr>
  </w:style>
  <w:style w:type="character" w:customStyle="1" w:styleId="49">
    <w:name w:val="正文文本首行缩进 2 字符"/>
    <w:basedOn w:val="48"/>
    <w:link w:val="2"/>
    <w:qFormat/>
    <w:uiPriority w:val="0"/>
    <w:rPr>
      <w:rFonts w:ascii="Calibri" w:hAnsi="Calibri" w:eastAsia="黑体"/>
      <w:kern w:val="2"/>
      <w:sz w:val="21"/>
      <w:szCs w:val="22"/>
    </w:rPr>
  </w:style>
  <w:style w:type="paragraph" w:customStyle="1" w:styleId="50">
    <w:name w:val="msonormal"/>
    <w:basedOn w:val="1"/>
    <w:uiPriority w:val="0"/>
    <w:pPr>
      <w:widowControl/>
      <w:adjustRightInd/>
      <w:spacing w:before="100" w:beforeAutospacing="1" w:after="100" w:afterAutospacing="1" w:line="240" w:lineRule="auto"/>
      <w:jc w:val="left"/>
      <w:textAlignment w:val="auto"/>
    </w:pPr>
    <w:rPr>
      <w:rFonts w:ascii="宋体" w:hAnsi="宋体" w:cs="宋体"/>
      <w:szCs w:val="24"/>
    </w:rPr>
  </w:style>
  <w:style w:type="paragraph" w:customStyle="1" w:styleId="51">
    <w:name w:val="font5"/>
    <w:basedOn w:val="1"/>
    <w:qFormat/>
    <w:uiPriority w:val="0"/>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52">
    <w:name w:val="xl65"/>
    <w:basedOn w:val="1"/>
    <w:qFormat/>
    <w:uiPriority w:val="0"/>
    <w:pPr>
      <w:widowControl/>
      <w:pBdr>
        <w:bottom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b/>
      <w:bCs/>
      <w:sz w:val="21"/>
      <w:szCs w:val="21"/>
    </w:rPr>
  </w:style>
  <w:style w:type="paragraph" w:customStyle="1" w:styleId="53">
    <w:name w:val="xl66"/>
    <w:basedOn w:val="1"/>
    <w:qFormat/>
    <w:uiPriority w:val="0"/>
    <w:pPr>
      <w:widowControl/>
      <w:pBdr>
        <w:left w:val="single" w:color="000000" w:sz="8" w:space="0"/>
        <w:bottom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sz w:val="21"/>
      <w:szCs w:val="21"/>
    </w:rPr>
  </w:style>
  <w:style w:type="paragraph" w:customStyle="1" w:styleId="54">
    <w:name w:val="xl67"/>
    <w:basedOn w:val="1"/>
    <w:qFormat/>
    <w:uiPriority w:val="0"/>
    <w:pPr>
      <w:widowControl/>
      <w:pBdr>
        <w:right w:val="single" w:color="000000" w:sz="8" w:space="0"/>
      </w:pBdr>
      <w:adjustRightInd/>
      <w:spacing w:before="100" w:beforeAutospacing="1" w:after="100" w:afterAutospacing="1" w:line="240" w:lineRule="auto"/>
      <w:jc w:val="center"/>
      <w:textAlignment w:val="auto"/>
    </w:pPr>
    <w:rPr>
      <w:rFonts w:ascii="宋体" w:hAnsi="宋体" w:cs="宋体"/>
      <w:sz w:val="21"/>
      <w:szCs w:val="21"/>
    </w:rPr>
  </w:style>
  <w:style w:type="paragraph" w:customStyle="1" w:styleId="55">
    <w:name w:val="xl68"/>
    <w:basedOn w:val="1"/>
    <w:uiPriority w:val="0"/>
    <w:pPr>
      <w:widowControl/>
      <w:pBdr>
        <w:bottom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sz w:val="21"/>
      <w:szCs w:val="21"/>
    </w:rPr>
  </w:style>
  <w:style w:type="paragraph" w:customStyle="1" w:styleId="56">
    <w:name w:val="xl69"/>
    <w:basedOn w:val="1"/>
    <w:qFormat/>
    <w:uiPriority w:val="0"/>
    <w:pPr>
      <w:widowControl/>
      <w:pBdr>
        <w:bottom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sz w:val="21"/>
      <w:szCs w:val="21"/>
    </w:rPr>
  </w:style>
  <w:style w:type="paragraph" w:customStyle="1" w:styleId="57">
    <w:name w:val="xl70"/>
    <w:basedOn w:val="1"/>
    <w:qFormat/>
    <w:uiPriority w:val="0"/>
    <w:pPr>
      <w:widowControl/>
      <w:pBdr>
        <w:bottom w:val="single" w:color="000000" w:sz="8" w:space="0"/>
        <w:right w:val="single" w:color="000000" w:sz="8" w:space="0"/>
      </w:pBdr>
      <w:adjustRightInd/>
      <w:spacing w:before="100" w:beforeAutospacing="1" w:after="100" w:afterAutospacing="1" w:line="240" w:lineRule="auto"/>
      <w:jc w:val="left"/>
      <w:textAlignment w:val="auto"/>
    </w:pPr>
    <w:rPr>
      <w:rFonts w:ascii="宋体" w:hAnsi="宋体" w:cs="宋体"/>
      <w:sz w:val="21"/>
      <w:szCs w:val="21"/>
    </w:rPr>
  </w:style>
  <w:style w:type="paragraph" w:customStyle="1" w:styleId="58">
    <w:name w:val="xl71"/>
    <w:basedOn w:val="1"/>
    <w:qFormat/>
    <w:uiPriority w:val="0"/>
    <w:pPr>
      <w:widowControl/>
      <w:pBdr>
        <w:bottom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sz w:val="21"/>
      <w:szCs w:val="21"/>
    </w:rPr>
  </w:style>
  <w:style w:type="paragraph" w:customStyle="1" w:styleId="59">
    <w:name w:val="xl72"/>
    <w:basedOn w:val="1"/>
    <w:uiPriority w:val="0"/>
    <w:pPr>
      <w:widowControl/>
      <w:pBdr>
        <w:bottom w:val="single" w:color="000000" w:sz="8" w:space="0"/>
        <w:right w:val="single" w:color="000000" w:sz="8" w:space="0"/>
      </w:pBdr>
      <w:adjustRightInd/>
      <w:spacing w:before="100" w:beforeAutospacing="1" w:after="100" w:afterAutospacing="1" w:line="240" w:lineRule="auto"/>
      <w:textAlignment w:val="auto"/>
    </w:pPr>
    <w:rPr>
      <w:rFonts w:ascii="宋体" w:hAnsi="宋体" w:cs="宋体"/>
      <w:sz w:val="21"/>
      <w:szCs w:val="21"/>
    </w:rPr>
  </w:style>
  <w:style w:type="paragraph" w:customStyle="1" w:styleId="60">
    <w:name w:val="xl74"/>
    <w:basedOn w:val="1"/>
    <w:uiPriority w:val="0"/>
    <w:pPr>
      <w:widowControl/>
      <w:pBdr>
        <w:top w:val="single" w:color="000000" w:sz="8" w:space="0"/>
        <w:left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b/>
      <w:bCs/>
      <w:sz w:val="21"/>
      <w:szCs w:val="21"/>
    </w:rPr>
  </w:style>
  <w:style w:type="paragraph" w:customStyle="1" w:styleId="61">
    <w:name w:val="xl75"/>
    <w:basedOn w:val="1"/>
    <w:qFormat/>
    <w:uiPriority w:val="0"/>
    <w:pPr>
      <w:widowControl/>
      <w:pBdr>
        <w:left w:val="single" w:color="000000" w:sz="8" w:space="0"/>
        <w:bottom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b/>
      <w:bCs/>
      <w:sz w:val="21"/>
      <w:szCs w:val="21"/>
    </w:rPr>
  </w:style>
  <w:style w:type="paragraph" w:customStyle="1" w:styleId="62">
    <w:name w:val="xl76"/>
    <w:basedOn w:val="1"/>
    <w:qFormat/>
    <w:uiPriority w:val="0"/>
    <w:pPr>
      <w:widowControl/>
      <w:pBdr>
        <w:top w:val="single" w:color="000000" w:sz="8" w:space="0"/>
        <w:left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sz w:val="21"/>
      <w:szCs w:val="21"/>
    </w:rPr>
  </w:style>
  <w:style w:type="paragraph" w:customStyle="1" w:styleId="63">
    <w:name w:val="xl77"/>
    <w:basedOn w:val="1"/>
    <w:qFormat/>
    <w:uiPriority w:val="0"/>
    <w:pPr>
      <w:widowControl/>
      <w:pBdr>
        <w:left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sz w:val="21"/>
      <w:szCs w:val="21"/>
    </w:rPr>
  </w:style>
  <w:style w:type="paragraph" w:customStyle="1" w:styleId="64">
    <w:name w:val="xl78"/>
    <w:basedOn w:val="1"/>
    <w:qFormat/>
    <w:uiPriority w:val="0"/>
    <w:pPr>
      <w:widowControl/>
      <w:pBdr>
        <w:top w:val="single" w:color="000000" w:sz="8" w:space="0"/>
        <w:left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sz w:val="21"/>
      <w:szCs w:val="21"/>
    </w:rPr>
  </w:style>
  <w:style w:type="paragraph" w:customStyle="1" w:styleId="65">
    <w:name w:val="xl79"/>
    <w:basedOn w:val="1"/>
    <w:qFormat/>
    <w:uiPriority w:val="0"/>
    <w:pPr>
      <w:widowControl/>
      <w:pBdr>
        <w:left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sz w:val="21"/>
      <w:szCs w:val="21"/>
    </w:rPr>
  </w:style>
  <w:style w:type="paragraph" w:customStyle="1" w:styleId="66">
    <w:name w:val="xl80"/>
    <w:basedOn w:val="1"/>
    <w:uiPriority w:val="0"/>
    <w:pPr>
      <w:widowControl/>
      <w:pBdr>
        <w:left w:val="single" w:color="000000" w:sz="8" w:space="0"/>
        <w:bottom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sz w:val="21"/>
      <w:szCs w:val="21"/>
    </w:rPr>
  </w:style>
  <w:style w:type="paragraph" w:customStyle="1" w:styleId="67">
    <w:name w:val="xl81"/>
    <w:basedOn w:val="1"/>
    <w:uiPriority w:val="0"/>
    <w:pPr>
      <w:widowControl/>
      <w:pBdr>
        <w:top w:val="single" w:color="000000" w:sz="8" w:space="0"/>
        <w:left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sz w:val="21"/>
      <w:szCs w:val="21"/>
    </w:rPr>
  </w:style>
  <w:style w:type="paragraph" w:customStyle="1" w:styleId="68">
    <w:name w:val="xl82"/>
    <w:basedOn w:val="1"/>
    <w:qFormat/>
    <w:uiPriority w:val="0"/>
    <w:pPr>
      <w:widowControl/>
      <w:pBdr>
        <w:left w:val="single" w:color="000000" w:sz="8" w:space="0"/>
        <w:bottom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sz w:val="21"/>
      <w:szCs w:val="21"/>
    </w:rPr>
  </w:style>
  <w:style w:type="paragraph" w:customStyle="1" w:styleId="69">
    <w:name w:val="xl83"/>
    <w:basedOn w:val="1"/>
    <w:qFormat/>
    <w:uiPriority w:val="0"/>
    <w:pPr>
      <w:widowControl/>
      <w:pBdr>
        <w:top w:val="single" w:color="000000" w:sz="8" w:space="0"/>
        <w:left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b/>
      <w:bCs/>
      <w:sz w:val="21"/>
      <w:szCs w:val="21"/>
    </w:rPr>
  </w:style>
  <w:style w:type="paragraph" w:customStyle="1" w:styleId="70">
    <w:name w:val="xl84"/>
    <w:basedOn w:val="1"/>
    <w:uiPriority w:val="0"/>
    <w:pPr>
      <w:widowControl/>
      <w:pBdr>
        <w:left w:val="single" w:color="000000" w:sz="8" w:space="0"/>
        <w:bottom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b/>
      <w:bCs/>
      <w:sz w:val="21"/>
      <w:szCs w:val="21"/>
    </w:rPr>
  </w:style>
  <w:style w:type="paragraph" w:customStyle="1" w:styleId="71">
    <w:name w:val="xl85"/>
    <w:basedOn w:val="1"/>
    <w:qFormat/>
    <w:uiPriority w:val="0"/>
    <w:pPr>
      <w:widowControl/>
      <w:pBdr>
        <w:top w:val="single" w:color="000000" w:sz="8" w:space="0"/>
        <w:left w:val="single" w:color="000000" w:sz="8" w:space="0"/>
        <w:bottom w:val="single" w:color="000000" w:sz="8" w:space="0"/>
      </w:pBdr>
      <w:adjustRightInd/>
      <w:spacing w:before="100" w:beforeAutospacing="1" w:after="100" w:afterAutospacing="1" w:line="240" w:lineRule="auto"/>
      <w:textAlignment w:val="auto"/>
    </w:pPr>
    <w:rPr>
      <w:rFonts w:ascii="宋体" w:hAnsi="宋体" w:cs="宋体"/>
      <w:sz w:val="21"/>
      <w:szCs w:val="21"/>
    </w:rPr>
  </w:style>
  <w:style w:type="paragraph" w:customStyle="1" w:styleId="72">
    <w:name w:val="xl86"/>
    <w:basedOn w:val="1"/>
    <w:qFormat/>
    <w:uiPriority w:val="0"/>
    <w:pPr>
      <w:widowControl/>
      <w:pBdr>
        <w:top w:val="single" w:color="000000" w:sz="8" w:space="0"/>
        <w:bottom w:val="single" w:color="000000" w:sz="8" w:space="0"/>
      </w:pBdr>
      <w:adjustRightInd/>
      <w:spacing w:before="100" w:beforeAutospacing="1" w:after="100" w:afterAutospacing="1" w:line="240" w:lineRule="auto"/>
      <w:textAlignment w:val="auto"/>
    </w:pPr>
    <w:rPr>
      <w:rFonts w:ascii="宋体" w:hAnsi="宋体" w:cs="宋体"/>
      <w:sz w:val="21"/>
      <w:szCs w:val="21"/>
    </w:rPr>
  </w:style>
  <w:style w:type="paragraph" w:customStyle="1" w:styleId="73">
    <w:name w:val="xl87"/>
    <w:basedOn w:val="1"/>
    <w:qFormat/>
    <w:uiPriority w:val="0"/>
    <w:pPr>
      <w:widowControl/>
      <w:pBdr>
        <w:top w:val="single" w:color="000000" w:sz="8" w:space="0"/>
        <w:bottom w:val="single" w:color="000000" w:sz="8" w:space="0"/>
        <w:right w:val="single" w:color="000000" w:sz="8" w:space="0"/>
      </w:pBdr>
      <w:adjustRightInd/>
      <w:spacing w:before="100" w:beforeAutospacing="1" w:after="100" w:afterAutospacing="1" w:line="240" w:lineRule="auto"/>
      <w:textAlignment w:val="auto"/>
    </w:pPr>
    <w:rPr>
      <w:rFonts w:ascii="宋体" w:hAnsi="宋体" w:cs="宋体"/>
      <w:sz w:val="21"/>
      <w:szCs w:val="21"/>
    </w:rPr>
  </w:style>
  <w:style w:type="paragraph" w:customStyle="1" w:styleId="74">
    <w:name w:val="xl88"/>
    <w:basedOn w:val="1"/>
    <w:qFormat/>
    <w:uiPriority w:val="0"/>
    <w:pPr>
      <w:widowControl/>
      <w:pBdr>
        <w:top w:val="single" w:color="000000" w:sz="8" w:space="0"/>
        <w:left w:val="single" w:color="000000" w:sz="8" w:space="0"/>
        <w:bottom w:val="single" w:color="000000" w:sz="8" w:space="0"/>
      </w:pBdr>
      <w:adjustRightInd/>
      <w:spacing w:before="100" w:beforeAutospacing="1" w:after="100" w:afterAutospacing="1" w:line="240" w:lineRule="auto"/>
      <w:jc w:val="center"/>
      <w:textAlignment w:val="auto"/>
    </w:pPr>
    <w:rPr>
      <w:rFonts w:ascii="宋体" w:hAnsi="宋体" w:cs="宋体"/>
      <w:b/>
      <w:bCs/>
      <w:sz w:val="21"/>
      <w:szCs w:val="21"/>
    </w:rPr>
  </w:style>
  <w:style w:type="paragraph" w:customStyle="1" w:styleId="75">
    <w:name w:val="xl89"/>
    <w:basedOn w:val="1"/>
    <w:qFormat/>
    <w:uiPriority w:val="0"/>
    <w:pPr>
      <w:widowControl/>
      <w:pBdr>
        <w:top w:val="single" w:color="000000" w:sz="8" w:space="0"/>
        <w:bottom w:val="single" w:color="000000" w:sz="8" w:space="0"/>
      </w:pBdr>
      <w:adjustRightInd/>
      <w:spacing w:before="100" w:beforeAutospacing="1" w:after="100" w:afterAutospacing="1" w:line="240" w:lineRule="auto"/>
      <w:jc w:val="center"/>
      <w:textAlignment w:val="auto"/>
    </w:pPr>
    <w:rPr>
      <w:rFonts w:ascii="宋体" w:hAnsi="宋体" w:cs="宋体"/>
      <w:b/>
      <w:bCs/>
      <w:sz w:val="21"/>
      <w:szCs w:val="21"/>
    </w:rPr>
  </w:style>
  <w:style w:type="paragraph" w:customStyle="1" w:styleId="76">
    <w:name w:val="xl90"/>
    <w:basedOn w:val="1"/>
    <w:qFormat/>
    <w:uiPriority w:val="0"/>
    <w:pPr>
      <w:widowControl/>
      <w:pBdr>
        <w:top w:val="single" w:color="000000" w:sz="8" w:space="0"/>
        <w:bottom w:val="single" w:color="000000" w:sz="8" w:space="0"/>
        <w:right w:val="single" w:color="000000" w:sz="8" w:space="0"/>
      </w:pBdr>
      <w:adjustRightInd/>
      <w:spacing w:before="100" w:beforeAutospacing="1" w:after="100" w:afterAutospacing="1" w:line="240" w:lineRule="auto"/>
      <w:jc w:val="center"/>
      <w:textAlignment w:val="auto"/>
    </w:pPr>
    <w:rPr>
      <w:rFonts w:ascii="宋体" w:hAnsi="宋体" w:cs="宋体"/>
      <w:b/>
      <w:bCs/>
      <w:sz w:val="21"/>
      <w:szCs w:val="21"/>
    </w:rPr>
  </w:style>
  <w:style w:type="paragraph" w:customStyle="1" w:styleId="77">
    <w:name w:val="Revision"/>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227</Pages>
  <Words>39249</Words>
  <Characters>223723</Characters>
  <Lines>1864</Lines>
  <Paragraphs>524</Paragraphs>
  <TotalTime>18</TotalTime>
  <ScaleCrop>false</ScaleCrop>
  <LinksUpToDate>false</LinksUpToDate>
  <CharactersWithSpaces>262448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2025-12-19T04:36:00Z</dcterms:created>
  <dc:creator>stt</dc:creator>
  <cp:lastModifiedBy>孙靓瑶</cp:lastModifiedBy>
  <dcterms:modified xsi:type="dcterms:W3CDTF">2026-01-04T01:58:17Z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E2224015BAB444E5841869D495AD716A</vt:lpwstr>
  </property>
</Properties>
</file>