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autoSpaceDE w:val="0"/>
        <w:autoSpaceDN w:val="0"/>
        <w:spacing w:before="0" w:beforeAutospacing="0" w:after="0" w:afterAutospacing="0"/>
        <w:ind w:left="0" w:right="0"/>
        <w:jc w:val="both"/>
        <w:rPr>
          <w:rFonts w:hint="default" w:ascii="Calibri" w:hAnsi="Calibri" w:eastAsia="黑体" w:cs="Times New Roman"/>
          <w:b/>
          <w:bCs/>
          <w:color w:val="000000"/>
          <w:sz w:val="44"/>
          <w:szCs w:val="22"/>
          <w:lang w:val="en-US"/>
        </w:rPr>
      </w:pPr>
    </w:p>
    <w:p>
      <w:pPr>
        <w:keepNext w:val="0"/>
        <w:keepLines w:val="0"/>
        <w:widowControl w:val="0"/>
        <w:suppressLineNumbers w:val="0"/>
        <w:autoSpaceDE w:val="0"/>
        <w:autoSpaceDN w:val="0"/>
        <w:spacing w:before="0" w:beforeAutospacing="0" w:after="0" w:afterAutospacing="0"/>
        <w:ind w:left="420" w:right="0" w:hanging="420"/>
        <w:jc w:val="center"/>
        <w:rPr>
          <w:rFonts w:hint="eastAsia" w:ascii="宋体" w:hAnsi="宋体" w:eastAsia="宋体" w:cs="宋体"/>
          <w:b/>
          <w:bCs/>
          <w:color w:val="000000"/>
          <w:sz w:val="44"/>
          <w:szCs w:val="44"/>
          <w:lang w:val="en-US"/>
        </w:rPr>
      </w:pPr>
      <w:r>
        <w:rPr>
          <w:rFonts w:hint="eastAsia" w:ascii="宋体" w:hAnsi="宋体" w:eastAsia="宋体" w:cs="宋体"/>
          <w:b/>
          <w:bCs/>
          <w:color w:val="000000"/>
          <w:kern w:val="2"/>
          <w:sz w:val="44"/>
          <w:szCs w:val="44"/>
          <w:lang w:val="en-US" w:eastAsia="zh-CN" w:bidi="ar"/>
        </w:rPr>
        <w:t>中国人民银行征信中心2026年安全软硬件设备维保服务采购项目（包5）合同</w:t>
      </w:r>
    </w:p>
    <w:p>
      <w:pPr>
        <w:keepNext w:val="0"/>
        <w:keepLines w:val="0"/>
        <w:widowControl w:val="0"/>
        <w:suppressLineNumbers w:val="0"/>
        <w:spacing w:before="0" w:beforeAutospacing="0" w:after="120" w:afterAutospacing="0"/>
        <w:ind w:left="0" w:right="0"/>
        <w:jc w:val="both"/>
        <w:rPr>
          <w:rFonts w:hint="eastAsia" w:ascii="宋体" w:hAnsi="宋体" w:eastAsia="宋体" w:cs="宋体"/>
          <w:b/>
          <w:bCs/>
          <w:color w:val="000000"/>
          <w:sz w:val="44"/>
          <w:szCs w:val="44"/>
          <w:lang w:val="en-US"/>
        </w:rPr>
      </w:pPr>
    </w:p>
    <w:p>
      <w:pPr>
        <w:keepNext w:val="0"/>
        <w:keepLines w:val="0"/>
        <w:widowControl w:val="0"/>
        <w:suppressLineNumbers w:val="0"/>
        <w:spacing w:before="0" w:beforeAutospacing="0" w:after="120" w:afterAutospacing="0"/>
        <w:ind w:left="0" w:right="0"/>
        <w:jc w:val="both"/>
        <w:rPr>
          <w:rFonts w:hint="default" w:ascii="Calibri" w:hAnsi="Calibri" w:cs="Times New Roman"/>
          <w:sz w:val="44"/>
          <w:szCs w:val="44"/>
          <w:lang w:val="en-US"/>
        </w:rPr>
      </w:pPr>
    </w:p>
    <w:p>
      <w:pPr>
        <w:keepNext w:val="0"/>
        <w:keepLines w:val="0"/>
        <w:widowControl w:val="0"/>
        <w:suppressLineNumbers w:val="0"/>
        <w:spacing w:before="0" w:beforeAutospacing="0" w:after="120" w:afterAutospacing="0"/>
        <w:ind w:left="0" w:right="0"/>
        <w:jc w:val="both"/>
        <w:rPr>
          <w:rFonts w:hint="default" w:ascii="Calibri" w:hAnsi="Calibri" w:cs="Times New Roman"/>
          <w:sz w:val="44"/>
          <w:szCs w:val="44"/>
          <w:lang w:val="en-US"/>
        </w:rPr>
      </w:pPr>
    </w:p>
    <w:p>
      <w:pPr>
        <w:keepNext w:val="0"/>
        <w:keepLines w:val="0"/>
        <w:widowControl w:val="0"/>
        <w:suppressLineNumbers w:val="0"/>
        <w:autoSpaceDE w:val="0"/>
        <w:autoSpaceDN w:val="0"/>
        <w:spacing w:before="0" w:beforeAutospacing="0" w:after="0" w:afterAutospacing="0"/>
        <w:ind w:left="420" w:right="0" w:hanging="420"/>
        <w:jc w:val="center"/>
        <w:rPr>
          <w:rFonts w:hint="default" w:ascii="宋体" w:hAnsi="Calibri" w:eastAsia="宋体" w:cs="宋体"/>
          <w:b/>
          <w:bCs w:val="0"/>
          <w:color w:val="000000"/>
          <w:sz w:val="32"/>
          <w:szCs w:val="21"/>
          <w:lang w:val="en-US" w:eastAsia="zh-CN"/>
        </w:rPr>
      </w:pPr>
      <w:r>
        <w:rPr>
          <w:rFonts w:hint="eastAsia" w:ascii="宋体" w:hAnsi="Calibri" w:eastAsia="宋体" w:cs="宋体"/>
          <w:b/>
          <w:bCs w:val="0"/>
          <w:color w:val="000000"/>
          <w:kern w:val="2"/>
          <w:sz w:val="32"/>
          <w:szCs w:val="21"/>
          <w:lang w:val="zh-CN" w:eastAsia="zh-CN" w:bidi="ar"/>
        </w:rPr>
        <w:t>合同编号：ZXZX-202</w:t>
      </w:r>
      <w:r>
        <w:rPr>
          <w:rFonts w:hint="eastAsia" w:ascii="宋体" w:hAnsi="Calibri" w:eastAsia="宋体" w:cs="宋体"/>
          <w:b/>
          <w:bCs w:val="0"/>
          <w:color w:val="000000"/>
          <w:kern w:val="2"/>
          <w:sz w:val="32"/>
          <w:szCs w:val="21"/>
          <w:lang w:val="en-US" w:eastAsia="zh-CN" w:bidi="ar"/>
        </w:rPr>
        <w:t>5</w:t>
      </w:r>
      <w:r>
        <w:rPr>
          <w:rFonts w:hint="eastAsia" w:ascii="宋体" w:hAnsi="Calibri" w:eastAsia="宋体" w:cs="宋体"/>
          <w:b/>
          <w:bCs w:val="0"/>
          <w:color w:val="000000"/>
          <w:kern w:val="2"/>
          <w:sz w:val="32"/>
          <w:szCs w:val="21"/>
          <w:lang w:val="zh-CN" w:eastAsia="zh-CN" w:bidi="ar"/>
        </w:rPr>
        <w:t>-</w:t>
      </w:r>
      <w:r>
        <w:rPr>
          <w:rFonts w:hint="eastAsia" w:ascii="宋体" w:hAnsi="Calibri" w:eastAsia="宋体" w:cs="宋体"/>
          <w:b/>
          <w:bCs w:val="0"/>
          <w:color w:val="000000"/>
          <w:kern w:val="2"/>
          <w:sz w:val="32"/>
          <w:szCs w:val="21"/>
          <w:lang w:val="en-US" w:eastAsia="zh-CN" w:bidi="ar"/>
        </w:rPr>
        <w:t>0666</w:t>
      </w:r>
    </w:p>
    <w:p>
      <w:pPr>
        <w:keepNext w:val="0"/>
        <w:keepLines w:val="0"/>
        <w:widowControl w:val="0"/>
        <w:suppressLineNumbers w:val="0"/>
        <w:autoSpaceDE w:val="0"/>
        <w:autoSpaceDN w:val="0"/>
        <w:spacing w:before="0" w:beforeAutospacing="0" w:after="0" w:afterAutospacing="0"/>
        <w:ind w:left="420" w:right="0" w:hanging="420"/>
        <w:jc w:val="both"/>
        <w:rPr>
          <w:rFonts w:hint="eastAsia" w:ascii="宋体" w:hAnsi="Calibri" w:eastAsia="宋体" w:cs="宋体"/>
          <w:b/>
          <w:bCs/>
          <w:color w:val="000000"/>
          <w:szCs w:val="22"/>
          <w:lang w:val="zh-CN" w:eastAsia="zh-CN"/>
        </w:rPr>
      </w:pPr>
    </w:p>
    <w:p>
      <w:pPr>
        <w:keepNext w:val="0"/>
        <w:keepLines w:val="0"/>
        <w:widowControl w:val="0"/>
        <w:suppressLineNumbers w:val="0"/>
        <w:autoSpaceDE w:val="0"/>
        <w:autoSpaceDN w:val="0"/>
        <w:spacing w:before="0" w:beforeAutospacing="0" w:after="0" w:afterAutospacing="0"/>
        <w:ind w:left="420" w:right="0" w:hanging="420"/>
        <w:jc w:val="both"/>
        <w:rPr>
          <w:rFonts w:hint="eastAsia" w:ascii="宋体" w:hAnsi="Calibri" w:eastAsia="宋体" w:cs="宋体"/>
          <w:b/>
          <w:bCs/>
          <w:color w:val="000000"/>
          <w:szCs w:val="22"/>
          <w:lang w:val="zh-CN" w:eastAsia="zh-CN"/>
        </w:rPr>
      </w:pPr>
    </w:p>
    <w:p>
      <w:pPr>
        <w:keepNext w:val="0"/>
        <w:keepLines w:val="0"/>
        <w:widowControl w:val="0"/>
        <w:suppressLineNumbers w:val="0"/>
        <w:autoSpaceDE w:val="0"/>
        <w:autoSpaceDN w:val="0"/>
        <w:spacing w:before="0" w:beforeAutospacing="0" w:after="0" w:afterAutospacing="0"/>
        <w:ind w:left="420" w:right="0" w:hanging="420"/>
        <w:jc w:val="both"/>
        <w:rPr>
          <w:rFonts w:hint="eastAsia" w:ascii="宋体" w:hAnsi="Calibri" w:eastAsia="宋体" w:cs="宋体"/>
          <w:b/>
          <w:bCs/>
          <w:color w:val="000000"/>
          <w:szCs w:val="22"/>
          <w:lang w:val="zh-CN" w:eastAsia="zh-CN"/>
        </w:rPr>
      </w:pPr>
    </w:p>
    <w:p>
      <w:pPr>
        <w:keepNext w:val="0"/>
        <w:keepLines w:val="0"/>
        <w:widowControl w:val="0"/>
        <w:suppressLineNumbers w:val="0"/>
        <w:autoSpaceDE w:val="0"/>
        <w:autoSpaceDN w:val="0"/>
        <w:spacing w:before="0" w:beforeAutospacing="0" w:after="0" w:afterAutospacing="0"/>
        <w:ind w:left="420" w:right="0" w:hanging="420"/>
        <w:jc w:val="both"/>
        <w:rPr>
          <w:rFonts w:hint="eastAsia" w:ascii="宋体" w:hAnsi="Calibri" w:eastAsia="宋体" w:cs="宋体"/>
          <w:b/>
          <w:bCs/>
          <w:color w:val="000000"/>
          <w:szCs w:val="22"/>
          <w:lang w:val="zh-CN" w:eastAsia="zh-CN"/>
        </w:rPr>
      </w:pPr>
    </w:p>
    <w:p>
      <w:pPr>
        <w:keepNext w:val="0"/>
        <w:keepLines w:val="0"/>
        <w:widowControl w:val="0"/>
        <w:suppressLineNumbers w:val="0"/>
        <w:autoSpaceDE w:val="0"/>
        <w:autoSpaceDN w:val="0"/>
        <w:spacing w:before="0" w:beforeAutospacing="0" w:after="0" w:afterAutospacing="0"/>
        <w:ind w:left="0" w:right="0"/>
        <w:jc w:val="both"/>
        <w:rPr>
          <w:rFonts w:hint="eastAsia" w:ascii="宋体" w:hAnsi="Calibri" w:eastAsia="宋体" w:cs="宋体"/>
          <w:b/>
          <w:bCs/>
          <w:color w:val="000000"/>
          <w:szCs w:val="22"/>
          <w:lang w:val="zh-CN" w:eastAsia="zh-CN"/>
        </w:rPr>
      </w:pPr>
    </w:p>
    <w:p>
      <w:pPr>
        <w:keepNext w:val="0"/>
        <w:keepLines w:val="0"/>
        <w:widowControl w:val="0"/>
        <w:suppressLineNumbers w:val="0"/>
        <w:autoSpaceDE w:val="0"/>
        <w:autoSpaceDN w:val="0"/>
        <w:spacing w:before="0" w:beforeAutospacing="0" w:after="0" w:afterAutospacing="0"/>
        <w:ind w:left="0" w:right="0"/>
        <w:jc w:val="center"/>
        <w:rPr>
          <w:rFonts w:hint="eastAsia" w:ascii="宋体" w:hAnsi="Calibri" w:eastAsia="宋体" w:cs="宋体"/>
          <w:b/>
          <w:bCs/>
          <w:color w:val="000000"/>
          <w:sz w:val="24"/>
          <w:szCs w:val="24"/>
          <w:lang w:val="zh-CN" w:eastAsia="zh-CN"/>
        </w:rPr>
      </w:pPr>
      <w:r>
        <w:rPr>
          <w:rFonts w:hint="eastAsia" w:ascii="宋体" w:hAnsi="Calibri" w:eastAsia="宋体" w:cs="宋体"/>
          <w:b/>
          <w:bCs/>
          <w:color w:val="000000"/>
          <w:kern w:val="2"/>
          <w:sz w:val="24"/>
          <w:szCs w:val="24"/>
          <w:lang w:val="zh-CN" w:eastAsia="zh-CN" w:bidi="ar"/>
        </w:rPr>
        <w:t>甲方：中国人民银行征信中心</w:t>
      </w:r>
    </w:p>
    <w:p>
      <w:pPr>
        <w:keepNext w:val="0"/>
        <w:keepLines w:val="0"/>
        <w:widowControl w:val="0"/>
        <w:suppressLineNumbers w:val="0"/>
        <w:autoSpaceDE w:val="0"/>
        <w:autoSpaceDN w:val="0"/>
        <w:spacing w:before="0" w:beforeAutospacing="0" w:after="0" w:afterAutospacing="0"/>
        <w:ind w:left="0" w:right="0"/>
        <w:jc w:val="center"/>
        <w:rPr>
          <w:rFonts w:hint="eastAsia" w:ascii="宋体" w:hAnsi="Calibri" w:eastAsia="宋体" w:cs="宋体"/>
          <w:b/>
          <w:bCs/>
          <w:color w:val="000000"/>
          <w:sz w:val="24"/>
          <w:szCs w:val="24"/>
          <w:lang w:val="zh-CN" w:eastAsia="zh-CN"/>
        </w:rPr>
      </w:pPr>
    </w:p>
    <w:p>
      <w:pPr>
        <w:keepNext w:val="0"/>
        <w:keepLines w:val="0"/>
        <w:widowControl w:val="0"/>
        <w:suppressLineNumbers w:val="0"/>
        <w:autoSpaceDE w:val="0"/>
        <w:autoSpaceDN w:val="0"/>
        <w:spacing w:before="0" w:beforeAutospacing="0" w:after="0" w:afterAutospacing="0"/>
        <w:ind w:left="0" w:right="0" w:firstLine="2650" w:firstLineChars="1100"/>
        <w:jc w:val="both"/>
        <w:rPr>
          <w:rFonts w:hint="eastAsia" w:ascii="宋体" w:hAnsi="Calibri" w:eastAsia="宋体" w:cs="宋体"/>
          <w:b/>
          <w:bCs/>
          <w:color w:val="000000"/>
          <w:sz w:val="24"/>
          <w:szCs w:val="24"/>
          <w:lang w:val="zh-CN" w:eastAsia="zh-CN"/>
        </w:rPr>
      </w:pPr>
      <w:r>
        <w:rPr>
          <w:rFonts w:hint="eastAsia" w:ascii="宋体" w:hAnsi="Calibri" w:eastAsia="宋体" w:cs="宋体"/>
          <w:b/>
          <w:bCs/>
          <w:color w:val="000000"/>
          <w:kern w:val="2"/>
          <w:sz w:val="24"/>
          <w:szCs w:val="24"/>
          <w:lang w:val="zh-CN" w:eastAsia="zh-CN" w:bidi="ar"/>
        </w:rPr>
        <w:t>乙方：</w:t>
      </w:r>
      <w:r>
        <w:rPr>
          <w:rFonts w:hint="eastAsia" w:ascii="宋体" w:hAnsi="宋体" w:eastAsia="宋体" w:cs="宋体"/>
          <w:b/>
          <w:bCs w:val="0"/>
          <w:sz w:val="24"/>
          <w:szCs w:val="24"/>
          <w:lang w:val="en-US" w:eastAsia="zh-CN" w:bidi="ar"/>
        </w:rPr>
        <w:t>北京微通新成网络科技有限公司</w:t>
      </w:r>
    </w:p>
    <w:p>
      <w:pPr>
        <w:keepNext w:val="0"/>
        <w:keepLines w:val="0"/>
        <w:widowControl w:val="0"/>
        <w:suppressLineNumbers w:val="0"/>
        <w:autoSpaceDE w:val="0"/>
        <w:autoSpaceDN w:val="0"/>
        <w:spacing w:before="0" w:beforeAutospacing="0" w:after="0" w:afterAutospacing="0"/>
        <w:ind w:left="420" w:right="0" w:hanging="420"/>
        <w:jc w:val="center"/>
        <w:rPr>
          <w:rFonts w:hint="eastAsia" w:ascii="宋体" w:hAnsi="Calibri" w:eastAsia="宋体" w:cs="宋体"/>
          <w:b/>
          <w:bCs/>
          <w:color w:val="000000"/>
          <w:szCs w:val="22"/>
          <w:lang w:val="zh-CN" w:eastAsia="zh-CN"/>
        </w:rPr>
      </w:pPr>
    </w:p>
    <w:p>
      <w:pPr>
        <w:keepNext w:val="0"/>
        <w:keepLines w:val="0"/>
        <w:widowControl w:val="0"/>
        <w:suppressLineNumbers w:val="0"/>
        <w:autoSpaceDE w:val="0"/>
        <w:autoSpaceDN w:val="0"/>
        <w:spacing w:before="0" w:beforeAutospacing="0" w:after="0" w:afterAutospacing="0"/>
        <w:ind w:left="420" w:right="0" w:hanging="420"/>
        <w:jc w:val="center"/>
        <w:rPr>
          <w:rFonts w:hint="eastAsia" w:ascii="宋体" w:hAnsi="Calibri" w:eastAsia="宋体" w:cs="宋体"/>
          <w:b/>
          <w:bCs/>
          <w:color w:val="000000"/>
          <w:szCs w:val="22"/>
          <w:lang w:val="zh-CN" w:eastAsia="zh-CN"/>
        </w:rPr>
      </w:pPr>
    </w:p>
    <w:p>
      <w:pPr>
        <w:keepNext w:val="0"/>
        <w:keepLines w:val="0"/>
        <w:widowControl/>
        <w:suppressLineNumbers w:val="0"/>
        <w:spacing w:before="0" w:beforeAutospacing="0" w:after="0" w:afterAutospacing="0"/>
        <w:ind w:left="0" w:right="0"/>
        <w:jc w:val="center"/>
        <w:rPr>
          <w:rFonts w:hint="eastAsia" w:ascii="宋体" w:hAnsi="Calibri" w:eastAsia="宋体" w:cs="宋体"/>
          <w:b/>
          <w:bCs/>
          <w:color w:val="000000"/>
          <w:sz w:val="24"/>
          <w:szCs w:val="24"/>
          <w:lang w:val="zh-CN" w:eastAsia="zh-CN"/>
        </w:rPr>
      </w:pPr>
    </w:p>
    <w:p>
      <w:pPr>
        <w:keepNext w:val="0"/>
        <w:keepLines w:val="0"/>
        <w:widowControl/>
        <w:suppressLineNumbers w:val="0"/>
        <w:spacing w:before="0" w:beforeAutospacing="0" w:after="0" w:afterAutospacing="0"/>
        <w:ind w:left="0" w:right="0"/>
        <w:jc w:val="center"/>
        <w:rPr>
          <w:rFonts w:hint="eastAsia" w:ascii="宋体" w:hAnsi="Calibri" w:eastAsia="宋体" w:cs="宋体"/>
          <w:b/>
          <w:bCs/>
          <w:color w:val="000000"/>
          <w:sz w:val="24"/>
          <w:szCs w:val="24"/>
          <w:lang w:val="zh-CN" w:eastAsia="zh-CN"/>
        </w:rPr>
      </w:pPr>
    </w:p>
    <w:p>
      <w:pPr>
        <w:keepNext w:val="0"/>
        <w:keepLines w:val="0"/>
        <w:widowControl/>
        <w:suppressLineNumbers w:val="0"/>
        <w:spacing w:before="0" w:beforeAutospacing="0" w:after="0" w:afterAutospacing="0"/>
        <w:ind w:left="0" w:right="0"/>
        <w:jc w:val="center"/>
        <w:rPr>
          <w:rFonts w:hint="eastAsia" w:ascii="宋体" w:hAnsi="Calibri" w:eastAsia="宋体" w:cs="宋体"/>
          <w:b/>
          <w:bCs/>
          <w:color w:val="000000"/>
          <w:sz w:val="24"/>
          <w:szCs w:val="24"/>
          <w:lang w:val="zh-CN" w:eastAsia="zh-CN"/>
        </w:rPr>
      </w:pPr>
    </w:p>
    <w:p>
      <w:pPr>
        <w:keepNext w:val="0"/>
        <w:keepLines w:val="0"/>
        <w:widowControl/>
        <w:suppressLineNumbers w:val="0"/>
        <w:spacing w:before="0" w:beforeAutospacing="0" w:after="0" w:afterAutospacing="0"/>
        <w:ind w:left="0" w:right="0"/>
        <w:jc w:val="center"/>
        <w:rPr>
          <w:rFonts w:hint="eastAsia" w:ascii="宋体" w:hAnsi="Calibri" w:eastAsia="宋体" w:cs="宋体"/>
          <w:b/>
          <w:bCs/>
          <w:color w:val="000000"/>
          <w:sz w:val="24"/>
          <w:szCs w:val="24"/>
          <w:lang w:val="zh-CN" w:eastAsia="zh-CN"/>
        </w:rPr>
      </w:pPr>
    </w:p>
    <w:p>
      <w:pPr>
        <w:keepNext w:val="0"/>
        <w:keepLines w:val="0"/>
        <w:widowControl/>
        <w:suppressLineNumbers w:val="0"/>
        <w:spacing w:before="0" w:beforeAutospacing="0" w:after="0" w:afterAutospacing="0"/>
        <w:ind w:left="0" w:right="0"/>
        <w:jc w:val="center"/>
        <w:rPr>
          <w:rFonts w:hint="eastAsia" w:ascii="宋体" w:hAnsi="Calibri" w:eastAsia="宋体" w:cs="宋体"/>
          <w:b/>
          <w:bCs/>
          <w:color w:val="000000"/>
          <w:sz w:val="24"/>
          <w:szCs w:val="24"/>
          <w:lang w:val="zh-CN" w:eastAsia="zh-CN"/>
        </w:rPr>
      </w:pPr>
    </w:p>
    <w:p>
      <w:pPr>
        <w:keepNext w:val="0"/>
        <w:keepLines w:val="0"/>
        <w:widowControl/>
        <w:suppressLineNumbers w:val="0"/>
        <w:spacing w:before="0" w:beforeAutospacing="0" w:after="0" w:afterAutospacing="0"/>
        <w:ind w:left="0" w:right="0"/>
        <w:jc w:val="center"/>
        <w:rPr>
          <w:rFonts w:hint="eastAsia" w:ascii="宋体" w:hAnsi="Calibri" w:eastAsia="宋体" w:cs="宋体"/>
          <w:b/>
          <w:bCs/>
          <w:color w:val="000000"/>
          <w:sz w:val="24"/>
          <w:szCs w:val="24"/>
          <w:lang w:val="zh-CN" w:eastAsia="zh-CN"/>
        </w:rPr>
      </w:pPr>
      <w:r>
        <w:rPr>
          <w:rFonts w:hint="eastAsia" w:ascii="宋体" w:hAnsi="Calibri" w:eastAsia="宋体" w:cs="宋体"/>
          <w:b/>
          <w:bCs/>
          <w:color w:val="000000"/>
          <w:kern w:val="2"/>
          <w:sz w:val="24"/>
          <w:szCs w:val="24"/>
          <w:lang w:val="zh-CN" w:eastAsia="zh-CN" w:bidi="ar"/>
        </w:rPr>
        <w:t>二〇二</w:t>
      </w:r>
      <w:r>
        <w:rPr>
          <w:rFonts w:hint="eastAsia" w:ascii="宋体" w:hAnsi="Calibri" w:eastAsia="宋体" w:cs="宋体"/>
          <w:b/>
          <w:bCs/>
          <w:color w:val="000000"/>
          <w:kern w:val="2"/>
          <w:sz w:val="24"/>
          <w:szCs w:val="24"/>
          <w:lang w:val="en-US" w:eastAsia="zh-CN" w:bidi="ar"/>
        </w:rPr>
        <w:t>五</w:t>
      </w:r>
      <w:r>
        <w:rPr>
          <w:rFonts w:hint="eastAsia" w:ascii="宋体" w:hAnsi="Calibri" w:eastAsia="宋体" w:cs="宋体"/>
          <w:b/>
          <w:bCs/>
          <w:color w:val="000000"/>
          <w:kern w:val="2"/>
          <w:sz w:val="24"/>
          <w:szCs w:val="24"/>
          <w:lang w:val="zh-CN" w:eastAsia="zh-CN" w:bidi="ar"/>
        </w:rPr>
        <w:t>年</w:t>
      </w:r>
      <w:r>
        <w:rPr>
          <w:rFonts w:hint="eastAsia" w:ascii="宋体" w:hAnsi="Calibri" w:eastAsia="宋体" w:cs="宋体"/>
          <w:b/>
          <w:bCs/>
          <w:color w:val="000000"/>
          <w:kern w:val="2"/>
          <w:sz w:val="24"/>
          <w:szCs w:val="24"/>
          <w:lang w:val="en-US" w:eastAsia="zh-CN" w:bidi="ar"/>
        </w:rPr>
        <w:t>十二</w:t>
      </w:r>
      <w:r>
        <w:rPr>
          <w:rFonts w:hint="eastAsia" w:ascii="宋体" w:hAnsi="Calibri" w:eastAsia="宋体" w:cs="宋体"/>
          <w:b/>
          <w:bCs/>
          <w:color w:val="000000"/>
          <w:kern w:val="2"/>
          <w:sz w:val="24"/>
          <w:szCs w:val="24"/>
          <w:lang w:val="zh-CN" w:eastAsia="zh-CN" w:bidi="ar"/>
        </w:rPr>
        <w:t>月</w:t>
      </w:r>
    </w:p>
    <w:p>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000000"/>
          <w:sz w:val="24"/>
          <w:szCs w:val="24"/>
          <w:lang w:val="en-US"/>
        </w:rPr>
      </w:pPr>
    </w:p>
    <w:p>
      <w:pPr>
        <w:keepNext w:val="0"/>
        <w:keepLines w:val="0"/>
        <w:widowControl w:val="0"/>
        <w:suppressLineNumbers w:val="0"/>
        <w:spacing w:before="0" w:beforeAutospacing="0" w:after="0" w:afterAutospacing="0"/>
        <w:ind w:left="0" w:right="0"/>
        <w:jc w:val="center"/>
        <w:rPr>
          <w:rFonts w:hint="default" w:ascii="Calibri" w:hAnsi="Calibri" w:eastAsia="黑体" w:cs="Times New Roman"/>
          <w:b/>
          <w:bCs/>
          <w:color w:val="000000"/>
          <w:sz w:val="24"/>
          <w:szCs w:val="24"/>
          <w:lang w:val="en-US"/>
        </w:rPr>
      </w:pPr>
      <w:r>
        <w:rPr>
          <w:rFonts w:hint="eastAsia" w:ascii="宋体" w:hAnsi="宋体" w:eastAsia="宋体" w:cs="宋体"/>
          <w:b/>
          <w:bCs w:val="0"/>
          <w:color w:val="000000"/>
          <w:kern w:val="2"/>
          <w:sz w:val="24"/>
          <w:szCs w:val="24"/>
          <w:lang w:val="en-US" w:eastAsia="zh-CN" w:bidi="ar"/>
        </w:rPr>
        <w:t>签订地点：上海</w:t>
      </w:r>
    </w:p>
    <w:p>
      <w:pPr>
        <w:spacing w:line="360" w:lineRule="auto"/>
        <w:rPr>
          <w:rFonts w:hint="eastAsia" w:ascii="宋体" w:hAnsi="宋体" w:eastAsia="宋体" w:cs="Times New Roman"/>
          <w:bCs/>
          <w:color w:val="000000"/>
          <w:kern w:val="2"/>
          <w:sz w:val="21"/>
          <w:szCs w:val="22"/>
          <w:lang w:val="en-US" w:eastAsia="zh-CN" w:bidi="ar"/>
        </w:rPr>
        <w:sectPr>
          <w:footerReference r:id="rId3" w:type="default"/>
          <w:pgSz w:w="11906" w:h="16838"/>
          <w:pgMar w:top="2007" w:right="1797" w:bottom="2007" w:left="1797" w:header="851" w:footer="1344" w:gutter="0"/>
          <w:cols w:space="425" w:num="1"/>
          <w:docGrid w:type="lines" w:linePitch="312" w:charSpace="0"/>
        </w:sectPr>
      </w:pPr>
    </w:p>
    <w:p>
      <w:pPr>
        <w:keepNext w:val="0"/>
        <w:keepLines w:val="0"/>
        <w:widowControl w:val="0"/>
        <w:suppressLineNumbers w:val="0"/>
        <w:tabs>
          <w:tab w:val="left" w:pos="840"/>
        </w:tabs>
        <w:spacing w:before="0" w:beforeAutospacing="0" w:after="0" w:afterAutospacing="0" w:line="360" w:lineRule="auto"/>
        <w:ind w:left="840" w:right="0" w:hanging="420"/>
        <w:jc w:val="both"/>
        <w:rPr>
          <w:rFonts w:hint="eastAsia" w:ascii="宋体" w:hAnsi="宋体" w:eastAsia="宋体" w:cs="宋体"/>
          <w:b/>
          <w:bCs/>
          <w:sz w:val="24"/>
          <w:szCs w:val="24"/>
          <w:lang w:val="en-US"/>
        </w:rPr>
      </w:pPr>
    </w:p>
    <w:p>
      <w:pPr>
        <w:keepNext w:val="0"/>
        <w:keepLines w:val="0"/>
        <w:widowControl w:val="0"/>
        <w:suppressLineNumbers w:val="0"/>
        <w:tabs>
          <w:tab w:val="left" w:pos="840"/>
        </w:tabs>
        <w:spacing w:before="0" w:beforeAutospacing="0" w:after="0" w:afterAutospacing="0" w:line="360" w:lineRule="auto"/>
        <w:ind w:left="840" w:right="0" w:hanging="420"/>
        <w:jc w:val="both"/>
        <w:rPr>
          <w:rFonts w:hint="eastAsia" w:ascii="宋体" w:hAnsi="宋体" w:eastAsia="宋体" w:cs="宋体"/>
          <w:bCs/>
          <w:sz w:val="24"/>
          <w:szCs w:val="24"/>
          <w:lang w:val="en-US"/>
        </w:rPr>
      </w:pPr>
      <w:r>
        <w:rPr>
          <w:rFonts w:hint="eastAsia" w:ascii="宋体" w:hAnsi="宋体" w:eastAsia="宋体" w:cs="宋体"/>
          <w:b/>
          <w:bCs/>
          <w:kern w:val="2"/>
          <w:sz w:val="24"/>
          <w:szCs w:val="24"/>
          <w:lang w:val="en-US" w:eastAsia="zh-CN" w:bidi="ar"/>
        </w:rPr>
        <w:t>甲方：中国人民银行征信中心</w:t>
      </w:r>
    </w:p>
    <w:p>
      <w:pPr>
        <w:keepNext w:val="0"/>
        <w:keepLines w:val="0"/>
        <w:widowControl w:val="0"/>
        <w:suppressLineNumbers w:val="0"/>
        <w:tabs>
          <w:tab w:val="left" w:pos="840"/>
        </w:tabs>
        <w:spacing w:before="0" w:beforeAutospacing="0" w:after="0" w:afterAutospacing="0" w:line="360" w:lineRule="auto"/>
        <w:ind w:left="840" w:right="0" w:hanging="420"/>
        <w:jc w:val="both"/>
        <w:rPr>
          <w:rFonts w:hint="eastAsia" w:ascii="宋体" w:hAnsi="宋体" w:eastAsia="宋体" w:cs="宋体"/>
          <w:bCs/>
          <w:sz w:val="24"/>
          <w:szCs w:val="24"/>
          <w:lang w:val="en-US"/>
        </w:rPr>
      </w:pPr>
      <w:r>
        <w:rPr>
          <w:rFonts w:hint="eastAsia" w:ascii="宋体" w:hAnsi="宋体" w:eastAsia="宋体" w:cs="宋体"/>
          <w:bCs/>
          <w:sz w:val="24"/>
          <w:szCs w:val="24"/>
          <w:lang w:val="en-US"/>
        </w:rPr>
        <w:t>法定代表人：</w:t>
      </w:r>
    </w:p>
    <w:p>
      <w:pPr>
        <w:keepNext w:val="0"/>
        <w:keepLines w:val="0"/>
        <w:widowControl w:val="0"/>
        <w:suppressLineNumbers w:val="0"/>
        <w:tabs>
          <w:tab w:val="left" w:pos="840"/>
        </w:tabs>
        <w:spacing w:before="0" w:beforeAutospacing="0" w:after="0" w:afterAutospacing="0" w:line="360" w:lineRule="auto"/>
        <w:ind w:left="840" w:right="0" w:hanging="420"/>
        <w:jc w:val="both"/>
        <w:rPr>
          <w:rFonts w:hint="eastAsia" w:ascii="宋体" w:hAnsi="宋体" w:eastAsia="宋体" w:cs="宋体"/>
          <w:bCs/>
          <w:sz w:val="24"/>
          <w:szCs w:val="24"/>
          <w:lang w:val="en-US"/>
        </w:rPr>
      </w:pPr>
      <w:r>
        <w:rPr>
          <w:rFonts w:hint="eastAsia" w:ascii="宋体" w:hAnsi="宋体" w:eastAsia="宋体" w:cs="宋体"/>
          <w:bCs/>
          <w:sz w:val="24"/>
          <w:szCs w:val="24"/>
          <w:lang w:val="en-US"/>
        </w:rPr>
        <w:t>地    址：</w:t>
      </w:r>
    </w:p>
    <w:p>
      <w:pPr>
        <w:keepNext w:val="0"/>
        <w:keepLines w:val="0"/>
        <w:widowControl w:val="0"/>
        <w:suppressLineNumbers w:val="0"/>
        <w:tabs>
          <w:tab w:val="left" w:pos="840"/>
        </w:tabs>
        <w:spacing w:before="0" w:beforeAutospacing="0" w:after="0" w:afterAutospacing="0" w:line="360" w:lineRule="auto"/>
        <w:ind w:left="840" w:right="0" w:hanging="420"/>
        <w:jc w:val="both"/>
        <w:rPr>
          <w:rFonts w:hint="eastAsia" w:ascii="宋体" w:hAnsi="宋体" w:eastAsia="宋体" w:cs="宋体"/>
          <w:bCs/>
          <w:sz w:val="24"/>
          <w:szCs w:val="24"/>
          <w:lang w:val="en-US"/>
        </w:rPr>
      </w:pPr>
      <w:r>
        <w:rPr>
          <w:rFonts w:hint="eastAsia" w:ascii="宋体" w:hAnsi="宋体" w:eastAsia="宋体" w:cs="宋体"/>
          <w:bCs/>
          <w:sz w:val="24"/>
          <w:szCs w:val="24"/>
          <w:lang w:val="en-US"/>
        </w:rPr>
        <w:t>邮政编码：</w:t>
      </w:r>
    </w:p>
    <w:p>
      <w:pPr>
        <w:keepNext w:val="0"/>
        <w:keepLines w:val="0"/>
        <w:widowControl w:val="0"/>
        <w:suppressLineNumbers w:val="0"/>
        <w:tabs>
          <w:tab w:val="left" w:pos="840"/>
        </w:tabs>
        <w:spacing w:before="0" w:beforeAutospacing="0" w:after="0" w:afterAutospacing="0" w:line="360" w:lineRule="auto"/>
        <w:ind w:left="840" w:right="0" w:hanging="420"/>
        <w:jc w:val="both"/>
        <w:rPr>
          <w:rFonts w:hint="eastAsia" w:ascii="宋体" w:hAnsi="宋体" w:eastAsia="宋体" w:cs="宋体"/>
          <w:bCs/>
          <w:sz w:val="24"/>
          <w:szCs w:val="24"/>
          <w:lang w:val="en-US"/>
        </w:rPr>
      </w:pPr>
      <w:r>
        <w:rPr>
          <w:rFonts w:hint="eastAsia" w:ascii="宋体" w:hAnsi="宋体" w:eastAsia="宋体" w:cs="宋体"/>
          <w:bCs/>
          <w:sz w:val="24"/>
          <w:szCs w:val="24"/>
          <w:lang w:val="en-US"/>
        </w:rPr>
        <w:t>联 系 人：</w:t>
      </w:r>
    </w:p>
    <w:p>
      <w:pPr>
        <w:keepNext w:val="0"/>
        <w:keepLines w:val="0"/>
        <w:widowControl w:val="0"/>
        <w:suppressLineNumbers w:val="0"/>
        <w:tabs>
          <w:tab w:val="left" w:pos="840"/>
        </w:tabs>
        <w:spacing w:before="0" w:beforeAutospacing="0" w:after="0" w:afterAutospacing="0" w:line="360" w:lineRule="auto"/>
        <w:ind w:left="840" w:right="0" w:hanging="420"/>
        <w:jc w:val="both"/>
        <w:rPr>
          <w:rFonts w:hint="eastAsia" w:ascii="宋体" w:hAnsi="宋体" w:eastAsia="宋体" w:cs="宋体"/>
          <w:bCs/>
          <w:sz w:val="24"/>
          <w:szCs w:val="24"/>
          <w:lang w:val="en-US"/>
        </w:rPr>
      </w:pPr>
      <w:r>
        <w:rPr>
          <w:rFonts w:hint="eastAsia" w:ascii="宋体" w:hAnsi="宋体" w:eastAsia="宋体" w:cs="宋体"/>
          <w:bCs/>
          <w:sz w:val="24"/>
          <w:szCs w:val="24"/>
          <w:lang w:val="en-US"/>
        </w:rPr>
        <w:t>联系电话：</w:t>
      </w:r>
    </w:p>
    <w:p>
      <w:pPr>
        <w:keepNext w:val="0"/>
        <w:keepLines w:val="0"/>
        <w:widowControl w:val="0"/>
        <w:suppressLineNumbers w:val="0"/>
        <w:tabs>
          <w:tab w:val="left" w:pos="840"/>
        </w:tabs>
        <w:spacing w:before="0" w:beforeAutospacing="0" w:after="0" w:afterAutospacing="0" w:line="360" w:lineRule="auto"/>
        <w:ind w:left="840" w:right="0" w:hanging="420"/>
        <w:jc w:val="both"/>
        <w:rPr>
          <w:rFonts w:hint="eastAsia" w:ascii="宋体" w:hAnsi="宋体" w:eastAsia="宋体" w:cs="宋体"/>
          <w:bCs/>
          <w:sz w:val="24"/>
          <w:szCs w:val="24"/>
          <w:lang w:val="en-US"/>
        </w:rPr>
      </w:pPr>
      <w:r>
        <w:rPr>
          <w:rFonts w:hint="eastAsia" w:ascii="宋体" w:hAnsi="宋体" w:eastAsia="宋体" w:cs="宋体"/>
          <w:bCs/>
          <w:sz w:val="24"/>
          <w:szCs w:val="24"/>
          <w:lang w:val="en-US"/>
        </w:rPr>
        <w:t>传真号码：</w:t>
      </w:r>
    </w:p>
    <w:p>
      <w:pPr>
        <w:keepNext w:val="0"/>
        <w:keepLines w:val="0"/>
        <w:widowControl w:val="0"/>
        <w:suppressLineNumbers w:val="0"/>
        <w:tabs>
          <w:tab w:val="left" w:pos="840"/>
        </w:tabs>
        <w:spacing w:before="0" w:beforeAutospacing="0" w:after="0" w:afterAutospacing="0" w:line="360" w:lineRule="auto"/>
        <w:ind w:left="840" w:right="0" w:hanging="420"/>
        <w:jc w:val="both"/>
        <w:rPr>
          <w:rFonts w:hint="eastAsia" w:ascii="宋体" w:hAnsi="宋体" w:eastAsia="宋体" w:cs="宋体"/>
          <w:bCs/>
          <w:sz w:val="24"/>
          <w:szCs w:val="24"/>
          <w:lang w:val="en-US"/>
        </w:rPr>
      </w:pPr>
      <w:r>
        <w:rPr>
          <w:rFonts w:hint="eastAsia" w:ascii="宋体" w:hAnsi="宋体" w:eastAsia="宋体" w:cs="宋体"/>
          <w:bCs/>
          <w:sz w:val="24"/>
          <w:szCs w:val="24"/>
          <w:lang w:val="en-US"/>
        </w:rPr>
        <w:t>开户银行：</w:t>
      </w:r>
    </w:p>
    <w:p>
      <w:pPr>
        <w:keepNext w:val="0"/>
        <w:keepLines w:val="0"/>
        <w:widowControl w:val="0"/>
        <w:suppressLineNumbers w:val="0"/>
        <w:tabs>
          <w:tab w:val="left" w:pos="840"/>
        </w:tabs>
        <w:spacing w:before="0" w:beforeAutospacing="0" w:after="0" w:afterAutospacing="0" w:line="360" w:lineRule="auto"/>
        <w:ind w:left="840" w:right="0" w:hanging="420"/>
        <w:jc w:val="both"/>
        <w:rPr>
          <w:rFonts w:hint="eastAsia" w:ascii="宋体" w:hAnsi="宋体" w:eastAsia="宋体" w:cs="宋体"/>
          <w:bCs/>
          <w:sz w:val="24"/>
          <w:szCs w:val="24"/>
          <w:lang w:val="en-US"/>
        </w:rPr>
      </w:pPr>
      <w:r>
        <w:rPr>
          <w:rFonts w:hint="eastAsia" w:ascii="宋体" w:hAnsi="宋体" w:eastAsia="宋体" w:cs="宋体"/>
          <w:bCs/>
          <w:sz w:val="24"/>
          <w:szCs w:val="24"/>
          <w:lang w:val="en-US"/>
        </w:rPr>
        <w:t>银行账号：</w:t>
      </w:r>
    </w:p>
    <w:p>
      <w:pPr>
        <w:keepNext w:val="0"/>
        <w:keepLines w:val="0"/>
        <w:widowControl w:val="0"/>
        <w:suppressLineNumbers w:val="0"/>
        <w:tabs>
          <w:tab w:val="left" w:pos="840"/>
        </w:tabs>
        <w:spacing w:before="0" w:beforeAutospacing="0" w:after="0" w:afterAutospacing="0" w:line="360" w:lineRule="auto"/>
        <w:ind w:left="840" w:right="0" w:hanging="420"/>
        <w:jc w:val="both"/>
        <w:rPr>
          <w:rFonts w:hint="eastAsia" w:ascii="宋体" w:hAnsi="宋体" w:eastAsia="宋体" w:cs="宋体"/>
          <w:bCs/>
          <w:sz w:val="24"/>
          <w:szCs w:val="24"/>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sz w:val="24"/>
          <w:szCs w:val="24"/>
          <w:lang w:val="en-US"/>
        </w:rPr>
      </w:pPr>
    </w:p>
    <w:p>
      <w:pPr>
        <w:keepNext w:val="0"/>
        <w:keepLines w:val="0"/>
        <w:widowControl w:val="0"/>
        <w:suppressLineNumbers w:val="0"/>
        <w:tabs>
          <w:tab w:val="left" w:pos="840"/>
        </w:tabs>
        <w:spacing w:before="0" w:beforeAutospacing="0" w:after="0" w:afterAutospacing="0" w:line="360" w:lineRule="auto"/>
        <w:ind w:left="840" w:right="0" w:hanging="420"/>
        <w:jc w:val="both"/>
        <w:rPr>
          <w:rFonts w:hint="eastAsia" w:ascii="宋体" w:hAnsi="宋体" w:eastAsia="宋体" w:cs="宋体"/>
          <w:b/>
          <w:bCs/>
          <w:kern w:val="2"/>
          <w:sz w:val="24"/>
          <w:szCs w:val="24"/>
          <w:lang w:val="en-US" w:eastAsia="zh-CN" w:bidi="ar"/>
        </w:rPr>
      </w:pPr>
      <w:r>
        <w:rPr>
          <w:rFonts w:hint="eastAsia" w:ascii="宋体" w:hAnsi="宋体" w:eastAsia="宋体" w:cs="宋体"/>
          <w:b/>
          <w:bCs/>
          <w:kern w:val="2"/>
          <w:sz w:val="24"/>
          <w:szCs w:val="24"/>
          <w:lang w:val="en-US" w:eastAsia="zh-CN" w:bidi="ar"/>
        </w:rPr>
        <w:t>乙方：北京微通新成网络科技有限公司</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Cs/>
          <w:kern w:val="2"/>
          <w:sz w:val="24"/>
          <w:szCs w:val="24"/>
          <w:highlight w:val="none"/>
          <w:lang w:val="en-US" w:eastAsia="zh-CN" w:bidi="ar"/>
        </w:rPr>
      </w:pPr>
      <w:r>
        <w:rPr>
          <w:rFonts w:hint="eastAsia" w:ascii="宋体" w:hAnsi="宋体" w:eastAsia="宋体" w:cs="宋体"/>
          <w:bCs/>
          <w:kern w:val="2"/>
          <w:sz w:val="24"/>
          <w:szCs w:val="24"/>
          <w:highlight w:val="none"/>
          <w:lang w:val="en-US" w:eastAsia="zh-CN" w:bidi="ar"/>
        </w:rPr>
        <w:t>法定代表人：</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Cs/>
          <w:kern w:val="2"/>
          <w:sz w:val="24"/>
          <w:szCs w:val="24"/>
          <w:highlight w:val="none"/>
          <w:lang w:val="en-US" w:eastAsia="zh-CN" w:bidi="ar"/>
        </w:rPr>
      </w:pPr>
      <w:r>
        <w:rPr>
          <w:rFonts w:hint="eastAsia" w:ascii="宋体" w:hAnsi="宋体" w:eastAsia="宋体" w:cs="宋体"/>
          <w:bCs/>
          <w:kern w:val="2"/>
          <w:sz w:val="24"/>
          <w:szCs w:val="24"/>
          <w:highlight w:val="none"/>
          <w:lang w:val="en-US" w:eastAsia="zh-CN" w:bidi="ar"/>
        </w:rPr>
        <w:t>地址：</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Cs/>
          <w:kern w:val="2"/>
          <w:sz w:val="24"/>
          <w:szCs w:val="24"/>
          <w:highlight w:val="none"/>
          <w:lang w:val="en-US" w:eastAsia="zh-CN" w:bidi="ar"/>
        </w:rPr>
      </w:pPr>
      <w:r>
        <w:rPr>
          <w:rFonts w:hint="eastAsia" w:ascii="宋体" w:hAnsi="宋体" w:eastAsia="宋体" w:cs="宋体"/>
          <w:bCs/>
          <w:kern w:val="2"/>
          <w:sz w:val="24"/>
          <w:szCs w:val="24"/>
          <w:highlight w:val="none"/>
          <w:lang w:val="en-US" w:eastAsia="zh-CN" w:bidi="ar"/>
        </w:rPr>
        <w:t>邮政编码：</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Cs/>
          <w:kern w:val="2"/>
          <w:sz w:val="24"/>
          <w:szCs w:val="24"/>
          <w:highlight w:val="none"/>
          <w:lang w:val="en-US" w:eastAsia="zh-CN" w:bidi="ar"/>
        </w:rPr>
      </w:pPr>
      <w:r>
        <w:rPr>
          <w:rFonts w:hint="eastAsia" w:ascii="宋体" w:hAnsi="宋体" w:eastAsia="宋体" w:cs="宋体"/>
          <w:bCs/>
          <w:kern w:val="2"/>
          <w:sz w:val="24"/>
          <w:szCs w:val="24"/>
          <w:highlight w:val="none"/>
          <w:lang w:val="en-US" w:eastAsia="zh-CN" w:bidi="ar"/>
        </w:rPr>
        <w:t>联系人：</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Cs/>
          <w:kern w:val="2"/>
          <w:sz w:val="24"/>
          <w:szCs w:val="24"/>
          <w:highlight w:val="none"/>
          <w:lang w:val="en-US" w:eastAsia="zh-CN" w:bidi="ar"/>
        </w:rPr>
      </w:pPr>
      <w:r>
        <w:rPr>
          <w:rFonts w:hint="eastAsia" w:ascii="宋体" w:hAnsi="宋体" w:eastAsia="宋体" w:cs="宋体"/>
          <w:bCs/>
          <w:kern w:val="2"/>
          <w:sz w:val="24"/>
          <w:szCs w:val="24"/>
          <w:highlight w:val="none"/>
          <w:lang w:val="en-US" w:eastAsia="zh-CN" w:bidi="ar"/>
        </w:rPr>
        <w:t>联系电话：</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Cs/>
          <w:kern w:val="2"/>
          <w:sz w:val="24"/>
          <w:szCs w:val="24"/>
          <w:highlight w:val="none"/>
          <w:lang w:val="en-US" w:eastAsia="zh-CN" w:bidi="ar"/>
        </w:rPr>
      </w:pPr>
      <w:r>
        <w:rPr>
          <w:rFonts w:hint="eastAsia" w:ascii="宋体" w:hAnsi="宋体" w:eastAsia="宋体" w:cs="宋体"/>
          <w:bCs/>
          <w:kern w:val="2"/>
          <w:sz w:val="24"/>
          <w:szCs w:val="24"/>
          <w:highlight w:val="none"/>
          <w:lang w:val="en-US" w:eastAsia="zh-CN" w:bidi="ar"/>
        </w:rPr>
        <w:t>传真号码：</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Cs/>
          <w:kern w:val="2"/>
          <w:sz w:val="24"/>
          <w:szCs w:val="24"/>
          <w:highlight w:val="none"/>
          <w:lang w:val="en-US" w:eastAsia="zh-CN" w:bidi="ar"/>
        </w:rPr>
      </w:pPr>
      <w:r>
        <w:rPr>
          <w:rFonts w:hint="eastAsia" w:ascii="宋体" w:hAnsi="宋体" w:eastAsia="宋体" w:cs="宋体"/>
          <w:bCs/>
          <w:kern w:val="2"/>
          <w:sz w:val="24"/>
          <w:szCs w:val="24"/>
          <w:highlight w:val="none"/>
          <w:lang w:val="en-US" w:eastAsia="zh-CN" w:bidi="ar"/>
        </w:rPr>
        <w:t>开户银行：</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Cs/>
          <w:kern w:val="2"/>
          <w:sz w:val="24"/>
          <w:szCs w:val="24"/>
          <w:highlight w:val="none"/>
          <w:lang w:val="en-US" w:eastAsia="zh-CN" w:bidi="ar"/>
        </w:rPr>
      </w:pPr>
      <w:r>
        <w:rPr>
          <w:rFonts w:hint="eastAsia" w:ascii="宋体" w:hAnsi="宋体" w:eastAsia="宋体" w:cs="宋体"/>
          <w:bCs/>
          <w:kern w:val="2"/>
          <w:sz w:val="24"/>
          <w:szCs w:val="24"/>
          <w:highlight w:val="none"/>
          <w:lang w:val="en-US" w:eastAsia="zh-CN" w:bidi="ar"/>
        </w:rPr>
        <w:t>银行账号：</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Times New Roman"/>
          <w:bCs/>
          <w:kern w:val="2"/>
          <w:sz w:val="24"/>
          <w:szCs w:val="24"/>
          <w:highlight w:val="none"/>
          <w:lang w:val="en-US" w:eastAsia="zh-CN" w:bidi="ar"/>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bCs/>
          <w:kern w:val="2"/>
          <w:sz w:val="24"/>
          <w:szCs w:val="24"/>
          <w:highlight w:val="none"/>
          <w:lang w:val="en-US" w:eastAsia="zh-CN" w:bidi="ar"/>
        </w:rPr>
        <w:t>税号：</w:t>
      </w:r>
      <w:bookmarkStart w:id="0" w:name="_GoBack"/>
      <w:bookmarkEnd w:id="0"/>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甲乙双方依据“2026年安全软硬件设备维保服务采购项目（包5）（项目编号：ZXDY-2025-034）”谈判采购结果，本着自愿、平等、互利、诚实信用的原则，通过友好协商，现授权各自代表按照下述条款签署本合同。</w:t>
      </w:r>
    </w:p>
    <w:p>
      <w:pPr>
        <w:keepNext w:val="0"/>
        <w:keepLines w:val="0"/>
        <w:widowControl w:val="0"/>
        <w:suppressLineNumbers w:val="0"/>
        <w:spacing w:before="120" w:beforeLines="50" w:beforeAutospacing="0" w:after="0" w:afterAutospacing="0" w:line="360" w:lineRule="auto"/>
        <w:ind w:left="0" w:right="0"/>
        <w:jc w:val="center"/>
        <w:outlineLvl w:val="3"/>
        <w:rPr>
          <w:rFonts w:hint="default" w:ascii="Calibri" w:hAnsi="Calibri" w:cs="Times New Roman"/>
          <w:b/>
          <w:bCs/>
          <w:color w:val="000000"/>
          <w:sz w:val="28"/>
          <w:szCs w:val="22"/>
          <w:lang w:val="en-US"/>
        </w:rPr>
      </w:pPr>
      <w:r>
        <w:rPr>
          <w:rFonts w:hint="eastAsia" w:ascii="Calibri" w:hAnsi="Calibri" w:eastAsia="宋体" w:cs="宋体"/>
          <w:b/>
          <w:bCs/>
          <w:color w:val="000000"/>
          <w:kern w:val="2"/>
          <w:sz w:val="28"/>
          <w:szCs w:val="22"/>
          <w:lang w:val="en-US" w:eastAsia="zh-CN" w:bidi="ar"/>
        </w:rPr>
        <w:t>第一部分</w:t>
      </w:r>
      <w:r>
        <w:rPr>
          <w:rFonts w:hint="default" w:ascii="Calibri" w:hAnsi="Calibri" w:eastAsia="宋体" w:cs="Times New Roman"/>
          <w:b/>
          <w:bCs/>
          <w:color w:val="000000"/>
          <w:kern w:val="2"/>
          <w:sz w:val="28"/>
          <w:szCs w:val="22"/>
          <w:lang w:val="en-US" w:eastAsia="zh-CN" w:bidi="ar"/>
        </w:rPr>
        <w:t xml:space="preserve"> </w:t>
      </w:r>
      <w:r>
        <w:rPr>
          <w:rFonts w:hint="eastAsia" w:ascii="Calibri" w:hAnsi="Calibri" w:eastAsia="宋体" w:cs="宋体"/>
          <w:b/>
          <w:bCs/>
          <w:color w:val="000000"/>
          <w:kern w:val="2"/>
          <w:sz w:val="28"/>
          <w:szCs w:val="22"/>
          <w:lang w:val="en-US" w:eastAsia="zh-CN" w:bidi="ar"/>
        </w:rPr>
        <w:t>合同的组成</w:t>
      </w:r>
    </w:p>
    <w:p>
      <w:pPr>
        <w:keepNext w:val="0"/>
        <w:keepLines w:val="0"/>
        <w:widowControl w:val="0"/>
        <w:suppressLineNumbers w:val="0"/>
        <w:autoSpaceDE w:val="0"/>
        <w:autoSpaceDN w:val="0"/>
        <w:spacing w:before="0" w:beforeAutospacing="0" w:after="0" w:afterAutospacing="0" w:line="360" w:lineRule="auto"/>
        <w:ind w:left="562" w:right="0"/>
        <w:jc w:val="both"/>
        <w:rPr>
          <w:rFonts w:hint="eastAsia" w:ascii="宋体" w:hAnsi="Calibri" w:eastAsia="宋体" w:cs="宋体"/>
          <w:b/>
          <w:bCs/>
          <w:sz w:val="24"/>
          <w:szCs w:val="24"/>
          <w:lang w:val="en-US"/>
        </w:rPr>
      </w:pPr>
      <w:r>
        <w:rPr>
          <w:rFonts w:hint="eastAsia" w:ascii="宋体" w:hAnsi="Calibri" w:eastAsia="宋体" w:cs="宋体"/>
          <w:kern w:val="2"/>
          <w:sz w:val="24"/>
          <w:szCs w:val="24"/>
          <w:lang w:val="en-US" w:eastAsia="zh-CN" w:bidi="ar"/>
        </w:rPr>
        <w:t>1.1</w:t>
      </w:r>
      <w:r>
        <w:rPr>
          <w:rFonts w:hint="eastAsia" w:ascii="宋体" w:hAnsi="Calibri" w:eastAsia="宋体" w:cs="宋体"/>
          <w:kern w:val="2"/>
          <w:sz w:val="24"/>
          <w:szCs w:val="24"/>
          <w:lang w:val="zh-CN" w:eastAsia="zh-CN" w:bidi="ar"/>
        </w:rPr>
        <w:t>下述文件是构成本合同不可分割的部分</w:t>
      </w:r>
      <w:r>
        <w:rPr>
          <w:rFonts w:hint="eastAsia" w:ascii="宋体" w:hAnsi="Calibri" w:eastAsia="宋体" w:cs="宋体"/>
          <w:kern w:val="2"/>
          <w:sz w:val="24"/>
          <w:szCs w:val="24"/>
          <w:lang w:val="en-US" w:eastAsia="zh-CN" w:bidi="ar"/>
        </w:rPr>
        <w:t>:</w:t>
      </w:r>
    </w:p>
    <w:p>
      <w:pPr>
        <w:keepNext w:val="0"/>
        <w:keepLines w:val="0"/>
        <w:widowControl w:val="0"/>
        <w:suppressLineNumbers w:val="0"/>
        <w:autoSpaceDE w:val="0"/>
        <w:autoSpaceDN w:val="0"/>
        <w:spacing w:before="0" w:beforeAutospacing="0" w:after="0" w:afterAutospacing="0" w:line="360" w:lineRule="auto"/>
        <w:ind w:left="480" w:right="0"/>
        <w:jc w:val="both"/>
        <w:rPr>
          <w:rFonts w:hint="eastAsia" w:ascii="宋体" w:hAnsi="Calibri" w:eastAsia="宋体" w:cs="宋体"/>
          <w:sz w:val="24"/>
          <w:szCs w:val="24"/>
          <w:lang w:val="zh-CN" w:eastAsia="zh-CN"/>
        </w:rPr>
      </w:pPr>
      <w:r>
        <w:rPr>
          <w:rFonts w:hint="eastAsia" w:ascii="宋体" w:hAnsi="Calibri" w:eastAsia="宋体" w:cs="宋体"/>
          <w:kern w:val="2"/>
          <w:sz w:val="24"/>
          <w:szCs w:val="24"/>
          <w:lang w:val="zh-CN" w:eastAsia="zh-CN" w:bidi="ar"/>
        </w:rPr>
        <w:t>（1）本合同条款及其所有附件；</w:t>
      </w:r>
    </w:p>
    <w:p>
      <w:pPr>
        <w:keepNext w:val="0"/>
        <w:keepLines w:val="0"/>
        <w:widowControl w:val="0"/>
        <w:suppressLineNumbers w:val="0"/>
        <w:autoSpaceDE w:val="0"/>
        <w:autoSpaceDN w:val="0"/>
        <w:spacing w:before="0" w:beforeAutospacing="0" w:after="0" w:afterAutospacing="0" w:line="360" w:lineRule="auto"/>
        <w:ind w:left="0" w:right="0" w:firstLine="480"/>
        <w:jc w:val="left"/>
        <w:rPr>
          <w:rFonts w:hint="eastAsia" w:ascii="宋体" w:hAnsi="Calibri" w:eastAsia="宋体" w:cs="宋体"/>
          <w:sz w:val="24"/>
          <w:szCs w:val="24"/>
          <w:lang w:val="zh-CN" w:eastAsia="zh-CN"/>
        </w:rPr>
      </w:pPr>
      <w:r>
        <w:rPr>
          <w:rFonts w:hint="eastAsia" w:ascii="宋体" w:hAnsi="Calibri" w:eastAsia="宋体" w:cs="宋体"/>
          <w:kern w:val="2"/>
          <w:sz w:val="24"/>
          <w:szCs w:val="24"/>
          <w:lang w:val="zh-CN" w:eastAsia="zh-CN" w:bidi="ar"/>
        </w:rPr>
        <w:t>（2）甲方的</w:t>
      </w:r>
      <w:r>
        <w:rPr>
          <w:rFonts w:hint="eastAsia" w:ascii="宋体" w:hAnsi="Calibri" w:eastAsia="宋体" w:cs="宋体"/>
          <w:kern w:val="2"/>
          <w:sz w:val="24"/>
          <w:szCs w:val="24"/>
          <w:lang w:val="en-US" w:eastAsia="zh-CN" w:bidi="ar"/>
        </w:rPr>
        <w:t>采购</w:t>
      </w:r>
      <w:r>
        <w:rPr>
          <w:rFonts w:hint="eastAsia" w:ascii="宋体" w:hAnsi="Calibri" w:eastAsia="宋体" w:cs="宋体"/>
          <w:kern w:val="2"/>
          <w:sz w:val="24"/>
          <w:szCs w:val="24"/>
          <w:lang w:val="zh-CN" w:eastAsia="zh-CN" w:bidi="ar"/>
        </w:rPr>
        <w:t>文件及澄清文件；</w:t>
      </w:r>
    </w:p>
    <w:p>
      <w:pPr>
        <w:keepNext w:val="0"/>
        <w:keepLines w:val="0"/>
        <w:widowControl w:val="0"/>
        <w:suppressLineNumbers w:val="0"/>
        <w:autoSpaceDE w:val="0"/>
        <w:autoSpaceDN w:val="0"/>
        <w:spacing w:before="0" w:beforeAutospacing="0" w:after="0" w:afterAutospacing="0" w:line="360" w:lineRule="auto"/>
        <w:ind w:left="0" w:right="0" w:firstLine="480"/>
        <w:jc w:val="left"/>
        <w:rPr>
          <w:rFonts w:hint="eastAsia" w:ascii="宋体" w:hAnsi="Calibri" w:eastAsia="宋体" w:cs="宋体"/>
          <w:sz w:val="24"/>
          <w:szCs w:val="24"/>
          <w:lang w:val="zh-CN" w:eastAsia="zh-CN"/>
        </w:rPr>
      </w:pPr>
      <w:r>
        <w:rPr>
          <w:rFonts w:hint="eastAsia" w:ascii="宋体" w:hAnsi="Calibri" w:eastAsia="宋体" w:cs="宋体"/>
          <w:kern w:val="2"/>
          <w:sz w:val="24"/>
          <w:szCs w:val="24"/>
          <w:lang w:val="zh-CN" w:eastAsia="zh-CN" w:bidi="ar"/>
        </w:rPr>
        <w:t>（3）乙方的响应文件及质疑解答文件；</w:t>
      </w:r>
    </w:p>
    <w:p>
      <w:pPr>
        <w:keepNext w:val="0"/>
        <w:keepLines w:val="0"/>
        <w:widowControl w:val="0"/>
        <w:suppressLineNumbers w:val="0"/>
        <w:autoSpaceDE w:val="0"/>
        <w:autoSpaceDN w:val="0"/>
        <w:spacing w:before="0" w:beforeAutospacing="0" w:after="0" w:afterAutospacing="0" w:line="360" w:lineRule="auto"/>
        <w:ind w:left="0" w:right="0" w:firstLine="480"/>
        <w:jc w:val="both"/>
        <w:rPr>
          <w:rFonts w:hint="eastAsia" w:ascii="宋体" w:hAnsi="Calibri" w:eastAsia="宋体" w:cs="宋体"/>
          <w:sz w:val="24"/>
          <w:szCs w:val="24"/>
          <w:lang w:val="zh-CN" w:eastAsia="zh-CN"/>
        </w:rPr>
      </w:pPr>
      <w:r>
        <w:rPr>
          <w:rFonts w:hint="eastAsia" w:ascii="宋体" w:hAnsi="Calibri" w:eastAsia="宋体" w:cs="宋体"/>
          <w:kern w:val="2"/>
          <w:sz w:val="24"/>
          <w:szCs w:val="24"/>
          <w:lang w:val="zh-CN" w:eastAsia="zh-CN" w:bidi="ar"/>
        </w:rPr>
        <w:t>（4）成交通知书；</w:t>
      </w:r>
    </w:p>
    <w:p>
      <w:pPr>
        <w:keepNext w:val="0"/>
        <w:keepLines w:val="0"/>
        <w:widowControl w:val="0"/>
        <w:suppressLineNumbers w:val="0"/>
        <w:autoSpaceDE w:val="0"/>
        <w:autoSpaceDN w:val="0"/>
        <w:spacing w:before="0" w:beforeAutospacing="0" w:after="0" w:afterAutospacing="0" w:line="360" w:lineRule="auto"/>
        <w:ind w:left="0" w:right="0" w:firstLine="480"/>
        <w:jc w:val="both"/>
        <w:rPr>
          <w:rFonts w:hint="eastAsia" w:ascii="宋体" w:hAnsi="Calibri" w:eastAsia="宋体" w:cs="宋体"/>
          <w:sz w:val="24"/>
          <w:szCs w:val="24"/>
          <w:lang w:val="zh-CN" w:eastAsia="zh-CN"/>
        </w:rPr>
      </w:pPr>
      <w:r>
        <w:rPr>
          <w:rFonts w:hint="eastAsia" w:ascii="宋体" w:hAnsi="Calibri" w:eastAsia="宋体" w:cs="宋体"/>
          <w:kern w:val="2"/>
          <w:sz w:val="24"/>
          <w:szCs w:val="24"/>
          <w:lang w:val="zh-CN" w:eastAsia="zh-CN" w:bidi="ar"/>
        </w:rPr>
        <w:t>（5）法定代表人授权书；</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（6）双方与合同有关的往来信函、传真,经双方法定代表人或其授权代表签字并加盖单位公章确认后,视为本合同的组成部分；</w:t>
      </w:r>
    </w:p>
    <w:p>
      <w:pPr>
        <w:keepNext w:val="0"/>
        <w:keepLines w:val="0"/>
        <w:widowControl w:val="0"/>
        <w:suppressLineNumbers w:val="0"/>
        <w:autoSpaceDE w:val="0"/>
        <w:autoSpaceDN w:val="0"/>
        <w:spacing w:before="0" w:beforeAutospacing="0" w:after="0" w:afterAutospacing="0" w:line="360" w:lineRule="auto"/>
        <w:ind w:left="0" w:right="0" w:firstLine="480"/>
        <w:jc w:val="both"/>
        <w:rPr>
          <w:rFonts w:hint="eastAsia" w:ascii="宋体" w:hAnsi="Calibri" w:eastAsia="宋体" w:cs="宋体"/>
          <w:sz w:val="24"/>
          <w:szCs w:val="24"/>
          <w:lang w:val="zh-CN" w:eastAsia="zh-CN"/>
        </w:rPr>
      </w:pPr>
      <w:r>
        <w:rPr>
          <w:rFonts w:hint="eastAsia" w:ascii="宋体" w:hAnsi="宋体" w:eastAsia="宋体" w:cs="宋体"/>
          <w:color w:val="000000"/>
          <w:kern w:val="2"/>
          <w:sz w:val="24"/>
          <w:szCs w:val="24"/>
          <w:lang w:val="en-US" w:eastAsia="zh-CN" w:bidi="ar"/>
        </w:rPr>
        <w:t>（7）经双方法定代表人或其授权代表签字并加盖单位公章或合同专用章确认的补充协议。</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Calibri" w:eastAsia="宋体" w:cs="宋体"/>
          <w:kern w:val="2"/>
          <w:sz w:val="24"/>
          <w:szCs w:val="24"/>
          <w:lang w:val="zh-CN" w:eastAsia="zh-CN" w:bidi="ar"/>
        </w:rPr>
        <w:t>1.2 如果乙方的响应文件及质疑解答文件内容违背或低于甲方</w:t>
      </w:r>
      <w:r>
        <w:rPr>
          <w:rFonts w:hint="eastAsia" w:ascii="宋体" w:hAnsi="Calibri" w:eastAsia="宋体" w:cs="宋体"/>
          <w:kern w:val="2"/>
          <w:sz w:val="24"/>
          <w:szCs w:val="24"/>
          <w:lang w:val="en-US" w:eastAsia="zh-CN" w:bidi="ar"/>
        </w:rPr>
        <w:t>采购</w:t>
      </w:r>
      <w:r>
        <w:rPr>
          <w:rFonts w:hint="eastAsia" w:ascii="宋体" w:hAnsi="Calibri" w:eastAsia="宋体" w:cs="宋体"/>
          <w:kern w:val="2"/>
          <w:sz w:val="24"/>
          <w:szCs w:val="24"/>
          <w:lang w:val="zh-CN" w:eastAsia="zh-CN" w:bidi="ar"/>
        </w:rPr>
        <w:t>文件要求或任何可能导致影响当次采购目的的情形，均应当被视为乙方自动放弃响应文件及质疑解答文件中相应部分而同意以</w:t>
      </w:r>
      <w:r>
        <w:rPr>
          <w:rFonts w:hint="eastAsia" w:ascii="宋体" w:hAnsi="Calibri" w:eastAsia="宋体" w:cs="宋体"/>
          <w:kern w:val="2"/>
          <w:sz w:val="24"/>
          <w:szCs w:val="24"/>
          <w:lang w:val="en-US" w:eastAsia="zh-CN" w:bidi="ar"/>
        </w:rPr>
        <w:t>采购</w:t>
      </w:r>
      <w:r>
        <w:rPr>
          <w:rFonts w:hint="eastAsia" w:ascii="宋体" w:hAnsi="Calibri" w:eastAsia="宋体" w:cs="宋体"/>
          <w:kern w:val="2"/>
          <w:sz w:val="24"/>
          <w:szCs w:val="24"/>
          <w:lang w:val="zh-CN" w:eastAsia="zh-CN" w:bidi="ar"/>
        </w:rPr>
        <w:t>文件相应内容为准。如果乙方的响应文件及质疑解答文件内容高于甲方</w:t>
      </w:r>
      <w:r>
        <w:rPr>
          <w:rFonts w:hint="eastAsia" w:ascii="宋体" w:hAnsi="Calibri" w:eastAsia="宋体" w:cs="宋体"/>
          <w:kern w:val="2"/>
          <w:sz w:val="24"/>
          <w:szCs w:val="24"/>
          <w:lang w:val="en-US" w:eastAsia="zh-CN" w:bidi="ar"/>
        </w:rPr>
        <w:t>采购</w:t>
      </w:r>
      <w:r>
        <w:rPr>
          <w:rFonts w:hint="eastAsia" w:ascii="宋体" w:hAnsi="Calibri" w:eastAsia="宋体" w:cs="宋体"/>
          <w:kern w:val="2"/>
          <w:sz w:val="24"/>
          <w:szCs w:val="24"/>
          <w:lang w:val="zh-CN" w:eastAsia="zh-CN" w:bidi="ar"/>
        </w:rPr>
        <w:t>文件要求，则以乙方的响应文件及质疑解答文件内容为准。如果合同条款与合同附件有矛盾之处，以合同条款内容为准。</w:t>
      </w:r>
      <w:r>
        <w:rPr>
          <w:rFonts w:hint="eastAsia" w:ascii="宋体" w:hAnsi="宋体" w:eastAsia="宋体" w:cs="宋体"/>
          <w:kern w:val="2"/>
          <w:sz w:val="24"/>
          <w:szCs w:val="24"/>
          <w:lang w:val="en-US" w:eastAsia="zh-CN" w:bidi="ar"/>
        </w:rPr>
        <w:t>如果合同附件之间有矛盾之处，以有利于甲方的附件内容为准。</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Calibri" w:eastAsia="宋体" w:cs="宋体"/>
          <w:sz w:val="24"/>
          <w:szCs w:val="24"/>
          <w:lang w:val="en-US"/>
        </w:rPr>
      </w:pPr>
      <w:r>
        <w:rPr>
          <w:rFonts w:hint="eastAsia" w:ascii="宋体" w:hAnsi="Calibri" w:eastAsia="宋体" w:cs="宋体"/>
          <w:kern w:val="2"/>
          <w:sz w:val="24"/>
          <w:szCs w:val="24"/>
          <w:lang w:val="en-US" w:eastAsia="zh-CN" w:bidi="ar"/>
        </w:rPr>
        <w:t>1.3上述合同文件应能够相互解释、相互说明。如合同文件之间出现不一致，除本合同另有约定外，第1.1款第（1）项至（6）项的排列顺序就是合同文件的优先解释顺序；对于第（7）项中双方达成的补充协议与原合同（包括第1.1款（1）-（6）项中所列的所有文件）存在不一致，以签订日期在后的补充协议为准。</w:t>
      </w:r>
    </w:p>
    <w:p>
      <w:pPr>
        <w:keepNext w:val="0"/>
        <w:keepLines w:val="0"/>
        <w:widowControl w:val="0"/>
        <w:suppressLineNumbers w:val="0"/>
        <w:spacing w:before="120" w:beforeLines="50" w:beforeAutospacing="0" w:after="0" w:afterAutospacing="0" w:line="360" w:lineRule="auto"/>
        <w:ind w:left="0" w:right="0"/>
        <w:jc w:val="center"/>
        <w:outlineLvl w:val="3"/>
        <w:rPr>
          <w:rFonts w:hint="default" w:ascii="Calibri" w:hAnsi="Calibri" w:cs="Times New Roman"/>
          <w:b/>
          <w:bCs/>
          <w:color w:val="000000"/>
          <w:sz w:val="28"/>
          <w:szCs w:val="22"/>
          <w:lang w:val="en-US"/>
        </w:rPr>
      </w:pPr>
      <w:r>
        <w:rPr>
          <w:rFonts w:hint="eastAsia" w:ascii="Calibri" w:hAnsi="Calibri" w:eastAsia="宋体" w:cs="宋体"/>
          <w:b/>
          <w:bCs/>
          <w:color w:val="000000"/>
          <w:kern w:val="2"/>
          <w:sz w:val="28"/>
          <w:szCs w:val="22"/>
          <w:lang w:val="en-US" w:eastAsia="zh-CN" w:bidi="ar"/>
        </w:rPr>
        <w:t>第二部分</w:t>
      </w:r>
      <w:r>
        <w:rPr>
          <w:rFonts w:hint="default" w:ascii="Calibri" w:hAnsi="Calibri" w:eastAsia="宋体" w:cs="Times New Roman"/>
          <w:b/>
          <w:bCs/>
          <w:color w:val="000000"/>
          <w:kern w:val="2"/>
          <w:sz w:val="28"/>
          <w:szCs w:val="22"/>
          <w:lang w:val="en-US" w:eastAsia="zh-CN" w:bidi="ar"/>
        </w:rPr>
        <w:t xml:space="preserve"> </w:t>
      </w:r>
      <w:r>
        <w:rPr>
          <w:rFonts w:hint="eastAsia" w:ascii="Calibri" w:hAnsi="Calibri" w:eastAsia="宋体" w:cs="宋体"/>
          <w:b/>
          <w:bCs/>
          <w:color w:val="000000"/>
          <w:kern w:val="2"/>
          <w:sz w:val="28"/>
          <w:szCs w:val="22"/>
          <w:lang w:val="en-US" w:eastAsia="zh-CN" w:bidi="ar"/>
        </w:rPr>
        <w:t>服务内容及方式</w:t>
      </w:r>
    </w:p>
    <w:p>
      <w:pPr>
        <w:keepNext w:val="0"/>
        <w:keepLines w:val="0"/>
        <w:widowControl w:val="0"/>
        <w:suppressLineNumbers w:val="0"/>
        <w:tabs>
          <w:tab w:val="left" w:pos="900"/>
        </w:tabs>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2.1服务内容：本合同的服务内容为下表所列软件的维保服务。</w:t>
      </w:r>
    </w:p>
    <w:p>
      <w:pPr>
        <w:keepNext w:val="0"/>
        <w:keepLines w:val="0"/>
        <w:widowControl w:val="0"/>
        <w:suppressLineNumbers w:val="0"/>
        <w:tabs>
          <w:tab w:val="left" w:pos="900"/>
        </w:tabs>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p>
    <w:tbl>
      <w:tblPr>
        <w:tblStyle w:val="9"/>
        <w:tblW w:w="793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0"/>
        <w:gridCol w:w="1104"/>
        <w:gridCol w:w="1234"/>
        <w:gridCol w:w="744"/>
        <w:gridCol w:w="689"/>
        <w:gridCol w:w="936"/>
        <w:gridCol w:w="744"/>
        <w:gridCol w:w="921"/>
        <w:gridCol w:w="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2"/>
                <w:szCs w:val="22"/>
                <w:lang w:val="en-US"/>
              </w:rPr>
            </w:pPr>
            <w:r>
              <w:rPr>
                <w:rFonts w:hint="eastAsia" w:ascii="宋体" w:hAnsi="宋体" w:eastAsia="宋体" w:cs="宋体"/>
                <w:b/>
                <w:bCs/>
                <w:color w:val="000000"/>
                <w:kern w:val="0"/>
                <w:sz w:val="22"/>
                <w:szCs w:val="22"/>
                <w:lang w:val="en-US" w:eastAsia="zh-CN" w:bidi="ar"/>
              </w:rPr>
              <w:t>序号</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2"/>
                <w:szCs w:val="22"/>
                <w:lang w:val="en-US"/>
              </w:rPr>
            </w:pPr>
            <w:r>
              <w:rPr>
                <w:rFonts w:hint="eastAsia" w:ascii="宋体" w:hAnsi="宋体" w:eastAsia="宋体" w:cs="宋体"/>
                <w:b/>
                <w:bCs/>
                <w:color w:val="000000"/>
                <w:kern w:val="0"/>
                <w:sz w:val="22"/>
                <w:szCs w:val="22"/>
                <w:lang w:val="en-US" w:eastAsia="zh-CN" w:bidi="ar"/>
              </w:rPr>
              <w:t>设备类型</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2"/>
                <w:szCs w:val="22"/>
                <w:lang w:val="en-US"/>
              </w:rPr>
            </w:pPr>
            <w:r>
              <w:rPr>
                <w:rFonts w:hint="eastAsia" w:ascii="宋体" w:hAnsi="宋体" w:eastAsia="宋体" w:cs="宋体"/>
                <w:b/>
                <w:bCs/>
                <w:color w:val="000000"/>
                <w:kern w:val="0"/>
                <w:sz w:val="22"/>
                <w:szCs w:val="22"/>
                <w:lang w:val="en-US" w:eastAsia="zh-CN" w:bidi="ar"/>
              </w:rPr>
              <w:t>设备名称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2"/>
                <w:szCs w:val="22"/>
                <w:lang w:val="en-US"/>
              </w:rPr>
            </w:pPr>
            <w:r>
              <w:rPr>
                <w:rFonts w:hint="eastAsia" w:ascii="宋体" w:hAnsi="宋体" w:eastAsia="宋体" w:cs="宋体"/>
                <w:b/>
                <w:bCs/>
                <w:color w:val="000000"/>
                <w:kern w:val="0"/>
                <w:sz w:val="22"/>
                <w:szCs w:val="22"/>
                <w:lang w:val="en-US" w:eastAsia="zh-CN" w:bidi="ar"/>
              </w:rPr>
              <w:t>品牌</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2"/>
                <w:szCs w:val="22"/>
                <w:lang w:val="en-US"/>
              </w:rPr>
            </w:pPr>
            <w:r>
              <w:rPr>
                <w:rFonts w:hint="eastAsia" w:ascii="宋体" w:hAnsi="宋体" w:eastAsia="宋体" w:cs="宋体"/>
                <w:b/>
                <w:bCs/>
                <w:color w:val="000000"/>
                <w:kern w:val="0"/>
                <w:sz w:val="22"/>
                <w:szCs w:val="22"/>
                <w:lang w:val="en-US" w:eastAsia="zh-CN" w:bidi="ar"/>
              </w:rPr>
              <w:t>型号</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2"/>
                <w:szCs w:val="22"/>
                <w:lang w:val="en-US"/>
              </w:rPr>
            </w:pPr>
            <w:r>
              <w:rPr>
                <w:rFonts w:hint="eastAsia" w:ascii="宋体" w:hAnsi="宋体" w:eastAsia="宋体" w:cs="宋体"/>
                <w:b/>
                <w:bCs/>
                <w:color w:val="000000"/>
                <w:kern w:val="0"/>
                <w:sz w:val="22"/>
                <w:szCs w:val="22"/>
                <w:lang w:val="en-US" w:eastAsia="zh-CN" w:bidi="ar"/>
              </w:rPr>
              <w:t>序列号</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2"/>
                <w:szCs w:val="22"/>
                <w:lang w:val="en-US"/>
              </w:rPr>
            </w:pPr>
            <w:r>
              <w:rPr>
                <w:rFonts w:hint="eastAsia" w:ascii="宋体" w:hAnsi="宋体" w:eastAsia="宋体" w:cs="宋体"/>
                <w:b/>
                <w:bCs/>
                <w:color w:val="000000"/>
                <w:kern w:val="0"/>
                <w:sz w:val="22"/>
                <w:szCs w:val="22"/>
                <w:lang w:val="en-US" w:eastAsia="zh-CN" w:bidi="ar"/>
              </w:rPr>
              <w:t>数量</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2"/>
                <w:szCs w:val="22"/>
                <w:lang w:val="en-US"/>
              </w:rPr>
            </w:pPr>
            <w:r>
              <w:rPr>
                <w:rFonts w:hint="eastAsia" w:ascii="宋体" w:hAnsi="宋体" w:eastAsia="宋体" w:cs="宋体"/>
                <w:b/>
                <w:bCs/>
                <w:color w:val="000000"/>
                <w:kern w:val="0"/>
                <w:sz w:val="22"/>
                <w:szCs w:val="22"/>
                <w:lang w:val="en-US" w:eastAsia="zh-CN" w:bidi="ar"/>
              </w:rPr>
              <w:t>所在地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2"/>
                <w:szCs w:val="22"/>
                <w:lang w:val="en-US"/>
              </w:rPr>
            </w:pPr>
            <w:r>
              <w:rPr>
                <w:rFonts w:hint="eastAsia" w:ascii="宋体" w:hAnsi="宋体" w:eastAsia="宋体" w:cs="宋体"/>
                <w:b/>
                <w:bCs/>
                <w:color w:val="000000"/>
                <w:kern w:val="0"/>
                <w:sz w:val="22"/>
                <w:szCs w:val="22"/>
                <w:lang w:val="en-US" w:eastAsia="zh-CN" w:bidi="ar"/>
              </w:rPr>
              <w:t>服务级别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其他软件安全输入控件</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微通新成密码卫士安全输入控件</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北京微通新成</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1</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原厂服务</w:t>
            </w:r>
          </w:p>
        </w:tc>
      </w:tr>
    </w:tbl>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服务方式：现场服务、电话支持服务和电子邮件支持服务以及甲方要求的其他服务方式。</w:t>
      </w:r>
    </w:p>
    <w:p>
      <w:pPr>
        <w:keepNext w:val="0"/>
        <w:keepLines w:val="0"/>
        <w:widowControl w:val="0"/>
        <w:suppressLineNumbers w:val="0"/>
        <w:spacing w:before="120" w:beforeLines="50" w:beforeAutospacing="0" w:after="0" w:afterAutospacing="0" w:line="360" w:lineRule="auto"/>
        <w:ind w:left="0" w:right="0"/>
        <w:jc w:val="center"/>
        <w:outlineLvl w:val="3"/>
        <w:rPr>
          <w:rFonts w:hint="default" w:ascii="Calibri" w:hAnsi="Calibri" w:cs="Times New Roman"/>
          <w:b/>
          <w:bCs/>
          <w:color w:val="000000"/>
          <w:sz w:val="28"/>
          <w:szCs w:val="22"/>
          <w:lang w:val="en-US"/>
        </w:rPr>
      </w:pPr>
      <w:r>
        <w:rPr>
          <w:rFonts w:hint="eastAsia" w:ascii="Calibri" w:hAnsi="Calibri" w:eastAsia="宋体" w:cs="宋体"/>
          <w:b/>
          <w:bCs/>
          <w:color w:val="000000"/>
          <w:kern w:val="2"/>
          <w:sz w:val="28"/>
          <w:szCs w:val="22"/>
          <w:lang w:val="en-US" w:eastAsia="zh-CN" w:bidi="ar"/>
        </w:rPr>
        <w:t>第三部分</w:t>
      </w:r>
      <w:r>
        <w:rPr>
          <w:rFonts w:hint="default" w:ascii="Calibri" w:hAnsi="Calibri" w:eastAsia="宋体" w:cs="Times New Roman"/>
          <w:b/>
          <w:bCs/>
          <w:color w:val="000000"/>
          <w:kern w:val="2"/>
          <w:sz w:val="28"/>
          <w:szCs w:val="22"/>
          <w:lang w:val="en-US" w:eastAsia="zh-CN" w:bidi="ar"/>
        </w:rPr>
        <w:t xml:space="preserve"> </w:t>
      </w:r>
      <w:r>
        <w:rPr>
          <w:rFonts w:hint="eastAsia" w:ascii="Calibri" w:hAnsi="Calibri" w:eastAsia="宋体" w:cs="宋体"/>
          <w:b/>
          <w:bCs/>
          <w:color w:val="000000"/>
          <w:kern w:val="2"/>
          <w:sz w:val="28"/>
          <w:szCs w:val="22"/>
          <w:lang w:val="en-US" w:eastAsia="zh-CN" w:bidi="ar"/>
        </w:rPr>
        <w:t>服务标准及验收</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3.1乙方保证原厂商为甲方提供优质的服务及产品，服务及产品的各项指标均能符合本合同规定的要求。服务期内，乙方保证提供甲方在需求文件中要求的全部服务。详见附件三。</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default" w:ascii="Calibri" w:hAnsi="Calibri" w:cs="Times New Roman"/>
          <w:szCs w:val="22"/>
          <w:lang w:val="en-US"/>
        </w:rPr>
      </w:pPr>
      <w:r>
        <w:rPr>
          <w:rFonts w:hint="eastAsia" w:ascii="宋体" w:hAnsi="宋体" w:eastAsia="宋体" w:cs="宋体"/>
          <w:kern w:val="2"/>
          <w:sz w:val="24"/>
          <w:szCs w:val="24"/>
          <w:lang w:val="en-US" w:eastAsia="zh-CN" w:bidi="ar"/>
        </w:rPr>
        <w:t>3.2乙方每季度须按甲方要求提供1份《季度服务报告》，列明本阶段提供的维保服务内容，并加盖单位公章。</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3.3甲方验收小组于到达维保服务期限一半后，按照本合同规定的标准和要求对乙方服务进行中期验收，乙方应当予以配合，最迟不晚于2026年9月底前完成，</w:t>
      </w:r>
      <w:r>
        <w:rPr>
          <w:rFonts w:hint="eastAsia" w:ascii="宋体" w:hAnsi="宋体" w:eastAsia="宋体" w:cs="宋体"/>
          <w:color w:val="000000"/>
          <w:kern w:val="2"/>
          <w:sz w:val="24"/>
          <w:szCs w:val="22"/>
          <w:lang w:val="en-US" w:eastAsia="zh-CN" w:bidi="ar"/>
        </w:rPr>
        <w:t>甲方通知乙方延期的情况除外</w:t>
      </w:r>
      <w:r>
        <w:rPr>
          <w:rFonts w:hint="eastAsia" w:ascii="宋体" w:hAnsi="宋体" w:eastAsia="宋体" w:cs="宋体"/>
          <w:kern w:val="2"/>
          <w:sz w:val="24"/>
          <w:szCs w:val="24"/>
          <w:lang w:val="en-US" w:eastAsia="zh-CN" w:bidi="ar"/>
        </w:rPr>
        <w:t>。验收通过后,由甲方开具《合同验收报告》，乙方对验收报告进行书面认定（即其授权代表签字且加盖单位公章），且当乙方拒绝书面认定验收报告时，即视为同意验收报告内容。</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3.4甲方验收小组于维保服务期限届满后，按照本合同规定的标准和要求对乙方服务进行最终验收，乙方应当予以配合，最迟不晚于2027年4月底前完成，</w:t>
      </w:r>
      <w:r>
        <w:rPr>
          <w:rFonts w:hint="eastAsia" w:ascii="宋体" w:hAnsi="宋体" w:eastAsia="宋体" w:cs="宋体"/>
          <w:color w:val="000000"/>
          <w:kern w:val="2"/>
          <w:sz w:val="24"/>
          <w:szCs w:val="22"/>
          <w:lang w:val="en-US" w:eastAsia="zh-CN" w:bidi="ar"/>
        </w:rPr>
        <w:t>甲方通知乙方延期的情况除外</w:t>
      </w:r>
      <w:r>
        <w:rPr>
          <w:rFonts w:hint="eastAsia" w:ascii="宋体" w:hAnsi="宋体" w:eastAsia="宋体" w:cs="宋体"/>
          <w:kern w:val="2"/>
          <w:sz w:val="24"/>
          <w:szCs w:val="24"/>
          <w:lang w:val="en-US" w:eastAsia="zh-CN" w:bidi="ar"/>
        </w:rPr>
        <w:t>。验收通过后,由甲方开具《合同验收报告》，乙方对验收报告进行书面认定（即其授权代表签字且加盖单位公章），且当乙方拒绝书面认定验收报告时，即视为同意验收报告内容。</w:t>
      </w:r>
    </w:p>
    <w:p>
      <w:pPr>
        <w:keepNext w:val="0"/>
        <w:keepLines w:val="0"/>
        <w:widowControl w:val="0"/>
        <w:suppressLineNumbers w:val="0"/>
        <w:spacing w:before="0" w:beforeAutospacing="0" w:after="0" w:afterAutospacing="0" w:line="360" w:lineRule="auto"/>
        <w:ind w:left="0" w:right="0" w:firstLine="559" w:firstLineChars="233"/>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3.5乙方未能通过甲方中期验收或最终验收的，甲方</w:t>
      </w:r>
      <w:r>
        <w:rPr>
          <w:rFonts w:hint="eastAsia" w:ascii="Calibri" w:hAnsi="Calibri" w:eastAsia="宋体" w:cs="宋体"/>
          <w:kern w:val="2"/>
          <w:sz w:val="24"/>
          <w:szCs w:val="24"/>
          <w:lang w:val="en-US" w:eastAsia="zh-CN" w:bidi="ar"/>
        </w:rPr>
        <w:t>应在验收报告中载明“验收不合格”及相关说明，并由乙方书面确认，若乙方拒绝书面确认，则视为同意。乙方应在甲方要求的期限内采取整改措施再次进行验收，再次验收同样需甲方出具验收报告并由双方书面确认，直至验收合格，通过验收，再次验收由乙方承担费用及甲方损失</w:t>
      </w:r>
      <w:r>
        <w:rPr>
          <w:rFonts w:hint="eastAsia" w:ascii="宋体" w:hAnsi="宋体" w:eastAsia="宋体" w:cs="宋体"/>
          <w:kern w:val="2"/>
          <w:sz w:val="24"/>
          <w:szCs w:val="22"/>
          <w:lang w:val="en-US" w:eastAsia="zh-CN" w:bidi="ar"/>
        </w:rPr>
        <w:t>。</w:t>
      </w:r>
    </w:p>
    <w:p>
      <w:pPr>
        <w:keepNext w:val="0"/>
        <w:keepLines w:val="0"/>
        <w:widowControl w:val="0"/>
        <w:suppressLineNumbers w:val="0"/>
        <w:spacing w:before="0" w:beforeAutospacing="0" w:after="0" w:afterAutospacing="0" w:line="360" w:lineRule="auto"/>
        <w:ind w:left="0" w:right="0" w:firstLine="559" w:firstLineChars="233"/>
        <w:jc w:val="both"/>
        <w:rPr>
          <w:rFonts w:hint="default" w:ascii="Calibri" w:hAnsi="Calibri" w:cs="Times New Roman"/>
          <w:szCs w:val="22"/>
          <w:lang w:val="en-US"/>
        </w:rPr>
      </w:pPr>
      <w:r>
        <w:rPr>
          <w:rFonts w:hint="eastAsia" w:ascii="宋体" w:hAnsi="宋体" w:eastAsia="宋体" w:cs="宋体"/>
          <w:kern w:val="2"/>
          <w:sz w:val="24"/>
          <w:szCs w:val="24"/>
          <w:lang w:val="en-US" w:eastAsia="zh-CN" w:bidi="ar"/>
        </w:rPr>
        <w:t>3.6乙方应在最终验收阶段提供明确的服务起始依据（依据形式包括但不限于合同、订单、邮件、往来函件等的一种或多种），作为验收的依据材料之一。</w:t>
      </w:r>
    </w:p>
    <w:p>
      <w:pPr>
        <w:keepNext w:val="0"/>
        <w:keepLines w:val="0"/>
        <w:widowControl w:val="0"/>
        <w:suppressLineNumbers w:val="0"/>
        <w:autoSpaceDE w:val="0"/>
        <w:autoSpaceDN w:val="0"/>
        <w:adjustRightInd w:val="0"/>
        <w:snapToGrid w:val="0"/>
        <w:spacing w:before="120" w:beforeLines="50" w:beforeAutospacing="0" w:after="0" w:afterAutospacing="0" w:line="360" w:lineRule="auto"/>
        <w:ind w:left="0" w:right="0"/>
        <w:jc w:val="center"/>
        <w:rPr>
          <w:rFonts w:hint="default" w:ascii="Calibri" w:hAnsi="宋体" w:cs="Times New Roman"/>
          <w:b/>
          <w:bCs/>
          <w:kern w:val="0"/>
          <w:sz w:val="28"/>
          <w:szCs w:val="28"/>
          <w:lang w:val="en-US"/>
        </w:rPr>
      </w:pPr>
      <w:r>
        <w:rPr>
          <w:rFonts w:hint="eastAsia" w:ascii="Calibri" w:hAnsi="宋体" w:eastAsia="宋体" w:cs="宋体"/>
          <w:b/>
          <w:bCs/>
          <w:kern w:val="0"/>
          <w:sz w:val="28"/>
          <w:szCs w:val="28"/>
          <w:lang w:val="en-US" w:eastAsia="zh-CN" w:bidi="ar"/>
        </w:rPr>
        <w:t>第四部分</w:t>
      </w:r>
      <w:r>
        <w:rPr>
          <w:rFonts w:hint="default" w:ascii="Calibri" w:hAnsi="宋体" w:eastAsia="宋体" w:cs="Times New Roman"/>
          <w:b/>
          <w:bCs/>
          <w:kern w:val="0"/>
          <w:sz w:val="28"/>
          <w:szCs w:val="28"/>
          <w:lang w:val="en-US" w:eastAsia="zh-CN" w:bidi="ar"/>
        </w:rPr>
        <w:t xml:space="preserve"> </w:t>
      </w:r>
      <w:r>
        <w:rPr>
          <w:rFonts w:hint="eastAsia" w:ascii="Calibri" w:hAnsi="宋体" w:eastAsia="宋体" w:cs="宋体"/>
          <w:b/>
          <w:bCs/>
          <w:kern w:val="0"/>
          <w:sz w:val="28"/>
          <w:szCs w:val="28"/>
          <w:lang w:val="en-US" w:eastAsia="zh-CN" w:bidi="ar"/>
        </w:rPr>
        <w:t>履行期限、服务地点</w:t>
      </w:r>
    </w:p>
    <w:p>
      <w:pPr>
        <w:keepNext w:val="0"/>
        <w:keepLines w:val="0"/>
        <w:widowControl w:val="0"/>
        <w:suppressLineNumbers w:val="0"/>
        <w:tabs>
          <w:tab w:val="left" w:pos="900"/>
        </w:tabs>
        <w:spacing w:before="0" w:beforeAutospacing="0" w:after="0" w:afterAutospacing="0" w:line="480" w:lineRule="exact"/>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4.1履约期限：</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bidi="ar"/>
        </w:rPr>
      </w:pPr>
      <w:r>
        <w:rPr>
          <w:rFonts w:hint="eastAsia" w:ascii="宋体" w:hAnsi="宋体" w:eastAsia="宋体" w:cs="宋体"/>
          <w:kern w:val="2"/>
          <w:sz w:val="24"/>
          <w:szCs w:val="22"/>
          <w:lang w:val="en-US" w:eastAsia="zh-CN" w:bidi="ar"/>
        </w:rPr>
        <w:t>本合同履约期限自</w:t>
      </w:r>
      <w:r>
        <w:rPr>
          <w:rFonts w:hint="eastAsia" w:ascii="宋体" w:hAnsi="宋体" w:eastAsia="宋体" w:cs="宋体"/>
          <w:color w:val="000000"/>
          <w:kern w:val="2"/>
          <w:sz w:val="24"/>
          <w:szCs w:val="24"/>
          <w:u w:val="single"/>
          <w:lang w:val="en-US" w:eastAsia="zh-CN" w:bidi="ar"/>
        </w:rPr>
        <w:t>2026年1月1日</w:t>
      </w:r>
      <w:r>
        <w:rPr>
          <w:rFonts w:hint="eastAsia" w:ascii="宋体" w:hAnsi="宋体" w:eastAsia="宋体" w:cs="宋体"/>
          <w:kern w:val="2"/>
          <w:sz w:val="24"/>
          <w:szCs w:val="22"/>
          <w:lang w:val="en-US" w:eastAsia="zh-CN" w:bidi="ar"/>
        </w:rPr>
        <w:t>起至</w:t>
      </w:r>
      <w:r>
        <w:rPr>
          <w:rFonts w:hint="eastAsia" w:ascii="宋体" w:hAnsi="宋体" w:eastAsia="宋体" w:cs="宋体"/>
          <w:kern w:val="2"/>
          <w:sz w:val="24"/>
          <w:szCs w:val="22"/>
          <w:u w:val="single"/>
          <w:lang w:val="en-US" w:eastAsia="zh-CN" w:bidi="ar"/>
        </w:rPr>
        <w:t>2026年12月31日</w:t>
      </w:r>
      <w:r>
        <w:rPr>
          <w:rFonts w:hint="eastAsia" w:ascii="宋体" w:hAnsi="宋体" w:eastAsia="宋体" w:cs="宋体"/>
          <w:kern w:val="2"/>
          <w:sz w:val="24"/>
          <w:szCs w:val="22"/>
          <w:lang w:val="en-US" w:eastAsia="zh-CN" w:bidi="ar"/>
        </w:rPr>
        <w:t>止</w:t>
      </w:r>
      <w:r>
        <w:rPr>
          <w:rFonts w:hint="eastAsia" w:ascii="宋体" w:hAnsi="宋体" w:eastAsia="宋体" w:cs="宋体"/>
          <w:kern w:val="2"/>
          <w:sz w:val="24"/>
          <w:szCs w:val="24"/>
          <w:lang w:val="en-US" w:eastAsia="zh-CN" w:bidi="ar"/>
        </w:rPr>
        <w:t>。</w:t>
      </w:r>
    </w:p>
    <w:p>
      <w:pPr>
        <w:keepNext w:val="0"/>
        <w:keepLines w:val="0"/>
        <w:widowControl w:val="0"/>
        <w:suppressLineNumbers w:val="0"/>
        <w:tabs>
          <w:tab w:val="left" w:pos="900"/>
        </w:tabs>
        <w:spacing w:before="0" w:beforeAutospacing="0" w:after="0" w:afterAutospacing="0" w:line="480" w:lineRule="exact"/>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4.2续签条款</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若本次服务期内的服务质量满足甲方要求，在服务内容和要求不变情况下，经甲乙双方确认后，服务合同可以考虑续签一年,最多可以续签2次。甲乙双方最晚可在合同到期前一个月就是否续签事宜进行确认。如双方确认续签的，可以就本项目服务下年度续签进行商务谈判议定价格，续签合同价款不得高于本合同价款。</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在服务期限内，如甲方追加与现有维保对象相同版本的软件纳入维保范围，乙方应承诺以不高于本次成交单价提供维保服务。</w:t>
      </w:r>
    </w:p>
    <w:p>
      <w:pPr>
        <w:keepNext w:val="0"/>
        <w:keepLines w:val="0"/>
        <w:widowControl w:val="0"/>
        <w:suppressLineNumbers w:val="0"/>
        <w:tabs>
          <w:tab w:val="left" w:pos="900"/>
        </w:tabs>
        <w:spacing w:before="0" w:beforeAutospacing="0" w:after="0" w:afterAutospacing="0" w:line="480" w:lineRule="exact"/>
        <w:ind w:left="0" w:right="0" w:firstLine="480" w:firstLineChars="200"/>
        <w:jc w:val="both"/>
        <w:rPr>
          <w:rFonts w:hint="eastAsia" w:ascii="宋体" w:hAnsi="宋体" w:eastAsia="宋体" w:cs="宋体"/>
          <w:sz w:val="24"/>
          <w:szCs w:val="22"/>
          <w:highlight w:val="none"/>
          <w:lang w:val="en-US"/>
        </w:rPr>
      </w:pPr>
      <w:r>
        <w:rPr>
          <w:rFonts w:hint="eastAsia" w:ascii="宋体" w:hAnsi="宋体" w:eastAsia="宋体" w:cs="宋体"/>
          <w:kern w:val="2"/>
          <w:sz w:val="24"/>
          <w:szCs w:val="22"/>
          <w:lang w:val="en-US" w:eastAsia="zh-CN" w:bidi="ar"/>
        </w:rPr>
        <w:t>4.3服务地点：</w:t>
      </w:r>
      <w:r>
        <w:rPr>
          <w:rFonts w:hint="eastAsia" w:ascii="宋体" w:hAnsi="宋体" w:eastAsia="宋体" w:cs="宋体"/>
          <w:kern w:val="2"/>
          <w:sz w:val="24"/>
          <w:szCs w:val="24"/>
          <w:lang w:val="en-US" w:eastAsia="zh-CN" w:bidi="ar"/>
        </w:rPr>
        <w:t>上海市（上海市浦东新区繁昌路298号、上海市静安区海宁路</w:t>
      </w:r>
      <w:r>
        <w:rPr>
          <w:rFonts w:hint="eastAsia" w:ascii="宋体" w:hAnsi="宋体" w:eastAsia="宋体" w:cs="宋体"/>
          <w:kern w:val="2"/>
          <w:sz w:val="24"/>
          <w:szCs w:val="24"/>
          <w:highlight w:val="none"/>
          <w:lang w:val="en-US" w:eastAsia="zh-CN" w:bidi="ar"/>
        </w:rPr>
        <w:t>889号）；天津市（天津市滨海新区洞庭北路北塘融汇商务园二区4号楼）。</w:t>
      </w:r>
    </w:p>
    <w:p>
      <w:pPr>
        <w:keepNext w:val="0"/>
        <w:keepLines w:val="0"/>
        <w:widowControl w:val="0"/>
        <w:suppressLineNumbers w:val="0"/>
        <w:spacing w:before="120" w:beforeLines="50" w:beforeAutospacing="0" w:after="0" w:afterAutospacing="0" w:line="360" w:lineRule="auto"/>
        <w:ind w:left="0" w:right="0"/>
        <w:jc w:val="center"/>
        <w:outlineLvl w:val="3"/>
        <w:rPr>
          <w:rFonts w:hint="default" w:ascii="Calibri" w:hAnsi="Calibri" w:cs="Times New Roman"/>
          <w:szCs w:val="22"/>
          <w:highlight w:val="none"/>
          <w:lang w:val="en-US"/>
        </w:rPr>
      </w:pPr>
      <w:r>
        <w:rPr>
          <w:rFonts w:hint="eastAsia" w:ascii="Calibri" w:hAnsi="Calibri" w:eastAsia="宋体" w:cs="宋体"/>
          <w:b/>
          <w:bCs/>
          <w:kern w:val="2"/>
          <w:sz w:val="28"/>
          <w:szCs w:val="20"/>
          <w:highlight w:val="none"/>
          <w:lang w:val="en-US" w:eastAsia="zh-CN" w:bidi="ar"/>
        </w:rPr>
        <w:t>第五部分</w:t>
      </w:r>
      <w:r>
        <w:rPr>
          <w:rFonts w:hint="default" w:ascii="Calibri" w:hAnsi="Calibri" w:eastAsia="宋体" w:cs="Times New Roman"/>
          <w:b/>
          <w:bCs/>
          <w:kern w:val="2"/>
          <w:sz w:val="28"/>
          <w:szCs w:val="20"/>
          <w:highlight w:val="none"/>
          <w:lang w:val="en-US" w:eastAsia="zh-CN" w:bidi="ar"/>
        </w:rPr>
        <w:t xml:space="preserve"> </w:t>
      </w:r>
      <w:r>
        <w:rPr>
          <w:rFonts w:hint="eastAsia" w:ascii="Calibri" w:hAnsi="Calibri" w:eastAsia="宋体" w:cs="宋体"/>
          <w:b/>
          <w:bCs/>
          <w:kern w:val="2"/>
          <w:sz w:val="28"/>
          <w:szCs w:val="20"/>
          <w:highlight w:val="none"/>
          <w:lang w:val="en-US" w:eastAsia="zh-CN" w:bidi="ar"/>
        </w:rPr>
        <w:t>合同总金额</w:t>
      </w:r>
      <w:r>
        <w:rPr>
          <w:rFonts w:hint="eastAsia" w:ascii="Calibri" w:hAnsi="Calibri" w:eastAsia="宋体" w:cs="宋体"/>
          <w:b/>
          <w:bCs/>
          <w:color w:val="000000"/>
          <w:kern w:val="2"/>
          <w:sz w:val="28"/>
          <w:szCs w:val="22"/>
          <w:highlight w:val="none"/>
          <w:lang w:val="en-US" w:eastAsia="zh-CN" w:bidi="ar"/>
        </w:rPr>
        <w:t>及其</w:t>
      </w:r>
      <w:r>
        <w:rPr>
          <w:rFonts w:hint="eastAsia" w:ascii="Calibri" w:hAnsi="Calibri" w:eastAsia="宋体" w:cs="宋体"/>
          <w:b/>
          <w:bCs/>
          <w:kern w:val="2"/>
          <w:sz w:val="28"/>
          <w:szCs w:val="20"/>
          <w:highlight w:val="none"/>
          <w:lang w:val="en-US" w:eastAsia="zh-CN" w:bidi="ar"/>
        </w:rPr>
        <w:t>支付方式</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5.1根据成交通知书，本合同的总金额为人民币：</w:t>
      </w:r>
      <w:r>
        <w:rPr>
          <w:rFonts w:hint="eastAsia" w:ascii="宋体" w:hAnsi="宋体" w:eastAsia="宋体" w:cs="宋体"/>
          <w:kern w:val="2"/>
          <w:sz w:val="24"/>
          <w:szCs w:val="24"/>
          <w:highlight w:val="none"/>
          <w:u w:val="single"/>
          <w:lang w:val="en-US" w:eastAsia="zh-CN" w:bidi="ar"/>
        </w:rPr>
        <w:t>￥37,500</w:t>
      </w:r>
      <w:r>
        <w:rPr>
          <w:rFonts w:hint="eastAsia" w:ascii="宋体" w:hAnsi="宋体" w:eastAsia="宋体" w:cs="宋体"/>
          <w:kern w:val="2"/>
          <w:sz w:val="24"/>
          <w:szCs w:val="24"/>
          <w:highlight w:val="none"/>
          <w:lang w:val="en-US" w:eastAsia="zh-CN" w:bidi="ar"/>
        </w:rPr>
        <w:t>元整（大写：</w:t>
      </w:r>
      <w:r>
        <w:rPr>
          <w:rFonts w:hint="eastAsia" w:ascii="宋体" w:hAnsi="宋体" w:eastAsia="宋体" w:cs="宋体"/>
          <w:kern w:val="2"/>
          <w:sz w:val="24"/>
          <w:szCs w:val="24"/>
          <w:highlight w:val="none"/>
          <w:u w:val="single"/>
          <w:lang w:val="en-US" w:eastAsia="zh-CN" w:bidi="ar"/>
        </w:rPr>
        <w:t>叁万柒仟伍佰</w:t>
      </w:r>
      <w:r>
        <w:rPr>
          <w:rFonts w:hint="eastAsia" w:ascii="宋体" w:hAnsi="宋体" w:eastAsia="宋体" w:cs="宋体"/>
          <w:kern w:val="2"/>
          <w:sz w:val="24"/>
          <w:szCs w:val="24"/>
          <w:highlight w:val="none"/>
          <w:lang w:val="en-US" w:eastAsia="zh-CN" w:bidi="ar"/>
        </w:rPr>
        <w:t>元整）。合同总金额为乙方在正确地完全履行本合同项下的义务后，甲方应支付给乙方的全部价款的数额，包括但不限于：技术服务费、仪器仪表使用费、差旅费以及与履行本合同义务有关的所有费用。除上述金额外，甲方不再向乙方支付其他任何费用。</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5.2付款方式</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5.2.1首期款</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合同生效后，在收到乙方提供的与本阶段付款金额等值的正式发票以及乙方加盖单位公章的《付款申请》后十（10）个工作日内，甲方向乙方支付合同总金额的30%（百分之三十），即人民币</w:t>
      </w:r>
      <w:r>
        <w:rPr>
          <w:rFonts w:hint="eastAsia" w:ascii="宋体" w:hAnsi="宋体" w:eastAsia="宋体" w:cs="宋体"/>
          <w:kern w:val="2"/>
          <w:sz w:val="24"/>
          <w:szCs w:val="24"/>
          <w:highlight w:val="none"/>
          <w:u w:val="single"/>
          <w:lang w:val="en-US" w:eastAsia="zh-CN" w:bidi="ar"/>
        </w:rPr>
        <w:t>￥11,250</w:t>
      </w:r>
      <w:r>
        <w:rPr>
          <w:rFonts w:hint="eastAsia" w:ascii="宋体" w:hAnsi="宋体" w:eastAsia="宋体" w:cs="宋体"/>
          <w:kern w:val="2"/>
          <w:sz w:val="24"/>
          <w:szCs w:val="24"/>
          <w:highlight w:val="none"/>
          <w:lang w:val="en-US" w:eastAsia="zh-CN" w:bidi="ar"/>
        </w:rPr>
        <w:t>元整（大写：</w:t>
      </w:r>
      <w:r>
        <w:rPr>
          <w:rFonts w:hint="eastAsia" w:ascii="宋体" w:hAnsi="宋体" w:eastAsia="宋体" w:cs="宋体"/>
          <w:kern w:val="2"/>
          <w:sz w:val="24"/>
          <w:szCs w:val="24"/>
          <w:highlight w:val="none"/>
          <w:u w:val="single"/>
          <w:lang w:val="en-US" w:eastAsia="zh-CN" w:bidi="ar"/>
        </w:rPr>
        <w:t>壹万壹仟贰佰伍拾</w:t>
      </w:r>
      <w:r>
        <w:rPr>
          <w:rFonts w:hint="eastAsia" w:ascii="宋体" w:hAnsi="宋体" w:eastAsia="宋体" w:cs="宋体"/>
          <w:kern w:val="2"/>
          <w:sz w:val="24"/>
          <w:szCs w:val="24"/>
          <w:highlight w:val="none"/>
          <w:lang w:val="en-US" w:eastAsia="zh-CN" w:bidi="ar"/>
        </w:rPr>
        <w:t>元整）。</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5.2.2中期款</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乙方向甲方提供所有服务达到本合同规定的维保服务期限的一半后，由甲方验收小组出具验收报告，乙方进行书面确认（若拒绝书面确认，则视为同意），验收合格后，甲方在收到乙方提供的与本阶段付款金额等值的正式发票以及乙方加盖单位公章的《付款申请》后十（10）个工作日内，向乙方支付合同总金额的40%（百分之四十），即人民币</w:t>
      </w:r>
      <w:r>
        <w:rPr>
          <w:rFonts w:hint="eastAsia" w:ascii="宋体" w:hAnsi="宋体" w:eastAsia="宋体" w:cs="宋体"/>
          <w:kern w:val="2"/>
          <w:sz w:val="24"/>
          <w:szCs w:val="24"/>
          <w:highlight w:val="none"/>
          <w:u w:val="single"/>
          <w:lang w:val="en-US" w:eastAsia="zh-CN" w:bidi="ar"/>
        </w:rPr>
        <w:t>￥15,000</w:t>
      </w:r>
      <w:r>
        <w:rPr>
          <w:rFonts w:hint="eastAsia" w:ascii="宋体" w:hAnsi="宋体" w:eastAsia="宋体" w:cs="宋体"/>
          <w:kern w:val="2"/>
          <w:sz w:val="24"/>
          <w:szCs w:val="24"/>
          <w:highlight w:val="none"/>
          <w:lang w:val="en-US" w:eastAsia="zh-CN" w:bidi="ar"/>
        </w:rPr>
        <w:t>元整（大写：</w:t>
      </w:r>
      <w:r>
        <w:rPr>
          <w:rFonts w:hint="eastAsia" w:ascii="宋体" w:hAnsi="宋体" w:eastAsia="宋体" w:cs="宋体"/>
          <w:kern w:val="2"/>
          <w:sz w:val="24"/>
          <w:szCs w:val="24"/>
          <w:highlight w:val="none"/>
          <w:u w:val="single"/>
          <w:lang w:val="en-US" w:eastAsia="zh-CN" w:bidi="ar"/>
        </w:rPr>
        <w:t>壹万伍仟</w:t>
      </w:r>
      <w:r>
        <w:rPr>
          <w:rFonts w:hint="eastAsia" w:ascii="宋体" w:hAnsi="宋体" w:eastAsia="宋体" w:cs="宋体"/>
          <w:kern w:val="2"/>
          <w:sz w:val="24"/>
          <w:szCs w:val="24"/>
          <w:highlight w:val="none"/>
          <w:lang w:val="en-US" w:eastAsia="zh-CN" w:bidi="ar"/>
        </w:rPr>
        <w:t>元整）。</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5.2.3后期款</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乙方向甲方提供维保服务期限届满且服务内容完成后，由甲方验收小组出具验收报告，乙方进行书面确认（若拒绝书面确认，则视为同意），验收合格后，甲方在收到乙方提供的与本阶段付款金额等值的正式发票以及乙方加盖单位公章的《付款申请》后十（10）个工作日内，向乙方支付合同总金额的30%（百分之三十），即人民币</w:t>
      </w:r>
      <w:r>
        <w:rPr>
          <w:rFonts w:hint="eastAsia" w:ascii="宋体" w:hAnsi="宋体" w:eastAsia="宋体" w:cs="宋体"/>
          <w:kern w:val="2"/>
          <w:sz w:val="24"/>
          <w:szCs w:val="24"/>
          <w:highlight w:val="none"/>
          <w:u w:val="single"/>
          <w:lang w:val="en-US" w:eastAsia="zh-CN" w:bidi="ar"/>
        </w:rPr>
        <w:t>￥11,250</w:t>
      </w:r>
      <w:r>
        <w:rPr>
          <w:rFonts w:hint="eastAsia" w:ascii="宋体" w:hAnsi="宋体" w:eastAsia="宋体" w:cs="宋体"/>
          <w:kern w:val="2"/>
          <w:sz w:val="24"/>
          <w:szCs w:val="24"/>
          <w:highlight w:val="none"/>
          <w:lang w:val="en-US" w:eastAsia="zh-CN" w:bidi="ar"/>
        </w:rPr>
        <w:t>元整（大写：</w:t>
      </w:r>
      <w:r>
        <w:rPr>
          <w:rFonts w:hint="eastAsia" w:ascii="宋体" w:hAnsi="宋体" w:eastAsia="宋体" w:cs="宋体"/>
          <w:kern w:val="2"/>
          <w:sz w:val="24"/>
          <w:szCs w:val="24"/>
          <w:highlight w:val="none"/>
          <w:u w:val="single"/>
          <w:lang w:val="en-US" w:eastAsia="zh-CN" w:bidi="ar"/>
        </w:rPr>
        <w:t>壹万壹仟贰佰伍拾</w:t>
      </w:r>
      <w:r>
        <w:rPr>
          <w:rFonts w:hint="eastAsia" w:ascii="宋体" w:hAnsi="宋体" w:eastAsia="宋体" w:cs="宋体"/>
          <w:kern w:val="2"/>
          <w:sz w:val="24"/>
          <w:szCs w:val="24"/>
          <w:highlight w:val="none"/>
          <w:lang w:val="en-US" w:eastAsia="zh-CN" w:bidi="ar"/>
        </w:rPr>
        <w:t>元整）。</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5.3本条中的“收到”是指甲方实际接收到乙方交付的发票和《付款申请》，收到日不以发票和/或《付款申请》中载明的日期为准。双方对甲方是否“收到”及收到日有争议的，由乙方负责证明甲方已经“收到”及收到日。</w:t>
      </w:r>
    </w:p>
    <w:p>
      <w:pPr>
        <w:keepNext w:val="0"/>
        <w:keepLines w:val="0"/>
        <w:widowControl w:val="0"/>
        <w:suppressLineNumbers w:val="0"/>
        <w:spacing w:before="120" w:beforeLines="50" w:beforeAutospacing="0" w:after="0" w:afterAutospacing="0" w:line="360" w:lineRule="auto"/>
        <w:ind w:left="0" w:right="0"/>
        <w:jc w:val="center"/>
        <w:outlineLvl w:val="3"/>
        <w:rPr>
          <w:rFonts w:hint="default" w:ascii="Calibri" w:hAnsi="Calibri" w:cs="Times New Roman"/>
          <w:b/>
          <w:bCs/>
          <w:color w:val="000000"/>
          <w:sz w:val="28"/>
          <w:szCs w:val="22"/>
          <w:highlight w:val="none"/>
          <w:lang w:val="en-US"/>
        </w:rPr>
      </w:pPr>
      <w:r>
        <w:rPr>
          <w:rFonts w:hint="eastAsia" w:ascii="Calibri" w:hAnsi="Calibri" w:eastAsia="宋体" w:cs="宋体"/>
          <w:b/>
          <w:bCs/>
          <w:kern w:val="2"/>
          <w:sz w:val="28"/>
          <w:szCs w:val="22"/>
          <w:highlight w:val="none"/>
          <w:lang w:val="en-US" w:eastAsia="zh-CN" w:bidi="ar"/>
        </w:rPr>
        <w:t>第六</w:t>
      </w:r>
      <w:r>
        <w:rPr>
          <w:rFonts w:hint="eastAsia" w:ascii="Calibri" w:hAnsi="Calibri" w:eastAsia="宋体" w:cs="宋体"/>
          <w:b/>
          <w:bCs/>
          <w:color w:val="000000"/>
          <w:kern w:val="2"/>
          <w:sz w:val="28"/>
          <w:szCs w:val="22"/>
          <w:highlight w:val="none"/>
          <w:lang w:val="en-US" w:eastAsia="zh-CN" w:bidi="ar"/>
        </w:rPr>
        <w:t>部分</w:t>
      </w:r>
      <w:r>
        <w:rPr>
          <w:rFonts w:hint="default" w:ascii="Calibri" w:hAnsi="Calibri" w:eastAsia="宋体" w:cs="Times New Roman"/>
          <w:b/>
          <w:bCs/>
          <w:color w:val="000000"/>
          <w:kern w:val="2"/>
          <w:sz w:val="28"/>
          <w:szCs w:val="22"/>
          <w:highlight w:val="none"/>
          <w:lang w:val="en-US" w:eastAsia="zh-CN" w:bidi="ar"/>
        </w:rPr>
        <w:t xml:space="preserve"> </w:t>
      </w:r>
      <w:r>
        <w:rPr>
          <w:rFonts w:hint="eastAsia" w:ascii="Calibri" w:hAnsi="Calibri" w:eastAsia="宋体" w:cs="宋体"/>
          <w:b/>
          <w:bCs/>
          <w:color w:val="000000"/>
          <w:kern w:val="2"/>
          <w:sz w:val="28"/>
          <w:szCs w:val="22"/>
          <w:highlight w:val="none"/>
          <w:lang w:val="en-US" w:eastAsia="zh-CN" w:bidi="ar"/>
        </w:rPr>
        <w:t>履约保证金</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6.1 乙方应于签订合同的同时向甲方提交下述金额的履约保证金。</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6.2 履约保证金为合同总金额的5％（百分之五）即人民币</w:t>
      </w:r>
      <w:r>
        <w:rPr>
          <w:rFonts w:hint="eastAsia" w:ascii="宋体" w:hAnsi="宋体" w:eastAsia="宋体" w:cs="宋体"/>
          <w:kern w:val="2"/>
          <w:sz w:val="24"/>
          <w:szCs w:val="24"/>
          <w:highlight w:val="none"/>
          <w:u w:val="single"/>
          <w:lang w:val="en-US" w:eastAsia="zh-CN" w:bidi="ar"/>
        </w:rPr>
        <w:t>￥1,875</w:t>
      </w:r>
      <w:r>
        <w:rPr>
          <w:rFonts w:hint="eastAsia" w:ascii="宋体" w:hAnsi="宋体" w:eastAsia="宋体" w:cs="宋体"/>
          <w:kern w:val="2"/>
          <w:sz w:val="24"/>
          <w:szCs w:val="24"/>
          <w:highlight w:val="none"/>
          <w:lang w:val="en-US" w:eastAsia="zh-CN" w:bidi="ar"/>
        </w:rPr>
        <w:t>元整（大写：</w:t>
      </w:r>
      <w:r>
        <w:rPr>
          <w:rFonts w:hint="eastAsia" w:ascii="宋体" w:hAnsi="宋体" w:eastAsia="宋体" w:cs="宋体"/>
          <w:kern w:val="2"/>
          <w:sz w:val="24"/>
          <w:szCs w:val="24"/>
          <w:highlight w:val="none"/>
          <w:u w:val="single"/>
          <w:lang w:val="en-US" w:eastAsia="zh-CN" w:bidi="ar"/>
        </w:rPr>
        <w:t xml:space="preserve"> 壹仟捌佰柒拾伍</w:t>
      </w:r>
      <w:r>
        <w:rPr>
          <w:rFonts w:hint="eastAsia" w:ascii="宋体" w:hAnsi="宋体" w:eastAsia="宋体" w:cs="宋体"/>
          <w:kern w:val="2"/>
          <w:sz w:val="24"/>
          <w:szCs w:val="24"/>
          <w:highlight w:val="none"/>
          <w:lang w:val="en-US" w:eastAsia="zh-CN" w:bidi="ar"/>
        </w:rPr>
        <w:t>元整），其有效期截至本合同履约期限届满，若服务合同续签的，履约保证金的有效期相应顺延。履约保证金用以保证乙方履行合同规定的所有义务。</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6.3 除非双方另有协定，在履约保证金有效期届满后，甲方接到乙方提请退还履约保证金的书面申请和双方约定的有关单据后十五（15）个工作日内，应将履约保证金或扣除违约金后剩余的履约保证金退还乙方(不计息)。</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6.4履约保证金采取银行电汇或支票倒存的方式汇入或存入甲方在谈判文件中指定的账户。</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6.5维保服务期开始后，乙方可以以银行保函的形式替换签约时提交的合同履约保证金。</w:t>
      </w:r>
    </w:p>
    <w:p>
      <w:pPr>
        <w:keepNext w:val="0"/>
        <w:keepLines w:val="0"/>
        <w:widowControl w:val="0"/>
        <w:suppressLineNumbers w:val="0"/>
        <w:spacing w:before="120" w:beforeLines="50" w:beforeAutospacing="0" w:after="0" w:afterAutospacing="0" w:line="360" w:lineRule="auto"/>
        <w:ind w:left="0" w:right="0"/>
        <w:jc w:val="center"/>
        <w:outlineLvl w:val="3"/>
        <w:rPr>
          <w:rFonts w:hint="default" w:ascii="Calibri" w:hAnsi="Calibri" w:cs="Times New Roman"/>
          <w:b/>
          <w:bCs/>
          <w:color w:val="000000"/>
          <w:sz w:val="28"/>
          <w:szCs w:val="22"/>
          <w:lang w:val="en-US"/>
        </w:rPr>
      </w:pPr>
      <w:r>
        <w:rPr>
          <w:rFonts w:hint="eastAsia" w:ascii="Calibri" w:hAnsi="Calibri" w:eastAsia="宋体" w:cs="宋体"/>
          <w:b/>
          <w:bCs/>
          <w:color w:val="000000"/>
          <w:kern w:val="2"/>
          <w:sz w:val="28"/>
          <w:szCs w:val="22"/>
          <w:lang w:val="en-US" w:eastAsia="zh-CN" w:bidi="ar"/>
        </w:rPr>
        <w:t>第七部分</w:t>
      </w:r>
      <w:r>
        <w:rPr>
          <w:rFonts w:hint="default" w:ascii="Calibri" w:hAnsi="Calibri" w:eastAsia="宋体" w:cs="Times New Roman"/>
          <w:b/>
          <w:bCs/>
          <w:color w:val="000000"/>
          <w:kern w:val="2"/>
          <w:sz w:val="28"/>
          <w:szCs w:val="22"/>
          <w:lang w:val="en-US" w:eastAsia="zh-CN" w:bidi="ar"/>
        </w:rPr>
        <w:t xml:space="preserve"> </w:t>
      </w:r>
      <w:r>
        <w:rPr>
          <w:rFonts w:hint="eastAsia" w:ascii="Calibri" w:hAnsi="Calibri" w:eastAsia="宋体" w:cs="宋体"/>
          <w:b/>
          <w:bCs/>
          <w:color w:val="000000"/>
          <w:kern w:val="2"/>
          <w:sz w:val="28"/>
          <w:szCs w:val="22"/>
          <w:lang w:val="en-US" w:eastAsia="zh-CN" w:bidi="ar"/>
        </w:rPr>
        <w:t>各方责任及违约</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7.1对于因非正版软件或硬件引发的故障，乙方只负责判断故障原因，并将故障情况反映给甲方及甲方相关负责人。</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7.2乙方所维护软件如由甲方提供，则其不承担因软件版权所引起的纠纷，但如乙方所维护的软件系由乙方作为供应商向甲方提供，则乙方应当承担有关合同义务，并确保有关软件不存在任何质量瑕疵或权利瑕疵，且不会侵犯任何第三人的合法权益。</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7.3乙方有义务严守甲方的商业机密，不以任何的形式窃取或获取甲方保密信息，</w:t>
      </w:r>
      <w:r>
        <w:rPr>
          <w:rFonts w:hint="eastAsia" w:ascii="宋体" w:hAnsi="宋体" w:eastAsia="宋体" w:cs="宋体"/>
          <w:kern w:val="2"/>
          <w:sz w:val="24"/>
          <w:szCs w:val="22"/>
          <w:lang w:val="en-US" w:eastAsia="zh-CN" w:bidi="ar"/>
        </w:rPr>
        <w:t>并不得将甲方及甲方数据资料带出工作现场</w:t>
      </w:r>
      <w:r>
        <w:rPr>
          <w:rFonts w:hint="eastAsia" w:ascii="宋体" w:hAnsi="宋体" w:eastAsia="宋体" w:cs="宋体"/>
          <w:kern w:val="2"/>
          <w:sz w:val="24"/>
          <w:szCs w:val="24"/>
          <w:lang w:val="en-US" w:eastAsia="zh-CN" w:bidi="ar"/>
        </w:rPr>
        <w:t>。</w:t>
      </w:r>
    </w:p>
    <w:p>
      <w:pPr>
        <w:keepNext w:val="0"/>
        <w:keepLines w:val="0"/>
        <w:widowControl w:val="0"/>
        <w:suppressLineNumbers w:val="0"/>
        <w:tabs>
          <w:tab w:val="left" w:pos="900"/>
        </w:tabs>
        <w:spacing w:before="0" w:beforeAutospacing="0" w:after="0" w:afterAutospacing="0" w:line="480" w:lineRule="exact"/>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7.4乙方及原厂商在服务期间，如果对甲方及中国人民银行内其他部门运行正常的硬件、软件或其他财产造成损坏，乙方应负责对其修复及更换，确保甲方及中国人民银行内其他部门的正常使用，给甲方或中国人民银行造成损害或损失的，或发生其他侵犯甲方或第三方财产或合法权利的情况时，乙方应当承担全部法律责任和经济赔偿。</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7.5违约责任和合同解除</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7.5.1乙方未按合同要求向甲方提供服务时，甲方有权扣除其相应的服务费，其计算方法为：乙方及原厂商因自身原因未能完成甲方要求的服务工作的，乙方应按合同总金额的一定比例向甲方支付违约金，且每次支付违约金数额不低于合同总金额的2%（百分之二）。当以上违约金的累计金额达到合同总金额的5%（百分之五）时，甲方有权解除合同。</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7.5.2乙方及原厂商工作人员在提供服务时或提供服务外，造成甲方设施、材料、其他财产及甲方客户物品损失或损坏的，由乙方承担相应的赔偿责任。</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7.5.3</w:t>
      </w:r>
      <w:r>
        <w:rPr>
          <w:rFonts w:hint="eastAsia" w:ascii="宋体" w:hAnsi="宋体" w:eastAsia="宋体" w:cs="宋体"/>
          <w:kern w:val="2"/>
          <w:sz w:val="24"/>
          <w:szCs w:val="22"/>
          <w:lang w:val="en-US" w:eastAsia="zh-CN" w:bidi="ar"/>
        </w:rPr>
        <w:t>若乙方违反第7.2款约定，所提供软件或服务损害第三方合法权益（含知识产权或其他合法权益），乙方应予以处理并承担全部法律责任，还应当按合同总金额的【5】%（百分之【5】）向甲方支付违约金。甲方因此承担责任的，有权向乙方全额追偿。</w:t>
      </w:r>
      <w:r>
        <w:rPr>
          <w:rFonts w:hint="eastAsia" w:ascii="宋体" w:hAnsi="宋体" w:eastAsia="宋体" w:cs="宋体"/>
          <w:kern w:val="2"/>
          <w:sz w:val="24"/>
          <w:szCs w:val="24"/>
          <w:lang w:val="en-US" w:eastAsia="zh-CN" w:bidi="ar"/>
        </w:rPr>
        <w:t>因此导致甲方合同目的不能实现的，甲方有权解除本合同并要求乙方按本合同第7.5.10条之约定承担违约责任。不论合同是否解除或终止，本条持续永久有效。</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7.5.4甲方对乙方的投诉超过2次（含）的,乙方每次每项应按合同总金额的1‰(千分之一)向甲方支付违约金，投诉超过5次（含）的，甲方有权解除本合同。</w:t>
      </w:r>
    </w:p>
    <w:p>
      <w:pPr>
        <w:keepNext w:val="0"/>
        <w:keepLines w:val="0"/>
        <w:widowControl w:val="0"/>
        <w:suppressLineNumbers w:val="0"/>
        <w:spacing w:before="0" w:beforeAutospacing="0" w:after="0" w:afterAutospacing="0" w:line="480" w:lineRule="exact"/>
        <w:ind w:left="0" w:right="0" w:firstLine="480" w:firstLineChars="200"/>
        <w:jc w:val="both"/>
        <w:rPr>
          <w:rFonts w:hint="default" w:ascii="Calibri" w:hAnsi="Calibri" w:cs="Times New Roman"/>
          <w:szCs w:val="22"/>
          <w:lang w:val="en-US"/>
        </w:rPr>
      </w:pPr>
      <w:r>
        <w:rPr>
          <w:rFonts w:hint="eastAsia" w:ascii="宋体" w:hAnsi="宋体" w:eastAsia="宋体" w:cs="宋体"/>
          <w:kern w:val="2"/>
          <w:sz w:val="24"/>
          <w:szCs w:val="24"/>
          <w:lang w:val="en-US" w:eastAsia="zh-CN" w:bidi="ar"/>
        </w:rPr>
        <w:t>7.5.5乙方违反本合同约定的其他义务的，应每次每项按合同总金额的【5】‰（千分之【五】）向甲方支付违约金。当以上违约金的累计金额达到合同总金额的5%（百分之五）时，甲方有权解除合同。</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7.5.6甲方未按照合同规定期限支付服务费用的，除支付应付费用外，每日应按逾期支付服务费用的0.2‰(万分之二)向乙方支付违约金，直至实际支付相应款项为止，但甲方支付的违约金最多不得超过逾期付款金额的5%（百分之五）；违约金达到合同费用总额的5%（百分之五）时，乙方有权解除合同。</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7.5.7除本合同另有约定外，当发生以下情形之一时，视为乙方构成根本违约，甲方有权解除合同并向乙方要求赔偿，发生第（1）、（5）至第（12）项的情形时，乙方还应向甲方支付合同总金额20%</w:t>
      </w:r>
      <w:r>
        <w:rPr>
          <w:rFonts w:hint="eastAsia" w:ascii="宋体" w:hAnsi="宋体" w:eastAsia="宋体" w:cs="宋体"/>
          <w:kern w:val="2"/>
          <w:sz w:val="24"/>
          <w:szCs w:val="22"/>
          <w:lang w:val="en-US" w:eastAsia="zh-CN" w:bidi="ar"/>
        </w:rPr>
        <w:t>（百分之【二十】）</w:t>
      </w:r>
      <w:r>
        <w:rPr>
          <w:rFonts w:hint="eastAsia" w:ascii="宋体" w:hAnsi="宋体" w:eastAsia="宋体" w:cs="宋体"/>
          <w:kern w:val="2"/>
          <w:sz w:val="24"/>
          <w:szCs w:val="24"/>
          <w:lang w:val="en-US" w:eastAsia="zh-CN" w:bidi="ar"/>
        </w:rPr>
        <w:t>的违约金：</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（1）乙方未能按照合同履行规定的义务，致使甲方无法实现合同目的；</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（2）乙方发生分立、并购、重组、解散等重大改变；</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（3）乙方因清偿诉讼债务被扣押资产、冻结账户；</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（4）乙方申请或被申请重整、和解或者破产清算；</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（5）乙方将本合同转包或分包；</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（6）乙方部分转让或全部转让其应履行的合同义务或享有的合同权利；</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（7）乙方所提供服务存在严重瑕疵或重大缺陷；</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（8）乙方资质、提供服务人员等情况的真实性存在重大瑕疵或相应的资质失效；</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（9）乙方中期验收或最终验收不合格且未采取经甲方认可的改善措施的，以及在第三部分规定的各阶段验收时间期限内一直未通过验收的；</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（10）给甲方或中国人民银行的既有硬件、软件或其他财产重大损害（包括损失额超过（人民币￥3,000.00）元整（大写：人民币叁仟元整）或造成重大负面影响的）；</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（11）乙方违反本合同规定的条款并在甲方给予书面通知后3个工作日内仍未采取合理有效且被甲方书面认可的补救措施；</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（12）法律规定和本合同约定的其他甲方有权解除合同的情形。</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7.5.8如果违约方在收到守约方正式书面通知的违约金额7日内没有答复，则守约方提出的违约金额将视为被违约方接受。</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7.5.9甲乙双方承担违约责任并不影响双方继续履行合同未履行的部分。</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7.5.10乙方应对违约行为承担赔偿责任时，如果本合同约定的违约金、滞纳金不足以赔偿甲方全部损失的，乙方还应当对不足部分承担继续赔偿的责任。此外，甲方有权直接从未支付款项中扣除相应金额的款项作为乙方应支付的违约金或赔偿金。</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7.5.11甲方解除合同后，乙方应当在合同解除后的10日内将甲方已经支付的款项返还给甲方，如果有违约金的，违约金合并计算。逾期返还的，乙方应当按照该款项和违约金合并总额的千分之五的标准按日向甲方支付滞纳金。返还款项时，乙方已经提供且被甲方认可的服务所对应的服务费用应当予以扣减。</w:t>
      </w:r>
    </w:p>
    <w:p>
      <w:pPr>
        <w:keepNext w:val="0"/>
        <w:keepLines w:val="0"/>
        <w:widowControl w:val="0"/>
        <w:suppressLineNumbers w:val="0"/>
        <w:spacing w:before="0" w:beforeAutospacing="0" w:after="0" w:afterAutospacing="0" w:line="480" w:lineRule="exact"/>
        <w:ind w:left="0" w:right="0" w:firstLine="480" w:firstLineChars="200"/>
        <w:jc w:val="both"/>
        <w:rPr>
          <w:rFonts w:hint="default" w:ascii="Calibri" w:hAnsi="Calibri" w:cs="Times New Roman"/>
          <w:szCs w:val="22"/>
          <w:lang w:val="en-US"/>
        </w:rPr>
      </w:pPr>
      <w:r>
        <w:rPr>
          <w:rFonts w:hint="eastAsia" w:ascii="宋体" w:hAnsi="宋体" w:eastAsia="宋体" w:cs="宋体"/>
          <w:kern w:val="2"/>
          <w:sz w:val="24"/>
          <w:szCs w:val="24"/>
          <w:lang w:val="en-US" w:eastAsia="zh-CN" w:bidi="ar"/>
        </w:rPr>
        <w:t>7.5.12本合同所称的甲方损失，是指甲方因调查乙方的违约行为、采取补救措施而支出的所有费用，包括但不限于甲方的先期经济投入，以及甲方向乙方及有关单位追索而发生的调查费、鉴定费、通知费、催告费、仲裁费、诉讼费、执行费、保全费、公证费、律师费、差旅费等费用。</w:t>
      </w:r>
    </w:p>
    <w:p>
      <w:pPr>
        <w:keepNext w:val="0"/>
        <w:keepLines w:val="0"/>
        <w:widowControl w:val="0"/>
        <w:suppressLineNumbers w:val="0"/>
        <w:spacing w:before="120" w:beforeLines="50" w:beforeAutospacing="0" w:after="0" w:afterAutospacing="0" w:line="360" w:lineRule="auto"/>
        <w:ind w:left="0" w:right="0"/>
        <w:jc w:val="center"/>
        <w:outlineLvl w:val="3"/>
        <w:rPr>
          <w:rFonts w:hint="default" w:ascii="Calibri" w:hAnsi="Calibri" w:cs="Times New Roman"/>
          <w:b/>
          <w:bCs/>
          <w:color w:val="000000"/>
          <w:sz w:val="28"/>
          <w:szCs w:val="22"/>
          <w:lang w:val="en-US"/>
        </w:rPr>
      </w:pPr>
      <w:r>
        <w:rPr>
          <w:rFonts w:hint="eastAsia" w:ascii="Calibri" w:hAnsi="Calibri" w:eastAsia="宋体" w:cs="宋体"/>
          <w:b/>
          <w:bCs/>
          <w:color w:val="000000"/>
          <w:kern w:val="2"/>
          <w:sz w:val="28"/>
          <w:szCs w:val="22"/>
          <w:lang w:val="en-US" w:eastAsia="zh-CN" w:bidi="ar"/>
        </w:rPr>
        <w:t>第八部分</w:t>
      </w:r>
      <w:r>
        <w:rPr>
          <w:rFonts w:hint="default" w:ascii="Calibri" w:hAnsi="Calibri" w:eastAsia="宋体" w:cs="Times New Roman"/>
          <w:b/>
          <w:bCs/>
          <w:color w:val="000000"/>
          <w:kern w:val="2"/>
          <w:sz w:val="28"/>
          <w:szCs w:val="22"/>
          <w:lang w:val="en-US" w:eastAsia="zh-CN" w:bidi="ar"/>
        </w:rPr>
        <w:t xml:space="preserve"> </w:t>
      </w:r>
      <w:r>
        <w:rPr>
          <w:rFonts w:hint="eastAsia" w:ascii="Calibri" w:hAnsi="Calibri" w:eastAsia="宋体" w:cs="宋体"/>
          <w:b/>
          <w:bCs/>
          <w:color w:val="000000"/>
          <w:kern w:val="2"/>
          <w:sz w:val="28"/>
          <w:szCs w:val="22"/>
          <w:lang w:val="en-US" w:eastAsia="zh-CN" w:bidi="ar"/>
        </w:rPr>
        <w:t>不可抗力</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8.1 如果任何一方由于遭受诸如战争、严重火灾、洪水、台风、地震等重大自然灾害、以及各方同意的其他不可抗力的事件，致使影响合同履行，履行合同的期限应予以延长，延长的期限应相当于事件所影响的时间。不可抗力事件系指双方在缔结合同时所不能预见的，并且它的发生及其后果是无法避免和无法克服的客观情况。</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8.2遭受不可抗力一方应在不可抗力事件发生后2日内以书面形式通知其他方；并在事件发生后 10 日内，将有关部门出具的证明文件、详细情况报告以及不可抗力对合同影响程度的说明用特快专递或挂号信的形式寄给其他方。如果不可抗力影响时间延续 60 日以上，各方应通过友好协商在合理的时间内达成进一步履行合同或终止合同的协议。</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8.3 除非迟延履行后发生不可抗力事件的，发生不可抗力时，任何一方均不对因不可抗力无法履行或迟延履行本合同义务而使其他方蒙受损失承担责任，但遭受不可抗力一方有责任尽可能及时采取适当或必要措施减少或消除不可抗力的影响。遭受不可抗力的一方对因未尽本项义务而造成的损失承担赔偿责任。</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8.4 受事件影响的一方应在不可抗力事件影响停止或消除后10日内将不可抗力事件已停止的报告以书面形式通知其他方。</w:t>
      </w:r>
    </w:p>
    <w:p>
      <w:pPr>
        <w:keepNext w:val="0"/>
        <w:keepLines w:val="0"/>
        <w:widowControl w:val="0"/>
        <w:suppressLineNumbers w:val="0"/>
        <w:spacing w:before="120" w:beforeLines="50" w:beforeAutospacing="0" w:after="0" w:afterAutospacing="0" w:line="360" w:lineRule="auto"/>
        <w:ind w:left="0" w:right="0"/>
        <w:jc w:val="center"/>
        <w:outlineLvl w:val="3"/>
        <w:rPr>
          <w:rFonts w:hint="default" w:ascii="Calibri" w:hAnsi="Calibri" w:cs="Times New Roman"/>
          <w:b/>
          <w:bCs/>
          <w:color w:val="000000"/>
          <w:sz w:val="28"/>
          <w:szCs w:val="22"/>
          <w:lang w:val="en-US"/>
        </w:rPr>
      </w:pPr>
      <w:r>
        <w:rPr>
          <w:rFonts w:hint="eastAsia" w:ascii="Calibri" w:hAnsi="Calibri" w:eastAsia="宋体" w:cs="宋体"/>
          <w:b/>
          <w:bCs/>
          <w:color w:val="000000"/>
          <w:kern w:val="2"/>
          <w:sz w:val="28"/>
          <w:szCs w:val="22"/>
          <w:lang w:val="en-US" w:eastAsia="zh-CN" w:bidi="ar"/>
        </w:rPr>
        <w:t>第九部分</w:t>
      </w:r>
      <w:r>
        <w:rPr>
          <w:rFonts w:hint="default" w:ascii="Calibri" w:hAnsi="Calibri" w:eastAsia="宋体" w:cs="Times New Roman"/>
          <w:b/>
          <w:bCs/>
          <w:color w:val="000000"/>
          <w:kern w:val="2"/>
          <w:sz w:val="28"/>
          <w:szCs w:val="22"/>
          <w:lang w:val="en-US" w:eastAsia="zh-CN" w:bidi="ar"/>
        </w:rPr>
        <w:t xml:space="preserve"> </w:t>
      </w:r>
      <w:r>
        <w:rPr>
          <w:rFonts w:hint="eastAsia" w:ascii="Calibri" w:hAnsi="Calibri" w:eastAsia="宋体" w:cs="宋体"/>
          <w:b/>
          <w:bCs/>
          <w:color w:val="000000"/>
          <w:kern w:val="2"/>
          <w:sz w:val="28"/>
          <w:szCs w:val="22"/>
          <w:lang w:val="en-US" w:eastAsia="zh-CN" w:bidi="ar"/>
        </w:rPr>
        <w:t>保密约定</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9.1 乙方应对在本合同履行过程中知悉的有关甲方的商业、国家等秘密承担保密义务。除经甲方的书面同意或法律、法规另有规定，乙方不得向本合同以外的任何第三人提供、泄漏上述秘密。乙方违反保密义务的，应按合同附件《业务合作保密协议》之约定承担违约责任。违反本条规定给甲方造成损失的，乙方应承担相应责任。</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9.2 除合同本身以外，由甲方提供给乙方的所有资料始终为甲方的财产，乙方应于合同义务履行完毕后【30】日内将上述资料包括副本退还给甲方。</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9.3 不论合同是否解除或终止，本条持续永久有效。</w:t>
      </w:r>
    </w:p>
    <w:p>
      <w:pPr>
        <w:keepNext w:val="0"/>
        <w:keepLines w:val="0"/>
        <w:widowControl w:val="0"/>
        <w:suppressLineNumbers w:val="0"/>
        <w:spacing w:before="120" w:beforeLines="50" w:beforeAutospacing="0" w:after="0" w:afterAutospacing="0" w:line="360" w:lineRule="auto"/>
        <w:ind w:left="0" w:right="0"/>
        <w:jc w:val="center"/>
        <w:outlineLvl w:val="3"/>
        <w:rPr>
          <w:rFonts w:hint="default" w:ascii="Calibri" w:hAnsi="Calibri" w:cs="Times New Roman"/>
          <w:b/>
          <w:bCs/>
          <w:color w:val="000000"/>
          <w:sz w:val="28"/>
          <w:szCs w:val="22"/>
          <w:lang w:val="en-US"/>
        </w:rPr>
      </w:pPr>
      <w:r>
        <w:rPr>
          <w:rFonts w:hint="eastAsia" w:ascii="Calibri" w:hAnsi="Calibri" w:eastAsia="宋体" w:cs="宋体"/>
          <w:b/>
          <w:bCs/>
          <w:color w:val="000000"/>
          <w:kern w:val="2"/>
          <w:sz w:val="28"/>
          <w:szCs w:val="22"/>
          <w:lang w:val="en-US" w:eastAsia="zh-CN" w:bidi="ar"/>
        </w:rPr>
        <w:t>第十部分</w:t>
      </w:r>
      <w:r>
        <w:rPr>
          <w:rFonts w:hint="default" w:ascii="Calibri" w:hAnsi="Calibri" w:eastAsia="宋体" w:cs="Times New Roman"/>
          <w:b/>
          <w:bCs/>
          <w:color w:val="000000"/>
          <w:kern w:val="2"/>
          <w:sz w:val="28"/>
          <w:szCs w:val="22"/>
          <w:lang w:val="en-US" w:eastAsia="zh-CN" w:bidi="ar"/>
        </w:rPr>
        <w:t xml:space="preserve"> </w:t>
      </w:r>
      <w:r>
        <w:rPr>
          <w:rFonts w:hint="eastAsia" w:ascii="Calibri" w:hAnsi="Calibri" w:eastAsia="宋体" w:cs="宋体"/>
          <w:b/>
          <w:bCs/>
          <w:color w:val="000000"/>
          <w:kern w:val="2"/>
          <w:sz w:val="28"/>
          <w:szCs w:val="22"/>
          <w:lang w:val="en-US" w:eastAsia="zh-CN" w:bidi="ar"/>
        </w:rPr>
        <w:t>争议</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10.1在执行本合同中所发生的争端，或与本合同有关的一切争端，甲、乙双方应通过协商解决。如通过协商方式仍不能解决争议，双方同意依法向甲方所在地有管辖权限的人民法院提起诉讼。</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10.2在诉讼期间，除正在进行诉讼部分外，本合同其他部分应继续执行。</w:t>
      </w:r>
    </w:p>
    <w:p>
      <w:pPr>
        <w:keepNext w:val="0"/>
        <w:keepLines w:val="0"/>
        <w:widowControl w:val="0"/>
        <w:suppressLineNumbers w:val="0"/>
        <w:spacing w:before="120" w:beforeLines="50" w:beforeAutospacing="0" w:after="0" w:afterAutospacing="0" w:line="360" w:lineRule="auto"/>
        <w:ind w:left="0" w:right="0"/>
        <w:jc w:val="center"/>
        <w:outlineLvl w:val="3"/>
        <w:rPr>
          <w:rFonts w:hint="default" w:ascii="Calibri" w:hAnsi="Calibri" w:cs="Times New Roman"/>
          <w:b/>
          <w:bCs/>
          <w:color w:val="000000"/>
          <w:sz w:val="28"/>
          <w:szCs w:val="22"/>
          <w:lang w:val="en-US"/>
        </w:rPr>
      </w:pPr>
      <w:r>
        <w:rPr>
          <w:rFonts w:hint="eastAsia" w:ascii="Calibri" w:hAnsi="Calibri" w:eastAsia="宋体" w:cs="宋体"/>
          <w:b/>
          <w:bCs/>
          <w:color w:val="000000"/>
          <w:kern w:val="2"/>
          <w:sz w:val="28"/>
          <w:szCs w:val="22"/>
          <w:lang w:val="en-US" w:eastAsia="zh-CN" w:bidi="ar"/>
        </w:rPr>
        <w:t>第十一部分</w:t>
      </w:r>
      <w:r>
        <w:rPr>
          <w:rFonts w:hint="default" w:ascii="Calibri" w:hAnsi="Calibri" w:eastAsia="宋体" w:cs="Times New Roman"/>
          <w:b/>
          <w:bCs/>
          <w:color w:val="000000"/>
          <w:kern w:val="2"/>
          <w:sz w:val="28"/>
          <w:szCs w:val="22"/>
          <w:lang w:val="en-US" w:eastAsia="zh-CN" w:bidi="ar"/>
        </w:rPr>
        <w:t xml:space="preserve"> </w:t>
      </w:r>
      <w:r>
        <w:rPr>
          <w:rFonts w:hint="eastAsia" w:ascii="Calibri" w:hAnsi="Calibri" w:eastAsia="宋体" w:cs="宋体"/>
          <w:b/>
          <w:bCs/>
          <w:color w:val="000000"/>
          <w:kern w:val="2"/>
          <w:sz w:val="28"/>
          <w:szCs w:val="22"/>
          <w:lang w:val="en-US" w:eastAsia="zh-CN" w:bidi="ar"/>
        </w:rPr>
        <w:t>合同的终止</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11.1甲乙双方均不得单方面随意变更或解除合同。出现下列情况时本合同自行终止：</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11.1.1本合同正常履行完毕；</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11.1.2甲乙双方在不违反法律、法规规定的情况下协议终止本合同的履行；</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11.1.3不可抗力导致本合同无法履行或履行不必要时；</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11.1.4一方根据本合同规定提出解除合同后，本合同在责任方按照本合同的约定履行完毕全部支付义务或其他义务后终止。</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11.2合同的终止并不影响甲乙双方承担其他法律责任。</w:t>
      </w:r>
    </w:p>
    <w:p>
      <w:pPr>
        <w:keepNext w:val="0"/>
        <w:keepLines w:val="0"/>
        <w:widowControl w:val="0"/>
        <w:suppressLineNumbers w:val="0"/>
        <w:spacing w:before="120" w:beforeLines="50" w:beforeAutospacing="0" w:after="0" w:afterAutospacing="0" w:line="360" w:lineRule="auto"/>
        <w:ind w:left="0" w:right="0"/>
        <w:jc w:val="center"/>
        <w:outlineLvl w:val="3"/>
        <w:rPr>
          <w:rFonts w:hint="default" w:ascii="Calibri" w:hAnsi="Calibri" w:cs="Times New Roman"/>
          <w:b/>
          <w:bCs/>
          <w:color w:val="000000"/>
          <w:sz w:val="28"/>
          <w:szCs w:val="22"/>
          <w:lang w:val="en-US"/>
        </w:rPr>
      </w:pPr>
      <w:r>
        <w:rPr>
          <w:rFonts w:hint="eastAsia" w:ascii="Calibri" w:hAnsi="Calibri" w:eastAsia="宋体" w:cs="宋体"/>
          <w:b/>
          <w:bCs/>
          <w:color w:val="000000"/>
          <w:kern w:val="2"/>
          <w:sz w:val="28"/>
          <w:szCs w:val="22"/>
          <w:lang w:val="en-US" w:eastAsia="zh-CN" w:bidi="ar"/>
        </w:rPr>
        <w:t>第十二部分</w:t>
      </w:r>
      <w:r>
        <w:rPr>
          <w:rFonts w:hint="default" w:ascii="Calibri" w:hAnsi="Calibri" w:eastAsia="宋体" w:cs="Times New Roman"/>
          <w:b/>
          <w:bCs/>
          <w:color w:val="000000"/>
          <w:kern w:val="2"/>
          <w:sz w:val="28"/>
          <w:szCs w:val="22"/>
          <w:lang w:val="en-US" w:eastAsia="zh-CN" w:bidi="ar"/>
        </w:rPr>
        <w:t xml:space="preserve"> </w:t>
      </w:r>
      <w:r>
        <w:rPr>
          <w:rFonts w:hint="eastAsia" w:ascii="Calibri" w:hAnsi="Calibri" w:eastAsia="宋体" w:cs="宋体"/>
          <w:b/>
          <w:bCs/>
          <w:color w:val="000000"/>
          <w:kern w:val="2"/>
          <w:sz w:val="28"/>
          <w:szCs w:val="22"/>
          <w:lang w:val="en-US" w:eastAsia="zh-CN" w:bidi="ar"/>
        </w:rPr>
        <w:t>法律适用</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12.1本合同应适用中华人民共和国法律。</w:t>
      </w:r>
    </w:p>
    <w:p>
      <w:pPr>
        <w:keepNext w:val="0"/>
        <w:keepLines w:val="0"/>
        <w:widowControl w:val="0"/>
        <w:suppressLineNumbers w:val="0"/>
        <w:spacing w:before="120" w:beforeLines="50" w:beforeAutospacing="0" w:after="0" w:afterAutospacing="0" w:line="360" w:lineRule="auto"/>
        <w:ind w:left="0" w:right="0"/>
        <w:jc w:val="center"/>
        <w:outlineLvl w:val="3"/>
        <w:rPr>
          <w:rFonts w:hint="default" w:ascii="Calibri" w:hAnsi="Calibri" w:cs="Times New Roman"/>
          <w:b/>
          <w:bCs/>
          <w:color w:val="000000"/>
          <w:sz w:val="28"/>
          <w:szCs w:val="22"/>
          <w:lang w:val="en-US"/>
        </w:rPr>
      </w:pPr>
      <w:r>
        <w:rPr>
          <w:rFonts w:hint="eastAsia" w:ascii="Calibri" w:hAnsi="Calibri" w:eastAsia="宋体" w:cs="宋体"/>
          <w:b/>
          <w:bCs/>
          <w:color w:val="000000"/>
          <w:kern w:val="2"/>
          <w:sz w:val="28"/>
          <w:szCs w:val="22"/>
          <w:lang w:val="en-US" w:eastAsia="zh-CN" w:bidi="ar"/>
        </w:rPr>
        <w:t>第十三部分</w:t>
      </w:r>
      <w:r>
        <w:rPr>
          <w:rFonts w:hint="default" w:ascii="Calibri" w:hAnsi="Calibri" w:eastAsia="宋体" w:cs="Times New Roman"/>
          <w:b/>
          <w:bCs/>
          <w:color w:val="000000"/>
          <w:kern w:val="2"/>
          <w:sz w:val="28"/>
          <w:szCs w:val="22"/>
          <w:lang w:val="en-US" w:eastAsia="zh-CN" w:bidi="ar"/>
        </w:rPr>
        <w:t xml:space="preserve"> </w:t>
      </w:r>
      <w:r>
        <w:rPr>
          <w:rFonts w:hint="eastAsia" w:ascii="Calibri" w:hAnsi="Calibri" w:eastAsia="宋体" w:cs="宋体"/>
          <w:b/>
          <w:bCs/>
          <w:color w:val="000000"/>
          <w:kern w:val="2"/>
          <w:sz w:val="28"/>
          <w:szCs w:val="22"/>
          <w:lang w:val="en-US" w:eastAsia="zh-CN" w:bidi="ar"/>
        </w:rPr>
        <w:t>其他</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13.1合同书写应用中文，各方所有的来往信函，以及合同有关的文件均应以中文书写，以外文书写的必须附有相应的中文译本。如果两种文本的含义发生冲突，各方同意以中文文本为准。</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13.2各方发出与本合同有关的通知或回复，应以专人送递、传真或特快专递的方式送出。如果以专人送递或特快专递发送，以到达至双方约定的地址或通讯联络地视为送达；如果以传真发送，以送达至对方的传真机并经对方确认视为送达。</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双方的联络方式以本合同首部载明为准。任何一方变更列明的通讯地址、传真等联络方式的，应提前五日书面通知对方。</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13.3本合同一式四份，甲方持二份，乙方持二份，经甲、乙双方法定代表人或其授权代表签字、加盖单位公章或合同章并在甲方收到履约保证金后生效。</w:t>
      </w:r>
    </w:p>
    <w:p>
      <w:pPr>
        <w:keepNext w:val="0"/>
        <w:keepLines w:val="0"/>
        <w:widowControl w:val="0"/>
        <w:suppressLineNumbers w:val="0"/>
        <w:spacing w:before="120" w:beforeLines="50" w:beforeAutospacing="0" w:after="0" w:afterAutospacing="0" w:line="360" w:lineRule="auto"/>
        <w:ind w:left="0" w:right="0"/>
        <w:jc w:val="center"/>
        <w:outlineLvl w:val="3"/>
        <w:rPr>
          <w:rFonts w:hint="default" w:ascii="Calibri" w:hAnsi="Calibri" w:cs="Times New Roman"/>
          <w:b/>
          <w:bCs/>
          <w:color w:val="000000"/>
          <w:sz w:val="28"/>
          <w:szCs w:val="22"/>
          <w:lang w:val="en-US"/>
        </w:rPr>
      </w:pPr>
      <w:r>
        <w:rPr>
          <w:rFonts w:hint="eastAsia" w:ascii="Calibri" w:hAnsi="Calibri" w:eastAsia="宋体" w:cs="宋体"/>
          <w:b/>
          <w:bCs/>
          <w:color w:val="000000"/>
          <w:kern w:val="2"/>
          <w:sz w:val="28"/>
          <w:szCs w:val="22"/>
          <w:lang w:val="en-US" w:eastAsia="zh-CN" w:bidi="ar"/>
        </w:rPr>
        <w:t>第十四部分</w:t>
      </w:r>
      <w:r>
        <w:rPr>
          <w:rFonts w:hint="default" w:ascii="Calibri" w:hAnsi="Calibri" w:eastAsia="宋体" w:cs="Times New Roman"/>
          <w:b/>
          <w:bCs/>
          <w:color w:val="000000"/>
          <w:kern w:val="2"/>
          <w:sz w:val="28"/>
          <w:szCs w:val="22"/>
          <w:lang w:val="en-US" w:eastAsia="zh-CN" w:bidi="ar"/>
        </w:rPr>
        <w:t xml:space="preserve"> </w:t>
      </w:r>
      <w:r>
        <w:rPr>
          <w:rFonts w:hint="eastAsia" w:ascii="Calibri" w:hAnsi="Calibri" w:eastAsia="宋体" w:cs="宋体"/>
          <w:b/>
          <w:bCs/>
          <w:color w:val="000000"/>
          <w:kern w:val="2"/>
          <w:sz w:val="28"/>
          <w:szCs w:val="22"/>
          <w:lang w:val="en-US" w:eastAsia="zh-CN" w:bidi="ar"/>
        </w:rPr>
        <w:t>附件</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14.1本合同附件均为本合同不可分割的部分，与合同正文具有同等法律效力。</w:t>
      </w:r>
    </w:p>
    <w:p>
      <w:pPr>
        <w:keepNext w:val="0"/>
        <w:keepLines w:val="0"/>
        <w:widowControl w:val="0"/>
        <w:suppressLineNumbers w:val="0"/>
        <w:tabs>
          <w:tab w:val="left" w:pos="900"/>
        </w:tabs>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合同附件目录如下：</w:t>
      </w:r>
    </w:p>
    <w:p>
      <w:pPr>
        <w:keepNext w:val="0"/>
        <w:keepLines w:val="0"/>
        <w:widowControl w:val="0"/>
        <w:suppressLineNumbers w:val="0"/>
        <w:tabs>
          <w:tab w:val="left" w:pos="900"/>
        </w:tabs>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附件一、业务合作保密协议</w:t>
      </w:r>
    </w:p>
    <w:p>
      <w:pPr>
        <w:keepNext w:val="0"/>
        <w:keepLines w:val="0"/>
        <w:widowControl w:val="0"/>
        <w:suppressLineNumbers w:val="0"/>
        <w:tabs>
          <w:tab w:val="left" w:pos="900"/>
        </w:tabs>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附件二、合同清单及价格</w:t>
      </w:r>
    </w:p>
    <w:p>
      <w:pPr>
        <w:keepNext w:val="0"/>
        <w:keepLines w:val="0"/>
        <w:widowControl w:val="0"/>
        <w:suppressLineNumbers w:val="0"/>
        <w:tabs>
          <w:tab w:val="left" w:pos="900"/>
        </w:tabs>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附件三、甲方的业务需求及技术规范</w:t>
      </w:r>
    </w:p>
    <w:p>
      <w:pPr>
        <w:keepNext w:val="0"/>
        <w:keepLines w:val="0"/>
        <w:widowControl w:val="0"/>
        <w:suppressLineNumbers w:val="0"/>
        <w:tabs>
          <w:tab w:val="left" w:pos="900"/>
        </w:tabs>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附件四、乙方维护服务及质量保证承诺</w:t>
      </w:r>
    </w:p>
    <w:p>
      <w:pPr>
        <w:keepNext w:val="0"/>
        <w:keepLines w:val="0"/>
        <w:widowControl w:val="0"/>
        <w:suppressLineNumbers w:val="0"/>
        <w:tabs>
          <w:tab w:val="left" w:pos="900"/>
        </w:tabs>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附件五、成交通知书</w:t>
      </w:r>
    </w:p>
    <w:p>
      <w:pPr>
        <w:keepNext w:val="0"/>
        <w:keepLines w:val="0"/>
        <w:widowControl w:val="0"/>
        <w:suppressLineNumbers w:val="0"/>
        <w:tabs>
          <w:tab w:val="left" w:pos="900"/>
        </w:tabs>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附件六、供应商拥有者性别声明</w:t>
      </w:r>
    </w:p>
    <w:p>
      <w:pPr>
        <w:keepNext w:val="0"/>
        <w:keepLines w:val="0"/>
        <w:widowControl w:val="0"/>
        <w:suppressLineNumbers w:val="0"/>
        <w:autoSpaceDE w:val="0"/>
        <w:autoSpaceDN w:val="0"/>
        <w:snapToGrid w:val="0"/>
        <w:spacing w:before="0" w:beforeAutospacing="0" w:after="0" w:afterAutospacing="0" w:line="720" w:lineRule="auto"/>
        <w:ind w:left="0" w:right="0"/>
        <w:jc w:val="left"/>
        <w:rPr>
          <w:rFonts w:hint="default" w:ascii="Calibri" w:hAnsi="宋体" w:cs="Times New Roman"/>
          <w:szCs w:val="22"/>
          <w:lang w:val="en-US"/>
        </w:rPr>
      </w:pPr>
    </w:p>
    <w:p>
      <w:pPr>
        <w:keepNext w:val="0"/>
        <w:keepLines w:val="0"/>
        <w:widowControl w:val="0"/>
        <w:suppressLineNumbers w:val="0"/>
        <w:spacing w:before="0" w:beforeAutospacing="0" w:after="120" w:afterAutospacing="0"/>
        <w:ind w:left="0" w:right="0"/>
        <w:jc w:val="both"/>
        <w:rPr>
          <w:rFonts w:hint="default" w:ascii="Calibri" w:hAnsi="宋体" w:cs="Times New Roman"/>
          <w:szCs w:val="24"/>
          <w:lang w:val="en-US"/>
        </w:rPr>
      </w:pPr>
    </w:p>
    <w:p>
      <w:pPr>
        <w:keepNext w:val="0"/>
        <w:keepLines w:val="0"/>
        <w:widowControl w:val="0"/>
        <w:suppressLineNumbers w:val="0"/>
        <w:autoSpaceDE w:val="0"/>
        <w:autoSpaceDN w:val="0"/>
        <w:snapToGrid w:val="0"/>
        <w:spacing w:before="0" w:beforeAutospacing="0" w:after="0" w:afterAutospacing="0" w:line="360" w:lineRule="auto"/>
        <w:ind w:left="360" w:right="0"/>
        <w:jc w:val="center"/>
        <w:rPr>
          <w:rFonts w:hint="default" w:ascii="Calibri" w:hAnsi="宋体" w:cs="Times New Roman"/>
          <w:sz w:val="24"/>
          <w:szCs w:val="24"/>
          <w:lang w:val="en-US"/>
        </w:rPr>
      </w:pPr>
      <w:r>
        <w:rPr>
          <w:rFonts w:hint="eastAsia" w:ascii="宋体" w:hAnsi="宋体" w:eastAsia="宋体" w:cs="宋体"/>
          <w:kern w:val="2"/>
          <w:sz w:val="24"/>
          <w:szCs w:val="24"/>
          <w:lang w:val="en-US" w:eastAsia="zh-CN" w:bidi="ar"/>
        </w:rPr>
        <w:t>（本行以下无正文）</w:t>
      </w:r>
    </w:p>
    <w:p>
      <w:pPr>
        <w:keepNext w:val="0"/>
        <w:keepLines w:val="0"/>
        <w:widowControl w:val="0"/>
        <w:suppressLineNumbers w:val="0"/>
        <w:spacing w:before="0" w:beforeAutospacing="0" w:after="120" w:afterAutospacing="0"/>
        <w:ind w:left="0" w:right="0"/>
        <w:jc w:val="both"/>
        <w:rPr>
          <w:rFonts w:hint="default" w:ascii="Calibri" w:hAnsi="Calibri" w:cs="Times New Roman"/>
          <w:szCs w:val="24"/>
          <w:lang w:val="en-US"/>
        </w:rPr>
      </w:pPr>
    </w:p>
    <w:p>
      <w:pPr>
        <w:keepNext w:val="0"/>
        <w:keepLines w:val="0"/>
        <w:widowControl w:val="0"/>
        <w:suppressLineNumbers w:val="0"/>
        <w:autoSpaceDE w:val="0"/>
        <w:autoSpaceDN w:val="0"/>
        <w:snapToGrid w:val="0"/>
        <w:spacing w:before="0" w:beforeAutospacing="0" w:after="0" w:afterAutospacing="0" w:line="720" w:lineRule="auto"/>
        <w:ind w:left="0" w:right="0"/>
        <w:jc w:val="both"/>
        <w:rPr>
          <w:rFonts w:hint="default" w:ascii="Calibri" w:hAnsi="宋体" w:cs="Times New Roman"/>
          <w:sz w:val="24"/>
          <w:szCs w:val="24"/>
          <w:highlight w:val="none"/>
          <w:lang w:val="en-US"/>
        </w:rPr>
      </w:pPr>
      <w:r>
        <w:rPr>
          <w:rFonts w:hint="eastAsia" w:ascii="宋体" w:hAnsi="宋体" w:eastAsia="宋体" w:cs="宋体"/>
          <w:kern w:val="2"/>
          <w:sz w:val="24"/>
          <w:szCs w:val="24"/>
          <w:lang w:val="en-US" w:eastAsia="zh-CN" w:bidi="ar"/>
        </w:rPr>
        <w:t xml:space="preserve">甲方：中国人民银行征信中心       </w:t>
      </w:r>
      <w:r>
        <w:rPr>
          <w:rFonts w:hint="eastAsia" w:ascii="宋体" w:hAnsi="宋体" w:eastAsia="宋体" w:cs="宋体"/>
          <w:kern w:val="2"/>
          <w:sz w:val="24"/>
          <w:szCs w:val="24"/>
          <w:highlight w:val="none"/>
          <w:lang w:val="en-US" w:eastAsia="zh-CN" w:bidi="ar"/>
        </w:rPr>
        <w:t xml:space="preserve">    乙方：北京微通新成网络科技有限公司</w:t>
      </w:r>
    </w:p>
    <w:p>
      <w:pPr>
        <w:keepNext w:val="0"/>
        <w:keepLines w:val="0"/>
        <w:widowControl w:val="0"/>
        <w:suppressLineNumbers w:val="0"/>
        <w:autoSpaceDE w:val="0"/>
        <w:autoSpaceDN w:val="0"/>
        <w:snapToGrid w:val="0"/>
        <w:spacing w:before="0" w:beforeAutospacing="0" w:after="0" w:afterAutospacing="0" w:line="720" w:lineRule="auto"/>
        <w:ind w:left="0" w:right="0"/>
        <w:jc w:val="left"/>
        <w:rPr>
          <w:rFonts w:hint="default" w:ascii="Calibri" w:hAnsi="宋体" w:cs="Times New Roman"/>
          <w:sz w:val="24"/>
          <w:szCs w:val="24"/>
          <w:lang w:val="en-US"/>
        </w:rPr>
      </w:pPr>
      <w:r>
        <w:rPr>
          <w:rFonts w:hint="eastAsia" w:ascii="宋体" w:hAnsi="宋体" w:eastAsia="宋体" w:cs="宋体"/>
          <w:kern w:val="2"/>
          <w:sz w:val="24"/>
          <w:szCs w:val="24"/>
          <w:lang w:val="en-US" w:eastAsia="zh-CN" w:bidi="ar"/>
        </w:rPr>
        <w:t>单位盖章：                           单位盖章：</w:t>
      </w:r>
    </w:p>
    <w:p>
      <w:pPr>
        <w:keepNext w:val="0"/>
        <w:keepLines w:val="0"/>
        <w:widowControl w:val="0"/>
        <w:suppressLineNumbers w:val="0"/>
        <w:autoSpaceDE w:val="0"/>
        <w:autoSpaceDN w:val="0"/>
        <w:snapToGrid w:val="0"/>
        <w:spacing w:before="0" w:beforeAutospacing="0" w:after="0" w:afterAutospacing="0" w:line="720" w:lineRule="auto"/>
        <w:ind w:left="0" w:right="0"/>
        <w:jc w:val="left"/>
        <w:rPr>
          <w:rFonts w:hint="default" w:ascii="Calibri" w:hAnsi="宋体" w:cs="Times New Roman"/>
          <w:sz w:val="24"/>
          <w:szCs w:val="24"/>
          <w:lang w:val="en-US"/>
        </w:rPr>
      </w:pPr>
      <w:r>
        <w:rPr>
          <w:rFonts w:hint="eastAsia" w:ascii="宋体" w:hAnsi="宋体" w:eastAsia="宋体" w:cs="宋体"/>
          <w:kern w:val="2"/>
          <w:sz w:val="24"/>
          <w:szCs w:val="24"/>
          <w:lang w:val="en-US" w:eastAsia="zh-CN" w:bidi="ar"/>
        </w:rPr>
        <w:t>法定代表人或授权代表签字：           法定代表人或授权代表签字：</w:t>
      </w:r>
    </w:p>
    <w:p>
      <w:pPr>
        <w:keepNext w:val="0"/>
        <w:keepLines w:val="0"/>
        <w:widowControl w:val="0"/>
        <w:suppressLineNumbers w:val="0"/>
        <w:autoSpaceDE w:val="0"/>
        <w:autoSpaceDN w:val="0"/>
        <w:snapToGrid w:val="0"/>
        <w:spacing w:before="0" w:beforeAutospacing="0" w:after="0" w:afterAutospacing="0" w:line="720" w:lineRule="auto"/>
        <w:ind w:left="0" w:right="0"/>
        <w:jc w:val="left"/>
        <w:rPr>
          <w:rFonts w:hint="eastAsia" w:ascii="宋体" w:hAnsi="宋体" w:eastAsia="宋体" w:cs="宋体"/>
          <w:sz w:val="24"/>
          <w:szCs w:val="24"/>
          <w:lang w:val="en-US" w:bidi="ar"/>
        </w:rPr>
      </w:pPr>
      <w:r>
        <w:rPr>
          <w:rFonts w:hint="eastAsia" w:ascii="宋体" w:hAnsi="宋体" w:eastAsia="宋体" w:cs="宋体"/>
          <w:kern w:val="2"/>
          <w:sz w:val="24"/>
          <w:szCs w:val="24"/>
          <w:lang w:val="en-US" w:eastAsia="zh-CN" w:bidi="ar"/>
        </w:rPr>
        <w:t>日期：                               日期：</w:t>
      </w:r>
    </w:p>
    <w:p>
      <w:pP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br w:type="page"/>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bidi="ar"/>
        </w:rPr>
      </w:pPr>
      <w:r>
        <w:rPr>
          <w:rFonts w:hint="eastAsia" w:ascii="宋体" w:hAnsi="宋体" w:eastAsia="宋体" w:cs="宋体"/>
          <w:kern w:val="2"/>
          <w:sz w:val="24"/>
          <w:szCs w:val="24"/>
          <w:lang w:val="en-US" w:eastAsia="zh-CN" w:bidi="ar"/>
        </w:rPr>
        <w:t>附件五、成交通知书</w:t>
      </w:r>
    </w:p>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b/>
          <w:bCs/>
          <w:sz w:val="36"/>
          <w:szCs w:val="36"/>
          <w:highlight w:val="yellow"/>
          <w:lang w:val="en-US" w:eastAsia="zh-CN" w:bidi="ar"/>
        </w:rPr>
      </w:pPr>
      <w:r>
        <w:drawing>
          <wp:inline distT="0" distB="0" distL="114300" distR="114300">
            <wp:extent cx="5372100" cy="7410450"/>
            <wp:effectExtent l="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5"/>
                    <a:stretch>
                      <a:fillRect/>
                    </a:stretch>
                  </pic:blipFill>
                  <pic:spPr>
                    <a:xfrm>
                      <a:off x="0" y="0"/>
                      <a:ext cx="5372100" cy="7410450"/>
                    </a:xfrm>
                    <a:prstGeom prst="rect">
                      <a:avLst/>
                    </a:prstGeom>
                    <a:noFill/>
                    <a:ln>
                      <a:noFill/>
                    </a:ln>
                  </pic:spPr>
                </pic:pic>
              </a:graphicData>
            </a:graphic>
          </wp:inline>
        </w:drawing>
      </w:r>
    </w:p>
    <w:p>
      <w:pPr>
        <w:pStyle w:val="8"/>
        <w:rPr>
          <w:rFonts w:hint="eastAsia"/>
          <w:lang w:val="en-US" w:eastAsia="zh-CN"/>
        </w:rPr>
      </w:pPr>
    </w:p>
    <w:p>
      <w:pPr>
        <w:rPr>
          <w:rFonts w:hint="eastAsia" w:ascii="宋体" w:hAnsi="宋体" w:eastAsia="宋体" w:cs="宋体"/>
          <w:kern w:val="2"/>
          <w:sz w:val="24"/>
          <w:szCs w:val="20"/>
          <w:lang w:val="en-US" w:eastAsia="zh-CN" w:bidi="ar"/>
        </w:rPr>
      </w:pPr>
      <w:r>
        <w:rPr>
          <w:rFonts w:hint="eastAsia" w:ascii="宋体" w:hAnsi="宋体" w:eastAsia="宋体" w:cs="宋体"/>
          <w:kern w:val="2"/>
          <w:sz w:val="24"/>
          <w:szCs w:val="20"/>
          <w:lang w:val="en-US" w:eastAsia="zh-CN" w:bidi="ar"/>
        </w:rPr>
        <w:br w:type="page"/>
      </w:r>
    </w:p>
    <w:p>
      <w:r>
        <w:drawing>
          <wp:inline distT="0" distB="0" distL="114300" distR="114300">
            <wp:extent cx="4410075" cy="6219825"/>
            <wp:effectExtent l="0" t="0" r="9525"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4410075" cy="6219825"/>
                    </a:xfrm>
                    <a:prstGeom prst="rect">
                      <a:avLst/>
                    </a:prstGeom>
                    <a:noFill/>
                    <a:ln>
                      <a:noFill/>
                    </a:ln>
                  </pic:spPr>
                </pic:pic>
              </a:graphicData>
            </a:graphic>
          </wp:inline>
        </w:drawing>
      </w:r>
    </w:p>
    <w:sectPr>
      <w:pgSz w:w="12240" w:h="15840"/>
      <w:pgMar w:top="1440" w:right="1800" w:bottom="1440" w:left="180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B0745"/>
    <w:rsid w:val="012A0989"/>
    <w:rsid w:val="01D32DCE"/>
    <w:rsid w:val="02ED7EC0"/>
    <w:rsid w:val="0385459C"/>
    <w:rsid w:val="04D01847"/>
    <w:rsid w:val="06FF01C2"/>
    <w:rsid w:val="08936454"/>
    <w:rsid w:val="08A07782"/>
    <w:rsid w:val="08DF02AB"/>
    <w:rsid w:val="10606175"/>
    <w:rsid w:val="10F56670"/>
    <w:rsid w:val="137B1518"/>
    <w:rsid w:val="14985CDA"/>
    <w:rsid w:val="15892E91"/>
    <w:rsid w:val="19BE08C2"/>
    <w:rsid w:val="1F0966CF"/>
    <w:rsid w:val="23906366"/>
    <w:rsid w:val="24172B97"/>
    <w:rsid w:val="276A4612"/>
    <w:rsid w:val="2A6401B8"/>
    <w:rsid w:val="2A7D127A"/>
    <w:rsid w:val="2BCE4483"/>
    <w:rsid w:val="2F5C3B54"/>
    <w:rsid w:val="2F6704D8"/>
    <w:rsid w:val="30A25EDE"/>
    <w:rsid w:val="33DE2E78"/>
    <w:rsid w:val="34A26271"/>
    <w:rsid w:val="36B67FED"/>
    <w:rsid w:val="372F1B4E"/>
    <w:rsid w:val="37881E3B"/>
    <w:rsid w:val="38CE5AC2"/>
    <w:rsid w:val="39E044CC"/>
    <w:rsid w:val="3BB16FD5"/>
    <w:rsid w:val="3DB1150E"/>
    <w:rsid w:val="401364B0"/>
    <w:rsid w:val="43C33D49"/>
    <w:rsid w:val="471A6376"/>
    <w:rsid w:val="48EB0F3A"/>
    <w:rsid w:val="49BE123B"/>
    <w:rsid w:val="4BA32DDE"/>
    <w:rsid w:val="4BAE52DF"/>
    <w:rsid w:val="4C7D53DD"/>
    <w:rsid w:val="4D7A5E5A"/>
    <w:rsid w:val="4F300EE6"/>
    <w:rsid w:val="550D4D66"/>
    <w:rsid w:val="57C306DB"/>
    <w:rsid w:val="59351A0E"/>
    <w:rsid w:val="5A226FEB"/>
    <w:rsid w:val="5B5604E4"/>
    <w:rsid w:val="611046CB"/>
    <w:rsid w:val="61A820AA"/>
    <w:rsid w:val="65B01829"/>
    <w:rsid w:val="66650F64"/>
    <w:rsid w:val="6B7030B8"/>
    <w:rsid w:val="6D594C53"/>
    <w:rsid w:val="6D725612"/>
    <w:rsid w:val="6E1A6AD8"/>
    <w:rsid w:val="6F8C57B4"/>
    <w:rsid w:val="705B6F34"/>
    <w:rsid w:val="71306040"/>
    <w:rsid w:val="71FE6ED2"/>
    <w:rsid w:val="725B321B"/>
    <w:rsid w:val="75792336"/>
    <w:rsid w:val="757E794D"/>
    <w:rsid w:val="765F05C2"/>
    <w:rsid w:val="76746FA2"/>
    <w:rsid w:val="77DA4BE2"/>
    <w:rsid w:val="790E2D96"/>
    <w:rsid w:val="795175C9"/>
    <w:rsid w:val="79BC5933"/>
    <w:rsid w:val="7B046B46"/>
    <w:rsid w:val="7B14665D"/>
    <w:rsid w:val="7B8F3F36"/>
    <w:rsid w:val="7C0768CE"/>
    <w:rsid w:val="7CC12815"/>
    <w:rsid w:val="7D1172F8"/>
    <w:rsid w:val="7D807FDA"/>
    <w:rsid w:val="7DE75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qFormat/>
    <w:uiPriority w:val="99"/>
    <w:pPr>
      <w:spacing w:before="120" w:line="360" w:lineRule="atLeast"/>
    </w:pPr>
    <w:rPr>
      <w:b/>
      <w:i/>
    </w:rPr>
  </w:style>
  <w:style w:type="paragraph" w:styleId="3">
    <w:name w:val="Body Text Indent"/>
    <w:basedOn w:val="1"/>
    <w:next w:val="4"/>
    <w:qFormat/>
    <w:uiPriority w:val="0"/>
    <w:pPr>
      <w:spacing w:after="120" w:afterLines="0" w:afterAutospacing="0"/>
      <w:ind w:left="420" w:leftChars="200"/>
    </w:pPr>
  </w:style>
  <w:style w:type="paragraph" w:styleId="4">
    <w:name w:val="envelope return"/>
    <w:basedOn w:val="1"/>
    <w:qFormat/>
    <w:uiPriority w:val="0"/>
    <w:pPr>
      <w:snapToGrid w:val="0"/>
    </w:pPr>
    <w:rPr>
      <w:rFonts w:ascii="Arial" w:hAnsi="Arial"/>
    </w:rPr>
  </w:style>
  <w:style w:type="paragraph" w:styleId="5">
    <w:name w:val="footer"/>
    <w:basedOn w:val="1"/>
    <w:link w:val="1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Indent 3"/>
    <w:basedOn w:val="1"/>
    <w:qFormat/>
    <w:uiPriority w:val="0"/>
    <w:pPr>
      <w:tabs>
        <w:tab w:val="left" w:pos="540"/>
      </w:tabs>
      <w:spacing w:line="360" w:lineRule="auto"/>
      <w:ind w:firstLine="480" w:firstLineChars="200"/>
    </w:pPr>
    <w:rPr>
      <w:rFonts w:ascii="宋体" w:hAnsi="宋体"/>
      <w:bCs/>
      <w:color w:val="FF0000"/>
      <w:sz w:val="24"/>
    </w:rPr>
  </w:style>
  <w:style w:type="paragraph" w:styleId="8">
    <w:name w:val="Body Text First Indent 2"/>
    <w:basedOn w:val="3"/>
    <w:qFormat/>
    <w:uiPriority w:val="0"/>
    <w:pPr>
      <w:keepNext w:val="0"/>
      <w:keepLines w:val="0"/>
      <w:widowControl w:val="0"/>
      <w:suppressLineNumbers w:val="0"/>
      <w:spacing w:before="0" w:beforeAutospacing="0" w:after="120" w:afterAutospacing="0"/>
      <w:ind w:left="420" w:leftChars="200" w:right="0" w:firstLine="420" w:firstLineChars="200"/>
      <w:jc w:val="both"/>
    </w:pPr>
    <w:rPr>
      <w:rFonts w:hint="default" w:ascii="Times New Roman" w:hAnsi="Times New Roman" w:eastAsia="宋体" w:cs="Times New Roman"/>
      <w:kern w:val="2"/>
      <w:sz w:val="21"/>
      <w:szCs w:val="20"/>
      <w:lang w:val="en-US" w:eastAsia="zh-CN" w:bidi="ar"/>
    </w:rPr>
  </w:style>
  <w:style w:type="character" w:customStyle="1" w:styleId="11">
    <w:name w:val="页脚 Char"/>
    <w:basedOn w:val="10"/>
    <w:link w:val="5"/>
    <w:qFormat/>
    <w:uiPriority w:val="0"/>
    <w:rPr>
      <w:kern w:val="2"/>
      <w:sz w:val="18"/>
    </w:rPr>
  </w:style>
  <w:style w:type="paragraph" w:customStyle="1" w:styleId="12">
    <w:name w:val="正文（Tass）"/>
    <w:qFormat/>
    <w:uiPriority w:val="0"/>
    <w:pPr>
      <w:spacing w:before="312" w:beforeLines="100" w:after="312" w:afterLines="100" w:line="400" w:lineRule="exact"/>
      <w:ind w:firstLine="420" w:firstLineChars="200"/>
      <w:jc w:val="both"/>
    </w:pPr>
    <w:rPr>
      <w:rFonts w:ascii="Arial" w:hAnsi="Arial"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14977</Words>
  <Characters>15548</Characters>
  <Lines>0</Lines>
  <Paragraphs>0</Paragraphs>
  <TotalTime>15</TotalTime>
  <ScaleCrop>false</ScaleCrop>
  <LinksUpToDate>false</LinksUpToDate>
  <CharactersWithSpaces>15972</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2025-12-22T05:24:00Z</dcterms:created>
  <dc:creator>Administrator</dc:creator>
  <cp:lastModifiedBy>孙靓瑶</cp:lastModifiedBy>
  <dcterms:modified xsi:type="dcterms:W3CDTF">2026-01-04T01:51:09Z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493B5D0B0E9E44149E65B7CB55A6B99A</vt:lpwstr>
  </property>
  <property fmtid="{D5CDD505-2E9C-101B-9397-08002B2CF9AE}" pid="4" name="KSOTemplateDocerSaveRecord">
    <vt:lpwstr>eyJoZGlkIjoiMmUxMmJjYTRiODM0MzU1YWFiMjQxY2U3NzA4NTA0NmMiLCJ1c2VySWQiOiIxNTgzNDU1Mzk3In0=</vt:lpwstr>
  </property>
</Properties>
</file>