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left="420" w:hanging="420"/>
        <w:jc w:val="center"/>
        <w:rPr>
          <w:rFonts w:hint="eastAsia" w:ascii="宋体" w:hAnsi="宋体"/>
          <w:b/>
          <w:bCs/>
          <w:sz w:val="36"/>
          <w:szCs w:val="32"/>
        </w:rPr>
      </w:pPr>
    </w:p>
    <w:p>
      <w:pPr>
        <w:autoSpaceDE w:val="0"/>
        <w:autoSpaceDN w:val="0"/>
        <w:adjustRightInd w:val="0"/>
        <w:ind w:left="420" w:hanging="420"/>
        <w:jc w:val="center"/>
        <w:rPr>
          <w:rFonts w:hint="eastAsia" w:ascii="宋体" w:hAnsi="宋体"/>
          <w:b/>
          <w:bCs/>
          <w:sz w:val="36"/>
          <w:szCs w:val="32"/>
        </w:rPr>
      </w:pPr>
    </w:p>
    <w:p>
      <w:pPr>
        <w:autoSpaceDE w:val="0"/>
        <w:autoSpaceDN w:val="0"/>
        <w:adjustRightInd w:val="0"/>
        <w:ind w:left="420" w:hanging="420"/>
        <w:jc w:val="center"/>
        <w:rPr>
          <w:rFonts w:hint="eastAsia" w:ascii="宋体" w:hAnsi="宋体"/>
          <w:b/>
          <w:bCs/>
          <w:sz w:val="36"/>
          <w:szCs w:val="32"/>
        </w:rPr>
      </w:pPr>
    </w:p>
    <w:p>
      <w:pPr>
        <w:autoSpaceDE w:val="0"/>
        <w:autoSpaceDN w:val="0"/>
        <w:adjustRightInd w:val="0"/>
        <w:ind w:left="420" w:hanging="420"/>
        <w:jc w:val="center"/>
        <w:rPr>
          <w:rFonts w:hint="eastAsia" w:ascii="宋体" w:hAnsi="宋体"/>
          <w:b/>
          <w:bCs/>
          <w:sz w:val="36"/>
          <w:szCs w:val="32"/>
        </w:rPr>
      </w:pPr>
    </w:p>
    <w:p>
      <w:pPr>
        <w:autoSpaceDE w:val="0"/>
        <w:autoSpaceDN w:val="0"/>
        <w:adjustRightInd w:val="0"/>
        <w:ind w:left="420" w:hanging="420"/>
        <w:jc w:val="center"/>
        <w:rPr>
          <w:rFonts w:hint="eastAsia" w:ascii="宋体" w:hAnsi="宋体"/>
          <w:b/>
          <w:bCs/>
          <w:sz w:val="36"/>
          <w:szCs w:val="32"/>
        </w:rPr>
      </w:pPr>
    </w:p>
    <w:p>
      <w:pPr>
        <w:autoSpaceDE w:val="0"/>
        <w:autoSpaceDN w:val="0"/>
        <w:adjustRightInd w:val="0"/>
        <w:ind w:left="420" w:hanging="420"/>
        <w:jc w:val="center"/>
        <w:rPr>
          <w:rFonts w:hint="eastAsia" w:ascii="宋体" w:hAnsi="宋体"/>
          <w:b/>
          <w:bCs/>
          <w:sz w:val="36"/>
          <w:szCs w:val="32"/>
        </w:rPr>
      </w:pPr>
    </w:p>
    <w:p>
      <w:pPr>
        <w:autoSpaceDE w:val="0"/>
        <w:autoSpaceDN w:val="0"/>
        <w:adjustRightInd w:val="0"/>
        <w:ind w:left="420" w:hanging="420"/>
        <w:jc w:val="center"/>
        <w:rPr>
          <w:rFonts w:ascii="宋体" w:hAnsi="宋体"/>
          <w:b/>
          <w:bCs/>
          <w:sz w:val="36"/>
          <w:szCs w:val="32"/>
        </w:rPr>
      </w:pPr>
      <w:r>
        <w:rPr>
          <w:rFonts w:hint="eastAsia" w:ascii="宋体" w:hAnsi="宋体"/>
          <w:b/>
          <w:bCs/>
          <w:sz w:val="36"/>
          <w:szCs w:val="32"/>
        </w:rPr>
        <w:t>中国人民银行征信中心2026年公安一所硬件设备</w:t>
      </w:r>
    </w:p>
    <w:p>
      <w:pPr>
        <w:autoSpaceDE w:val="0"/>
        <w:autoSpaceDN w:val="0"/>
        <w:adjustRightInd w:val="0"/>
        <w:ind w:left="420" w:hanging="420"/>
        <w:jc w:val="center"/>
        <w:rPr>
          <w:rFonts w:eastAsia="黑体"/>
          <w:b/>
          <w:bCs/>
          <w:sz w:val="36"/>
        </w:rPr>
      </w:pPr>
      <w:r>
        <w:rPr>
          <w:rFonts w:hint="eastAsia" w:ascii="宋体" w:hAnsi="宋体"/>
          <w:b/>
          <w:bCs/>
          <w:sz w:val="36"/>
          <w:szCs w:val="32"/>
        </w:rPr>
        <w:t>维保服务采购项目</w:t>
      </w:r>
      <w:r>
        <w:rPr>
          <w:rFonts w:ascii="宋体" w:hAnsi="宋体"/>
          <w:b/>
          <w:bCs/>
          <w:sz w:val="36"/>
          <w:szCs w:val="32"/>
        </w:rPr>
        <w:t>合同</w:t>
      </w: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 w:val="32"/>
          <w:szCs w:val="21"/>
          <w:lang w:val="zh-CN"/>
        </w:rPr>
      </w:pPr>
      <w:r>
        <w:rPr>
          <w:rFonts w:hint="eastAsia" w:ascii="宋体" w:cs="宋体"/>
          <w:b/>
          <w:sz w:val="32"/>
          <w:szCs w:val="21"/>
          <w:lang w:val="zh-CN"/>
        </w:rPr>
        <w:t>合同编号：ZXZX-</w:t>
      </w:r>
      <w:r>
        <w:rPr>
          <w:rFonts w:hint="eastAsia" w:ascii="宋体" w:cs="宋体"/>
          <w:b/>
          <w:sz w:val="32"/>
          <w:szCs w:val="21"/>
        </w:rPr>
        <w:t>2025</w:t>
      </w:r>
      <w:r>
        <w:rPr>
          <w:rFonts w:hint="eastAsia" w:ascii="宋体" w:cs="宋体"/>
          <w:b/>
          <w:sz w:val="32"/>
          <w:szCs w:val="21"/>
          <w:lang w:val="zh-CN"/>
        </w:rPr>
        <w:t>-</w:t>
      </w: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ind w:firstLine="3132" w:firstLineChars="1300"/>
        <w:rPr>
          <w:rFonts w:ascii="宋体" w:cs="宋体"/>
          <w:b/>
          <w:bCs/>
          <w:sz w:val="24"/>
          <w:lang w:val="zh-CN"/>
        </w:rPr>
      </w:pPr>
      <w:r>
        <w:rPr>
          <w:rFonts w:hint="eastAsia" w:ascii="宋体" w:cs="宋体"/>
          <w:b/>
          <w:bCs/>
          <w:sz w:val="24"/>
          <w:lang w:val="zh-CN"/>
        </w:rPr>
        <w:t>甲方：中国人民银行征信中心</w:t>
      </w:r>
    </w:p>
    <w:p>
      <w:pPr>
        <w:autoSpaceDE w:val="0"/>
        <w:autoSpaceDN w:val="0"/>
        <w:adjustRightInd w:val="0"/>
        <w:jc w:val="center"/>
        <w:rPr>
          <w:rFonts w:ascii="宋体" w:cs="宋体"/>
          <w:b/>
          <w:bCs/>
          <w:sz w:val="24"/>
          <w:lang w:val="zh-CN"/>
        </w:rPr>
      </w:pPr>
    </w:p>
    <w:p>
      <w:pPr>
        <w:autoSpaceDE w:val="0"/>
        <w:autoSpaceDN w:val="0"/>
        <w:adjustRightInd w:val="0"/>
        <w:ind w:firstLine="3132" w:firstLineChars="1300"/>
        <w:rPr>
          <w:rFonts w:ascii="宋体" w:cs="宋体"/>
          <w:b/>
          <w:bCs/>
          <w:sz w:val="24"/>
          <w:lang w:val="zh-CN"/>
        </w:rPr>
      </w:pPr>
      <w:r>
        <w:rPr>
          <w:rFonts w:hint="eastAsia" w:ascii="宋体" w:cs="宋体"/>
          <w:b/>
          <w:bCs/>
          <w:sz w:val="24"/>
          <w:lang w:val="zh-CN"/>
        </w:rPr>
        <w:t>乙方：北京中盾网空防务技术有限公司</w:t>
      </w: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jc w:val="center"/>
        <w:rPr>
          <w:rFonts w:ascii="宋体" w:cs="宋体"/>
          <w:b/>
          <w:bCs/>
          <w:sz w:val="24"/>
          <w:lang w:val="zh-CN"/>
        </w:rPr>
      </w:pPr>
    </w:p>
    <w:p>
      <w:pPr>
        <w:widowControl/>
        <w:jc w:val="center"/>
        <w:rPr>
          <w:rFonts w:ascii="宋体" w:cs="宋体"/>
          <w:b/>
          <w:bCs/>
          <w:sz w:val="24"/>
          <w:lang w:val="zh-CN"/>
        </w:rPr>
      </w:pPr>
      <w:r>
        <w:rPr>
          <w:rFonts w:hint="eastAsia" w:ascii="宋体" w:cs="宋体"/>
          <w:b/>
          <w:bCs/>
          <w:sz w:val="24"/>
          <w:lang w:val="zh-CN"/>
        </w:rPr>
        <w:t>二〇</w:t>
      </w:r>
      <w:r>
        <w:rPr>
          <w:rFonts w:hint="eastAsia" w:ascii="宋体" w:cs="宋体"/>
          <w:b/>
          <w:bCs/>
          <w:sz w:val="24"/>
        </w:rPr>
        <w:t>二五</w:t>
      </w:r>
      <w:r>
        <w:rPr>
          <w:rFonts w:hint="eastAsia" w:ascii="宋体" w:cs="宋体"/>
          <w:b/>
          <w:bCs/>
          <w:sz w:val="24"/>
          <w:lang w:val="zh-CN"/>
        </w:rPr>
        <w:t>年</w:t>
      </w:r>
      <w:r>
        <w:rPr>
          <w:rFonts w:hint="eastAsia" w:ascii="宋体" w:cs="宋体"/>
          <w:b/>
          <w:bCs/>
          <w:sz w:val="24"/>
          <w:lang w:val="en-US" w:eastAsia="zh-CN"/>
        </w:rPr>
        <w:t>十二</w:t>
      </w:r>
      <w:r>
        <w:rPr>
          <w:rFonts w:hint="eastAsia" w:ascii="宋体" w:cs="宋体"/>
          <w:b/>
          <w:bCs/>
          <w:sz w:val="24"/>
          <w:lang w:val="zh-CN"/>
        </w:rPr>
        <w:t>月</w:t>
      </w: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签订地点：上海</w:t>
      </w:r>
      <w:r>
        <w:rPr>
          <w:rFonts w:ascii="宋体" w:hAnsi="宋体"/>
          <w:b/>
          <w:sz w:val="24"/>
        </w:rPr>
        <w:br w:type="page"/>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宋体" w:hAnsi="宋体"/>
          <w:b/>
          <w:bCs/>
          <w:sz w:val="24"/>
          <w:szCs w:val="24"/>
          <w:highlight w:val="none"/>
        </w:rPr>
      </w:pPr>
      <w:r>
        <w:rPr>
          <w:rFonts w:hint="eastAsia" w:ascii="宋体" w:hAnsi="宋体"/>
          <w:b/>
          <w:bCs/>
          <w:sz w:val="24"/>
          <w:szCs w:val="24"/>
          <w:highlight w:val="none"/>
        </w:rPr>
        <w:t>甲    方：中国人民银行征信中心</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法定代表人：</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地    址：</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邮政编码：</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rPr>
        <w:t>联 系 人</w:t>
      </w:r>
      <w:r>
        <w:rPr>
          <w:rFonts w:hint="eastAsia" w:ascii="宋体" w:hAnsi="宋体"/>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联系电话：</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传真号码：/</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开户银行：</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银行账号：</w:t>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宋体" w:hAnsi="宋体" w:cs="Times New Roman"/>
          <w:b/>
          <w:bCs/>
          <w:kern w:val="2"/>
          <w:sz w:val="24"/>
          <w:szCs w:val="20"/>
        </w:rPr>
      </w:pPr>
      <w:r>
        <w:rPr>
          <w:rFonts w:hint="eastAsia" w:ascii="宋体" w:hAnsi="宋体" w:cs="Times New Roman"/>
          <w:b/>
          <w:bCs/>
          <w:kern w:val="2"/>
          <w:sz w:val="24"/>
          <w:szCs w:val="20"/>
        </w:rPr>
        <w:t>乙方：北京中盾网空防务技术有限公司</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rPr>
      </w:pPr>
      <w:r>
        <w:rPr>
          <w:rFonts w:hint="eastAsia" w:ascii="宋体" w:hAnsi="宋体" w:cs="Times New Roman"/>
          <w:kern w:val="2"/>
          <w:sz w:val="24"/>
          <w:szCs w:val="20"/>
        </w:rPr>
        <w:t>法定代表人：</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Times New Roman"/>
          <w:kern w:val="2"/>
          <w:sz w:val="24"/>
          <w:szCs w:val="20"/>
        </w:rPr>
      </w:pPr>
      <w:r>
        <w:rPr>
          <w:rFonts w:hint="eastAsia" w:ascii="宋体" w:hAnsi="宋体" w:cs="Times New Roman"/>
          <w:kern w:val="2"/>
          <w:sz w:val="24"/>
          <w:szCs w:val="20"/>
        </w:rPr>
        <w:t>地    址：</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rPr>
      </w:pPr>
      <w:r>
        <w:rPr>
          <w:rFonts w:hint="eastAsia" w:ascii="宋体" w:hAnsi="宋体" w:cs="Times New Roman"/>
          <w:kern w:val="2"/>
          <w:sz w:val="24"/>
          <w:szCs w:val="20"/>
        </w:rPr>
        <w:t>邮政编码</w:t>
      </w:r>
      <w:r>
        <w:rPr>
          <w:rFonts w:hint="eastAsia" w:ascii="宋体" w:hAnsi="宋体" w:cs="Times New Roman"/>
          <w:kern w:val="2"/>
          <w:sz w:val="24"/>
          <w:szCs w:val="20"/>
          <w:lang w:eastAsia="zh-CN"/>
        </w:rPr>
        <w:t>：</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rPr>
      </w:pPr>
      <w:r>
        <w:rPr>
          <w:rFonts w:hint="eastAsia" w:ascii="宋体" w:hAnsi="宋体" w:cs="Times New Roman"/>
          <w:kern w:val="2"/>
          <w:sz w:val="24"/>
          <w:szCs w:val="20"/>
        </w:rPr>
        <w:t>联 系 人：</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Times New Roman"/>
          <w:kern w:val="2"/>
          <w:sz w:val="24"/>
          <w:szCs w:val="20"/>
        </w:rPr>
      </w:pPr>
      <w:r>
        <w:rPr>
          <w:rFonts w:hint="eastAsia" w:ascii="宋体" w:hAnsi="宋体" w:cs="Times New Roman"/>
          <w:kern w:val="2"/>
          <w:sz w:val="24"/>
          <w:szCs w:val="20"/>
        </w:rPr>
        <w:t>联系电话：</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rPr>
      </w:pPr>
      <w:r>
        <w:rPr>
          <w:rFonts w:hint="eastAsia" w:ascii="宋体" w:hAnsi="宋体" w:cs="Times New Roman"/>
          <w:kern w:val="2"/>
          <w:sz w:val="24"/>
          <w:szCs w:val="20"/>
        </w:rPr>
        <w:t>传真号码：</w:t>
      </w:r>
      <w:r>
        <w:rPr>
          <w:rFonts w:hint="eastAsia" w:ascii="宋体" w:hAnsi="宋体" w:cs="Times New Roman"/>
          <w:kern w:val="2"/>
          <w:sz w:val="24"/>
          <w:szCs w:val="20"/>
          <w:lang w:val="en-US" w:eastAsia="zh-CN"/>
        </w:rPr>
        <w:t>/</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Times New Roman"/>
          <w:kern w:val="2"/>
          <w:sz w:val="24"/>
          <w:szCs w:val="20"/>
        </w:rPr>
      </w:pPr>
      <w:r>
        <w:rPr>
          <w:rFonts w:hint="eastAsia" w:ascii="宋体" w:hAnsi="宋体" w:cs="Times New Roman"/>
          <w:kern w:val="2"/>
          <w:sz w:val="24"/>
          <w:szCs w:val="20"/>
        </w:rPr>
        <w:t>开户银行：</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Times New Roman"/>
          <w:kern w:val="2"/>
          <w:sz w:val="24"/>
          <w:szCs w:val="20"/>
        </w:rPr>
      </w:pPr>
      <w:r>
        <w:rPr>
          <w:rFonts w:hint="eastAsia" w:ascii="宋体" w:hAnsi="宋体" w:cs="Times New Roman"/>
          <w:kern w:val="2"/>
          <w:sz w:val="24"/>
          <w:szCs w:val="20"/>
        </w:rPr>
        <w:t>银行账号：</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kern w:val="2"/>
          <w:sz w:val="24"/>
          <w:szCs w:val="20"/>
        </w:rPr>
        <w:sectPr>
          <w:headerReference r:id="rId5" w:type="first"/>
          <w:footerReference r:id="rId8" w:type="first"/>
          <w:headerReference r:id="rId3" w:type="default"/>
          <w:footerReference r:id="rId6" w:type="default"/>
          <w:headerReference r:id="rId4" w:type="even"/>
          <w:footerReference r:id="rId7" w:type="even"/>
          <w:pgSz w:w="11905" w:h="16838"/>
          <w:pgMar w:top="1247" w:right="1247" w:bottom="1247" w:left="1247" w:header="850" w:footer="992" w:gutter="0"/>
          <w:cols w:space="720" w:num="1"/>
          <w:docGrid w:linePitch="312" w:charSpace="0"/>
        </w:sectPr>
      </w:pPr>
      <w:r>
        <w:rPr>
          <w:rFonts w:hint="eastAsia" w:ascii="宋体" w:hAnsi="宋体" w:cs="Times New Roman"/>
          <w:kern w:val="2"/>
          <w:sz w:val="24"/>
          <w:szCs w:val="20"/>
        </w:rPr>
        <w:t>税    号：</w:t>
      </w:r>
    </w:p>
    <w:p>
      <w:pPr>
        <w:autoSpaceDE w:val="0"/>
        <w:autoSpaceDN w:val="0"/>
        <w:adjustRightInd w:val="0"/>
        <w:spacing w:line="360" w:lineRule="auto"/>
        <w:ind w:firstLine="480"/>
        <w:rPr>
          <w:rFonts w:ascii="宋体" w:hAnsi="宋体"/>
          <w:sz w:val="24"/>
        </w:rPr>
      </w:pPr>
      <w:r>
        <w:rPr>
          <w:rFonts w:hint="eastAsia" w:ascii="宋体" w:hAnsi="宋体"/>
          <w:sz w:val="24"/>
        </w:rPr>
        <w:t>甲乙双方依据“中国人民银行征信中心2026年公安一所设备维保服务采购项目（项目编号：2306089086）谈判结果，本着自愿、平等、互利、诚实信用的原则，</w:t>
      </w:r>
      <w:r>
        <w:rPr>
          <w:rFonts w:ascii="宋体" w:hAnsi="宋体"/>
          <w:sz w:val="24"/>
        </w:rPr>
        <w:t>通过友好协商，现授权各自代表按照下述条款签署本合同</w:t>
      </w:r>
      <w:r>
        <w:rPr>
          <w:rFonts w:hint="eastAsia" w:ascii="宋体" w:hAnsi="宋体"/>
          <w:sz w:val="24"/>
        </w:rPr>
        <w:t>。</w:t>
      </w:r>
    </w:p>
    <w:p>
      <w:pPr>
        <w:spacing w:before="156" w:beforeLines="50" w:line="360" w:lineRule="auto"/>
        <w:jc w:val="center"/>
        <w:outlineLvl w:val="1"/>
        <w:rPr>
          <w:b/>
          <w:bCs/>
          <w:sz w:val="28"/>
        </w:rPr>
      </w:pPr>
      <w:r>
        <w:rPr>
          <w:rFonts w:hint="eastAsia"/>
          <w:b/>
          <w:bCs/>
          <w:sz w:val="28"/>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（2）甲方的谈判文件及澄清文件；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sz w:val="24"/>
        </w:rPr>
      </w:pPr>
      <w:r>
        <w:rPr>
          <w:rFonts w:hint="eastAsia" w:ascii="宋体" w:hAnsi="宋体"/>
          <w:sz w:val="24"/>
        </w:rPr>
        <w:t>（6）双方与合同有关的往来信函、传真,经双方法定代表人或其授权代表签字并加盖单位公章确认后,视为本合同的组成部分</w:t>
      </w:r>
      <w:r>
        <w:rPr>
          <w:rFonts w:hint="eastAsia" w:ascii="宋体" w:hAnsi="宋体"/>
        </w:rPr>
        <w:t>；</w:t>
      </w:r>
    </w:p>
    <w:p>
      <w:pPr>
        <w:autoSpaceDE w:val="0"/>
        <w:autoSpaceDN w:val="0"/>
        <w:adjustRightInd w:val="0"/>
        <w:spacing w:line="360" w:lineRule="auto"/>
        <w:ind w:firstLine="480"/>
        <w:rPr>
          <w:rFonts w:ascii="宋体" w:cs="宋体"/>
          <w:sz w:val="24"/>
          <w:lang w:val="zh-CN"/>
        </w:rPr>
      </w:pPr>
      <w:r>
        <w:rPr>
          <w:rFonts w:hint="eastAsia" w:ascii="宋体" w:hAnsi="宋体"/>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156" w:beforeLines="50" w:line="360" w:lineRule="auto"/>
        <w:jc w:val="center"/>
        <w:outlineLvl w:val="1"/>
        <w:rPr>
          <w:b/>
          <w:bCs/>
          <w:sz w:val="28"/>
        </w:rPr>
      </w:pPr>
      <w:r>
        <w:rPr>
          <w:rFonts w:hint="eastAsia"/>
          <w:b/>
          <w:bCs/>
          <w:sz w:val="28"/>
        </w:rPr>
        <w:t>第二部分服务内容及方式</w:t>
      </w:r>
    </w:p>
    <w:p>
      <w:pPr>
        <w:tabs>
          <w:tab w:val="left" w:pos="900"/>
        </w:tabs>
        <w:spacing w:line="480" w:lineRule="exact"/>
        <w:ind w:firstLine="480" w:firstLineChars="200"/>
        <w:rPr>
          <w:rFonts w:ascii="宋体" w:hAnsi="宋体"/>
          <w:sz w:val="24"/>
        </w:rPr>
      </w:pPr>
      <w:r>
        <w:rPr>
          <w:rFonts w:hint="eastAsia" w:ascii="宋体" w:hAnsi="宋体"/>
          <w:sz w:val="24"/>
        </w:rPr>
        <w:t>2.1服务内容：本合同的服务内容为下表所列设备/软件的维保服务。</w:t>
      </w:r>
    </w:p>
    <w:tbl>
      <w:tblPr>
        <w:tblStyle w:val="13"/>
        <w:tblW w:w="9704" w:type="dxa"/>
        <w:tblInd w:w="-950" w:type="dxa"/>
        <w:tblLayout w:type="fixed"/>
        <w:tblCellMar>
          <w:top w:w="0" w:type="dxa"/>
          <w:left w:w="108" w:type="dxa"/>
          <w:bottom w:w="0" w:type="dxa"/>
          <w:right w:w="108" w:type="dxa"/>
        </w:tblCellMar>
      </w:tblPr>
      <w:tblGrid>
        <w:gridCol w:w="542"/>
        <w:gridCol w:w="473"/>
        <w:gridCol w:w="820"/>
        <w:gridCol w:w="877"/>
        <w:gridCol w:w="992"/>
        <w:gridCol w:w="969"/>
        <w:gridCol w:w="727"/>
        <w:gridCol w:w="554"/>
        <w:gridCol w:w="1015"/>
        <w:gridCol w:w="923"/>
        <w:gridCol w:w="866"/>
        <w:gridCol w:w="946"/>
      </w:tblGrid>
      <w:tr>
        <w:tblPrEx>
          <w:tblCellMar>
            <w:top w:w="0" w:type="dxa"/>
            <w:left w:w="108" w:type="dxa"/>
            <w:bottom w:w="0" w:type="dxa"/>
            <w:right w:w="108" w:type="dxa"/>
          </w:tblCellMar>
        </w:tblPrEx>
        <w:trPr>
          <w:trHeight w:val="10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bCs/>
                <w:sz w:val="24"/>
              </w:rPr>
            </w:pPr>
            <w:r>
              <w:rPr>
                <w:rFonts w:hint="eastAsia" w:ascii="仿宋" w:hAnsi="仿宋" w:eastAsia="仿宋" w:cs="仿宋"/>
                <w:b/>
                <w:bCs/>
                <w:kern w:val="0"/>
                <w:sz w:val="24"/>
                <w:lang w:bidi="ar"/>
              </w:rPr>
              <w:t>序号</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bCs/>
                <w:sz w:val="24"/>
              </w:rPr>
            </w:pPr>
            <w:r>
              <w:rPr>
                <w:rFonts w:hint="eastAsia" w:ascii="仿宋" w:hAnsi="仿宋" w:eastAsia="仿宋" w:cs="仿宋"/>
                <w:b/>
                <w:bCs/>
                <w:kern w:val="0"/>
                <w:sz w:val="24"/>
                <w:lang w:bidi="ar"/>
              </w:rPr>
              <w:t>品牌</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bCs/>
                <w:sz w:val="24"/>
              </w:rPr>
            </w:pPr>
            <w:r>
              <w:rPr>
                <w:rFonts w:hint="eastAsia" w:ascii="仿宋" w:hAnsi="仿宋" w:eastAsia="仿宋" w:cs="仿宋"/>
                <w:b/>
                <w:bCs/>
                <w:kern w:val="0"/>
                <w:sz w:val="24"/>
                <w:lang w:bidi="ar"/>
              </w:rPr>
              <w:t>设备类型</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bCs/>
                <w:sz w:val="24"/>
              </w:rPr>
            </w:pPr>
            <w:r>
              <w:rPr>
                <w:rFonts w:hint="eastAsia" w:ascii="仿宋" w:hAnsi="仿宋" w:eastAsia="仿宋" w:cs="仿宋"/>
                <w:b/>
                <w:bCs/>
                <w:kern w:val="0"/>
                <w:sz w:val="24"/>
                <w:lang w:bidi="ar"/>
              </w:rPr>
              <w:t>设备名称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bCs/>
                <w:sz w:val="24"/>
              </w:rPr>
            </w:pPr>
            <w:r>
              <w:rPr>
                <w:rFonts w:hint="eastAsia" w:ascii="仿宋" w:hAnsi="仿宋" w:eastAsia="仿宋" w:cs="仿宋"/>
                <w:b/>
                <w:bCs/>
                <w:kern w:val="0"/>
                <w:sz w:val="24"/>
                <w:lang w:bidi="ar"/>
              </w:rPr>
              <w:t>型号</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产品</w:t>
            </w:r>
          </w:p>
          <w:p>
            <w:pPr>
              <w:widowControl/>
              <w:spacing w:line="0" w:lineRule="atLeast"/>
              <w:jc w:val="center"/>
              <w:textAlignment w:val="center"/>
              <w:rPr>
                <w:rFonts w:ascii="仿宋" w:hAnsi="仿宋" w:eastAsia="仿宋" w:cs="仿宋"/>
                <w:b/>
                <w:bCs/>
                <w:sz w:val="24"/>
              </w:rPr>
            </w:pPr>
            <w:r>
              <w:rPr>
                <w:rFonts w:hint="eastAsia" w:ascii="仿宋" w:hAnsi="仿宋" w:eastAsia="仿宋" w:cs="仿宋"/>
                <w:b/>
                <w:bCs/>
                <w:kern w:val="0"/>
                <w:sz w:val="24"/>
                <w:lang w:bidi="ar"/>
              </w:rPr>
              <w:t>编号</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bCs/>
                <w:sz w:val="24"/>
              </w:rPr>
            </w:pPr>
            <w:r>
              <w:rPr>
                <w:rFonts w:hint="eastAsia" w:ascii="仿宋" w:hAnsi="仿宋" w:eastAsia="仿宋" w:cs="仿宋"/>
                <w:b/>
                <w:bCs/>
                <w:kern w:val="0"/>
                <w:sz w:val="24"/>
                <w:lang w:bidi="ar"/>
              </w:rPr>
              <w:t>数量</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bCs/>
                <w:sz w:val="24"/>
              </w:rPr>
            </w:pPr>
            <w:r>
              <w:rPr>
                <w:rFonts w:hint="eastAsia" w:ascii="仿宋" w:hAnsi="仿宋" w:eastAsia="仿宋" w:cs="仿宋"/>
                <w:b/>
                <w:bCs/>
                <w:kern w:val="0"/>
                <w:sz w:val="24"/>
                <w:lang w:bidi="ar"/>
              </w:rPr>
              <w:t>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bCs/>
                <w:sz w:val="24"/>
              </w:rPr>
            </w:pPr>
            <w:r>
              <w:rPr>
                <w:rFonts w:hint="eastAsia" w:ascii="仿宋" w:hAnsi="仿宋" w:eastAsia="仿宋" w:cs="仿宋"/>
                <w:b/>
                <w:bCs/>
                <w:kern w:val="0"/>
                <w:sz w:val="24"/>
                <w:lang w:bidi="ar"/>
              </w:rPr>
              <w:t>服务所在地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bCs/>
                <w:sz w:val="24"/>
              </w:rPr>
            </w:pPr>
            <w:r>
              <w:rPr>
                <w:rFonts w:hint="eastAsia" w:ascii="仿宋" w:hAnsi="仿宋" w:eastAsia="仿宋" w:cs="仿宋"/>
                <w:b/>
                <w:bCs/>
                <w:kern w:val="0"/>
                <w:sz w:val="24"/>
                <w:lang w:bidi="ar"/>
              </w:rPr>
              <w:t>维保起始日期</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bCs/>
                <w:sz w:val="24"/>
              </w:rPr>
            </w:pPr>
            <w:r>
              <w:rPr>
                <w:rFonts w:hint="eastAsia" w:ascii="仿宋" w:hAnsi="仿宋" w:eastAsia="仿宋" w:cs="仿宋"/>
                <w:b/>
                <w:bCs/>
                <w:kern w:val="0"/>
                <w:sz w:val="24"/>
                <w:lang w:bidi="ar"/>
              </w:rPr>
              <w:t>维保截止日期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bCs/>
                <w:sz w:val="24"/>
              </w:rPr>
            </w:pPr>
            <w:r>
              <w:rPr>
                <w:rFonts w:hint="eastAsia" w:ascii="仿宋" w:hAnsi="仿宋" w:eastAsia="仿宋" w:cs="仿宋"/>
                <w:b/>
                <w:bCs/>
                <w:kern w:val="0"/>
                <w:sz w:val="24"/>
                <w:lang w:bidi="ar"/>
              </w:rPr>
              <w:t>维护服务级别</w:t>
            </w:r>
          </w:p>
        </w:tc>
      </w:tr>
      <w:tr>
        <w:tblPrEx>
          <w:tblCellMar>
            <w:top w:w="0" w:type="dxa"/>
            <w:left w:w="108" w:type="dxa"/>
            <w:bottom w:w="0" w:type="dxa"/>
            <w:right w:w="108" w:type="dxa"/>
          </w:tblCellMar>
        </w:tblPrEx>
        <w:trPr>
          <w:trHeight w:val="8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1</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kern w:val="0"/>
                <w:sz w:val="24"/>
                <w:lang w:bidi="ar"/>
              </w:rPr>
            </w:pPr>
          </w:p>
          <w:p>
            <w:pPr>
              <w:widowControl/>
              <w:jc w:val="center"/>
              <w:textAlignment w:val="center"/>
              <w:rPr>
                <w:rFonts w:ascii="仿宋" w:hAnsi="仿宋" w:eastAsia="仿宋" w:cs="仿宋"/>
                <w:kern w:val="0"/>
                <w:sz w:val="24"/>
                <w:lang w:bidi="ar"/>
              </w:rPr>
            </w:pPr>
          </w:p>
          <w:p>
            <w:pPr>
              <w:widowControl/>
              <w:jc w:val="center"/>
              <w:textAlignment w:val="center"/>
              <w:rPr>
                <w:rFonts w:ascii="仿宋" w:hAnsi="仿宋" w:eastAsia="仿宋" w:cs="仿宋"/>
                <w:kern w:val="0"/>
                <w:sz w:val="24"/>
                <w:lang w:bidi="ar"/>
              </w:rPr>
            </w:pPr>
          </w:p>
          <w:p>
            <w:pPr>
              <w:widowControl/>
              <w:jc w:val="center"/>
              <w:textAlignment w:val="center"/>
              <w:rPr>
                <w:rFonts w:ascii="仿宋" w:hAnsi="仿宋" w:eastAsia="仿宋" w:cs="仿宋"/>
                <w:sz w:val="24"/>
              </w:rPr>
            </w:pPr>
            <w:r>
              <w:rPr>
                <w:rFonts w:hint="eastAsia" w:ascii="仿宋" w:hAnsi="仿宋" w:eastAsia="仿宋" w:cs="仿宋"/>
                <w:kern w:val="0"/>
                <w:sz w:val="24"/>
                <w:lang w:bidi="ar"/>
              </w:rPr>
              <w:t>公安部一所</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风险评估与处置</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网络空间测绘系统</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D01-G9100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PR2510G210104SZ00008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上海</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2026/1/1</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2026/12/31</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 w:hAnsi="仿宋" w:eastAsia="仿宋" w:cs="仿宋"/>
                <w:kern w:val="0"/>
                <w:sz w:val="24"/>
                <w:lang w:bidi="ar"/>
              </w:rPr>
            </w:pPr>
          </w:p>
          <w:p>
            <w:pPr>
              <w:widowControl/>
              <w:jc w:val="center"/>
              <w:textAlignment w:val="center"/>
              <w:rPr>
                <w:rFonts w:ascii="仿宋" w:hAnsi="仿宋" w:eastAsia="仿宋" w:cs="仿宋"/>
                <w:kern w:val="0"/>
                <w:sz w:val="24"/>
                <w:lang w:bidi="ar"/>
              </w:rPr>
            </w:pPr>
          </w:p>
          <w:p>
            <w:pPr>
              <w:widowControl/>
              <w:jc w:val="center"/>
              <w:textAlignment w:val="center"/>
              <w:rPr>
                <w:rFonts w:ascii="仿宋" w:hAnsi="仿宋" w:eastAsia="仿宋" w:cs="仿宋"/>
                <w:kern w:val="0"/>
                <w:sz w:val="24"/>
                <w:lang w:bidi="ar"/>
              </w:rPr>
            </w:pPr>
          </w:p>
          <w:p>
            <w:pPr>
              <w:widowControl/>
              <w:jc w:val="center"/>
              <w:textAlignment w:val="center"/>
              <w:rPr>
                <w:rFonts w:ascii="仿宋" w:hAnsi="仿宋" w:eastAsia="仿宋" w:cs="仿宋"/>
                <w:kern w:val="0"/>
                <w:sz w:val="24"/>
                <w:lang w:bidi="ar"/>
              </w:rPr>
            </w:pPr>
          </w:p>
          <w:p>
            <w:pPr>
              <w:widowControl/>
              <w:jc w:val="center"/>
              <w:textAlignment w:val="center"/>
              <w:rPr>
                <w:rFonts w:ascii="仿宋" w:hAnsi="仿宋" w:eastAsia="仿宋" w:cs="仿宋"/>
                <w:sz w:val="24"/>
              </w:rPr>
            </w:pPr>
            <w:r>
              <w:rPr>
                <w:rFonts w:hint="eastAsia" w:ascii="仿宋" w:hAnsi="仿宋" w:eastAsia="仿宋" w:cs="仿宋"/>
                <w:kern w:val="0"/>
                <w:sz w:val="24"/>
                <w:lang w:bidi="ar"/>
              </w:rPr>
              <w:t>原厂服务</w:t>
            </w:r>
          </w:p>
        </w:tc>
      </w:tr>
      <w:tr>
        <w:tblPrEx>
          <w:tblCellMar>
            <w:top w:w="0" w:type="dxa"/>
            <w:left w:w="108" w:type="dxa"/>
            <w:bottom w:w="0" w:type="dxa"/>
            <w:right w:w="108" w:type="dxa"/>
          </w:tblCellMar>
        </w:tblPrEx>
        <w:trPr>
          <w:trHeight w:val="8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2</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 w:val="24"/>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网络监测与控制</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违规外联稽查系统</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E01-10000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W96012302004286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上海</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2026/1/1</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3</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 w:val="24"/>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网络监测与控制</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违规外联稽查系统</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E01-10000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W96012307000681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上海</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2026/1/1</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4</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 w:val="24"/>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风险评估与处置</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网络空间测绘系统</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D01-G9100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PR2510G20072800018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上海</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2026/1/1</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5</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 w:val="24"/>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入侵防范</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网络攻击阻断系统</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FK01-10000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FK2020021945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上海</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2026/1/1</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6</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 w:val="24"/>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入侵防范</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网络攻击阻断系统</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FK01-10000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FK2020021944</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上海</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2026/1/1</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7</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 w:val="24"/>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风险评估与处置</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网站综合防护系统</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FK01-1000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仿宋" w:hAnsi="仿宋" w:eastAsia="仿宋" w:cs="仿宋"/>
                <w:b/>
                <w:sz w:val="24"/>
              </w:rPr>
            </w:pPr>
            <w:r>
              <w:rPr>
                <w:rFonts w:hint="eastAsia" w:ascii="仿宋" w:hAnsi="仿宋" w:eastAsia="仿宋" w:cs="仿宋"/>
                <w:kern w:val="0"/>
                <w:sz w:val="24"/>
                <w:lang w:bidi="ar"/>
              </w:rPr>
              <w:t>CT0101202008088001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上海</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2026/1/1</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 w:val="24"/>
              </w:rPr>
            </w:pPr>
          </w:p>
        </w:tc>
      </w:tr>
    </w:tbl>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服务方式：现场支持服务、电话支持服务，以及甲方要求的其它服务方式。</w:t>
      </w:r>
    </w:p>
    <w:p>
      <w:pPr>
        <w:spacing w:before="156" w:beforeLines="50" w:line="360" w:lineRule="auto"/>
        <w:jc w:val="center"/>
        <w:outlineLvl w:val="1"/>
        <w:rPr>
          <w:b/>
          <w:bCs/>
          <w:sz w:val="28"/>
        </w:rPr>
      </w:pPr>
      <w:r>
        <w:rPr>
          <w:rFonts w:hint="eastAsia"/>
          <w:b/>
          <w:bCs/>
          <w:sz w:val="28"/>
        </w:rPr>
        <w:t>第三部分服务标准及验收</w:t>
      </w:r>
    </w:p>
    <w:p>
      <w:pPr>
        <w:spacing w:line="360" w:lineRule="auto"/>
        <w:ind w:firstLine="559" w:firstLineChars="233"/>
        <w:rPr>
          <w:rFonts w:ascii="宋体" w:hAnsi="宋体"/>
          <w:sz w:val="24"/>
        </w:rPr>
      </w:pPr>
      <w:r>
        <w:rPr>
          <w:rFonts w:hint="eastAsia" w:ascii="宋体" w:hAnsi="宋体"/>
          <w:sz w:val="24"/>
        </w:rPr>
        <w:t>3.1乙方保证为甲方提供优质的服务及产品，服务及产品的各项指标均能符合本合同规定的要求。服务期内，乙方保证提供甲方在谈判文件中要求的全部服务。详见附件三。</w:t>
      </w:r>
    </w:p>
    <w:p>
      <w:pPr>
        <w:tabs>
          <w:tab w:val="left" w:pos="900"/>
        </w:tabs>
        <w:spacing w:line="360" w:lineRule="auto"/>
        <w:ind w:firstLine="480" w:firstLineChars="200"/>
        <w:rPr>
          <w:rFonts w:ascii="宋体" w:hAnsi="宋体"/>
          <w:sz w:val="24"/>
        </w:rPr>
      </w:pPr>
      <w:r>
        <w:rPr>
          <w:rFonts w:hint="eastAsia" w:ascii="宋体" w:hAnsi="宋体" w:cs="宋体"/>
          <w:sz w:val="24"/>
        </w:rPr>
        <w:t>3.2乙方每季度须按甲方要求提供1份《季度服务报告》，列明本阶段提供的维保服务内容，并加盖单位公章。</w:t>
      </w:r>
    </w:p>
    <w:p>
      <w:pPr>
        <w:tabs>
          <w:tab w:val="left" w:pos="900"/>
        </w:tabs>
        <w:spacing w:line="360" w:lineRule="auto"/>
        <w:ind w:firstLine="480" w:firstLineChars="200"/>
        <w:rPr>
          <w:rFonts w:ascii="宋体" w:hAnsi="宋体" w:cs="宋体"/>
          <w:sz w:val="24"/>
        </w:rPr>
      </w:pPr>
      <w:r>
        <w:rPr>
          <w:rFonts w:hint="eastAsia" w:ascii="宋体" w:hAnsi="宋体" w:cs="宋体"/>
          <w:sz w:val="24"/>
        </w:rPr>
        <w:t>3.3甲方于到达维保服务期限（各软硬件的维保服务期限不一致的，以最长的期限为准进行计算）一半后，按照本合同规定的标准和要求对乙方服务进行中期验收，乙方应当予以配合，最迟不晚于2026年9月底前完成，甲方通知乙方延期的情况除外。验收通过后,由甲方开具验收单/验收报告，乙方对验收单/验收报告进行书面认定（即其法定代表人或授权代表签字且加盖单位公章），且当乙方拒绝书面认定验收单/验收报告时，即视为同意验收单/验收报告内容。</w:t>
      </w:r>
    </w:p>
    <w:p>
      <w:pPr>
        <w:tabs>
          <w:tab w:val="left" w:pos="900"/>
        </w:tabs>
        <w:spacing w:line="360" w:lineRule="auto"/>
        <w:ind w:firstLine="480" w:firstLineChars="200"/>
        <w:rPr>
          <w:rFonts w:ascii="宋体" w:hAnsi="宋体" w:cs="宋体"/>
          <w:sz w:val="24"/>
        </w:rPr>
      </w:pPr>
      <w:r>
        <w:rPr>
          <w:rFonts w:hint="eastAsia" w:ascii="宋体" w:hAnsi="宋体" w:cs="宋体"/>
          <w:sz w:val="24"/>
        </w:rPr>
        <w:t>3.4甲方于维保服务期限（各软硬件的维保服务期限不一致的，以最长的期限为准进行计算）届满后，按照本合同规定的标准和要求对乙方服务进行最终验收，乙方应当予以配合，最迟不晚于2027年4月底前完成，甲方通知乙方延期的情况除外。验收通过后,由甲方开具验收单/验收报告，乙方对验收单/验收报告进行书面认定（即其法定代表人或授权代表签字且加盖单位公章），且当乙方拒绝书面认定验收单/验收报告时，即视为同意验收单/验收报告内容。</w:t>
      </w:r>
    </w:p>
    <w:p>
      <w:pPr>
        <w:spacing w:line="360" w:lineRule="auto"/>
        <w:ind w:firstLine="559" w:firstLineChars="233"/>
        <w:rPr>
          <w:rStyle w:val="16"/>
          <w:rFonts w:ascii="Calibri" w:hAnsi="Calibri"/>
          <w:szCs w:val="22"/>
        </w:rPr>
      </w:pPr>
      <w:r>
        <w:rPr>
          <w:rFonts w:hint="eastAsia" w:ascii="宋体" w:hAnsi="宋体" w:cs="宋体"/>
          <w:sz w:val="24"/>
        </w:rPr>
        <w:t>3.5乙方未能通过甲方中期验收或最终验收的，甲方应在验收单/验收报告中载明“验收不合格”及相关说明，并由乙方书面确认，若乙方拒绝书面确认，则视为同意。乙方应在甲方要求的期限内采取整改措施再次进行验收，再次验收同样需甲方出具验收单/验收报告并由双方书面确认，直至验收合格，通过验收，再次验收由乙方承担费用及甲方损失。</w:t>
      </w:r>
    </w:p>
    <w:p>
      <w:pPr>
        <w:autoSpaceDE w:val="0"/>
        <w:autoSpaceDN w:val="0"/>
        <w:adjustRightInd w:val="0"/>
        <w:snapToGrid w:val="0"/>
        <w:spacing w:before="156"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tabs>
          <w:tab w:val="left" w:pos="900"/>
        </w:tabs>
        <w:spacing w:line="480" w:lineRule="exact"/>
        <w:ind w:firstLine="480" w:firstLineChars="200"/>
        <w:rPr>
          <w:rFonts w:ascii="宋体" w:hAnsi="宋体"/>
          <w:i/>
          <w:sz w:val="24"/>
        </w:rPr>
      </w:pPr>
      <w:r>
        <w:rPr>
          <w:rFonts w:hint="eastAsia" w:ascii="宋体" w:hAnsi="宋体"/>
          <w:sz w:val="24"/>
        </w:rPr>
        <w:t>本合同履约期限自2026年1月1日起至 2026年12月31日止。</w:t>
      </w:r>
    </w:p>
    <w:p>
      <w:pPr>
        <w:tabs>
          <w:tab w:val="left" w:pos="900"/>
        </w:tabs>
        <w:spacing w:line="480" w:lineRule="exact"/>
        <w:ind w:firstLine="480" w:firstLineChars="200"/>
        <w:rPr>
          <w:rFonts w:ascii="宋体" w:hAnsi="宋体"/>
          <w:sz w:val="24"/>
        </w:rPr>
      </w:pPr>
      <w:r>
        <w:rPr>
          <w:rFonts w:hint="eastAsia" w:ascii="宋体" w:hAnsi="宋体"/>
          <w:sz w:val="24"/>
        </w:rPr>
        <w:t>4.2续签条款</w:t>
      </w:r>
    </w:p>
    <w:p>
      <w:pPr>
        <w:tabs>
          <w:tab w:val="left" w:pos="900"/>
        </w:tabs>
        <w:spacing w:line="480" w:lineRule="exact"/>
        <w:ind w:firstLine="480" w:firstLineChars="200"/>
        <w:rPr>
          <w:rFonts w:ascii="宋体" w:hAnsi="宋体"/>
          <w:sz w:val="24"/>
        </w:rPr>
      </w:pPr>
      <w:r>
        <w:rPr>
          <w:rFonts w:hint="eastAsia" w:ascii="宋体" w:hAnsi="宋体"/>
          <w:sz w:val="24"/>
        </w:rPr>
        <w:t>若乙方的服务质量满足甲方要求，在服务内容和要求不变情况下，本次合同可以续签一年，最多续签2次。甲乙双方最晚可在合同到期前一个月就是否续签事宜进行确认，乙方如确定不进行续签的，需要向甲方进行正式书面告知，最晚在合同到期前一个月</w:t>
      </w:r>
      <w:r>
        <w:rPr>
          <w:rFonts w:hint="eastAsia"/>
        </w:rPr>
        <w:t>。</w:t>
      </w:r>
      <w:r>
        <w:rPr>
          <w:rFonts w:hint="eastAsia" w:ascii="宋体" w:hAnsi="宋体"/>
          <w:sz w:val="24"/>
        </w:rPr>
        <w:t>如双方确认续签的，可以就本项目服务下年度续签进行商务谈判议定价格，续签合同价款不得高于本合同价款。</w:t>
      </w:r>
    </w:p>
    <w:p>
      <w:pPr>
        <w:tabs>
          <w:tab w:val="left" w:pos="900"/>
        </w:tabs>
        <w:spacing w:line="480" w:lineRule="exact"/>
        <w:ind w:firstLine="480" w:firstLineChars="200"/>
        <w:rPr>
          <w:rFonts w:ascii="宋体" w:hAnsi="宋体"/>
          <w:sz w:val="24"/>
        </w:rPr>
      </w:pPr>
      <w:r>
        <w:rPr>
          <w:rFonts w:hint="eastAsia" w:ascii="宋体" w:hAnsi="宋体"/>
          <w:sz w:val="24"/>
        </w:rPr>
        <w:t>在服务期限内，如甲方追加与现有维保对象相同品牌型号的设备纳入维保范围，乙方应承诺以本次成交单价提供设备维保服务。</w:t>
      </w:r>
    </w:p>
    <w:p>
      <w:pPr>
        <w:tabs>
          <w:tab w:val="left" w:pos="900"/>
        </w:tabs>
        <w:spacing w:line="480" w:lineRule="exact"/>
        <w:ind w:firstLine="480" w:firstLineChars="200"/>
        <w:rPr>
          <w:rFonts w:ascii="宋体" w:hAnsi="宋体"/>
          <w:sz w:val="24"/>
        </w:rPr>
      </w:pPr>
      <w:r>
        <w:rPr>
          <w:rFonts w:hint="eastAsia" w:ascii="宋体" w:hAnsi="宋体"/>
          <w:sz w:val="24"/>
        </w:rPr>
        <w:t>4.3服务地点：上海市（上海市浦东新区繁昌路298号、上海市静安区海宁路889号）、天津市（天津市滨海新区洞庭北路北塘融汇商务园二区4号楼）。</w:t>
      </w:r>
    </w:p>
    <w:p>
      <w:pPr>
        <w:spacing w:before="156" w:beforeLines="50" w:line="360" w:lineRule="auto"/>
        <w:jc w:val="center"/>
        <w:outlineLvl w:val="1"/>
        <w:rPr>
          <w:b/>
          <w:bCs/>
          <w:sz w:val="28"/>
        </w:rPr>
      </w:pPr>
      <w:r>
        <w:rPr>
          <w:rFonts w:hint="eastAsia"/>
          <w:b/>
          <w:bCs/>
          <w:sz w:val="28"/>
        </w:rPr>
        <w:t>第五部分合同总金额及其支付方式</w:t>
      </w:r>
    </w:p>
    <w:p>
      <w:pPr>
        <w:tabs>
          <w:tab w:val="left" w:pos="900"/>
        </w:tabs>
        <w:spacing w:line="480" w:lineRule="exact"/>
        <w:ind w:firstLine="480" w:firstLineChars="200"/>
        <w:rPr>
          <w:rFonts w:ascii="宋体" w:hAnsi="宋体"/>
          <w:sz w:val="24"/>
        </w:rPr>
      </w:pPr>
      <w:r>
        <w:rPr>
          <w:rFonts w:hint="eastAsia" w:ascii="宋体" w:hAnsi="宋体"/>
          <w:sz w:val="24"/>
        </w:rPr>
        <w:t>5.1根据成交通知书，本合同的总金额（含税）为人民币：￥</w:t>
      </w:r>
      <w:r>
        <w:rPr>
          <w:rFonts w:hint="eastAsia" w:ascii="宋体" w:hAnsi="宋体"/>
          <w:sz w:val="24"/>
          <w:u w:val="single"/>
          <w:lang w:val="en-US" w:eastAsia="zh-CN"/>
        </w:rPr>
        <w:t>1,020,000.00</w:t>
      </w:r>
      <w:r>
        <w:rPr>
          <w:rFonts w:hint="eastAsia" w:ascii="宋体" w:hAnsi="宋体"/>
          <w:sz w:val="24"/>
        </w:rPr>
        <w:t>元整</w:t>
      </w:r>
      <w:r>
        <w:rPr>
          <w:rFonts w:ascii="宋体" w:hAnsi="宋体"/>
          <w:sz w:val="24"/>
        </w:rPr>
        <w:t>(大写：</w:t>
      </w:r>
      <w:r>
        <w:rPr>
          <w:rFonts w:hint="eastAsia" w:ascii="宋体" w:hAnsi="宋体"/>
          <w:sz w:val="24"/>
          <w:u w:val="single"/>
        </w:rPr>
        <w:t>人民币壹佰零贰万元整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p>
      <w:pPr>
        <w:tabs>
          <w:tab w:val="left" w:pos="900"/>
        </w:tabs>
        <w:spacing w:line="480" w:lineRule="exact"/>
        <w:ind w:firstLine="480" w:firstLineChars="200"/>
        <w:rPr>
          <w:rFonts w:ascii="宋体" w:hAnsi="宋体"/>
          <w:sz w:val="24"/>
        </w:rPr>
      </w:pPr>
      <w:r>
        <w:rPr>
          <w:rFonts w:hint="eastAsia" w:ascii="宋体" w:hAnsi="宋体"/>
          <w:sz w:val="24"/>
        </w:rPr>
        <w:t>5.2.1预付款</w:t>
      </w:r>
    </w:p>
    <w:p>
      <w:pPr>
        <w:tabs>
          <w:tab w:val="left" w:pos="900"/>
        </w:tabs>
        <w:spacing w:line="480" w:lineRule="exact"/>
        <w:ind w:firstLine="480" w:firstLineChars="200"/>
        <w:rPr>
          <w:rFonts w:ascii="宋体" w:hAnsi="宋体"/>
          <w:sz w:val="24"/>
        </w:rPr>
      </w:pPr>
      <w:r>
        <w:rPr>
          <w:rFonts w:hint="eastAsia" w:ascii="宋体" w:hAnsi="宋体"/>
          <w:sz w:val="24"/>
        </w:rPr>
        <w:t>合同生效后，在收到乙方提供的与本阶段付款金额等值的正式发票以及乙方加盖单位公章的《付款申请》后十（10）个工作日内，甲方向乙方支付合同总金额的</w:t>
      </w:r>
      <w:r>
        <w:rPr>
          <w:rFonts w:hint="eastAsia" w:ascii="宋体" w:hAnsi="宋体"/>
          <w:sz w:val="24"/>
          <w:u w:val="single"/>
        </w:rPr>
        <w:t>30</w:t>
      </w:r>
      <w:r>
        <w:rPr>
          <w:rFonts w:hint="eastAsia" w:ascii="宋体" w:hAnsi="宋体"/>
          <w:sz w:val="24"/>
        </w:rPr>
        <w:t>%（百分之</w:t>
      </w:r>
      <w:r>
        <w:rPr>
          <w:rFonts w:hint="eastAsia" w:ascii="宋体" w:hAnsi="宋体"/>
          <w:sz w:val="24"/>
          <w:u w:val="single"/>
        </w:rPr>
        <w:t>三十</w:t>
      </w:r>
      <w:r>
        <w:rPr>
          <w:rFonts w:hint="eastAsia" w:ascii="宋体" w:hAnsi="宋体"/>
          <w:sz w:val="24"/>
        </w:rPr>
        <w:t>），即人民币￥</w:t>
      </w:r>
      <w:r>
        <w:rPr>
          <w:rFonts w:hint="eastAsia" w:ascii="宋体" w:hAnsi="宋体"/>
          <w:sz w:val="24"/>
          <w:u w:val="single"/>
        </w:rPr>
        <w:t>306</w:t>
      </w:r>
      <w:r>
        <w:rPr>
          <w:rFonts w:hint="eastAsia" w:ascii="宋体" w:hAnsi="宋体"/>
          <w:sz w:val="24"/>
          <w:u w:val="single"/>
          <w:lang w:val="en-US" w:eastAsia="zh-CN"/>
        </w:rPr>
        <w:t>,</w:t>
      </w:r>
      <w:r>
        <w:rPr>
          <w:rFonts w:hint="eastAsia" w:ascii="宋体" w:hAnsi="宋体"/>
          <w:sz w:val="24"/>
          <w:u w:val="single"/>
        </w:rPr>
        <w:t>000</w:t>
      </w:r>
      <w:r>
        <w:rPr>
          <w:rFonts w:hint="eastAsia" w:ascii="宋体" w:hAnsi="宋体"/>
          <w:sz w:val="24"/>
          <w:u w:val="single"/>
          <w:lang w:val="en-US" w:eastAsia="zh-CN"/>
        </w:rPr>
        <w:t>.00</w:t>
      </w:r>
      <w:r>
        <w:rPr>
          <w:rFonts w:hint="eastAsia" w:ascii="宋体" w:hAnsi="宋体"/>
          <w:sz w:val="24"/>
        </w:rPr>
        <w:t>元整</w:t>
      </w:r>
      <w:r>
        <w:rPr>
          <w:rFonts w:ascii="宋体" w:hAnsi="宋体"/>
          <w:sz w:val="24"/>
        </w:rPr>
        <w:t>(大写：</w:t>
      </w:r>
      <w:r>
        <w:rPr>
          <w:rFonts w:hint="eastAsia" w:ascii="宋体" w:hAnsi="宋体"/>
          <w:sz w:val="24"/>
          <w:u w:val="single"/>
        </w:rPr>
        <w:t>人民币叁拾万陆仟元整</w:t>
      </w:r>
      <w:r>
        <w:rPr>
          <w:rFonts w:ascii="宋体" w:hAnsi="宋体"/>
          <w:sz w:val="24"/>
        </w:rPr>
        <w:t>）</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5.2.2中期付款</w:t>
      </w:r>
    </w:p>
    <w:p>
      <w:pPr>
        <w:tabs>
          <w:tab w:val="left" w:pos="900"/>
        </w:tabs>
        <w:spacing w:line="480" w:lineRule="exact"/>
        <w:ind w:firstLine="480" w:firstLineChars="200"/>
        <w:rPr>
          <w:rFonts w:ascii="宋体" w:hAnsi="宋体"/>
          <w:sz w:val="24"/>
        </w:rPr>
      </w:pPr>
      <w:r>
        <w:rPr>
          <w:rFonts w:hint="eastAsia" w:ascii="宋体" w:hAnsi="宋体"/>
          <w:sz w:val="24"/>
        </w:rPr>
        <w:t>乙方向甲方提供所有服务达到本合同规定的维保服务期限的一半（以较长服务期限的项目为准）后，由甲方验收小组出具验收单（或验收报告），乙方进行书面确认（若拒绝书面确认，则视为同意），验收合格后，甲方在收到乙方提供的与本阶段付款金额等值的正式发票以及乙方加盖单位公章的《付款申请》后十（10）个工作日内，向乙方支付合同总金额的</w:t>
      </w:r>
      <w:r>
        <w:rPr>
          <w:rFonts w:hint="eastAsia" w:ascii="宋体" w:hAnsi="宋体"/>
          <w:sz w:val="24"/>
          <w:u w:val="single"/>
        </w:rPr>
        <w:t>40</w:t>
      </w:r>
      <w:r>
        <w:rPr>
          <w:rFonts w:hint="eastAsia" w:ascii="宋体" w:hAnsi="宋体"/>
          <w:sz w:val="24"/>
        </w:rPr>
        <w:t>%（百分之</w:t>
      </w:r>
      <w:r>
        <w:rPr>
          <w:rFonts w:hint="eastAsia" w:ascii="宋体" w:hAnsi="宋体"/>
          <w:sz w:val="24"/>
          <w:u w:val="single"/>
        </w:rPr>
        <w:t>四十</w:t>
      </w:r>
      <w:r>
        <w:rPr>
          <w:rFonts w:hint="eastAsia" w:ascii="宋体" w:hAnsi="宋体"/>
          <w:sz w:val="24"/>
        </w:rPr>
        <w:t>），即人民币￥</w:t>
      </w:r>
      <w:r>
        <w:rPr>
          <w:rFonts w:hint="eastAsia" w:ascii="宋体" w:hAnsi="宋体"/>
          <w:sz w:val="24"/>
          <w:u w:val="single"/>
        </w:rPr>
        <w:t>408</w:t>
      </w:r>
      <w:r>
        <w:rPr>
          <w:rFonts w:hint="eastAsia" w:ascii="宋体" w:hAnsi="宋体"/>
          <w:sz w:val="24"/>
          <w:u w:val="single"/>
          <w:lang w:val="en-US" w:eastAsia="zh-CN"/>
        </w:rPr>
        <w:t>,</w:t>
      </w:r>
      <w:r>
        <w:rPr>
          <w:rFonts w:hint="eastAsia" w:ascii="宋体" w:hAnsi="宋体"/>
          <w:sz w:val="24"/>
          <w:u w:val="single"/>
        </w:rPr>
        <w:t>000</w:t>
      </w:r>
      <w:r>
        <w:rPr>
          <w:rFonts w:hint="eastAsia" w:ascii="宋体" w:hAnsi="宋体"/>
          <w:sz w:val="24"/>
          <w:u w:val="single"/>
          <w:lang w:val="en-US" w:eastAsia="zh-CN"/>
        </w:rPr>
        <w:t>.00</w:t>
      </w:r>
      <w:r>
        <w:rPr>
          <w:rFonts w:hint="eastAsia" w:ascii="宋体" w:hAnsi="宋体"/>
          <w:sz w:val="24"/>
        </w:rPr>
        <w:t>元整</w:t>
      </w:r>
      <w:r>
        <w:rPr>
          <w:rFonts w:ascii="宋体" w:hAnsi="宋体"/>
          <w:sz w:val="24"/>
        </w:rPr>
        <w:t>(大写：</w:t>
      </w:r>
      <w:r>
        <w:rPr>
          <w:rFonts w:hint="eastAsia" w:ascii="宋体" w:hAnsi="宋体"/>
          <w:sz w:val="24"/>
          <w:u w:val="single"/>
        </w:rPr>
        <w:t>人民币肆拾万捌仟元整</w:t>
      </w:r>
      <w:r>
        <w:rPr>
          <w:rFonts w:ascii="宋体" w:hAnsi="宋体"/>
          <w:sz w:val="24"/>
        </w:rPr>
        <w:t>）</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5.2.3后期款</w:t>
      </w:r>
    </w:p>
    <w:p>
      <w:pPr>
        <w:tabs>
          <w:tab w:val="left" w:pos="900"/>
        </w:tabs>
        <w:spacing w:line="480" w:lineRule="exact"/>
        <w:ind w:firstLine="480" w:firstLineChars="200"/>
        <w:rPr>
          <w:rFonts w:ascii="宋体" w:hAnsi="宋体"/>
          <w:sz w:val="24"/>
        </w:rPr>
      </w:pPr>
      <w:r>
        <w:rPr>
          <w:rFonts w:hint="eastAsia" w:ascii="宋体" w:hAnsi="宋体"/>
          <w:sz w:val="24"/>
        </w:rPr>
        <w:t>乙方向甲方提供维保服务期限届满且服务内容完成（以较长服务期限的项目为准）后，由甲方验收小组出具验收单（或验收报告），乙方进行书面确认（若拒绝书面确认，则视为同意），验收合格后，甲方在收到乙方提供的与本阶段付款金额等值的正式发票以及乙方加盖单位公章的《付款申请》后十（10）个工作日内，向乙方支付合同总金额的</w:t>
      </w:r>
      <w:r>
        <w:rPr>
          <w:rFonts w:hint="eastAsia" w:ascii="宋体" w:hAnsi="宋体"/>
          <w:sz w:val="24"/>
          <w:u w:val="single"/>
        </w:rPr>
        <w:t>30</w:t>
      </w:r>
      <w:r>
        <w:rPr>
          <w:rFonts w:hint="eastAsia" w:ascii="宋体" w:hAnsi="宋体"/>
          <w:sz w:val="24"/>
        </w:rPr>
        <w:t>%（百分之</w:t>
      </w:r>
      <w:r>
        <w:rPr>
          <w:rFonts w:hint="eastAsia" w:ascii="宋体" w:hAnsi="宋体"/>
          <w:sz w:val="24"/>
          <w:u w:val="single"/>
        </w:rPr>
        <w:t>三十</w:t>
      </w:r>
      <w:r>
        <w:rPr>
          <w:rFonts w:hint="eastAsia" w:ascii="宋体" w:hAnsi="宋体"/>
          <w:sz w:val="24"/>
        </w:rPr>
        <w:t>），即人民币￥</w:t>
      </w:r>
      <w:r>
        <w:rPr>
          <w:rFonts w:hint="eastAsia" w:ascii="宋体" w:hAnsi="宋体"/>
          <w:sz w:val="24"/>
          <w:u w:val="single"/>
        </w:rPr>
        <w:t>306</w:t>
      </w:r>
      <w:r>
        <w:rPr>
          <w:rFonts w:hint="eastAsia" w:ascii="宋体" w:hAnsi="宋体"/>
          <w:sz w:val="24"/>
          <w:u w:val="single"/>
          <w:lang w:val="en-US" w:eastAsia="zh-CN"/>
        </w:rPr>
        <w:t>,</w:t>
      </w:r>
      <w:r>
        <w:rPr>
          <w:rFonts w:hint="eastAsia" w:ascii="宋体" w:hAnsi="宋体"/>
          <w:sz w:val="24"/>
          <w:u w:val="single"/>
        </w:rPr>
        <w:t>000</w:t>
      </w:r>
      <w:r>
        <w:rPr>
          <w:rFonts w:hint="eastAsia" w:ascii="宋体" w:hAnsi="宋体"/>
          <w:sz w:val="24"/>
          <w:u w:val="single"/>
          <w:lang w:val="en-US" w:eastAsia="zh-CN"/>
        </w:rPr>
        <w:t>.00</w:t>
      </w:r>
      <w:r>
        <w:rPr>
          <w:rFonts w:hint="eastAsia" w:ascii="宋体" w:hAnsi="宋体"/>
          <w:sz w:val="24"/>
        </w:rPr>
        <w:t>元整</w:t>
      </w:r>
      <w:r>
        <w:rPr>
          <w:rFonts w:ascii="宋体" w:hAnsi="宋体"/>
          <w:sz w:val="24"/>
        </w:rPr>
        <w:t>(大写：</w:t>
      </w:r>
      <w:r>
        <w:rPr>
          <w:rFonts w:hint="eastAsia" w:ascii="宋体" w:hAnsi="宋体"/>
          <w:sz w:val="24"/>
          <w:u w:val="single"/>
        </w:rPr>
        <w:t>人民币叁拾万陆仟元整</w:t>
      </w:r>
      <w:r>
        <w:rPr>
          <w:rFonts w:ascii="宋体" w:hAnsi="宋体"/>
          <w:sz w:val="24"/>
        </w:rPr>
        <w:t>）</w:t>
      </w:r>
      <w:r>
        <w:rPr>
          <w:rFonts w:hint="eastAsia" w:ascii="宋体" w:hAnsi="宋体"/>
          <w:sz w:val="24"/>
        </w:rPr>
        <w:t>。</w:t>
      </w:r>
    </w:p>
    <w:p>
      <w:pPr>
        <w:spacing w:line="520" w:lineRule="exact"/>
        <w:ind w:firstLine="480" w:firstLineChars="200"/>
        <w:rPr>
          <w:rFonts w:hAnsi="宋体"/>
          <w:b/>
          <w:bCs/>
          <w:kern w:val="0"/>
          <w:sz w:val="28"/>
          <w:szCs w:val="28"/>
        </w:rPr>
      </w:pPr>
      <w:r>
        <w:rPr>
          <w:rFonts w:hint="eastAsia" w:ascii="宋体" w:hAnsi="宋体" w:cs="宋体"/>
          <w:sz w:val="24"/>
        </w:rPr>
        <w:t>5.3本条中的“收到”是指甲方实际接收到乙方交付的发票和</w:t>
      </w:r>
      <w:r>
        <w:rPr>
          <w:rFonts w:hint="eastAsia" w:ascii="宋体" w:hAnsi="宋体"/>
          <w:bCs/>
          <w:kern w:val="0"/>
          <w:sz w:val="24"/>
        </w:rPr>
        <w:t>《付款申请》</w:t>
      </w:r>
      <w:r>
        <w:rPr>
          <w:rFonts w:hint="eastAsia" w:ascii="宋体" w:hAnsi="宋体" w:cs="宋体"/>
          <w:sz w:val="24"/>
        </w:rPr>
        <w:t>，收到日不以发票和/或</w:t>
      </w:r>
      <w:r>
        <w:rPr>
          <w:rFonts w:hint="eastAsia" w:ascii="宋体" w:hAnsi="宋体"/>
          <w:bCs/>
          <w:kern w:val="0"/>
          <w:sz w:val="24"/>
        </w:rPr>
        <w:t>《付款申请》中载明的日期为准。双方对甲方是否“收到”及收到日有争议的，由乙方负责证明甲方已经“收到”及收到日。</w:t>
      </w:r>
    </w:p>
    <w:p>
      <w:pPr>
        <w:spacing w:before="156" w:beforeLines="50" w:line="360" w:lineRule="auto"/>
        <w:jc w:val="center"/>
        <w:outlineLvl w:val="1"/>
        <w:rPr>
          <w:b/>
          <w:bCs/>
          <w:sz w:val="28"/>
        </w:rPr>
      </w:pPr>
      <w:r>
        <w:rPr>
          <w:rFonts w:hint="eastAsia"/>
          <w:b/>
          <w:bCs/>
          <w:sz w:val="28"/>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乙方应于签订合同的同时以非现金形式向甲方提交下述金额的履约保证金。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w:t>
      </w:r>
      <w:r>
        <w:rPr>
          <w:rFonts w:hint="eastAsia" w:ascii="宋体" w:hAnsi="宋体" w:cs="宋体"/>
          <w:sz w:val="24"/>
          <w:u w:val="single"/>
        </w:rPr>
        <w:t>5</w:t>
      </w:r>
      <w:r>
        <w:rPr>
          <w:rFonts w:hint="eastAsia" w:ascii="宋体" w:hAnsi="宋体" w:cs="宋体"/>
          <w:sz w:val="24"/>
        </w:rPr>
        <w:t>％（百分之</w:t>
      </w:r>
      <w:r>
        <w:rPr>
          <w:rFonts w:hint="eastAsia" w:ascii="宋体" w:hAnsi="宋体" w:cs="宋体"/>
          <w:sz w:val="24"/>
          <w:u w:val="single"/>
        </w:rPr>
        <w:t>五</w:t>
      </w:r>
      <w:r>
        <w:rPr>
          <w:rFonts w:hint="eastAsia" w:ascii="宋体" w:hAnsi="宋体" w:cs="宋体"/>
          <w:sz w:val="24"/>
        </w:rPr>
        <w:t>）即人民币</w:t>
      </w:r>
      <w:r>
        <w:rPr>
          <w:rFonts w:hint="eastAsia" w:ascii="宋体" w:hAnsi="宋体"/>
          <w:sz w:val="24"/>
        </w:rPr>
        <w:t>￥</w:t>
      </w:r>
      <w:r>
        <w:rPr>
          <w:rFonts w:hint="eastAsia" w:ascii="宋体" w:hAnsi="宋体"/>
          <w:sz w:val="24"/>
          <w:u w:val="single"/>
        </w:rPr>
        <w:t>51</w:t>
      </w:r>
      <w:r>
        <w:rPr>
          <w:rFonts w:hint="eastAsia" w:ascii="宋体" w:hAnsi="宋体"/>
          <w:sz w:val="24"/>
          <w:u w:val="single"/>
          <w:lang w:val="en-US" w:eastAsia="zh-CN"/>
        </w:rPr>
        <w:t>,</w:t>
      </w:r>
      <w:r>
        <w:rPr>
          <w:rFonts w:hint="eastAsia" w:ascii="宋体" w:hAnsi="宋体"/>
          <w:sz w:val="24"/>
          <w:u w:val="single"/>
        </w:rPr>
        <w:t>000</w:t>
      </w:r>
      <w:r>
        <w:rPr>
          <w:rFonts w:hint="eastAsia" w:ascii="宋体" w:hAnsi="宋体"/>
          <w:sz w:val="24"/>
          <w:u w:val="single"/>
          <w:lang w:val="en-US" w:eastAsia="zh-CN"/>
        </w:rPr>
        <w:t>.00</w:t>
      </w:r>
      <w:r>
        <w:rPr>
          <w:rFonts w:hint="eastAsia" w:ascii="宋体" w:hAnsi="宋体"/>
          <w:sz w:val="24"/>
        </w:rPr>
        <w:t>元整</w:t>
      </w:r>
      <w:r>
        <w:rPr>
          <w:rFonts w:ascii="宋体" w:hAnsi="宋体"/>
          <w:sz w:val="24"/>
        </w:rPr>
        <w:t>(大写：</w:t>
      </w:r>
      <w:r>
        <w:rPr>
          <w:rFonts w:hint="eastAsia" w:ascii="宋体" w:hAnsi="宋体"/>
          <w:sz w:val="24"/>
          <w:u w:val="single"/>
        </w:rPr>
        <w:t>人民币伍万壹仟元整</w:t>
      </w:r>
      <w:r>
        <w:rPr>
          <w:rFonts w:ascii="宋体" w:hAnsi="宋体"/>
          <w:sz w:val="24"/>
        </w:rPr>
        <w:t>）</w:t>
      </w:r>
      <w:r>
        <w:rPr>
          <w:rFonts w:hint="eastAsia" w:ascii="宋体" w:hAnsi="宋体" w:cs="宋体"/>
          <w:sz w:val="24"/>
        </w:rPr>
        <w:t>，其有效期截至本合同履约期限届满。履约保证金用以保证乙方履行合同规定的所有义务。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个工作日内，应将履约保证金或扣除违约金、赔偿金、补偿金后剩余的履约保证金退还乙方(不计息)。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r>
        <w:rPr>
          <w:rFonts w:hint="eastAsia" w:ascii="宋体" w:cs="宋体"/>
          <w:sz w:val="24"/>
        </w:rPr>
        <w:t>谈判</w:t>
      </w:r>
      <w:r>
        <w:rPr>
          <w:rFonts w:hint="eastAsia" w:ascii="宋体" w:hAnsi="宋体" w:cs="宋体"/>
          <w:sz w:val="24"/>
        </w:rPr>
        <w:t>文件中指定的账户。</w:t>
      </w:r>
    </w:p>
    <w:p>
      <w:pPr>
        <w:spacing w:line="360" w:lineRule="auto"/>
        <w:ind w:firstLine="540" w:firstLineChars="225"/>
        <w:rPr>
          <w:rFonts w:ascii="宋体" w:hAnsi="宋体"/>
          <w:sz w:val="24"/>
        </w:rPr>
      </w:pPr>
      <w:r>
        <w:rPr>
          <w:rFonts w:hint="eastAsia" w:ascii="宋体" w:hAnsi="宋体" w:cs="宋体"/>
          <w:sz w:val="24"/>
        </w:rPr>
        <w:t>6.5</w:t>
      </w:r>
      <w:r>
        <w:rPr>
          <w:rFonts w:hint="eastAsia" w:ascii="宋体" w:hAnsi="宋体"/>
          <w:sz w:val="24"/>
        </w:rPr>
        <w:t>维保服务期开始后，乙方可以以银行保函的形式替换签约时提交的合同履约保证金。</w:t>
      </w:r>
    </w:p>
    <w:p>
      <w:pPr>
        <w:spacing w:before="156" w:beforeLines="50" w:line="360" w:lineRule="auto"/>
        <w:jc w:val="center"/>
        <w:outlineLvl w:val="1"/>
        <w:rPr>
          <w:b/>
          <w:bCs/>
          <w:sz w:val="28"/>
        </w:rPr>
      </w:pPr>
      <w:r>
        <w:rPr>
          <w:rFonts w:hint="eastAsia"/>
          <w:b/>
          <w:bCs/>
          <w:sz w:val="28"/>
        </w:rPr>
        <w:t>第七部分各方责任及违约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給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ascii="宋体" w:hAnsi="宋体"/>
          <w:sz w:val="24"/>
        </w:rPr>
      </w:pPr>
      <w:r>
        <w:rPr>
          <w:rFonts w:hint="eastAsia" w:ascii="宋体" w:hAnsi="宋体"/>
          <w:sz w:val="24"/>
        </w:rPr>
        <w:t>7.5乙方指派的专业技术工程师不符合甲方要求的，乙方应按甲方要求限期更换合格工程师。</w:t>
      </w:r>
    </w:p>
    <w:p>
      <w:pPr>
        <w:tabs>
          <w:tab w:val="left" w:pos="900"/>
        </w:tabs>
        <w:spacing w:line="480" w:lineRule="exact"/>
        <w:ind w:firstLine="480" w:firstLineChars="200"/>
        <w:rPr>
          <w:rFonts w:ascii="宋体" w:hAnsi="宋体"/>
          <w:sz w:val="24"/>
        </w:rPr>
      </w:pPr>
      <w:r>
        <w:rPr>
          <w:rFonts w:hint="eastAsia" w:ascii="宋体" w:hAnsi="宋体"/>
          <w:sz w:val="24"/>
        </w:rPr>
        <w:t>7.6违约责任和合同解除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hint="eastAsia" w:ascii="宋体" w:cs="宋体"/>
          <w:sz w:val="24"/>
          <w:lang w:val="zh-CN"/>
        </w:rPr>
        <w:t>当以上违约金的累计金额达到</w:t>
      </w:r>
      <w:r>
        <w:rPr>
          <w:rFonts w:hint="eastAsia" w:ascii="宋体" w:hAnsi="宋体"/>
          <w:sz w:val="24"/>
        </w:rPr>
        <w:t>合同总金额</w:t>
      </w:r>
      <w:r>
        <w:rPr>
          <w:rFonts w:hint="eastAsia" w:ascii="宋体" w:cs="宋体"/>
          <w:sz w:val="24"/>
          <w:lang w:val="zh-CN"/>
        </w:rPr>
        <w:t>的5%（百分之五）时，甲方有权解除合同。</w:t>
      </w:r>
    </w:p>
    <w:p>
      <w:pPr>
        <w:tabs>
          <w:tab w:val="left" w:pos="900"/>
        </w:tabs>
        <w:spacing w:line="480" w:lineRule="exact"/>
        <w:ind w:firstLine="480" w:firstLineChars="200"/>
        <w:rPr>
          <w:rFonts w:ascii="宋体" w:hAnsi="宋体"/>
          <w:sz w:val="24"/>
        </w:rPr>
      </w:pPr>
      <w:r>
        <w:rPr>
          <w:rFonts w:hint="eastAsia" w:ascii="宋体" w:hAnsi="宋体"/>
          <w:sz w:val="24"/>
        </w:rPr>
        <w:t>7.6.2乙方工作人员在提供服务时或提供服务外，造成甲方设施、材料、其他财产及甲方客户物品损失或损坏的，由乙方承担相应的赔偿责任。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5】%（百分之【五】）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7.6.4甲方对乙方的投诉超过2次的,乙方每次每项应按合同总金额的1</w:t>
      </w:r>
      <w:r>
        <w:rPr>
          <w:rFonts w:ascii="宋体" w:hAnsi="宋体"/>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ascii="宋体" w:hAnsi="宋体" w:cs="宋体"/>
          <w:sz w:val="24"/>
        </w:rPr>
      </w:pPr>
      <w:r>
        <w:rPr>
          <w:rFonts w:hint="eastAsia" w:ascii="宋体" w:hAnsi="宋体"/>
          <w:sz w:val="24"/>
        </w:rPr>
        <w:t>7.6.5甲方未按照合同规定期限支付服务费用且经乙方书面催告后仍未支付的，除支付应付费用外，每日应按逾期支付服务费用的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，直至实际支付相应款项为止，但甲方支付的违约金最多不得超过逾期付款金额的5%（百分之五）；违约金达到合同</w:t>
      </w:r>
      <w:r>
        <w:rPr>
          <w:rFonts w:hint="eastAsia" w:ascii="宋体" w:cs="宋体"/>
          <w:sz w:val="24"/>
          <w:lang w:val="zh-CN"/>
        </w:rPr>
        <w:t>费用总额</w:t>
      </w:r>
      <w:r>
        <w:rPr>
          <w:rFonts w:hint="eastAsia" w:ascii="宋体" w:hAnsi="宋体"/>
          <w:sz w:val="24"/>
        </w:rPr>
        <w:t>的</w:t>
      </w:r>
      <w:r>
        <w:rPr>
          <w:rFonts w:ascii="宋体" w:hAnsi="宋体"/>
          <w:sz w:val="24"/>
        </w:rPr>
        <w:t>5%</w:t>
      </w:r>
      <w:r>
        <w:rPr>
          <w:rFonts w:hint="eastAsia" w:ascii="宋体" w:hAnsi="宋体"/>
          <w:sz w:val="24"/>
        </w:rPr>
        <w:t>（百分之五）时，乙方有权解除合同</w:t>
      </w:r>
      <w:r>
        <w:rPr>
          <w:rFonts w:hint="eastAsia" w:ascii="宋体" w:hAnsi="宋体" w:cs="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7.6.6除本合同另有约定外，当发生以下情形之一时，视为乙方构成根本违约，甲方有权解除合同并向乙方要求赔偿；在出现以下第（1）、第（5）至第（12）种情形时，甲方还有权要求乙方支付合同总金额【20】%（百分之【二十】）的违约金：</w:t>
      </w:r>
    </w:p>
    <w:p>
      <w:pPr>
        <w:tabs>
          <w:tab w:val="left" w:pos="900"/>
        </w:tabs>
        <w:spacing w:line="360" w:lineRule="auto"/>
        <w:ind w:firstLine="480" w:firstLineChars="200"/>
        <w:rPr>
          <w:rFonts w:ascii="宋体" w:hAnsi="宋体"/>
          <w:sz w:val="24"/>
        </w:rPr>
      </w:pPr>
      <w:r>
        <w:rPr>
          <w:rFonts w:hint="eastAsia" w:ascii="宋体" w:hAnsi="宋体"/>
          <w:sz w:val="24"/>
        </w:rPr>
        <w:t>（1）乙方未能按照合同履行规定的义务，致使甲方无法实现合同目的；</w:t>
      </w:r>
    </w:p>
    <w:p>
      <w:pPr>
        <w:tabs>
          <w:tab w:val="left" w:pos="900"/>
        </w:tabs>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（2）乙方发生分立、并购、重组、解散等重大改变；</w:t>
      </w:r>
    </w:p>
    <w:p>
      <w:pPr>
        <w:tabs>
          <w:tab w:val="left" w:pos="900"/>
        </w:tabs>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（3）乙方因清偿诉讼债务被扣押资产、冻结账户；</w:t>
      </w:r>
    </w:p>
    <w:p>
      <w:pPr>
        <w:tabs>
          <w:tab w:val="left" w:pos="900"/>
        </w:tabs>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（4）乙方申请或被申请重整、和解或者破产清算；</w:t>
      </w:r>
    </w:p>
    <w:p>
      <w:pPr>
        <w:tabs>
          <w:tab w:val="left" w:pos="900"/>
        </w:tabs>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（5）乙方将本合同转包或分包；</w:t>
      </w:r>
    </w:p>
    <w:p>
      <w:pPr>
        <w:tabs>
          <w:tab w:val="left" w:pos="900"/>
        </w:tabs>
        <w:spacing w:line="360" w:lineRule="auto"/>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360" w:lineRule="auto"/>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（9）乙方中期验收或最终验收不合格且未采取经甲方认可的改善措施的，以及在第三部分规定的各阶段验收时间期限内一直未通过验收的；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（10）给甲方或中国人民银行的既有硬件、软件或其他财产造成重大损害（包括损失额超过（人民币￥3,000.00）元整（大写：人民币叁仟元整）或造成重大负面影响的）；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（12）本合同约定或法律规定的其他甲方有权解除合同的情形。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7.6.7如果违约方在收到守约方正式书面通知的违约金额7日内没有答复，则守约方提出的违约金额将视为被违约方接受。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7.6.8甲乙双方承担违约责任并不影响双方继续履行合同未履行的部分。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7.6.9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480" w:lineRule="exact"/>
        <w:ind w:firstLine="480" w:firstLineChars="200"/>
        <w:rPr>
          <w:rFonts w:ascii="宋体" w:hAnsi="宋体"/>
          <w:sz w:val="24"/>
        </w:rPr>
      </w:pPr>
      <w:r>
        <w:rPr>
          <w:rFonts w:hint="eastAsia" w:ascii="宋体" w:hAnsi="宋体"/>
          <w:sz w:val="24"/>
        </w:rPr>
        <w:t>7.6.10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pStyle w:val="2"/>
        <w:spacing w:line="480" w:lineRule="exact"/>
        <w:ind w:firstLine="480" w:firstLineChars="200"/>
        <w:rPr>
          <w:rFonts w:hint="default" w:hAnsi="宋体"/>
          <w:sz w:val="24"/>
          <w:szCs w:val="24"/>
        </w:rPr>
      </w:pPr>
      <w:r>
        <w:rPr>
          <w:rFonts w:hAnsi="宋体"/>
          <w:sz w:val="24"/>
          <w:szCs w:val="24"/>
        </w:rPr>
        <w:t>7.6.11 在验收审核过程中，甲方若发现有短缺或不符合服务要求、条款和质量标准的情况，由乙方负责补齐、修改并且重新申请验收，由此产生的一切损失由乙方承担。如果再次验收仍然不能通过，甲方有权终止项目，并要求乙方赔偿。</w:t>
      </w:r>
    </w:p>
    <w:p>
      <w:pPr>
        <w:pStyle w:val="2"/>
        <w:spacing w:line="480" w:lineRule="exact"/>
        <w:ind w:firstLine="480" w:firstLineChars="200"/>
        <w:rPr>
          <w:rFonts w:hint="default" w:hAnsi="宋体"/>
          <w:sz w:val="24"/>
          <w:szCs w:val="24"/>
        </w:rPr>
      </w:pPr>
      <w:r>
        <w:rPr>
          <w:rFonts w:hAnsi="宋体"/>
          <w:sz w:val="24"/>
          <w:szCs w:val="24"/>
        </w:rPr>
        <w:t>7.6.12乙方违反本合同约定，将其在本合同履行过程中知悉的甲方的未公开的技术信息或经营信息令第三人知悉，应向甲方支付相当于本合同费用总额5%的违约金，并赔偿由此给甲方造成的损失，同时甲方有权解除本合同。</w:t>
      </w:r>
    </w:p>
    <w:p>
      <w:pPr>
        <w:pStyle w:val="2"/>
        <w:spacing w:line="480" w:lineRule="exact"/>
        <w:ind w:firstLine="480" w:firstLineChars="200"/>
        <w:rPr>
          <w:rFonts w:hint="default" w:asciiTheme="minorEastAsia" w:hAnsiTheme="minorEastAsia" w:cstheme="minorEastAsia"/>
          <w:sz w:val="24"/>
          <w:szCs w:val="24"/>
        </w:rPr>
      </w:pPr>
      <w:r>
        <w:rPr>
          <w:rFonts w:asciiTheme="minorEastAsia" w:hAnsiTheme="minorEastAsia" w:cstheme="minorEastAsia"/>
          <w:sz w:val="24"/>
          <w:szCs w:val="24"/>
        </w:rPr>
        <w:t>7.6.13如果乙方未经甲方书面同意，将本合同项下的义务转包或分包给其他单位或个人，乙方应当向甲方支付相当于本合同费用总额5%的违约金，并赔偿由此给甲方造成的损失，同时甲方有权解除本合同。</w:t>
      </w:r>
    </w:p>
    <w:p>
      <w:pPr>
        <w:pStyle w:val="2"/>
        <w:spacing w:line="480" w:lineRule="exact"/>
        <w:ind w:firstLine="480" w:firstLineChars="200"/>
        <w:rPr>
          <w:rFonts w:hint="default" w:asciiTheme="minorEastAsia" w:hAnsiTheme="minorEastAsia" w:cstheme="minorEastAsia"/>
          <w:sz w:val="24"/>
          <w:szCs w:val="24"/>
        </w:rPr>
      </w:pPr>
      <w:r>
        <w:rPr>
          <w:rFonts w:asciiTheme="minorEastAsia" w:hAnsiTheme="minorEastAsia" w:cstheme="minorEastAsia"/>
          <w:sz w:val="24"/>
          <w:szCs w:val="24"/>
        </w:rPr>
        <w:t>7.6.14甲方认为从乙方的履行情况及进度判断乙方无法依约完成义务，经甲方书面通知要求乙方限期纠正或者提供相应的担保，乙方在该期限届满时仍未纠正或者提供相应的担保的，甲方有权解除本合同；合同解除后，对已经得到甲方书面认可的部分，甲方应当支付相应的技术支持服务费，其余的甲方已付款项乙方应当退还。除此之外，甲方不承担乙方的其他损失。</w:t>
      </w:r>
    </w:p>
    <w:p>
      <w:pPr>
        <w:tabs>
          <w:tab w:val="left" w:pos="900"/>
        </w:tabs>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7.6.15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p>
    <w:p>
      <w:pPr>
        <w:spacing w:before="156" w:beforeLines="50" w:line="360" w:lineRule="auto"/>
        <w:jc w:val="center"/>
        <w:outlineLvl w:val="1"/>
        <w:rPr>
          <w:b/>
          <w:bCs/>
          <w:sz w:val="28"/>
        </w:rPr>
      </w:pPr>
      <w:r>
        <w:rPr>
          <w:rFonts w:hint="eastAsia"/>
          <w:b/>
          <w:bCs/>
          <w:sz w:val="28"/>
        </w:rPr>
        <w:t>第八部分不可抗力</w:t>
      </w:r>
    </w:p>
    <w:p>
      <w:pPr>
        <w:spacing w:line="360" w:lineRule="auto"/>
        <w:ind w:firstLine="540" w:firstLineChars="225"/>
        <w:rPr>
          <w:rFonts w:ascii="宋体" w:hAnsi="宋体" w:cs="宋体"/>
          <w:sz w:val="24"/>
        </w:rPr>
      </w:pPr>
      <w:r>
        <w:rPr>
          <w:rFonts w:ascii="宋体" w:hAnsi="宋体" w:cs="宋体"/>
          <w:sz w:val="24"/>
        </w:rPr>
        <w:t xml:space="preserve">8.1 </w:t>
      </w:r>
      <w:r>
        <w:rPr>
          <w:rFonts w:hint="eastAsia" w:ascii="宋体" w:hAnsi="宋体" w:cs="宋体"/>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sz w:val="24"/>
        </w:rPr>
      </w:pPr>
      <w:r>
        <w:rPr>
          <w:rFonts w:ascii="宋体" w:hAnsi="宋体" w:cs="宋体"/>
          <w:sz w:val="24"/>
        </w:rPr>
        <w:t>8.2</w:t>
      </w:r>
      <w:r>
        <w:rPr>
          <w:rFonts w:hint="eastAsia" w:ascii="宋体" w:hAnsi="宋体" w:cs="宋体"/>
          <w:sz w:val="24"/>
        </w:rPr>
        <w:t>遭受不可抗力一方应在不可抗力事件发生后2日内以书面形式通知其他方</w:t>
      </w:r>
      <w:r>
        <w:rPr>
          <w:rFonts w:ascii="宋体" w:hAnsi="宋体" w:cs="宋体"/>
          <w:sz w:val="24"/>
        </w:rPr>
        <w:t>;</w:t>
      </w:r>
      <w:r>
        <w:rPr>
          <w:rFonts w:hint="eastAsia" w:ascii="宋体" w:hAnsi="宋体" w:cs="宋体"/>
          <w:sz w:val="24"/>
        </w:rPr>
        <w:t>并在事件发生后</w:t>
      </w:r>
      <w:r>
        <w:rPr>
          <w:rFonts w:ascii="宋体" w:hAnsi="宋体" w:cs="宋体"/>
          <w:sz w:val="24"/>
        </w:rPr>
        <w:t>10</w:t>
      </w:r>
      <w:r>
        <w:rPr>
          <w:rFonts w:hint="eastAsia" w:ascii="宋体" w:hAnsi="宋体" w:cs="宋体"/>
          <w:sz w:val="24"/>
        </w:rPr>
        <w:t>日内，将有关部门出具的证明文件、详细情况报告以及不可抗力对合同影响程度的说明用特快专递或挂号信的形式寄给其他方。如果不可抗力影响时间延续</w:t>
      </w:r>
      <w:r>
        <w:rPr>
          <w:rFonts w:ascii="宋体" w:hAnsi="宋体" w:cs="宋体"/>
          <w:sz w:val="24"/>
        </w:rPr>
        <w:t>60</w:t>
      </w:r>
      <w:r>
        <w:rPr>
          <w:rFonts w:hint="eastAsia" w:ascii="宋体" w:hAnsi="宋体" w:cs="宋体"/>
          <w:sz w:val="24"/>
        </w:rPr>
        <w:t>日以上，各方应通过友好协商在合理的时间内达成进一步履行合同或终止合同的协议。</w:t>
      </w:r>
    </w:p>
    <w:p>
      <w:pPr>
        <w:spacing w:line="360" w:lineRule="auto"/>
        <w:ind w:firstLine="540" w:firstLineChars="225"/>
        <w:rPr>
          <w:rFonts w:ascii="宋体" w:hAnsi="宋体" w:cs="宋体"/>
          <w:sz w:val="24"/>
        </w:rPr>
      </w:pPr>
      <w:r>
        <w:rPr>
          <w:rFonts w:ascii="宋体" w:hAnsi="宋体" w:cs="宋体"/>
          <w:sz w:val="24"/>
        </w:rPr>
        <w:t>8.3 除迟延履行后发生不可抗力外，</w:t>
      </w:r>
      <w:r>
        <w:rPr>
          <w:rFonts w:hint="eastAsia" w:ascii="宋体" w:hAnsi="宋体" w:cs="宋体"/>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sz w:val="24"/>
        </w:rPr>
        <w:t xml:space="preserve">8.4 </w:t>
      </w:r>
      <w:r>
        <w:rPr>
          <w:rFonts w:hint="eastAsia" w:ascii="宋体" w:hAnsi="宋体" w:cs="宋体"/>
          <w:sz w:val="24"/>
        </w:rPr>
        <w:t>受事件影响的一方应在不可抗力事件影响停止或消除后</w:t>
      </w:r>
      <w:r>
        <w:rPr>
          <w:rFonts w:ascii="宋体" w:hAnsi="宋体" w:cs="宋体"/>
          <w:sz w:val="24"/>
        </w:rPr>
        <w:t>10</w:t>
      </w:r>
      <w:r>
        <w:rPr>
          <w:rFonts w:hint="eastAsia" w:ascii="宋体" w:hAnsi="宋体" w:cs="宋体"/>
          <w:sz w:val="24"/>
        </w:rPr>
        <w:t>日内将不可抗力事件已停止的报告以书面形式通知其他方。</w:t>
      </w:r>
    </w:p>
    <w:p>
      <w:pPr>
        <w:spacing w:before="156" w:beforeLines="50" w:line="360" w:lineRule="auto"/>
        <w:jc w:val="center"/>
        <w:outlineLvl w:val="1"/>
        <w:rPr>
          <w:b/>
          <w:bCs/>
          <w:sz w:val="28"/>
        </w:rPr>
      </w:pPr>
      <w:r>
        <w:rPr>
          <w:rFonts w:hint="eastAsia"/>
          <w:b/>
          <w:bCs/>
          <w:sz w:val="28"/>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spacing w:before="156" w:beforeLines="50" w:line="360" w:lineRule="auto"/>
        <w:jc w:val="center"/>
        <w:outlineLvl w:val="1"/>
        <w:rPr>
          <w:b/>
          <w:bCs/>
          <w:sz w:val="28"/>
        </w:rPr>
      </w:pPr>
      <w:r>
        <w:rPr>
          <w:rFonts w:hint="eastAsia"/>
          <w:b/>
          <w:bCs/>
          <w:sz w:val="28"/>
        </w:rPr>
        <w:t>第十部分争议</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156" w:beforeLines="50" w:line="360" w:lineRule="auto"/>
        <w:jc w:val="center"/>
        <w:outlineLvl w:val="1"/>
        <w:rPr>
          <w:b/>
          <w:bCs/>
          <w:sz w:val="28"/>
        </w:rPr>
      </w:pPr>
      <w:r>
        <w:rPr>
          <w:rFonts w:hint="eastAsia"/>
          <w:b/>
          <w:bCs/>
          <w:sz w:val="28"/>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156" w:beforeLines="50" w:line="360" w:lineRule="auto"/>
        <w:jc w:val="center"/>
        <w:outlineLvl w:val="1"/>
        <w:rPr>
          <w:b/>
          <w:bCs/>
          <w:sz w:val="28"/>
        </w:rPr>
      </w:pPr>
      <w:r>
        <w:rPr>
          <w:rFonts w:hint="eastAsia"/>
          <w:b/>
          <w:bCs/>
          <w:sz w:val="28"/>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156" w:beforeLines="50" w:line="360" w:lineRule="auto"/>
        <w:jc w:val="center"/>
        <w:outlineLvl w:val="1"/>
        <w:rPr>
          <w:b/>
          <w:bCs/>
          <w:sz w:val="28"/>
        </w:rPr>
      </w:pPr>
      <w:r>
        <w:rPr>
          <w:rFonts w:hint="eastAsia"/>
          <w:b/>
          <w:bCs/>
          <w:sz w:val="28"/>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sz w:val="24"/>
        </w:rPr>
        <w:t>并在甲方收到</w:t>
      </w:r>
      <w:r>
        <w:rPr>
          <w:rFonts w:hint="eastAsia" w:ascii="宋体" w:hAnsi="宋体"/>
          <w:sz w:val="24"/>
        </w:rPr>
        <w:t>履约</w:t>
      </w:r>
      <w:r>
        <w:rPr>
          <w:rFonts w:hint="eastAsia" w:ascii="宋体" w:hAnsi="宋体" w:cs="宋体"/>
          <w:sz w:val="24"/>
        </w:rPr>
        <w:t>保证金后</w:t>
      </w:r>
      <w:r>
        <w:rPr>
          <w:rFonts w:hint="eastAsia" w:ascii="宋体" w:hAnsi="宋体"/>
          <w:sz w:val="24"/>
        </w:rPr>
        <w:t>生效。</w:t>
      </w:r>
    </w:p>
    <w:p>
      <w:pPr>
        <w:spacing w:before="156" w:beforeLines="50" w:line="360" w:lineRule="auto"/>
        <w:jc w:val="center"/>
        <w:outlineLvl w:val="1"/>
        <w:rPr>
          <w:b/>
          <w:bCs/>
          <w:sz w:val="28"/>
        </w:rPr>
      </w:pPr>
      <w:r>
        <w:rPr>
          <w:rFonts w:hint="eastAsia"/>
          <w:b/>
          <w:bCs/>
          <w:sz w:val="28"/>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附件一、业务合作保密协议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ascii="宋体" w:hAnsi="宋体"/>
          <w:sz w:val="24"/>
        </w:rPr>
      </w:pPr>
      <w:r>
        <w:rPr>
          <w:rFonts w:hint="eastAsia" w:ascii="宋体" w:hAnsi="宋体"/>
          <w:sz w:val="24"/>
        </w:rPr>
        <w:t>附件四、乙方维护服务及质量保证承诺</w:t>
      </w:r>
    </w:p>
    <w:p>
      <w:pPr>
        <w:tabs>
          <w:tab w:val="left" w:pos="900"/>
        </w:tabs>
        <w:spacing w:line="480" w:lineRule="exact"/>
        <w:ind w:firstLine="480" w:firstLineChars="200"/>
        <w:rPr>
          <w:rFonts w:ascii="宋体" w:hAnsi="宋体"/>
          <w:sz w:val="24"/>
        </w:rPr>
      </w:pPr>
      <w:r>
        <w:rPr>
          <w:rFonts w:hint="eastAsia" w:ascii="宋体" w:hAnsi="宋体"/>
          <w:sz w:val="24"/>
        </w:rPr>
        <w:t>附件五、成交通知书</w:t>
      </w:r>
    </w:p>
    <w:p>
      <w:pPr>
        <w:tabs>
          <w:tab w:val="left" w:pos="900"/>
        </w:tabs>
        <w:spacing w:line="480" w:lineRule="exact"/>
        <w:ind w:firstLine="480" w:firstLineChars="200"/>
        <w:rPr>
          <w:rFonts w:ascii="宋体" w:hAnsi="宋体"/>
          <w:sz w:val="24"/>
        </w:rPr>
      </w:pPr>
      <w:r>
        <w:rPr>
          <w:rFonts w:hint="eastAsia" w:ascii="宋体" w:hAnsi="宋体"/>
          <w:sz w:val="24"/>
        </w:rPr>
        <w:t>附件六、供应商拥有者性别声明</w:t>
      </w:r>
    </w:p>
    <w:p>
      <w:pPr>
        <w:spacing w:line="360" w:lineRule="auto"/>
        <w:jc w:val="center"/>
        <w:rPr>
          <w:rFonts w:ascii="宋体" w:hAnsi="宋体"/>
          <w:sz w:val="24"/>
        </w:rPr>
      </w:pPr>
      <w:r>
        <w:rPr>
          <w:rFonts w:hint="eastAsia" w:ascii="宋体" w:hAnsi="宋体"/>
          <w:sz w:val="24"/>
        </w:rPr>
        <w:t>（本页为《中国人民银行征信中心2026年公安一所硬件设备维保服务采购项目合同》之签署页）</w:t>
      </w:r>
    </w:p>
    <w:p>
      <w:pPr>
        <w:spacing w:line="360" w:lineRule="auto"/>
        <w:ind w:firstLine="480"/>
        <w:jc w:val="center"/>
        <w:rPr>
          <w:rFonts w:ascii="宋体" w:hAnsi="宋体"/>
          <w:sz w:val="24"/>
        </w:rPr>
      </w:pPr>
    </w:p>
    <w:p>
      <w:pPr>
        <w:spacing w:line="720" w:lineRule="auto"/>
        <w:jc w:val="left"/>
        <w:rPr>
          <w:rFonts w:ascii="宋体" w:hAnsi="宋体"/>
          <w:sz w:val="24"/>
        </w:rPr>
      </w:pPr>
      <w:r>
        <w:rPr>
          <w:rFonts w:hint="eastAsia" w:ascii="宋体" w:hAnsi="宋体"/>
          <w:sz w:val="24"/>
        </w:rPr>
        <w:t>甲    方：</w:t>
      </w:r>
      <w:r>
        <w:rPr>
          <w:rFonts w:hint="eastAsia" w:ascii="宋体" w:hAnsi="宋体" w:eastAsia="宋体" w:cs="Times New Roman"/>
          <w:sz w:val="24"/>
        </w:rPr>
        <w:t xml:space="preserve">中国人民银行征信中心 </w:t>
      </w:r>
    </w:p>
    <w:p>
      <w:pPr>
        <w:spacing w:line="720" w:lineRule="auto"/>
        <w:jc w:val="left"/>
        <w:rPr>
          <w:rFonts w:ascii="宋体" w:hAnsi="宋体"/>
          <w:sz w:val="24"/>
        </w:rPr>
      </w:pPr>
      <w:r>
        <w:rPr>
          <w:rFonts w:hint="eastAsia" w:ascii="宋体" w:hAnsi="宋体"/>
          <w:sz w:val="24"/>
        </w:rPr>
        <w:t>单位盖章：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720" w:lineRule="auto"/>
        <w:jc w:val="left"/>
        <w:rPr>
          <w:rFonts w:ascii="宋体" w:hAnsi="宋体"/>
          <w:sz w:val="24"/>
        </w:rPr>
      </w:pPr>
      <w:r>
        <w:rPr>
          <w:rFonts w:hint="eastAsia" w:ascii="宋体" w:hAnsi="宋体"/>
          <w:sz w:val="24"/>
        </w:rPr>
        <w:t>法定代表人或授权代表签字：</w:t>
      </w:r>
      <w:r>
        <w:rPr>
          <w:rFonts w:ascii="宋体" w:hAnsi="宋体"/>
          <w:sz w:val="24"/>
        </w:rPr>
        <w:t xml:space="preserve">    </w:t>
      </w:r>
      <w:r>
        <w:rPr>
          <w:rFonts w:hint="eastAsia" w:ascii="宋体" w:hAnsi="宋体"/>
          <w:sz w:val="24"/>
        </w:rPr>
        <w:t xml:space="preserve">  </w:t>
      </w:r>
    </w:p>
    <w:p>
      <w:pPr>
        <w:spacing w:line="720" w:lineRule="auto"/>
        <w:jc w:val="left"/>
        <w:rPr>
          <w:rFonts w:ascii="宋体" w:hAnsi="宋体"/>
          <w:sz w:val="24"/>
        </w:rPr>
      </w:pPr>
      <w:r>
        <w:rPr>
          <w:rFonts w:hint="eastAsia" w:ascii="宋体" w:hAnsi="宋体"/>
          <w:sz w:val="24"/>
        </w:rPr>
        <w:t xml:space="preserve">日    期：                      </w:t>
      </w:r>
    </w:p>
    <w:p>
      <w:pPr>
        <w:spacing w:line="360" w:lineRule="auto"/>
        <w:jc w:val="left"/>
        <w:outlineLvl w:val="0"/>
        <w:rPr>
          <w:rFonts w:ascii="宋体" w:hAnsi="宋体"/>
          <w:bCs/>
          <w:sz w:val="24"/>
        </w:rPr>
      </w:pPr>
    </w:p>
    <w:p>
      <w:pPr>
        <w:pStyle w:val="2"/>
        <w:jc w:val="left"/>
        <w:rPr>
          <w:rFonts w:hint="default"/>
        </w:rPr>
      </w:pPr>
      <w:r>
        <w:rPr>
          <w:rFonts w:hAnsi="宋体"/>
          <w:sz w:val="24"/>
          <w:szCs w:val="24"/>
        </w:rPr>
        <w:t>乙    方：</w:t>
      </w:r>
      <w:r>
        <w:rPr>
          <w:rFonts w:hint="eastAsia" w:hAnsi="宋体"/>
          <w:sz w:val="24"/>
          <w:szCs w:val="24"/>
        </w:rPr>
        <w:t>北京中盾网空防务技术有限公司</w:t>
      </w:r>
    </w:p>
    <w:p>
      <w:pPr>
        <w:spacing w:line="360" w:lineRule="auto"/>
        <w:ind w:left="561"/>
        <w:jc w:val="left"/>
        <w:outlineLvl w:val="0"/>
        <w:rPr>
          <w:rFonts w:ascii="宋体" w:hAnsi="宋体"/>
          <w:bCs/>
          <w:sz w:val="24"/>
        </w:rPr>
      </w:pPr>
    </w:p>
    <w:p>
      <w:pPr>
        <w:spacing w:line="720" w:lineRule="auto"/>
        <w:jc w:val="left"/>
        <w:rPr>
          <w:rFonts w:ascii="宋体" w:hAnsi="宋体"/>
          <w:sz w:val="24"/>
        </w:rPr>
      </w:pPr>
      <w:r>
        <w:rPr>
          <w:rFonts w:hint="eastAsia" w:ascii="宋体" w:hAnsi="宋体"/>
          <w:sz w:val="24"/>
        </w:rPr>
        <w:t>单位盖章：</w:t>
      </w:r>
    </w:p>
    <w:p>
      <w:pPr>
        <w:spacing w:line="720" w:lineRule="auto"/>
        <w:jc w:val="left"/>
        <w:rPr>
          <w:rFonts w:ascii="宋体" w:hAnsi="宋体"/>
          <w:sz w:val="24"/>
        </w:rPr>
      </w:pPr>
      <w:r>
        <w:rPr>
          <w:rFonts w:hint="eastAsia" w:ascii="宋体" w:hAnsi="宋体"/>
          <w:sz w:val="24"/>
        </w:rPr>
        <w:t>法定代表人或授权代表签字：</w:t>
      </w:r>
    </w:p>
    <w:p>
      <w:pPr>
        <w:spacing w:line="720" w:lineRule="auto"/>
        <w:jc w:val="left"/>
        <w:rPr>
          <w:rFonts w:ascii="宋体" w:hAnsi="宋体"/>
          <w:bCs/>
          <w:sz w:val="24"/>
        </w:rPr>
      </w:pPr>
      <w:r>
        <w:rPr>
          <w:rFonts w:hint="eastAsia" w:ascii="宋体" w:hAnsi="宋体"/>
          <w:sz w:val="24"/>
        </w:rPr>
        <w:t>日    期：</w:t>
      </w:r>
    </w:p>
    <w:p>
      <w:pPr>
        <w:widowControl/>
        <w:jc w:val="lef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r>
        <w:drawing>
          <wp:anchor distT="0" distB="0" distL="114935" distR="114935" simplePos="0" relativeHeight="251659264" behindDoc="0" locked="0" layoutInCell="1" allowOverlap="1">
            <wp:simplePos x="0" y="0"/>
            <wp:positionH relativeFrom="column">
              <wp:posOffset>165100</wp:posOffset>
            </wp:positionH>
            <wp:positionV relativeFrom="paragraph">
              <wp:posOffset>184785</wp:posOffset>
            </wp:positionV>
            <wp:extent cx="5273675" cy="5052695"/>
            <wp:effectExtent l="0" t="0" r="3175" b="14605"/>
            <wp:wrapSquare wrapText="bothSides"/>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73675" cy="5052695"/>
                    </a:xfrm>
                    <a:prstGeom prst="rect">
                      <a:avLst/>
                    </a:prstGeom>
                    <a:noFill/>
                    <a:ln>
                      <a:noFill/>
                    </a:ln>
                  </pic:spPr>
                </pic:pic>
              </a:graphicData>
            </a:graphic>
          </wp:anchor>
        </w:drawing>
      </w: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bookmarkStart w:id="0" w:name="_GoBack"/>
      <w:bookmarkEnd w:id="0"/>
    </w:p>
    <w:p>
      <w:pPr>
        <w:tabs>
          <w:tab w:val="left" w:pos="900"/>
        </w:tabs>
        <w:spacing w:line="480" w:lineRule="exact"/>
        <w:rPr>
          <w:rFonts w:hint="eastAsia" w:ascii="宋体" w:hAnsi="宋体"/>
          <w:sz w:val="24"/>
        </w:rPr>
      </w:pPr>
    </w:p>
    <w:p>
      <w:pPr>
        <w:tabs>
          <w:tab w:val="left" w:pos="900"/>
        </w:tabs>
        <w:spacing w:line="480" w:lineRule="exact"/>
        <w:rPr>
          <w:rFonts w:hint="eastAsia" w:ascii="宋体" w:hAnsi="宋体"/>
          <w:sz w:val="24"/>
        </w:rPr>
      </w:pPr>
    </w:p>
    <w:p>
      <w:pPr>
        <w:tabs>
          <w:tab w:val="left" w:pos="900"/>
        </w:tabs>
        <w:spacing w:line="480" w:lineRule="exact"/>
        <w:rPr>
          <w:rFonts w:ascii="宋体" w:hAnsi="宋体"/>
          <w:sz w:val="24"/>
        </w:rPr>
      </w:pPr>
      <w:r>
        <w:rPr>
          <w:rFonts w:hint="eastAsia" w:ascii="宋体" w:hAnsi="宋体"/>
          <w:sz w:val="24"/>
        </w:rPr>
        <w:t>附件五、成交通知书</w:t>
      </w:r>
    </w:p>
    <w:p>
      <w:pPr>
        <w:snapToGrid w:val="0"/>
        <w:spacing w:line="360" w:lineRule="auto"/>
        <w:jc w:val="left"/>
        <w:rPr>
          <w:rFonts w:hint="eastAsia" w:ascii="宋体" w:hAnsi="宋体"/>
          <w:sz w:val="24"/>
        </w:rPr>
      </w:pPr>
      <w:r>
        <w:drawing>
          <wp:inline distT="0" distB="0" distL="114300" distR="114300">
            <wp:extent cx="5273040" cy="5045710"/>
            <wp:effectExtent l="0" t="0" r="381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73040" cy="5045710"/>
                    </a:xfrm>
                    <a:prstGeom prst="rect">
                      <a:avLst/>
                    </a:prstGeom>
                    <a:noFill/>
                    <a:ln>
                      <a:noFill/>
                    </a:ln>
                  </pic:spPr>
                </pic:pic>
              </a:graphicData>
            </a:graphic>
          </wp:inline>
        </w:drawing>
      </w:r>
    </w:p>
    <w:p>
      <w:pPr>
        <w:snapToGrid w:val="0"/>
        <w:spacing w:line="360" w:lineRule="auto"/>
        <w:jc w:val="left"/>
        <w:rPr>
          <w:rFonts w:hint="eastAsia" w:ascii="宋体" w:hAnsi="宋体"/>
          <w:sz w:val="24"/>
        </w:rPr>
      </w:pPr>
    </w:p>
    <w:p>
      <w:pPr>
        <w:snapToGrid w:val="0"/>
        <w:spacing w:line="360" w:lineRule="auto"/>
        <w:jc w:val="left"/>
        <w:rPr>
          <w:rFonts w:hint="eastAsia" w:ascii="宋体" w:hAnsi="宋体"/>
          <w:sz w:val="24"/>
        </w:rPr>
      </w:pPr>
    </w:p>
    <w:p>
      <w:pPr>
        <w:snapToGrid w:val="0"/>
        <w:spacing w:line="360" w:lineRule="auto"/>
        <w:jc w:val="left"/>
        <w:rPr>
          <w:rFonts w:hint="eastAsia" w:ascii="宋体" w:hAnsi="宋体"/>
          <w:sz w:val="24"/>
        </w:rPr>
      </w:pPr>
    </w:p>
    <w:p>
      <w:pPr>
        <w:snapToGrid w:val="0"/>
        <w:spacing w:line="360" w:lineRule="auto"/>
        <w:jc w:val="left"/>
        <w:rPr>
          <w:rFonts w:hint="eastAsia" w:ascii="宋体" w:hAnsi="宋体"/>
          <w:sz w:val="24"/>
        </w:rPr>
      </w:pPr>
    </w:p>
    <w:p>
      <w:pPr>
        <w:snapToGrid w:val="0"/>
        <w:spacing w:line="360" w:lineRule="auto"/>
        <w:jc w:val="left"/>
        <w:rPr>
          <w:rFonts w:hint="eastAsia" w:ascii="宋体" w:hAnsi="宋体"/>
          <w:sz w:val="24"/>
        </w:rPr>
      </w:pPr>
    </w:p>
    <w:p>
      <w:pPr>
        <w:snapToGrid w:val="0"/>
        <w:spacing w:line="360" w:lineRule="auto"/>
        <w:jc w:val="left"/>
        <w:rPr>
          <w:rFonts w:hint="eastAsia"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posOffset>2923540</wp:posOffset>
              </wp:positionH>
              <wp:positionV relativeFrom="paragraph">
                <wp:posOffset>3810</wp:posOffset>
              </wp:positionV>
              <wp:extent cx="382270" cy="24320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0.2pt;margin-top:0.3pt;height:19.15pt;width:30.1pt;mso-position-horizontal-relative:margin;z-index:251660288;mso-width-relative:page;mso-height-relative:page;" filled="f" stroked="f" coordsize="21600,21600" o:gfxdata="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M9ELfWAAAABwEAAA8AAAAAAAAAAQAgAAAAIgAAAGRycy9kb3ducmV2Lnht&#10;bFBLAQIUABQAAAAIAIdO4kBG1iFRNAIAAGcEAAAOAAAAAAAAAAEAIAAAACUBAABkcnMvZTJvRG9j&#10;LnhtbFBLBQYAAAAABgAGAFkBAADLBQAAAAA=&#10;">
              <v:fill on="f" focussize="0,0"/>
              <v:stroke on="f" weight="0.5pt"/>
              <v:imagedata o:title=""/>
              <o:lock v:ext="edit" aspectratio="f"/>
              <v:textbox inset="0mm,0mm,0mm,0mm">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90130"/>
    <w:multiLevelType w:val="multilevel"/>
    <w:tmpl w:val="0AC90130"/>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B66B4"/>
    <w:rsid w:val="026C6D7F"/>
    <w:rsid w:val="098B76D7"/>
    <w:rsid w:val="0B141A9B"/>
    <w:rsid w:val="0D596DAB"/>
    <w:rsid w:val="13843D5B"/>
    <w:rsid w:val="147343FA"/>
    <w:rsid w:val="15A13B88"/>
    <w:rsid w:val="1A782A3C"/>
    <w:rsid w:val="1B370F81"/>
    <w:rsid w:val="1C1E529F"/>
    <w:rsid w:val="1D724FC4"/>
    <w:rsid w:val="216D63F8"/>
    <w:rsid w:val="21FB0DE8"/>
    <w:rsid w:val="220152DE"/>
    <w:rsid w:val="227415E7"/>
    <w:rsid w:val="25DB64DC"/>
    <w:rsid w:val="27B60CB4"/>
    <w:rsid w:val="2B1E7D4C"/>
    <w:rsid w:val="2FCE6D7B"/>
    <w:rsid w:val="31067AB6"/>
    <w:rsid w:val="34BC6FB1"/>
    <w:rsid w:val="372D01AE"/>
    <w:rsid w:val="37ED7275"/>
    <w:rsid w:val="3D9A42A4"/>
    <w:rsid w:val="3DA35CDE"/>
    <w:rsid w:val="405F66B9"/>
    <w:rsid w:val="43BE3EFA"/>
    <w:rsid w:val="447B4066"/>
    <w:rsid w:val="46650758"/>
    <w:rsid w:val="4B6E5BCE"/>
    <w:rsid w:val="4B701F5E"/>
    <w:rsid w:val="4B7F196B"/>
    <w:rsid w:val="4DBC2E94"/>
    <w:rsid w:val="4E1B0749"/>
    <w:rsid w:val="52383444"/>
    <w:rsid w:val="52545D93"/>
    <w:rsid w:val="53F12AE4"/>
    <w:rsid w:val="5541454D"/>
    <w:rsid w:val="564072CA"/>
    <w:rsid w:val="5BD550F7"/>
    <w:rsid w:val="5C3A3EC0"/>
    <w:rsid w:val="5DE12500"/>
    <w:rsid w:val="5E515E4C"/>
    <w:rsid w:val="5EDF56FC"/>
    <w:rsid w:val="61370C95"/>
    <w:rsid w:val="61A87D66"/>
    <w:rsid w:val="620C0551"/>
    <w:rsid w:val="62E17B13"/>
    <w:rsid w:val="64BE438D"/>
    <w:rsid w:val="661338BF"/>
    <w:rsid w:val="68465A22"/>
    <w:rsid w:val="6C311810"/>
    <w:rsid w:val="6C954441"/>
    <w:rsid w:val="708D1AAB"/>
    <w:rsid w:val="7102015F"/>
    <w:rsid w:val="719C35CD"/>
    <w:rsid w:val="72CC26A6"/>
    <w:rsid w:val="76F86BF7"/>
    <w:rsid w:val="786A41B8"/>
    <w:rsid w:val="79817A0B"/>
    <w:rsid w:val="7A265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Lines="0" w:beforeAutospacing="0" w:afterLines="0" w:afterAutospacing="0" w:line="360" w:lineRule="auto"/>
      <w:ind w:left="0" w:firstLine="0" w:firstLineChars="0"/>
      <w:outlineLvl w:val="0"/>
    </w:pPr>
    <w:rPr>
      <w:rFonts w:ascii="宋体" w:hAnsi="宋体" w:eastAsia="宋体"/>
      <w:b/>
      <w:kern w:val="44"/>
      <w:sz w:val="30"/>
    </w:rPr>
  </w:style>
  <w:style w:type="paragraph" w:styleId="5">
    <w:name w:val="heading 2"/>
    <w:basedOn w:val="4"/>
    <w:next w:val="1"/>
    <w:unhideWhenUsed/>
    <w:qFormat/>
    <w:uiPriority w:val="0"/>
    <w:pPr>
      <w:keepNext/>
      <w:keepLines/>
      <w:numPr>
        <w:ilvl w:val="1"/>
        <w:numId w:val="1"/>
      </w:numPr>
      <w:spacing w:beforeLines="0" w:beforeAutospacing="0" w:afterLines="0" w:afterAutospacing="0" w:line="360" w:lineRule="auto"/>
      <w:ind w:left="0" w:firstLine="0" w:firstLineChars="0"/>
      <w:outlineLvl w:val="1"/>
    </w:pPr>
    <w:rPr>
      <w:rFonts w:ascii="宋体" w:hAnsi="宋体" w:eastAsia="宋体"/>
      <w:sz w:val="30"/>
    </w:rPr>
  </w:style>
  <w:style w:type="paragraph" w:styleId="6">
    <w:name w:val="heading 7"/>
    <w:basedOn w:val="1"/>
    <w:next w:val="1"/>
    <w:qFormat/>
    <w:uiPriority w:val="0"/>
    <w:pPr>
      <w:keepNext/>
      <w:keepLines/>
      <w:tabs>
        <w:tab w:val="left" w:pos="0"/>
      </w:tabs>
      <w:spacing w:before="240" w:after="64" w:line="319" w:lineRule="auto"/>
      <w:outlineLvl w:val="6"/>
    </w:pPr>
    <w:rPr>
      <w:b/>
      <w:bCs/>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hint="eastAsia" w:ascii="宋体" w:hAnsi="Arial"/>
      <w:sz w:val="28"/>
      <w:szCs w:val="20"/>
    </w:rPr>
  </w:style>
  <w:style w:type="paragraph" w:styleId="3">
    <w:name w:val="Plain Text"/>
    <w:basedOn w:val="1"/>
    <w:qFormat/>
    <w:uiPriority w:val="0"/>
    <w:rPr>
      <w:rFonts w:ascii="宋体" w:hAnsi="Courier New"/>
    </w:rPr>
  </w:style>
  <w:style w:type="paragraph" w:styleId="7">
    <w:name w:val="annotation text"/>
    <w:basedOn w:val="1"/>
    <w:qFormat/>
    <w:uiPriority w:val="0"/>
    <w:pPr>
      <w:jc w:val="left"/>
    </w:pPr>
  </w:style>
  <w:style w:type="paragraph" w:styleId="8">
    <w:name w:val="Body Text Indent"/>
    <w:basedOn w:val="1"/>
    <w:qFormat/>
    <w:uiPriority w:val="99"/>
    <w:pPr>
      <w:ind w:firstLine="549"/>
    </w:pPr>
    <w:rPr>
      <w:rFonts w:ascii="仿宋_GB2312" w:hAnsi="Arial" w:eastAsia="仿宋_GB2312"/>
      <w:bCs/>
      <w:sz w:val="2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widowControl/>
      <w:spacing w:after="120"/>
      <w:ind w:left="200" w:leftChars="200"/>
      <w:jc w:val="left"/>
    </w:pPr>
    <w:rPr>
      <w:rFonts w:ascii="宋体"/>
      <w:kern w:val="0"/>
      <w:sz w:val="16"/>
    </w:rPr>
  </w:style>
  <w:style w:type="paragraph" w:styleId="12">
    <w:name w:val="Body Text First Indent 2"/>
    <w:basedOn w:val="8"/>
    <w:qFormat/>
    <w:uiPriority w:val="99"/>
    <w:pPr>
      <w:spacing w:after="120"/>
      <w:ind w:left="420" w:leftChars="200" w:firstLine="420" w:firstLineChars="200"/>
    </w:pPr>
    <w:rPr>
      <w:rFonts w:ascii="Times New Roman" w:hAnsi="Times New Roman" w:eastAsia="宋体"/>
      <w:bCs w:val="0"/>
      <w:sz w:val="21"/>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unhideWhenUsed/>
    <w:qFormat/>
    <w:uiPriority w:val="0"/>
    <w:rPr>
      <w:sz w:val="21"/>
      <w:szCs w:val="21"/>
    </w:rPr>
  </w:style>
  <w:style w:type="paragraph" w:customStyle="1" w:styleId="17">
    <w:name w:val="列表1"/>
    <w:basedOn w:val="1"/>
    <w:qFormat/>
    <w:uiPriority w:val="0"/>
    <w:pPr>
      <w:tabs>
        <w:tab w:val="left" w:pos="840"/>
      </w:tabs>
      <w:spacing w:line="360" w:lineRule="auto"/>
      <w:ind w:left="840" w:hanging="420"/>
    </w:pPr>
    <w:rPr>
      <w:rFonts w:eastAsia="仿宋_GB2312" w:asciiTheme="minorHAnsi" w:hAnsiTheme="minorHAnsi" w:cstheme="minorBidi"/>
      <w:sz w:val="24"/>
      <w:szCs w:val="22"/>
    </w:rPr>
  </w:style>
  <w:style w:type="paragraph" w:customStyle="1" w:styleId="18">
    <w:name w:val="p0"/>
    <w:basedOn w:val="1"/>
    <w:qFormat/>
    <w:uiPriority w:val="0"/>
    <w:pPr>
      <w:widowControl/>
    </w:pPr>
    <w:rPr>
      <w:rFonts w:ascii="Calibri" w:hAnsi="Calibri" w:cs="宋体"/>
      <w:kern w:val="0"/>
      <w:szCs w:val="21"/>
    </w:rPr>
  </w:style>
  <w:style w:type="paragraph" w:customStyle="1" w:styleId="19">
    <w:name w:val="样式4"/>
    <w:basedOn w:val="1"/>
    <w:qFormat/>
    <w:uiPriority w:val="0"/>
    <w:pPr>
      <w:jc w:val="center"/>
      <w:outlineLvl w:val="0"/>
    </w:pPr>
    <w:rPr>
      <w:b/>
      <w:sz w:val="32"/>
      <w:szCs w:val="20"/>
    </w:rPr>
  </w:style>
  <w:style w:type="paragraph" w:customStyle="1" w:styleId="20">
    <w:name w:val="yiv1247301476msolistparagraph"/>
    <w:basedOn w:val="1"/>
    <w:qFormat/>
    <w:uiPriority w:val="0"/>
    <w:pPr>
      <w:widowControl/>
      <w:spacing w:before="100" w:beforeAutospacing="1" w:after="100" w:afterAutospacing="1"/>
      <w:jc w:val="left"/>
    </w:pPr>
    <w:rPr>
      <w:rFonts w:ascii="宋体" w:hAnsi="宋体" w:cs="宋体" w:eastAsiaTheme="minorEastAsia"/>
      <w:kern w:val="0"/>
      <w:sz w:val="24"/>
    </w:rPr>
  </w:style>
  <w:style w:type="paragraph" w:customStyle="1" w:styleId="21">
    <w:name w:val="图文"/>
    <w:basedOn w:val="1"/>
    <w:qFormat/>
    <w:uiPriority w:val="0"/>
    <w:pPr>
      <w:adjustRightInd w:val="0"/>
      <w:snapToGrid w:val="0"/>
      <w:spacing w:after="50" w:line="360" w:lineRule="auto"/>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2927</Words>
  <Characters>3359</Characters>
  <Lines>0</Lines>
  <Paragraphs>0</Paragraphs>
  <TotalTime>2</TotalTime>
  <ScaleCrop>false</ScaleCrop>
  <LinksUpToDate>false</LinksUpToDate>
  <CharactersWithSpaces>3382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2025-12-08T06:26:00Z</dcterms:created>
  <dc:creator>zhangshuangling</dc:creator>
  <cp:lastModifiedBy>pzm</cp:lastModifiedBy>
  <cp:lastPrinted>2025-12-16T08:48:00Z</cp:lastPrinted>
  <dcterms:modified xsi:type="dcterms:W3CDTF">2026-01-05T02:42:43Z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2E322D18D6964571A13998E7E9068AC4</vt:lpwstr>
  </property>
  <property fmtid="{D5CDD505-2E9C-101B-9397-08002B2CF9AE}" pid="4" name="KSOTemplateDocerSaveRecord">
    <vt:lpwstr>eyJoZGlkIjoiYTQyNjg4ZGE0MjViY2JjYjhiZWI1NzM0MjcwOGIwZDgiLCJ1c2VySWQiOiI0MzU5OTMzNzEifQ==</vt:lpwstr>
  </property>
</Properties>
</file>