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_GB2312" w:hAnsi="宋体" w:eastAsia="仿宋_GB2312" w:cs="宋体"/>
          <w:b/>
          <w:bCs/>
          <w:color w:val="000000"/>
          <w:sz w:val="36"/>
          <w:szCs w:val="32"/>
          <w:lang w:bidi="ar"/>
        </w:rPr>
      </w:pPr>
    </w:p>
    <w:p>
      <w:pPr>
        <w:spacing w:line="360" w:lineRule="auto"/>
        <w:jc w:val="center"/>
        <w:rPr>
          <w:rFonts w:hint="eastAsia" w:ascii="仿宋_GB2312" w:hAnsi="宋体" w:eastAsia="仿宋_GB2312" w:cs="宋体"/>
          <w:b/>
          <w:bCs/>
          <w:color w:val="000000"/>
          <w:sz w:val="36"/>
          <w:szCs w:val="32"/>
          <w:lang w:bidi="ar"/>
        </w:rPr>
      </w:pPr>
    </w:p>
    <w:p>
      <w:pPr>
        <w:spacing w:line="360" w:lineRule="auto"/>
        <w:jc w:val="center"/>
        <w:rPr>
          <w:rFonts w:hint="eastAsia" w:ascii="宋体" w:hAnsi="宋体" w:eastAsia="宋体" w:cs="Times New Roman"/>
          <w:b/>
          <w:sz w:val="36"/>
          <w:szCs w:val="36"/>
          <w:highlight w:val="none"/>
        </w:rPr>
      </w:pPr>
      <w:r>
        <w:rPr>
          <w:rFonts w:hint="eastAsia" w:ascii="宋体" w:hAnsi="宋体" w:eastAsia="宋体" w:cs="Times New Roman"/>
          <w:b/>
          <w:sz w:val="36"/>
          <w:szCs w:val="36"/>
          <w:highlight w:val="none"/>
        </w:rPr>
        <w:t>中国人民银行征信中心</w:t>
      </w:r>
    </w:p>
    <w:p>
      <w:pPr>
        <w:spacing w:line="360" w:lineRule="auto"/>
        <w:jc w:val="center"/>
        <w:rPr>
          <w:rFonts w:hint="eastAsia" w:ascii="宋体" w:hAnsi="宋体" w:eastAsia="宋体" w:cs="Times New Roman"/>
          <w:b/>
          <w:sz w:val="36"/>
          <w:szCs w:val="36"/>
          <w:highlight w:val="none"/>
        </w:rPr>
      </w:pPr>
      <w:r>
        <w:rPr>
          <w:rFonts w:hint="eastAsia" w:ascii="宋体" w:hAnsi="宋体" w:eastAsia="宋体" w:cs="Times New Roman"/>
          <w:b/>
          <w:sz w:val="36"/>
          <w:szCs w:val="36"/>
          <w:highlight w:val="none"/>
        </w:rPr>
        <w:t>2026年奇安信软硬件设备维保服务采购项目合同</w:t>
      </w:r>
    </w:p>
    <w:p>
      <w:pPr>
        <w:spacing w:line="360" w:lineRule="auto"/>
        <w:jc w:val="center"/>
        <w:rPr>
          <w:rFonts w:hint="eastAsia" w:ascii="宋体" w:hAnsi="宋体" w:eastAsia="宋体" w:cs="Times New Roman"/>
          <w:b/>
          <w:sz w:val="44"/>
          <w:szCs w:val="44"/>
          <w:highlight w:val="none"/>
        </w:rPr>
      </w:pPr>
    </w:p>
    <w:p>
      <w:pPr>
        <w:spacing w:line="360" w:lineRule="auto"/>
        <w:jc w:val="center"/>
        <w:rPr>
          <w:rFonts w:hint="eastAsia" w:ascii="宋体" w:hAnsi="宋体" w:eastAsia="宋体" w:cs="Times New Roman"/>
          <w:b/>
          <w:sz w:val="44"/>
          <w:szCs w:val="44"/>
          <w:highlight w:val="none"/>
        </w:rPr>
      </w:pPr>
    </w:p>
    <w:p>
      <w:pPr>
        <w:spacing w:line="360" w:lineRule="auto"/>
        <w:jc w:val="center"/>
        <w:rPr>
          <w:rFonts w:hint="eastAsia" w:ascii="宋体" w:hAnsi="宋体" w:eastAsia="宋体" w:cs="Times New Roman"/>
          <w:b/>
          <w:sz w:val="36"/>
          <w:szCs w:val="36"/>
          <w:highlight w:val="none"/>
          <w:lang w:val="zh-CN"/>
        </w:rPr>
      </w:pPr>
      <w:r>
        <w:rPr>
          <w:rFonts w:hint="eastAsia" w:ascii="宋体" w:hAnsi="宋体" w:eastAsia="宋体" w:cs="Times New Roman"/>
          <w:b/>
          <w:sz w:val="36"/>
          <w:szCs w:val="36"/>
          <w:highlight w:val="none"/>
          <w:lang w:val="zh-CN"/>
        </w:rPr>
        <w:t>合同编号：ZXZX-</w:t>
      </w:r>
      <w:r>
        <w:rPr>
          <w:rFonts w:hint="eastAsia" w:ascii="宋体" w:hAnsi="宋体" w:eastAsia="宋体" w:cs="Times New Roman"/>
          <w:b/>
          <w:sz w:val="36"/>
          <w:szCs w:val="36"/>
          <w:highlight w:val="none"/>
        </w:rPr>
        <w:t>2025</w:t>
      </w:r>
      <w:r>
        <w:rPr>
          <w:rFonts w:hint="eastAsia" w:ascii="宋体" w:hAnsi="宋体" w:eastAsia="宋体" w:cs="Times New Roman"/>
          <w:b/>
          <w:sz w:val="36"/>
          <w:szCs w:val="36"/>
          <w:highlight w:val="none"/>
          <w:lang w:val="zh-CN"/>
        </w:rPr>
        <w:t>-</w:t>
      </w:r>
    </w:p>
    <w:p>
      <w:pPr>
        <w:autoSpaceDE w:val="0"/>
        <w:autoSpaceDN w:val="0"/>
        <w:adjustRightInd w:val="0"/>
        <w:ind w:left="420" w:hanging="420"/>
        <w:rPr>
          <w:rFonts w:hint="eastAsia" w:ascii="宋体" w:hAnsi="宋体" w:eastAsia="宋体" w:cs="宋体"/>
          <w:b/>
          <w:bCs/>
          <w:color w:val="000000"/>
          <w:sz w:val="24"/>
          <w:szCs w:val="22"/>
          <w:lang w:val="zh-CN"/>
        </w:rPr>
      </w:pPr>
    </w:p>
    <w:p>
      <w:pPr>
        <w:autoSpaceDE w:val="0"/>
        <w:autoSpaceDN w:val="0"/>
        <w:adjustRightInd w:val="0"/>
        <w:ind w:left="420" w:hanging="420"/>
        <w:rPr>
          <w:rFonts w:hint="eastAsia" w:ascii="宋体" w:hAnsi="宋体" w:eastAsia="宋体" w:cs="宋体"/>
          <w:b/>
          <w:bCs/>
          <w:color w:val="000000"/>
          <w:sz w:val="24"/>
          <w:szCs w:val="22"/>
          <w:lang w:val="zh-CN"/>
        </w:rPr>
      </w:pPr>
    </w:p>
    <w:p>
      <w:pPr>
        <w:autoSpaceDE w:val="0"/>
        <w:autoSpaceDN w:val="0"/>
        <w:adjustRightInd w:val="0"/>
        <w:ind w:left="420" w:hanging="420"/>
        <w:rPr>
          <w:rFonts w:hint="eastAsia" w:ascii="宋体" w:hAnsi="宋体" w:eastAsia="宋体" w:cs="宋体"/>
          <w:b/>
          <w:bCs/>
          <w:color w:val="000000"/>
          <w:sz w:val="24"/>
          <w:szCs w:val="22"/>
          <w:lang w:val="zh-CN"/>
        </w:rPr>
      </w:pPr>
    </w:p>
    <w:p>
      <w:pPr>
        <w:autoSpaceDE w:val="0"/>
        <w:autoSpaceDN w:val="0"/>
        <w:adjustRightInd w:val="0"/>
        <w:ind w:left="420" w:hanging="420"/>
        <w:rPr>
          <w:rFonts w:hint="eastAsia" w:ascii="宋体" w:hAnsi="宋体" w:eastAsia="宋体" w:cs="宋体"/>
          <w:b/>
          <w:bCs/>
          <w:color w:val="000000"/>
          <w:sz w:val="24"/>
          <w:szCs w:val="22"/>
          <w:lang w:val="zh-CN"/>
        </w:rPr>
      </w:pPr>
    </w:p>
    <w:p>
      <w:pPr>
        <w:autoSpaceDE w:val="0"/>
        <w:autoSpaceDN w:val="0"/>
        <w:adjustRightInd w:val="0"/>
        <w:ind w:left="420" w:hanging="420"/>
        <w:rPr>
          <w:rFonts w:hint="eastAsia" w:ascii="宋体" w:hAnsi="宋体" w:eastAsia="宋体" w:cs="宋体"/>
          <w:b/>
          <w:bCs/>
          <w:color w:val="000000"/>
          <w:sz w:val="24"/>
          <w:szCs w:val="22"/>
          <w:lang w:val="zh-CN"/>
        </w:rPr>
      </w:pPr>
    </w:p>
    <w:p>
      <w:pPr>
        <w:autoSpaceDE w:val="0"/>
        <w:autoSpaceDN w:val="0"/>
        <w:adjustRightInd w:val="0"/>
        <w:ind w:left="420" w:hanging="420"/>
        <w:rPr>
          <w:rFonts w:hint="eastAsia" w:ascii="宋体" w:hAnsi="宋体" w:eastAsia="宋体" w:cs="宋体"/>
          <w:b/>
          <w:bCs/>
          <w:color w:val="000000"/>
          <w:sz w:val="24"/>
          <w:szCs w:val="22"/>
          <w:lang w:val="zh-CN"/>
        </w:rPr>
      </w:pPr>
    </w:p>
    <w:p>
      <w:pPr>
        <w:autoSpaceDE w:val="0"/>
        <w:autoSpaceDN w:val="0"/>
        <w:adjustRightInd w:val="0"/>
        <w:ind w:left="420" w:hanging="420"/>
        <w:rPr>
          <w:rFonts w:hint="eastAsia" w:ascii="宋体" w:hAnsi="宋体" w:eastAsia="宋体" w:cs="宋体"/>
          <w:b/>
          <w:bCs/>
          <w:color w:val="000000"/>
          <w:sz w:val="24"/>
          <w:szCs w:val="22"/>
          <w:lang w:val="zh-CN"/>
        </w:rPr>
      </w:pPr>
    </w:p>
    <w:p>
      <w:pPr>
        <w:autoSpaceDE w:val="0"/>
        <w:autoSpaceDN w:val="0"/>
        <w:adjustRightInd w:val="0"/>
        <w:ind w:left="420" w:hanging="420"/>
        <w:rPr>
          <w:rFonts w:hint="eastAsia" w:ascii="宋体" w:hAnsi="宋体" w:eastAsia="宋体" w:cs="宋体"/>
          <w:b/>
          <w:bCs/>
          <w:color w:val="000000"/>
          <w:sz w:val="24"/>
          <w:szCs w:val="22"/>
          <w:lang w:val="zh-CN"/>
        </w:rPr>
      </w:pPr>
    </w:p>
    <w:p>
      <w:pPr>
        <w:autoSpaceDE w:val="0"/>
        <w:autoSpaceDN w:val="0"/>
        <w:adjustRightInd w:val="0"/>
        <w:ind w:left="420" w:hanging="420"/>
        <w:rPr>
          <w:rFonts w:hint="eastAsia" w:ascii="宋体" w:hAnsi="宋体" w:eastAsia="宋体" w:cs="宋体"/>
          <w:b/>
          <w:bCs/>
          <w:color w:val="000000"/>
          <w:sz w:val="24"/>
          <w:szCs w:val="22"/>
          <w:lang w:val="zh-CN"/>
        </w:rPr>
      </w:pPr>
    </w:p>
    <w:p>
      <w:pPr>
        <w:autoSpaceDE w:val="0"/>
        <w:autoSpaceDN w:val="0"/>
        <w:adjustRightInd w:val="0"/>
        <w:rPr>
          <w:rFonts w:hint="eastAsia" w:ascii="宋体" w:hAnsi="宋体" w:eastAsia="宋体" w:cs="宋体"/>
          <w:b/>
          <w:bCs/>
          <w:color w:val="000000"/>
          <w:sz w:val="24"/>
          <w:szCs w:val="22"/>
          <w:lang w:val="zh-CN"/>
        </w:rPr>
      </w:pPr>
    </w:p>
    <w:p>
      <w:pPr>
        <w:autoSpaceDE w:val="0"/>
        <w:autoSpaceDN w:val="0"/>
        <w:adjustRightInd w:val="0"/>
        <w:ind w:firstLine="1928" w:firstLineChars="800"/>
        <w:rPr>
          <w:rFonts w:hint="default" w:ascii="宋体" w:hAnsi="宋体" w:eastAsia="宋体" w:cs="宋体"/>
          <w:b/>
          <w:bCs/>
          <w:color w:val="000000"/>
          <w:sz w:val="28"/>
          <w:szCs w:val="28"/>
          <w:lang w:val="en-US" w:eastAsia="zh-CN"/>
        </w:rPr>
      </w:pPr>
      <w:r>
        <w:rPr>
          <w:rFonts w:hint="eastAsia" w:ascii="宋体" w:hAnsi="Times New Roman" w:eastAsia="宋体" w:cs="宋体"/>
          <w:b/>
          <w:bCs/>
          <w:color w:val="000000"/>
          <w:sz w:val="24"/>
          <w:highlight w:val="none"/>
          <w:lang w:val="zh-CN"/>
        </w:rPr>
        <w:t>甲方：</w:t>
      </w:r>
      <w:r>
        <w:rPr>
          <w:rFonts w:hint="eastAsia" w:ascii="宋体" w:cs="宋体"/>
          <w:b/>
          <w:bCs/>
          <w:color w:val="000000"/>
          <w:sz w:val="24"/>
          <w:highlight w:val="none"/>
          <w:lang w:val="zh-CN"/>
        </w:rPr>
        <w:t>中国人民银行征信中心</w:t>
      </w:r>
    </w:p>
    <w:p>
      <w:pPr>
        <w:autoSpaceDE w:val="0"/>
        <w:autoSpaceDN w:val="0"/>
        <w:adjustRightInd w:val="0"/>
        <w:jc w:val="center"/>
        <w:rPr>
          <w:rFonts w:hint="eastAsia" w:ascii="宋体" w:hAnsi="宋体" w:eastAsia="宋体" w:cs="宋体"/>
          <w:b/>
          <w:bCs/>
          <w:color w:val="000000"/>
          <w:sz w:val="28"/>
          <w:szCs w:val="28"/>
          <w:lang w:val="zh-CN"/>
        </w:rPr>
      </w:pPr>
    </w:p>
    <w:p>
      <w:pPr>
        <w:autoSpaceDE w:val="0"/>
        <w:autoSpaceDN w:val="0"/>
        <w:adjustRightInd w:val="0"/>
        <w:ind w:firstLine="1928" w:firstLineChars="800"/>
        <w:rPr>
          <w:rFonts w:hint="eastAsia" w:ascii="宋体" w:hAnsi="Times New Roman" w:eastAsia="宋体" w:cs="宋体"/>
          <w:b/>
          <w:bCs/>
          <w:color w:val="000000"/>
          <w:sz w:val="24"/>
          <w:highlight w:val="none"/>
          <w:lang w:val="zh-CN"/>
        </w:rPr>
      </w:pPr>
      <w:r>
        <w:rPr>
          <w:rFonts w:hint="eastAsia" w:ascii="宋体" w:hAnsi="Times New Roman" w:eastAsia="宋体" w:cs="宋体"/>
          <w:b/>
          <w:bCs/>
          <w:color w:val="000000"/>
          <w:sz w:val="24"/>
          <w:highlight w:val="none"/>
          <w:lang w:val="zh-CN"/>
        </w:rPr>
        <w:t>乙方：</w:t>
      </w:r>
      <w:r>
        <w:rPr>
          <w:rFonts w:hint="eastAsia" w:ascii="宋体" w:cs="宋体"/>
          <w:b/>
          <w:bCs/>
          <w:sz w:val="24"/>
          <w:lang w:val="zh-CN"/>
        </w:rPr>
        <w:t>奇安信网神信息技术（北京）股份有限公司</w:t>
      </w:r>
    </w:p>
    <w:p>
      <w:pPr>
        <w:autoSpaceDE w:val="0"/>
        <w:autoSpaceDN w:val="0"/>
        <w:adjustRightInd w:val="0"/>
        <w:ind w:left="420" w:hanging="420"/>
        <w:jc w:val="center"/>
        <w:rPr>
          <w:rFonts w:hint="eastAsia" w:ascii="宋体" w:hAnsi="宋体" w:eastAsia="宋体" w:cs="宋体"/>
          <w:b/>
          <w:bCs/>
          <w:color w:val="000000"/>
          <w:sz w:val="28"/>
          <w:szCs w:val="28"/>
          <w:lang w:val="zh-CN"/>
        </w:rPr>
      </w:pPr>
    </w:p>
    <w:p>
      <w:pPr>
        <w:autoSpaceDE w:val="0"/>
        <w:autoSpaceDN w:val="0"/>
        <w:adjustRightInd w:val="0"/>
        <w:ind w:left="420" w:hanging="420"/>
        <w:jc w:val="center"/>
        <w:rPr>
          <w:rFonts w:hint="eastAsia" w:ascii="宋体" w:hAnsi="宋体" w:eastAsia="宋体" w:cs="宋体"/>
          <w:b/>
          <w:bCs/>
          <w:color w:val="000000"/>
          <w:sz w:val="28"/>
          <w:szCs w:val="28"/>
          <w:lang w:val="zh-CN"/>
        </w:rPr>
      </w:pPr>
    </w:p>
    <w:p>
      <w:pPr>
        <w:autoSpaceDE w:val="0"/>
        <w:autoSpaceDN w:val="0"/>
        <w:adjustRightInd w:val="0"/>
        <w:ind w:left="420" w:hanging="420"/>
        <w:jc w:val="center"/>
        <w:rPr>
          <w:rFonts w:hint="eastAsia" w:ascii="宋体" w:hAnsi="宋体" w:eastAsia="宋体" w:cs="宋体"/>
          <w:b/>
          <w:bCs/>
          <w:color w:val="000000"/>
          <w:sz w:val="28"/>
          <w:szCs w:val="28"/>
          <w:lang w:val="zh-CN"/>
        </w:rPr>
      </w:pPr>
    </w:p>
    <w:p>
      <w:pPr>
        <w:widowControl/>
        <w:jc w:val="center"/>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二〇</w:t>
      </w:r>
      <w:r>
        <w:rPr>
          <w:rFonts w:hint="eastAsia" w:ascii="宋体" w:hAnsi="宋体" w:eastAsia="宋体" w:cs="宋体"/>
          <w:b/>
          <w:bCs/>
          <w:color w:val="000000"/>
          <w:sz w:val="24"/>
          <w:szCs w:val="24"/>
        </w:rPr>
        <w:t>二五</w:t>
      </w:r>
      <w:r>
        <w:rPr>
          <w:rFonts w:hint="eastAsia" w:ascii="宋体" w:hAnsi="宋体" w:eastAsia="宋体" w:cs="宋体"/>
          <w:b/>
          <w:bCs/>
          <w:color w:val="000000"/>
          <w:sz w:val="24"/>
          <w:szCs w:val="24"/>
          <w:lang w:val="zh-CN"/>
        </w:rPr>
        <w:t>年</w:t>
      </w:r>
      <w:r>
        <w:rPr>
          <w:rFonts w:hint="eastAsia" w:ascii="宋体" w:hAnsi="宋体" w:cs="宋体"/>
          <w:b/>
          <w:bCs/>
          <w:color w:val="000000"/>
          <w:sz w:val="24"/>
          <w:szCs w:val="24"/>
          <w:lang w:val="en-US" w:eastAsia="zh-CN"/>
        </w:rPr>
        <w:t>十二</w:t>
      </w:r>
      <w:r>
        <w:rPr>
          <w:rFonts w:hint="eastAsia" w:ascii="宋体" w:hAnsi="宋体" w:eastAsia="宋体" w:cs="宋体"/>
          <w:b/>
          <w:bCs/>
          <w:color w:val="000000"/>
          <w:sz w:val="24"/>
          <w:szCs w:val="24"/>
          <w:lang w:val="zh-CN"/>
        </w:rPr>
        <w:t>月</w:t>
      </w:r>
    </w:p>
    <w:p>
      <w:pPr>
        <w:jc w:val="center"/>
        <w:rPr>
          <w:rFonts w:hint="eastAsia" w:ascii="宋体" w:hAnsi="宋体" w:eastAsia="宋体" w:cs="宋体"/>
          <w:b/>
          <w:color w:val="000000"/>
          <w:sz w:val="24"/>
          <w:szCs w:val="24"/>
        </w:rPr>
      </w:pPr>
    </w:p>
    <w:p>
      <w:pPr>
        <w:jc w:val="center"/>
        <w:rPr>
          <w:rFonts w:hint="eastAsia" w:ascii="宋体" w:hAnsi="宋体" w:eastAsia="宋体" w:cs="宋体"/>
          <w:b/>
          <w:color w:val="000000"/>
          <w:sz w:val="24"/>
          <w:szCs w:val="24"/>
        </w:rPr>
      </w:pPr>
    </w:p>
    <w:p>
      <w:pPr>
        <w:jc w:val="center"/>
        <w:rPr>
          <w:rFonts w:hint="eastAsia" w:ascii="仿宋_GB2312" w:hAnsi="宋体" w:eastAsia="仿宋_GB2312"/>
          <w:b/>
          <w:color w:val="000000"/>
          <w:sz w:val="24"/>
          <w:szCs w:val="24"/>
        </w:rPr>
      </w:pPr>
      <w:r>
        <w:rPr>
          <w:rFonts w:hint="eastAsia" w:ascii="宋体" w:hAnsi="宋体" w:eastAsia="宋体" w:cs="宋体"/>
          <w:b/>
          <w:color w:val="000000"/>
          <w:sz w:val="24"/>
          <w:szCs w:val="24"/>
        </w:rPr>
        <w:t>签订地点：上海</w:t>
      </w:r>
    </w:p>
    <w:p>
      <w:pPr>
        <w:jc w:val="center"/>
        <w:rPr>
          <w:rFonts w:hint="eastAsia" w:ascii="仿宋_GB2312" w:hAnsi="Calibri" w:eastAsia="仿宋_GB2312"/>
          <w:b/>
          <w:bCs/>
          <w:color w:val="000000"/>
          <w:sz w:val="44"/>
          <w:szCs w:val="22"/>
        </w:rPr>
      </w:pPr>
      <w:r>
        <w:rPr>
          <w:rFonts w:hint="eastAsia" w:ascii="仿宋_GB2312" w:hAnsi="宋体" w:eastAsia="仿宋_GB2312"/>
          <w:b/>
          <w:color w:val="000000"/>
          <w:sz w:val="24"/>
          <w:szCs w:val="22"/>
        </w:rPr>
        <w:br w:type="page"/>
      </w:r>
    </w:p>
    <w:p>
      <w:pPr>
        <w:pStyle w:val="9"/>
        <w:spacing w:line="360" w:lineRule="auto"/>
        <w:rPr>
          <w:rFonts w:ascii="宋体" w:hAnsi="宋体"/>
          <w:b/>
          <w:bCs/>
          <w:sz w:val="24"/>
          <w:szCs w:val="24"/>
          <w:highlight w:val="none"/>
        </w:rPr>
      </w:pPr>
      <w:r>
        <w:rPr>
          <w:rFonts w:hint="eastAsia" w:ascii="宋体" w:hAnsi="宋体"/>
          <w:b/>
          <w:bCs/>
          <w:sz w:val="24"/>
          <w:szCs w:val="24"/>
          <w:highlight w:val="none"/>
        </w:rPr>
        <w:t>甲    方：中国人民银行征信中心</w:t>
      </w:r>
    </w:p>
    <w:p>
      <w:pPr>
        <w:pStyle w:val="9"/>
        <w:spacing w:line="360" w:lineRule="auto"/>
        <w:rPr>
          <w:rFonts w:ascii="宋体" w:hAnsi="宋体"/>
          <w:sz w:val="24"/>
          <w:szCs w:val="24"/>
          <w:highlight w:val="none"/>
        </w:rPr>
      </w:pPr>
      <w:r>
        <w:rPr>
          <w:rFonts w:hint="eastAsia" w:ascii="宋体" w:hAnsi="宋体"/>
          <w:sz w:val="24"/>
          <w:szCs w:val="24"/>
          <w:highlight w:val="none"/>
        </w:rPr>
        <w:t>法定代表人：</w:t>
      </w:r>
    </w:p>
    <w:p>
      <w:pPr>
        <w:pStyle w:val="9"/>
        <w:spacing w:line="360" w:lineRule="auto"/>
        <w:rPr>
          <w:rFonts w:ascii="宋体" w:hAnsi="宋体"/>
          <w:sz w:val="24"/>
          <w:szCs w:val="24"/>
          <w:highlight w:val="none"/>
        </w:rPr>
      </w:pPr>
      <w:r>
        <w:rPr>
          <w:rFonts w:hint="eastAsia" w:ascii="宋体" w:hAnsi="宋体"/>
          <w:sz w:val="24"/>
          <w:szCs w:val="24"/>
          <w:highlight w:val="none"/>
        </w:rPr>
        <w:t>地    址：</w:t>
      </w:r>
    </w:p>
    <w:p>
      <w:pPr>
        <w:pStyle w:val="9"/>
        <w:spacing w:line="360" w:lineRule="auto"/>
        <w:rPr>
          <w:rFonts w:ascii="宋体" w:hAnsi="宋体"/>
          <w:sz w:val="24"/>
          <w:szCs w:val="24"/>
          <w:highlight w:val="none"/>
        </w:rPr>
      </w:pPr>
      <w:r>
        <w:rPr>
          <w:rFonts w:hint="eastAsia" w:ascii="宋体" w:hAnsi="宋体"/>
          <w:sz w:val="24"/>
          <w:szCs w:val="24"/>
          <w:highlight w:val="none"/>
        </w:rPr>
        <w:t>邮政编码：</w:t>
      </w:r>
    </w:p>
    <w:p>
      <w:pPr>
        <w:pStyle w:val="9"/>
        <w:spacing w:line="360" w:lineRule="auto"/>
        <w:rPr>
          <w:rFonts w:ascii="宋体" w:hAnsi="宋体"/>
          <w:sz w:val="24"/>
          <w:szCs w:val="24"/>
          <w:highlight w:val="none"/>
        </w:rPr>
      </w:pPr>
      <w:r>
        <w:rPr>
          <w:rFonts w:hint="eastAsia" w:ascii="宋体" w:hAnsi="宋体"/>
          <w:sz w:val="24"/>
          <w:szCs w:val="24"/>
          <w:highlight w:val="none"/>
        </w:rPr>
        <w:t>联 系 人：</w:t>
      </w:r>
    </w:p>
    <w:p>
      <w:pPr>
        <w:pStyle w:val="9"/>
        <w:spacing w:line="360" w:lineRule="auto"/>
        <w:rPr>
          <w:rFonts w:ascii="宋体" w:hAnsi="宋体"/>
          <w:sz w:val="24"/>
          <w:szCs w:val="24"/>
          <w:highlight w:val="none"/>
        </w:rPr>
      </w:pPr>
      <w:r>
        <w:rPr>
          <w:rFonts w:hint="eastAsia" w:ascii="宋体" w:hAnsi="宋体"/>
          <w:sz w:val="24"/>
          <w:szCs w:val="24"/>
          <w:highlight w:val="none"/>
        </w:rPr>
        <w:t>联系电话：</w:t>
      </w:r>
    </w:p>
    <w:p>
      <w:pPr>
        <w:pStyle w:val="9"/>
        <w:spacing w:line="360" w:lineRule="auto"/>
        <w:rPr>
          <w:rFonts w:ascii="宋体" w:hAnsi="宋体"/>
          <w:sz w:val="24"/>
          <w:szCs w:val="24"/>
          <w:highlight w:val="none"/>
        </w:rPr>
      </w:pPr>
      <w:r>
        <w:rPr>
          <w:rFonts w:hint="eastAsia" w:ascii="宋体" w:hAnsi="宋体"/>
          <w:sz w:val="24"/>
          <w:szCs w:val="24"/>
          <w:highlight w:val="none"/>
        </w:rPr>
        <w:t>传真号码：</w:t>
      </w:r>
    </w:p>
    <w:p>
      <w:pPr>
        <w:pStyle w:val="9"/>
        <w:spacing w:line="360" w:lineRule="auto"/>
        <w:rPr>
          <w:rFonts w:ascii="宋体" w:hAnsi="宋体"/>
          <w:sz w:val="24"/>
          <w:szCs w:val="24"/>
          <w:highlight w:val="none"/>
        </w:rPr>
      </w:pPr>
      <w:r>
        <w:rPr>
          <w:rFonts w:hint="eastAsia" w:ascii="宋体" w:hAnsi="宋体"/>
          <w:sz w:val="24"/>
          <w:szCs w:val="24"/>
          <w:highlight w:val="none"/>
        </w:rPr>
        <w:t>开户银行：</w:t>
      </w:r>
    </w:p>
    <w:p>
      <w:pPr>
        <w:pStyle w:val="9"/>
        <w:spacing w:line="360" w:lineRule="auto"/>
        <w:rPr>
          <w:rFonts w:ascii="宋体" w:hAnsi="宋体"/>
          <w:sz w:val="24"/>
          <w:szCs w:val="24"/>
          <w:highlight w:val="none"/>
        </w:rPr>
      </w:pPr>
      <w:r>
        <w:rPr>
          <w:rFonts w:hint="eastAsia" w:ascii="宋体" w:hAnsi="宋体"/>
          <w:sz w:val="24"/>
          <w:szCs w:val="24"/>
          <w:highlight w:val="none"/>
        </w:rPr>
        <w:t>银行账号：</w:t>
      </w:r>
    </w:p>
    <w:p>
      <w:pPr>
        <w:spacing w:line="360" w:lineRule="auto"/>
        <w:rPr>
          <w:rFonts w:hint="eastAsia" w:ascii="宋体" w:hAnsi="宋体" w:eastAsia="宋体" w:cs="宋体"/>
          <w:b/>
          <w:sz w:val="24"/>
          <w:szCs w:val="24"/>
        </w:rPr>
      </w:pPr>
    </w:p>
    <w:p>
      <w:pPr>
        <w:spacing w:line="360" w:lineRule="auto"/>
        <w:rPr>
          <w:rFonts w:hint="eastAsia" w:ascii="宋体" w:hAnsi="宋体" w:eastAsia="宋体" w:cs="宋体"/>
          <w:b/>
          <w:sz w:val="24"/>
          <w:szCs w:val="24"/>
        </w:rPr>
      </w:pPr>
    </w:p>
    <w:p>
      <w:pPr>
        <w:spacing w:line="360" w:lineRule="auto"/>
        <w:rPr>
          <w:rFonts w:hint="eastAsia" w:ascii="宋体" w:hAnsi="宋体" w:eastAsia="宋体" w:cs="宋体"/>
          <w:b/>
          <w:sz w:val="24"/>
          <w:szCs w:val="24"/>
        </w:rPr>
      </w:pPr>
    </w:p>
    <w:p>
      <w:pPr>
        <w:widowControl/>
        <w:spacing w:line="360" w:lineRule="auto"/>
        <w:rPr>
          <w:rFonts w:hint="eastAsia" w:ascii="宋体" w:hAnsi="宋体" w:eastAsia="宋体" w:cs="宋体"/>
          <w:b/>
          <w:bCs/>
          <w:sz w:val="24"/>
          <w:szCs w:val="24"/>
        </w:rPr>
      </w:pPr>
      <w:r>
        <w:rPr>
          <w:rFonts w:hint="eastAsia" w:ascii="宋体" w:hAnsi="宋体" w:eastAsia="宋体" w:cs="宋体"/>
          <w:b/>
          <w:bCs/>
          <w:sz w:val="24"/>
          <w:szCs w:val="24"/>
        </w:rPr>
        <w:t>乙方：</w:t>
      </w:r>
      <w:r>
        <w:rPr>
          <w:rFonts w:hint="eastAsia" w:ascii="宋体" w:hAnsi="宋体"/>
          <w:b/>
          <w:bCs/>
          <w:sz w:val="24"/>
          <w:szCs w:val="24"/>
        </w:rPr>
        <w:t>奇安信网神信息技术（北京）股份有限公司</w:t>
      </w:r>
    </w:p>
    <w:p>
      <w:pPr>
        <w:pStyle w:val="9"/>
        <w:spacing w:line="360" w:lineRule="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 xml:space="preserve">法定代表人： </w:t>
      </w:r>
    </w:p>
    <w:p>
      <w:pPr>
        <w:pStyle w:val="9"/>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地    址：</w:t>
      </w:r>
    </w:p>
    <w:p>
      <w:pPr>
        <w:pStyle w:val="9"/>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邮政编码：</w:t>
      </w:r>
    </w:p>
    <w:p>
      <w:pPr>
        <w:pStyle w:val="9"/>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联 系 人：</w:t>
      </w:r>
    </w:p>
    <w:p>
      <w:pPr>
        <w:pStyle w:val="9"/>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联系电话：</w:t>
      </w:r>
    </w:p>
    <w:p>
      <w:pPr>
        <w:pStyle w:val="9"/>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传真号码：</w:t>
      </w:r>
    </w:p>
    <w:p>
      <w:pPr>
        <w:pStyle w:val="9"/>
        <w:spacing w:line="360" w:lineRule="auto"/>
        <w:rPr>
          <w:rFonts w:hint="eastAsia" w:ascii="宋体" w:hAnsi="宋体"/>
          <w:sz w:val="24"/>
          <w:szCs w:val="24"/>
          <w:highlight w:val="none"/>
        </w:rPr>
      </w:pPr>
      <w:r>
        <w:rPr>
          <w:rFonts w:hint="eastAsia" w:ascii="宋体" w:hAnsi="宋体" w:eastAsia="宋体" w:cs="Times New Roman"/>
          <w:sz w:val="24"/>
          <w:szCs w:val="24"/>
          <w:highlight w:val="none"/>
        </w:rPr>
        <w:t>开户银行：</w:t>
      </w:r>
    </w:p>
    <w:p>
      <w:pPr>
        <w:pStyle w:val="9"/>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银行账号：</w:t>
      </w:r>
    </w:p>
    <w:p>
      <w:pPr>
        <w:pStyle w:val="9"/>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税    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sz w:val="24"/>
          <w:szCs w:val="24"/>
        </w:rPr>
        <w:br w:type="page"/>
      </w:r>
      <w:r>
        <w:rPr>
          <w:rFonts w:hint="eastAsia" w:ascii="宋体" w:hAnsi="宋体" w:eastAsia="宋体" w:cs="宋体"/>
          <w:color w:val="000000"/>
          <w:sz w:val="24"/>
          <w:szCs w:val="24"/>
        </w:rPr>
        <w:t>甲乙双方依据“2026年奇安信软硬件设备维保服务采购项目（项目编号：TC25050EC）谈判结果，本着自愿、平等、互利、诚实信用的原则，通过友好协商，现授权各自代表按照下述条款签署本合同。</w:t>
      </w:r>
    </w:p>
    <w:p>
      <w:pPr>
        <w:spacing w:before="156" w:beforeLines="50" w:line="360" w:lineRule="auto"/>
        <w:jc w:val="center"/>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第一部分合同的组成</w:t>
      </w:r>
    </w:p>
    <w:p>
      <w:pPr>
        <w:autoSpaceDE w:val="0"/>
        <w:autoSpaceDN w:val="0"/>
        <w:adjustRightInd w:val="0"/>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1.1</w:t>
      </w:r>
      <w:r>
        <w:rPr>
          <w:rFonts w:hint="eastAsia" w:ascii="宋体" w:hAnsi="宋体" w:eastAsia="宋体" w:cs="宋体"/>
          <w:sz w:val="24"/>
          <w:szCs w:val="24"/>
          <w:lang w:val="zh-CN"/>
        </w:rPr>
        <w:t>下述文件是构成本合同不可分割的部分</w:t>
      </w:r>
      <w:r>
        <w:rPr>
          <w:rFonts w:hint="eastAsia" w:ascii="宋体" w:hAnsi="宋体" w:eastAsia="宋体" w:cs="宋体"/>
          <w:sz w:val="24"/>
          <w:szCs w:val="24"/>
        </w:rPr>
        <w:t>:</w:t>
      </w:r>
    </w:p>
    <w:p>
      <w:pPr>
        <w:autoSpaceDE w:val="0"/>
        <w:autoSpaceDN w:val="0"/>
        <w:adjustRightInd w:val="0"/>
        <w:spacing w:line="360" w:lineRule="auto"/>
        <w:ind w:left="480"/>
        <w:rPr>
          <w:rFonts w:hint="eastAsia" w:ascii="宋体" w:hAnsi="宋体" w:eastAsia="宋体" w:cs="宋体"/>
          <w:sz w:val="24"/>
          <w:szCs w:val="24"/>
          <w:lang w:val="zh-CN"/>
        </w:rPr>
      </w:pPr>
      <w:r>
        <w:rPr>
          <w:rFonts w:hint="eastAsia" w:ascii="宋体" w:hAnsi="宋体" w:eastAsia="宋体" w:cs="宋体"/>
          <w:sz w:val="24"/>
          <w:szCs w:val="24"/>
          <w:lang w:val="zh-CN"/>
        </w:rPr>
        <w:t>（1）本合同条款及其所有附件；</w:t>
      </w:r>
    </w:p>
    <w:p>
      <w:pPr>
        <w:autoSpaceDE w:val="0"/>
        <w:autoSpaceDN w:val="0"/>
        <w:adjustRightInd w:val="0"/>
        <w:spacing w:line="360" w:lineRule="auto"/>
        <w:ind w:firstLine="480"/>
        <w:jc w:val="left"/>
        <w:rPr>
          <w:rFonts w:hint="eastAsia" w:ascii="宋体" w:hAnsi="宋体" w:eastAsia="宋体" w:cs="宋体"/>
          <w:sz w:val="24"/>
          <w:szCs w:val="24"/>
          <w:lang w:val="zh-CN"/>
        </w:rPr>
      </w:pPr>
      <w:r>
        <w:rPr>
          <w:rFonts w:hint="eastAsia" w:ascii="宋体" w:hAnsi="宋体" w:eastAsia="宋体" w:cs="宋体"/>
          <w:sz w:val="24"/>
          <w:szCs w:val="24"/>
          <w:lang w:val="zh-CN"/>
        </w:rPr>
        <w:t>（2）甲方的谈判文件及澄清文件；</w:t>
      </w:r>
    </w:p>
    <w:p>
      <w:pPr>
        <w:autoSpaceDE w:val="0"/>
        <w:autoSpaceDN w:val="0"/>
        <w:adjustRightInd w:val="0"/>
        <w:spacing w:line="360" w:lineRule="auto"/>
        <w:ind w:firstLine="480"/>
        <w:jc w:val="left"/>
        <w:rPr>
          <w:rFonts w:hint="eastAsia" w:ascii="宋体" w:hAnsi="宋体" w:eastAsia="宋体" w:cs="宋体"/>
          <w:sz w:val="24"/>
          <w:szCs w:val="24"/>
          <w:lang w:val="zh-CN"/>
        </w:rPr>
      </w:pPr>
      <w:r>
        <w:rPr>
          <w:rFonts w:hint="eastAsia" w:ascii="宋体" w:hAnsi="宋体" w:eastAsia="宋体" w:cs="宋体"/>
          <w:sz w:val="24"/>
          <w:szCs w:val="24"/>
          <w:lang w:val="zh-CN"/>
        </w:rPr>
        <w:t>（3）乙方的响应文件及质疑解答文件；</w:t>
      </w:r>
    </w:p>
    <w:p>
      <w:pPr>
        <w:autoSpaceDE w:val="0"/>
        <w:autoSpaceDN w:val="0"/>
        <w:adjustRightInd w:val="0"/>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（4）成交通知书；</w:t>
      </w:r>
    </w:p>
    <w:p>
      <w:pPr>
        <w:autoSpaceDE w:val="0"/>
        <w:autoSpaceDN w:val="0"/>
        <w:adjustRightInd w:val="0"/>
        <w:spacing w:line="360" w:lineRule="auto"/>
        <w:ind w:firstLine="480"/>
        <w:rPr>
          <w:rFonts w:hint="eastAsia" w:ascii="宋体" w:hAnsi="宋体" w:eastAsia="宋体" w:cs="宋体"/>
          <w:sz w:val="24"/>
          <w:szCs w:val="24"/>
          <w:lang w:val="zh-CN"/>
        </w:rPr>
      </w:pPr>
      <w:r>
        <w:rPr>
          <w:rFonts w:hint="eastAsia" w:ascii="宋体" w:hAnsi="宋体" w:eastAsia="宋体" w:cs="宋体"/>
          <w:sz w:val="24"/>
          <w:szCs w:val="24"/>
          <w:lang w:val="zh-CN"/>
        </w:rPr>
        <w:t>（5）法定代表人授权书；</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（6）双方与合同有关的往来信函、传真,经双方法定代表人或其授权代表签字并加盖单位公章确认后,视为本合同的组成部分；</w:t>
      </w:r>
    </w:p>
    <w:p>
      <w:pPr>
        <w:autoSpaceDE w:val="0"/>
        <w:autoSpaceDN w:val="0"/>
        <w:adjustRightInd w:val="0"/>
        <w:spacing w:line="360" w:lineRule="auto"/>
        <w:ind w:firstLine="480"/>
        <w:rPr>
          <w:rFonts w:hint="eastAsia" w:ascii="宋体" w:hAnsi="宋体" w:eastAsia="宋体" w:cs="宋体"/>
          <w:sz w:val="24"/>
          <w:szCs w:val="24"/>
          <w:lang w:val="zh-CN"/>
        </w:rPr>
      </w:pPr>
      <w:r>
        <w:rPr>
          <w:rFonts w:hint="eastAsia" w:ascii="宋体" w:hAnsi="宋体" w:eastAsia="宋体" w:cs="宋体"/>
          <w:color w:val="000000"/>
          <w:sz w:val="24"/>
          <w:szCs w:val="24"/>
        </w:rPr>
        <w:t>（7）经双方法定代表人或其授权代表签字并加盖单位公章或合同专用章确认的补充协议。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1.2 如果乙方的响应文件及质疑解答文件内容违背或低于甲方谈判文件要求或任何可能导致影响当次采购目的的情形，均应当被视为乙方自动放弃响应文件及质疑解答文件中相应部分而同意以谈判文件相应内容为准。如果乙方的响应文件及质疑解答文件内容高于甲方谈判文件要求，则以乙方的响应文件及质疑解答文件内容为准。如果合同条款与合同附件有矛盾之处，以合同条款内容为准。</w:t>
      </w:r>
      <w:r>
        <w:rPr>
          <w:rFonts w:hint="eastAsia" w:ascii="宋体" w:hAnsi="宋体" w:eastAsia="宋体" w:cs="宋体"/>
          <w:sz w:val="24"/>
          <w:szCs w:val="24"/>
        </w:rPr>
        <w:t>如果合同附件之间有矛盾之处，以有利于甲方的附件内容为准。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spacing w:before="156" w:beforeLines="50" w:line="360" w:lineRule="auto"/>
        <w:jc w:val="center"/>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第二部分服务内容及方式</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2.1服务内容：本合同的服务内容为下表所列设备/软件的维保服务。</w:t>
      </w:r>
    </w:p>
    <w:tbl>
      <w:tblPr>
        <w:tblStyle w:val="7"/>
        <w:tblW w:w="9704" w:type="dxa"/>
        <w:jc w:val="center"/>
        <w:tblLayout w:type="fixed"/>
        <w:tblCellMar>
          <w:top w:w="0" w:type="dxa"/>
          <w:left w:w="108" w:type="dxa"/>
          <w:bottom w:w="0" w:type="dxa"/>
          <w:right w:w="108" w:type="dxa"/>
        </w:tblCellMar>
      </w:tblPr>
      <w:tblGrid>
        <w:gridCol w:w="542"/>
        <w:gridCol w:w="473"/>
        <w:gridCol w:w="820"/>
        <w:gridCol w:w="877"/>
        <w:gridCol w:w="992"/>
        <w:gridCol w:w="969"/>
        <w:gridCol w:w="727"/>
        <w:gridCol w:w="554"/>
        <w:gridCol w:w="1015"/>
        <w:gridCol w:w="923"/>
        <w:gridCol w:w="866"/>
        <w:gridCol w:w="946"/>
      </w:tblGrid>
      <w:tr>
        <w:tblPrEx>
          <w:tblCellMar>
            <w:top w:w="0" w:type="dxa"/>
            <w:left w:w="108" w:type="dxa"/>
            <w:bottom w:w="0" w:type="dxa"/>
            <w:right w:w="108" w:type="dxa"/>
          </w:tblCellMar>
        </w:tblPrEx>
        <w:trPr>
          <w:trHeight w:val="1000" w:hRule="atLeast"/>
          <w:jc w:val="center"/>
        </w:trPr>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spacing w:line="0" w:lineRule="atLeas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品牌</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设备类型</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设备名称</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型号</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产品</w:t>
            </w:r>
          </w:p>
          <w:p>
            <w:pPr>
              <w:widowControl/>
              <w:spacing w:line="0" w:lineRule="atLeas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编号</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数量</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单位</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服务所在地</w:t>
            </w: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维保起始日期</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维保截止日期</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0" w:lineRule="atLeast"/>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维护服务级别</w:t>
            </w:r>
          </w:p>
        </w:tc>
      </w:tr>
      <w:tr>
        <w:tblPrEx>
          <w:tblCellMar>
            <w:top w:w="0" w:type="dxa"/>
            <w:left w:w="108" w:type="dxa"/>
            <w:bottom w:w="0" w:type="dxa"/>
            <w:right w:w="108" w:type="dxa"/>
          </w:tblCellMar>
        </w:tblPrEx>
        <w:trPr>
          <w:trHeight w:val="800" w:hRule="atLeast"/>
          <w:jc w:val="center"/>
        </w:trPr>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473"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奇安信</w:t>
            </w:r>
          </w:p>
        </w:tc>
        <w:tc>
          <w:tcPr>
            <w:tcW w:w="8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安全管理</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堡垒机</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C6100-BH-TF40M</w:t>
            </w:r>
          </w:p>
        </w:tc>
        <w:tc>
          <w:tcPr>
            <w:tcW w:w="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DD10000061</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15" w:type="dxa"/>
            <w:vMerge w:val="restart"/>
            <w:tcBorders>
              <w:top w:val="single" w:color="000000" w:sz="4" w:space="0"/>
              <w:left w:val="single" w:color="000000" w:sz="4" w:space="0"/>
              <w:right w:val="single" w:color="000000" w:sz="4" w:space="0"/>
            </w:tcBorders>
            <w:noWrap/>
            <w:vAlign w:val="center"/>
          </w:tcPr>
          <w:p>
            <w:pPr>
              <w:rPr>
                <w:rFonts w:hint="eastAsia" w:ascii="宋体" w:hAnsi="宋体" w:eastAsia="宋体" w:cs="宋体"/>
                <w:sz w:val="24"/>
                <w:szCs w:val="24"/>
              </w:rPr>
            </w:pPr>
            <w:r>
              <w:rPr>
                <w:rFonts w:hint="eastAsia" w:ascii="宋体" w:hAnsi="宋体" w:eastAsia="宋体" w:cs="宋体"/>
                <w:color w:val="000000"/>
                <w:kern w:val="0"/>
                <w:sz w:val="24"/>
                <w:szCs w:val="24"/>
                <w:lang w:bidi="ar"/>
              </w:rPr>
              <w:t>上海</w:t>
            </w:r>
            <w:r>
              <w:rPr>
                <w:rFonts w:hint="eastAsia" w:ascii="宋体" w:hAnsi="宋体" w:eastAsia="宋体" w:cs="宋体"/>
                <w:kern w:val="0"/>
                <w:sz w:val="24"/>
                <w:szCs w:val="24"/>
              </w:rPr>
              <w:t>(浦东新区)</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widowControl/>
              <w:jc w:val="center"/>
              <w:textAlignment w:val="center"/>
              <w:rPr>
                <w:rFonts w:hint="eastAsia" w:ascii="宋体" w:hAnsi="宋体" w:eastAsia="宋体" w:cs="宋体"/>
                <w:color w:val="000000"/>
                <w:sz w:val="24"/>
                <w:szCs w:val="24"/>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2026/12/31</w:t>
            </w:r>
          </w:p>
        </w:tc>
        <w:tc>
          <w:tcPr>
            <w:tcW w:w="94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原厂</w:t>
            </w:r>
          </w:p>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服务</w:t>
            </w:r>
          </w:p>
        </w:tc>
      </w:tr>
      <w:tr>
        <w:tblPrEx>
          <w:tblCellMar>
            <w:top w:w="0" w:type="dxa"/>
            <w:left w:w="108" w:type="dxa"/>
            <w:bottom w:w="0" w:type="dxa"/>
            <w:right w:w="108" w:type="dxa"/>
          </w:tblCellMar>
        </w:tblPrEx>
        <w:trPr>
          <w:trHeight w:val="800" w:hRule="atLeast"/>
          <w:jc w:val="center"/>
        </w:trPr>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4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安全管理</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堡垒机</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C6100-BH-TF40M</w:t>
            </w:r>
          </w:p>
        </w:tc>
        <w:tc>
          <w:tcPr>
            <w:tcW w:w="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DD10000062</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1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800" w:hRule="atLeast"/>
          <w:jc w:val="center"/>
        </w:trPr>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4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安全管理</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堡垒机</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C6100-BH-TF40M</w:t>
            </w:r>
          </w:p>
        </w:tc>
        <w:tc>
          <w:tcPr>
            <w:tcW w:w="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DD10000063</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1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800" w:hRule="atLeast"/>
          <w:jc w:val="center"/>
        </w:trPr>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4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安全管理</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堡垒机</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C6100-BH-TF40M</w:t>
            </w:r>
          </w:p>
        </w:tc>
        <w:tc>
          <w:tcPr>
            <w:tcW w:w="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DD10000064</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1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800" w:hRule="atLeast"/>
          <w:jc w:val="center"/>
        </w:trPr>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4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安全管理</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堡垒机</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C6100-BH-TF40M</w:t>
            </w:r>
          </w:p>
        </w:tc>
        <w:tc>
          <w:tcPr>
            <w:tcW w:w="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DD30000019</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1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800" w:hRule="atLeast"/>
          <w:jc w:val="center"/>
        </w:trPr>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4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网络监测与控制</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新一代威胁感知系统</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TSS10000-A58E/TSS10000-S56</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AL20000181</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AL12000640</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1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800" w:hRule="atLeast"/>
          <w:jc w:val="center"/>
        </w:trPr>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4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网络监测与控制</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新一代威胁感知系统</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TSS10000-A58E/TSS10000-S56</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AL20000179</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AL12000634</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1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800" w:hRule="atLeast"/>
          <w:jc w:val="center"/>
        </w:trPr>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4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风险评估与处置</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网络空间测绘系统</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NGSOC-NDDS-NAMS-300H</w:t>
            </w:r>
          </w:p>
        </w:tc>
        <w:tc>
          <w:tcPr>
            <w:tcW w:w="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DD10000322</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1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800" w:hRule="atLeast"/>
          <w:jc w:val="center"/>
        </w:trPr>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4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风险评估与处置</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违规外联稽查系统</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TY-TSS10000-M5000-PA-02</w:t>
            </w:r>
          </w:p>
        </w:tc>
        <w:tc>
          <w:tcPr>
            <w:tcW w:w="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DD10000321</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15"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800" w:hRule="atLeast"/>
          <w:jc w:val="center"/>
        </w:trPr>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4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综合审计</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日志审计系统</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LAS-R56M</w:t>
            </w:r>
          </w:p>
        </w:tc>
        <w:tc>
          <w:tcPr>
            <w:tcW w:w="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BK22000571</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15" w:type="dxa"/>
            <w:vMerge w:val="restart"/>
            <w:tcBorders>
              <w:top w:val="single" w:color="000000" w:sz="4" w:space="0"/>
              <w:left w:val="single" w:color="000000" w:sz="4" w:space="0"/>
              <w:right w:val="single" w:color="000000" w:sz="4" w:space="0"/>
            </w:tcBorders>
            <w:noWrap/>
            <w:vAlign w:val="center"/>
          </w:tcPr>
          <w:p>
            <w:pPr>
              <w:rPr>
                <w:rFonts w:hint="eastAsia" w:ascii="宋体" w:hAnsi="宋体" w:eastAsia="宋体" w:cs="宋体"/>
                <w:sz w:val="24"/>
                <w:szCs w:val="24"/>
              </w:rPr>
            </w:pPr>
            <w:r>
              <w:rPr>
                <w:rFonts w:hint="eastAsia" w:ascii="宋体" w:hAnsi="宋体" w:eastAsia="宋体" w:cs="宋体"/>
                <w:color w:val="000000"/>
                <w:kern w:val="0"/>
                <w:sz w:val="24"/>
                <w:szCs w:val="24"/>
                <w:lang w:bidi="ar"/>
              </w:rPr>
              <w:t>天津</w:t>
            </w:r>
          </w:p>
          <w:p>
            <w:pPr>
              <w:widowControl/>
              <w:jc w:val="center"/>
              <w:textAlignment w:val="center"/>
              <w:rPr>
                <w:rFonts w:hint="eastAsia" w:ascii="宋体" w:hAnsi="宋体" w:eastAsia="宋体" w:cs="宋体"/>
                <w:color w:val="000000"/>
                <w:sz w:val="24"/>
                <w:szCs w:val="24"/>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800" w:hRule="atLeast"/>
          <w:jc w:val="center"/>
        </w:trPr>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4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综合审计</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日志审计系统</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LAS-R56M</w:t>
            </w:r>
          </w:p>
        </w:tc>
        <w:tc>
          <w:tcPr>
            <w:tcW w:w="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BK22000572</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15"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800" w:hRule="atLeast"/>
          <w:jc w:val="center"/>
        </w:trPr>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4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综合审计</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日志审计系统</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LAS-R53M</w:t>
            </w:r>
          </w:p>
        </w:tc>
        <w:tc>
          <w:tcPr>
            <w:tcW w:w="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DC38001389</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15" w:type="dxa"/>
            <w:vMerge w:val="restart"/>
            <w:tcBorders>
              <w:top w:val="single" w:color="000000" w:sz="4" w:space="0"/>
              <w:left w:val="single" w:color="000000" w:sz="4" w:space="0"/>
              <w:right w:val="single" w:color="000000" w:sz="4" w:space="0"/>
            </w:tcBorders>
            <w:noWrap/>
            <w:vAlign w:val="center"/>
          </w:tcPr>
          <w:p>
            <w:pPr>
              <w:rPr>
                <w:rFonts w:hint="eastAsia" w:ascii="宋体" w:hAnsi="宋体" w:eastAsia="宋体" w:cs="宋体"/>
                <w:sz w:val="24"/>
                <w:szCs w:val="24"/>
              </w:rPr>
            </w:pPr>
            <w:r>
              <w:rPr>
                <w:rFonts w:hint="eastAsia" w:ascii="宋体" w:hAnsi="宋体" w:eastAsia="宋体" w:cs="宋体"/>
                <w:color w:val="000000"/>
                <w:kern w:val="0"/>
                <w:sz w:val="24"/>
                <w:szCs w:val="24"/>
                <w:lang w:bidi="ar"/>
              </w:rPr>
              <w:t>上海</w:t>
            </w:r>
            <w:r>
              <w:rPr>
                <w:rFonts w:hint="eastAsia" w:ascii="宋体" w:hAnsi="宋体" w:eastAsia="宋体" w:cs="宋体"/>
                <w:kern w:val="0"/>
                <w:sz w:val="24"/>
                <w:szCs w:val="24"/>
              </w:rPr>
              <w:t>(浦东新区)</w:t>
            </w:r>
          </w:p>
          <w:p>
            <w:pPr>
              <w:widowControl/>
              <w:jc w:val="center"/>
              <w:textAlignment w:val="center"/>
              <w:rPr>
                <w:rFonts w:hint="eastAsia" w:ascii="宋体" w:hAnsi="宋体" w:eastAsia="宋体" w:cs="宋体"/>
                <w:color w:val="000000"/>
                <w:sz w:val="24"/>
                <w:szCs w:val="24"/>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800" w:hRule="atLeast"/>
          <w:jc w:val="center"/>
        </w:trPr>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4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综合审计</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日志审计系统</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LAS-R53M</w:t>
            </w:r>
          </w:p>
        </w:tc>
        <w:tc>
          <w:tcPr>
            <w:tcW w:w="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DC38001388</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15"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800" w:hRule="atLeast"/>
          <w:jc w:val="center"/>
        </w:trPr>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26</w:t>
            </w:r>
          </w:p>
        </w:tc>
        <w:tc>
          <w:tcPr>
            <w:tcW w:w="4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隔离</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安全隔离与信息交换系统</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SecSIS 3600</w:t>
            </w:r>
          </w:p>
        </w:tc>
        <w:tc>
          <w:tcPr>
            <w:tcW w:w="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BC34000052 </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15" w:type="dxa"/>
            <w:vMerge w:val="restart"/>
            <w:tcBorders>
              <w:top w:val="single" w:color="000000" w:sz="4" w:space="0"/>
              <w:left w:val="single" w:color="000000" w:sz="4" w:space="0"/>
              <w:right w:val="single" w:color="000000" w:sz="4" w:space="0"/>
            </w:tcBorders>
            <w:noWrap/>
            <w:vAlign w:val="center"/>
          </w:tcPr>
          <w:p>
            <w:pPr>
              <w:rPr>
                <w:rFonts w:hint="eastAsia" w:ascii="宋体" w:hAnsi="宋体" w:eastAsia="宋体" w:cs="宋体"/>
                <w:sz w:val="24"/>
                <w:szCs w:val="24"/>
              </w:rPr>
            </w:pPr>
            <w:r>
              <w:rPr>
                <w:rFonts w:hint="eastAsia" w:ascii="宋体" w:hAnsi="宋体" w:eastAsia="宋体" w:cs="宋体"/>
                <w:color w:val="000000"/>
                <w:kern w:val="0"/>
                <w:sz w:val="24"/>
                <w:szCs w:val="24"/>
                <w:lang w:bidi="ar"/>
              </w:rPr>
              <w:t>天津</w:t>
            </w:r>
          </w:p>
          <w:p>
            <w:pPr>
              <w:widowControl/>
              <w:jc w:val="center"/>
              <w:textAlignment w:val="center"/>
              <w:rPr>
                <w:rFonts w:hint="eastAsia" w:ascii="宋体" w:hAnsi="宋体" w:eastAsia="宋体" w:cs="宋体"/>
                <w:color w:val="000000"/>
                <w:sz w:val="24"/>
                <w:szCs w:val="24"/>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800" w:hRule="atLeast"/>
          <w:jc w:val="center"/>
        </w:trPr>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27</w:t>
            </w:r>
          </w:p>
        </w:tc>
        <w:tc>
          <w:tcPr>
            <w:tcW w:w="4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隔离</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安全隔离与信息交换系统</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SecSIS 3600</w:t>
            </w:r>
          </w:p>
        </w:tc>
        <w:tc>
          <w:tcPr>
            <w:tcW w:w="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BD13000174</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15"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800" w:hRule="atLeast"/>
          <w:jc w:val="center"/>
        </w:trPr>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w:t>
            </w:r>
          </w:p>
        </w:tc>
        <w:tc>
          <w:tcPr>
            <w:tcW w:w="4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入侵防范</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抗拒绝服务系统</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F10000-U011M</w:t>
            </w:r>
          </w:p>
        </w:tc>
        <w:tc>
          <w:tcPr>
            <w:tcW w:w="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DG14001102</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15" w:type="dxa"/>
            <w:vMerge w:val="restart"/>
            <w:tcBorders>
              <w:top w:val="single" w:color="000000" w:sz="4" w:space="0"/>
              <w:left w:val="single" w:color="000000" w:sz="4" w:space="0"/>
              <w:right w:val="single" w:color="000000" w:sz="4" w:space="0"/>
            </w:tcBorders>
            <w:noWrap/>
            <w:vAlign w:val="center"/>
          </w:tcPr>
          <w:p>
            <w:pPr>
              <w:rPr>
                <w:rFonts w:hint="eastAsia" w:ascii="宋体" w:hAnsi="宋体" w:eastAsia="宋体" w:cs="宋体"/>
                <w:sz w:val="24"/>
                <w:szCs w:val="24"/>
              </w:rPr>
            </w:pPr>
            <w:r>
              <w:rPr>
                <w:rFonts w:hint="eastAsia" w:ascii="宋体" w:hAnsi="宋体" w:eastAsia="宋体" w:cs="宋体"/>
                <w:color w:val="000000"/>
                <w:kern w:val="0"/>
                <w:sz w:val="24"/>
                <w:szCs w:val="24"/>
                <w:lang w:bidi="ar"/>
              </w:rPr>
              <w:t>上海</w:t>
            </w:r>
            <w:r>
              <w:rPr>
                <w:rFonts w:hint="eastAsia" w:ascii="宋体" w:hAnsi="宋体" w:eastAsia="宋体" w:cs="宋体"/>
                <w:kern w:val="0"/>
                <w:sz w:val="24"/>
                <w:szCs w:val="24"/>
              </w:rPr>
              <w:t>(浦东新区)</w:t>
            </w:r>
          </w:p>
          <w:p>
            <w:pPr>
              <w:widowControl/>
              <w:jc w:val="center"/>
              <w:textAlignment w:val="center"/>
              <w:rPr>
                <w:rFonts w:hint="eastAsia" w:ascii="宋体" w:hAnsi="宋体" w:eastAsia="宋体" w:cs="宋体"/>
                <w:color w:val="000000"/>
                <w:sz w:val="24"/>
                <w:szCs w:val="24"/>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800" w:hRule="atLeast"/>
          <w:jc w:val="center"/>
        </w:trPr>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4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网关</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安全接入网关系统</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X10000-TV21M</w:t>
            </w:r>
          </w:p>
        </w:tc>
        <w:tc>
          <w:tcPr>
            <w:tcW w:w="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DF30000256</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15" w:type="dxa"/>
            <w:vMerge w:val="continue"/>
            <w:tcBorders>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800" w:hRule="atLeast"/>
          <w:jc w:val="center"/>
        </w:trPr>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4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网关</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VPN安全网关系统</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NSV1200-J4KM</w:t>
            </w:r>
          </w:p>
        </w:tc>
        <w:tc>
          <w:tcPr>
            <w:tcW w:w="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DF30000253</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天津</w:t>
            </w:r>
          </w:p>
        </w:tc>
        <w:tc>
          <w:tcPr>
            <w:tcW w:w="9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800" w:hRule="atLeast"/>
          <w:jc w:val="center"/>
        </w:trPr>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17</w:t>
            </w:r>
          </w:p>
        </w:tc>
        <w:tc>
          <w:tcPr>
            <w:tcW w:w="4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网关</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VPN安全网关系统</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NSV1200-J4KM</w:t>
            </w:r>
          </w:p>
        </w:tc>
        <w:tc>
          <w:tcPr>
            <w:tcW w:w="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DF30000252</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15" w:type="dxa"/>
            <w:vMerge w:val="restart"/>
            <w:tcBorders>
              <w:top w:val="single" w:color="000000" w:sz="4" w:space="0"/>
              <w:left w:val="single" w:color="000000" w:sz="4" w:space="0"/>
              <w:right w:val="single" w:color="000000" w:sz="4" w:space="0"/>
            </w:tcBorders>
            <w:noWrap/>
            <w:vAlign w:val="center"/>
          </w:tcPr>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bidi="ar"/>
              </w:rPr>
            </w:pPr>
          </w:p>
          <w:p>
            <w:pPr>
              <w:rPr>
                <w:rFonts w:hint="eastAsia" w:ascii="宋体" w:hAnsi="宋体" w:eastAsia="宋体" w:cs="宋体"/>
                <w:sz w:val="24"/>
                <w:szCs w:val="24"/>
              </w:rPr>
            </w:pPr>
            <w:r>
              <w:rPr>
                <w:rFonts w:hint="eastAsia" w:ascii="宋体" w:hAnsi="宋体" w:eastAsia="宋体" w:cs="宋体"/>
                <w:color w:val="000000"/>
                <w:kern w:val="0"/>
                <w:sz w:val="24"/>
                <w:szCs w:val="24"/>
                <w:lang w:bidi="ar"/>
              </w:rPr>
              <w:t>上海</w:t>
            </w:r>
            <w:r>
              <w:rPr>
                <w:rFonts w:hint="eastAsia" w:ascii="宋体" w:hAnsi="宋体" w:eastAsia="宋体" w:cs="宋体"/>
                <w:kern w:val="0"/>
                <w:sz w:val="24"/>
                <w:szCs w:val="24"/>
              </w:rPr>
              <w:t>(浦东新区)</w:t>
            </w:r>
          </w:p>
          <w:p>
            <w:pPr>
              <w:rPr>
                <w:rFonts w:hint="eastAsia" w:ascii="宋体" w:hAnsi="宋体" w:eastAsia="宋体" w:cs="宋体"/>
                <w:sz w:val="24"/>
                <w:szCs w:val="24"/>
              </w:rPr>
            </w:pPr>
          </w:p>
          <w:p>
            <w:pPr>
              <w:widowControl/>
              <w:jc w:val="center"/>
              <w:textAlignment w:val="center"/>
              <w:rPr>
                <w:rFonts w:hint="eastAsia" w:ascii="宋体" w:hAnsi="宋体" w:eastAsia="宋体" w:cs="宋体"/>
                <w:color w:val="000000"/>
                <w:sz w:val="24"/>
                <w:szCs w:val="24"/>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800" w:hRule="atLeast"/>
          <w:jc w:val="center"/>
        </w:trPr>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18</w:t>
            </w:r>
          </w:p>
        </w:tc>
        <w:tc>
          <w:tcPr>
            <w:tcW w:w="4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入侵防范</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抗拒绝服务系统</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FA-U011M-NF-YH</w:t>
            </w:r>
          </w:p>
        </w:tc>
        <w:tc>
          <w:tcPr>
            <w:tcW w:w="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DF30000219</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1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800" w:hRule="atLeast"/>
          <w:jc w:val="center"/>
        </w:trPr>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19</w:t>
            </w:r>
          </w:p>
        </w:tc>
        <w:tc>
          <w:tcPr>
            <w:tcW w:w="4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入侵防范</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抗拒绝服务系统</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FA-U011M-NF-YH</w:t>
            </w:r>
          </w:p>
        </w:tc>
        <w:tc>
          <w:tcPr>
            <w:tcW w:w="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DF30000218</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1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800" w:hRule="atLeast"/>
          <w:jc w:val="center"/>
        </w:trPr>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4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入侵防范</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抗拒绝服务系统</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F10000-U011M</w:t>
            </w:r>
          </w:p>
        </w:tc>
        <w:tc>
          <w:tcPr>
            <w:tcW w:w="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DF30000212</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1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800" w:hRule="atLeast"/>
          <w:jc w:val="center"/>
        </w:trPr>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21</w:t>
            </w:r>
          </w:p>
        </w:tc>
        <w:tc>
          <w:tcPr>
            <w:tcW w:w="4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边界访问控制</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防火墙系统</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NSG7000-TX45M-QW</w:t>
            </w:r>
          </w:p>
        </w:tc>
        <w:tc>
          <w:tcPr>
            <w:tcW w:w="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DE34000258</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1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800" w:hRule="atLeast"/>
          <w:jc w:val="center"/>
        </w:trPr>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22</w:t>
            </w:r>
          </w:p>
        </w:tc>
        <w:tc>
          <w:tcPr>
            <w:tcW w:w="4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边界访问控制</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防火墙系统</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NSG7000-TX45M-QW</w:t>
            </w:r>
          </w:p>
        </w:tc>
        <w:tc>
          <w:tcPr>
            <w:tcW w:w="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DE34000257</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1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800" w:hRule="atLeast"/>
          <w:jc w:val="center"/>
        </w:trPr>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23</w:t>
            </w:r>
          </w:p>
        </w:tc>
        <w:tc>
          <w:tcPr>
            <w:tcW w:w="4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入侵防范</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入侵检测系统</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D5000-U004M</w:t>
            </w:r>
          </w:p>
        </w:tc>
        <w:tc>
          <w:tcPr>
            <w:tcW w:w="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DD32000069</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1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660" w:hRule="atLeast"/>
          <w:jc w:val="center"/>
        </w:trPr>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4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入侵防范</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入侵检测系统</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D5000-U004M</w:t>
            </w:r>
          </w:p>
        </w:tc>
        <w:tc>
          <w:tcPr>
            <w:tcW w:w="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DD32000068</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1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660" w:hRule="atLeast"/>
          <w:jc w:val="center"/>
        </w:trPr>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25</w:t>
            </w:r>
          </w:p>
        </w:tc>
        <w:tc>
          <w:tcPr>
            <w:tcW w:w="4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入侵防范</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入侵检测系统</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D5000-U004M</w:t>
            </w:r>
          </w:p>
        </w:tc>
        <w:tc>
          <w:tcPr>
            <w:tcW w:w="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DD32000067</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1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2026/12/1</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500" w:hRule="atLeast"/>
          <w:jc w:val="center"/>
        </w:trPr>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28</w:t>
            </w:r>
          </w:p>
        </w:tc>
        <w:tc>
          <w:tcPr>
            <w:tcW w:w="4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网络监测与控制</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全流量威胁分析检测系统</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TSS10000-S53-WS</w:t>
            </w:r>
          </w:p>
        </w:tc>
        <w:tc>
          <w:tcPr>
            <w:tcW w:w="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DE34000389</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1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2026/12/6</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500" w:hRule="atLeast"/>
          <w:jc w:val="center"/>
        </w:trPr>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29</w:t>
            </w:r>
          </w:p>
        </w:tc>
        <w:tc>
          <w:tcPr>
            <w:tcW w:w="4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网络监测与控制</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全流量威胁分析检测系统</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TSS10000-A58-WS</w:t>
            </w:r>
          </w:p>
        </w:tc>
        <w:tc>
          <w:tcPr>
            <w:tcW w:w="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DE30000198</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c>
          <w:tcPr>
            <w:tcW w:w="101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p>
        </w:tc>
        <w:tc>
          <w:tcPr>
            <w:tcW w:w="9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2026/12/6</w:t>
            </w:r>
          </w:p>
        </w:tc>
        <w:tc>
          <w:tcPr>
            <w:tcW w:w="8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70" w:hRule="atLeast"/>
          <w:jc w:val="center"/>
        </w:trPr>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30</w:t>
            </w:r>
          </w:p>
        </w:tc>
        <w:tc>
          <w:tcPr>
            <w:tcW w:w="4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安全软件</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360天擎私有云杀毒管理系统</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1015" w:type="dxa"/>
            <w:vMerge w:val="continue"/>
            <w:tcBorders>
              <w:left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2026/1/1</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270" w:hRule="atLeast"/>
          <w:jc w:val="center"/>
        </w:trPr>
        <w:tc>
          <w:tcPr>
            <w:tcW w:w="5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w:t>
            </w:r>
          </w:p>
        </w:tc>
        <w:tc>
          <w:tcPr>
            <w:tcW w:w="47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安全软件</w:t>
            </w:r>
          </w:p>
        </w:tc>
        <w:tc>
          <w:tcPr>
            <w:tcW w:w="8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360网神终端安全管理系统</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9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c>
          <w:tcPr>
            <w:tcW w:w="1015" w:type="dxa"/>
            <w:vMerge w:val="continue"/>
            <w:tcBorders>
              <w:left w:val="single" w:color="000000" w:sz="4" w:space="0"/>
              <w:bottom w:val="single" w:color="000000" w:sz="4" w:space="0"/>
              <w:right w:val="single" w:color="000000" w:sz="4" w:space="0"/>
            </w:tcBorders>
            <w:noWrap/>
            <w:vAlign w:val="center"/>
          </w:tcPr>
          <w:p>
            <w:pPr>
              <w:widowControl/>
              <w:jc w:val="left"/>
              <w:rPr>
                <w:rFonts w:hint="eastAsia" w:ascii="宋体" w:hAnsi="宋体" w:eastAsia="宋体" w:cs="宋体"/>
                <w:color w:val="000000"/>
                <w:sz w:val="24"/>
                <w:szCs w:val="24"/>
              </w:rPr>
            </w:pPr>
          </w:p>
        </w:tc>
        <w:tc>
          <w:tcPr>
            <w:tcW w:w="9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2026/1/1</w:t>
            </w: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2026/12/31</w:t>
            </w:r>
          </w:p>
        </w:tc>
        <w:tc>
          <w:tcPr>
            <w:tcW w:w="94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color w:val="000000"/>
                <w:sz w:val="24"/>
                <w:szCs w:val="24"/>
              </w:rPr>
            </w:pPr>
          </w:p>
        </w:tc>
      </w:tr>
    </w:tbl>
    <w:p>
      <w:pPr>
        <w:ind w:firstLine="480" w:firstLineChars="200"/>
        <w:rPr>
          <w:rFonts w:hint="eastAsia" w:ascii="宋体" w:hAnsi="宋体" w:eastAsia="宋体" w:cs="宋体"/>
          <w:sz w:val="24"/>
          <w:szCs w:val="24"/>
        </w:rPr>
      </w:pPr>
      <w:r>
        <w:rPr>
          <w:rFonts w:hint="eastAsia" w:ascii="宋体" w:hAnsi="宋体" w:eastAsia="宋体" w:cs="宋体"/>
          <w:sz w:val="24"/>
          <w:szCs w:val="24"/>
        </w:rPr>
        <w:t>服务方式：现场支持服务、电话支持服务，以及甲方要求的其它服务方式。</w:t>
      </w:r>
    </w:p>
    <w:p>
      <w:pPr>
        <w:spacing w:before="156" w:beforeLines="50" w:line="360" w:lineRule="auto"/>
        <w:jc w:val="center"/>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第三部分服务标准及验收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3.1乙方保证为甲方提供优质的服务及产品，服务及产品的各项指标均能符合本合同规定的要求。服务期内，乙方保证提供甲方在谈判文件中要求的全部服务。详见附件三。</w:t>
      </w:r>
    </w:p>
    <w:p>
      <w:pPr>
        <w:tabs>
          <w:tab w:val="left" w:pos="9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3.2乙方每季度须按甲方要求提供1份《季度服务报告》，列明本阶段提供的维保服务内容，并加盖单位公章。</w:t>
      </w:r>
    </w:p>
    <w:p>
      <w:pPr>
        <w:tabs>
          <w:tab w:val="left" w:pos="9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甲方于到达维保服务期限（各软硬件的维保服务期限不一致的，以最长的期限为准进行计算）一半后，按照本合同规定的标准和要求对乙方服务进行中期验收，乙方应当予以配合，最迟不晚于2026年9月底前完成，甲方通知乙方延期的情况除外。验收通过后,由甲方开具验收单/验收报告，乙方对验收单/验收报告进行书面认定（即其法定代表人或授权代表签字且加盖单位公章），且当乙方拒绝书面认定验收单/验收报告时，即视为同意验收单/验收报告内容。</w:t>
      </w:r>
    </w:p>
    <w:p>
      <w:pPr>
        <w:tabs>
          <w:tab w:val="left" w:pos="9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甲方于维保服务期限（各软硬件的维保服务期限不一致的，以最长的期限为准进行计算）届满后，按照本合同规定的标准和要求对乙方服务进行最终验收，乙方应当予以配合，最迟不晚于2027年4月底前完成，甲方通知乙方延期的情况除外。验收通过后,由甲方开具验收单/验收报告，乙方对验收单/验收报告进行书面认定（即其法定代表人或授权代表签字且加盖单位公章），且当乙方拒绝书面认定验收单/验收报告时，即视为同意验收单/验收报告内容。</w:t>
      </w:r>
    </w:p>
    <w:p>
      <w:pPr>
        <w:spacing w:line="360" w:lineRule="auto"/>
        <w:ind w:firstLine="559" w:firstLineChars="233"/>
        <w:rPr>
          <w:rFonts w:hint="eastAsia" w:ascii="宋体" w:hAnsi="宋体" w:eastAsia="宋体" w:cs="宋体"/>
          <w:sz w:val="24"/>
          <w:szCs w:val="24"/>
        </w:rPr>
      </w:pPr>
      <w:r>
        <w:rPr>
          <w:rFonts w:hint="eastAsia" w:ascii="宋体" w:hAnsi="宋体" w:eastAsia="宋体" w:cs="宋体"/>
          <w:sz w:val="24"/>
          <w:szCs w:val="24"/>
        </w:rPr>
        <w:t>3.5乙方未能通过甲方中期验收或最终验收的，甲方应在验收单/验收报告中载明“验收不合格”及相关说明，并由乙方书面确认，若乙方拒绝书面确认，则视为同意。乙方应在甲方要求的期限内采取整改措施再次进行验收，再次验收同样需甲方出具验收单/验收报告并由双方书面确认，直至验收合格，通过验收，再次验收由乙方承担费用及甲方损失。</w:t>
      </w:r>
    </w:p>
    <w:p>
      <w:pPr>
        <w:autoSpaceDE w:val="0"/>
        <w:autoSpaceDN w:val="0"/>
        <w:adjustRightInd w:val="0"/>
        <w:snapToGrid w:val="0"/>
        <w:spacing w:before="156" w:beforeLines="50"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第四部分履行期限、服务地点</w:t>
      </w:r>
    </w:p>
    <w:p>
      <w:pPr>
        <w:tabs>
          <w:tab w:val="left" w:pos="900"/>
        </w:tabs>
        <w:spacing w:line="480" w:lineRule="exact"/>
        <w:ind w:firstLine="480" w:firstLineChars="200"/>
        <w:rPr>
          <w:rFonts w:hint="eastAsia" w:ascii="宋体" w:hAnsi="宋体" w:eastAsia="宋体" w:cs="宋体"/>
          <w:i/>
          <w:color w:val="FF0000"/>
          <w:sz w:val="24"/>
          <w:szCs w:val="24"/>
        </w:rPr>
      </w:pPr>
      <w:r>
        <w:rPr>
          <w:rFonts w:hint="eastAsia" w:ascii="宋体" w:hAnsi="宋体" w:eastAsia="宋体" w:cs="宋体"/>
          <w:sz w:val="24"/>
          <w:szCs w:val="24"/>
        </w:rPr>
        <w:t>4.1履约期限：本项目各软硬件维保服务期限不统一，最长维保服务期限为1年，具体维保服务期限详见采购需求。</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4.2续签条款</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若乙方的服务质量满足甲方要求，在服务内容和要求不变情况下，本次合同可以续签一年，最多续签2次。甲乙双方最晚可在合同到期前一个月就是否续签事宜进行确认。如双方确认续签的，可以就本项目服务下年度续签进行商务谈判议定价格，续签合同价款不得高于本合同价款。</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在服务期限内，如甲方追加与现有维保对象相同品牌型号的软硬件设备纳入维保范围，乙方应承诺以本次成交单价提供软硬件设备维保服务。</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4.3服务地点：上海市（上海市浦东新区繁昌路298号、上海市静安区海宁路889号）、天津市（天津市滨海新区洞庭北路北塘融汇商务园二区4号楼）。</w:t>
      </w:r>
    </w:p>
    <w:p>
      <w:pPr>
        <w:spacing w:before="156" w:beforeLines="50" w:line="360" w:lineRule="auto"/>
        <w:jc w:val="center"/>
        <w:outlineLvl w:val="1"/>
        <w:rPr>
          <w:rFonts w:hint="eastAsia" w:ascii="宋体" w:hAnsi="宋体" w:eastAsia="宋体" w:cs="宋体"/>
          <w:b/>
          <w:bCs/>
          <w:sz w:val="24"/>
          <w:szCs w:val="24"/>
        </w:rPr>
      </w:pPr>
      <w:r>
        <w:rPr>
          <w:rFonts w:hint="eastAsia" w:ascii="宋体" w:hAnsi="宋体" w:eastAsia="宋体" w:cs="宋体"/>
          <w:b/>
          <w:bCs/>
          <w:sz w:val="24"/>
          <w:szCs w:val="24"/>
        </w:rPr>
        <w:t>第五部分合同总金额及其支付方式</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5.1根据成交通知书，本合同的总金额（含税）为人民币：￥</w:t>
      </w:r>
      <w:r>
        <w:rPr>
          <w:rFonts w:hint="eastAsia" w:ascii="宋体" w:hAnsi="宋体" w:cs="宋体"/>
          <w:sz w:val="24"/>
          <w:szCs w:val="24"/>
          <w:u w:val="single"/>
          <w:lang w:val="en-US" w:eastAsia="zh-CN"/>
        </w:rPr>
        <w:t>1009000</w:t>
      </w:r>
      <w:r>
        <w:rPr>
          <w:rFonts w:hint="eastAsia" w:ascii="宋体" w:hAnsi="宋体" w:eastAsia="宋体" w:cs="宋体"/>
          <w:sz w:val="24"/>
          <w:szCs w:val="24"/>
        </w:rPr>
        <w:t>元整(大写：人民币</w:t>
      </w:r>
      <w:r>
        <w:rPr>
          <w:rFonts w:hint="eastAsia" w:ascii="宋体" w:hAnsi="宋体" w:cs="宋体"/>
          <w:sz w:val="24"/>
          <w:szCs w:val="24"/>
          <w:u w:val="single"/>
          <w:lang w:val="en-US" w:eastAsia="zh-CN"/>
        </w:rPr>
        <w:t>壹佰万玖仟</w:t>
      </w:r>
      <w:r>
        <w:rPr>
          <w:rFonts w:hint="eastAsia" w:ascii="宋体" w:hAnsi="宋体" w:eastAsia="宋体" w:cs="宋体"/>
          <w:sz w:val="24"/>
          <w:szCs w:val="24"/>
        </w:rPr>
        <w:t>元整）。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5.2付款方式</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5.2.1预付款</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合同生效后，在收到乙方提供的与本阶段付款金额等值的正式发票以及乙方加盖单位公章的《付款申请》后十（10）个工作日内，甲方向乙方支付合同总金额的</w:t>
      </w:r>
      <w:r>
        <w:rPr>
          <w:rFonts w:hint="eastAsia" w:ascii="宋体" w:hAnsi="宋体" w:eastAsia="宋体" w:cs="宋体"/>
          <w:sz w:val="24"/>
          <w:szCs w:val="24"/>
          <w:u w:val="single"/>
        </w:rPr>
        <w:t>30</w:t>
      </w:r>
      <w:r>
        <w:rPr>
          <w:rFonts w:hint="eastAsia" w:ascii="宋体" w:hAnsi="宋体" w:eastAsia="宋体" w:cs="宋体"/>
          <w:sz w:val="24"/>
          <w:szCs w:val="24"/>
        </w:rPr>
        <w:t>%（百分之</w:t>
      </w:r>
      <w:r>
        <w:rPr>
          <w:rFonts w:hint="eastAsia" w:ascii="宋体" w:hAnsi="宋体" w:eastAsia="宋体" w:cs="宋体"/>
          <w:sz w:val="24"/>
          <w:szCs w:val="24"/>
          <w:u w:val="single"/>
        </w:rPr>
        <w:t>三十</w:t>
      </w:r>
      <w:r>
        <w:rPr>
          <w:rFonts w:hint="eastAsia" w:ascii="宋体" w:hAnsi="宋体" w:eastAsia="宋体" w:cs="宋体"/>
          <w:sz w:val="24"/>
          <w:szCs w:val="24"/>
        </w:rPr>
        <w:t>），即人民币￥</w:t>
      </w:r>
      <w:r>
        <w:rPr>
          <w:rFonts w:hint="eastAsia" w:ascii="宋体" w:hAnsi="宋体" w:cs="宋体"/>
          <w:sz w:val="24"/>
          <w:szCs w:val="24"/>
          <w:u w:val="single"/>
          <w:lang w:val="en-US" w:eastAsia="zh-CN"/>
        </w:rPr>
        <w:t>302700</w:t>
      </w:r>
      <w:r>
        <w:rPr>
          <w:rFonts w:hint="eastAsia" w:ascii="宋体" w:hAnsi="宋体" w:eastAsia="宋体" w:cs="宋体"/>
          <w:sz w:val="24"/>
          <w:szCs w:val="24"/>
        </w:rPr>
        <w:t>元整(大写：人民币</w:t>
      </w:r>
      <w:r>
        <w:rPr>
          <w:rFonts w:hint="eastAsia" w:ascii="宋体" w:hAnsi="宋体" w:cs="宋体"/>
          <w:sz w:val="24"/>
          <w:szCs w:val="24"/>
          <w:u w:val="single"/>
          <w:lang w:val="en-US" w:eastAsia="zh-CN"/>
        </w:rPr>
        <w:t>叄拾万贰仟柒佰</w:t>
      </w:r>
      <w:r>
        <w:rPr>
          <w:rFonts w:hint="eastAsia" w:ascii="宋体" w:hAnsi="宋体" w:eastAsia="宋体" w:cs="宋体"/>
          <w:sz w:val="24"/>
          <w:szCs w:val="24"/>
        </w:rPr>
        <w:t>元整）。</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5.2.2中期付款</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乙方向甲方提供所有服务达到本合同规定的维保服务期限的一半（以较长服务期限的项目为准）后，由甲方验收小组出具验收单（或验收报告），乙方进行书面确认（若拒绝书面确认，则视为同意），验收合格后，甲方在收到乙方提供的与本阶段付款金额等值的正式发票以及乙方加盖单位公章的《付款申请》后十（10）个工作日内，向乙方支付合同总金额的</w:t>
      </w:r>
      <w:r>
        <w:rPr>
          <w:rFonts w:hint="eastAsia" w:ascii="宋体" w:hAnsi="宋体" w:eastAsia="宋体" w:cs="宋体"/>
          <w:sz w:val="24"/>
          <w:szCs w:val="24"/>
          <w:u w:val="single"/>
        </w:rPr>
        <w:t>40</w:t>
      </w:r>
      <w:r>
        <w:rPr>
          <w:rFonts w:hint="eastAsia" w:ascii="宋体" w:hAnsi="宋体" w:eastAsia="宋体" w:cs="宋体"/>
          <w:sz w:val="24"/>
          <w:szCs w:val="24"/>
        </w:rPr>
        <w:t>%（百分之</w:t>
      </w:r>
      <w:r>
        <w:rPr>
          <w:rFonts w:hint="eastAsia" w:ascii="宋体" w:hAnsi="宋体" w:eastAsia="宋体" w:cs="宋体"/>
          <w:sz w:val="24"/>
          <w:szCs w:val="24"/>
          <w:u w:val="single"/>
        </w:rPr>
        <w:t>四十</w:t>
      </w:r>
      <w:r>
        <w:rPr>
          <w:rFonts w:hint="eastAsia" w:ascii="宋体" w:hAnsi="宋体" w:eastAsia="宋体" w:cs="宋体"/>
          <w:sz w:val="24"/>
          <w:szCs w:val="24"/>
        </w:rPr>
        <w:t>），即人民币￥</w:t>
      </w:r>
      <w:r>
        <w:rPr>
          <w:rFonts w:hint="eastAsia" w:ascii="宋体" w:hAnsi="宋体" w:cs="宋体"/>
          <w:sz w:val="24"/>
          <w:szCs w:val="24"/>
          <w:u w:val="single"/>
          <w:lang w:val="en-US" w:eastAsia="zh-CN"/>
        </w:rPr>
        <w:t>403600</w:t>
      </w:r>
      <w:r>
        <w:rPr>
          <w:rFonts w:hint="eastAsia" w:ascii="宋体" w:hAnsi="宋体" w:eastAsia="宋体" w:cs="宋体"/>
          <w:sz w:val="24"/>
          <w:szCs w:val="24"/>
        </w:rPr>
        <w:t>元整(大写：人民币</w:t>
      </w:r>
      <w:r>
        <w:rPr>
          <w:rFonts w:hint="eastAsia" w:ascii="宋体" w:hAnsi="宋体" w:cs="宋体"/>
          <w:sz w:val="24"/>
          <w:szCs w:val="24"/>
          <w:u w:val="single"/>
          <w:lang w:val="en-US" w:eastAsia="zh-CN"/>
        </w:rPr>
        <w:t>肆拾万叁仟陆佰</w:t>
      </w:r>
      <w:r>
        <w:rPr>
          <w:rFonts w:hint="eastAsia" w:ascii="宋体" w:hAnsi="宋体" w:eastAsia="宋体" w:cs="宋体"/>
          <w:sz w:val="24"/>
          <w:szCs w:val="24"/>
        </w:rPr>
        <w:t>元整）。</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5.2.3后期款</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乙方向甲方提供维保服务期限届满且服务内容完成（以较长服务期限的项目为准）后，由甲方验收小组出具验收单（或验收报告），乙方进行书面确认（若拒绝书面确认，则视为同意），验收合格后，甲方在收到乙方提供的与本阶段付款金额等值的正式发票以及乙方加盖单位公章的《付款申请》后十（10）个工作日内，向乙方支付合同总金额的</w:t>
      </w:r>
      <w:r>
        <w:rPr>
          <w:rFonts w:hint="eastAsia" w:ascii="宋体" w:hAnsi="宋体" w:eastAsia="宋体" w:cs="宋体"/>
          <w:sz w:val="24"/>
          <w:szCs w:val="24"/>
          <w:u w:val="single"/>
        </w:rPr>
        <w:t>30</w:t>
      </w:r>
      <w:r>
        <w:rPr>
          <w:rFonts w:hint="eastAsia" w:ascii="宋体" w:hAnsi="宋体" w:eastAsia="宋体" w:cs="宋体"/>
          <w:sz w:val="24"/>
          <w:szCs w:val="24"/>
        </w:rPr>
        <w:t>%（百分之</w:t>
      </w:r>
      <w:r>
        <w:rPr>
          <w:rFonts w:hint="eastAsia" w:ascii="宋体" w:hAnsi="宋体" w:eastAsia="宋体" w:cs="宋体"/>
          <w:sz w:val="24"/>
          <w:szCs w:val="24"/>
          <w:u w:val="single"/>
        </w:rPr>
        <w:t>三十</w:t>
      </w:r>
      <w:r>
        <w:rPr>
          <w:rFonts w:hint="eastAsia" w:ascii="宋体" w:hAnsi="宋体" w:eastAsia="宋体" w:cs="宋体"/>
          <w:sz w:val="24"/>
          <w:szCs w:val="24"/>
        </w:rPr>
        <w:t>），即人民币￥</w:t>
      </w:r>
      <w:r>
        <w:rPr>
          <w:rFonts w:hint="eastAsia" w:ascii="宋体" w:hAnsi="宋体" w:cs="宋体"/>
          <w:sz w:val="24"/>
          <w:szCs w:val="24"/>
          <w:u w:val="single"/>
          <w:lang w:val="en-US" w:eastAsia="zh-CN"/>
        </w:rPr>
        <w:t>302700</w:t>
      </w:r>
      <w:r>
        <w:rPr>
          <w:rFonts w:hint="eastAsia" w:ascii="宋体" w:hAnsi="宋体" w:eastAsia="宋体" w:cs="宋体"/>
          <w:sz w:val="24"/>
          <w:szCs w:val="24"/>
        </w:rPr>
        <w:t>元整(大写：人民币</w:t>
      </w:r>
      <w:r>
        <w:rPr>
          <w:rFonts w:hint="eastAsia" w:ascii="宋体" w:hAnsi="宋体" w:cs="宋体"/>
          <w:sz w:val="24"/>
          <w:szCs w:val="24"/>
          <w:u w:val="single"/>
          <w:lang w:val="en-US" w:eastAsia="zh-CN"/>
        </w:rPr>
        <w:t>叄拾万贰仟柒佰</w:t>
      </w:r>
      <w:r>
        <w:rPr>
          <w:rFonts w:hint="eastAsia" w:ascii="宋体" w:hAnsi="宋体" w:eastAsia="宋体" w:cs="宋体"/>
          <w:sz w:val="24"/>
          <w:szCs w:val="24"/>
        </w:rPr>
        <w:t>元整）。</w:t>
      </w:r>
    </w:p>
    <w:p>
      <w:pPr>
        <w:spacing w:line="520" w:lineRule="exact"/>
        <w:ind w:firstLine="480" w:firstLineChars="200"/>
        <w:rPr>
          <w:rFonts w:hint="eastAsia" w:ascii="宋体" w:hAnsi="宋体" w:eastAsia="宋体" w:cs="宋体"/>
          <w:b/>
          <w:bCs/>
          <w:kern w:val="0"/>
          <w:sz w:val="24"/>
          <w:szCs w:val="24"/>
        </w:rPr>
      </w:pPr>
      <w:r>
        <w:rPr>
          <w:rFonts w:hint="eastAsia" w:ascii="宋体" w:hAnsi="宋体" w:eastAsia="宋体" w:cs="宋体"/>
          <w:sz w:val="24"/>
          <w:szCs w:val="24"/>
        </w:rPr>
        <w:t>5.3本条中的“收到”是指甲方实际接收到乙方交付的发票和</w:t>
      </w:r>
      <w:r>
        <w:rPr>
          <w:rFonts w:hint="eastAsia" w:ascii="宋体" w:hAnsi="宋体" w:eastAsia="宋体" w:cs="宋体"/>
          <w:bCs/>
          <w:kern w:val="0"/>
          <w:sz w:val="24"/>
          <w:szCs w:val="24"/>
        </w:rPr>
        <w:t>《付款申请》</w:t>
      </w:r>
      <w:r>
        <w:rPr>
          <w:rFonts w:hint="eastAsia" w:ascii="宋体" w:hAnsi="宋体" w:eastAsia="宋体" w:cs="宋体"/>
          <w:sz w:val="24"/>
          <w:szCs w:val="24"/>
        </w:rPr>
        <w:t>，收到日不以发票和/或</w:t>
      </w:r>
      <w:r>
        <w:rPr>
          <w:rFonts w:hint="eastAsia" w:ascii="宋体" w:hAnsi="宋体" w:eastAsia="宋体" w:cs="宋体"/>
          <w:bCs/>
          <w:kern w:val="0"/>
          <w:sz w:val="24"/>
          <w:szCs w:val="24"/>
        </w:rPr>
        <w:t>《付款申请》中载明的日期为准。双方对甲方是否“收到”及收到日有争议的，由乙方负责证明甲方已经“收到”及收到日。</w:t>
      </w:r>
    </w:p>
    <w:p>
      <w:pPr>
        <w:spacing w:before="156" w:beforeLines="50" w:line="360" w:lineRule="auto"/>
        <w:jc w:val="center"/>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第六部分履约保证金</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6.1 乙方应于签订合同的同时以非现金形式向甲方提交下述金额的履约保证金。</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6.2 履约保证金为合同总金额的</w:t>
      </w:r>
      <w:r>
        <w:rPr>
          <w:rFonts w:hint="eastAsia" w:ascii="宋体" w:hAnsi="宋体" w:eastAsia="宋体" w:cs="宋体"/>
          <w:sz w:val="24"/>
          <w:szCs w:val="24"/>
          <w:u w:val="single"/>
        </w:rPr>
        <w:t>5</w:t>
      </w:r>
      <w:r>
        <w:rPr>
          <w:rFonts w:hint="eastAsia" w:ascii="宋体" w:hAnsi="宋体" w:eastAsia="宋体" w:cs="宋体"/>
          <w:sz w:val="24"/>
          <w:szCs w:val="24"/>
        </w:rPr>
        <w:t>％（百分之</w:t>
      </w:r>
      <w:r>
        <w:rPr>
          <w:rFonts w:hint="eastAsia" w:ascii="宋体" w:hAnsi="宋体" w:eastAsia="宋体" w:cs="宋体"/>
          <w:sz w:val="24"/>
          <w:szCs w:val="24"/>
          <w:u w:val="single"/>
        </w:rPr>
        <w:t>五</w:t>
      </w:r>
      <w:r>
        <w:rPr>
          <w:rFonts w:hint="eastAsia" w:ascii="宋体" w:hAnsi="宋体" w:eastAsia="宋体" w:cs="宋体"/>
          <w:sz w:val="24"/>
          <w:szCs w:val="24"/>
        </w:rPr>
        <w:t>）即人民币￥</w:t>
      </w:r>
      <w:r>
        <w:rPr>
          <w:rFonts w:hint="eastAsia" w:ascii="宋体" w:hAnsi="宋体" w:cs="宋体"/>
          <w:sz w:val="24"/>
          <w:szCs w:val="24"/>
          <w:u w:val="single"/>
          <w:lang w:val="en-US" w:eastAsia="zh-CN"/>
        </w:rPr>
        <w:t>50450</w:t>
      </w:r>
      <w:r>
        <w:rPr>
          <w:rFonts w:hint="eastAsia" w:ascii="宋体" w:hAnsi="宋体" w:eastAsia="宋体" w:cs="宋体"/>
          <w:sz w:val="24"/>
          <w:szCs w:val="24"/>
        </w:rPr>
        <w:t>元整(大写：人民币</w:t>
      </w:r>
      <w:r>
        <w:rPr>
          <w:rFonts w:hint="eastAsia" w:ascii="宋体" w:hAnsi="宋体" w:cs="宋体"/>
          <w:sz w:val="24"/>
          <w:szCs w:val="24"/>
          <w:u w:val="single"/>
          <w:lang w:val="en-US" w:eastAsia="zh-CN"/>
        </w:rPr>
        <w:t>伍万零肆佰伍拾</w:t>
      </w:r>
      <w:r>
        <w:rPr>
          <w:rFonts w:hint="eastAsia" w:ascii="宋体" w:hAnsi="宋体" w:eastAsia="宋体" w:cs="宋体"/>
          <w:sz w:val="24"/>
          <w:szCs w:val="24"/>
        </w:rPr>
        <w:t>元整），其有效期截至本合同履约期限届满。履约保证金用以保证乙方履行合同规定的所有义务。</w:t>
      </w: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6.3 除非双方另有协定，在履约保证金有效期届满后，甲方接到乙方提请退还履约保证金的书面申请和双方约定的有关单据后十五（15）个工作日内，应将履约保证金或扣除违约金、赔偿金、补偿金后剩余的履约保证金退还乙方(不计息)。</w:t>
      </w:r>
    </w:p>
    <w:p>
      <w:pPr>
        <w:spacing w:line="520" w:lineRule="exact"/>
        <w:ind w:firstLine="540" w:firstLineChars="225"/>
        <w:rPr>
          <w:rFonts w:hint="eastAsia" w:ascii="宋体" w:hAnsi="宋体" w:eastAsia="宋体" w:cs="宋体"/>
          <w:sz w:val="24"/>
          <w:szCs w:val="24"/>
        </w:rPr>
      </w:pPr>
      <w:r>
        <w:rPr>
          <w:rFonts w:hint="eastAsia" w:ascii="宋体" w:hAnsi="宋体" w:eastAsia="宋体" w:cs="宋体"/>
          <w:sz w:val="24"/>
          <w:szCs w:val="24"/>
        </w:rPr>
        <w:t>6.4履约保证金采取银行电汇或支票倒存的方式汇入或存入甲方在谈判文件中指定的账户。</w:t>
      </w:r>
    </w:p>
    <w:p>
      <w:pPr>
        <w:spacing w:line="360" w:lineRule="auto"/>
        <w:ind w:firstLine="540" w:firstLineChars="225"/>
        <w:rPr>
          <w:rFonts w:hint="eastAsia" w:ascii="宋体" w:hAnsi="宋体" w:eastAsia="宋体" w:cs="宋体"/>
          <w:color w:val="000000"/>
          <w:sz w:val="24"/>
          <w:szCs w:val="24"/>
        </w:rPr>
      </w:pPr>
      <w:r>
        <w:rPr>
          <w:rFonts w:hint="eastAsia" w:ascii="宋体" w:hAnsi="宋体" w:eastAsia="宋体" w:cs="宋体"/>
          <w:color w:val="000000"/>
          <w:sz w:val="24"/>
          <w:szCs w:val="24"/>
        </w:rPr>
        <w:t>6.5维保服务期开始后，乙方可以以银行保函的形式替换签约时提交的合同履约保证金。</w:t>
      </w:r>
    </w:p>
    <w:p>
      <w:pPr>
        <w:spacing w:before="156" w:beforeLines="50" w:line="360" w:lineRule="auto"/>
        <w:jc w:val="center"/>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第七部分各方责任及违约</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7.1对于因非正版软件或硬件引发的故障，乙方只负责判断故障原因，并将故障情况反映给甲方及甲方相关负责人。</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7.3乙方有义务严守甲方及甲方的商业机密，不以任何的形式窃取或获取甲方保密信息，并不得将甲方及甲方数据资料带出工作现场。</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7.4乙方及原厂商在服务期间，如果对甲方及中国人民银行内其他部门运行正常的硬件、软件或其他财产造成损坏，乙方应负责对其修复及更换，确保甲方及中国人民银行内其他部门的正常使用，給甲方或中国人民银行造成损害或损失的，或发生其他侵犯甲方或第三方财产或合法权利的情况时，乙方应当承担全部法律责任和经济赔偿。</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7.5未经甲方书面同意，乙方不得擅自更换常驻工程师，乙方常驻工程师不得擅自离岗。乙方指派的专业技术工程师不符合甲方要求的，乙方应按甲方要求限期更换合格工程师。</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7.6违约责任和合同解除</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7.6.1乙方未按合同要求向甲方提供服务时，甲方有权扣除其相应的服务费，其计算方法为：乙方及原厂商因自身原因未能完成甲方要求的服务工作的，乙方应以本合同总金额为基数向甲方支付违约金，且每次支付违约金数额不低于合同总金额的2%（百分之二）。</w:t>
      </w:r>
      <w:r>
        <w:rPr>
          <w:rFonts w:hint="eastAsia" w:ascii="宋体" w:hAnsi="宋体" w:eastAsia="宋体" w:cs="宋体"/>
          <w:sz w:val="24"/>
          <w:szCs w:val="24"/>
          <w:lang w:val="zh-CN"/>
        </w:rPr>
        <w:t>当以上违约金的累计金额达到</w:t>
      </w:r>
      <w:r>
        <w:rPr>
          <w:rFonts w:hint="eastAsia" w:ascii="宋体" w:hAnsi="宋体" w:eastAsia="宋体" w:cs="宋体"/>
          <w:sz w:val="24"/>
          <w:szCs w:val="24"/>
        </w:rPr>
        <w:t>合同总金额</w:t>
      </w:r>
      <w:r>
        <w:rPr>
          <w:rFonts w:hint="eastAsia" w:ascii="宋体" w:hAnsi="宋体" w:eastAsia="宋体" w:cs="宋体"/>
          <w:sz w:val="24"/>
          <w:szCs w:val="24"/>
          <w:lang w:val="zh-CN"/>
        </w:rPr>
        <w:t>的5%（百分之五）时，甲方有权解除合同。</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7.6.2乙方及原厂商工作人员在提供服务时或提供服务外，造成甲方设施、材料、其他财产及甲方客户物品损失或损坏的，由乙方承担相应的赔偿责任。</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7.6.3若乙方违反第7.2款约定，所提供软件或服务损害第三方合法权益（含知识产权或其他合法权益），乙方应予以处理并承担全部法律责任，还应当按合同总金额的【5】%（百分之【五】）向甲方支付违约金。甲方因此承担责任的，有权向乙方全额追偿。</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7.6.4甲方对乙方的投诉超过2次的,乙方每次每项应按合同总金额的1</w:t>
      </w:r>
      <w:r>
        <w:rPr>
          <w:rFonts w:hint="eastAsia" w:ascii="宋体" w:hAnsi="宋体" w:eastAsia="宋体" w:cs="宋体"/>
          <w:color w:val="000000"/>
          <w:sz w:val="24"/>
          <w:szCs w:val="24"/>
        </w:rPr>
        <w:t>‰</w:t>
      </w:r>
      <w:r>
        <w:rPr>
          <w:rFonts w:hint="eastAsia" w:ascii="宋体" w:hAnsi="宋体" w:eastAsia="宋体" w:cs="宋体"/>
          <w:sz w:val="24"/>
          <w:szCs w:val="24"/>
        </w:rPr>
        <w:t>(千分之一)向甲方支付违约金，投诉超过五次的，甲方有权解除本合同。</w:t>
      </w:r>
    </w:p>
    <w:p>
      <w:pPr>
        <w:tabs>
          <w:tab w:val="left" w:pos="900"/>
        </w:tabs>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7.6.5甲方未按照合同规定期限支付服务费用且经乙方书面催告后仍未支付的，除支付应付费用外，每日应按逾期支付服务费用的0.2‰(万分之二)向乙方支付违约金，直至实际支付相应款项为止，但甲方支付的违约金最多不得超过逾期付款金额的5%（百分之五）</w:t>
      </w:r>
      <w:r>
        <w:rPr>
          <w:rFonts w:hint="eastAsia" w:ascii="宋体" w:hAnsi="宋体" w:eastAsia="宋体" w:cs="宋体"/>
          <w:color w:val="000000"/>
          <w:sz w:val="24"/>
          <w:szCs w:val="24"/>
        </w:rPr>
        <w:t>；违约金达到合同</w:t>
      </w:r>
      <w:r>
        <w:rPr>
          <w:rFonts w:hint="eastAsia" w:ascii="宋体" w:hAnsi="宋体" w:eastAsia="宋体" w:cs="宋体"/>
          <w:sz w:val="24"/>
          <w:szCs w:val="24"/>
          <w:lang w:val="zh-CN"/>
        </w:rPr>
        <w:t>费用总额</w:t>
      </w:r>
      <w:r>
        <w:rPr>
          <w:rFonts w:hint="eastAsia" w:ascii="宋体" w:hAnsi="宋体" w:eastAsia="宋体" w:cs="宋体"/>
          <w:color w:val="000000"/>
          <w:sz w:val="24"/>
          <w:szCs w:val="24"/>
        </w:rPr>
        <w:t>的5%（百分之五）时，乙方有权解除合同。</w:t>
      </w:r>
    </w:p>
    <w:p>
      <w:pPr>
        <w:tabs>
          <w:tab w:val="left" w:pos="900"/>
        </w:tabs>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7.6.6乙方擅自更换常驻工程师，或乙方常驻工程师擅自离岗，或乙方未按甲方要求限期更换工程师的，应每项每人每次向甲方支付合同总金额2%（百分之二）的违约金。</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7.6.7除本合同另有约定外，当发生以下情形之一时，视为乙方构成根本违约，甲方有权解除合同并向乙方要求赔偿；在出现以下第（1）、第（5）至第（12）种情形时，甲方还有权要求乙方支付合同总金额【20】%（百分之【二十】）的违约金：</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（1）乙方未能按照合同履行规定的义务，致使甲方无法实现合同目的；</w:t>
      </w:r>
    </w:p>
    <w:p>
      <w:pPr>
        <w:tabs>
          <w:tab w:val="left" w:pos="900"/>
        </w:tabs>
        <w:spacing w:line="480" w:lineRule="exact"/>
        <w:ind w:left="480"/>
        <w:rPr>
          <w:rFonts w:hint="eastAsia" w:ascii="宋体" w:hAnsi="宋体" w:eastAsia="宋体" w:cs="宋体"/>
          <w:sz w:val="24"/>
          <w:szCs w:val="24"/>
        </w:rPr>
      </w:pPr>
      <w:r>
        <w:rPr>
          <w:rFonts w:hint="eastAsia" w:ascii="宋体" w:hAnsi="宋体" w:eastAsia="宋体" w:cs="宋体"/>
          <w:sz w:val="24"/>
          <w:szCs w:val="24"/>
        </w:rPr>
        <w:t>（2）乙方发生分立、并购、重组、解散等重大改变；</w:t>
      </w:r>
    </w:p>
    <w:p>
      <w:pPr>
        <w:tabs>
          <w:tab w:val="left" w:pos="900"/>
        </w:tabs>
        <w:spacing w:line="480" w:lineRule="exact"/>
        <w:ind w:left="480"/>
        <w:rPr>
          <w:rFonts w:hint="eastAsia" w:ascii="宋体" w:hAnsi="宋体" w:eastAsia="宋体" w:cs="宋体"/>
          <w:sz w:val="24"/>
          <w:szCs w:val="24"/>
        </w:rPr>
      </w:pPr>
      <w:r>
        <w:rPr>
          <w:rFonts w:hint="eastAsia" w:ascii="宋体" w:hAnsi="宋体" w:eastAsia="宋体" w:cs="宋体"/>
          <w:sz w:val="24"/>
          <w:szCs w:val="24"/>
        </w:rPr>
        <w:t>（3）乙方因清偿诉讼债务被扣押资产、冻结账户；</w:t>
      </w:r>
    </w:p>
    <w:p>
      <w:pPr>
        <w:tabs>
          <w:tab w:val="left" w:pos="900"/>
        </w:tabs>
        <w:spacing w:line="480" w:lineRule="exact"/>
        <w:ind w:left="480"/>
        <w:rPr>
          <w:rFonts w:hint="eastAsia" w:ascii="宋体" w:hAnsi="宋体" w:eastAsia="宋体" w:cs="宋体"/>
          <w:sz w:val="24"/>
          <w:szCs w:val="24"/>
        </w:rPr>
      </w:pPr>
      <w:r>
        <w:rPr>
          <w:rFonts w:hint="eastAsia" w:ascii="宋体" w:hAnsi="宋体" w:eastAsia="宋体" w:cs="宋体"/>
          <w:sz w:val="24"/>
          <w:szCs w:val="24"/>
        </w:rPr>
        <w:t>（4）乙方申请或被申请重整、和解或者破产清算；</w:t>
      </w:r>
    </w:p>
    <w:p>
      <w:pPr>
        <w:tabs>
          <w:tab w:val="left" w:pos="900"/>
        </w:tabs>
        <w:spacing w:line="480" w:lineRule="exact"/>
        <w:ind w:left="480"/>
        <w:rPr>
          <w:rFonts w:hint="eastAsia" w:ascii="宋体" w:hAnsi="宋体" w:eastAsia="宋体" w:cs="宋体"/>
          <w:sz w:val="24"/>
          <w:szCs w:val="24"/>
        </w:rPr>
      </w:pPr>
      <w:r>
        <w:rPr>
          <w:rFonts w:hint="eastAsia" w:ascii="宋体" w:hAnsi="宋体" w:eastAsia="宋体" w:cs="宋体"/>
          <w:sz w:val="24"/>
          <w:szCs w:val="24"/>
        </w:rPr>
        <w:t>（5）乙方将本合同转包或分包；</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（6）乙方部分转让或全部转让其应履行的合同义务或享有的合同权利；</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（7）乙方所提供服务存在严重瑕疵或重大缺陷；</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（8）乙方资质、提供服务人员等情况的真实性存在重大瑕疵或相应的资质失效；</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（9）乙方中期验收或最终验收不合格且未采取经甲方认可的改善措施的，以及在第三部分规定的各阶段验收时间期限内一直未通过验收的；</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（10）给甲方或中国人民银行的既有硬件、软件或其他财产造成重大损害（包括损失额超过（人民币￥3,000.00）元整（大写：人民币叁仟元整）或造成重大负面影响的）；</w:t>
      </w:r>
    </w:p>
    <w:p>
      <w:pPr>
        <w:tabs>
          <w:tab w:val="left" w:pos="1134"/>
        </w:tabs>
        <w:spacing w:line="360" w:lineRule="auto"/>
        <w:ind w:left="142" w:firstLine="424" w:firstLineChars="177"/>
        <w:rPr>
          <w:rFonts w:hint="eastAsia" w:ascii="宋体" w:hAnsi="宋体" w:eastAsia="宋体" w:cs="宋体"/>
          <w:sz w:val="24"/>
          <w:szCs w:val="24"/>
        </w:rPr>
      </w:pPr>
      <w:r>
        <w:rPr>
          <w:rFonts w:hint="eastAsia" w:ascii="宋体" w:hAnsi="宋体" w:eastAsia="宋体" w:cs="宋体"/>
          <w:sz w:val="24"/>
          <w:szCs w:val="24"/>
        </w:rPr>
        <w:t>（11）乙方严重违反本合同规定的条款并在甲方给予书面通知后3个工作日内仍未采取合理有效且被甲方书面认可的补救措施；</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（12）本合同约定或法律规定的其他甲方有权解除合同的情形。</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7.6.8如果违约方在收到守约方正式书面通知的违约金额7日内没有答复，则守约方提出的违约金额将视为被违约方接受。</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7.6.9甲乙双方承担违约责任并不影响双方继续履行合同未履行的部分。</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7.6.10乙方应对违约行为承担赔偿责任时，如果本合同约定的违约金、滞纳金不足以赔偿甲方全部损失的，乙方还应当对不足部分承担继续赔偿的责任。此外，甲方有权直接从未支付款项中扣除相应金额的款项作为乙方应支付的违约金或赔偿金。</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7.6.11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spacing w:after="12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7.6.12 在验收审核过程中，甲方若发现有短缺或不符合服务要求、条款和质量标准的情况，由乙方负责补齐、修改并且重新申请验收，由此产生的一切损失由乙方承担。如果再次验收仍然不能通过，甲方有权终止项目，并要求供应商赔偿。</w:t>
      </w:r>
    </w:p>
    <w:p>
      <w:pPr>
        <w:spacing w:after="12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7.6.13乙方违反本合同约定，将其在本合同履行过程中知悉的甲方的未公开的技术信息或经营信息令第三人知悉，应向甲方支付相当于本合同费用总额5%的违约金，并赔偿由此给甲方造成的损失，同时甲方有权解除本合同。</w:t>
      </w:r>
    </w:p>
    <w:p>
      <w:pPr>
        <w:spacing w:after="12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7.6.14如果乙方未经甲方书面同意，将本合同项下的义务转包或分包给其他单位或个人，乙方应当向甲方支付相当于本合同费用总额5%的违约金，并赔偿由此给甲方造成的损失，同时甲方有权解除本合同。</w:t>
      </w:r>
    </w:p>
    <w:p>
      <w:pPr>
        <w:spacing w:after="120"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7.6.15甲方认为从乙方的履行情况及进度判断乙方无法依约完成义务，经甲方书面通知要求乙方限期纠正或者提供相应的担保，乙方在该期限届满时仍未纠正或者提供相应的担保的，甲方有权解除本合同；合同解除后，对已经得到甲方书面认可的部分，甲方应当支付相应的技术支持服务费，其余的甲方已付款项乙方应当退还。除此之外，甲方不承担乙方的其他损失。</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7.6.16本合同所称的甲方损失，是指甲方因调查乙方的违约行为、采取补救措施而支出的所有费用，包括但不限于甲方的先期经济投入，以及甲方向乙方及有关单位追索而发生的仲裁费、诉讼费、执行费、保全费、公证费、律师费、差旅费等费用。</w:t>
      </w:r>
    </w:p>
    <w:p>
      <w:pPr>
        <w:spacing w:before="156" w:beforeLines="50" w:line="360" w:lineRule="auto"/>
        <w:jc w:val="center"/>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第八部分不可抗力</w:t>
      </w:r>
    </w:p>
    <w:p>
      <w:pPr>
        <w:spacing w:line="360" w:lineRule="auto"/>
        <w:ind w:firstLine="540" w:firstLineChars="225"/>
        <w:rPr>
          <w:rFonts w:hint="eastAsia" w:ascii="宋体" w:hAnsi="宋体" w:eastAsia="宋体" w:cs="宋体"/>
          <w:color w:val="000000"/>
          <w:sz w:val="24"/>
          <w:szCs w:val="24"/>
        </w:rPr>
      </w:pPr>
      <w:r>
        <w:rPr>
          <w:rFonts w:hint="eastAsia" w:ascii="宋体" w:hAnsi="宋体" w:eastAsia="宋体" w:cs="宋体"/>
          <w:color w:val="000000"/>
          <w:sz w:val="24"/>
          <w:szCs w:val="24"/>
        </w:rPr>
        <w:t>8.1 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line="360" w:lineRule="auto"/>
        <w:ind w:firstLine="540" w:firstLineChars="225"/>
        <w:rPr>
          <w:rFonts w:hint="eastAsia" w:ascii="宋体" w:hAnsi="宋体" w:eastAsia="宋体" w:cs="宋体"/>
          <w:color w:val="000000"/>
          <w:sz w:val="24"/>
          <w:szCs w:val="24"/>
        </w:rPr>
      </w:pPr>
      <w:r>
        <w:rPr>
          <w:rFonts w:hint="eastAsia" w:ascii="宋体" w:hAnsi="宋体" w:eastAsia="宋体" w:cs="宋体"/>
          <w:color w:val="000000"/>
          <w:sz w:val="24"/>
          <w:szCs w:val="24"/>
        </w:rPr>
        <w:t>8.2遭受不可抗力一方应在不可抗力事件发生后2日内以书面形式通知其他方;并在事件发生后10日内，将有关部门出具的证明文件、详细情况报告以及不可抗力对合同影响程度的说明用特快专递或挂号信的形式寄给其他方。如果不可抗力影响时间延续60日以上，各方应通过友好协商在合理的时间内达成进一步履行合同或终止合同的协议。</w:t>
      </w:r>
    </w:p>
    <w:p>
      <w:pPr>
        <w:spacing w:line="360" w:lineRule="auto"/>
        <w:ind w:firstLine="540" w:firstLineChars="225"/>
        <w:rPr>
          <w:rFonts w:hint="eastAsia" w:ascii="宋体" w:hAnsi="宋体" w:eastAsia="宋体" w:cs="宋体"/>
          <w:color w:val="000000"/>
          <w:sz w:val="24"/>
          <w:szCs w:val="24"/>
        </w:rPr>
      </w:pPr>
      <w:r>
        <w:rPr>
          <w:rFonts w:hint="eastAsia" w:ascii="宋体" w:hAnsi="宋体" w:eastAsia="宋体" w:cs="宋体"/>
          <w:color w:val="000000"/>
          <w:sz w:val="24"/>
          <w:szCs w:val="24"/>
        </w:rPr>
        <w:t>8.3 除迟延履行后发生不可抗力外，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8.4 受事件影响的一方应在不可抗力事件影响停止或消除后10日内将不可抗力事件已停止的报告以书面形式通知其他方。</w:t>
      </w:r>
    </w:p>
    <w:p>
      <w:pPr>
        <w:spacing w:before="156" w:beforeLines="50" w:line="360" w:lineRule="auto"/>
        <w:jc w:val="center"/>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第九部分保密约定</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9.1 乙方应对在本合同履行过程中知悉的有关甲方的商业、国家等秘密承担保密义务。除经甲方的同意或法律、法规另有规定，乙方不得向本合同以外的任何第三人提供、泄漏上述秘密。乙方违反保密义务的，应按合同附件一《业务合作保密协议》之约定承担违约责任。违反本条规定给甲方造成损失的，乙方应承担相应责任。</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9.2 除合同本身以外，由甲方提供给乙方的所有资料始终为甲方的财产，乙方应于合同义务履行完毕后将上述资料包括副本退还给甲方。</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9.3 不论合同是否解除或终止，本条持续有效。</w:t>
      </w:r>
    </w:p>
    <w:p>
      <w:pPr>
        <w:spacing w:before="156" w:beforeLines="50" w:line="360" w:lineRule="auto"/>
        <w:jc w:val="center"/>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第十部分争议</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10.1在执行本合同中所发生的争端，或与本合同有关的一切争端，甲、乙双方应通过协商解决。如通过协商方式仍不能解决争议，双方同意依法向甲方所在地有管辖权的人民法院提起诉讼。</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10.2在诉讼期间，除正在进行诉讼部分外，本合同其他部分应继续执行。</w:t>
      </w:r>
    </w:p>
    <w:p>
      <w:pPr>
        <w:spacing w:before="156" w:beforeLines="50" w:line="360" w:lineRule="auto"/>
        <w:jc w:val="center"/>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第十一部分合同的终止</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11.1甲乙双方均不得单方面随意变更或解除合同。出现下列情况时本合同自行终止：</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11.1.1本合同正常履行完毕；</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11.1.2甲乙双方在不违反法律、法规规定的情况下协议终止本合同的履行；</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11.1.3不可抗力导致本合同无法履行或履行不必要时；</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11.1.4一方根据本合同规定提出解除合同后，本合同在责任方按照本合同的约定履行完毕全部支付义务或其他义务后终止。</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11.2合同的终止并不影响甲乙双方承担其他法律责任。</w:t>
      </w:r>
    </w:p>
    <w:p>
      <w:pPr>
        <w:spacing w:before="156" w:beforeLines="50" w:line="360" w:lineRule="auto"/>
        <w:jc w:val="center"/>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第十二部分法律适用</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本合同应适用中华人民共和国法律。</w:t>
      </w:r>
    </w:p>
    <w:p>
      <w:pPr>
        <w:spacing w:before="156" w:beforeLines="50" w:line="360" w:lineRule="auto"/>
        <w:jc w:val="center"/>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第十三部分其他</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13.1合同书写应用中文，各方所有的来往信函，以及合同有关的文件均应以中文书写，以外文书写的必须附有相应的中文译本。如果两种文本的含义发生冲突，各方同意以中文文本为准。</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13.3本合同一式四份，甲方持二份，乙方持二份，经甲、乙双方法定代表人或其授权代表签字、加盖单位公章或合同章</w:t>
      </w:r>
      <w:r>
        <w:rPr>
          <w:rFonts w:hint="eastAsia" w:ascii="宋体" w:hAnsi="宋体" w:eastAsia="宋体" w:cs="宋体"/>
          <w:color w:val="000000"/>
          <w:sz w:val="24"/>
          <w:szCs w:val="24"/>
        </w:rPr>
        <w:t>并在甲方收到</w:t>
      </w:r>
      <w:r>
        <w:rPr>
          <w:rFonts w:hint="eastAsia" w:ascii="宋体" w:hAnsi="宋体" w:eastAsia="宋体" w:cs="宋体"/>
          <w:sz w:val="24"/>
          <w:szCs w:val="24"/>
        </w:rPr>
        <w:t>履约</w:t>
      </w:r>
      <w:r>
        <w:rPr>
          <w:rFonts w:hint="eastAsia" w:ascii="宋体" w:hAnsi="宋体" w:eastAsia="宋体" w:cs="宋体"/>
          <w:color w:val="000000"/>
          <w:sz w:val="24"/>
          <w:szCs w:val="24"/>
        </w:rPr>
        <w:t>保证金后</w:t>
      </w:r>
      <w:r>
        <w:rPr>
          <w:rFonts w:hint="eastAsia" w:ascii="宋体" w:hAnsi="宋体" w:eastAsia="宋体" w:cs="宋体"/>
          <w:sz w:val="24"/>
          <w:szCs w:val="24"/>
        </w:rPr>
        <w:t>生效。</w:t>
      </w:r>
    </w:p>
    <w:p>
      <w:pPr>
        <w:spacing w:before="156" w:beforeLines="50" w:line="360" w:lineRule="auto"/>
        <w:jc w:val="center"/>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第十四部分附件</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14.1本合同附件均为本合同不可分割的部分，与合同正文具有同等法律效力。</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合同附件目录如下：</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附件一、业务合作保密协议</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附件二、合同清单及价格</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附件三、甲方的业务需求及技术规范</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附件四、乙方维护服务及质量保证承诺</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附件五、成交通知书</w:t>
      </w:r>
    </w:p>
    <w:p>
      <w:pPr>
        <w:tabs>
          <w:tab w:val="left" w:pos="9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附件六、供应商拥有者性别声明</w:t>
      </w:r>
    </w:p>
    <w:p>
      <w:pPr>
        <w:autoSpaceDE w:val="0"/>
        <w:autoSpaceDN w:val="0"/>
        <w:adjustRightInd w:val="0"/>
        <w:snapToGrid w:val="0"/>
        <w:spacing w:line="360" w:lineRule="auto"/>
        <w:ind w:left="360"/>
        <w:jc w:val="center"/>
        <w:rPr>
          <w:rFonts w:hint="eastAsia" w:ascii="宋体" w:hAnsi="宋体" w:eastAsia="宋体" w:cs="宋体"/>
          <w:kern w:val="0"/>
          <w:sz w:val="24"/>
          <w:szCs w:val="24"/>
        </w:rPr>
      </w:pPr>
    </w:p>
    <w:p>
      <w:pPr>
        <w:autoSpaceDE w:val="0"/>
        <w:autoSpaceDN w:val="0"/>
        <w:adjustRightInd w:val="0"/>
        <w:snapToGrid w:val="0"/>
        <w:spacing w:line="360" w:lineRule="auto"/>
        <w:ind w:left="360"/>
        <w:jc w:val="center"/>
        <w:rPr>
          <w:rFonts w:hint="eastAsia" w:ascii="宋体" w:hAnsi="宋体" w:eastAsia="宋体" w:cs="宋体"/>
          <w:kern w:val="0"/>
          <w:sz w:val="24"/>
          <w:szCs w:val="24"/>
        </w:rPr>
      </w:pPr>
    </w:p>
    <w:p>
      <w:pPr>
        <w:autoSpaceDE w:val="0"/>
        <w:autoSpaceDN w:val="0"/>
        <w:adjustRightInd w:val="0"/>
        <w:snapToGrid w:val="0"/>
        <w:spacing w:line="360" w:lineRule="auto"/>
        <w:ind w:left="360"/>
        <w:jc w:val="center"/>
        <w:rPr>
          <w:rFonts w:hint="eastAsia" w:ascii="宋体" w:hAnsi="宋体" w:eastAsia="宋体" w:cs="宋体"/>
          <w:kern w:val="0"/>
          <w:sz w:val="24"/>
          <w:szCs w:val="24"/>
        </w:rPr>
      </w:pPr>
    </w:p>
    <w:p>
      <w:pPr>
        <w:spacing w:line="360" w:lineRule="auto"/>
        <w:jc w:val="center"/>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p>
    <w:p>
      <w:pPr>
        <w:spacing w:line="360" w:lineRule="auto"/>
        <w:jc w:val="both"/>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（本页为《中国人民银行征信中心2026年奇安信软硬件设备维保服务采购项目合同》之签署页）</w:t>
      </w:r>
    </w:p>
    <w:p>
      <w:pPr>
        <w:spacing w:line="360" w:lineRule="auto"/>
        <w:ind w:firstLine="480"/>
        <w:jc w:val="center"/>
        <w:rPr>
          <w:rFonts w:hint="eastAsia" w:ascii="宋体" w:hAnsi="宋体" w:eastAsia="宋体" w:cs="宋体"/>
          <w:sz w:val="24"/>
          <w:szCs w:val="24"/>
        </w:rPr>
      </w:pPr>
    </w:p>
    <w:p>
      <w:pPr>
        <w:spacing w:line="720"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 xml:space="preserve">甲    方： </w:t>
      </w:r>
      <w:r>
        <w:rPr>
          <w:rFonts w:hint="eastAsia" w:ascii="宋体" w:hAnsi="宋体" w:cs="宋体"/>
          <w:sz w:val="24"/>
          <w:szCs w:val="24"/>
          <w:lang w:val="en-US" w:eastAsia="zh-CN"/>
        </w:rPr>
        <w:t>中国人民银行征信中心</w:t>
      </w:r>
    </w:p>
    <w:p>
      <w:pPr>
        <w:spacing w:line="720" w:lineRule="auto"/>
        <w:jc w:val="left"/>
        <w:rPr>
          <w:rFonts w:hint="eastAsia" w:ascii="宋体" w:hAnsi="宋体" w:eastAsia="宋体" w:cs="宋体"/>
          <w:sz w:val="24"/>
          <w:szCs w:val="24"/>
        </w:rPr>
      </w:pPr>
      <w:r>
        <w:rPr>
          <w:rFonts w:hint="eastAsia" w:ascii="宋体" w:hAnsi="宋体" w:eastAsia="宋体" w:cs="宋体"/>
          <w:sz w:val="24"/>
          <w:szCs w:val="24"/>
        </w:rPr>
        <w:t xml:space="preserve">单位盖章：                     </w:t>
      </w:r>
    </w:p>
    <w:p>
      <w:pPr>
        <w:spacing w:line="720" w:lineRule="auto"/>
        <w:jc w:val="left"/>
        <w:rPr>
          <w:rFonts w:hint="eastAsia" w:ascii="宋体" w:hAnsi="宋体" w:eastAsia="宋体" w:cs="宋体"/>
          <w:sz w:val="24"/>
          <w:szCs w:val="24"/>
        </w:rPr>
      </w:pPr>
      <w:r>
        <w:rPr>
          <w:rFonts w:hint="eastAsia" w:ascii="宋体" w:hAnsi="宋体" w:eastAsia="宋体" w:cs="宋体"/>
          <w:sz w:val="24"/>
          <w:szCs w:val="24"/>
        </w:rPr>
        <w:t xml:space="preserve">法定代表人或授权代表签字：      </w:t>
      </w:r>
    </w:p>
    <w:p>
      <w:pPr>
        <w:spacing w:line="720" w:lineRule="auto"/>
        <w:jc w:val="left"/>
        <w:rPr>
          <w:rFonts w:hint="eastAsia" w:ascii="宋体" w:hAnsi="宋体" w:eastAsia="宋体" w:cs="宋体"/>
          <w:sz w:val="24"/>
          <w:szCs w:val="24"/>
        </w:rPr>
      </w:pPr>
      <w:r>
        <w:rPr>
          <w:rFonts w:hint="eastAsia" w:ascii="宋体" w:hAnsi="宋体" w:eastAsia="宋体" w:cs="宋体"/>
          <w:sz w:val="24"/>
          <w:szCs w:val="24"/>
        </w:rPr>
        <w:t xml:space="preserve">日    期：                      </w:t>
      </w:r>
    </w:p>
    <w:p>
      <w:pPr>
        <w:spacing w:after="120"/>
        <w:jc w:val="left"/>
        <w:rPr>
          <w:rFonts w:hint="eastAsia" w:ascii="宋体" w:hAnsi="宋体" w:eastAsia="宋体" w:cs="宋体"/>
          <w:sz w:val="24"/>
          <w:szCs w:val="24"/>
        </w:rPr>
      </w:pPr>
    </w:p>
    <w:p>
      <w:pPr>
        <w:spacing w:after="120"/>
        <w:jc w:val="left"/>
        <w:rPr>
          <w:rFonts w:hint="eastAsia" w:ascii="宋体" w:hAnsi="宋体" w:eastAsia="宋体" w:cs="宋体"/>
          <w:sz w:val="24"/>
          <w:szCs w:val="24"/>
        </w:rPr>
      </w:pPr>
      <w:r>
        <w:rPr>
          <w:rFonts w:hint="eastAsia" w:ascii="宋体" w:hAnsi="宋体" w:eastAsia="宋体" w:cs="宋体"/>
          <w:sz w:val="24"/>
          <w:szCs w:val="24"/>
        </w:rPr>
        <w:t>乙    方：</w:t>
      </w:r>
      <w:r>
        <w:rPr>
          <w:rFonts w:hint="eastAsia" w:ascii="宋体" w:hAnsi="宋体" w:cs="宋体"/>
          <w:sz w:val="24"/>
          <w:szCs w:val="24"/>
        </w:rPr>
        <w:t>奇安信网神信息技术（北京）股份有限公司</w:t>
      </w:r>
    </w:p>
    <w:p>
      <w:pPr>
        <w:spacing w:line="720" w:lineRule="auto"/>
        <w:jc w:val="left"/>
        <w:rPr>
          <w:rFonts w:hint="eastAsia" w:ascii="宋体" w:hAnsi="宋体" w:eastAsia="宋体" w:cs="宋体"/>
          <w:sz w:val="24"/>
          <w:szCs w:val="24"/>
        </w:rPr>
      </w:pPr>
      <w:r>
        <w:rPr>
          <w:rFonts w:hint="eastAsia" w:ascii="宋体" w:hAnsi="宋体" w:eastAsia="宋体" w:cs="宋体"/>
          <w:sz w:val="24"/>
          <w:szCs w:val="24"/>
        </w:rPr>
        <w:t>单位盖章：</w:t>
      </w:r>
    </w:p>
    <w:p>
      <w:pPr>
        <w:spacing w:line="720" w:lineRule="auto"/>
        <w:jc w:val="left"/>
        <w:rPr>
          <w:rFonts w:hint="eastAsia" w:ascii="宋体" w:hAnsi="宋体" w:eastAsia="宋体" w:cs="宋体"/>
          <w:sz w:val="24"/>
          <w:szCs w:val="24"/>
        </w:rPr>
      </w:pPr>
      <w:r>
        <w:rPr>
          <w:rFonts w:hint="eastAsia" w:ascii="宋体" w:hAnsi="宋体" w:eastAsia="宋体" w:cs="宋体"/>
          <w:sz w:val="24"/>
          <w:szCs w:val="24"/>
        </w:rPr>
        <w:t>法定代表人或授权代表签字：</w:t>
      </w:r>
    </w:p>
    <w:p>
      <w:pPr>
        <w:spacing w:line="720" w:lineRule="auto"/>
        <w:jc w:val="left"/>
        <w:rPr>
          <w:rFonts w:hint="eastAsia" w:ascii="宋体" w:hAnsi="宋体" w:eastAsia="宋体" w:cs="宋体"/>
          <w:sz w:val="24"/>
          <w:szCs w:val="24"/>
        </w:rPr>
      </w:pPr>
      <w:r>
        <w:rPr>
          <w:rFonts w:hint="eastAsia" w:ascii="宋体" w:hAnsi="宋体" w:eastAsia="宋体" w:cs="宋体"/>
          <w:sz w:val="24"/>
          <w:szCs w:val="24"/>
        </w:rPr>
        <w:t>日    期：</w:t>
      </w:r>
    </w:p>
    <w:p>
      <w:pPr>
        <w:spacing w:line="720" w:lineRule="auto"/>
        <w:jc w:val="left"/>
        <w:rPr>
          <w:rFonts w:hint="eastAsia" w:ascii="宋体" w:hAnsi="宋体" w:eastAsia="宋体" w:cs="宋体"/>
          <w:b/>
          <w:sz w:val="24"/>
          <w:szCs w:val="24"/>
        </w:rPr>
      </w:pPr>
      <w:r>
        <w:drawing>
          <wp:inline distT="0" distB="0" distL="114300" distR="114300">
            <wp:extent cx="5271770" cy="4752340"/>
            <wp:effectExtent l="0" t="0" r="5080" b="1016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tretch>
                      <a:fillRect/>
                    </a:stretch>
                  </pic:blipFill>
                  <pic:spPr>
                    <a:xfrm>
                      <a:off x="0" y="0"/>
                      <a:ext cx="5271770" cy="4752340"/>
                    </a:xfrm>
                    <a:prstGeom prst="rect">
                      <a:avLst/>
                    </a:prstGeom>
                    <a:noFill/>
                    <a:ln>
                      <a:noFill/>
                    </a:ln>
                  </pic:spPr>
                </pic:pic>
              </a:graphicData>
            </a:graphic>
          </wp:inline>
        </w:drawing>
      </w:r>
    </w:p>
    <w:p>
      <w:pPr>
        <w:spacing w:line="720" w:lineRule="auto"/>
        <w:jc w:val="left"/>
        <w:rPr>
          <w:rFonts w:hint="eastAsia" w:ascii="宋体" w:hAnsi="宋体" w:eastAsia="宋体" w:cs="宋体"/>
          <w:b/>
          <w:sz w:val="24"/>
          <w:szCs w:val="24"/>
        </w:rPr>
      </w:pPr>
    </w:p>
    <w:p>
      <w:pPr>
        <w:spacing w:line="720" w:lineRule="auto"/>
        <w:jc w:val="left"/>
        <w:rPr>
          <w:rFonts w:hint="eastAsia" w:ascii="宋体" w:hAnsi="宋体" w:eastAsia="宋体" w:cs="宋体"/>
          <w:b/>
          <w:sz w:val="24"/>
          <w:szCs w:val="24"/>
        </w:rPr>
      </w:pPr>
    </w:p>
    <w:p>
      <w:pPr>
        <w:spacing w:line="720" w:lineRule="auto"/>
        <w:jc w:val="left"/>
        <w:rPr>
          <w:rFonts w:hint="eastAsia" w:ascii="宋体" w:hAnsi="宋体" w:eastAsia="宋体" w:cs="宋体"/>
          <w:b/>
          <w:sz w:val="24"/>
          <w:szCs w:val="24"/>
        </w:rPr>
      </w:pPr>
    </w:p>
    <w:p>
      <w:pPr>
        <w:spacing w:line="720" w:lineRule="auto"/>
        <w:jc w:val="left"/>
        <w:rPr>
          <w:rFonts w:hint="eastAsia" w:ascii="宋体" w:hAnsi="宋体" w:eastAsia="宋体" w:cs="宋体"/>
          <w:b/>
          <w:sz w:val="24"/>
          <w:szCs w:val="24"/>
        </w:rPr>
      </w:pPr>
    </w:p>
    <w:p/>
    <w:p>
      <w:pPr>
        <w:sectPr>
          <w:footerReference r:id="rId3" w:type="default"/>
          <w:pgSz w:w="11906" w:h="16838"/>
          <w:pgMar w:top="1440" w:right="1800" w:bottom="1440" w:left="1800" w:header="851" w:footer="992" w:gutter="0"/>
          <w:cols w:space="425" w:num="1"/>
          <w:docGrid w:type="lines" w:linePitch="312" w:charSpace="0"/>
        </w:sectPr>
      </w:pPr>
    </w:p>
    <w:p>
      <w:pPr>
        <w:tabs>
          <w:tab w:val="left" w:pos="900"/>
        </w:tabs>
        <w:spacing w:line="480" w:lineRule="exact"/>
        <w:rPr>
          <w:rFonts w:hint="eastAsia" w:ascii="宋体" w:hAnsi="宋体" w:eastAsia="宋体" w:cs="宋体"/>
          <w:sz w:val="24"/>
          <w:szCs w:val="24"/>
        </w:rPr>
      </w:pPr>
    </w:p>
    <w:p>
      <w:pPr>
        <w:rPr>
          <w:rFonts w:hint="eastAsia" w:eastAsia="宋体"/>
          <w:lang w:eastAsia="zh-CN"/>
        </w:rPr>
      </w:pPr>
      <w:r>
        <w:drawing>
          <wp:inline distT="0" distB="0" distL="114300" distR="114300">
            <wp:extent cx="5271135" cy="7355205"/>
            <wp:effectExtent l="0" t="0" r="5715" b="171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271135" cy="7355205"/>
                    </a:xfrm>
                    <a:prstGeom prst="rect">
                      <a:avLst/>
                    </a:prstGeom>
                    <a:noFill/>
                    <a:ln>
                      <a:noFill/>
                    </a:ln>
                  </pic:spPr>
                </pic:pic>
              </a:graphicData>
            </a:graphic>
          </wp:inline>
        </w:drawing>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A6B4D"/>
    <w:rsid w:val="010A465D"/>
    <w:rsid w:val="02906520"/>
    <w:rsid w:val="053F59D3"/>
    <w:rsid w:val="0590719D"/>
    <w:rsid w:val="095349D7"/>
    <w:rsid w:val="0A826844"/>
    <w:rsid w:val="0AC9274D"/>
    <w:rsid w:val="0C4049FC"/>
    <w:rsid w:val="0F876305"/>
    <w:rsid w:val="0FE637A8"/>
    <w:rsid w:val="114538D0"/>
    <w:rsid w:val="11614BF9"/>
    <w:rsid w:val="118969A8"/>
    <w:rsid w:val="11A05D3F"/>
    <w:rsid w:val="16431E2E"/>
    <w:rsid w:val="1BC14DC9"/>
    <w:rsid w:val="1BFA68CC"/>
    <w:rsid w:val="1CB424E4"/>
    <w:rsid w:val="1EF440FA"/>
    <w:rsid w:val="1F962B2D"/>
    <w:rsid w:val="22DF6543"/>
    <w:rsid w:val="24D45BE2"/>
    <w:rsid w:val="277A0466"/>
    <w:rsid w:val="2AF43C3D"/>
    <w:rsid w:val="2EFA1EB6"/>
    <w:rsid w:val="317B5B3D"/>
    <w:rsid w:val="33CB4108"/>
    <w:rsid w:val="37E02AB9"/>
    <w:rsid w:val="3B0A7997"/>
    <w:rsid w:val="3B7C07E3"/>
    <w:rsid w:val="3E955132"/>
    <w:rsid w:val="4036518B"/>
    <w:rsid w:val="43372A17"/>
    <w:rsid w:val="47EB22F0"/>
    <w:rsid w:val="4B6A69C7"/>
    <w:rsid w:val="4CD5641A"/>
    <w:rsid w:val="4FD92F10"/>
    <w:rsid w:val="516C04D8"/>
    <w:rsid w:val="527C4054"/>
    <w:rsid w:val="52867627"/>
    <w:rsid w:val="5E582E54"/>
    <w:rsid w:val="5F3A1CDE"/>
    <w:rsid w:val="60D22719"/>
    <w:rsid w:val="68185BEC"/>
    <w:rsid w:val="68D96EB3"/>
    <w:rsid w:val="6A47700B"/>
    <w:rsid w:val="6A9011DD"/>
    <w:rsid w:val="6C180FD1"/>
    <w:rsid w:val="6CF959D6"/>
    <w:rsid w:val="70251764"/>
    <w:rsid w:val="73907CBE"/>
    <w:rsid w:val="73D46E2C"/>
    <w:rsid w:val="74CC682B"/>
    <w:rsid w:val="74D61706"/>
    <w:rsid w:val="78060116"/>
    <w:rsid w:val="795A562D"/>
    <w:rsid w:val="7B9671F1"/>
    <w:rsid w:val="7DE66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qFormat/>
    <w:uiPriority w:val="0"/>
    <w:rPr>
      <w:rFonts w:ascii="宋体" w:hAnsi="Courier New"/>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p0"/>
    <w:basedOn w:val="1"/>
    <w:qFormat/>
    <w:uiPriority w:val="0"/>
    <w:pPr>
      <w:widowControl/>
      <w:adjustRightInd/>
      <w:spacing w:line="240" w:lineRule="auto"/>
      <w:textAlignment w:val="auto"/>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16046</Words>
  <Characters>18989</Characters>
  <Lines>0</Lines>
  <Paragraphs>0</Paragraphs>
  <TotalTime>6</TotalTime>
  <ScaleCrop>false</ScaleCrop>
  <LinksUpToDate>false</LinksUpToDate>
  <CharactersWithSpaces>19259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2025-12-08T05:57:00Z</dcterms:created>
  <dc:creator>zhangshuangling</dc:creator>
  <cp:lastModifiedBy>pzm</cp:lastModifiedBy>
  <dcterms:modified xsi:type="dcterms:W3CDTF">2026-01-06T06:53:56Z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A2CBAD1857264AB69C94CD18314B7AE1</vt:lpwstr>
  </property>
</Properties>
</file>