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ind w:left="420" w:hanging="420"/>
        <w:jc w:val="center"/>
        <w:rPr>
          <w:rFonts w:hint="eastAsia" w:asciiTheme="minorEastAsia" w:hAnsiTheme="minorEastAsia" w:eastAsiaTheme="minorEastAsia" w:cstheme="minorEastAsia"/>
          <w:b/>
          <w:bCs/>
          <w:color w:val="000000"/>
          <w:sz w:val="36"/>
          <w:szCs w:val="32"/>
        </w:rPr>
      </w:pPr>
    </w:p>
    <w:p>
      <w:pPr>
        <w:autoSpaceDE w:val="0"/>
        <w:autoSpaceDN w:val="0"/>
        <w:adjustRightInd w:val="0"/>
        <w:spacing w:line="360" w:lineRule="auto"/>
        <w:ind w:left="420" w:hanging="420"/>
        <w:jc w:val="center"/>
        <w:rPr>
          <w:rFonts w:hint="eastAsia" w:asciiTheme="minorEastAsia" w:hAnsiTheme="minorEastAsia" w:eastAsiaTheme="minorEastAsia" w:cstheme="minorEastAsia"/>
          <w:b/>
          <w:bCs/>
          <w:color w:val="000000"/>
          <w:sz w:val="36"/>
          <w:szCs w:val="32"/>
        </w:rPr>
      </w:pPr>
    </w:p>
    <w:p>
      <w:pPr>
        <w:autoSpaceDE w:val="0"/>
        <w:autoSpaceDN w:val="0"/>
        <w:adjustRightInd w:val="0"/>
        <w:spacing w:line="360" w:lineRule="auto"/>
        <w:ind w:left="420" w:hanging="420"/>
        <w:jc w:val="center"/>
        <w:rPr>
          <w:rFonts w:hint="eastAsia" w:asciiTheme="minorEastAsia" w:hAnsiTheme="minorEastAsia" w:eastAsiaTheme="minorEastAsia" w:cstheme="minorEastAsia"/>
          <w:b/>
          <w:bCs/>
          <w:color w:val="000000"/>
          <w:sz w:val="36"/>
          <w:szCs w:val="32"/>
        </w:rPr>
      </w:pPr>
    </w:p>
    <w:p>
      <w:pPr>
        <w:autoSpaceDE w:val="0"/>
        <w:autoSpaceDN w:val="0"/>
        <w:adjustRightInd w:val="0"/>
        <w:spacing w:line="360" w:lineRule="auto"/>
        <w:ind w:left="420" w:hanging="420"/>
        <w:jc w:val="center"/>
        <w:rPr>
          <w:rFonts w:hint="eastAsia" w:asciiTheme="minorEastAsia" w:hAnsiTheme="minorEastAsia" w:eastAsiaTheme="minorEastAsia" w:cstheme="minorEastAsia"/>
          <w:b/>
          <w:bCs/>
          <w:color w:val="000000"/>
          <w:sz w:val="36"/>
          <w:szCs w:val="32"/>
        </w:rPr>
      </w:pPr>
    </w:p>
    <w:p>
      <w:pPr>
        <w:autoSpaceDE w:val="0"/>
        <w:autoSpaceDN w:val="0"/>
        <w:adjustRightInd w:val="0"/>
        <w:spacing w:line="360" w:lineRule="auto"/>
        <w:ind w:left="420" w:hanging="420"/>
        <w:jc w:val="center"/>
        <w:rPr>
          <w:rFonts w:hint="eastAsia" w:asciiTheme="minorEastAsia" w:hAnsiTheme="minorEastAsia" w:eastAsiaTheme="minorEastAsia" w:cstheme="minorEastAsia"/>
          <w:b/>
          <w:bCs/>
          <w:color w:val="000000"/>
          <w:sz w:val="36"/>
          <w:szCs w:val="32"/>
        </w:rPr>
      </w:pPr>
    </w:p>
    <w:p>
      <w:pPr>
        <w:autoSpaceDE w:val="0"/>
        <w:autoSpaceDN w:val="0"/>
        <w:adjustRightInd w:val="0"/>
        <w:spacing w:line="360" w:lineRule="auto"/>
        <w:ind w:left="420" w:hanging="420"/>
        <w:jc w:val="center"/>
        <w:rPr>
          <w:rFonts w:hint="eastAsia" w:asciiTheme="minorEastAsia" w:hAnsiTheme="minorEastAsia" w:eastAsiaTheme="minorEastAsia" w:cstheme="minorEastAsia"/>
          <w:b/>
          <w:bCs/>
          <w:sz w:val="36"/>
          <w:szCs w:val="22"/>
        </w:rPr>
      </w:pPr>
      <w:r>
        <w:rPr>
          <w:rFonts w:hint="eastAsia" w:asciiTheme="minorEastAsia" w:hAnsiTheme="minorEastAsia" w:eastAsiaTheme="minorEastAsia" w:cstheme="minorEastAsia"/>
          <w:b/>
          <w:bCs/>
          <w:color w:val="000000"/>
          <w:sz w:val="36"/>
          <w:szCs w:val="32"/>
        </w:rPr>
        <w:t>中国人民银行征信中心2026年Kyligence多维分析平台软件维保服务采购项目</w:t>
      </w:r>
      <w:r>
        <w:rPr>
          <w:rFonts w:hint="eastAsia" w:asciiTheme="minorEastAsia" w:hAnsiTheme="minorEastAsia" w:eastAsiaTheme="minorEastAsia" w:cstheme="minorEastAsia"/>
          <w:b/>
          <w:bCs/>
          <w:sz w:val="36"/>
          <w:szCs w:val="32"/>
        </w:rPr>
        <w:t>合同</w:t>
      </w:r>
    </w:p>
    <w:p>
      <w:pPr>
        <w:autoSpaceDE w:val="0"/>
        <w:autoSpaceDN w:val="0"/>
        <w:adjustRightInd w:val="0"/>
        <w:spacing w:line="360" w:lineRule="auto"/>
        <w:ind w:left="420" w:hanging="420"/>
        <w:jc w:val="center"/>
        <w:rPr>
          <w:rFonts w:hint="eastAsia" w:asciiTheme="minorEastAsia" w:hAnsiTheme="minorEastAsia" w:eastAsiaTheme="minorEastAsia" w:cstheme="minorEastAsia"/>
          <w:b/>
          <w:color w:val="000000"/>
          <w:szCs w:val="21"/>
        </w:rPr>
      </w:pPr>
    </w:p>
    <w:p>
      <w:pPr>
        <w:autoSpaceDE w:val="0"/>
        <w:autoSpaceDN w:val="0"/>
        <w:adjustRightInd w:val="0"/>
        <w:ind w:left="420" w:hanging="420"/>
        <w:jc w:val="center"/>
        <w:rPr>
          <w:rFonts w:hint="eastAsia" w:asciiTheme="minorEastAsia" w:hAnsiTheme="minorEastAsia" w:eastAsiaTheme="minorEastAsia" w:cstheme="minorEastAsia"/>
          <w:b/>
          <w:color w:val="000000"/>
          <w:szCs w:val="21"/>
        </w:rPr>
      </w:pPr>
    </w:p>
    <w:p>
      <w:pPr>
        <w:autoSpaceDE w:val="0"/>
        <w:autoSpaceDN w:val="0"/>
        <w:adjustRightInd w:val="0"/>
        <w:ind w:left="420" w:hanging="420"/>
        <w:jc w:val="center"/>
        <w:rPr>
          <w:rFonts w:hint="eastAsia" w:asciiTheme="minorEastAsia" w:hAnsiTheme="minorEastAsia" w:eastAsiaTheme="minorEastAsia" w:cstheme="minorEastAsia"/>
          <w:b/>
          <w:color w:val="000000"/>
          <w:sz w:val="32"/>
          <w:szCs w:val="21"/>
          <w:lang w:val="zh-CN"/>
        </w:rPr>
      </w:pPr>
      <w:r>
        <w:rPr>
          <w:rFonts w:hint="eastAsia" w:asciiTheme="minorEastAsia" w:hAnsiTheme="minorEastAsia" w:eastAsiaTheme="minorEastAsia" w:cstheme="minorEastAsia"/>
          <w:b/>
          <w:color w:val="000000"/>
          <w:sz w:val="32"/>
          <w:szCs w:val="21"/>
          <w:lang w:val="zh-CN"/>
        </w:rPr>
        <w:t>合同编号：ZXZX-</w:t>
      </w:r>
      <w:r>
        <w:rPr>
          <w:rFonts w:hint="eastAsia" w:asciiTheme="minorEastAsia" w:hAnsiTheme="minorEastAsia" w:eastAsiaTheme="minorEastAsia" w:cstheme="minorEastAsia"/>
          <w:b/>
          <w:color w:val="000000"/>
          <w:sz w:val="32"/>
          <w:szCs w:val="21"/>
        </w:rPr>
        <w:t>2025</w:t>
      </w:r>
      <w:r>
        <w:rPr>
          <w:rFonts w:hint="eastAsia" w:asciiTheme="minorEastAsia" w:hAnsiTheme="minorEastAsia" w:eastAsiaTheme="minorEastAsia" w:cstheme="minorEastAsia"/>
          <w:b/>
          <w:color w:val="000000"/>
          <w:sz w:val="32"/>
          <w:szCs w:val="21"/>
          <w:lang w:val="zh-CN"/>
        </w:rPr>
        <w:t>-</w:t>
      </w: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rPr>
          <w:rFonts w:hint="eastAsia" w:asciiTheme="minorEastAsia" w:hAnsiTheme="minorEastAsia" w:eastAsiaTheme="minorEastAsia" w:cstheme="minorEastAsia"/>
          <w:b/>
          <w:bCs/>
          <w:color w:val="000000"/>
          <w:sz w:val="24"/>
          <w:szCs w:val="22"/>
          <w:lang w:val="zh-CN"/>
        </w:rPr>
      </w:pPr>
    </w:p>
    <w:p>
      <w:pPr>
        <w:autoSpaceDE w:val="0"/>
        <w:autoSpaceDN w:val="0"/>
        <w:adjustRightInd w:val="0"/>
        <w:rPr>
          <w:rFonts w:hint="eastAsia" w:asciiTheme="minorEastAsia" w:hAnsiTheme="minorEastAsia" w:eastAsiaTheme="minorEastAsia" w:cstheme="minorEastAsia"/>
          <w:b/>
          <w:bCs/>
          <w:color w:val="000000"/>
          <w:sz w:val="24"/>
          <w:szCs w:val="22"/>
          <w:lang w:val="zh-CN"/>
        </w:rPr>
      </w:pPr>
    </w:p>
    <w:p>
      <w:pPr>
        <w:autoSpaceDE w:val="0"/>
        <w:autoSpaceDN w:val="0"/>
        <w:adjustRightInd w:val="0"/>
        <w:jc w:val="center"/>
        <w:rPr>
          <w:rFonts w:hint="eastAsia" w:asciiTheme="minorEastAsia" w:hAnsiTheme="minorEastAsia" w:eastAsiaTheme="minorEastAsia" w:cstheme="minorEastAsia"/>
          <w:b/>
          <w:bCs/>
          <w:color w:val="000000"/>
          <w:sz w:val="24"/>
          <w:szCs w:val="22"/>
          <w:lang w:val="zh-CN"/>
        </w:rPr>
      </w:pPr>
      <w:r>
        <w:rPr>
          <w:rFonts w:hint="eastAsia" w:asciiTheme="minorEastAsia" w:hAnsiTheme="minorEastAsia" w:eastAsiaTheme="minorEastAsia" w:cstheme="minorEastAsia"/>
          <w:b/>
          <w:bCs/>
          <w:color w:val="000000"/>
          <w:sz w:val="24"/>
          <w:szCs w:val="22"/>
          <w:lang w:val="zh-CN"/>
        </w:rPr>
        <w:t>甲方：中国人民银行征信中心</w:t>
      </w:r>
    </w:p>
    <w:p>
      <w:pPr>
        <w:autoSpaceDE w:val="0"/>
        <w:autoSpaceDN w:val="0"/>
        <w:adjustRightInd w:val="0"/>
        <w:jc w:val="center"/>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firstLine="2961" w:firstLineChars="1229"/>
        <w:rPr>
          <w:rFonts w:hint="eastAsia" w:asciiTheme="minorEastAsia" w:hAnsiTheme="minorEastAsia" w:eastAsiaTheme="minorEastAsia" w:cstheme="minorEastAsia"/>
          <w:b/>
          <w:bCs/>
          <w:color w:val="000000"/>
          <w:sz w:val="24"/>
          <w:szCs w:val="22"/>
          <w:highlight w:val="yellow"/>
          <w:lang w:val="zh-CN"/>
        </w:rPr>
      </w:pPr>
      <w:r>
        <w:rPr>
          <w:rFonts w:hint="eastAsia" w:asciiTheme="minorEastAsia" w:hAnsiTheme="minorEastAsia" w:eastAsiaTheme="minorEastAsia" w:cstheme="minorEastAsia"/>
          <w:b/>
          <w:bCs/>
          <w:color w:val="000000"/>
          <w:sz w:val="24"/>
          <w:szCs w:val="22"/>
          <w:highlight w:val="none"/>
          <w:lang w:val="zh-CN"/>
        </w:rPr>
        <w:t>乙方：上海跬</w:t>
      </w:r>
      <w:r>
        <w:rPr>
          <w:rFonts w:hint="eastAsia" w:asciiTheme="minorEastAsia" w:hAnsiTheme="minorEastAsia" w:eastAsiaTheme="minorEastAsia" w:cstheme="minorEastAsia"/>
          <w:b/>
          <w:bCs/>
          <w:color w:val="000000"/>
          <w:sz w:val="24"/>
          <w:szCs w:val="22"/>
          <w:lang w:val="zh-CN"/>
        </w:rPr>
        <w:t>智信息技术有限公司</w:t>
      </w:r>
    </w:p>
    <w:p>
      <w:pPr>
        <w:autoSpaceDE w:val="0"/>
        <w:autoSpaceDN w:val="0"/>
        <w:adjustRightInd w:val="0"/>
        <w:ind w:firstLine="2961" w:firstLineChars="1229"/>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jc w:val="center"/>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jc w:val="center"/>
        <w:rPr>
          <w:rFonts w:hint="eastAsia" w:asciiTheme="minorEastAsia" w:hAnsiTheme="minorEastAsia" w:eastAsiaTheme="minorEastAsia" w:cstheme="minorEastAsia"/>
          <w:b/>
          <w:bCs/>
          <w:color w:val="000000"/>
          <w:sz w:val="24"/>
          <w:szCs w:val="22"/>
          <w:lang w:val="zh-CN"/>
        </w:rPr>
      </w:pPr>
    </w:p>
    <w:p>
      <w:pPr>
        <w:autoSpaceDE w:val="0"/>
        <w:autoSpaceDN w:val="0"/>
        <w:adjustRightInd w:val="0"/>
        <w:ind w:left="420" w:hanging="420"/>
        <w:jc w:val="center"/>
        <w:rPr>
          <w:rFonts w:hint="eastAsia" w:asciiTheme="minorEastAsia" w:hAnsiTheme="minorEastAsia" w:eastAsiaTheme="minorEastAsia" w:cstheme="minorEastAsia"/>
          <w:b/>
          <w:bCs/>
          <w:color w:val="000000"/>
          <w:sz w:val="24"/>
          <w:szCs w:val="22"/>
          <w:lang w:val="zh-CN"/>
        </w:rPr>
      </w:pPr>
    </w:p>
    <w:p>
      <w:pPr>
        <w:widowControl/>
        <w:jc w:val="center"/>
        <w:rPr>
          <w:rFonts w:hint="eastAsia" w:asciiTheme="minorEastAsia" w:hAnsiTheme="minorEastAsia" w:eastAsiaTheme="minorEastAsia" w:cstheme="minorEastAsia"/>
          <w:b/>
          <w:bCs/>
          <w:color w:val="000000"/>
          <w:sz w:val="24"/>
          <w:szCs w:val="22"/>
          <w:lang w:val="zh-CN"/>
        </w:rPr>
      </w:pPr>
      <w:r>
        <w:rPr>
          <w:rFonts w:hint="eastAsia" w:asciiTheme="minorEastAsia" w:hAnsiTheme="minorEastAsia" w:eastAsiaTheme="minorEastAsia" w:cstheme="minorEastAsia"/>
          <w:b/>
          <w:bCs/>
          <w:color w:val="000000"/>
          <w:sz w:val="24"/>
          <w:szCs w:val="22"/>
          <w:lang w:val="zh-CN"/>
        </w:rPr>
        <w:t>二〇</w:t>
      </w:r>
      <w:r>
        <w:rPr>
          <w:rFonts w:hint="eastAsia" w:asciiTheme="minorEastAsia" w:hAnsiTheme="minorEastAsia" w:eastAsiaTheme="minorEastAsia" w:cstheme="minorEastAsia"/>
          <w:b/>
          <w:bCs/>
          <w:color w:val="000000"/>
          <w:sz w:val="24"/>
          <w:szCs w:val="22"/>
        </w:rPr>
        <w:t>二五</w:t>
      </w:r>
      <w:r>
        <w:rPr>
          <w:rFonts w:hint="eastAsia" w:asciiTheme="minorEastAsia" w:hAnsiTheme="minorEastAsia" w:eastAsiaTheme="minorEastAsia" w:cstheme="minorEastAsia"/>
          <w:b/>
          <w:bCs/>
          <w:color w:val="000000"/>
          <w:sz w:val="24"/>
          <w:szCs w:val="22"/>
          <w:lang w:val="zh-CN"/>
        </w:rPr>
        <w:t>年</w:t>
      </w:r>
      <w:r>
        <w:rPr>
          <w:rFonts w:hint="eastAsia" w:asciiTheme="minorEastAsia" w:hAnsiTheme="minorEastAsia" w:eastAsiaTheme="minorEastAsia" w:cstheme="minorEastAsia"/>
          <w:b/>
          <w:bCs/>
          <w:color w:val="000000"/>
          <w:sz w:val="24"/>
          <w:szCs w:val="22"/>
          <w:lang w:val="en-US" w:eastAsia="zh-CN"/>
        </w:rPr>
        <w:t>十二</w:t>
      </w:r>
      <w:r>
        <w:rPr>
          <w:rFonts w:hint="eastAsia" w:asciiTheme="minorEastAsia" w:hAnsiTheme="minorEastAsia" w:eastAsiaTheme="minorEastAsia" w:cstheme="minorEastAsia"/>
          <w:b/>
          <w:bCs/>
          <w:color w:val="000000"/>
          <w:sz w:val="24"/>
          <w:szCs w:val="22"/>
          <w:lang w:val="zh-CN"/>
        </w:rPr>
        <w:t>月</w:t>
      </w:r>
    </w:p>
    <w:p>
      <w:pPr>
        <w:jc w:val="center"/>
        <w:rPr>
          <w:rFonts w:hint="eastAsia" w:asciiTheme="minorEastAsia" w:hAnsiTheme="minorEastAsia" w:eastAsiaTheme="minorEastAsia" w:cstheme="minorEastAsia"/>
          <w:b/>
          <w:color w:val="000000"/>
          <w:sz w:val="24"/>
          <w:szCs w:val="22"/>
        </w:rPr>
      </w:pPr>
    </w:p>
    <w:p>
      <w:pPr>
        <w:jc w:val="center"/>
        <w:rPr>
          <w:rFonts w:hint="eastAsia" w:asciiTheme="minorEastAsia" w:hAnsiTheme="minorEastAsia" w:eastAsiaTheme="minorEastAsia" w:cstheme="minorEastAsia"/>
          <w:b/>
          <w:color w:val="000000"/>
          <w:sz w:val="24"/>
          <w:szCs w:val="22"/>
        </w:rPr>
      </w:pPr>
    </w:p>
    <w:p>
      <w:pPr>
        <w:jc w:val="center"/>
        <w:rPr>
          <w:rFonts w:hint="eastAsia" w:asciiTheme="minorEastAsia" w:hAnsiTheme="minorEastAsia" w:eastAsiaTheme="minorEastAsia" w:cstheme="minorEastAsia"/>
          <w:b/>
          <w:color w:val="000000"/>
          <w:sz w:val="24"/>
          <w:szCs w:val="22"/>
        </w:rPr>
      </w:pPr>
    </w:p>
    <w:p>
      <w:pPr>
        <w:jc w:val="center"/>
        <w:rPr>
          <w:rFonts w:hint="eastAsia" w:asciiTheme="minorEastAsia" w:hAnsiTheme="minorEastAsia" w:eastAsiaTheme="minorEastAsia" w:cstheme="minorEastAsia"/>
          <w:b/>
          <w:bCs/>
          <w:color w:val="000000"/>
          <w:sz w:val="44"/>
          <w:szCs w:val="22"/>
        </w:rPr>
      </w:pPr>
      <w:r>
        <w:rPr>
          <w:rFonts w:hint="eastAsia" w:asciiTheme="minorEastAsia" w:hAnsiTheme="minorEastAsia" w:eastAsiaTheme="minorEastAsia" w:cstheme="minorEastAsia"/>
          <w:b/>
          <w:color w:val="000000"/>
          <w:sz w:val="24"/>
          <w:szCs w:val="22"/>
        </w:rPr>
        <w:t>签订地点：上海</w:t>
      </w:r>
    </w:p>
    <w:p>
      <w:pPr>
        <w:spacing w:line="360" w:lineRule="auto"/>
        <w:rPr>
          <w:rFonts w:hint="eastAsia" w:asciiTheme="minorEastAsia" w:hAnsiTheme="minorEastAsia" w:eastAsiaTheme="minorEastAsia" w:cstheme="minorEastAsia"/>
          <w:bCs/>
          <w:color w:val="000000"/>
          <w:sz w:val="24"/>
          <w:szCs w:val="22"/>
        </w:rPr>
      </w:pPr>
    </w:p>
    <w:p>
      <w:pPr>
        <w:spacing w:line="360" w:lineRule="auto"/>
        <w:rPr>
          <w:rFonts w:hint="eastAsia" w:asciiTheme="minorEastAsia" w:hAnsiTheme="minorEastAsia" w:eastAsiaTheme="minorEastAsia" w:cstheme="minorEastAsia"/>
          <w:bCs/>
          <w:color w:val="000000"/>
          <w:sz w:val="24"/>
          <w:szCs w:val="22"/>
        </w:rPr>
        <w:sectPr>
          <w:headerReference r:id="rId5" w:type="first"/>
          <w:footerReference r:id="rId8" w:type="first"/>
          <w:headerReference r:id="rId3" w:type="default"/>
          <w:footerReference r:id="rId6" w:type="default"/>
          <w:headerReference r:id="rId4" w:type="even"/>
          <w:footerReference r:id="rId7" w:type="even"/>
          <w:pgSz w:w="11906" w:h="16838"/>
          <w:pgMar w:top="1304" w:right="1418" w:bottom="1247" w:left="1418" w:header="851" w:footer="851" w:gutter="0"/>
          <w:cols w:space="720" w:num="1"/>
          <w:titlePg/>
          <w:docGrid w:linePitch="312" w:charSpace="0"/>
        </w:sectPr>
      </w:pPr>
    </w:p>
    <w:p>
      <w:pPr>
        <w:pStyle w:val="12"/>
        <w:spacing w:line="360" w:lineRule="auto"/>
        <w:rPr>
          <w:rFonts w:ascii="宋体" w:hAnsi="宋体"/>
          <w:b/>
          <w:bCs/>
          <w:sz w:val="24"/>
          <w:szCs w:val="24"/>
          <w:highlight w:val="none"/>
        </w:rPr>
      </w:pPr>
      <w:r>
        <w:rPr>
          <w:rFonts w:hint="eastAsia" w:ascii="宋体" w:hAnsi="宋体"/>
          <w:b/>
          <w:bCs/>
          <w:sz w:val="24"/>
          <w:szCs w:val="24"/>
          <w:highlight w:val="none"/>
        </w:rPr>
        <w:t>甲    方：中国人民银行征信中心</w:t>
      </w:r>
    </w:p>
    <w:p>
      <w:pPr>
        <w:pStyle w:val="12"/>
        <w:spacing w:line="360" w:lineRule="auto"/>
        <w:rPr>
          <w:rFonts w:ascii="宋体" w:hAnsi="宋体"/>
          <w:sz w:val="24"/>
          <w:szCs w:val="24"/>
          <w:highlight w:val="none"/>
        </w:rPr>
      </w:pPr>
      <w:r>
        <w:rPr>
          <w:rFonts w:hint="eastAsia" w:ascii="宋体" w:hAnsi="宋体"/>
          <w:sz w:val="24"/>
          <w:szCs w:val="24"/>
          <w:highlight w:val="none"/>
        </w:rPr>
        <w:t>法定代表人：</w:t>
      </w:r>
    </w:p>
    <w:p>
      <w:pPr>
        <w:pStyle w:val="12"/>
        <w:spacing w:line="360" w:lineRule="auto"/>
        <w:rPr>
          <w:rFonts w:ascii="宋体" w:hAnsi="宋体"/>
          <w:sz w:val="24"/>
          <w:szCs w:val="24"/>
          <w:highlight w:val="none"/>
        </w:rPr>
      </w:pPr>
      <w:r>
        <w:rPr>
          <w:rFonts w:hint="eastAsia" w:ascii="宋体" w:hAnsi="宋体"/>
          <w:sz w:val="24"/>
          <w:szCs w:val="24"/>
          <w:highlight w:val="none"/>
        </w:rPr>
        <w:t>地    址：</w:t>
      </w:r>
    </w:p>
    <w:p>
      <w:pPr>
        <w:pStyle w:val="12"/>
        <w:spacing w:line="360" w:lineRule="auto"/>
        <w:rPr>
          <w:rFonts w:ascii="宋体" w:hAnsi="宋体"/>
          <w:sz w:val="24"/>
          <w:szCs w:val="24"/>
          <w:highlight w:val="none"/>
        </w:rPr>
      </w:pPr>
      <w:r>
        <w:rPr>
          <w:rFonts w:hint="eastAsia" w:ascii="宋体" w:hAnsi="宋体"/>
          <w:sz w:val="24"/>
          <w:szCs w:val="24"/>
          <w:highlight w:val="none"/>
        </w:rPr>
        <w:t>邮政编码：</w:t>
      </w:r>
    </w:p>
    <w:p>
      <w:pPr>
        <w:pStyle w:val="12"/>
        <w:spacing w:line="360" w:lineRule="auto"/>
        <w:rPr>
          <w:rFonts w:ascii="宋体" w:hAnsi="宋体"/>
          <w:sz w:val="24"/>
          <w:szCs w:val="24"/>
          <w:highlight w:val="none"/>
        </w:rPr>
      </w:pPr>
      <w:r>
        <w:rPr>
          <w:rFonts w:hint="eastAsia" w:ascii="宋体" w:hAnsi="宋体"/>
          <w:sz w:val="24"/>
          <w:szCs w:val="24"/>
          <w:highlight w:val="none"/>
        </w:rPr>
        <w:t>联 系 人：</w:t>
      </w:r>
    </w:p>
    <w:p>
      <w:pPr>
        <w:pStyle w:val="12"/>
        <w:spacing w:line="360" w:lineRule="auto"/>
        <w:rPr>
          <w:rFonts w:ascii="宋体" w:hAnsi="宋体"/>
          <w:sz w:val="24"/>
          <w:szCs w:val="24"/>
          <w:highlight w:val="none"/>
        </w:rPr>
      </w:pPr>
      <w:r>
        <w:rPr>
          <w:rFonts w:hint="eastAsia" w:ascii="宋体" w:hAnsi="宋体"/>
          <w:sz w:val="24"/>
          <w:szCs w:val="24"/>
          <w:highlight w:val="none"/>
        </w:rPr>
        <w:t>联系电话：</w:t>
      </w:r>
    </w:p>
    <w:p>
      <w:pPr>
        <w:pStyle w:val="12"/>
        <w:spacing w:line="360" w:lineRule="auto"/>
        <w:rPr>
          <w:rFonts w:ascii="宋体" w:hAnsi="宋体"/>
          <w:sz w:val="24"/>
          <w:szCs w:val="24"/>
          <w:highlight w:val="none"/>
        </w:rPr>
      </w:pPr>
      <w:r>
        <w:rPr>
          <w:rFonts w:hint="eastAsia" w:ascii="宋体" w:hAnsi="宋体"/>
          <w:sz w:val="24"/>
          <w:szCs w:val="24"/>
          <w:highlight w:val="none"/>
        </w:rPr>
        <w:t>传真号码：</w:t>
      </w:r>
    </w:p>
    <w:p>
      <w:pPr>
        <w:pStyle w:val="12"/>
        <w:spacing w:line="360" w:lineRule="auto"/>
        <w:rPr>
          <w:rFonts w:ascii="宋体" w:hAnsi="宋体"/>
          <w:sz w:val="24"/>
          <w:szCs w:val="24"/>
          <w:highlight w:val="none"/>
        </w:rPr>
      </w:pPr>
      <w:r>
        <w:rPr>
          <w:rFonts w:hint="eastAsia" w:ascii="宋体" w:hAnsi="宋体"/>
          <w:sz w:val="24"/>
          <w:szCs w:val="24"/>
          <w:highlight w:val="none"/>
        </w:rPr>
        <w:t>开户银行：</w:t>
      </w:r>
    </w:p>
    <w:p>
      <w:pPr>
        <w:spacing w:line="360" w:lineRule="auto"/>
        <w:rPr>
          <w:rFonts w:hint="eastAsia" w:asciiTheme="minorEastAsia" w:hAnsiTheme="minorEastAsia" w:eastAsiaTheme="minorEastAsia" w:cstheme="minorEastAsia"/>
          <w:b/>
          <w:sz w:val="24"/>
          <w:szCs w:val="22"/>
        </w:rPr>
      </w:pPr>
      <w:r>
        <w:rPr>
          <w:rFonts w:hint="eastAsia" w:ascii="宋体" w:hAnsi="宋体"/>
          <w:sz w:val="24"/>
          <w:szCs w:val="24"/>
          <w:highlight w:val="none"/>
        </w:rPr>
        <w:t>银行账号：</w:t>
      </w:r>
    </w:p>
    <w:p>
      <w:pPr>
        <w:spacing w:line="360" w:lineRule="auto"/>
        <w:rPr>
          <w:rFonts w:hint="eastAsia" w:asciiTheme="minorEastAsia" w:hAnsiTheme="minorEastAsia" w:eastAsiaTheme="minorEastAsia" w:cstheme="minorEastAsia"/>
          <w:b/>
          <w:sz w:val="24"/>
          <w:szCs w:val="22"/>
        </w:rPr>
      </w:pPr>
    </w:p>
    <w:p>
      <w:pPr>
        <w:spacing w:line="360" w:lineRule="auto"/>
        <w:rPr>
          <w:rFonts w:hint="eastAsia" w:asciiTheme="minorEastAsia" w:hAnsiTheme="minorEastAsia" w:eastAsiaTheme="minorEastAsia" w:cstheme="minorEastAsia"/>
          <w:b/>
          <w:sz w:val="24"/>
          <w:szCs w:val="22"/>
        </w:rPr>
      </w:pPr>
    </w:p>
    <w:p>
      <w:pPr>
        <w:spacing w:line="360" w:lineRule="auto"/>
        <w:rPr>
          <w:rFonts w:hint="eastAsia" w:asciiTheme="minorEastAsia" w:hAnsiTheme="minorEastAsia" w:eastAsiaTheme="minorEastAsia" w:cstheme="minorEastAsia"/>
          <w:b/>
          <w:sz w:val="24"/>
          <w:szCs w:val="22"/>
        </w:rPr>
      </w:pPr>
    </w:p>
    <w:p>
      <w:pPr>
        <w:widowControl/>
        <w:spacing w:line="360" w:lineRule="auto"/>
        <w:rPr>
          <w:rFonts w:hint="eastAsia" w:asciiTheme="minorEastAsia" w:hAnsiTheme="minorEastAsia" w:eastAsiaTheme="minorEastAsia" w:cstheme="minorEastAsia"/>
          <w:b/>
          <w:bCs/>
          <w:kern w:val="0"/>
          <w:sz w:val="24"/>
          <w:szCs w:val="24"/>
          <w:highlight w:val="none"/>
        </w:rPr>
      </w:pPr>
      <w:r>
        <w:rPr>
          <w:rFonts w:hint="eastAsia" w:asciiTheme="minorEastAsia" w:hAnsiTheme="minorEastAsia" w:eastAsiaTheme="minorEastAsia" w:cstheme="minorEastAsia"/>
          <w:b/>
          <w:bCs/>
          <w:kern w:val="0"/>
          <w:sz w:val="24"/>
          <w:szCs w:val="24"/>
          <w:highlight w:val="none"/>
        </w:rPr>
        <w:t>乙    方：上海跬智信息技术有限公司</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法定代表人：</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地    址：</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邮政编码：</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联 系 人：</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联系电话：</w:t>
      </w:r>
    </w:p>
    <w:p>
      <w:pPr>
        <w:pStyle w:val="12"/>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传真号码：</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开户银行：</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银行账号：</w:t>
      </w:r>
    </w:p>
    <w:p>
      <w:pPr>
        <w:pStyle w:val="12"/>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税    号：</w:t>
      </w:r>
    </w:p>
    <w:p>
      <w:pPr>
        <w:widowControl/>
        <w:spacing w:line="360" w:lineRule="auto"/>
        <w:ind w:firstLine="480" w:firstLineChars="200"/>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kern w:val="0"/>
          <w:sz w:val="24"/>
          <w:szCs w:val="24"/>
        </w:rPr>
        <w:br w:type="page"/>
      </w:r>
      <w:r>
        <w:rPr>
          <w:rFonts w:hint="eastAsia" w:asciiTheme="minorEastAsia" w:hAnsiTheme="minorEastAsia" w:eastAsiaTheme="minorEastAsia" w:cstheme="minorEastAsia"/>
          <w:color w:val="000000"/>
          <w:sz w:val="24"/>
          <w:szCs w:val="22"/>
        </w:rPr>
        <w:t>甲乙双方依据</w:t>
      </w:r>
      <w:r>
        <w:rPr>
          <w:rFonts w:hint="eastAsia" w:asciiTheme="minorEastAsia" w:hAnsiTheme="minorEastAsia" w:eastAsiaTheme="minorEastAsia" w:cstheme="minorEastAsia"/>
          <w:color w:val="auto"/>
          <w:sz w:val="24"/>
          <w:szCs w:val="22"/>
        </w:rPr>
        <w:t>“2026年Kyligence多维分析平台软件维保服务采购项目”（项目编号：ZXDY-2025-033）采</w:t>
      </w:r>
      <w:r>
        <w:rPr>
          <w:rFonts w:hint="eastAsia" w:asciiTheme="minorEastAsia" w:hAnsiTheme="minorEastAsia" w:eastAsiaTheme="minorEastAsia" w:cstheme="minorEastAsia"/>
          <w:color w:val="000000"/>
          <w:sz w:val="24"/>
          <w:szCs w:val="22"/>
        </w:rPr>
        <w:t>购结果，本着自愿、平等、互利、诚实信用的原则，通过友好协商，现授权各自代表按照下述条款签署本合同。</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第一部分合同的组成</w:t>
      </w:r>
    </w:p>
    <w:p>
      <w:pPr>
        <w:autoSpaceDE w:val="0"/>
        <w:autoSpaceDN w:val="0"/>
        <w:adjustRightInd w:val="0"/>
        <w:spacing w:line="360" w:lineRule="auto"/>
        <w:ind w:firstLine="48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szCs w:val="22"/>
        </w:rPr>
        <w:t>1.1</w:t>
      </w:r>
      <w:r>
        <w:rPr>
          <w:rFonts w:hint="eastAsia" w:asciiTheme="minorEastAsia" w:hAnsiTheme="minorEastAsia" w:eastAsiaTheme="minorEastAsia" w:cstheme="minorEastAsia"/>
          <w:sz w:val="24"/>
          <w:szCs w:val="22"/>
          <w:lang w:val="zh-CN"/>
        </w:rPr>
        <w:t>下述文件是构成本合同不可分割的部分</w:t>
      </w:r>
      <w:r>
        <w:rPr>
          <w:rFonts w:hint="eastAsia" w:asciiTheme="minorEastAsia" w:hAnsiTheme="minorEastAsia" w:eastAsiaTheme="minorEastAsia" w:cstheme="minorEastAsia"/>
          <w:sz w:val="24"/>
          <w:szCs w:val="22"/>
        </w:rPr>
        <w:t>:</w:t>
      </w:r>
    </w:p>
    <w:p>
      <w:pPr>
        <w:autoSpaceDE w:val="0"/>
        <w:autoSpaceDN w:val="0"/>
        <w:adjustRightInd w:val="0"/>
        <w:spacing w:line="360" w:lineRule="auto"/>
        <w:ind w:left="480"/>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sz w:val="24"/>
          <w:szCs w:val="22"/>
          <w:lang w:val="zh-CN"/>
        </w:rPr>
        <w:t>（1）本合同条款及其所有附件；</w:t>
      </w:r>
    </w:p>
    <w:p>
      <w:pPr>
        <w:autoSpaceDE w:val="0"/>
        <w:autoSpaceDN w:val="0"/>
        <w:adjustRightInd w:val="0"/>
        <w:spacing w:line="360" w:lineRule="auto"/>
        <w:ind w:firstLine="480"/>
        <w:jc w:val="left"/>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sz w:val="24"/>
          <w:szCs w:val="22"/>
          <w:lang w:val="zh-CN"/>
        </w:rPr>
        <w:t>（2）甲方的采购文件及澄清文件；</w:t>
      </w:r>
    </w:p>
    <w:p>
      <w:pPr>
        <w:autoSpaceDE w:val="0"/>
        <w:autoSpaceDN w:val="0"/>
        <w:adjustRightInd w:val="0"/>
        <w:spacing w:line="360" w:lineRule="auto"/>
        <w:ind w:firstLine="480"/>
        <w:jc w:val="left"/>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sz w:val="24"/>
          <w:szCs w:val="22"/>
          <w:lang w:val="zh-CN"/>
        </w:rPr>
        <w:t>（3）乙方的响应文件及质疑解答文件；</w:t>
      </w:r>
    </w:p>
    <w:p>
      <w:pPr>
        <w:autoSpaceDE w:val="0"/>
        <w:autoSpaceDN w:val="0"/>
        <w:adjustRightInd w:val="0"/>
        <w:spacing w:line="360" w:lineRule="auto"/>
        <w:ind w:firstLine="480"/>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sz w:val="24"/>
          <w:szCs w:val="22"/>
          <w:lang w:val="zh-CN"/>
        </w:rPr>
        <w:t>（4）成交通知书；</w:t>
      </w:r>
    </w:p>
    <w:p>
      <w:pPr>
        <w:autoSpaceDE w:val="0"/>
        <w:autoSpaceDN w:val="0"/>
        <w:adjustRightInd w:val="0"/>
        <w:spacing w:line="360" w:lineRule="auto"/>
        <w:ind w:firstLine="480"/>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sz w:val="24"/>
          <w:szCs w:val="22"/>
          <w:lang w:val="zh-CN"/>
        </w:rPr>
        <w:t>（5）法定代表人授权书；</w:t>
      </w:r>
    </w:p>
    <w:p>
      <w:pPr>
        <w:spacing w:line="360" w:lineRule="auto"/>
        <w:ind w:firstLine="480" w:firstLineChars="200"/>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color w:val="000000"/>
          <w:sz w:val="24"/>
          <w:szCs w:val="22"/>
        </w:rPr>
        <w:t>（6）双方与合同有关的往来信函、传真,经双方法定代表人或其授权代表签字并加盖单位公章确认后,视为本合同的组成部分</w:t>
      </w:r>
      <w:r>
        <w:rPr>
          <w:rFonts w:hint="eastAsia" w:asciiTheme="minorEastAsia" w:hAnsiTheme="minorEastAsia" w:eastAsiaTheme="minorEastAsia" w:cstheme="minorEastAsia"/>
          <w:color w:val="000000"/>
          <w:szCs w:val="22"/>
        </w:rPr>
        <w:t>；</w:t>
      </w:r>
    </w:p>
    <w:p>
      <w:pPr>
        <w:autoSpaceDE w:val="0"/>
        <w:autoSpaceDN w:val="0"/>
        <w:adjustRightInd w:val="0"/>
        <w:spacing w:line="360" w:lineRule="auto"/>
        <w:ind w:firstLine="480"/>
        <w:rPr>
          <w:rFonts w:hint="eastAsia" w:asciiTheme="minorEastAsia" w:hAnsiTheme="minorEastAsia" w:eastAsiaTheme="minorEastAsia" w:cstheme="minorEastAsia"/>
          <w:sz w:val="24"/>
          <w:szCs w:val="22"/>
          <w:lang w:val="zh-CN"/>
        </w:rPr>
      </w:pPr>
      <w:r>
        <w:rPr>
          <w:rFonts w:hint="eastAsia" w:asciiTheme="minorEastAsia" w:hAnsiTheme="minorEastAsia" w:eastAsiaTheme="minorEastAsia" w:cstheme="minorEastAsia"/>
          <w:color w:val="000000"/>
          <w:sz w:val="24"/>
          <w:szCs w:val="22"/>
        </w:rPr>
        <w:t>（7）经双方法定代表人或其授权代表签字并加盖单位公章或合同专用章确认的补充协议。</w:t>
      </w:r>
    </w:p>
    <w:p>
      <w:pPr>
        <w:spacing w:line="360" w:lineRule="auto"/>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zh-CN"/>
        </w:rPr>
        <w:t>1.2 如果乙方的响应文件及质疑解答文件内容违背或低于甲方采购文件要求或任何可能导致影响当次采购目的的情形，均应当被视为乙方自动放弃响应文件及质疑解答文件中相应部分而同意以采购文件相应内容为准。如果乙方的响应文件及质疑解答文件内容高于甲方采购文件要求，则以乙方的响应文件及质疑解答文件内容为准。如果合同条款与合同附件有矛盾之处，以合同条款内容为准。</w:t>
      </w:r>
      <w:r>
        <w:rPr>
          <w:rFonts w:hint="eastAsia" w:asciiTheme="minorEastAsia" w:hAnsiTheme="minorEastAsia" w:eastAsiaTheme="minorEastAsia" w:cstheme="minorEastAsia"/>
          <w:sz w:val="24"/>
          <w:szCs w:val="22"/>
        </w:rPr>
        <w:t>如果合同附件之间有矛盾之处，以有利于甲方的附件内容为准。</w:t>
      </w:r>
    </w:p>
    <w:p>
      <w:pPr>
        <w:spacing w:line="360" w:lineRule="auto"/>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第二部分服务内容及方式</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2.1服务内容：本合同的服务内容为下表所列软件的续保服务。</w:t>
      </w:r>
    </w:p>
    <w:tbl>
      <w:tblPr>
        <w:tblStyle w:val="9"/>
        <w:tblW w:w="5137" w:type="pct"/>
        <w:jc w:val="center"/>
        <w:tblLayout w:type="autofit"/>
        <w:tblCellMar>
          <w:top w:w="0" w:type="dxa"/>
          <w:left w:w="108" w:type="dxa"/>
          <w:bottom w:w="0" w:type="dxa"/>
          <w:right w:w="108" w:type="dxa"/>
        </w:tblCellMar>
      </w:tblPr>
      <w:tblGrid>
        <w:gridCol w:w="900"/>
        <w:gridCol w:w="1354"/>
        <w:gridCol w:w="1056"/>
        <w:gridCol w:w="1298"/>
        <w:gridCol w:w="1418"/>
        <w:gridCol w:w="1432"/>
        <w:gridCol w:w="1298"/>
      </w:tblGrid>
      <w:tr>
        <w:tblPrEx>
          <w:tblCellMar>
            <w:top w:w="0" w:type="dxa"/>
            <w:left w:w="108" w:type="dxa"/>
            <w:bottom w:w="0" w:type="dxa"/>
            <w:right w:w="108" w:type="dxa"/>
          </w:tblCellMar>
        </w:tblPrEx>
        <w:trPr>
          <w:trHeight w:val="50" w:hRule="atLeast"/>
          <w:jc w:val="center"/>
        </w:trPr>
        <w:tc>
          <w:tcPr>
            <w:tcW w:w="514"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原厂商</w:t>
            </w:r>
          </w:p>
        </w:tc>
        <w:tc>
          <w:tcPr>
            <w:tcW w:w="773"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软件名称</w:t>
            </w:r>
          </w:p>
        </w:tc>
        <w:tc>
          <w:tcPr>
            <w:tcW w:w="603"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数量</w:t>
            </w:r>
          </w:p>
        </w:tc>
        <w:tc>
          <w:tcPr>
            <w:tcW w:w="741"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维保起始日期</w:t>
            </w:r>
          </w:p>
        </w:tc>
        <w:tc>
          <w:tcPr>
            <w:tcW w:w="810"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维保截止日期</w:t>
            </w:r>
          </w:p>
        </w:tc>
        <w:tc>
          <w:tcPr>
            <w:tcW w:w="818"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服务级别</w:t>
            </w:r>
          </w:p>
        </w:tc>
        <w:tc>
          <w:tcPr>
            <w:tcW w:w="741" w:type="pc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服务所</w:t>
            </w:r>
          </w:p>
          <w:p>
            <w:pPr>
              <w:widowControl/>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在地</w:t>
            </w:r>
          </w:p>
        </w:tc>
      </w:tr>
      <w:tr>
        <w:tblPrEx>
          <w:tblCellMar>
            <w:top w:w="0" w:type="dxa"/>
            <w:left w:w="108" w:type="dxa"/>
            <w:bottom w:w="0" w:type="dxa"/>
            <w:right w:w="108" w:type="dxa"/>
          </w:tblCellMar>
        </w:tblPrEx>
        <w:trPr>
          <w:trHeight w:val="633" w:hRule="atLeast"/>
          <w:jc w:val="center"/>
        </w:trPr>
        <w:tc>
          <w:tcPr>
            <w:tcW w:w="514" w:type="pct"/>
            <w:vMerge w:val="restart"/>
            <w:tcBorders>
              <w:top w:val="single" w:color="auto" w:sz="4" w:space="0"/>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上海跬智信息技术有限公司</w:t>
            </w:r>
          </w:p>
        </w:tc>
        <w:tc>
          <w:tcPr>
            <w:tcW w:w="773" w:type="pct"/>
            <w:vMerge w:val="restart"/>
            <w:tcBorders>
              <w:top w:val="single" w:color="auto" w:sz="4" w:space="0"/>
              <w:left w:val="nil"/>
              <w:right w:val="single" w:color="auto" w:sz="4" w:space="0"/>
            </w:tcBorders>
            <w:noWrap w:val="0"/>
            <w:vAlign w:val="center"/>
          </w:tcPr>
          <w:p>
            <w:pPr>
              <w:widowControl/>
              <w:jc w:val="center"/>
              <w:textAlignment w:val="center"/>
              <w:rPr>
                <w:rFonts w:hint="eastAsia" w:asciiTheme="minorEastAsia" w:hAnsiTheme="minorEastAsia" w:eastAsiaTheme="minorEastAsia" w:cstheme="minorEastAsia"/>
                <w:b/>
                <w:bCs/>
                <w:color w:val="000000"/>
                <w:kern w:val="0"/>
                <w:szCs w:val="21"/>
                <w:lang w:bidi="ar"/>
              </w:rPr>
            </w:pPr>
            <w:r>
              <w:rPr>
                <w:rFonts w:hint="eastAsia" w:asciiTheme="minorEastAsia" w:hAnsiTheme="minorEastAsia" w:eastAsiaTheme="minorEastAsia" w:cstheme="minorEastAsia"/>
                <w:color w:val="000000"/>
                <w:szCs w:val="21"/>
              </w:rPr>
              <w:t>Kyligence多维分析平台软件</w:t>
            </w:r>
          </w:p>
        </w:tc>
        <w:tc>
          <w:tcPr>
            <w:tcW w:w="603" w:type="pct"/>
            <w:tcBorders>
              <w:top w:val="single" w:color="auto" w:sz="4" w:space="0"/>
              <w:left w:val="nil"/>
              <w:bottom w:val="single" w:color="auto" w:sz="4" w:space="0"/>
              <w:right w:val="single" w:color="auto" w:sz="4" w:space="0"/>
            </w:tcBorders>
            <w:noWrap w:val="0"/>
            <w:vAlign w:val="center"/>
          </w:tcPr>
          <w:p>
            <w:pPr>
              <w:widowControl/>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rPr>
              <w:t>10T/2节点</w:t>
            </w:r>
          </w:p>
        </w:tc>
        <w:tc>
          <w:tcPr>
            <w:tcW w:w="741" w:type="pct"/>
            <w:tcBorders>
              <w:top w:val="single" w:color="auto" w:sz="4" w:space="0"/>
              <w:left w:val="single" w:color="auto" w:sz="4" w:space="0"/>
              <w:bottom w:val="single" w:color="auto" w:sz="4" w:space="0"/>
              <w:right w:val="single" w:color="auto" w:sz="4" w:space="0"/>
            </w:tcBorders>
            <w:noWrap w:val="0"/>
            <w:vAlign w:val="center"/>
          </w:tcPr>
          <w:p>
            <w:pPr>
              <w:tabs>
                <w:tab w:val="left" w:pos="900"/>
              </w:tabs>
              <w:spacing w:before="120" w:beforeLines="50" w:after="120" w:afterLines="50"/>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2026/1/1</w:t>
            </w:r>
          </w:p>
        </w:tc>
        <w:tc>
          <w:tcPr>
            <w:tcW w:w="810" w:type="pct"/>
            <w:tcBorders>
              <w:top w:val="single" w:color="auto" w:sz="4" w:space="0"/>
              <w:left w:val="single" w:color="auto" w:sz="4" w:space="0"/>
              <w:bottom w:val="single" w:color="auto" w:sz="4" w:space="0"/>
              <w:right w:val="single" w:color="auto" w:sz="4" w:space="0"/>
            </w:tcBorders>
            <w:noWrap w:val="0"/>
            <w:vAlign w:val="center"/>
          </w:tcPr>
          <w:p>
            <w:pPr>
              <w:tabs>
                <w:tab w:val="left" w:pos="900"/>
              </w:tabs>
              <w:spacing w:before="120" w:beforeLines="50" w:after="120" w:afterLines="50"/>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2026/12/31</w:t>
            </w:r>
          </w:p>
        </w:tc>
        <w:tc>
          <w:tcPr>
            <w:tcW w:w="818" w:type="pct"/>
            <w:vMerge w:val="restart"/>
            <w:tcBorders>
              <w:top w:val="single" w:color="auto" w:sz="4" w:space="0"/>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原厂服务</w:t>
            </w:r>
          </w:p>
        </w:tc>
        <w:tc>
          <w:tcPr>
            <w:tcW w:w="741" w:type="pct"/>
            <w:vMerge w:val="restart"/>
            <w:tcBorders>
              <w:top w:val="single" w:color="auto" w:sz="4" w:space="0"/>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上海、天津</w:t>
            </w:r>
          </w:p>
        </w:tc>
      </w:tr>
      <w:tr>
        <w:tblPrEx>
          <w:tblCellMar>
            <w:top w:w="0" w:type="dxa"/>
            <w:left w:w="108" w:type="dxa"/>
            <w:bottom w:w="0" w:type="dxa"/>
            <w:right w:w="108" w:type="dxa"/>
          </w:tblCellMar>
        </w:tblPrEx>
        <w:trPr>
          <w:trHeight w:val="767" w:hRule="atLeast"/>
          <w:jc w:val="center"/>
        </w:trPr>
        <w:tc>
          <w:tcPr>
            <w:tcW w:w="514" w:type="pct"/>
            <w:vMerge w:val="continue"/>
            <w:tcBorders>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c>
          <w:tcPr>
            <w:tcW w:w="773" w:type="pct"/>
            <w:vMerge w:val="continue"/>
            <w:tcBorders>
              <w:left w:val="nil"/>
              <w:right w:val="single" w:color="auto" w:sz="4" w:space="0"/>
            </w:tcBorders>
            <w:noWrap w:val="0"/>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603" w:type="pct"/>
            <w:tcBorders>
              <w:top w:val="single" w:color="auto" w:sz="4" w:space="0"/>
              <w:left w:val="nil"/>
              <w:bottom w:val="single" w:color="auto" w:sz="4" w:space="0"/>
              <w:right w:val="single" w:color="auto" w:sz="4" w:space="0"/>
            </w:tcBorders>
            <w:noWrap w:val="0"/>
            <w:vAlign w:val="center"/>
          </w:tcPr>
          <w:p>
            <w:pPr>
              <w:widowControl/>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200T/4节点</w:t>
            </w:r>
          </w:p>
        </w:tc>
        <w:tc>
          <w:tcPr>
            <w:tcW w:w="741" w:type="pct"/>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2026/1/1</w:t>
            </w:r>
          </w:p>
        </w:tc>
        <w:tc>
          <w:tcPr>
            <w:tcW w:w="810" w:type="pct"/>
            <w:tcBorders>
              <w:top w:val="single" w:color="auto" w:sz="4" w:space="0"/>
              <w:left w:val="single" w:color="auto" w:sz="4" w:space="0"/>
              <w:bottom w:val="single" w:color="auto" w:sz="4" w:space="0"/>
              <w:right w:val="single" w:color="auto" w:sz="4" w:space="0"/>
            </w:tcBorders>
            <w:noWrap w:val="0"/>
            <w:vAlign w:val="center"/>
          </w:tcPr>
          <w:p>
            <w:pPr>
              <w:tabs>
                <w:tab w:val="left" w:pos="900"/>
              </w:tabs>
              <w:spacing w:before="120" w:beforeLines="50" w:after="120" w:afterLines="50"/>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2026/12/31</w:t>
            </w:r>
          </w:p>
        </w:tc>
        <w:tc>
          <w:tcPr>
            <w:tcW w:w="818" w:type="pct"/>
            <w:vMerge w:val="continue"/>
            <w:tcBorders>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c>
          <w:tcPr>
            <w:tcW w:w="741" w:type="pct"/>
            <w:vMerge w:val="continue"/>
            <w:tcBorders>
              <w:left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r>
      <w:tr>
        <w:tblPrEx>
          <w:tblCellMar>
            <w:top w:w="0" w:type="dxa"/>
            <w:left w:w="108" w:type="dxa"/>
            <w:bottom w:w="0" w:type="dxa"/>
            <w:right w:w="108" w:type="dxa"/>
          </w:tblCellMar>
        </w:tblPrEx>
        <w:trPr>
          <w:trHeight w:val="767" w:hRule="atLeast"/>
          <w:jc w:val="center"/>
        </w:trPr>
        <w:tc>
          <w:tcPr>
            <w:tcW w:w="514" w:type="pct"/>
            <w:vMerge w:val="continue"/>
            <w:tcBorders>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c>
          <w:tcPr>
            <w:tcW w:w="773" w:type="pct"/>
            <w:vMerge w:val="continue"/>
            <w:tcBorders>
              <w:left w:val="nil"/>
              <w:bottom w:val="single" w:color="auto" w:sz="4" w:space="0"/>
              <w:right w:val="single" w:color="auto" w:sz="4" w:space="0"/>
            </w:tcBorders>
            <w:noWrap w:val="0"/>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603" w:type="pct"/>
            <w:tcBorders>
              <w:top w:val="single" w:color="auto" w:sz="4" w:space="0"/>
              <w:left w:val="nil"/>
              <w:bottom w:val="single" w:color="auto" w:sz="4" w:space="0"/>
              <w:right w:val="single" w:color="auto" w:sz="4" w:space="0"/>
            </w:tcBorders>
            <w:noWrap w:val="0"/>
            <w:vAlign w:val="center"/>
          </w:tcPr>
          <w:p>
            <w:pPr>
              <w:widowControl/>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110T/4节点</w:t>
            </w:r>
          </w:p>
        </w:tc>
        <w:tc>
          <w:tcPr>
            <w:tcW w:w="741" w:type="pct"/>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color w:val="000000"/>
                <w:szCs w:val="21"/>
              </w:rPr>
              <w:t>2026/1/1</w:t>
            </w:r>
          </w:p>
        </w:tc>
        <w:tc>
          <w:tcPr>
            <w:tcW w:w="810" w:type="pct"/>
            <w:tcBorders>
              <w:top w:val="single" w:color="auto" w:sz="4" w:space="0"/>
              <w:left w:val="single" w:color="auto" w:sz="4" w:space="0"/>
              <w:bottom w:val="single" w:color="auto" w:sz="4" w:space="0"/>
              <w:right w:val="single" w:color="auto" w:sz="4" w:space="0"/>
            </w:tcBorders>
            <w:noWrap w:val="0"/>
            <w:vAlign w:val="center"/>
          </w:tcPr>
          <w:p>
            <w:pPr>
              <w:tabs>
                <w:tab w:val="left" w:pos="900"/>
              </w:tabs>
              <w:spacing w:before="120" w:beforeLines="50" w:after="120" w:afterLines="50"/>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2026/12/31</w:t>
            </w:r>
          </w:p>
        </w:tc>
        <w:tc>
          <w:tcPr>
            <w:tcW w:w="818" w:type="pct"/>
            <w:vMerge w:val="continue"/>
            <w:tcBorders>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c>
          <w:tcPr>
            <w:tcW w:w="741" w:type="pct"/>
            <w:vMerge w:val="continue"/>
            <w:tcBorders>
              <w:left w:val="single" w:color="auto" w:sz="4" w:space="0"/>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color w:val="000000"/>
                <w:szCs w:val="21"/>
              </w:rPr>
            </w:pPr>
          </w:p>
        </w:tc>
      </w:tr>
    </w:tbl>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服务方式：现场服务、电话支持服务和电子邮件支持服务，以及甲方要求的其他服务方式。</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第三部分服务标准及验收</w:t>
      </w:r>
    </w:p>
    <w:p>
      <w:pPr>
        <w:tabs>
          <w:tab w:val="left" w:pos="900"/>
        </w:tabs>
        <w:spacing w:line="480" w:lineRule="exact"/>
        <w:ind w:firstLine="480" w:firstLineChars="200"/>
        <w:rPr>
          <w:rFonts w:hint="eastAsia" w:asciiTheme="minorEastAsia" w:hAnsiTheme="minorEastAsia" w:eastAsiaTheme="minorEastAsia" w:cstheme="minorEastAsia"/>
          <w:color w:val="FF0000"/>
          <w:sz w:val="24"/>
          <w:szCs w:val="22"/>
        </w:rPr>
      </w:pPr>
      <w:r>
        <w:rPr>
          <w:rFonts w:hint="eastAsia" w:asciiTheme="minorEastAsia" w:hAnsiTheme="minorEastAsia" w:eastAsiaTheme="minorEastAsia" w:cstheme="minorEastAsia"/>
          <w:sz w:val="24"/>
          <w:szCs w:val="22"/>
        </w:rPr>
        <w:t>3.1乙方保证原厂商为甲方提供优质的服务及产品，服务及产品的各项指标均能符合本合同规定的要求。服务期内，乙方保证提供甲方在需求文件中要求的全部服务。详见附件三。</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3.2乙方每季度须按甲方要求提供1份《季度服务报告》，列明本阶段提供的维保服务内容，并加盖单位公章。</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3.3甲方于到达维保服务期限（各设备的维保服务期限不一致的，以最长的期限为准进行计算）一半后由甲方组建的验收小组按照“附件3（1.服务需求）”对乙方服务进行中期验收，乙方应当予以配合，最迟不晚于2026年9月底前完成，甲方通知乙方延期的情况除外。验收通过后,由甲方开具《合同验收单/验收报告》，乙方对验收单/验收报告进行书面认定（即其授权代表签字且加盖单位公章），且当乙方拒绝书面认定验收单/验收报告时，即视为同意验收单/验收报告内容。</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3.4甲方于维保服务期限（各设备的维保服务期限不一致的，以最长的期限为准进行计算）届满后由甲方组建的验收小组按照“附件3（1.服务需求）”对乙方服务进行最终验收，乙方应当予以配合，最迟不晚于2027年4月底前完成，甲方通知乙方延期的情况除外。验收合格后,由甲方开具《合同验收单/验收报告》，乙方对验收单/验收报告进行书面认定（即其授权代表签字且加盖单位公章），且当乙方拒绝书面认定验收单/验收报告时，即视为同意验收单/验收报告内容。</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3.5乙方未能通过甲方中期验收或最终验收的，应在验收报告载明后续处理方案，并由乙方书面确认。乙方应采取一切补救措施继续履行合同义务、限期整改后再次进行验收，由此产生的费用由乙方负担。每次验收均需出具验收报告。乙方拒绝书面确认的，视为同意。</w:t>
      </w:r>
    </w:p>
    <w:p>
      <w:pPr>
        <w:autoSpaceDE w:val="0"/>
        <w:autoSpaceDN w:val="0"/>
        <w:adjustRightInd w:val="0"/>
        <w:snapToGrid w:val="0"/>
        <w:spacing w:before="120" w:beforeLines="50" w:line="360" w:lineRule="auto"/>
        <w:jc w:val="center"/>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第四部分履行期限、服务地点</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4.1履约期限：</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本合同履约期限自2026年1月1日起至 2026 年 12月 31日止。</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4.2服务地点：上海市（上海市浦东新区繁昌路298号、上海市静安区海宁路889号）、天津市（天津市滨海新区洞庭北路北塘融汇商务园二区4号楼）。</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4.3续签条款</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若服务商的服务质量满足甲方要求，在服务内容和要求不变情况下，本次合同可以考虑续签一年，最多续签两次。甲乙双方最晚可在合同到期前一个月就是否续签事宜进行确认。如双方确认续签的，可以就本项目服务下年度续签进行商务谈判议定价格，续签合同价款不得高于本合同价款。</w:t>
      </w:r>
    </w:p>
    <w:p>
      <w:pPr>
        <w:spacing w:before="120" w:beforeLines="50" w:line="360" w:lineRule="auto"/>
        <w:jc w:val="center"/>
        <w:outlineLvl w:val="1"/>
        <w:rPr>
          <w:rFonts w:hint="eastAsia" w:asciiTheme="minorEastAsia" w:hAnsiTheme="minorEastAsia" w:eastAsiaTheme="minorEastAsia" w:cstheme="minorEastAsia"/>
          <w:b/>
          <w:bCs/>
          <w:sz w:val="28"/>
        </w:rPr>
      </w:pPr>
      <w:r>
        <w:rPr>
          <w:rFonts w:hint="eastAsia" w:asciiTheme="minorEastAsia" w:hAnsiTheme="minorEastAsia" w:eastAsiaTheme="minorEastAsia" w:cstheme="minorEastAsia"/>
          <w:b/>
          <w:bCs/>
          <w:sz w:val="28"/>
        </w:rPr>
        <w:t>第五部分合同总金额及其支付方式</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5.1根据成交通知书，本合同的总金额为人民币：￥</w:t>
      </w:r>
      <w:r>
        <w:rPr>
          <w:rFonts w:hint="eastAsia" w:asciiTheme="minorEastAsia" w:hAnsiTheme="minorEastAsia" w:eastAsiaTheme="minorEastAsia" w:cstheme="minorEastAsia"/>
          <w:sz w:val="24"/>
          <w:szCs w:val="22"/>
          <w:u w:val="single"/>
          <w:lang w:val="en-US" w:eastAsia="zh-CN"/>
        </w:rPr>
        <w:t>3500000</w:t>
      </w:r>
      <w:r>
        <w:rPr>
          <w:rFonts w:hint="eastAsia" w:asciiTheme="minorEastAsia" w:hAnsiTheme="minorEastAsia" w:eastAsiaTheme="minorEastAsia" w:cstheme="minorEastAsia"/>
          <w:sz w:val="24"/>
          <w:szCs w:val="22"/>
        </w:rPr>
        <w:t>元整(大写：人民币</w:t>
      </w:r>
      <w:r>
        <w:rPr>
          <w:rFonts w:hint="eastAsia" w:asciiTheme="minorEastAsia" w:hAnsiTheme="minorEastAsia" w:eastAsiaTheme="minorEastAsia" w:cstheme="minorEastAsia"/>
          <w:sz w:val="24"/>
          <w:szCs w:val="22"/>
          <w:u w:val="single"/>
          <w:lang w:val="en-US" w:eastAsia="zh-CN"/>
        </w:rPr>
        <w:t>叁佰伍拾万</w:t>
      </w:r>
      <w:r>
        <w:rPr>
          <w:rFonts w:hint="eastAsia" w:asciiTheme="minorEastAsia" w:hAnsiTheme="minorEastAsia" w:eastAsiaTheme="minorEastAsia" w:cstheme="minorEastAsia"/>
          <w:sz w:val="24"/>
          <w:szCs w:val="22"/>
          <w:u w:val="single"/>
        </w:rPr>
        <w:t>元</w:t>
      </w:r>
      <w:r>
        <w:rPr>
          <w:rFonts w:hint="eastAsia" w:asciiTheme="minorEastAsia" w:hAnsiTheme="minorEastAsia" w:eastAsiaTheme="minorEastAsia" w:cstheme="minorEastAsia"/>
          <w:sz w:val="24"/>
          <w:szCs w:val="22"/>
        </w:rPr>
        <w:t>整）。合同总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5.2付款方式</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5.2.1预付款</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合同生效后，在收到乙方提供的与本阶段付款金额等值的正式发票以及乙方加盖单位公章的《付款申请》后十（10）个工作日内，甲方向乙方支付合同总金额的30%（百分之三十），即人民币￥</w:t>
      </w:r>
      <w:r>
        <w:rPr>
          <w:rFonts w:hint="eastAsia" w:asciiTheme="minorEastAsia" w:hAnsiTheme="minorEastAsia" w:eastAsiaTheme="minorEastAsia" w:cstheme="minorEastAsia"/>
          <w:sz w:val="24"/>
          <w:szCs w:val="22"/>
          <w:u w:val="single"/>
          <w:lang w:val="en-US" w:eastAsia="zh-CN"/>
        </w:rPr>
        <w:t>1050000</w:t>
      </w:r>
      <w:r>
        <w:rPr>
          <w:rFonts w:hint="eastAsia" w:asciiTheme="minorEastAsia" w:hAnsiTheme="minorEastAsia" w:eastAsiaTheme="minorEastAsia" w:cstheme="minorEastAsia"/>
          <w:sz w:val="24"/>
          <w:szCs w:val="22"/>
        </w:rPr>
        <w:t>元整（大写：人民币</w:t>
      </w:r>
      <w:r>
        <w:rPr>
          <w:rFonts w:hint="eastAsia" w:asciiTheme="minorEastAsia" w:hAnsiTheme="minorEastAsia" w:eastAsiaTheme="minorEastAsia" w:cstheme="minorEastAsia"/>
          <w:sz w:val="24"/>
          <w:szCs w:val="22"/>
          <w:u w:val="single"/>
          <w:lang w:val="en-US" w:eastAsia="zh-CN"/>
        </w:rPr>
        <w:t>壹佰零伍万元</w:t>
      </w:r>
      <w:r>
        <w:rPr>
          <w:rFonts w:hint="eastAsia" w:asciiTheme="minorEastAsia" w:hAnsiTheme="minorEastAsia" w:eastAsiaTheme="minorEastAsia" w:cstheme="minorEastAsia"/>
          <w:sz w:val="24"/>
          <w:szCs w:val="22"/>
        </w:rPr>
        <w:t>整）。</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5.2.2中期付款</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乙方向甲方提供所有服务达到本合同规定的维保服务期限的一半且经甲乙双方验收合格共同出具《合同验收单》/《合同验收报告》后，甲方在收到乙方提供的与本阶段付款金额等值的正式发票以及乙方加盖单位公章的《付款申请》后十（10）个工作日内，向乙方支付合同总金额的40%（百分之四十），即人民币￥</w:t>
      </w:r>
      <w:r>
        <w:rPr>
          <w:rFonts w:hint="eastAsia" w:asciiTheme="minorEastAsia" w:hAnsiTheme="minorEastAsia" w:eastAsiaTheme="minorEastAsia" w:cstheme="minorEastAsia"/>
          <w:sz w:val="24"/>
          <w:szCs w:val="22"/>
          <w:u w:val="single"/>
          <w:lang w:val="en-US" w:eastAsia="zh-CN"/>
        </w:rPr>
        <w:t>1400000</w:t>
      </w:r>
      <w:r>
        <w:rPr>
          <w:rFonts w:hint="eastAsia" w:asciiTheme="minorEastAsia" w:hAnsiTheme="minorEastAsia" w:eastAsiaTheme="minorEastAsia" w:cstheme="minorEastAsia"/>
          <w:sz w:val="24"/>
          <w:szCs w:val="22"/>
        </w:rPr>
        <w:t>元整（大写：人民币</w:t>
      </w:r>
      <w:r>
        <w:rPr>
          <w:rFonts w:hint="eastAsia" w:asciiTheme="minorEastAsia" w:hAnsiTheme="minorEastAsia" w:eastAsiaTheme="minorEastAsia" w:cstheme="minorEastAsia"/>
          <w:sz w:val="24"/>
          <w:szCs w:val="22"/>
          <w:u w:val="single"/>
          <w:lang w:val="en-US" w:eastAsia="zh-CN"/>
        </w:rPr>
        <w:t>壹佰肆拾万</w:t>
      </w:r>
      <w:r>
        <w:rPr>
          <w:rFonts w:hint="eastAsia" w:asciiTheme="minorEastAsia" w:hAnsiTheme="minorEastAsia" w:eastAsiaTheme="minorEastAsia" w:cstheme="minorEastAsia"/>
          <w:sz w:val="24"/>
          <w:szCs w:val="22"/>
          <w:u w:val="single"/>
        </w:rPr>
        <w:t>元</w:t>
      </w:r>
      <w:r>
        <w:rPr>
          <w:rFonts w:hint="eastAsia" w:asciiTheme="minorEastAsia" w:hAnsiTheme="minorEastAsia" w:eastAsiaTheme="minorEastAsia" w:cstheme="minorEastAsia"/>
          <w:sz w:val="24"/>
          <w:szCs w:val="22"/>
        </w:rPr>
        <w:t>整）。</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5.2.3后期款</w:t>
      </w:r>
    </w:p>
    <w:p>
      <w:pPr>
        <w:spacing w:line="52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乙方维保服务期限届满且服务内容完成并经甲乙双方验收合格共同出具《合同验收单》/《合同验收报告》后，甲方在收到乙方提供的与本阶段付款金额等值的正式发票以及乙方加盖单位公章的《付款申请》后十（10）个工作日内，向乙方支付合同总金额的30%（百分之三十），即人民币￥</w:t>
      </w:r>
      <w:r>
        <w:rPr>
          <w:rFonts w:hint="eastAsia" w:asciiTheme="minorEastAsia" w:hAnsiTheme="minorEastAsia" w:eastAsiaTheme="minorEastAsia" w:cstheme="minorEastAsia"/>
          <w:sz w:val="24"/>
          <w:szCs w:val="22"/>
          <w:u w:val="single"/>
          <w:lang w:val="en-US" w:eastAsia="zh-CN"/>
        </w:rPr>
        <w:t>1050000</w:t>
      </w:r>
      <w:r>
        <w:rPr>
          <w:rFonts w:hint="eastAsia" w:asciiTheme="minorEastAsia" w:hAnsiTheme="minorEastAsia" w:eastAsiaTheme="minorEastAsia" w:cstheme="minorEastAsia"/>
          <w:sz w:val="24"/>
          <w:szCs w:val="22"/>
        </w:rPr>
        <w:t>元整（大写：人民币</w:t>
      </w:r>
      <w:r>
        <w:rPr>
          <w:rFonts w:hint="eastAsia" w:asciiTheme="minorEastAsia" w:hAnsiTheme="minorEastAsia" w:eastAsiaTheme="minorEastAsia" w:cstheme="minorEastAsia"/>
          <w:sz w:val="24"/>
          <w:szCs w:val="22"/>
          <w:u w:val="single"/>
          <w:lang w:val="en-US" w:eastAsia="zh-CN"/>
        </w:rPr>
        <w:t>壹佰零伍万元</w:t>
      </w:r>
      <w:r>
        <w:rPr>
          <w:rFonts w:hint="eastAsia" w:asciiTheme="minorEastAsia" w:hAnsiTheme="minorEastAsia" w:eastAsiaTheme="minorEastAsia" w:cstheme="minorEastAsia"/>
          <w:sz w:val="24"/>
          <w:szCs w:val="22"/>
        </w:rPr>
        <w:t>整）。</w:t>
      </w:r>
    </w:p>
    <w:p>
      <w:pPr>
        <w:spacing w:line="520" w:lineRule="exact"/>
        <w:ind w:firstLine="480" w:firstLineChars="200"/>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sz w:val="24"/>
          <w:szCs w:val="22"/>
        </w:rPr>
        <w:t>5.3本条中的“收到”是指甲方实际接收到乙方交付的发票和《付款申请》，收到日不以发票和/或《付款申请》中载明的日期为准。双方对甲方是否“收到”及收到日有争议的，由乙方负责证明甲方已经“收到”及收到日。</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第六部分履约保证金</w:t>
      </w:r>
    </w:p>
    <w:p>
      <w:pPr>
        <w:spacing w:line="360" w:lineRule="auto"/>
        <w:ind w:firstLine="540" w:firstLineChars="225"/>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6.1 乙方应于签订合同的同时以非现金形式向甲方提交下述金额的履约保证金。</w:t>
      </w:r>
    </w:p>
    <w:p>
      <w:pPr>
        <w:spacing w:line="360" w:lineRule="auto"/>
        <w:ind w:firstLine="540" w:firstLineChars="225"/>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6.2 履约保证金为合同总金额的5％（百分之五）即人民币￥</w:t>
      </w:r>
      <w:r>
        <w:rPr>
          <w:rFonts w:hint="eastAsia" w:asciiTheme="minorEastAsia" w:hAnsiTheme="minorEastAsia" w:eastAsiaTheme="minorEastAsia" w:cstheme="minorEastAsia"/>
          <w:sz w:val="24"/>
          <w:szCs w:val="22"/>
          <w:u w:val="single"/>
          <w:lang w:val="en-US" w:eastAsia="zh-CN"/>
        </w:rPr>
        <w:t>175000</w:t>
      </w:r>
      <w:r>
        <w:rPr>
          <w:rFonts w:hint="eastAsia" w:asciiTheme="minorEastAsia" w:hAnsiTheme="minorEastAsia" w:eastAsiaTheme="minorEastAsia" w:cstheme="minorEastAsia"/>
          <w:sz w:val="24"/>
          <w:szCs w:val="22"/>
        </w:rPr>
        <w:t>元整(大写:人民币</w:t>
      </w:r>
      <w:r>
        <w:rPr>
          <w:rFonts w:hint="eastAsia" w:asciiTheme="minorEastAsia" w:hAnsiTheme="minorEastAsia" w:eastAsiaTheme="minorEastAsia" w:cstheme="minorEastAsia"/>
          <w:sz w:val="24"/>
          <w:szCs w:val="22"/>
          <w:u w:val="single"/>
          <w:lang w:val="en-US" w:eastAsia="zh-CN"/>
        </w:rPr>
        <w:t>壹拾柒万伍仟</w:t>
      </w:r>
      <w:r>
        <w:rPr>
          <w:rFonts w:hint="eastAsia" w:asciiTheme="minorEastAsia" w:hAnsiTheme="minorEastAsia" w:eastAsiaTheme="minorEastAsia" w:cstheme="minorEastAsia"/>
          <w:sz w:val="24"/>
          <w:szCs w:val="22"/>
          <w:u w:val="single"/>
        </w:rPr>
        <w:t>元</w:t>
      </w:r>
      <w:r>
        <w:rPr>
          <w:rFonts w:hint="eastAsia" w:asciiTheme="minorEastAsia" w:hAnsiTheme="minorEastAsia" w:eastAsiaTheme="minorEastAsia" w:cstheme="minorEastAsia"/>
          <w:sz w:val="24"/>
          <w:szCs w:val="22"/>
        </w:rPr>
        <w:t>整)，其有效期截至本合同履约期限届满。履约保证金用以保证乙方履行合同规定的所有义务。</w:t>
      </w:r>
    </w:p>
    <w:p>
      <w:pPr>
        <w:spacing w:line="360" w:lineRule="auto"/>
        <w:ind w:firstLine="540" w:firstLineChars="225"/>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6.3 除非双方另有协定，在履约保证金有效期届满后，甲方接到乙方提请退还履约保证金的书面申请和双方约定的有关单据后十五（15）个工作日内，应将履约保证金或扣除违约金、赔偿金、补偿金后剩余的履约保证金退还乙方(不计息)。</w:t>
      </w:r>
    </w:p>
    <w:p>
      <w:pPr>
        <w:spacing w:line="360" w:lineRule="auto"/>
        <w:ind w:firstLine="540" w:firstLineChars="225"/>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6.4履约保证金采取银行电汇或支票倒存的方式汇入或存入甲方在采购文件中指定的账户。</w:t>
      </w:r>
    </w:p>
    <w:p>
      <w:pPr>
        <w:spacing w:line="360" w:lineRule="auto"/>
        <w:ind w:firstLine="540" w:firstLineChars="225"/>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sz w:val="24"/>
          <w:szCs w:val="22"/>
        </w:rPr>
        <w:t>6.5续保服务期开始后，乙方可以以银行保函的形式替换签约时提交的合同履约保证金。</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第七部分各方责任及违约</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7.1对于因非正版软件或硬件引发的故障，乙方只负责判断故障原因，并将故障情况反映给甲方及甲方相关负责人。</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7.3乙方有义务严守甲方及甲方的商业机密，不以任何的形式窃取或获取甲方保密信息，并不得将甲方及甲方数据资料带出工作现场。</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7.4乙方及原厂商在服务期间，如果对甲方及中国人民银行内其他部门运行正常的硬件、软件或其他财产造成损坏，乙方应负责对其修复及更换，确保甲方及中国人民银行内其他部门的正常使用，给甲方或中国人民银行造成损害或损失的，或发生其他侵犯甲方或第三方财产或合法权利的情况时，乙方应当承担全部法律责任和经济赔偿。</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7.5未经甲方书面同意，乙方不得擅自更换常驻工程师，乙方常驻工程师不得擅自离岗。乙方指派的专业技术工程师不符合甲方要求的，乙方应按甲方要求限期更换合格工程师。</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7.6违约责任和合同解除</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7.6.1乙方未按合同要求向甲方提供服务时，甲方有权扣除其相应的服务费，其计算方法为：乙方及原厂商因自身原因未能完成甲方要求的服务工作的，乙方应以本合同总金额为基数向甲方支付违约金，且每次支付违约金数额不低于合同总金额的2%（百分之二）。当以上违约金的累计金额达到合同总金额的5%（百分之五）时，甲方有权解除合同。</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7.6.2乙方及原厂商工作人员在提供服务时或提供服务外，造成甲方设施、材料、其他财产及甲方客户物品损失或损坏的，由乙方承担相应的赔偿责任。</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7.6.3若乙方违反第7.2款约定，所提供软件或服务损害第三方合法权益（含知识产权或其他合法权益），乙方应予以处理并承担全部法律责任，还应当按合同总金额的【5】%（百分之【五】）向甲方支付违约金。甲方因此承担责任的，有权向乙方全额追偿。</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7.6.4甲方对乙方的投诉超过2次的,乙方每次每项应按合同总金额的1‰(千分之一)向甲方支付违约金，投诉超过五次的，甲方有权解除本合同。</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7.6.5甲方未按照合同规定期限支付服务费用且经乙方书面催告后仍未支付的，除支付应付费用外，每日应按逾期支付服务费用的0.2‰(万分之二)向乙方支付违约金，直至实际支付相应款项为止，但甲方支付的违约金最多不得超过逾期付款金额的5%（百分之五）；违约金达到合同费用总额的5%（百分之五）时，乙方有权解除合同。</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7.6.6乙方擅自更换常驻工程师，或乙方常驻工程师擅自离岗，或乙方未按甲方要求限期更换工程师的，应每项每人每次向甲方支付合同总金额2%（百分之二）的违约金。</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7.6.7除本合同另有约定外，当发生以下情形之一时，视为乙方构成根本违约，甲方有权解除合同并向乙方要求赔偿；在出现以下第（1）、第（5）至第（12）种情形时，甲方还有权要求乙方支付合同总金额【20】%（百分之【二十】）的违约金：</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（1）乙方未能按照合同履行规定的义务，致使甲方无法实现合同目的；</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（2）乙方发生分立、并购、重组、解散等重大改变；</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（3）乙方因清偿诉讼债务被扣押资产、冻结账户；</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（4）乙方申请或被申请重整、和解或者破产清算；</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（5）乙方将本合同转包或分包；</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（6）乙方部分转让或全部转让其应履行的合同义务或享有的合同权利；</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（7）乙方所提供服务存在严重瑕疵或重大缺陷；</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（8）乙方资质、提供服务人员等情况的真实性存在重大瑕疵或相应的资质失效；</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（9）乙方中期验收不合格且未采取经甲方认可的改善措施的；</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（10）给甲方或中国人民银行的既有硬件、软件或其他财产造成重大损害（包括损失额超过（人民币￥3,000.00）元整（大写：人民币叁仟元整）或造成重大负面影响的）；</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（11）乙方严重违反本合同规定的条款并在甲方给予书面通知后3个工作日内仍未采取合理有效且被甲方书面认可的补救措施；</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（12）本合同约定或法律规定的其他甲方有权解除合同的情形。</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7.6.8如果违约方在收到守约方正式书面通知的违约金额7日内没有答复，则守约方提出的违约金额将视为被违约方接受。</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7.6.9甲乙双方承担违约责任并不影响双方继续履行合同未履行的部分。</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7.6.10乙方应对违约行为承担赔偿责任时，如果本合同约定的违约金、滞纳金不足以赔偿甲方全部损失的，乙方还应当对不足部分承担继续赔偿的责任。此外，甲方有权直接从未支付款项或者履约保证金中扣除相应金额的款项作为乙方应支付的违约金或赔偿金。</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7.6.11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7.6.12本合同所称的甲方损失，是指甲方因调查乙方的违约行为、采取补救措施而支出的所有费用，包括但不限于甲方的先期经济投入，以及甲方向乙方及有关单位追索而发生的仲裁费、诉讼费、执行费、保全费、保全责任保险费、公证费、律师费、差旅费等费用。</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第八部分不可抗力</w:t>
      </w:r>
    </w:p>
    <w:p>
      <w:pPr>
        <w:tabs>
          <w:tab w:val="left" w:pos="900"/>
        </w:tabs>
        <w:spacing w:line="480" w:lineRule="exact"/>
        <w:ind w:firstLine="480" w:firstLineChars="200"/>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color w:val="000000"/>
          <w:sz w:val="24"/>
          <w:szCs w:val="22"/>
        </w:rPr>
        <w:t>8.1 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tabs>
          <w:tab w:val="left" w:pos="900"/>
        </w:tabs>
        <w:spacing w:line="480" w:lineRule="exact"/>
        <w:ind w:firstLine="480" w:firstLineChars="200"/>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color w:val="000000"/>
          <w:sz w:val="24"/>
          <w:szCs w:val="22"/>
        </w:rPr>
        <w:t>8.2遭受不可抗力一方应在不可抗力事件发生后2日内以书面形式通知其他方;并在事件发生后 10 日内，将有关部门出具的证明文件、详细情况报告以及不可抗力对合同影响程度的说明用特快专递或挂号信的形式寄给其他方。如果不可抗力影响时间延续 60 日以上，各方应通过友好协商在合理的时间内达成进一步履行合同或终止合同的协议。</w:t>
      </w:r>
    </w:p>
    <w:p>
      <w:pPr>
        <w:tabs>
          <w:tab w:val="left" w:pos="900"/>
        </w:tabs>
        <w:spacing w:line="480" w:lineRule="exact"/>
        <w:ind w:firstLine="480" w:firstLineChars="200"/>
        <w:rPr>
          <w:rFonts w:hint="eastAsia" w:asciiTheme="minorEastAsia" w:hAnsiTheme="minorEastAsia" w:eastAsiaTheme="minorEastAsia" w:cstheme="minorEastAsia"/>
          <w:color w:val="000000"/>
          <w:sz w:val="24"/>
          <w:szCs w:val="22"/>
        </w:rPr>
      </w:pPr>
      <w:r>
        <w:rPr>
          <w:rFonts w:hint="eastAsia" w:asciiTheme="minorEastAsia" w:hAnsiTheme="minorEastAsia" w:eastAsiaTheme="minorEastAsia" w:cstheme="minorEastAsia"/>
          <w:color w:val="000000"/>
          <w:sz w:val="24"/>
          <w:szCs w:val="22"/>
        </w:rPr>
        <w:t>8.3 除迟延履行后发生不可抗力外，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000000"/>
          <w:sz w:val="24"/>
          <w:szCs w:val="22"/>
        </w:rPr>
        <w:t>8.4 受事件影响的一方应在不可抗力事件影响停止或消除后10日内将不可抗力事件已停止的报告以书面形式通知其他方。</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第九部分保密约定</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9.1 乙方应对在本合同履行过程中知悉的有关甲方的商业、国家等秘密承担保密义务。除经甲方的同意或法律、法规另有规定，乙方不得向本合同以外的任何第三人提供、泄漏上述秘密。乙方违反保密义务的，应按合同附件一《业务合作保密协议》之约定承担违约责任。违反本条规定给甲方造成损失的，乙方应承担相应责任。</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9.2 除合同本身以外，由甲方提供给乙方的所有资料始终为甲方的财产，乙方应于合同义务履行完毕后将上述资料包括副本退还给甲方。</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9.3 不论合同是否解除或终止，本条持续有效。</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第十部分争议</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10.1在执行本合同中所发生的争端，或与本合同有关的一切争端，甲、乙双方应通过协商解决。如通过协商方式仍不能解决争议，双方同意依法向甲方所在地有管辖权的人民法院提起诉讼。</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10.2在诉讼期间，除正在进行诉讼部分外，本合同其他部分应继续执行。</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第十一部分合同的终止</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11.1甲乙双方均不得单方面随意变更或解除合同。出现下列情况时本合同自行终止：</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11.1.1本合同正常履行完毕；</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11.1.2甲乙双方在不违反法律、法规规定的情况下协议终止本合同的履行；</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11.1.3不可抗力导致本合同无法履行或履行不必要时；</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11.1.4一方根据本合同规定提出解除合同后，本合同在责任方按照本合同的约定履行完毕全部支付义务或其他义务后终止。</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11.2合同的终止并不影响甲乙双方承担其他法律责任。</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第十二部分法律适用</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本合同应适用中华人民共和国法律。</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第十三部分其他</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13.1合同书写应用中文，各方所有的来往信函，以及合同有关的文件均应以中文书写，以外文书写的必须附有相应的中文译本。如果两种文本的含义发生冲突，各方同意以中文文本为准。</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13.2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13.3本合同一式四份，甲方持二份，乙方持二份，经甲、乙双方法定代表人或其授权代表签字、加盖单位公章或合同章</w:t>
      </w:r>
      <w:r>
        <w:rPr>
          <w:rFonts w:hint="eastAsia" w:asciiTheme="minorEastAsia" w:hAnsiTheme="minorEastAsia" w:eastAsiaTheme="minorEastAsia" w:cstheme="minorEastAsia"/>
          <w:color w:val="000000"/>
          <w:sz w:val="24"/>
          <w:szCs w:val="22"/>
        </w:rPr>
        <w:t>并在甲方收到</w:t>
      </w:r>
      <w:r>
        <w:rPr>
          <w:rFonts w:hint="eastAsia" w:asciiTheme="minorEastAsia" w:hAnsiTheme="minorEastAsia" w:eastAsiaTheme="minorEastAsia" w:cstheme="minorEastAsia"/>
          <w:sz w:val="24"/>
          <w:szCs w:val="22"/>
        </w:rPr>
        <w:t>履约</w:t>
      </w:r>
      <w:r>
        <w:rPr>
          <w:rFonts w:hint="eastAsia" w:asciiTheme="minorEastAsia" w:hAnsiTheme="minorEastAsia" w:eastAsiaTheme="minorEastAsia" w:cstheme="minorEastAsia"/>
          <w:color w:val="000000"/>
          <w:sz w:val="24"/>
          <w:szCs w:val="22"/>
        </w:rPr>
        <w:t>保证金后</w:t>
      </w:r>
      <w:r>
        <w:rPr>
          <w:rFonts w:hint="eastAsia" w:asciiTheme="minorEastAsia" w:hAnsiTheme="minorEastAsia" w:eastAsiaTheme="minorEastAsia" w:cstheme="minorEastAsia"/>
          <w:sz w:val="24"/>
          <w:szCs w:val="22"/>
        </w:rPr>
        <w:t>生效。</w:t>
      </w:r>
    </w:p>
    <w:p>
      <w:pPr>
        <w:spacing w:before="120" w:beforeLines="50" w:line="360" w:lineRule="auto"/>
        <w:jc w:val="center"/>
        <w:outlineLvl w:val="1"/>
        <w:rPr>
          <w:rFonts w:hint="eastAsia" w:asciiTheme="minorEastAsia" w:hAnsiTheme="minorEastAsia" w:eastAsiaTheme="minorEastAsia" w:cstheme="minorEastAsia"/>
          <w:b/>
          <w:bCs/>
          <w:color w:val="000000"/>
          <w:sz w:val="28"/>
        </w:rPr>
      </w:pPr>
      <w:r>
        <w:rPr>
          <w:rFonts w:hint="eastAsia" w:asciiTheme="minorEastAsia" w:hAnsiTheme="minorEastAsia" w:eastAsiaTheme="minorEastAsia" w:cstheme="minorEastAsia"/>
          <w:b/>
          <w:bCs/>
          <w:color w:val="000000"/>
          <w:sz w:val="28"/>
        </w:rPr>
        <w:t>第十四部分附件</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14.1本合同附件均为本合同不可分割的部分，与合同正文具有同等法律效力。</w:t>
      </w:r>
      <w:bookmarkStart w:id="0" w:name="_GoBack"/>
      <w:bookmarkEnd w:id="0"/>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合同附件目录如下：</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附件一、业务合作保密协议</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附件二、合同清单及价格</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附件三、甲方的业务需求及技术规范</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附件四、乙方维护服务及质量保证承诺</w:t>
      </w:r>
    </w:p>
    <w:p>
      <w:pPr>
        <w:tabs>
          <w:tab w:val="left" w:pos="900"/>
        </w:tabs>
        <w:spacing w:line="480" w:lineRule="exact"/>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2"/>
        </w:rPr>
        <w:t>附件五、成交通知书</w:t>
      </w: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附件六、供应商拥有者性别声明</w:t>
      </w:r>
    </w:p>
    <w:p>
      <w:pPr>
        <w:tabs>
          <w:tab w:val="left" w:pos="900"/>
        </w:tabs>
        <w:spacing w:line="480" w:lineRule="exact"/>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pPr>
        <w:autoSpaceDE w:val="0"/>
        <w:autoSpaceDN w:val="0"/>
        <w:adjustRightInd w:val="0"/>
        <w:snapToGrid w:val="0"/>
        <w:spacing w:line="360" w:lineRule="auto"/>
        <w:ind w:left="360"/>
        <w:jc w:val="center"/>
        <w:rPr>
          <w:rFonts w:hint="eastAsia" w:asciiTheme="minorEastAsia" w:hAnsiTheme="minorEastAsia" w:eastAsiaTheme="minorEastAsia" w:cstheme="minorEastAsia"/>
          <w:kern w:val="0"/>
          <w:sz w:val="24"/>
          <w:szCs w:val="22"/>
        </w:rPr>
      </w:pPr>
      <w:r>
        <w:rPr>
          <w:rFonts w:hint="eastAsia" w:asciiTheme="minorEastAsia" w:hAnsiTheme="minorEastAsia" w:eastAsiaTheme="minorEastAsia" w:cstheme="minorEastAsia"/>
          <w:kern w:val="0"/>
          <w:sz w:val="24"/>
          <w:szCs w:val="22"/>
        </w:rPr>
        <w:t>（本行以下无正文）</w:t>
      </w:r>
    </w:p>
    <w:p>
      <w:pPr>
        <w:spacing w:line="72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甲    方：中国人民银行征信中心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乙    方：上海跬智信息技术有限公司 </w:t>
      </w:r>
    </w:p>
    <w:p>
      <w:pPr>
        <w:spacing w:line="72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单位盖章：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单位盖章：</w:t>
      </w:r>
    </w:p>
    <w:p>
      <w:pPr>
        <w:spacing w:line="72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2"/>
        </w:rPr>
        <w:t>法定代表人或其授权代表</w:t>
      </w:r>
      <w:r>
        <w:rPr>
          <w:rFonts w:hint="eastAsia" w:asciiTheme="minorEastAsia" w:hAnsiTheme="minorEastAsia" w:eastAsiaTheme="minorEastAsia" w:cstheme="minorEastAsia"/>
          <w:sz w:val="24"/>
          <w:szCs w:val="24"/>
        </w:rPr>
        <w:t xml:space="preserve">签字：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2"/>
        </w:rPr>
        <w:t>法定代表人或其授权代表</w:t>
      </w:r>
      <w:r>
        <w:rPr>
          <w:rFonts w:hint="eastAsia" w:asciiTheme="minorEastAsia" w:hAnsiTheme="minorEastAsia" w:eastAsiaTheme="minorEastAsia" w:cstheme="minorEastAsia"/>
          <w:sz w:val="24"/>
          <w:szCs w:val="24"/>
        </w:rPr>
        <w:t>签字：</w:t>
      </w:r>
    </w:p>
    <w:p>
      <w:pPr>
        <w:spacing w:line="72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日    期：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日    期：</w:t>
      </w:r>
    </w:p>
    <w:p>
      <w:pPr>
        <w:pStyle w:val="2"/>
        <w:rPr>
          <w:rFonts w:hint="eastAsia" w:asciiTheme="minorEastAsia" w:hAnsiTheme="minorEastAsia" w:eastAsiaTheme="minorEastAsia" w:cstheme="minorEastAsia"/>
          <w:sz w:val="24"/>
          <w:szCs w:val="22"/>
        </w:rPr>
      </w:pPr>
      <w:r>
        <w:drawing>
          <wp:anchor distT="0" distB="0" distL="114935" distR="114935" simplePos="0" relativeHeight="251659264" behindDoc="1" locked="0" layoutInCell="1" allowOverlap="1">
            <wp:simplePos x="0" y="0"/>
            <wp:positionH relativeFrom="column">
              <wp:posOffset>-619760</wp:posOffset>
            </wp:positionH>
            <wp:positionV relativeFrom="paragraph">
              <wp:posOffset>493395</wp:posOffset>
            </wp:positionV>
            <wp:extent cx="6494780" cy="4940935"/>
            <wp:effectExtent l="0" t="0" r="0" b="0"/>
            <wp:wrapThrough wrapText="bothSides">
              <wp:wrapPolygon>
                <wp:start x="0" y="0"/>
                <wp:lineTo x="0" y="21486"/>
                <wp:lineTo x="21541" y="21486"/>
                <wp:lineTo x="21541" y="0"/>
                <wp:lineTo x="0" y="0"/>
              </wp:wrapPolygon>
            </wp:wrapThrough>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6494780" cy="4940935"/>
                    </a:xfrm>
                    <a:prstGeom prst="rect">
                      <a:avLst/>
                    </a:prstGeom>
                    <a:noFill/>
                    <a:ln>
                      <a:noFill/>
                    </a:ln>
                  </pic:spPr>
                </pic:pic>
              </a:graphicData>
            </a:graphic>
          </wp:anchor>
        </w:drawing>
      </w:r>
      <w:r>
        <w:rPr>
          <w:rFonts w:hint="eastAsia" w:asciiTheme="minorEastAsia" w:hAnsiTheme="minorEastAsia" w:eastAsiaTheme="minorEastAsia" w:cstheme="minorEastAsia"/>
          <w:sz w:val="24"/>
          <w:szCs w:val="24"/>
        </w:rPr>
        <w:br w:type="page"/>
      </w:r>
    </w:p>
    <w:p>
      <w:pPr>
        <w:pStyle w:val="2"/>
        <w:rPr>
          <w:rFonts w:hint="eastAsia" w:asciiTheme="minorEastAsia" w:hAnsiTheme="minorEastAsia" w:eastAsiaTheme="minorEastAsia" w:cstheme="minorEastAsia"/>
          <w:sz w:val="24"/>
          <w:szCs w:val="22"/>
        </w:rPr>
      </w:pPr>
    </w:p>
    <w:p>
      <w:pPr>
        <w:tabs>
          <w:tab w:val="left" w:pos="900"/>
        </w:tabs>
        <w:spacing w:line="48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附件五、成交通知书</w:t>
      </w:r>
    </w:p>
    <w:p>
      <w:pPr>
        <w:pStyle w:val="2"/>
        <w:rPr>
          <w:rFonts w:hint="eastAsia" w:asciiTheme="minorEastAsia" w:hAnsiTheme="minorEastAsia" w:eastAsiaTheme="minorEastAsia" w:cstheme="minorEastAsia"/>
          <w:sz w:val="24"/>
          <w:szCs w:val="22"/>
        </w:rPr>
      </w:pPr>
    </w:p>
    <w:p>
      <w:pPr>
        <w:pStyle w:val="2"/>
        <w:tabs>
          <w:tab w:val="left" w:pos="840"/>
        </w:tabs>
        <w:ind w:left="417" w:leftChars="104" w:hanging="199" w:hangingChars="83"/>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drawing>
          <wp:inline distT="0" distB="0" distL="114300" distR="114300">
            <wp:extent cx="5271135" cy="7452360"/>
            <wp:effectExtent l="0" t="0" r="5715" b="15240"/>
            <wp:docPr id="1" name="图片 1" descr="成交通知书(kyligence)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成交通知书(kyligence)_00"/>
                    <pic:cNvPicPr>
                      <a:picLocks noChangeAspect="1"/>
                    </pic:cNvPicPr>
                  </pic:nvPicPr>
                  <pic:blipFill>
                    <a:blip r:embed="rId11"/>
                    <a:stretch>
                      <a:fillRect/>
                    </a:stretch>
                  </pic:blipFill>
                  <pic:spPr>
                    <a:xfrm>
                      <a:off x="0" y="0"/>
                      <a:ext cx="5271135" cy="7452360"/>
                    </a:xfrm>
                    <a:prstGeom prst="rect">
                      <a:avLst/>
                    </a:prstGeom>
                  </pic:spPr>
                </pic:pic>
              </a:graphicData>
            </a:graphic>
          </wp:inline>
        </w:drawing>
      </w:r>
    </w:p>
    <w:p>
      <w:pPr>
        <w:pStyle w:val="2"/>
        <w:ind w:left="0" w:leftChars="0" w:firstLine="0" w:firstLineChars="0"/>
        <w:rPr>
          <w:rFonts w:hint="eastAsia" w:asciiTheme="minorEastAsia" w:hAnsiTheme="minorEastAsia" w:eastAsiaTheme="minorEastAsia" w:cstheme="minorEastAsia"/>
          <w:sz w:val="24"/>
          <w:szCs w:val="22"/>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C30E2"/>
    <w:rsid w:val="04BA49CA"/>
    <w:rsid w:val="0F1F3E07"/>
    <w:rsid w:val="18E55757"/>
    <w:rsid w:val="27D03390"/>
    <w:rsid w:val="35717CBC"/>
    <w:rsid w:val="3EE46297"/>
    <w:rsid w:val="4398612A"/>
    <w:rsid w:val="44BB31D6"/>
    <w:rsid w:val="46FC6684"/>
    <w:rsid w:val="47C87E7E"/>
    <w:rsid w:val="4BBF74EC"/>
    <w:rsid w:val="4C914A2C"/>
    <w:rsid w:val="4F1C4D18"/>
    <w:rsid w:val="4FFE13EA"/>
    <w:rsid w:val="64C6163C"/>
    <w:rsid w:val="791B1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spacing w:after="120"/>
      <w:ind w:left="420" w:leftChars="200" w:firstLine="420" w:firstLineChars="200"/>
    </w:pPr>
    <w:rPr>
      <w:sz w:val="21"/>
    </w:rPr>
  </w:style>
  <w:style w:type="paragraph" w:styleId="3">
    <w:name w:val="Body Text Indent"/>
    <w:basedOn w:val="1"/>
    <w:next w:val="4"/>
    <w:qFormat/>
    <w:uiPriority w:val="99"/>
    <w:pPr>
      <w:ind w:firstLine="540"/>
    </w:pPr>
    <w:rPr>
      <w:sz w:val="28"/>
    </w:rPr>
  </w:style>
  <w:style w:type="paragraph" w:styleId="4">
    <w:name w:val="envelope return"/>
    <w:basedOn w:val="1"/>
    <w:qFormat/>
    <w:uiPriority w:val="0"/>
    <w:pPr>
      <w:snapToGrid w:val="0"/>
      <w:spacing w:after="160" w:line="278" w:lineRule="auto"/>
    </w:pPr>
    <w:rPr>
      <w:rFonts w:ascii="Arial" w:hAnsi="Arial" w:eastAsia="宋体" w:cs="Times New Roman"/>
      <w:szCs w:val="22"/>
    </w:rPr>
  </w:style>
  <w:style w:type="paragraph" w:styleId="5">
    <w:name w:val="Body Text"/>
    <w:basedOn w:val="1"/>
    <w:next w:val="6"/>
    <w:qFormat/>
    <w:uiPriority w:val="99"/>
    <w:rPr>
      <w:rFonts w:hint="eastAsia" w:ascii="宋体" w:hAnsi="Arial"/>
      <w:sz w:val="28"/>
      <w:szCs w:val="20"/>
    </w:rPr>
  </w:style>
  <w:style w:type="paragraph" w:styleId="6">
    <w:name w:val="Plain Text"/>
    <w:basedOn w:val="1"/>
    <w:qFormat/>
    <w:uiPriority w:val="0"/>
    <w:rPr>
      <w:rFonts w:ascii="宋体" w:hAnsi="Courier New"/>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tabs>
        <w:tab w:val="center" w:pos="4153"/>
        <w:tab w:val="right" w:pos="8306"/>
      </w:tabs>
      <w:snapToGrid w:val="0"/>
      <w:jc w:val="center"/>
    </w:pPr>
    <w:rPr>
      <w:sz w:val="18"/>
    </w:rPr>
  </w:style>
  <w:style w:type="character" w:customStyle="1" w:styleId="11">
    <w:name w:val="text-only"/>
    <w:basedOn w:val="10"/>
    <w:qFormat/>
    <w:uiPriority w:val="0"/>
  </w:style>
  <w:style w:type="paragraph" w:customStyle="1" w:styleId="1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2025-12-26T08:03:00Z</dcterms:created>
  <dc:creator>admin</dc:creator>
  <cp:lastModifiedBy>xjc</cp:lastModifiedBy>
  <dcterms:modified xsi:type="dcterms:W3CDTF">2026-01-06T01:29:29Z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CB52EFE5B373419D8CDDDE70735F617A</vt:lpwstr>
  </property>
</Properties>
</file>