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line="360" w:lineRule="auto"/>
        <w:jc w:val="center"/>
        <w:rPr>
          <w:rFonts w:hint="eastAsia" w:ascii="宋体" w:hAnsi="宋体" w:eastAsia="宋体" w:cs="宋体"/>
          <w:b/>
          <w:bCs/>
          <w:color w:val="000000"/>
          <w:sz w:val="44"/>
          <w:szCs w:val="44"/>
          <w:lang w:bidi="ar"/>
        </w:rPr>
      </w:pPr>
    </w:p>
    <w:p>
      <w:pPr>
        <w:autoSpaceDE w:val="0"/>
        <w:autoSpaceDN w:val="0"/>
        <w:spacing w:line="360" w:lineRule="auto"/>
        <w:jc w:val="center"/>
        <w:rPr>
          <w:rFonts w:hint="eastAsia" w:ascii="宋体" w:hAnsi="宋体" w:eastAsia="宋体" w:cs="宋体"/>
          <w:b/>
          <w:bCs/>
          <w:sz w:val="44"/>
          <w:szCs w:val="44"/>
          <w:lang w:bidi="ar"/>
        </w:rPr>
      </w:pPr>
      <w:r>
        <w:rPr>
          <w:rFonts w:hint="eastAsia" w:ascii="宋体" w:hAnsi="宋体" w:eastAsia="宋体" w:cs="宋体"/>
          <w:b/>
          <w:bCs/>
          <w:color w:val="000000"/>
          <w:sz w:val="44"/>
          <w:szCs w:val="44"/>
          <w:lang w:bidi="ar"/>
        </w:rPr>
        <w:t>中国人民银行征信中心2026年天融信设备维保服务采购项目</w:t>
      </w:r>
      <w:r>
        <w:rPr>
          <w:rFonts w:hint="eastAsia" w:ascii="宋体" w:hAnsi="宋体" w:eastAsia="宋体" w:cs="宋体"/>
          <w:b/>
          <w:bCs/>
          <w:sz w:val="44"/>
          <w:szCs w:val="44"/>
          <w:lang w:bidi="ar"/>
        </w:rPr>
        <w:t>合同</w:t>
      </w:r>
    </w:p>
    <w:p>
      <w:pPr>
        <w:autoSpaceDE w:val="0"/>
        <w:autoSpaceDN w:val="0"/>
        <w:spacing w:line="360" w:lineRule="auto"/>
        <w:jc w:val="center"/>
        <w:rPr>
          <w:rFonts w:hint="eastAsia" w:ascii="宋体" w:hAnsi="宋体" w:eastAsia="宋体" w:cs="宋体"/>
          <w:b/>
          <w:bCs/>
          <w:sz w:val="44"/>
          <w:szCs w:val="44"/>
          <w:lang w:bidi="ar"/>
        </w:rPr>
      </w:pPr>
    </w:p>
    <w:p>
      <w:pPr>
        <w:autoSpaceDE w:val="0"/>
        <w:autoSpaceDN w:val="0"/>
        <w:spacing w:line="360" w:lineRule="auto"/>
        <w:jc w:val="center"/>
        <w:rPr>
          <w:rFonts w:hint="eastAsia" w:ascii="宋体" w:hAnsi="宋体" w:eastAsia="宋体" w:cs="宋体"/>
          <w:b/>
          <w:bCs/>
          <w:sz w:val="44"/>
          <w:szCs w:val="44"/>
          <w:lang w:bidi="ar"/>
        </w:rPr>
      </w:pPr>
    </w:p>
    <w:p>
      <w:pPr>
        <w:autoSpaceDE w:val="0"/>
        <w:autoSpaceDN w:val="0"/>
        <w:spacing w:line="360" w:lineRule="auto"/>
        <w:jc w:val="center"/>
        <w:rPr>
          <w:rFonts w:hint="eastAsia" w:ascii="宋体" w:hAnsi="宋体" w:eastAsia="宋体" w:cs="宋体"/>
          <w:b/>
          <w:bCs/>
          <w:sz w:val="44"/>
          <w:szCs w:val="44"/>
          <w:lang w:bidi="ar"/>
        </w:rPr>
      </w:pPr>
    </w:p>
    <w:p>
      <w:pPr>
        <w:autoSpaceDE w:val="0"/>
        <w:autoSpaceDN w:val="0"/>
        <w:adjustRightInd w:val="0"/>
        <w:ind w:left="420" w:hanging="420"/>
        <w:jc w:val="center"/>
        <w:rPr>
          <w:rFonts w:hint="eastAsia" w:ascii="宋体" w:hAnsi="宋体" w:eastAsia="宋体" w:cs="宋体"/>
          <w:b/>
          <w:color w:val="000000"/>
          <w:sz w:val="32"/>
          <w:szCs w:val="21"/>
          <w:lang w:val="zh-CN"/>
        </w:rPr>
      </w:pPr>
      <w:r>
        <w:rPr>
          <w:rFonts w:hint="eastAsia" w:ascii="宋体" w:hAnsi="宋体" w:eastAsia="宋体" w:cs="宋体"/>
          <w:b/>
          <w:color w:val="000000"/>
          <w:sz w:val="32"/>
          <w:szCs w:val="21"/>
          <w:lang w:val="zh-CN" w:bidi="ar"/>
        </w:rPr>
        <w:t>合同编号：ZXZX-</w:t>
      </w:r>
      <w:r>
        <w:rPr>
          <w:rFonts w:hint="eastAsia" w:ascii="宋体" w:hAnsi="宋体" w:eastAsia="宋体" w:cs="宋体"/>
          <w:b/>
          <w:color w:val="000000"/>
          <w:sz w:val="32"/>
          <w:szCs w:val="21"/>
          <w:lang w:bidi="ar"/>
        </w:rPr>
        <w:t>2025</w:t>
      </w:r>
      <w:r>
        <w:rPr>
          <w:rFonts w:hint="eastAsia" w:ascii="宋体" w:hAnsi="宋体" w:eastAsia="宋体" w:cs="宋体"/>
          <w:b/>
          <w:color w:val="000000"/>
          <w:sz w:val="32"/>
          <w:szCs w:val="21"/>
          <w:lang w:val="zh-CN" w:bidi="ar"/>
        </w:rPr>
        <w:t xml:space="preserve">- </w:t>
      </w:r>
    </w:p>
    <w:p>
      <w:pPr>
        <w:autoSpaceDE w:val="0"/>
        <w:autoSpaceDN w:val="0"/>
        <w:adjustRightInd w:val="0"/>
        <w:ind w:left="420" w:hanging="420"/>
        <w:rPr>
          <w:rFonts w:hint="eastAsia" w:ascii="宋体" w:hAnsi="宋体" w:eastAsia="宋体" w:cs="宋体"/>
          <w:b/>
          <w:bCs/>
          <w:color w:val="000000"/>
          <w:sz w:val="24"/>
          <w:szCs w:val="20"/>
          <w:lang w:val="zh-CN"/>
        </w:rPr>
      </w:pPr>
    </w:p>
    <w:p>
      <w:pPr>
        <w:autoSpaceDE w:val="0"/>
        <w:autoSpaceDN w:val="0"/>
        <w:adjustRightInd w:val="0"/>
        <w:ind w:left="420" w:hanging="420"/>
        <w:rPr>
          <w:rFonts w:hint="eastAsia" w:ascii="宋体" w:hAnsi="宋体" w:eastAsia="宋体" w:cs="宋体"/>
          <w:b/>
          <w:bCs/>
          <w:color w:val="000000"/>
          <w:sz w:val="24"/>
          <w:szCs w:val="20"/>
          <w:lang w:val="zh-CN"/>
        </w:rPr>
      </w:pPr>
    </w:p>
    <w:p>
      <w:pPr>
        <w:autoSpaceDE w:val="0"/>
        <w:autoSpaceDN w:val="0"/>
        <w:adjustRightInd w:val="0"/>
        <w:ind w:left="420" w:hanging="420"/>
        <w:rPr>
          <w:rFonts w:hint="eastAsia" w:ascii="宋体" w:hAnsi="宋体" w:eastAsia="宋体" w:cs="宋体"/>
          <w:b/>
          <w:bCs/>
          <w:color w:val="000000"/>
          <w:sz w:val="24"/>
          <w:szCs w:val="20"/>
          <w:lang w:val="zh-CN"/>
        </w:rPr>
      </w:pPr>
    </w:p>
    <w:p>
      <w:pPr>
        <w:autoSpaceDE w:val="0"/>
        <w:autoSpaceDN w:val="0"/>
        <w:adjustRightInd w:val="0"/>
        <w:ind w:left="420" w:hanging="420"/>
        <w:rPr>
          <w:rFonts w:hint="eastAsia" w:ascii="宋体" w:hAnsi="宋体" w:eastAsia="宋体" w:cs="宋体"/>
          <w:b/>
          <w:bCs/>
          <w:color w:val="000000"/>
          <w:sz w:val="24"/>
          <w:szCs w:val="20"/>
          <w:lang w:val="zh-CN"/>
        </w:rPr>
      </w:pPr>
    </w:p>
    <w:p>
      <w:pPr>
        <w:autoSpaceDE w:val="0"/>
        <w:autoSpaceDN w:val="0"/>
        <w:adjustRightInd w:val="0"/>
        <w:rPr>
          <w:rFonts w:hint="eastAsia" w:ascii="宋体" w:hAnsi="宋体" w:eastAsia="宋体" w:cs="宋体"/>
          <w:b/>
          <w:bCs/>
          <w:color w:val="000000"/>
          <w:sz w:val="24"/>
          <w:szCs w:val="20"/>
          <w:lang w:val="zh-CN"/>
        </w:rPr>
      </w:pPr>
    </w:p>
    <w:p>
      <w:pPr>
        <w:autoSpaceDE w:val="0"/>
        <w:autoSpaceDN w:val="0"/>
        <w:adjustRightInd w:val="0"/>
        <w:jc w:val="center"/>
        <w:rPr>
          <w:rFonts w:hint="eastAsia" w:ascii="宋体" w:hAnsi="宋体" w:eastAsia="宋体" w:cs="宋体"/>
          <w:b/>
          <w:bCs/>
          <w:color w:val="000000"/>
          <w:sz w:val="24"/>
          <w:szCs w:val="20"/>
          <w:lang w:val="zh-CN" w:bidi="ar"/>
        </w:rPr>
      </w:pPr>
    </w:p>
    <w:p>
      <w:pPr>
        <w:autoSpaceDE w:val="0"/>
        <w:autoSpaceDN w:val="0"/>
        <w:adjustRightInd w:val="0"/>
        <w:jc w:val="center"/>
        <w:rPr>
          <w:rFonts w:hint="eastAsia" w:ascii="宋体" w:hAnsi="宋体" w:eastAsia="宋体" w:cs="宋体"/>
          <w:b/>
          <w:bCs/>
          <w:color w:val="000000"/>
          <w:sz w:val="24"/>
          <w:szCs w:val="20"/>
          <w:lang w:val="zh-CN" w:bidi="ar"/>
        </w:rPr>
      </w:pPr>
    </w:p>
    <w:p>
      <w:pPr>
        <w:autoSpaceDE w:val="0"/>
        <w:autoSpaceDN w:val="0"/>
        <w:adjustRightInd w:val="0"/>
        <w:jc w:val="center"/>
        <w:rPr>
          <w:rFonts w:hint="eastAsia" w:ascii="宋体" w:hAnsi="宋体" w:eastAsia="宋体" w:cs="宋体"/>
          <w:b/>
          <w:bCs/>
          <w:color w:val="000000"/>
          <w:sz w:val="24"/>
          <w:szCs w:val="20"/>
          <w:lang w:val="zh-CN" w:bidi="ar"/>
        </w:rPr>
      </w:pPr>
    </w:p>
    <w:p>
      <w:pPr>
        <w:autoSpaceDE w:val="0"/>
        <w:autoSpaceDN w:val="0"/>
        <w:adjustRightInd w:val="0"/>
        <w:jc w:val="center"/>
        <w:rPr>
          <w:rFonts w:hint="eastAsia" w:ascii="宋体" w:hAnsi="宋体" w:eastAsia="宋体" w:cs="宋体"/>
          <w:b/>
          <w:bCs/>
          <w:color w:val="000000"/>
          <w:sz w:val="24"/>
          <w:szCs w:val="20"/>
          <w:lang w:val="zh-CN" w:bidi="ar"/>
        </w:rPr>
      </w:pPr>
    </w:p>
    <w:p>
      <w:pPr>
        <w:autoSpaceDE w:val="0"/>
        <w:autoSpaceDN w:val="0"/>
        <w:adjustRightInd w:val="0"/>
        <w:jc w:val="center"/>
        <w:rPr>
          <w:rFonts w:hint="eastAsia" w:ascii="宋体" w:hAnsi="宋体" w:eastAsia="宋体" w:cs="宋体"/>
          <w:b/>
          <w:bCs/>
          <w:color w:val="000000"/>
          <w:sz w:val="24"/>
          <w:szCs w:val="20"/>
          <w:lang w:val="zh-CN" w:bidi="ar"/>
        </w:rPr>
      </w:pPr>
    </w:p>
    <w:p>
      <w:pPr>
        <w:autoSpaceDE w:val="0"/>
        <w:autoSpaceDN w:val="0"/>
        <w:adjustRightInd w:val="0"/>
        <w:jc w:val="center"/>
        <w:rPr>
          <w:rFonts w:hint="eastAsia" w:ascii="宋体" w:hAnsi="宋体" w:eastAsia="宋体" w:cs="宋体"/>
          <w:b/>
          <w:bCs/>
          <w:color w:val="000000"/>
          <w:sz w:val="24"/>
          <w:szCs w:val="20"/>
          <w:lang w:val="zh-CN"/>
        </w:rPr>
      </w:pPr>
      <w:r>
        <w:rPr>
          <w:rFonts w:hint="eastAsia" w:ascii="宋体" w:hAnsi="宋体" w:eastAsia="宋体" w:cs="宋体"/>
          <w:b/>
          <w:bCs/>
          <w:color w:val="000000"/>
          <w:sz w:val="24"/>
          <w:szCs w:val="22"/>
          <w:lang w:val="zh-CN" w:bidi="ar"/>
        </w:rPr>
        <w:t>甲方：中国人民银行征信中心</w:t>
      </w:r>
    </w:p>
    <w:p>
      <w:pPr>
        <w:autoSpaceDE w:val="0"/>
        <w:autoSpaceDN w:val="0"/>
        <w:adjustRightInd w:val="0"/>
        <w:jc w:val="center"/>
        <w:rPr>
          <w:rFonts w:hint="eastAsia" w:ascii="宋体" w:hAnsi="宋体" w:eastAsia="宋体" w:cs="宋体"/>
          <w:b/>
          <w:bCs/>
          <w:color w:val="000000"/>
          <w:sz w:val="24"/>
          <w:szCs w:val="20"/>
        </w:rPr>
      </w:pPr>
      <w:r>
        <w:rPr>
          <w:rFonts w:hint="eastAsia" w:ascii="宋体" w:hAnsi="宋体" w:eastAsia="宋体" w:cs="宋体"/>
          <w:b/>
          <w:bCs/>
          <w:color w:val="000000"/>
          <w:sz w:val="24"/>
          <w:szCs w:val="22"/>
          <w:lang w:bidi="ar"/>
        </w:rPr>
        <w:t xml:space="preserve"> </w:t>
      </w:r>
    </w:p>
    <w:p>
      <w:pPr>
        <w:autoSpaceDE w:val="0"/>
        <w:autoSpaceDN w:val="0"/>
        <w:adjustRightInd w:val="0"/>
        <w:ind w:firstLine="2891" w:firstLineChars="1200"/>
        <w:rPr>
          <w:rFonts w:hint="eastAsia" w:ascii="宋体" w:hAnsi="宋体" w:eastAsia="宋体" w:cs="宋体"/>
          <w:b/>
          <w:bCs/>
          <w:color w:val="000000"/>
          <w:sz w:val="24"/>
          <w:szCs w:val="20"/>
          <w:lang w:val="zh-CN"/>
        </w:rPr>
      </w:pPr>
      <w:r>
        <w:rPr>
          <w:rFonts w:hint="eastAsia" w:ascii="宋体" w:hAnsi="宋体" w:eastAsia="宋体" w:cs="宋体"/>
          <w:b/>
          <w:bCs/>
          <w:color w:val="000000"/>
          <w:sz w:val="24"/>
          <w:szCs w:val="22"/>
          <w:lang w:val="zh-CN" w:bidi="ar"/>
        </w:rPr>
        <w:t>乙方：北京天融信网络安全技术有限公司</w:t>
      </w:r>
    </w:p>
    <w:p>
      <w:pPr>
        <w:autoSpaceDE w:val="0"/>
        <w:autoSpaceDN w:val="0"/>
        <w:adjustRightInd w:val="0"/>
        <w:ind w:left="420" w:hanging="420"/>
        <w:jc w:val="center"/>
        <w:rPr>
          <w:rFonts w:hint="eastAsia" w:ascii="宋体" w:hAnsi="宋体" w:eastAsia="宋体" w:cs="宋体"/>
          <w:b/>
          <w:bCs/>
          <w:color w:val="000000"/>
          <w:sz w:val="24"/>
          <w:szCs w:val="20"/>
          <w:lang w:val="zh-CN"/>
        </w:rPr>
      </w:pPr>
    </w:p>
    <w:p>
      <w:pPr>
        <w:autoSpaceDE w:val="0"/>
        <w:autoSpaceDN w:val="0"/>
        <w:adjustRightInd w:val="0"/>
        <w:ind w:left="420" w:hanging="420"/>
        <w:jc w:val="center"/>
        <w:rPr>
          <w:rFonts w:hint="eastAsia" w:ascii="宋体" w:hAnsi="宋体" w:eastAsia="宋体" w:cs="宋体"/>
          <w:b/>
          <w:bCs/>
          <w:color w:val="000000"/>
          <w:sz w:val="24"/>
          <w:szCs w:val="20"/>
          <w:lang w:val="zh-CN"/>
        </w:rPr>
      </w:pPr>
    </w:p>
    <w:p>
      <w:pPr>
        <w:autoSpaceDE w:val="0"/>
        <w:autoSpaceDN w:val="0"/>
        <w:adjustRightInd w:val="0"/>
        <w:ind w:left="420" w:hanging="420"/>
        <w:jc w:val="center"/>
        <w:rPr>
          <w:rFonts w:hint="eastAsia" w:ascii="宋体" w:hAnsi="宋体" w:eastAsia="宋体" w:cs="宋体"/>
          <w:b/>
          <w:bCs/>
          <w:color w:val="000000"/>
          <w:sz w:val="24"/>
          <w:szCs w:val="20"/>
          <w:lang w:val="zh-CN"/>
        </w:rPr>
      </w:pPr>
    </w:p>
    <w:p>
      <w:pPr>
        <w:widowControl/>
        <w:jc w:val="center"/>
        <w:rPr>
          <w:rFonts w:hint="eastAsia" w:ascii="宋体" w:hAnsi="宋体" w:eastAsia="宋体" w:cs="宋体"/>
          <w:b/>
          <w:bCs/>
          <w:color w:val="000000"/>
          <w:sz w:val="24"/>
          <w:szCs w:val="20"/>
          <w:lang w:val="zh-CN" w:bidi="ar"/>
        </w:rPr>
      </w:pPr>
    </w:p>
    <w:p>
      <w:pPr>
        <w:widowControl/>
        <w:jc w:val="center"/>
        <w:rPr>
          <w:rFonts w:hint="eastAsia" w:ascii="宋体" w:hAnsi="宋体" w:eastAsia="宋体" w:cs="宋体"/>
          <w:b/>
          <w:bCs/>
          <w:color w:val="000000"/>
          <w:sz w:val="24"/>
          <w:szCs w:val="20"/>
          <w:lang w:val="zh-CN" w:bidi="ar"/>
        </w:rPr>
      </w:pPr>
    </w:p>
    <w:p>
      <w:pPr>
        <w:widowControl/>
        <w:jc w:val="center"/>
        <w:rPr>
          <w:rFonts w:hint="eastAsia" w:ascii="宋体" w:hAnsi="宋体" w:eastAsia="宋体" w:cs="宋体"/>
          <w:b/>
          <w:bCs/>
          <w:color w:val="000000"/>
          <w:sz w:val="24"/>
          <w:szCs w:val="20"/>
          <w:lang w:val="zh-CN"/>
        </w:rPr>
      </w:pPr>
      <w:r>
        <w:rPr>
          <w:rFonts w:hint="eastAsia" w:ascii="宋体" w:hAnsi="宋体" w:eastAsia="宋体" w:cs="宋体"/>
          <w:b/>
          <w:bCs/>
          <w:color w:val="000000"/>
          <w:sz w:val="24"/>
          <w:szCs w:val="22"/>
          <w:lang w:val="zh-CN" w:bidi="ar"/>
        </w:rPr>
        <w:t>二〇</w:t>
      </w:r>
      <w:r>
        <w:rPr>
          <w:rFonts w:hint="eastAsia" w:ascii="宋体" w:hAnsi="宋体" w:eastAsia="宋体" w:cs="宋体"/>
          <w:b/>
          <w:bCs/>
          <w:color w:val="000000"/>
          <w:sz w:val="24"/>
          <w:szCs w:val="22"/>
          <w:lang w:bidi="ar"/>
        </w:rPr>
        <w:t>二五</w:t>
      </w:r>
      <w:r>
        <w:rPr>
          <w:rFonts w:hint="eastAsia" w:ascii="宋体" w:hAnsi="宋体" w:eastAsia="宋体" w:cs="宋体"/>
          <w:b/>
          <w:bCs/>
          <w:color w:val="000000"/>
          <w:sz w:val="24"/>
          <w:szCs w:val="22"/>
          <w:lang w:val="zh-CN" w:bidi="ar"/>
        </w:rPr>
        <w:t>年</w:t>
      </w:r>
      <w:r>
        <w:rPr>
          <w:rFonts w:hint="eastAsia" w:ascii="宋体" w:hAnsi="宋体" w:eastAsia="宋体" w:cs="宋体"/>
          <w:b/>
          <w:bCs/>
          <w:color w:val="000000"/>
          <w:sz w:val="24"/>
          <w:szCs w:val="22"/>
          <w:lang w:bidi="ar"/>
        </w:rPr>
        <w:t xml:space="preserve"> 十二</w:t>
      </w:r>
      <w:r>
        <w:rPr>
          <w:rFonts w:hint="eastAsia" w:ascii="宋体" w:hAnsi="宋体" w:eastAsia="宋体" w:cs="宋体"/>
          <w:b/>
          <w:bCs/>
          <w:color w:val="000000"/>
          <w:sz w:val="24"/>
          <w:szCs w:val="22"/>
          <w:lang w:val="zh-CN" w:bidi="ar"/>
        </w:rPr>
        <w:t>月</w:t>
      </w:r>
    </w:p>
    <w:p>
      <w:pPr>
        <w:rPr>
          <w:rFonts w:hint="eastAsia" w:ascii="宋体" w:hAnsi="宋体" w:eastAsia="宋体" w:cs="宋体"/>
          <w:b/>
          <w:color w:val="000000"/>
          <w:sz w:val="24"/>
          <w:szCs w:val="20"/>
        </w:rPr>
      </w:pPr>
    </w:p>
    <w:p>
      <w:pPr>
        <w:jc w:val="center"/>
        <w:rPr>
          <w:rFonts w:hint="eastAsia" w:ascii="宋体" w:hAnsi="宋体" w:eastAsia="宋体" w:cs="宋体"/>
          <w:b/>
          <w:color w:val="000000"/>
          <w:sz w:val="24"/>
          <w:szCs w:val="20"/>
        </w:rPr>
      </w:pPr>
    </w:p>
    <w:p>
      <w:pPr>
        <w:jc w:val="center"/>
        <w:rPr>
          <w:rFonts w:hint="eastAsia" w:ascii="宋体" w:hAnsi="宋体" w:eastAsia="宋体" w:cs="宋体"/>
          <w:b/>
          <w:bCs/>
          <w:color w:val="000000"/>
          <w:sz w:val="44"/>
          <w:szCs w:val="20"/>
        </w:rPr>
      </w:pPr>
      <w:r>
        <w:rPr>
          <w:rFonts w:hint="eastAsia" w:ascii="宋体" w:hAnsi="宋体" w:eastAsia="宋体" w:cs="宋体"/>
          <w:b/>
          <w:color w:val="000000"/>
          <w:sz w:val="24"/>
          <w:szCs w:val="22"/>
          <w:lang w:bidi="ar"/>
        </w:rPr>
        <w:t>签订地点：上海</w:t>
      </w:r>
    </w:p>
    <w:p>
      <w:pPr>
        <w:pStyle w:val="12"/>
        <w:rPr>
          <w:rFonts w:hint="eastAsia" w:ascii="宋体" w:hAnsi="宋体" w:cs="宋体"/>
          <w:sz w:val="32"/>
          <w:szCs w:val="32"/>
          <w:lang w:bidi="ar"/>
        </w:rPr>
      </w:pPr>
      <w:r>
        <w:rPr>
          <w:rFonts w:hint="eastAsia" w:ascii="宋体" w:hAnsi="宋体" w:cs="宋体"/>
          <w:sz w:val="32"/>
          <w:szCs w:val="32"/>
          <w:lang w:bidi="ar"/>
        </w:rPr>
        <w:br w:type="page"/>
      </w:r>
    </w:p>
    <w:p>
      <w:pPr>
        <w:pStyle w:val="12"/>
        <w:rPr>
          <w:rFonts w:hint="eastAsia" w:ascii="宋体" w:hAnsi="宋体" w:cs="宋体"/>
          <w:sz w:val="32"/>
          <w:szCs w:val="32"/>
          <w:lang w:bidi="ar"/>
        </w:rPr>
      </w:pPr>
    </w:p>
    <w:p>
      <w:pPr>
        <w:pStyle w:val="12"/>
        <w:rPr>
          <w:rFonts w:hint="eastAsia" w:ascii="宋体" w:hAnsi="宋体" w:cs="宋体"/>
          <w:b/>
          <w:bCs/>
          <w:szCs w:val="24"/>
        </w:rPr>
      </w:pPr>
      <w:r>
        <w:rPr>
          <w:rFonts w:hint="eastAsia" w:ascii="宋体" w:hAnsi="宋体" w:cs="宋体"/>
          <w:b/>
          <w:bCs/>
          <w:szCs w:val="24"/>
        </w:rPr>
        <w:t>甲    方：中国人民银行征信中心</w:t>
      </w:r>
    </w:p>
    <w:p>
      <w:pPr>
        <w:pStyle w:val="13"/>
        <w:widowControl/>
        <w:ind w:left="0" w:firstLine="0"/>
        <w:rPr>
          <w:rFonts w:hint="eastAsia" w:ascii="宋体" w:hAnsi="宋体" w:eastAsia="宋体" w:cs="宋体"/>
          <w:szCs w:val="32"/>
        </w:rPr>
      </w:pPr>
      <w:r>
        <w:rPr>
          <w:rFonts w:hint="eastAsia" w:ascii="宋体" w:hAnsi="宋体" w:eastAsia="宋体" w:cs="宋体"/>
          <w:szCs w:val="32"/>
        </w:rPr>
        <w:t>法定代表人：</w:t>
      </w:r>
    </w:p>
    <w:p>
      <w:pPr>
        <w:pStyle w:val="13"/>
        <w:widowControl/>
        <w:ind w:left="0" w:firstLine="0"/>
        <w:rPr>
          <w:rFonts w:hint="eastAsia" w:ascii="宋体" w:hAnsi="宋体" w:eastAsia="宋体" w:cs="宋体"/>
          <w:szCs w:val="32"/>
        </w:rPr>
      </w:pPr>
      <w:r>
        <w:rPr>
          <w:rFonts w:hint="eastAsia" w:ascii="宋体" w:hAnsi="宋体" w:eastAsia="宋体" w:cs="宋体"/>
          <w:szCs w:val="32"/>
        </w:rPr>
        <w:t>地    址：</w:t>
      </w:r>
    </w:p>
    <w:p>
      <w:pPr>
        <w:pStyle w:val="13"/>
        <w:widowControl/>
        <w:ind w:left="0" w:firstLine="0"/>
        <w:rPr>
          <w:rFonts w:hint="eastAsia" w:ascii="宋体" w:hAnsi="宋体" w:eastAsia="宋体" w:cs="宋体"/>
          <w:szCs w:val="32"/>
        </w:rPr>
      </w:pPr>
      <w:r>
        <w:rPr>
          <w:rFonts w:hint="eastAsia" w:ascii="宋体" w:hAnsi="宋体" w:eastAsia="宋体" w:cs="宋体"/>
          <w:szCs w:val="32"/>
        </w:rPr>
        <w:t>邮政编码：</w:t>
      </w:r>
    </w:p>
    <w:p>
      <w:pPr>
        <w:pStyle w:val="13"/>
        <w:widowControl/>
        <w:ind w:left="0" w:firstLine="0"/>
        <w:rPr>
          <w:rFonts w:hint="eastAsia" w:ascii="宋体" w:hAnsi="宋体" w:eastAsia="宋体" w:cs="宋体"/>
          <w:szCs w:val="32"/>
        </w:rPr>
      </w:pPr>
      <w:r>
        <w:rPr>
          <w:rFonts w:hint="eastAsia" w:ascii="宋体" w:hAnsi="宋体" w:eastAsia="宋体" w:cs="宋体"/>
          <w:szCs w:val="32"/>
        </w:rPr>
        <w:t>联 系 人：</w:t>
      </w:r>
    </w:p>
    <w:p>
      <w:pPr>
        <w:pStyle w:val="13"/>
        <w:widowControl/>
        <w:ind w:left="0" w:firstLine="0"/>
        <w:rPr>
          <w:rFonts w:hint="eastAsia" w:ascii="宋体" w:hAnsi="宋体" w:eastAsia="宋体" w:cs="宋体"/>
          <w:szCs w:val="32"/>
        </w:rPr>
      </w:pPr>
      <w:r>
        <w:rPr>
          <w:rFonts w:hint="eastAsia" w:ascii="宋体" w:hAnsi="宋体" w:eastAsia="宋体" w:cs="宋体"/>
          <w:szCs w:val="32"/>
        </w:rPr>
        <w:t>联系电话：</w:t>
      </w:r>
    </w:p>
    <w:p>
      <w:pPr>
        <w:pStyle w:val="13"/>
        <w:widowControl/>
        <w:ind w:left="0" w:firstLine="0"/>
        <w:rPr>
          <w:rFonts w:hint="eastAsia" w:ascii="宋体" w:hAnsi="宋体" w:eastAsia="宋体" w:cs="宋体"/>
          <w:szCs w:val="32"/>
        </w:rPr>
      </w:pPr>
      <w:r>
        <w:rPr>
          <w:rFonts w:hint="eastAsia" w:ascii="宋体" w:hAnsi="宋体" w:eastAsia="宋体" w:cs="宋体"/>
          <w:szCs w:val="32"/>
        </w:rPr>
        <w:t>开户银行：</w:t>
      </w:r>
    </w:p>
    <w:p>
      <w:pPr>
        <w:pStyle w:val="13"/>
        <w:widowControl/>
        <w:ind w:left="0" w:firstLine="0"/>
        <w:rPr>
          <w:rFonts w:hint="eastAsia" w:ascii="宋体" w:hAnsi="宋体" w:eastAsia="宋体" w:cs="宋体"/>
          <w:szCs w:val="32"/>
        </w:rPr>
      </w:pPr>
      <w:r>
        <w:rPr>
          <w:rFonts w:hint="eastAsia" w:ascii="宋体" w:hAnsi="宋体" w:eastAsia="宋体" w:cs="宋体"/>
          <w:szCs w:val="32"/>
        </w:rPr>
        <w:t>银行账号：</w:t>
      </w:r>
    </w:p>
    <w:p>
      <w:pPr>
        <w:pStyle w:val="13"/>
        <w:widowControl/>
        <w:ind w:left="0" w:firstLine="0"/>
        <w:rPr>
          <w:rFonts w:hint="eastAsia" w:ascii="宋体" w:hAnsi="宋体" w:eastAsia="宋体" w:cs="宋体"/>
          <w:szCs w:val="32"/>
        </w:rPr>
      </w:pPr>
      <w:r>
        <w:rPr>
          <w:rFonts w:hint="eastAsia" w:ascii="宋体" w:hAnsi="宋体" w:eastAsia="宋体" w:cs="宋体"/>
          <w:szCs w:val="32"/>
        </w:rPr>
        <w:t>税    号：</w:t>
      </w:r>
    </w:p>
    <w:p>
      <w:pPr>
        <w:spacing w:line="360" w:lineRule="auto"/>
        <w:rPr>
          <w:rFonts w:hint="eastAsia" w:ascii="宋体" w:hAnsi="宋体" w:eastAsia="宋体" w:cs="宋体"/>
          <w:b/>
          <w:sz w:val="24"/>
          <w:szCs w:val="20"/>
        </w:rPr>
      </w:pPr>
    </w:p>
    <w:p>
      <w:pPr>
        <w:spacing w:line="360" w:lineRule="auto"/>
        <w:rPr>
          <w:rFonts w:hint="eastAsia" w:ascii="宋体" w:hAnsi="宋体" w:eastAsia="宋体" w:cs="宋体"/>
          <w:b/>
          <w:sz w:val="24"/>
          <w:szCs w:val="20"/>
        </w:rPr>
      </w:pPr>
    </w:p>
    <w:p>
      <w:pPr>
        <w:spacing w:line="360" w:lineRule="auto"/>
        <w:rPr>
          <w:rFonts w:hint="eastAsia" w:ascii="宋体" w:hAnsi="宋体" w:eastAsia="宋体" w:cs="宋体"/>
          <w:b/>
          <w:sz w:val="24"/>
          <w:szCs w:val="20"/>
        </w:rPr>
      </w:pPr>
    </w:p>
    <w:p>
      <w:pPr>
        <w:spacing w:line="360" w:lineRule="auto"/>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乙    方：北京天融信网络安全技术有限公司</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法定代表人：</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地    址：</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邮政编码：</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联 系 人：</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联系电话：</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传真号码：</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开户银行：</w:t>
      </w:r>
    </w:p>
    <w:p>
      <w:pPr>
        <w:spacing w:line="360" w:lineRule="auto"/>
        <w:rPr>
          <w:rFonts w:hint="eastAsia" w:ascii="宋体" w:hAnsi="宋体" w:eastAsia="宋体" w:cs="宋体"/>
          <w:b w:val="0"/>
          <w:bCs w:val="0"/>
          <w:kern w:val="0"/>
          <w:sz w:val="24"/>
          <w:highlight w:val="none"/>
        </w:rPr>
      </w:pPr>
      <w:r>
        <w:rPr>
          <w:rFonts w:hint="eastAsia" w:ascii="宋体" w:hAnsi="宋体" w:eastAsia="宋体" w:cs="宋体"/>
          <w:b w:val="0"/>
          <w:bCs w:val="0"/>
          <w:kern w:val="0"/>
          <w:sz w:val="24"/>
          <w:highlight w:val="none"/>
        </w:rPr>
        <w:t>银行账号：</w:t>
      </w:r>
    </w:p>
    <w:p>
      <w:pPr>
        <w:spacing w:line="360" w:lineRule="auto"/>
        <w:rPr>
          <w:rFonts w:hint="eastAsia" w:ascii="宋体" w:hAnsi="宋体" w:eastAsia="宋体" w:cs="宋体"/>
          <w:b w:val="0"/>
          <w:bCs w:val="0"/>
          <w:color w:val="000000"/>
          <w:sz w:val="24"/>
          <w:szCs w:val="20"/>
          <w:highlight w:val="none"/>
          <w:lang w:bidi="ar"/>
        </w:rPr>
      </w:pPr>
      <w:r>
        <w:rPr>
          <w:rFonts w:hint="eastAsia" w:ascii="宋体" w:hAnsi="宋体" w:eastAsia="宋体" w:cs="宋体"/>
          <w:b w:val="0"/>
          <w:bCs w:val="0"/>
          <w:kern w:val="0"/>
          <w:sz w:val="24"/>
          <w:highlight w:val="none"/>
        </w:rPr>
        <w:t>税    号：</w:t>
      </w:r>
    </w:p>
    <w:p>
      <w:pPr>
        <w:adjustRightInd w:val="0"/>
        <w:snapToGrid w:val="0"/>
        <w:spacing w:line="360" w:lineRule="auto"/>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lang w:bidi="ar"/>
        </w:rPr>
        <w:br w:type="page"/>
      </w:r>
      <w:r>
        <w:rPr>
          <w:rFonts w:hint="eastAsia" w:ascii="宋体" w:hAnsi="宋体" w:eastAsia="宋体" w:cs="宋体"/>
          <w:color w:val="000000"/>
          <w:sz w:val="24"/>
          <w:szCs w:val="20"/>
          <w:lang w:bidi="ar"/>
        </w:rPr>
        <w:t>甲乙双方依据“2026年天融信设备维保服务采购项目（项目编号：ZXDY-2025-019）谈判结果，本着自愿、平等、互利、诚实信用的原则，通过友好协商，现授权各自代表按照下述条款签署本合同。</w:t>
      </w:r>
    </w:p>
    <w:p>
      <w:pPr>
        <w:adjustRightInd w:val="0"/>
        <w:snapToGrid w:val="0"/>
        <w:spacing w:line="360" w:lineRule="auto"/>
        <w:jc w:val="center"/>
        <w:outlineLvl w:val="1"/>
        <w:rPr>
          <w:rFonts w:hint="eastAsia" w:ascii="宋体" w:hAnsi="宋体" w:eastAsia="宋体" w:cs="宋体"/>
          <w:b/>
          <w:bCs/>
          <w:color w:val="000000"/>
          <w:sz w:val="28"/>
          <w:szCs w:val="20"/>
        </w:rPr>
      </w:pPr>
      <w:r>
        <w:rPr>
          <w:rFonts w:hint="eastAsia" w:ascii="宋体" w:hAnsi="宋体" w:eastAsia="宋体" w:cs="宋体"/>
          <w:b/>
          <w:bCs/>
          <w:color w:val="000000"/>
          <w:sz w:val="28"/>
          <w:szCs w:val="20"/>
          <w:lang w:bidi="ar"/>
        </w:rPr>
        <w:t>第一部分合同的组成</w:t>
      </w:r>
    </w:p>
    <w:p>
      <w:pPr>
        <w:autoSpaceDE w:val="0"/>
        <w:autoSpaceDN w:val="0"/>
        <w:adjustRightInd w:val="0"/>
        <w:snapToGrid w:val="0"/>
        <w:spacing w:line="360" w:lineRule="auto"/>
        <w:ind w:firstLine="480" w:firstLineChars="200"/>
        <w:rPr>
          <w:rFonts w:hint="eastAsia" w:ascii="宋体" w:hAnsi="宋体" w:eastAsia="宋体" w:cs="宋体"/>
          <w:b/>
          <w:bCs/>
          <w:sz w:val="28"/>
          <w:szCs w:val="28"/>
        </w:rPr>
      </w:pPr>
      <w:r>
        <w:rPr>
          <w:rFonts w:hint="eastAsia" w:ascii="宋体" w:hAnsi="宋体" w:eastAsia="宋体" w:cs="宋体"/>
          <w:sz w:val="24"/>
          <w:szCs w:val="20"/>
          <w:lang w:bidi="ar"/>
        </w:rPr>
        <w:t>1.1</w:t>
      </w:r>
      <w:r>
        <w:rPr>
          <w:rFonts w:hint="eastAsia" w:ascii="宋体" w:hAnsi="宋体" w:eastAsia="宋体" w:cs="宋体"/>
          <w:sz w:val="24"/>
          <w:szCs w:val="20"/>
          <w:lang w:val="zh-CN" w:bidi="ar"/>
        </w:rPr>
        <w:t>下述文件是构成本合同不可分割的部分</w:t>
      </w:r>
      <w:r>
        <w:rPr>
          <w:rFonts w:hint="eastAsia" w:ascii="宋体" w:hAnsi="宋体" w:eastAsia="宋体" w:cs="宋体"/>
          <w:sz w:val="24"/>
          <w:szCs w:val="20"/>
          <w:lang w:bidi="ar"/>
        </w:rPr>
        <w:t>:</w:t>
      </w:r>
    </w:p>
    <w:p>
      <w:pPr>
        <w:autoSpaceDE w:val="0"/>
        <w:autoSpaceDN w:val="0"/>
        <w:adjustRightInd w:val="0"/>
        <w:snapToGrid w:val="0"/>
        <w:spacing w:line="360" w:lineRule="auto"/>
        <w:ind w:firstLine="480" w:firstLineChars="200"/>
        <w:rPr>
          <w:rFonts w:hint="eastAsia" w:ascii="宋体" w:hAnsi="宋体" w:eastAsia="宋体" w:cs="宋体"/>
          <w:sz w:val="24"/>
          <w:szCs w:val="20"/>
          <w:lang w:val="zh-CN"/>
        </w:rPr>
      </w:pPr>
      <w:r>
        <w:rPr>
          <w:rFonts w:hint="eastAsia" w:ascii="宋体" w:hAnsi="宋体" w:eastAsia="宋体" w:cs="宋体"/>
          <w:sz w:val="24"/>
          <w:szCs w:val="20"/>
          <w:lang w:val="zh-CN" w:bidi="ar"/>
        </w:rPr>
        <w:t>（1）本合同条款及其所有附件；</w:t>
      </w:r>
    </w:p>
    <w:p>
      <w:pPr>
        <w:autoSpaceDE w:val="0"/>
        <w:autoSpaceDN w:val="0"/>
        <w:adjustRightInd w:val="0"/>
        <w:snapToGrid w:val="0"/>
        <w:spacing w:line="360" w:lineRule="auto"/>
        <w:ind w:firstLine="480" w:firstLineChars="200"/>
        <w:jc w:val="left"/>
        <w:rPr>
          <w:rFonts w:hint="eastAsia" w:ascii="宋体" w:hAnsi="宋体" w:eastAsia="宋体" w:cs="宋体"/>
          <w:sz w:val="24"/>
          <w:szCs w:val="20"/>
          <w:lang w:val="zh-CN"/>
        </w:rPr>
      </w:pPr>
      <w:r>
        <w:rPr>
          <w:rFonts w:hint="eastAsia" w:ascii="宋体" w:hAnsi="宋体" w:eastAsia="宋体" w:cs="宋体"/>
          <w:sz w:val="24"/>
          <w:szCs w:val="20"/>
          <w:lang w:val="zh-CN" w:bidi="ar"/>
        </w:rPr>
        <w:t>（2）甲方的谈判文件及澄清文件；</w:t>
      </w:r>
    </w:p>
    <w:p>
      <w:pPr>
        <w:autoSpaceDE w:val="0"/>
        <w:autoSpaceDN w:val="0"/>
        <w:adjustRightInd w:val="0"/>
        <w:snapToGrid w:val="0"/>
        <w:spacing w:line="360" w:lineRule="auto"/>
        <w:ind w:firstLine="480" w:firstLineChars="200"/>
        <w:jc w:val="left"/>
        <w:rPr>
          <w:rFonts w:hint="eastAsia" w:ascii="宋体" w:hAnsi="宋体" w:eastAsia="宋体" w:cs="宋体"/>
          <w:sz w:val="24"/>
          <w:szCs w:val="20"/>
          <w:lang w:val="zh-CN"/>
        </w:rPr>
      </w:pPr>
      <w:r>
        <w:rPr>
          <w:rFonts w:hint="eastAsia" w:ascii="宋体" w:hAnsi="宋体" w:eastAsia="宋体" w:cs="宋体"/>
          <w:sz w:val="24"/>
          <w:szCs w:val="20"/>
          <w:lang w:val="zh-CN" w:bidi="ar"/>
        </w:rPr>
        <w:t>（3）乙方的响应文件及质疑解答文件；</w:t>
      </w:r>
    </w:p>
    <w:p>
      <w:pPr>
        <w:autoSpaceDE w:val="0"/>
        <w:autoSpaceDN w:val="0"/>
        <w:adjustRightInd w:val="0"/>
        <w:snapToGrid w:val="0"/>
        <w:spacing w:line="360" w:lineRule="auto"/>
        <w:ind w:firstLine="480" w:firstLineChars="200"/>
        <w:rPr>
          <w:rFonts w:hint="eastAsia" w:ascii="宋体" w:hAnsi="宋体" w:eastAsia="宋体" w:cs="宋体"/>
          <w:sz w:val="24"/>
          <w:szCs w:val="20"/>
          <w:lang w:val="zh-CN"/>
        </w:rPr>
      </w:pPr>
      <w:r>
        <w:rPr>
          <w:rFonts w:hint="eastAsia" w:ascii="宋体" w:hAnsi="宋体" w:eastAsia="宋体" w:cs="宋体"/>
          <w:sz w:val="24"/>
          <w:szCs w:val="20"/>
          <w:lang w:val="zh-CN" w:bidi="ar"/>
        </w:rPr>
        <w:t>（4）成交通知书；</w:t>
      </w:r>
    </w:p>
    <w:p>
      <w:pPr>
        <w:autoSpaceDE w:val="0"/>
        <w:autoSpaceDN w:val="0"/>
        <w:adjustRightInd w:val="0"/>
        <w:snapToGrid w:val="0"/>
        <w:spacing w:line="360" w:lineRule="auto"/>
        <w:ind w:firstLine="480" w:firstLineChars="200"/>
        <w:rPr>
          <w:rFonts w:hint="eastAsia" w:ascii="宋体" w:hAnsi="宋体" w:eastAsia="宋体" w:cs="宋体"/>
          <w:sz w:val="24"/>
          <w:szCs w:val="20"/>
          <w:lang w:val="zh-CN"/>
        </w:rPr>
      </w:pPr>
      <w:r>
        <w:rPr>
          <w:rFonts w:hint="eastAsia" w:ascii="宋体" w:hAnsi="宋体" w:eastAsia="宋体" w:cs="宋体"/>
          <w:sz w:val="24"/>
          <w:szCs w:val="20"/>
          <w:lang w:val="zh-CN" w:bidi="ar"/>
        </w:rPr>
        <w:t>（5）法定代表人授权书；</w:t>
      </w:r>
    </w:p>
    <w:p>
      <w:pPr>
        <w:adjustRightInd w:val="0"/>
        <w:snapToGrid w:val="0"/>
        <w:spacing w:line="360" w:lineRule="auto"/>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lang w:bidi="ar"/>
        </w:rPr>
        <w:t>（6）双方与合同有关的往来信函、传真,经双方法定代表人或其授权代表签字并加盖单位公章确认后,视为本合同的组成部分</w:t>
      </w:r>
      <w:r>
        <w:rPr>
          <w:rFonts w:hint="eastAsia" w:ascii="宋体" w:hAnsi="宋体" w:eastAsia="宋体" w:cs="宋体"/>
          <w:color w:val="000000"/>
          <w:szCs w:val="20"/>
          <w:lang w:bidi="ar"/>
        </w:rPr>
        <w:t>；</w:t>
      </w:r>
    </w:p>
    <w:p>
      <w:pPr>
        <w:autoSpaceDE w:val="0"/>
        <w:autoSpaceDN w:val="0"/>
        <w:adjustRightInd w:val="0"/>
        <w:snapToGrid w:val="0"/>
        <w:spacing w:line="360" w:lineRule="auto"/>
        <w:ind w:firstLine="480" w:firstLineChars="200"/>
        <w:rPr>
          <w:rFonts w:hint="eastAsia" w:ascii="宋体" w:hAnsi="宋体" w:eastAsia="宋体" w:cs="宋体"/>
          <w:sz w:val="24"/>
          <w:szCs w:val="20"/>
          <w:lang w:val="zh-CN"/>
        </w:rPr>
      </w:pPr>
      <w:r>
        <w:rPr>
          <w:rFonts w:hint="eastAsia" w:ascii="宋体" w:hAnsi="宋体" w:eastAsia="宋体" w:cs="宋体"/>
          <w:color w:val="000000"/>
          <w:sz w:val="24"/>
          <w:szCs w:val="20"/>
          <w:lang w:bidi="ar"/>
        </w:rPr>
        <w:t>（7）经双方法定代表人或其授权代表签字并加盖单位公章或合同专用章确认的补充协议。</w:t>
      </w:r>
    </w:p>
    <w:p>
      <w:pPr>
        <w:adjustRightInd w:val="0"/>
        <w:snapToGrid w:val="0"/>
        <w:spacing w:line="360" w:lineRule="auto"/>
        <w:ind w:firstLine="480" w:firstLineChars="200"/>
        <w:rPr>
          <w:rFonts w:hint="eastAsia" w:ascii="宋体" w:hAnsi="宋体" w:eastAsia="宋体" w:cs="宋体"/>
          <w:sz w:val="24"/>
          <w:szCs w:val="20"/>
        </w:rPr>
      </w:pPr>
      <w:r>
        <w:rPr>
          <w:rFonts w:hint="eastAsia" w:ascii="宋体" w:hAnsi="宋体" w:eastAsia="宋体" w:cs="宋体"/>
          <w:sz w:val="24"/>
          <w:szCs w:val="20"/>
          <w:lang w:val="zh-CN" w:bidi="ar"/>
        </w:rPr>
        <w:t>1.2 如果乙方的响应文件及质疑解答文件内容违背或低于甲方</w:t>
      </w:r>
      <w:r>
        <w:rPr>
          <w:rFonts w:hint="eastAsia" w:ascii="宋体" w:hAnsi="宋体" w:eastAsia="宋体" w:cs="宋体"/>
          <w:sz w:val="24"/>
          <w:szCs w:val="20"/>
          <w:lang w:bidi="ar"/>
        </w:rPr>
        <w:t>采购</w:t>
      </w:r>
      <w:r>
        <w:rPr>
          <w:rFonts w:hint="eastAsia" w:ascii="宋体" w:hAnsi="宋体" w:eastAsia="宋体" w:cs="宋体"/>
          <w:sz w:val="24"/>
          <w:szCs w:val="20"/>
          <w:lang w:val="zh-CN" w:bidi="ar"/>
        </w:rPr>
        <w:t>文件要求或任何可能导致影响当次采购目的的情形，均应当被视为乙方自动放弃响应文件及质疑解答文件中相应部分而同意以</w:t>
      </w:r>
      <w:r>
        <w:rPr>
          <w:rFonts w:hint="eastAsia" w:ascii="宋体" w:hAnsi="宋体" w:eastAsia="宋体" w:cs="宋体"/>
          <w:sz w:val="24"/>
          <w:szCs w:val="20"/>
          <w:lang w:bidi="ar"/>
        </w:rPr>
        <w:t>采购</w:t>
      </w:r>
      <w:r>
        <w:rPr>
          <w:rFonts w:hint="eastAsia" w:ascii="宋体" w:hAnsi="宋体" w:eastAsia="宋体" w:cs="宋体"/>
          <w:sz w:val="24"/>
          <w:szCs w:val="20"/>
          <w:lang w:val="zh-CN" w:bidi="ar"/>
        </w:rPr>
        <w:t>文件相应内容为准。如果乙方的响应文件及质疑解答文件内容高于甲方</w:t>
      </w:r>
      <w:r>
        <w:rPr>
          <w:rFonts w:hint="eastAsia" w:ascii="宋体" w:hAnsi="宋体" w:eastAsia="宋体" w:cs="宋体"/>
          <w:sz w:val="24"/>
          <w:szCs w:val="20"/>
          <w:lang w:bidi="ar"/>
        </w:rPr>
        <w:t>采购</w:t>
      </w:r>
      <w:r>
        <w:rPr>
          <w:rFonts w:hint="eastAsia" w:ascii="宋体" w:hAnsi="宋体" w:eastAsia="宋体" w:cs="宋体"/>
          <w:sz w:val="24"/>
          <w:szCs w:val="20"/>
          <w:lang w:val="zh-CN" w:bidi="ar"/>
        </w:rPr>
        <w:t>文件要求，则以乙方的响应文件及质疑解答文件内容为准。如果合同条款与合同附件有矛盾之处，以合同条款内容为准。</w:t>
      </w:r>
      <w:r>
        <w:rPr>
          <w:rFonts w:hint="eastAsia" w:ascii="宋体" w:hAnsi="宋体" w:eastAsia="宋体" w:cs="宋体"/>
          <w:sz w:val="24"/>
          <w:szCs w:val="20"/>
          <w:lang w:bidi="ar"/>
        </w:rPr>
        <w:t>如果合同附件之间有矛盾之处，以有利于甲方的附件内容为准。</w:t>
      </w:r>
    </w:p>
    <w:p>
      <w:pPr>
        <w:adjustRightInd w:val="0"/>
        <w:snapToGrid w:val="0"/>
        <w:spacing w:line="360" w:lineRule="auto"/>
        <w:ind w:firstLine="480" w:firstLineChars="200"/>
        <w:rPr>
          <w:rFonts w:hint="eastAsia" w:ascii="宋体" w:hAnsi="宋体" w:eastAsia="宋体" w:cs="宋体"/>
          <w:sz w:val="24"/>
          <w:szCs w:val="20"/>
        </w:rPr>
      </w:pPr>
      <w:r>
        <w:rPr>
          <w:rFonts w:hint="eastAsia" w:ascii="宋体" w:hAnsi="宋体" w:eastAsia="宋体" w:cs="宋体"/>
          <w:sz w:val="24"/>
          <w:szCs w:val="20"/>
          <w:lang w:bidi="ar"/>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adjustRightInd w:val="0"/>
        <w:snapToGrid w:val="0"/>
        <w:spacing w:line="360" w:lineRule="auto"/>
        <w:jc w:val="center"/>
        <w:outlineLvl w:val="1"/>
        <w:rPr>
          <w:rFonts w:hint="eastAsia" w:ascii="宋体" w:hAnsi="宋体" w:eastAsia="宋体" w:cs="宋体"/>
          <w:b/>
          <w:bCs/>
          <w:color w:val="000000"/>
          <w:sz w:val="28"/>
          <w:szCs w:val="20"/>
        </w:rPr>
      </w:pPr>
      <w:r>
        <w:rPr>
          <w:rFonts w:hint="eastAsia" w:ascii="宋体" w:hAnsi="宋体" w:eastAsia="宋体" w:cs="宋体"/>
          <w:b/>
          <w:bCs/>
          <w:color w:val="000000"/>
          <w:sz w:val="28"/>
          <w:szCs w:val="20"/>
          <w:lang w:bidi="ar"/>
        </w:rPr>
        <w:t>第二部分服务内容及方式</w:t>
      </w:r>
    </w:p>
    <w:p>
      <w:pPr>
        <w:adjustRightInd w:val="0"/>
        <w:snapToGrid w:val="0"/>
        <w:spacing w:line="360" w:lineRule="auto"/>
        <w:ind w:firstLine="240" w:firstLineChars="100"/>
        <w:jc w:val="left"/>
        <w:rPr>
          <w:rFonts w:hint="eastAsia" w:ascii="宋体" w:hAnsi="宋体" w:eastAsia="宋体" w:cs="宋体"/>
          <w:bCs/>
          <w:sz w:val="32"/>
          <w:szCs w:val="32"/>
        </w:rPr>
      </w:pPr>
      <w:r>
        <w:rPr>
          <w:rFonts w:hint="eastAsia" w:ascii="宋体" w:hAnsi="宋体" w:eastAsia="宋体" w:cs="宋体"/>
          <w:sz w:val="24"/>
          <w:szCs w:val="20"/>
          <w:lang w:bidi="ar"/>
        </w:rPr>
        <w:t>2.1服务内容：本合同的服务内容为下表所列设备的维保服务。</w:t>
      </w:r>
    </w:p>
    <w:tbl>
      <w:tblPr>
        <w:tblStyle w:val="8"/>
        <w:tblW w:w="100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636"/>
        <w:gridCol w:w="805"/>
        <w:gridCol w:w="1043"/>
        <w:gridCol w:w="1101"/>
        <w:gridCol w:w="1492"/>
        <w:gridCol w:w="568"/>
        <w:gridCol w:w="425"/>
        <w:gridCol w:w="698"/>
        <w:gridCol w:w="923"/>
        <w:gridCol w:w="932"/>
        <w:gridCol w:w="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63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szCs w:val="21"/>
                <w:lang w:bidi="ar"/>
              </w:rPr>
              <w:t>品牌</w:t>
            </w:r>
          </w:p>
        </w:tc>
        <w:tc>
          <w:tcPr>
            <w:tcW w:w="80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szCs w:val="21"/>
                <w:lang w:bidi="ar"/>
              </w:rPr>
              <w:t>设备</w:t>
            </w:r>
          </w:p>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szCs w:val="21"/>
                <w:lang w:bidi="ar"/>
              </w:rPr>
              <w:t>类型</w:t>
            </w:r>
          </w:p>
        </w:tc>
        <w:tc>
          <w:tcPr>
            <w:tcW w:w="104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szCs w:val="21"/>
                <w:lang w:bidi="ar"/>
              </w:rPr>
              <w:t>设备</w:t>
            </w:r>
          </w:p>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szCs w:val="21"/>
                <w:lang w:bidi="ar"/>
              </w:rPr>
              <w:t>名称</w:t>
            </w:r>
          </w:p>
        </w:tc>
        <w:tc>
          <w:tcPr>
            <w:tcW w:w="110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型号</w:t>
            </w:r>
          </w:p>
        </w:tc>
        <w:tc>
          <w:tcPr>
            <w:tcW w:w="149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产品编号</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单位</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数量</w:t>
            </w:r>
          </w:p>
        </w:tc>
        <w:tc>
          <w:tcPr>
            <w:tcW w:w="69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szCs w:val="21"/>
                <w:lang w:bidi="ar"/>
              </w:rPr>
              <w:t>所在地</w:t>
            </w:r>
          </w:p>
        </w:tc>
        <w:tc>
          <w:tcPr>
            <w:tcW w:w="92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维保起始日期</w:t>
            </w:r>
          </w:p>
        </w:tc>
        <w:tc>
          <w:tcPr>
            <w:tcW w:w="9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维保截止日期</w:t>
            </w:r>
          </w:p>
        </w:tc>
        <w:tc>
          <w:tcPr>
            <w:tcW w:w="98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b/>
                <w:bCs/>
                <w:color w:val="000000"/>
                <w:szCs w:val="21"/>
              </w:rPr>
            </w:pPr>
            <w:r>
              <w:rPr>
                <w:rFonts w:hint="eastAsia" w:ascii="宋体" w:hAnsi="宋体" w:eastAsia="宋体" w:cs="宋体"/>
                <w:b/>
                <w:bCs/>
                <w:color w:val="000000"/>
                <w:kern w:val="0"/>
                <w:szCs w:val="21"/>
                <w:lang w:bidi="ar"/>
              </w:rPr>
              <w:t>维护服务级别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szCs w:val="21"/>
              </w:rPr>
            </w:pPr>
            <w:r>
              <w:rPr>
                <w:rFonts w:hint="eastAsia" w:ascii="宋体" w:hAnsi="宋体" w:eastAsia="宋体" w:cs="宋体"/>
                <w:color w:val="000000"/>
                <w:szCs w:val="21"/>
                <w:lang w:bidi="ar"/>
              </w:rPr>
              <w:t>天融信</w:t>
            </w:r>
          </w:p>
        </w:tc>
        <w:tc>
          <w:tcPr>
            <w:tcW w:w="805"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szCs w:val="21"/>
              </w:rPr>
            </w:pPr>
            <w:r>
              <w:rPr>
                <w:rFonts w:hint="eastAsia" w:ascii="宋体" w:hAnsi="宋体" w:eastAsia="宋体" w:cs="宋体"/>
                <w:color w:val="000000"/>
                <w:szCs w:val="21"/>
                <w:lang w:bidi="ar"/>
              </w:rPr>
              <w:t>边界访问控制</w:t>
            </w:r>
          </w:p>
        </w:tc>
        <w:tc>
          <w:tcPr>
            <w:tcW w:w="1043"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szCs w:val="21"/>
              </w:rPr>
            </w:pPr>
            <w:r>
              <w:rPr>
                <w:rFonts w:hint="eastAsia" w:ascii="宋体" w:hAnsi="宋体" w:eastAsia="宋体" w:cs="宋体"/>
                <w:color w:val="000000"/>
                <w:szCs w:val="21"/>
                <w:lang w:bidi="ar"/>
              </w:rPr>
              <w:t>防火墙</w:t>
            </w:r>
          </w:p>
        </w:tc>
        <w:tc>
          <w:tcPr>
            <w:tcW w:w="1101"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NGFW4000-UF</w:t>
            </w: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Q1805683950</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上海</w:t>
            </w:r>
          </w:p>
        </w:tc>
        <w:tc>
          <w:tcPr>
            <w:tcW w:w="923"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1/1</w:t>
            </w:r>
          </w:p>
        </w:tc>
        <w:tc>
          <w:tcPr>
            <w:tcW w:w="932"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12/31</w:t>
            </w:r>
          </w:p>
        </w:tc>
        <w:tc>
          <w:tcPr>
            <w:tcW w:w="981" w:type="dxa"/>
            <w:vMerge w:val="restart"/>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原厂</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Q1805683951</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Q1805683952</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Q1805683953</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Q1805683954</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Q1805683955</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Q1805683956</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Q1805683957</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szCs w:val="21"/>
              </w:rPr>
            </w:pPr>
            <w:r>
              <w:rPr>
                <w:rFonts w:hint="eastAsia" w:ascii="宋体" w:hAnsi="宋体" w:eastAsia="宋体" w:cs="宋体"/>
                <w:color w:val="000000"/>
                <w:szCs w:val="21"/>
                <w:lang w:bidi="ar"/>
              </w:rPr>
              <w:t>天融信</w:t>
            </w:r>
          </w:p>
          <w:p>
            <w:pPr>
              <w:widowControl/>
              <w:autoSpaceDE w:val="0"/>
              <w:snapToGrid w:val="0"/>
              <w:jc w:val="center"/>
              <w:textAlignment w:val="center"/>
              <w:rPr>
                <w:rFonts w:hint="eastAsia" w:ascii="宋体" w:hAnsi="宋体" w:eastAsia="宋体" w:cs="宋体"/>
                <w:color w:val="000000"/>
                <w:szCs w:val="21"/>
              </w:rPr>
            </w:pPr>
            <w:r>
              <w:rPr>
                <w:rFonts w:hint="eastAsia" w:ascii="宋体" w:hAnsi="宋体" w:eastAsia="宋体" w:cs="宋体"/>
                <w:color w:val="000000"/>
                <w:szCs w:val="21"/>
                <w:lang w:bidi="ar"/>
              </w:rPr>
              <w:t>防火墙</w:t>
            </w:r>
          </w:p>
          <w:p>
            <w:pPr>
              <w:widowControl/>
              <w:autoSpaceDE w:val="0"/>
              <w:snapToGrid w:val="0"/>
              <w:jc w:val="center"/>
              <w:textAlignment w:val="center"/>
              <w:rPr>
                <w:rFonts w:hint="eastAsia" w:ascii="宋体" w:hAnsi="宋体" w:eastAsia="宋体" w:cs="宋体"/>
                <w:color w:val="000000"/>
                <w:szCs w:val="21"/>
              </w:rPr>
            </w:pPr>
            <w:r>
              <w:rPr>
                <w:rFonts w:hint="eastAsia" w:ascii="宋体" w:hAnsi="宋体" w:eastAsia="宋体" w:cs="宋体"/>
                <w:color w:val="000000"/>
                <w:szCs w:val="21"/>
                <w:lang w:bidi="ar"/>
              </w:rPr>
              <w:t>系统</w:t>
            </w:r>
          </w:p>
        </w:tc>
        <w:tc>
          <w:tcPr>
            <w:tcW w:w="1101"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NG-810JR</w:t>
            </w: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Q2106123187</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12/1</w:t>
            </w:r>
          </w:p>
        </w:tc>
        <w:tc>
          <w:tcPr>
            <w:tcW w:w="932"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12/31</w:t>
            </w: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Q2106123186</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Q2106123185</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Q2106123184</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Q2106123183</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Q2106123182</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Q2106123181</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Q2106123180</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Q2106123179</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Q2106123178</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Q2106123177</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Q2106123176</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Q2106123175</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Q2106123174</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Q2106123173</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Q2106123172</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Q2106123171</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Q2106123170</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Q2106123169</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Q2106123168</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Q2106123167</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Q2106123166</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Q2106123165</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Q2106120770</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Q2106120769</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kern w:val="0"/>
                <w:szCs w:val="21"/>
              </w:rPr>
            </w:pPr>
            <w:r>
              <w:rPr>
                <w:rFonts w:hint="eastAsia" w:ascii="宋体" w:hAnsi="宋体" w:eastAsia="宋体" w:cs="宋体"/>
                <w:kern w:val="0"/>
                <w:szCs w:val="21"/>
                <w:lang w:bidi="ar"/>
              </w:rPr>
              <w:t>1</w:t>
            </w: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szCs w:val="21"/>
              </w:rPr>
            </w:pPr>
            <w:r>
              <w:rPr>
                <w:rFonts w:hint="eastAsia" w:ascii="宋体" w:hAnsi="宋体" w:eastAsia="宋体" w:cs="宋体"/>
                <w:color w:val="000000"/>
                <w:szCs w:val="21"/>
                <w:lang w:bidi="ar"/>
              </w:rPr>
              <w:t>隔离</w:t>
            </w:r>
          </w:p>
        </w:tc>
        <w:tc>
          <w:tcPr>
            <w:tcW w:w="1043"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szCs w:val="21"/>
              </w:rPr>
            </w:pPr>
            <w:r>
              <w:rPr>
                <w:rFonts w:hint="eastAsia" w:ascii="宋体" w:hAnsi="宋体" w:eastAsia="宋体" w:cs="宋体"/>
                <w:color w:val="000000"/>
                <w:szCs w:val="21"/>
                <w:lang w:bidi="ar"/>
              </w:rPr>
              <w:t>安全隔离与</w:t>
            </w:r>
          </w:p>
          <w:p>
            <w:pPr>
              <w:widowControl/>
              <w:autoSpaceDE w:val="0"/>
              <w:snapToGrid w:val="0"/>
              <w:jc w:val="center"/>
              <w:textAlignment w:val="center"/>
              <w:rPr>
                <w:rFonts w:hint="eastAsia" w:ascii="宋体" w:hAnsi="宋体" w:eastAsia="宋体" w:cs="宋体"/>
                <w:color w:val="000000"/>
                <w:szCs w:val="21"/>
              </w:rPr>
            </w:pPr>
            <w:r>
              <w:rPr>
                <w:rFonts w:hint="eastAsia" w:ascii="宋体" w:hAnsi="宋体" w:eastAsia="宋体" w:cs="宋体"/>
                <w:color w:val="000000"/>
                <w:szCs w:val="21"/>
                <w:lang w:bidi="ar"/>
              </w:rPr>
              <w:t>信息交换系统</w:t>
            </w:r>
          </w:p>
        </w:tc>
        <w:tc>
          <w:tcPr>
            <w:tcW w:w="1101"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TopRules 9000</w:t>
            </w: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Q1805683971</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上海</w:t>
            </w:r>
          </w:p>
        </w:tc>
        <w:tc>
          <w:tcPr>
            <w:tcW w:w="923"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b/>
                <w:bCs/>
                <w:color w:val="000000"/>
                <w:kern w:val="0"/>
                <w:szCs w:val="21"/>
              </w:rPr>
            </w:pPr>
            <w:r>
              <w:rPr>
                <w:rFonts w:hint="eastAsia" w:ascii="宋体" w:hAnsi="宋体" w:eastAsia="宋体" w:cs="宋体"/>
                <w:color w:val="000000"/>
                <w:kern w:val="0"/>
                <w:szCs w:val="21"/>
                <w:lang w:bidi="ar"/>
              </w:rPr>
              <w:t>1/1</w:t>
            </w:r>
          </w:p>
        </w:tc>
        <w:tc>
          <w:tcPr>
            <w:tcW w:w="932"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12/31</w:t>
            </w: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Q1805683972</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Q1805683973</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Q1805683970</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kern w:val="0"/>
                <w:szCs w:val="21"/>
                <w:lang w:bidi="ar"/>
              </w:rPr>
              <w:t>1</w:t>
            </w:r>
          </w:p>
        </w:tc>
        <w:tc>
          <w:tcPr>
            <w:tcW w:w="69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天津</w:t>
            </w: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szCs w:val="21"/>
              </w:rPr>
            </w:pPr>
            <w:r>
              <w:rPr>
                <w:rFonts w:hint="eastAsia" w:ascii="宋体" w:hAnsi="宋体" w:eastAsia="宋体" w:cs="宋体"/>
                <w:color w:val="000000"/>
                <w:szCs w:val="21"/>
                <w:lang w:bidi="ar"/>
              </w:rPr>
              <w:t>多级互联平台</w:t>
            </w:r>
          </w:p>
        </w:tc>
        <w:tc>
          <w:tcPr>
            <w:tcW w:w="1101"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TR-92126-RB</w:t>
            </w: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Q2102010463</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b/>
                <w:bCs/>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b/>
                <w:bCs/>
                <w:kern w:val="0"/>
                <w:szCs w:val="21"/>
              </w:rPr>
            </w:pPr>
            <w:r>
              <w:rPr>
                <w:rFonts w:hint="eastAsia" w:ascii="宋体" w:hAnsi="宋体" w:eastAsia="宋体" w:cs="宋体"/>
                <w:kern w:val="0"/>
                <w:szCs w:val="21"/>
                <w:lang w:bidi="ar"/>
              </w:rPr>
              <w:t>1</w:t>
            </w:r>
          </w:p>
        </w:tc>
        <w:tc>
          <w:tcPr>
            <w:tcW w:w="698"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上海</w:t>
            </w:r>
          </w:p>
        </w:tc>
        <w:tc>
          <w:tcPr>
            <w:tcW w:w="923"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11/22</w:t>
            </w:r>
          </w:p>
        </w:tc>
        <w:tc>
          <w:tcPr>
            <w:tcW w:w="932" w:type="dxa"/>
            <w:vMerge w:val="restart"/>
            <w:tcBorders>
              <w:top w:val="nil"/>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2026/</w:t>
            </w:r>
          </w:p>
          <w:p>
            <w:pPr>
              <w:widowControl/>
              <w:autoSpaceDE w:val="0"/>
              <w:snapToGrid w:val="0"/>
              <w:jc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12/31</w:t>
            </w: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405" w:type="dxa"/>
            <w:tcBorders>
              <w:top w:val="single" w:color="auto" w:sz="4" w:space="0"/>
              <w:left w:val="single" w:color="auto" w:sz="4" w:space="0"/>
              <w:bottom w:val="single" w:color="auto" w:sz="4" w:space="0"/>
              <w:right w:val="single" w:color="auto" w:sz="4" w:space="0"/>
            </w:tcBorders>
            <w:vAlign w:val="center"/>
          </w:tcPr>
          <w:p>
            <w:pPr>
              <w:widowControl/>
              <w:numPr>
                <w:ilvl w:val="0"/>
                <w:numId w:val="1"/>
              </w:numPr>
              <w:autoSpaceDE w:val="0"/>
              <w:snapToGrid w:val="0"/>
              <w:jc w:val="center"/>
              <w:rPr>
                <w:rFonts w:hint="eastAsia" w:ascii="宋体" w:hAnsi="宋体" w:eastAsia="宋体" w:cs="宋体"/>
                <w:color w:val="000000"/>
                <w:kern w:val="0"/>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805"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04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101"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1492"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color w:val="000000"/>
                <w:kern w:val="0"/>
                <w:szCs w:val="21"/>
              </w:rPr>
            </w:pPr>
            <w:r>
              <w:rPr>
                <w:rFonts w:hint="eastAsia" w:ascii="宋体" w:hAnsi="宋体" w:eastAsia="宋体" w:cs="宋体"/>
                <w:color w:val="000000"/>
                <w:kern w:val="0"/>
                <w:szCs w:val="21"/>
                <w:lang w:bidi="ar"/>
              </w:rPr>
              <w:t>Q2102010464</w:t>
            </w:r>
          </w:p>
        </w:tc>
        <w:tc>
          <w:tcPr>
            <w:tcW w:w="568"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rPr>
                <w:rFonts w:hint="eastAsia" w:ascii="宋体" w:hAnsi="宋体" w:eastAsia="宋体" w:cs="宋体"/>
                <w:b/>
                <w:bCs/>
                <w:color w:val="000000"/>
                <w:kern w:val="0"/>
                <w:szCs w:val="21"/>
              </w:rPr>
            </w:pPr>
            <w:r>
              <w:rPr>
                <w:rFonts w:hint="eastAsia" w:ascii="宋体" w:hAnsi="宋体" w:eastAsia="宋体" w:cs="宋体"/>
                <w:color w:val="000000"/>
                <w:kern w:val="0"/>
                <w:szCs w:val="21"/>
                <w:lang w:bidi="ar"/>
              </w:rPr>
              <w:t>台</w:t>
            </w:r>
          </w:p>
        </w:tc>
        <w:tc>
          <w:tcPr>
            <w:tcW w:w="425" w:type="dxa"/>
            <w:tcBorders>
              <w:top w:val="single" w:color="auto" w:sz="4" w:space="0"/>
              <w:left w:val="single" w:color="auto" w:sz="4" w:space="0"/>
              <w:bottom w:val="single" w:color="auto" w:sz="4" w:space="0"/>
              <w:right w:val="single" w:color="auto" w:sz="4" w:space="0"/>
            </w:tcBorders>
            <w:vAlign w:val="center"/>
          </w:tcPr>
          <w:p>
            <w:pPr>
              <w:widowControl/>
              <w:autoSpaceDE w:val="0"/>
              <w:snapToGrid w:val="0"/>
              <w:jc w:val="center"/>
              <w:textAlignment w:val="center"/>
              <w:rPr>
                <w:rFonts w:hint="eastAsia" w:ascii="宋体" w:hAnsi="宋体" w:eastAsia="宋体" w:cs="宋体"/>
                <w:b/>
                <w:bCs/>
                <w:kern w:val="0"/>
                <w:szCs w:val="21"/>
              </w:rPr>
            </w:pPr>
            <w:r>
              <w:rPr>
                <w:rFonts w:hint="eastAsia" w:ascii="宋体" w:hAnsi="宋体" w:eastAsia="宋体" w:cs="宋体"/>
                <w:kern w:val="0"/>
                <w:szCs w:val="21"/>
                <w:lang w:bidi="ar"/>
              </w:rPr>
              <w:t>1</w:t>
            </w:r>
          </w:p>
        </w:tc>
        <w:tc>
          <w:tcPr>
            <w:tcW w:w="698"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23"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32"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0"/>
                <w:szCs w:val="20"/>
              </w:rPr>
            </w:pPr>
          </w:p>
        </w:tc>
      </w:tr>
    </w:tbl>
    <w:p>
      <w:pPr>
        <w:adjustRightInd w:val="0"/>
        <w:snapToGrid w:val="0"/>
        <w:spacing w:line="360" w:lineRule="auto"/>
        <w:ind w:firstLine="480" w:firstLineChars="200"/>
        <w:rPr>
          <w:rFonts w:hint="eastAsia" w:ascii="宋体" w:hAnsi="宋体" w:eastAsia="宋体" w:cs="宋体"/>
          <w:sz w:val="32"/>
          <w:szCs w:val="32"/>
        </w:rPr>
      </w:pPr>
      <w:r>
        <w:rPr>
          <w:rFonts w:hint="eastAsia" w:ascii="宋体" w:hAnsi="宋体" w:eastAsia="宋体" w:cs="宋体"/>
          <w:sz w:val="24"/>
          <w:lang w:bidi="ar"/>
        </w:rPr>
        <w:t>2.2服务方式：现场服务、电话支持服务和电子邮件支持服务，以及甲方要求的其他服务方式。</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第三部分 服务方式、标准及验收</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3.1乙方保证原厂商为甲方提供优质的服务及产品，服务及产品的各项指标均能符合本合同规定的要求。服务期内，乙方保证提供甲方在需求文件中要求的全部服务。详见附件三。</w:t>
      </w:r>
    </w:p>
    <w:p>
      <w:pPr>
        <w:tabs>
          <w:tab w:val="left" w:pos="900"/>
        </w:tabs>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3.2乙方每季度须按甲方要求提供1份《季度服务报告》，列明本阶段提供的维保服务内容，并加盖单位公章。</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3.3甲方验收小组于到达维保服务期限（各设备的维保服务期限不一致的，以最长的期限为准进行计算）一半后，按照本合同规定的标准和要求对乙方服务进行中期验收，乙方应当予以配合，最迟不晚于2026年9月底前完成，甲方通知乙方延期的情况除外。验收通过后,由采购人开具《合同验收单/验收报告》，原厂商对验收单/验收报告进行书面认定（即其授权代表签字且加盖单位公章），且当原厂商拒绝书面认定验收单/验收报告时，即视为同意验收单/验收报告内容。</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3.4甲方验收小组于维保服务期限（各设备的维保服务期限不一致的，以最长的期限为准进行计算）届满后，按照本合同规定的标准和要求对乙方服务进行最终验收，乙方应当予以配合，最迟不晚于2027年4月底前完成，甲方通知乙方延期的情况除外。验收通过后,由采购人开具《合同验收单/验收报告》，原厂商对验收单/验收报告进行书面认定（即其授权代表签字且加盖单位公章），且当原厂商拒绝书面认定验收单/验收报告时，即视为同意验收单/验收报告内容。</w:t>
      </w:r>
    </w:p>
    <w:p>
      <w:pPr>
        <w:adjustRightInd w:val="0"/>
        <w:snapToGrid w:val="0"/>
        <w:spacing w:line="360" w:lineRule="auto"/>
        <w:ind w:firstLine="480" w:firstLineChars="200"/>
        <w:rPr>
          <w:rFonts w:hint="eastAsia" w:ascii="宋体" w:hAnsi="宋体" w:eastAsia="宋体" w:cs="宋体"/>
          <w:sz w:val="24"/>
          <w:szCs w:val="20"/>
        </w:rPr>
      </w:pPr>
      <w:r>
        <w:rPr>
          <w:rFonts w:hint="eastAsia" w:ascii="宋体" w:hAnsi="宋体" w:eastAsia="宋体" w:cs="宋体"/>
          <w:sz w:val="24"/>
          <w:lang w:bidi="ar"/>
        </w:rPr>
        <w:t>3.5</w:t>
      </w:r>
      <w:r>
        <w:rPr>
          <w:rFonts w:hint="eastAsia" w:ascii="宋体" w:hAnsi="宋体" w:eastAsia="宋体" w:cs="宋体"/>
          <w:sz w:val="24"/>
          <w:szCs w:val="20"/>
          <w:lang w:bidi="ar"/>
        </w:rPr>
        <w:t>乙方未能通过甲方中期验收或最终验收的，应采取一切补救措施继续履行合同义务，由此产生的费用由乙方负担。</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3.6乙方应在最终验收阶段提供明确的服务起始依据（依据形式包括但不限于合同、订单、邮件、往来函件等的一种或多种），作为验收的依据材料之一。</w:t>
      </w:r>
    </w:p>
    <w:p>
      <w:pPr>
        <w:adjustRightInd w:val="0"/>
        <w:snapToGrid w:val="0"/>
        <w:spacing w:line="360" w:lineRule="auto"/>
        <w:jc w:val="center"/>
        <w:outlineLvl w:val="1"/>
        <w:rPr>
          <w:rFonts w:hint="eastAsia" w:ascii="宋体" w:hAnsi="宋体" w:eastAsia="宋体" w:cs="宋体"/>
          <w:b/>
          <w:sz w:val="24"/>
          <w:lang w:bidi="ar"/>
        </w:rPr>
      </w:pPr>
      <w:r>
        <w:rPr>
          <w:rFonts w:hint="eastAsia" w:ascii="宋体" w:hAnsi="宋体" w:eastAsia="宋体" w:cs="宋体"/>
          <w:b/>
          <w:sz w:val="24"/>
          <w:lang w:bidi="ar"/>
        </w:rPr>
        <w:t>第四部分 履行期限、服务地点</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4.1履约期限：</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本合同软硬件设备维保履约期限为：</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2026年1月1日至2026年12月31日；</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2026年12月1日至2026年12月31日；</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2026年11月22日至2026年12月31日。</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4.2续签条款</w:t>
      </w:r>
    </w:p>
    <w:p>
      <w:pPr>
        <w:tabs>
          <w:tab w:val="left" w:pos="900"/>
        </w:tabs>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若本次服务期内的服务质量满足甲方要求，在服务内容和要求不变情况下，经甲乙双方确认后，服务合同可以续签一年,续签次数最多为2次。甲乙双方最晚可在合同到期前一个月就是否续签事宜进行确认。如双方确认续签的，可以就本项目服务下年度续签进行商务谈判议定价格，续签合同价款不得高于本合同价款。</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在服务期限内，如甲方追加与现有维保对象相同品牌型号的设备纳入维保范围，乙方应承诺以本次成交单价提供设备维保服务。</w:t>
      </w:r>
    </w:p>
    <w:p>
      <w:pPr>
        <w:tabs>
          <w:tab w:val="left" w:pos="900"/>
        </w:tabs>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4.3服务地点：</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上海市（上海市浦东新区繁昌路298号、上海市静安区海宁路889号）；</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天津市（天津市滨海新区洞庭北路北塘融汇商务园二区4号楼）。</w:t>
      </w:r>
    </w:p>
    <w:p>
      <w:pPr>
        <w:adjustRightInd w:val="0"/>
        <w:snapToGrid w:val="0"/>
        <w:spacing w:line="360" w:lineRule="auto"/>
        <w:jc w:val="center"/>
        <w:outlineLvl w:val="1"/>
        <w:rPr>
          <w:rFonts w:hint="eastAsia" w:ascii="宋体" w:hAnsi="宋体" w:eastAsia="宋体" w:cs="宋体"/>
          <w:b/>
          <w:sz w:val="24"/>
        </w:rPr>
      </w:pPr>
      <w:r>
        <w:rPr>
          <w:rFonts w:hint="eastAsia" w:ascii="宋体" w:hAnsi="宋体" w:eastAsia="宋体" w:cs="宋体"/>
          <w:b/>
          <w:sz w:val="24"/>
          <w:lang w:bidi="ar"/>
        </w:rPr>
        <w:t>第五部分 合同总金额及其支付方式</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5.1根据成交通知书，本合同的总金额（含税）为人民币</w:t>
      </w:r>
      <w:r>
        <w:rPr>
          <w:rFonts w:hint="eastAsia" w:ascii="宋体" w:hAnsi="宋体" w:eastAsia="宋体" w:cs="宋体"/>
          <w:sz w:val="24"/>
          <w:highlight w:val="none"/>
          <w:lang w:bidi="ar"/>
        </w:rPr>
        <w:t>：</w:t>
      </w:r>
      <w:r>
        <w:rPr>
          <w:rFonts w:hint="eastAsia" w:ascii="宋体" w:hAnsi="宋体" w:eastAsia="宋体" w:cs="宋体"/>
          <w:bCs/>
          <w:sz w:val="24"/>
          <w:highlight w:val="none"/>
          <w:u w:val="single"/>
          <w:lang w:bidi="ar"/>
        </w:rPr>
        <w:t>￥ 620</w:t>
      </w:r>
      <w:r>
        <w:rPr>
          <w:rFonts w:hint="eastAsia" w:ascii="宋体" w:hAnsi="宋体" w:eastAsia="宋体" w:cs="宋体"/>
          <w:bCs/>
          <w:sz w:val="24"/>
          <w:highlight w:val="none"/>
          <w:u w:val="single"/>
          <w:lang w:val="en-US" w:eastAsia="zh-CN" w:bidi="ar"/>
        </w:rPr>
        <w:t>,</w:t>
      </w:r>
      <w:r>
        <w:rPr>
          <w:rFonts w:hint="eastAsia" w:ascii="宋体" w:hAnsi="宋体" w:eastAsia="宋体" w:cs="宋体"/>
          <w:bCs/>
          <w:sz w:val="24"/>
          <w:highlight w:val="none"/>
          <w:u w:val="single"/>
          <w:lang w:bidi="ar"/>
        </w:rPr>
        <w:t xml:space="preserve">000 </w:t>
      </w:r>
      <w:r>
        <w:rPr>
          <w:rFonts w:hint="eastAsia" w:ascii="宋体" w:hAnsi="宋体" w:eastAsia="宋体" w:cs="宋体"/>
          <w:sz w:val="24"/>
          <w:highlight w:val="none"/>
          <w:lang w:bidi="ar"/>
        </w:rPr>
        <w:t>元整(大写：</w:t>
      </w:r>
      <w:r>
        <w:rPr>
          <w:rFonts w:hint="eastAsia" w:ascii="宋体" w:hAnsi="宋体" w:eastAsia="宋体" w:cs="宋体"/>
          <w:bCs/>
          <w:sz w:val="24"/>
          <w:highlight w:val="none"/>
          <w:lang w:bidi="ar"/>
        </w:rPr>
        <w:t>人民币</w:t>
      </w:r>
      <w:r>
        <w:rPr>
          <w:rFonts w:hint="eastAsia" w:ascii="宋体" w:hAnsi="宋体" w:eastAsia="宋体" w:cs="宋体"/>
          <w:bCs/>
          <w:sz w:val="24"/>
          <w:highlight w:val="none"/>
          <w:u w:val="single"/>
          <w:lang w:bidi="ar"/>
        </w:rPr>
        <w:t xml:space="preserve">  陆拾贰万  </w:t>
      </w:r>
      <w:r>
        <w:rPr>
          <w:rFonts w:hint="eastAsia" w:ascii="宋体" w:hAnsi="宋体" w:eastAsia="宋体" w:cs="宋体"/>
          <w:bCs/>
          <w:sz w:val="24"/>
          <w:highlight w:val="none"/>
          <w:lang w:bidi="ar"/>
        </w:rPr>
        <w:t>元整</w:t>
      </w:r>
      <w:r>
        <w:rPr>
          <w:rFonts w:hint="eastAsia" w:ascii="宋体" w:hAnsi="宋体" w:eastAsia="宋体" w:cs="宋体"/>
          <w:sz w:val="24"/>
          <w:highlight w:val="none"/>
          <w:lang w:bidi="ar"/>
        </w:rPr>
        <w:t>）。</w:t>
      </w:r>
      <w:r>
        <w:rPr>
          <w:rFonts w:hint="eastAsia" w:ascii="宋体" w:hAnsi="宋体" w:eastAsia="宋体" w:cs="宋体"/>
          <w:sz w:val="24"/>
          <w:lang w:bidi="ar"/>
        </w:rPr>
        <w:t>合同总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5.2付款方式</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5.2.1预付款</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合同生效后，在收到乙方提供的与本阶段付款金额等值的正式发票以及乙方加盖单位公章的《付款申</w:t>
      </w:r>
      <w:r>
        <w:rPr>
          <w:rFonts w:hint="eastAsia" w:ascii="宋体" w:hAnsi="宋体" w:eastAsia="宋体" w:cs="宋体"/>
          <w:sz w:val="24"/>
          <w:highlight w:val="none"/>
          <w:lang w:bidi="ar"/>
        </w:rPr>
        <w:t>请》后十（10）个工作日内，甲方向乙方支付合同总金额的</w:t>
      </w:r>
      <w:r>
        <w:rPr>
          <w:rFonts w:hint="eastAsia" w:ascii="宋体" w:hAnsi="宋体" w:eastAsia="宋体" w:cs="宋体"/>
          <w:sz w:val="24"/>
          <w:highlight w:val="none"/>
          <w:u w:val="single"/>
          <w:lang w:bidi="ar"/>
        </w:rPr>
        <w:t>30%</w:t>
      </w:r>
      <w:r>
        <w:rPr>
          <w:rFonts w:hint="eastAsia" w:ascii="宋体" w:hAnsi="宋体" w:eastAsia="宋体" w:cs="宋体"/>
          <w:sz w:val="24"/>
          <w:highlight w:val="none"/>
          <w:lang w:bidi="ar"/>
        </w:rPr>
        <w:t>（百分之</w:t>
      </w:r>
      <w:r>
        <w:rPr>
          <w:rFonts w:hint="eastAsia" w:ascii="宋体" w:hAnsi="宋体" w:eastAsia="宋体" w:cs="宋体"/>
          <w:sz w:val="24"/>
          <w:highlight w:val="none"/>
          <w:u w:val="single"/>
          <w:lang w:bidi="ar"/>
        </w:rPr>
        <w:t>三十</w:t>
      </w:r>
      <w:r>
        <w:rPr>
          <w:rFonts w:hint="eastAsia" w:ascii="宋体" w:hAnsi="宋体" w:eastAsia="宋体" w:cs="宋体"/>
          <w:sz w:val="24"/>
          <w:highlight w:val="none"/>
          <w:lang w:bidi="ar"/>
        </w:rPr>
        <w:t>），即人民币</w:t>
      </w:r>
      <w:r>
        <w:rPr>
          <w:rFonts w:hint="eastAsia" w:ascii="宋体" w:hAnsi="宋体" w:eastAsia="宋体" w:cs="宋体"/>
          <w:bCs/>
          <w:sz w:val="24"/>
          <w:highlight w:val="none"/>
          <w:u w:val="single"/>
          <w:lang w:bidi="ar"/>
        </w:rPr>
        <w:t>￥ 186</w:t>
      </w:r>
      <w:r>
        <w:rPr>
          <w:rFonts w:hint="eastAsia" w:ascii="宋体" w:hAnsi="宋体" w:eastAsia="宋体" w:cs="宋体"/>
          <w:bCs/>
          <w:sz w:val="24"/>
          <w:highlight w:val="none"/>
          <w:u w:val="single"/>
          <w:lang w:val="en-US" w:eastAsia="zh-CN" w:bidi="ar"/>
        </w:rPr>
        <w:t>,</w:t>
      </w:r>
      <w:r>
        <w:rPr>
          <w:rFonts w:hint="eastAsia" w:ascii="宋体" w:hAnsi="宋体" w:eastAsia="宋体" w:cs="宋体"/>
          <w:bCs/>
          <w:sz w:val="24"/>
          <w:highlight w:val="none"/>
          <w:u w:val="single"/>
          <w:lang w:bidi="ar"/>
        </w:rPr>
        <w:t xml:space="preserve">000 </w:t>
      </w:r>
      <w:r>
        <w:rPr>
          <w:rFonts w:hint="eastAsia" w:ascii="宋体" w:hAnsi="宋体" w:eastAsia="宋体" w:cs="宋体"/>
          <w:sz w:val="24"/>
          <w:highlight w:val="none"/>
          <w:lang w:bidi="ar"/>
        </w:rPr>
        <w:t>元整（大写：</w:t>
      </w:r>
      <w:r>
        <w:rPr>
          <w:rFonts w:hint="eastAsia" w:ascii="宋体" w:hAnsi="宋体" w:eastAsia="宋体" w:cs="宋体"/>
          <w:bCs/>
          <w:sz w:val="24"/>
          <w:highlight w:val="none"/>
          <w:lang w:bidi="ar"/>
        </w:rPr>
        <w:t>人民币</w:t>
      </w:r>
      <w:r>
        <w:rPr>
          <w:rFonts w:hint="eastAsia" w:ascii="宋体" w:hAnsi="宋体" w:eastAsia="宋体" w:cs="宋体"/>
          <w:bCs/>
          <w:sz w:val="24"/>
          <w:highlight w:val="none"/>
          <w:u w:val="single"/>
          <w:lang w:bidi="ar"/>
        </w:rPr>
        <w:t xml:space="preserve"> 壹拾捌万陆仟 </w:t>
      </w:r>
      <w:r>
        <w:rPr>
          <w:rFonts w:hint="eastAsia" w:ascii="宋体" w:hAnsi="宋体" w:eastAsia="宋体" w:cs="宋体"/>
          <w:bCs/>
          <w:sz w:val="24"/>
          <w:highlight w:val="none"/>
          <w:lang w:bidi="ar"/>
        </w:rPr>
        <w:t>元整</w:t>
      </w:r>
      <w:r>
        <w:rPr>
          <w:rFonts w:hint="eastAsia" w:ascii="宋体" w:hAnsi="宋体" w:eastAsia="宋体" w:cs="宋体"/>
          <w:sz w:val="24"/>
          <w:highlight w:val="none"/>
          <w:lang w:bidi="ar"/>
        </w:rPr>
        <w:t>）。</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5.2.2中期款</w:t>
      </w:r>
    </w:p>
    <w:p>
      <w:pPr>
        <w:adjustRightInd w:val="0"/>
        <w:snapToGrid w:val="0"/>
        <w:spacing w:line="360" w:lineRule="auto"/>
        <w:ind w:firstLine="480" w:firstLineChars="200"/>
        <w:rPr>
          <w:rFonts w:hint="eastAsia" w:ascii="宋体" w:hAnsi="宋体" w:eastAsia="宋体" w:cs="宋体"/>
          <w:sz w:val="24"/>
          <w:highlight w:val="yellow"/>
        </w:rPr>
      </w:pPr>
      <w:r>
        <w:rPr>
          <w:rFonts w:hint="eastAsia" w:ascii="宋体" w:hAnsi="宋体" w:eastAsia="宋体" w:cs="宋体"/>
          <w:sz w:val="24"/>
          <w:lang w:bidi="ar"/>
        </w:rPr>
        <w:t>乙方向甲方提供所有服务达到本合同规定的服务期限的一半，且经甲乙双方共同验收合格并出具《合同验收单》后，甲方在收到乙方提供的与本阶段付款金额等值的正式发票以及乙方加盖单位公章</w:t>
      </w:r>
      <w:r>
        <w:rPr>
          <w:rFonts w:hint="eastAsia" w:ascii="宋体" w:hAnsi="宋体" w:eastAsia="宋体" w:cs="宋体"/>
          <w:sz w:val="24"/>
          <w:highlight w:val="none"/>
          <w:lang w:bidi="ar"/>
        </w:rPr>
        <w:t>的《付款申请》后十（10）个工作日内，向乙方支付合同总金额的</w:t>
      </w:r>
      <w:r>
        <w:rPr>
          <w:rFonts w:hint="eastAsia" w:ascii="宋体" w:hAnsi="宋体" w:eastAsia="宋体" w:cs="宋体"/>
          <w:sz w:val="24"/>
          <w:highlight w:val="none"/>
          <w:u w:val="single"/>
          <w:lang w:bidi="ar"/>
        </w:rPr>
        <w:t>40%</w:t>
      </w:r>
      <w:r>
        <w:rPr>
          <w:rFonts w:hint="eastAsia" w:ascii="宋体" w:hAnsi="宋体" w:eastAsia="宋体" w:cs="宋体"/>
          <w:sz w:val="24"/>
          <w:highlight w:val="none"/>
          <w:lang w:bidi="ar"/>
        </w:rPr>
        <w:t>（百分之</w:t>
      </w:r>
      <w:r>
        <w:rPr>
          <w:rFonts w:hint="eastAsia" w:ascii="宋体" w:hAnsi="宋体" w:eastAsia="宋体" w:cs="宋体"/>
          <w:sz w:val="24"/>
          <w:highlight w:val="none"/>
          <w:u w:val="single"/>
          <w:lang w:bidi="ar"/>
        </w:rPr>
        <w:t>四十</w:t>
      </w:r>
      <w:r>
        <w:rPr>
          <w:rFonts w:hint="eastAsia" w:ascii="宋体" w:hAnsi="宋体" w:eastAsia="宋体" w:cs="宋体"/>
          <w:sz w:val="24"/>
          <w:highlight w:val="none"/>
          <w:lang w:bidi="ar"/>
        </w:rPr>
        <w:t>），即人民币</w:t>
      </w:r>
      <w:r>
        <w:rPr>
          <w:rFonts w:hint="eastAsia" w:ascii="宋体" w:hAnsi="宋体" w:eastAsia="宋体" w:cs="宋体"/>
          <w:bCs/>
          <w:sz w:val="24"/>
          <w:highlight w:val="none"/>
          <w:u w:val="single"/>
          <w:lang w:bidi="ar"/>
        </w:rPr>
        <w:t>￥ 248</w:t>
      </w:r>
      <w:r>
        <w:rPr>
          <w:rFonts w:hint="eastAsia" w:ascii="宋体" w:hAnsi="宋体" w:eastAsia="宋体" w:cs="宋体"/>
          <w:bCs/>
          <w:sz w:val="24"/>
          <w:highlight w:val="none"/>
          <w:u w:val="single"/>
          <w:lang w:val="en-US" w:eastAsia="zh-CN" w:bidi="ar"/>
        </w:rPr>
        <w:t>,</w:t>
      </w:r>
      <w:r>
        <w:rPr>
          <w:rFonts w:hint="eastAsia" w:ascii="宋体" w:hAnsi="宋体" w:eastAsia="宋体" w:cs="宋体"/>
          <w:bCs/>
          <w:sz w:val="24"/>
          <w:highlight w:val="none"/>
          <w:u w:val="single"/>
          <w:lang w:bidi="ar"/>
        </w:rPr>
        <w:t>000</w:t>
      </w:r>
      <w:r>
        <w:rPr>
          <w:rFonts w:hint="eastAsia" w:ascii="宋体" w:hAnsi="宋体" w:eastAsia="宋体" w:cs="宋体"/>
          <w:bCs/>
          <w:sz w:val="24"/>
          <w:highlight w:val="none"/>
          <w:u w:val="single"/>
          <w:lang w:val="en-US" w:eastAsia="zh-CN" w:bidi="ar"/>
        </w:rPr>
        <w:t xml:space="preserve"> </w:t>
      </w:r>
      <w:r>
        <w:rPr>
          <w:rFonts w:hint="eastAsia" w:ascii="宋体" w:hAnsi="宋体" w:eastAsia="宋体" w:cs="宋体"/>
          <w:bCs/>
          <w:sz w:val="24"/>
          <w:highlight w:val="none"/>
          <w:lang w:bidi="ar"/>
        </w:rPr>
        <w:t>元整</w:t>
      </w:r>
      <w:r>
        <w:rPr>
          <w:rFonts w:hint="eastAsia" w:ascii="宋体" w:hAnsi="宋体" w:eastAsia="宋体" w:cs="宋体"/>
          <w:sz w:val="24"/>
          <w:highlight w:val="none"/>
          <w:lang w:bidi="ar"/>
        </w:rPr>
        <w:t>（大写：</w:t>
      </w:r>
      <w:r>
        <w:rPr>
          <w:rFonts w:hint="eastAsia" w:ascii="宋体" w:hAnsi="宋体" w:eastAsia="宋体" w:cs="宋体"/>
          <w:bCs/>
          <w:sz w:val="24"/>
          <w:highlight w:val="none"/>
          <w:lang w:bidi="ar"/>
        </w:rPr>
        <w:t>人民币</w:t>
      </w:r>
      <w:r>
        <w:rPr>
          <w:rFonts w:hint="eastAsia" w:ascii="宋体" w:hAnsi="宋体" w:eastAsia="宋体" w:cs="宋体"/>
          <w:bCs/>
          <w:sz w:val="24"/>
          <w:highlight w:val="none"/>
          <w:u w:val="single"/>
          <w:lang w:bidi="ar"/>
        </w:rPr>
        <w:t xml:space="preserve"> </w:t>
      </w:r>
      <w:r>
        <w:rPr>
          <w:rFonts w:hint="eastAsia" w:ascii="宋体" w:hAnsi="宋体" w:eastAsia="宋体" w:cs="宋体"/>
          <w:bCs/>
          <w:sz w:val="24"/>
          <w:highlight w:val="none"/>
          <w:u w:val="single"/>
          <w:lang w:val="en-US" w:eastAsia="zh-CN" w:bidi="ar"/>
        </w:rPr>
        <w:t>贰</w:t>
      </w:r>
      <w:r>
        <w:rPr>
          <w:rFonts w:hint="eastAsia" w:ascii="宋体" w:hAnsi="宋体" w:eastAsia="宋体" w:cs="宋体"/>
          <w:bCs/>
          <w:sz w:val="24"/>
          <w:highlight w:val="none"/>
          <w:u w:val="single"/>
          <w:lang w:bidi="ar"/>
        </w:rPr>
        <w:t xml:space="preserve">拾肆万捌仟 </w:t>
      </w:r>
      <w:r>
        <w:rPr>
          <w:rFonts w:hint="eastAsia" w:ascii="宋体" w:hAnsi="宋体" w:eastAsia="宋体" w:cs="宋体"/>
          <w:bCs/>
          <w:sz w:val="24"/>
          <w:highlight w:val="none"/>
          <w:lang w:bidi="ar"/>
        </w:rPr>
        <w:t>元整</w:t>
      </w:r>
      <w:r>
        <w:rPr>
          <w:rFonts w:hint="eastAsia" w:ascii="宋体" w:hAnsi="宋体" w:eastAsia="宋体" w:cs="宋体"/>
          <w:sz w:val="24"/>
          <w:highlight w:val="none"/>
          <w:lang w:bidi="ar"/>
        </w:rPr>
        <w:t>）。</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5.2.3后期款</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lang w:bidi="ar"/>
        </w:rPr>
        <w:t>乙方服务期限届满且服务内容完成，经甲乙双方共同验收合格并出具《合同验收单》后，甲方在收到乙方提供的与本阶段付款金额等值的正式发票以及乙方加盖单位公章的《付款申请》后十（10）个工作日内，向乙方支付合同总金额的</w:t>
      </w:r>
      <w:r>
        <w:rPr>
          <w:rFonts w:hint="eastAsia" w:ascii="宋体" w:hAnsi="宋体" w:eastAsia="宋体" w:cs="宋体"/>
          <w:sz w:val="24"/>
          <w:u w:val="single"/>
          <w:lang w:bidi="ar"/>
        </w:rPr>
        <w:t>30%</w:t>
      </w:r>
      <w:r>
        <w:rPr>
          <w:rFonts w:hint="eastAsia" w:ascii="宋体" w:hAnsi="宋体" w:eastAsia="宋体" w:cs="宋体"/>
          <w:sz w:val="24"/>
          <w:lang w:bidi="ar"/>
        </w:rPr>
        <w:t>（百分之</w:t>
      </w:r>
      <w:r>
        <w:rPr>
          <w:rFonts w:hint="eastAsia" w:ascii="宋体" w:hAnsi="宋体" w:eastAsia="宋体" w:cs="宋体"/>
          <w:sz w:val="24"/>
          <w:u w:val="single"/>
          <w:lang w:bidi="ar"/>
        </w:rPr>
        <w:t>三十</w:t>
      </w:r>
      <w:r>
        <w:rPr>
          <w:rFonts w:hint="eastAsia" w:ascii="宋体" w:hAnsi="宋体" w:eastAsia="宋体" w:cs="宋体"/>
          <w:sz w:val="24"/>
          <w:lang w:bidi="ar"/>
        </w:rPr>
        <w:t>），</w:t>
      </w:r>
      <w:r>
        <w:rPr>
          <w:rFonts w:hint="eastAsia" w:ascii="宋体" w:hAnsi="宋体" w:eastAsia="宋体" w:cs="宋体"/>
          <w:sz w:val="24"/>
          <w:highlight w:val="none"/>
          <w:lang w:bidi="ar"/>
        </w:rPr>
        <w:t>即人民币</w:t>
      </w:r>
      <w:r>
        <w:rPr>
          <w:rFonts w:hint="eastAsia" w:ascii="宋体" w:hAnsi="宋体" w:eastAsia="宋体" w:cs="宋体"/>
          <w:bCs/>
          <w:sz w:val="24"/>
          <w:highlight w:val="none"/>
          <w:u w:val="single"/>
          <w:lang w:bidi="ar"/>
        </w:rPr>
        <w:t>￥ 186</w:t>
      </w:r>
      <w:r>
        <w:rPr>
          <w:rFonts w:hint="eastAsia" w:ascii="宋体" w:hAnsi="宋体" w:eastAsia="宋体" w:cs="宋体"/>
          <w:bCs/>
          <w:sz w:val="24"/>
          <w:highlight w:val="none"/>
          <w:u w:val="single"/>
          <w:lang w:val="en-US" w:eastAsia="zh-CN" w:bidi="ar"/>
        </w:rPr>
        <w:t>,</w:t>
      </w:r>
      <w:r>
        <w:rPr>
          <w:rFonts w:hint="eastAsia" w:ascii="宋体" w:hAnsi="宋体" w:eastAsia="宋体" w:cs="宋体"/>
          <w:bCs/>
          <w:sz w:val="24"/>
          <w:highlight w:val="none"/>
          <w:u w:val="single"/>
          <w:lang w:bidi="ar"/>
        </w:rPr>
        <w:t xml:space="preserve">000 </w:t>
      </w:r>
      <w:r>
        <w:rPr>
          <w:rFonts w:hint="eastAsia" w:ascii="宋体" w:hAnsi="宋体" w:eastAsia="宋体" w:cs="宋体"/>
          <w:bCs/>
          <w:sz w:val="24"/>
          <w:highlight w:val="none"/>
          <w:lang w:bidi="ar"/>
        </w:rPr>
        <w:t>元整（大写：人民币</w:t>
      </w:r>
      <w:r>
        <w:rPr>
          <w:rFonts w:hint="eastAsia" w:ascii="宋体" w:hAnsi="宋体" w:eastAsia="宋体" w:cs="宋体"/>
          <w:bCs/>
          <w:sz w:val="24"/>
          <w:highlight w:val="none"/>
          <w:u w:val="single"/>
          <w:lang w:bidi="ar"/>
        </w:rPr>
        <w:t xml:space="preserve"> 壹拾捌万陆仟 </w:t>
      </w:r>
      <w:r>
        <w:rPr>
          <w:rFonts w:hint="eastAsia" w:ascii="宋体" w:hAnsi="宋体" w:eastAsia="宋体" w:cs="宋体"/>
          <w:bCs/>
          <w:sz w:val="24"/>
          <w:highlight w:val="none"/>
          <w:lang w:bidi="ar"/>
        </w:rPr>
        <w:t>元整）</w:t>
      </w:r>
      <w:r>
        <w:rPr>
          <w:rFonts w:hint="eastAsia" w:ascii="宋体" w:hAnsi="宋体" w:eastAsia="宋体" w:cs="宋体"/>
          <w:sz w:val="24"/>
          <w:highlight w:val="none"/>
          <w:lang w:bidi="ar"/>
        </w:rPr>
        <w:t>。</w:t>
      </w:r>
    </w:p>
    <w:p>
      <w:pPr>
        <w:adjustRightInd w:val="0"/>
        <w:snapToGrid w:val="0"/>
        <w:spacing w:line="360" w:lineRule="auto"/>
        <w:ind w:firstLine="480" w:firstLineChars="200"/>
        <w:rPr>
          <w:rFonts w:hint="eastAsia" w:ascii="宋体" w:hAnsi="宋体" w:eastAsia="宋体" w:cs="宋体"/>
          <w:b/>
          <w:sz w:val="24"/>
        </w:rPr>
      </w:pPr>
      <w:r>
        <w:rPr>
          <w:rFonts w:hint="eastAsia" w:ascii="宋体" w:hAnsi="宋体" w:eastAsia="宋体" w:cs="宋体"/>
          <w:sz w:val="24"/>
          <w:lang w:bidi="ar"/>
        </w:rPr>
        <w:t>5.3本条中的“收到”是指甲方实际接收到乙方交付的发票和《付款申请》，收到日不以发票和/或《付款申请》中载明的日期为准。双方对甲方是否“收到”及收到日有争议的，由乙方负责证明甲方已经“收到”及收到日。</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第六部分 履约保证金</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6.1 乙方应于签订合同的同时向甲方提交下述金额的履约保证金。</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6.2 履约保证金为合同总金额的</w:t>
      </w:r>
      <w:r>
        <w:rPr>
          <w:rFonts w:hint="eastAsia" w:ascii="宋体" w:hAnsi="宋体" w:eastAsia="宋体" w:cs="宋体"/>
          <w:sz w:val="24"/>
          <w:u w:val="single"/>
          <w:lang w:bidi="ar"/>
        </w:rPr>
        <w:t>5</w:t>
      </w:r>
      <w:r>
        <w:rPr>
          <w:rFonts w:hint="eastAsia" w:ascii="宋体" w:hAnsi="宋体" w:eastAsia="宋体" w:cs="宋体"/>
          <w:sz w:val="24"/>
          <w:lang w:bidi="ar"/>
        </w:rPr>
        <w:t>％（百分之</w:t>
      </w:r>
      <w:r>
        <w:rPr>
          <w:rFonts w:hint="eastAsia" w:ascii="宋体" w:hAnsi="宋体" w:eastAsia="宋体" w:cs="宋体"/>
          <w:sz w:val="24"/>
          <w:u w:val="single"/>
          <w:lang w:bidi="ar"/>
        </w:rPr>
        <w:t>五</w:t>
      </w:r>
      <w:r>
        <w:rPr>
          <w:rFonts w:hint="eastAsia" w:ascii="宋体" w:hAnsi="宋体" w:eastAsia="宋体" w:cs="宋体"/>
          <w:sz w:val="24"/>
          <w:lang w:bidi="ar"/>
        </w:rPr>
        <w:t>）</w:t>
      </w:r>
      <w:r>
        <w:rPr>
          <w:rFonts w:hint="eastAsia" w:ascii="宋体" w:hAnsi="宋体" w:eastAsia="宋体" w:cs="宋体"/>
          <w:sz w:val="24"/>
          <w:highlight w:val="none"/>
          <w:lang w:bidi="ar"/>
        </w:rPr>
        <w:t>即人民币</w:t>
      </w:r>
      <w:r>
        <w:rPr>
          <w:rFonts w:hint="eastAsia" w:ascii="宋体" w:hAnsi="宋体" w:eastAsia="宋体" w:cs="宋体"/>
          <w:bCs/>
          <w:sz w:val="24"/>
          <w:highlight w:val="none"/>
          <w:u w:val="single"/>
          <w:lang w:bidi="ar"/>
        </w:rPr>
        <w:t>￥ 31</w:t>
      </w:r>
      <w:r>
        <w:rPr>
          <w:rFonts w:hint="eastAsia" w:ascii="宋体" w:hAnsi="宋体" w:eastAsia="宋体" w:cs="宋体"/>
          <w:bCs/>
          <w:sz w:val="24"/>
          <w:highlight w:val="none"/>
          <w:u w:val="single"/>
          <w:lang w:val="en-US" w:eastAsia="zh-CN" w:bidi="ar"/>
        </w:rPr>
        <w:t>,</w:t>
      </w:r>
      <w:r>
        <w:rPr>
          <w:rFonts w:hint="eastAsia" w:ascii="宋体" w:hAnsi="宋体" w:eastAsia="宋体" w:cs="宋体"/>
          <w:bCs/>
          <w:sz w:val="24"/>
          <w:highlight w:val="none"/>
          <w:u w:val="single"/>
          <w:lang w:bidi="ar"/>
        </w:rPr>
        <w:t xml:space="preserve">000 </w:t>
      </w:r>
      <w:r>
        <w:rPr>
          <w:rFonts w:hint="eastAsia" w:ascii="宋体" w:hAnsi="宋体" w:eastAsia="宋体" w:cs="宋体"/>
          <w:sz w:val="24"/>
          <w:highlight w:val="none"/>
          <w:lang w:bidi="ar"/>
        </w:rPr>
        <w:t>元整(大写:人民币</w:t>
      </w:r>
      <w:r>
        <w:rPr>
          <w:rFonts w:hint="eastAsia" w:ascii="宋体" w:hAnsi="宋体" w:eastAsia="宋体" w:cs="宋体"/>
          <w:sz w:val="24"/>
          <w:highlight w:val="none"/>
          <w:u w:val="single"/>
          <w:lang w:bidi="ar"/>
        </w:rPr>
        <w:t xml:space="preserve"> 叁万壹仟 </w:t>
      </w:r>
      <w:r>
        <w:rPr>
          <w:rFonts w:hint="eastAsia" w:ascii="宋体" w:hAnsi="宋体" w:eastAsia="宋体" w:cs="宋体"/>
          <w:bCs/>
          <w:sz w:val="24"/>
          <w:highlight w:val="none"/>
          <w:lang w:bidi="ar"/>
        </w:rPr>
        <w:t>元</w:t>
      </w:r>
      <w:r>
        <w:rPr>
          <w:rFonts w:hint="eastAsia" w:ascii="宋体" w:hAnsi="宋体" w:eastAsia="宋体" w:cs="宋体"/>
          <w:sz w:val="24"/>
          <w:highlight w:val="none"/>
          <w:lang w:bidi="ar"/>
        </w:rPr>
        <w:t>整)，其有效期截至本合</w:t>
      </w:r>
      <w:r>
        <w:rPr>
          <w:rFonts w:hint="eastAsia" w:ascii="宋体" w:hAnsi="宋体" w:eastAsia="宋体" w:cs="宋体"/>
          <w:sz w:val="24"/>
          <w:lang w:bidi="ar"/>
        </w:rPr>
        <w:t>同履约期限届满。履约保证金用以保证乙方履行合同规定的所有义务。</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6.3 除非双方另有协定，在履约保证金有效期届满后，甲方接到乙方提请退还履约保证金的书面申请和双方约定的有关单据后十五（15）个工作日内，应将扣除违约金后剩余的履约保证金退还乙方(不计息)。</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6.4履约保证金采取银行电汇或支票倒存的方式汇入或存入甲方在采购文件中指定的账户。</w:t>
      </w:r>
    </w:p>
    <w:p>
      <w:pPr>
        <w:adjustRightInd w:val="0"/>
        <w:snapToGri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bidi="ar"/>
        </w:rPr>
        <w:t>6.5维保服务期开始后，乙方可以以银行保函的形式替换签约时提交的合同履约保证金。</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第七部分 各方责任及违约</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7.1对于因非正版软件或硬件引发的故障，乙方只负责判断故障原因，并将故障情况反映给甲方及甲方相关负责人。</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7.3乙方有义务严守甲方的商业机密，不以任何的形式窃取或获取甲方保密信息，</w:t>
      </w:r>
      <w:r>
        <w:rPr>
          <w:rFonts w:hint="eastAsia" w:ascii="宋体" w:hAnsi="宋体" w:eastAsia="宋体" w:cs="宋体"/>
          <w:sz w:val="24"/>
          <w:szCs w:val="20"/>
          <w:lang w:bidi="ar"/>
        </w:rPr>
        <w:t>并不得将甲方及甲方数据资料带出工作现场</w:t>
      </w:r>
      <w:r>
        <w:rPr>
          <w:rFonts w:hint="eastAsia" w:ascii="宋体" w:hAnsi="宋体" w:eastAsia="宋体" w:cs="宋体"/>
          <w:sz w:val="24"/>
          <w:lang w:bidi="ar"/>
        </w:rPr>
        <w:t>。</w:t>
      </w:r>
    </w:p>
    <w:p>
      <w:pPr>
        <w:tabs>
          <w:tab w:val="left" w:pos="900"/>
        </w:tabs>
        <w:adjustRightInd w:val="0"/>
        <w:snapToGrid w:val="0"/>
        <w:spacing w:line="360" w:lineRule="auto"/>
        <w:ind w:firstLine="480" w:firstLineChars="200"/>
        <w:rPr>
          <w:rFonts w:hint="eastAsia" w:ascii="宋体" w:hAnsi="宋体" w:eastAsia="宋体" w:cs="宋体"/>
          <w:sz w:val="24"/>
          <w:szCs w:val="20"/>
        </w:rPr>
      </w:pPr>
      <w:r>
        <w:rPr>
          <w:rFonts w:hint="eastAsia" w:ascii="宋体" w:hAnsi="宋体" w:eastAsia="宋体" w:cs="宋体"/>
          <w:sz w:val="24"/>
          <w:szCs w:val="20"/>
          <w:lang w:bidi="ar"/>
        </w:rPr>
        <w:t>7.4乙方及原厂商在服务期间，如果对甲方及中国人民银行内其他部门运行正常的硬件、软件或其他财产造成损坏，乙方应负责对其修复及更换，确保甲方及中国人民银行内其他部门的正常使用，给甲方或中国人民银行造成损害或损失的，或发生其他侵犯甲方或第三方财产或合法权利的情况时，乙方应当承担全部法律责任和经济赔偿。</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7.5违约责任和合同解除</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7.5.1乙方未按合同要求向甲方提供服务时，甲方有权扣除其相应的服务费，其计算方法为：乙方及原厂商因自身原因未能完成甲方要求的服务工作的，乙方应按合同总金额的一定比例向甲方支付违约金，且每次支付违约金数额不低于合同总金额的2%（百分之二）。当以上违约金的累计金额达到合同总金额的5%（百分之五）时，甲方有权解除合同。</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7.5.2乙方及原厂商工作人员在提供服务时或提供服务外，造成甲方设施、材料、其他财产及甲方客户物品损失或损坏的，由乙方承担相应的赔偿责任。</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7.5.3</w:t>
      </w:r>
      <w:r>
        <w:rPr>
          <w:rFonts w:hint="eastAsia" w:ascii="宋体" w:hAnsi="宋体" w:eastAsia="宋体" w:cs="宋体"/>
          <w:sz w:val="24"/>
          <w:szCs w:val="20"/>
          <w:lang w:bidi="ar"/>
        </w:rPr>
        <w:t>若乙方违反第7.2款约定，所提供软件或服务损害第三方合法权益（含知识产权或其他合法权益），乙方应予以处理并承担全部法律责任，还应当按合同总金额的【5】%（百分之【5】）向甲方支付违约金。甲方因此承担责任的，有权向乙方全额追偿。</w:t>
      </w:r>
      <w:r>
        <w:rPr>
          <w:rFonts w:hint="eastAsia" w:ascii="宋体" w:hAnsi="宋体" w:eastAsia="宋体" w:cs="宋体"/>
          <w:sz w:val="24"/>
          <w:lang w:bidi="ar"/>
        </w:rPr>
        <w:t>因此导致甲方合同目的不能实现的，甲方有权解除本合同并要求乙方按本合同第7.5.10条之约定承担违约责任。</w:t>
      </w:r>
      <w:bookmarkStart w:id="0" w:name="_Hlk84685245"/>
      <w:r>
        <w:rPr>
          <w:rFonts w:hint="eastAsia" w:ascii="宋体" w:hAnsi="宋体" w:eastAsia="宋体" w:cs="宋体"/>
          <w:sz w:val="24"/>
          <w:lang w:bidi="ar"/>
        </w:rPr>
        <w:t>不论合同是否解除或终止，本条持续永久有效。</w:t>
      </w:r>
      <w:bookmarkEnd w:id="0"/>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7.5.4甲方对乙方的投诉超过2次（含）的,乙方每次每项应按合同总金额的1‰(千分之一)向甲方支付违约金，投诉超过5次（含）的，甲方有权解除本合同。</w:t>
      </w:r>
    </w:p>
    <w:p>
      <w:pPr>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sz w:val="24"/>
          <w:lang w:bidi="ar"/>
        </w:rPr>
        <w:t>7.5.5乙方违反本合同约定的其他义务的，应每次每项按合同总金额的【5】‰（千分之【五】）向甲方支付违约金。当以上违约金的累计金额达到合同总金额的5%（百分之五）时，甲方有权解除合同。</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7.5.6甲方未按照合同规定期限支付服务费用的，除支付应付费用外，每日应按逾期支付服务费用的0.2‰(万分之二)向乙方支付违约金，直至实际支付相应款项为止，但甲方支付的违约金最多不得超过逾期付款金额的5%（百分之五）；违约金达到合同费用总额的5%（百分之五）时，乙方有权解除合同。</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7.5.7除本合同另有约定外，当发生以下情形之一时，视为乙方构成根本违约，甲方有权解除合同并向乙方要求赔偿，发生第（1）、（5）至第（12）项的情形时，乙方还应向甲方支付合同总金额20%</w:t>
      </w:r>
      <w:r>
        <w:rPr>
          <w:rFonts w:hint="eastAsia" w:ascii="宋体" w:hAnsi="宋体" w:eastAsia="宋体" w:cs="宋体"/>
          <w:sz w:val="24"/>
          <w:szCs w:val="20"/>
          <w:lang w:bidi="ar"/>
        </w:rPr>
        <w:t>（百分之【二十】）</w:t>
      </w:r>
      <w:r>
        <w:rPr>
          <w:rFonts w:hint="eastAsia" w:ascii="宋体" w:hAnsi="宋体" w:eastAsia="宋体" w:cs="宋体"/>
          <w:sz w:val="24"/>
          <w:lang w:bidi="ar"/>
        </w:rPr>
        <w:t>的违约金：</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（1）乙方未能按照合同履行规定的义务，致使甲方无法实现合同目的；</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（2）乙方发生分立、并购、重组、解散等重大改变；</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（3）乙方因清偿诉讼债务被扣押资产、冻结账户；</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（4）乙方申请或被申请重整、和解或者破产清算；</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（5）乙方将本合同转包或分包；</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（6）乙方部分转让或全部转让其应履行的合同义务或享有的合同权利；</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（7）乙方所提供服务存在严重瑕疵或重大缺陷；</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（8）乙方资质、提供服务人员等情况的真实性存在重大瑕疵或相应的资质失效；</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（9）乙方中期验收或最终验收不合格且未采取经甲方认可的改善措施的，以及在第三部分规定的各阶段验收时间期限内一直未通过验收的；</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（10）给甲方或中国人民银行的既有硬件、软件或其他财产重大损害（包括损失额超过（人民币￥3,000.00）元整（大写：人民币叁仟元整）或造成重大负面影响的）；</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（11）乙方违反本合同规定的条款并在甲方给予书面通知后3个工作日内仍未采取合理有效且被甲方书面认可的补救措施；</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（12）法律规定和本合同约定的其他甲方有权解除合同的情形。</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7.5.8如果违约方在收到守约方正式书面通知的违约金额7日内没有答复，则守约方提出的违约金额将视为被违约方接受。</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7.5.9甲乙双方承担违约责任并不影响双方继续履行合同未履行的部分。</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7.5.10乙方应对违约行为承担赔偿责任时，如果本合同约定的违约金、滞纳金不足以赔偿甲方全部损失的，乙方还应当对不足部分承担继续赔偿的责任。此外，甲方有权直接从未支付款项中扣除相应金额的款项作为乙方应支付的违约金或赔偿金。</w:t>
      </w:r>
    </w:p>
    <w:p>
      <w:pPr>
        <w:tabs>
          <w:tab w:val="left" w:pos="900"/>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7.5.11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7.5.12</w:t>
      </w:r>
      <w:bookmarkStart w:id="1" w:name="_Hlk84862184"/>
      <w:r>
        <w:rPr>
          <w:rFonts w:hint="eastAsia" w:ascii="宋体" w:hAnsi="宋体" w:eastAsia="宋体" w:cs="宋体"/>
          <w:sz w:val="24"/>
          <w:lang w:bidi="ar"/>
        </w:rPr>
        <w:t>本合同所称的甲方损失，是指甲方因调查乙方的违约行为、采取补救措施而支出的所有费用，包括但不限于甲方的先期经济投入，以及甲方向乙方及有关单位追索而发生的调查费、鉴定费、通知费、催告费、仲裁费、诉讼费、执行费、保全费、公证费、律师费、差旅费等费用。</w:t>
      </w:r>
      <w:bookmarkEnd w:id="1"/>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第八部分 不可抗力</w:t>
      </w:r>
    </w:p>
    <w:p>
      <w:pPr>
        <w:adjustRightInd w:val="0"/>
        <w:snapToGrid w:val="0"/>
        <w:spacing w:line="360" w:lineRule="auto"/>
        <w:ind w:firstLine="540" w:firstLineChars="225"/>
        <w:rPr>
          <w:rFonts w:hint="eastAsia" w:ascii="宋体" w:hAnsi="宋体" w:eastAsia="宋体" w:cs="宋体"/>
          <w:color w:val="000000"/>
          <w:sz w:val="24"/>
        </w:rPr>
      </w:pPr>
      <w:r>
        <w:rPr>
          <w:rFonts w:hint="eastAsia" w:ascii="宋体" w:hAnsi="宋体" w:eastAsia="宋体" w:cs="宋体"/>
          <w:color w:val="000000"/>
          <w:sz w:val="24"/>
          <w:lang w:bidi="ar"/>
        </w:rPr>
        <w:t>8.1 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adjustRightInd w:val="0"/>
        <w:snapToGrid w:val="0"/>
        <w:spacing w:line="360" w:lineRule="auto"/>
        <w:ind w:firstLine="540" w:firstLineChars="225"/>
        <w:rPr>
          <w:rFonts w:hint="eastAsia" w:ascii="宋体" w:hAnsi="宋体" w:eastAsia="宋体" w:cs="宋体"/>
          <w:color w:val="000000"/>
          <w:sz w:val="24"/>
        </w:rPr>
      </w:pPr>
      <w:r>
        <w:rPr>
          <w:rFonts w:hint="eastAsia" w:ascii="宋体" w:hAnsi="宋体" w:eastAsia="宋体" w:cs="宋体"/>
          <w:color w:val="000000"/>
          <w:sz w:val="24"/>
          <w:lang w:bidi="ar"/>
        </w:rPr>
        <w:t>8.2遭受不可抗力一方应在不可抗力事件发生后2日内以书面形式通知其他方;并在事件发生后 10 日内，将有关部门出具的证明文件、详细情况报告以及不可抗力对合同影响程度的说明用特快专递或挂号信的形式寄给其他方。如果不可抗力影响时间延续 60 日以上，各方应通过友好协商在合理的时间内达成进一步履行合同或终止合同的协议。</w:t>
      </w:r>
    </w:p>
    <w:p>
      <w:pPr>
        <w:adjustRightInd w:val="0"/>
        <w:snapToGrid w:val="0"/>
        <w:spacing w:line="360" w:lineRule="auto"/>
        <w:ind w:firstLine="540" w:firstLineChars="225"/>
        <w:rPr>
          <w:rFonts w:hint="eastAsia" w:ascii="宋体" w:hAnsi="宋体" w:eastAsia="宋体" w:cs="宋体"/>
          <w:color w:val="000000"/>
          <w:sz w:val="24"/>
        </w:rPr>
      </w:pPr>
      <w:r>
        <w:rPr>
          <w:rFonts w:hint="eastAsia" w:ascii="宋体" w:hAnsi="宋体" w:eastAsia="宋体" w:cs="宋体"/>
          <w:color w:val="000000"/>
          <w:sz w:val="24"/>
          <w:lang w:bidi="ar"/>
        </w:rPr>
        <w:t xml:space="preserve">8.3 </w:t>
      </w:r>
      <w:r>
        <w:rPr>
          <w:rFonts w:hint="eastAsia" w:ascii="宋体" w:hAnsi="宋体" w:eastAsia="宋体" w:cs="宋体"/>
          <w:sz w:val="24"/>
          <w:lang w:bidi="ar"/>
        </w:rPr>
        <w:t>除非迟延履行后发生不可抗力的，</w:t>
      </w:r>
      <w:r>
        <w:rPr>
          <w:rFonts w:hint="eastAsia" w:ascii="宋体" w:hAnsi="宋体" w:eastAsia="宋体" w:cs="宋体"/>
          <w:color w:val="000000"/>
          <w:sz w:val="24"/>
          <w:lang w:bidi="ar"/>
        </w:rPr>
        <w:t>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lang w:bidi="ar"/>
        </w:rPr>
        <w:t>8.4 受事件影响的一方应在不可抗力事件影响停止或消除后10日内将不可抗力事件已停止的报告以书面形式通知其他方。</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第九部分 保密约定</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9.1 乙方应对在本合同履行过程中知悉的有关甲方的商业、国家等秘密承担保密义务。除经甲方的同意或法律、法规另有规定，乙方不得向本合同以外的任何第三人提供、泄漏上述秘密。乙方违反保密义务的，应按合同附件一《业务合作保密协议》之约定承担违约责任。违反本条规定给甲方造成损失的，乙方应承担相应责任。</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9.2 除合同本身以外，由甲方提供给乙方的所有资料始终为甲方的财产，乙方应于合同义务履行完毕后【30】日内将上述资料包括副本退还给甲方。</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9.3 不论合同是否解除或终止，本条持续永久有效。</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第十部分 争议</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10.1在执行本合同中所发生的争端，或与本合同有关的一切争端，甲、乙双方应通过协商解决。如通过协商方式仍不能解决争议，双方同意依法向甲方所在地人民法院提起诉讼。</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10.2在诉讼期间，除正在进行诉讼部分外，本合同其他部分应继续执行。</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第十一部分 合同的终止</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11.1甲乙双方均不得单方面随意变更或解除合同。出现下列情况时本合同自行终止：</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11.1.1本合同正常履行完毕；</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11.1.2甲乙双方在不违反法律、法规规定的情况下协议终止本合同的履行；</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11.1.3不可抗力导致本合同无法履行或履行不必要时；</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11.1.4一方根据本合同规定提出解除合同后，本合同在责任方按照本合同的约定履行完毕全部支付义务或其他义务后终止。</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11.2合同的终止并不影响甲乙双方承担其他法律责任。</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第十二部分 法律适用</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12.1本合同应适用中华人民共和国法律。</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第十三部分 其他</w:t>
      </w:r>
    </w:p>
    <w:p>
      <w:pPr>
        <w:adjustRightInd w:val="0"/>
        <w:snapToGrid w:val="0"/>
        <w:spacing w:line="360" w:lineRule="auto"/>
        <w:ind w:firstLine="480" w:firstLineChars="200"/>
        <w:rPr>
          <w:rFonts w:hint="eastAsia" w:ascii="宋体" w:hAnsi="宋体" w:eastAsia="宋体" w:cs="宋体"/>
          <w:sz w:val="24"/>
        </w:rPr>
      </w:pPr>
      <w:bookmarkStart w:id="2" w:name="_Hlk84687756"/>
      <w:r>
        <w:rPr>
          <w:rFonts w:hint="eastAsia" w:ascii="宋体" w:hAnsi="宋体" w:eastAsia="宋体" w:cs="宋体"/>
          <w:sz w:val="24"/>
          <w:lang w:bidi="ar"/>
        </w:rPr>
        <w:t>13.1 除非得到甲方的书面同意，本合同项下的权利和义务均不得转让。</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13.2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bookmarkEnd w:id="2"/>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合同书写应用中文，各方所有的来往信函，以及合同有关的文件均应以中文书写，以外文书写的必须附有相应的中文译本。如果两种文本的含义发生冲突，各方同意以中文文本为准。</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13.3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双方的联络方式以本合同首部载明为准。任何一方变更列明的通讯地址、传真等联络方式的，应提前五日书面通知对方。因未履行书面告知义务导致的不利后果，由未履行告知义务的一方自行承担。</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13.4本合同一式四份，甲方持二份，乙方持二份，均具有同等法律效力，经甲、乙双方法定代表人或其授权代表签字、加盖单位公章或合同章</w:t>
      </w:r>
      <w:r>
        <w:rPr>
          <w:rFonts w:hint="eastAsia" w:ascii="宋体" w:hAnsi="宋体" w:eastAsia="宋体" w:cs="宋体"/>
          <w:color w:val="000000"/>
          <w:sz w:val="24"/>
          <w:lang w:bidi="ar"/>
        </w:rPr>
        <w:t>并在</w:t>
      </w:r>
      <w:bookmarkStart w:id="3" w:name="_Hlk84685443"/>
      <w:r>
        <w:rPr>
          <w:rFonts w:hint="eastAsia" w:ascii="宋体" w:hAnsi="宋体" w:eastAsia="宋体" w:cs="宋体"/>
          <w:color w:val="000000"/>
          <w:sz w:val="24"/>
          <w:lang w:bidi="ar"/>
        </w:rPr>
        <w:t>甲方收到</w:t>
      </w:r>
      <w:r>
        <w:rPr>
          <w:rFonts w:hint="eastAsia" w:ascii="宋体" w:hAnsi="宋体" w:eastAsia="宋体" w:cs="宋体"/>
          <w:sz w:val="24"/>
          <w:lang w:bidi="ar"/>
        </w:rPr>
        <w:t>履约</w:t>
      </w:r>
      <w:r>
        <w:rPr>
          <w:rFonts w:hint="eastAsia" w:ascii="宋体" w:hAnsi="宋体" w:eastAsia="宋体" w:cs="宋体"/>
          <w:color w:val="000000"/>
          <w:sz w:val="24"/>
          <w:lang w:bidi="ar"/>
        </w:rPr>
        <w:t>保证金后</w:t>
      </w:r>
      <w:r>
        <w:rPr>
          <w:rFonts w:hint="eastAsia" w:ascii="宋体" w:hAnsi="宋体" w:eastAsia="宋体" w:cs="宋体"/>
          <w:sz w:val="24"/>
          <w:lang w:bidi="ar"/>
        </w:rPr>
        <w:t>生效</w:t>
      </w:r>
      <w:bookmarkEnd w:id="3"/>
      <w:r>
        <w:rPr>
          <w:rFonts w:hint="eastAsia" w:ascii="宋体" w:hAnsi="宋体" w:eastAsia="宋体" w:cs="宋体"/>
          <w:sz w:val="24"/>
          <w:lang w:bidi="ar"/>
        </w:rPr>
        <w:t>。</w:t>
      </w:r>
    </w:p>
    <w:p>
      <w:pPr>
        <w:adjustRightInd w:val="0"/>
        <w:snapToGrid w:val="0"/>
        <w:spacing w:line="360" w:lineRule="auto"/>
        <w:jc w:val="center"/>
        <w:outlineLvl w:val="1"/>
        <w:rPr>
          <w:rFonts w:hint="eastAsia" w:ascii="宋体" w:hAnsi="宋体" w:eastAsia="宋体" w:cs="宋体"/>
          <w:b/>
          <w:color w:val="000000"/>
          <w:sz w:val="24"/>
        </w:rPr>
      </w:pPr>
      <w:r>
        <w:rPr>
          <w:rFonts w:hint="eastAsia" w:ascii="宋体" w:hAnsi="宋体" w:eastAsia="宋体" w:cs="宋体"/>
          <w:b/>
          <w:color w:val="000000"/>
          <w:sz w:val="24"/>
          <w:lang w:bidi="ar"/>
        </w:rPr>
        <w:t>第十四部分 附件</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14.1本合同附件均为本合同不可分割的部分，与合同正文具有同等法律效力。</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合同附件目录如下：</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附件一、业务合作保密协议</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附件二、合同清单及价格</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附件三、甲方的业务需求及技术规范</w:t>
      </w:r>
    </w:p>
    <w:p>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附件四、乙方维护服务及质量保证承诺</w:t>
      </w:r>
    </w:p>
    <w:p>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附件五、成交通知书</w:t>
      </w:r>
    </w:p>
    <w:p>
      <w:pPr>
        <w:adjustRightInd w:val="0"/>
        <w:snapToGrid w:val="0"/>
        <w:spacing w:line="360" w:lineRule="auto"/>
        <w:ind w:firstLine="480"/>
        <w:rPr>
          <w:rFonts w:hint="eastAsia" w:ascii="宋体" w:hAnsi="宋体" w:eastAsia="宋体" w:cs="宋体"/>
          <w:sz w:val="24"/>
          <w:szCs w:val="20"/>
        </w:rPr>
      </w:pPr>
      <w:r>
        <w:rPr>
          <w:rFonts w:hint="eastAsia" w:ascii="宋体" w:hAnsi="宋体" w:eastAsia="宋体" w:cs="宋体"/>
          <w:sz w:val="24"/>
          <w:szCs w:val="20"/>
          <w:lang w:bidi="ar"/>
        </w:rPr>
        <w:t>附件六、供应商拥有者性别声明</w:t>
      </w:r>
    </w:p>
    <w:p>
      <w:pPr>
        <w:autoSpaceDE w:val="0"/>
        <w:autoSpaceDN w:val="0"/>
        <w:adjustRightInd w:val="0"/>
        <w:snapToGrid w:val="0"/>
        <w:spacing w:line="360" w:lineRule="auto"/>
        <w:ind w:left="360"/>
        <w:jc w:val="center"/>
        <w:rPr>
          <w:rFonts w:hint="eastAsia" w:ascii="宋体" w:hAnsi="宋体" w:eastAsia="宋体" w:cs="宋体"/>
          <w:sz w:val="24"/>
          <w:lang w:bidi="ar"/>
        </w:rPr>
      </w:pPr>
    </w:p>
    <w:p>
      <w:pPr>
        <w:autoSpaceDE w:val="0"/>
        <w:autoSpaceDN w:val="0"/>
        <w:adjustRightInd w:val="0"/>
        <w:snapToGrid w:val="0"/>
        <w:spacing w:line="360" w:lineRule="auto"/>
        <w:ind w:left="360"/>
        <w:jc w:val="center"/>
        <w:rPr>
          <w:rFonts w:hint="eastAsia" w:ascii="宋体" w:hAnsi="宋体" w:eastAsia="宋体" w:cs="宋体"/>
          <w:sz w:val="24"/>
          <w:lang w:bidi="ar"/>
        </w:rPr>
      </w:pPr>
    </w:p>
    <w:p>
      <w:pPr>
        <w:autoSpaceDE w:val="0"/>
        <w:autoSpaceDN w:val="0"/>
        <w:adjustRightInd w:val="0"/>
        <w:snapToGrid w:val="0"/>
        <w:spacing w:line="360" w:lineRule="auto"/>
        <w:ind w:left="360"/>
        <w:jc w:val="center"/>
        <w:rPr>
          <w:rFonts w:hint="eastAsia" w:ascii="宋体" w:hAnsi="宋体" w:eastAsia="宋体" w:cs="宋体"/>
          <w:sz w:val="24"/>
          <w:lang w:bidi="ar"/>
        </w:rPr>
      </w:pPr>
    </w:p>
    <w:p>
      <w:pPr>
        <w:autoSpaceDE w:val="0"/>
        <w:autoSpaceDN w:val="0"/>
        <w:adjustRightInd w:val="0"/>
        <w:snapToGrid w:val="0"/>
        <w:spacing w:line="360" w:lineRule="auto"/>
        <w:ind w:left="360"/>
        <w:jc w:val="center"/>
        <w:rPr>
          <w:rFonts w:hint="eastAsia" w:ascii="宋体" w:hAnsi="宋体" w:eastAsia="宋体" w:cs="宋体"/>
          <w:sz w:val="24"/>
          <w:lang w:bidi="ar"/>
        </w:rPr>
      </w:pPr>
    </w:p>
    <w:p>
      <w:pPr>
        <w:autoSpaceDE w:val="0"/>
        <w:autoSpaceDN w:val="0"/>
        <w:adjustRightInd w:val="0"/>
        <w:snapToGrid w:val="0"/>
        <w:spacing w:line="360" w:lineRule="auto"/>
        <w:ind w:left="360"/>
        <w:jc w:val="center"/>
        <w:rPr>
          <w:rFonts w:hint="eastAsia" w:ascii="宋体" w:hAnsi="宋体" w:eastAsia="宋体" w:cs="宋体"/>
          <w:sz w:val="24"/>
        </w:rPr>
      </w:pPr>
      <w:r>
        <w:rPr>
          <w:rFonts w:hint="eastAsia" w:ascii="宋体" w:hAnsi="宋体" w:eastAsia="宋体" w:cs="宋体"/>
          <w:sz w:val="24"/>
          <w:lang w:bidi="ar"/>
        </w:rPr>
        <w:t>（本行以下无正文）</w:t>
      </w:r>
    </w:p>
    <w:p>
      <w:pPr>
        <w:autoSpaceDE w:val="0"/>
        <w:autoSpaceDN w:val="0"/>
        <w:adjustRightInd w:val="0"/>
        <w:snapToGrid w:val="0"/>
        <w:spacing w:line="360" w:lineRule="auto"/>
        <w:ind w:left="360"/>
        <w:jc w:val="center"/>
        <w:rPr>
          <w:rFonts w:hint="eastAsia" w:ascii="宋体" w:hAnsi="宋体" w:eastAsia="宋体" w:cs="宋体"/>
          <w:sz w:val="24"/>
        </w:rPr>
      </w:pPr>
    </w:p>
    <w:p>
      <w:pPr>
        <w:autoSpaceDE w:val="0"/>
        <w:autoSpaceDN w:val="0"/>
        <w:adjustRightInd w:val="0"/>
        <w:snapToGrid w:val="0"/>
        <w:spacing w:line="360" w:lineRule="auto"/>
        <w:ind w:left="360"/>
        <w:jc w:val="center"/>
        <w:rPr>
          <w:rFonts w:hint="eastAsia" w:ascii="宋体" w:hAnsi="宋体" w:eastAsia="宋体" w:cs="宋体"/>
          <w:sz w:val="24"/>
        </w:rPr>
      </w:pPr>
    </w:p>
    <w:p>
      <w:pPr>
        <w:autoSpaceDE w:val="0"/>
        <w:autoSpaceDN w:val="0"/>
        <w:adjustRightInd w:val="0"/>
        <w:snapToGrid w:val="0"/>
        <w:spacing w:line="360" w:lineRule="auto"/>
        <w:ind w:left="360"/>
        <w:jc w:val="center"/>
        <w:rPr>
          <w:rFonts w:hint="eastAsia" w:ascii="宋体" w:hAnsi="宋体" w:eastAsia="宋体" w:cs="宋体"/>
          <w:sz w:val="24"/>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left="5280" w:hanging="5280" w:hangingChars="2200"/>
        <w:textAlignment w:val="auto"/>
        <w:rPr>
          <w:rFonts w:hint="eastAsia" w:ascii="宋体" w:hAnsi="宋体" w:eastAsia="宋体" w:cs="宋体"/>
          <w:sz w:val="24"/>
          <w:lang w:bidi="ar"/>
        </w:rPr>
      </w:pPr>
      <w:r>
        <w:rPr>
          <w:rFonts w:hint="eastAsia" w:ascii="宋体" w:hAnsi="宋体" w:eastAsia="宋体" w:cs="宋体"/>
          <w:sz w:val="24"/>
          <w:lang w:bidi="ar"/>
        </w:rPr>
        <w:t xml:space="preserve">甲方：中国人民银行征信中心           </w:t>
      </w:r>
      <w:r>
        <w:rPr>
          <w:rFonts w:hint="eastAsia" w:ascii="宋体" w:hAnsi="宋体" w:eastAsia="宋体" w:cs="宋体"/>
          <w:sz w:val="24"/>
          <w:highlight w:val="none"/>
          <w:lang w:bidi="ar"/>
        </w:rPr>
        <w:t xml:space="preserve"> 乙方：</w:t>
      </w:r>
      <w:r>
        <w:rPr>
          <w:rFonts w:hint="eastAsia" w:ascii="宋体" w:hAnsi="宋体" w:eastAsia="宋体" w:cs="宋体"/>
          <w:sz w:val="24"/>
          <w:lang w:bidi="ar"/>
        </w:rPr>
        <w:t>北京天融信网络安全技术有限公司</w:t>
      </w:r>
    </w:p>
    <w:p>
      <w:pPr>
        <w:autoSpaceDE w:val="0"/>
        <w:autoSpaceDN w:val="0"/>
        <w:adjustRightInd w:val="0"/>
        <w:snapToGrid w:val="0"/>
        <w:spacing w:line="360" w:lineRule="auto"/>
        <w:jc w:val="left"/>
        <w:rPr>
          <w:rFonts w:hint="eastAsia" w:ascii="宋体" w:hAnsi="宋体" w:eastAsia="宋体" w:cs="宋体"/>
          <w:sz w:val="24"/>
          <w:lang w:bidi="ar"/>
        </w:rPr>
      </w:pPr>
      <w:r>
        <w:rPr>
          <w:rFonts w:hint="eastAsia" w:ascii="宋体" w:hAnsi="宋体" w:eastAsia="宋体" w:cs="宋体"/>
          <w:sz w:val="24"/>
          <w:lang w:bidi="ar"/>
        </w:rPr>
        <w:t>单位盖章：                            单位盖章：</w:t>
      </w:r>
    </w:p>
    <w:p>
      <w:pPr>
        <w:autoSpaceDE w:val="0"/>
        <w:autoSpaceDN w:val="0"/>
        <w:adjustRightInd w:val="0"/>
        <w:snapToGrid w:val="0"/>
        <w:spacing w:line="360" w:lineRule="auto"/>
        <w:jc w:val="left"/>
        <w:rPr>
          <w:rFonts w:hint="eastAsia" w:ascii="宋体" w:hAnsi="宋体" w:eastAsia="宋体" w:cs="宋体"/>
          <w:sz w:val="24"/>
          <w:lang w:bidi="ar"/>
        </w:rPr>
      </w:pPr>
    </w:p>
    <w:p>
      <w:pPr>
        <w:autoSpaceDE w:val="0"/>
        <w:autoSpaceDN w:val="0"/>
        <w:adjustRightInd w:val="0"/>
        <w:snapToGrid w:val="0"/>
        <w:spacing w:line="360" w:lineRule="auto"/>
        <w:jc w:val="left"/>
        <w:rPr>
          <w:rFonts w:hint="eastAsia" w:ascii="宋体" w:hAnsi="宋体" w:eastAsia="宋体" w:cs="宋体"/>
          <w:sz w:val="24"/>
          <w:lang w:bidi="ar"/>
        </w:rPr>
      </w:pPr>
      <w:r>
        <w:rPr>
          <w:rFonts w:hint="eastAsia" w:ascii="宋体" w:hAnsi="宋体" w:eastAsia="宋体" w:cs="宋体"/>
          <w:sz w:val="24"/>
          <w:lang w:bidi="ar"/>
        </w:rPr>
        <w:t>法定代表人或授权代表签字：            法定代表人或授权代表签字：</w:t>
      </w:r>
    </w:p>
    <w:p>
      <w:pPr>
        <w:autoSpaceDE w:val="0"/>
        <w:autoSpaceDN w:val="0"/>
        <w:adjustRightInd w:val="0"/>
        <w:snapToGrid w:val="0"/>
        <w:spacing w:line="360" w:lineRule="auto"/>
        <w:jc w:val="left"/>
        <w:rPr>
          <w:rFonts w:hint="eastAsia" w:ascii="宋体" w:hAnsi="宋体" w:eastAsia="宋体" w:cs="宋体"/>
          <w:sz w:val="24"/>
          <w:lang w:bidi="ar"/>
        </w:rPr>
      </w:pPr>
    </w:p>
    <w:p>
      <w:pPr>
        <w:autoSpaceDE w:val="0"/>
        <w:autoSpaceDN w:val="0"/>
        <w:adjustRightInd w:val="0"/>
        <w:snapToGrid w:val="0"/>
        <w:spacing w:line="360" w:lineRule="auto"/>
        <w:jc w:val="left"/>
        <w:rPr>
          <w:rFonts w:hint="eastAsia" w:ascii="宋体" w:hAnsi="宋体" w:eastAsia="宋体" w:cs="宋体"/>
          <w:sz w:val="24"/>
          <w:lang w:bidi="ar"/>
        </w:rPr>
      </w:pPr>
      <w:r>
        <w:rPr>
          <w:rFonts w:hint="eastAsia" w:ascii="宋体" w:hAnsi="宋体" w:eastAsia="宋体" w:cs="宋体"/>
          <w:sz w:val="24"/>
          <w:lang w:bidi="ar"/>
        </w:rPr>
        <w:t>日期：                                日期：</w:t>
      </w:r>
    </w:p>
    <w:p>
      <w:pPr>
        <w:rPr>
          <w:rFonts w:hint="eastAsia" w:ascii="宋体" w:hAnsi="宋体" w:eastAsia="宋体" w:cs="宋体"/>
          <w:sz w:val="24"/>
          <w:lang w:bidi="ar"/>
        </w:rPr>
      </w:pPr>
      <w:bookmarkStart w:id="4" w:name="_GoBack"/>
      <w:r>
        <w:drawing>
          <wp:inline distT="0" distB="0" distL="114300" distR="114300">
            <wp:extent cx="5654040" cy="4919345"/>
            <wp:effectExtent l="0" t="0" r="3810"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654040" cy="4919345"/>
                    </a:xfrm>
                    <a:prstGeom prst="rect">
                      <a:avLst/>
                    </a:prstGeom>
                    <a:noFill/>
                    <a:ln>
                      <a:noFill/>
                    </a:ln>
                  </pic:spPr>
                </pic:pic>
              </a:graphicData>
            </a:graphic>
          </wp:inline>
        </w:drawing>
      </w:r>
      <w:bookmarkEnd w:id="4"/>
      <w:r>
        <w:rPr>
          <w:rFonts w:hint="eastAsia" w:ascii="宋体" w:hAnsi="宋体" w:eastAsia="宋体" w:cs="宋体"/>
          <w:sz w:val="24"/>
          <w:lang w:bidi="ar"/>
        </w:rPr>
        <w:br w:type="page"/>
      </w:r>
    </w:p>
    <w:p>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附件五、成交通知书</w:t>
      </w:r>
    </w:p>
    <w:p>
      <w:pPr>
        <w:rPr>
          <w:rFonts w:hint="default" w:ascii="宋体" w:hAnsi="宋体" w:eastAsia="宋体" w:cs="宋体"/>
          <w:sz w:val="24"/>
          <w:lang w:val="en-US" w:eastAsia="zh-CN" w:bidi="ar"/>
        </w:rPr>
      </w:pPr>
      <w:r>
        <w:rPr>
          <w:rFonts w:hint="eastAsia" w:ascii="宋体" w:hAnsi="宋体" w:eastAsia="宋体" w:cs="宋体"/>
          <w:sz w:val="24"/>
          <w:lang w:eastAsia="zh-CN" w:bidi="ar"/>
        </w:rPr>
        <w:drawing>
          <wp:inline distT="0" distB="0" distL="114300" distR="114300">
            <wp:extent cx="5481320" cy="7806690"/>
            <wp:effectExtent l="0" t="0" r="5080" b="11430"/>
            <wp:docPr id="1" name="图片 1" descr="成交通知书(天融信)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成交通知书(天融信)_00"/>
                    <pic:cNvPicPr>
                      <a:picLocks noChangeAspect="1"/>
                    </pic:cNvPicPr>
                  </pic:nvPicPr>
                  <pic:blipFill>
                    <a:blip r:embed="rId5"/>
                    <a:stretch>
                      <a:fillRect/>
                    </a:stretch>
                  </pic:blipFill>
                  <pic:spPr>
                    <a:xfrm>
                      <a:off x="0" y="0"/>
                      <a:ext cx="5481320" cy="7806690"/>
                    </a:xfrm>
                    <a:prstGeom prst="rect">
                      <a:avLst/>
                    </a:prstGeom>
                  </pic:spPr>
                </pic:pic>
              </a:graphicData>
            </a:graphic>
          </wp:inline>
        </w:drawing>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68144"/>
    <w:multiLevelType w:val="multilevel"/>
    <w:tmpl w:val="09268144"/>
    <w:lvl w:ilvl="0" w:tentative="0">
      <w:start w:val="1"/>
      <w:numFmt w:val="decimal"/>
      <w:suff w:val="nothing"/>
      <w:lvlText w:val="%1"/>
      <w:lvlJc w:val="left"/>
      <w:pPr>
        <w:tabs>
          <w:tab w:val="left" w:pos="0"/>
        </w:tabs>
        <w:ind w:left="0" w:firstLine="0"/>
      </w:pPr>
      <w:rPr>
        <w:rFonts w:hint="eastAsia" w:ascii="仿宋" w:hAnsi="仿宋" w:eastAsia="仿宋" w:cs="仿宋"/>
        <w:b w:val="0"/>
        <w:bCs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281"/>
    <w:rsid w:val="00177844"/>
    <w:rsid w:val="001C7973"/>
    <w:rsid w:val="001F3A9A"/>
    <w:rsid w:val="002514D9"/>
    <w:rsid w:val="00351281"/>
    <w:rsid w:val="00362CA1"/>
    <w:rsid w:val="00396E27"/>
    <w:rsid w:val="004359FA"/>
    <w:rsid w:val="00687279"/>
    <w:rsid w:val="00AA0C07"/>
    <w:rsid w:val="00B84CAE"/>
    <w:rsid w:val="024B50E5"/>
    <w:rsid w:val="0469124B"/>
    <w:rsid w:val="07A11D12"/>
    <w:rsid w:val="10B7227A"/>
    <w:rsid w:val="135D1908"/>
    <w:rsid w:val="13646889"/>
    <w:rsid w:val="14025795"/>
    <w:rsid w:val="1416784A"/>
    <w:rsid w:val="14671706"/>
    <w:rsid w:val="14A511EB"/>
    <w:rsid w:val="1656474A"/>
    <w:rsid w:val="204A5285"/>
    <w:rsid w:val="216C7BE6"/>
    <w:rsid w:val="24E84399"/>
    <w:rsid w:val="25E33337"/>
    <w:rsid w:val="285862BF"/>
    <w:rsid w:val="292B0FE0"/>
    <w:rsid w:val="2D2626A0"/>
    <w:rsid w:val="2D3277B7"/>
    <w:rsid w:val="2E911BA7"/>
    <w:rsid w:val="2F9B30A9"/>
    <w:rsid w:val="3265133D"/>
    <w:rsid w:val="33911440"/>
    <w:rsid w:val="37CD4298"/>
    <w:rsid w:val="3D3E4A09"/>
    <w:rsid w:val="3F204B9F"/>
    <w:rsid w:val="40CB76D3"/>
    <w:rsid w:val="41A326BF"/>
    <w:rsid w:val="42A653BA"/>
    <w:rsid w:val="448771F8"/>
    <w:rsid w:val="4568626D"/>
    <w:rsid w:val="462753A7"/>
    <w:rsid w:val="473B19EC"/>
    <w:rsid w:val="482D3E87"/>
    <w:rsid w:val="4AC85440"/>
    <w:rsid w:val="4C694FE0"/>
    <w:rsid w:val="51465964"/>
    <w:rsid w:val="519434E5"/>
    <w:rsid w:val="52E87329"/>
    <w:rsid w:val="58062D10"/>
    <w:rsid w:val="5A8321E2"/>
    <w:rsid w:val="5B084802"/>
    <w:rsid w:val="61300818"/>
    <w:rsid w:val="6279041A"/>
    <w:rsid w:val="67F33A1A"/>
    <w:rsid w:val="694620C0"/>
    <w:rsid w:val="6E45347A"/>
    <w:rsid w:val="6E814062"/>
    <w:rsid w:val="71260727"/>
    <w:rsid w:val="7923774A"/>
    <w:rsid w:val="798677EE"/>
    <w:rsid w:val="79B90F42"/>
    <w:rsid w:val="79F57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0"/>
    <w:pPr>
      <w:spacing w:after="120"/>
    </w:pPr>
    <w:rPr>
      <w:rFonts w:ascii="Times New Roman" w:hAnsi="Times New Roman" w:eastAsia="宋体" w:cs="Times New Roman"/>
      <w:szCs w:val="20"/>
    </w:rPr>
  </w:style>
  <w:style w:type="paragraph" w:styleId="3">
    <w:name w:val="Body Text Indent"/>
    <w:basedOn w:val="1"/>
    <w:link w:val="10"/>
    <w:qFormat/>
    <w:uiPriority w:val="0"/>
    <w:pPr>
      <w:spacing w:after="120"/>
      <w:ind w:left="420" w:leftChars="200"/>
    </w:p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tabs>
        <w:tab w:val="center" w:pos="4153"/>
        <w:tab w:val="right" w:pos="8306"/>
      </w:tabs>
      <w:snapToGrid w:val="0"/>
      <w:jc w:val="center"/>
    </w:pPr>
    <w:rPr>
      <w:sz w:val="18"/>
      <w:szCs w:val="18"/>
    </w:rPr>
  </w:style>
  <w:style w:type="paragraph" w:styleId="6">
    <w:name w:val="Body Text Indent 3"/>
    <w:basedOn w:val="1"/>
    <w:link w:val="16"/>
    <w:qFormat/>
    <w:uiPriority w:val="0"/>
    <w:pPr>
      <w:spacing w:after="120"/>
      <w:ind w:left="420" w:leftChars="200"/>
    </w:pPr>
    <w:rPr>
      <w:rFonts w:ascii="Times New Roman" w:hAnsi="Times New Roman" w:eastAsia="宋体" w:cs="Times New Roman"/>
      <w:sz w:val="16"/>
      <w:szCs w:val="16"/>
    </w:rPr>
  </w:style>
  <w:style w:type="paragraph" w:styleId="7">
    <w:name w:val="Body Text First Indent 2"/>
    <w:basedOn w:val="3"/>
    <w:link w:val="11"/>
    <w:qFormat/>
    <w:uiPriority w:val="0"/>
    <w:pPr>
      <w:ind w:firstLine="420" w:firstLineChars="200"/>
    </w:pPr>
    <w:rPr>
      <w:rFonts w:ascii="Times New Roman" w:hAnsi="Times New Roman" w:eastAsia="宋体" w:cs="Times New Roman"/>
      <w:szCs w:val="20"/>
    </w:rPr>
  </w:style>
  <w:style w:type="character" w:customStyle="1" w:styleId="10">
    <w:name w:val="正文文本缩进 字符"/>
    <w:basedOn w:val="9"/>
    <w:link w:val="3"/>
    <w:qFormat/>
    <w:uiPriority w:val="0"/>
    <w:rPr>
      <w:kern w:val="2"/>
      <w:sz w:val="21"/>
    </w:rPr>
  </w:style>
  <w:style w:type="character" w:customStyle="1" w:styleId="11">
    <w:name w:val="正文文本首行缩进 2 字符"/>
    <w:basedOn w:val="10"/>
    <w:link w:val="7"/>
    <w:qFormat/>
    <w:uiPriority w:val="0"/>
    <w:rPr>
      <w:kern w:val="2"/>
      <w:sz w:val="21"/>
    </w:rPr>
  </w:style>
  <w:style w:type="paragraph" w:customStyle="1" w:styleId="12">
    <w:name w:val="p0"/>
    <w:basedOn w:val="1"/>
    <w:qFormat/>
    <w:uiPriority w:val="0"/>
    <w:pPr>
      <w:widowControl/>
      <w:spacing w:line="360" w:lineRule="auto"/>
    </w:pPr>
    <w:rPr>
      <w:rFonts w:ascii="Calibri" w:hAnsi="Calibri" w:eastAsia="宋体" w:cs="Times New Roman"/>
      <w:kern w:val="0"/>
      <w:sz w:val="24"/>
      <w:szCs w:val="20"/>
    </w:rPr>
  </w:style>
  <w:style w:type="paragraph" w:customStyle="1" w:styleId="13">
    <w:name w:val="列表1"/>
    <w:basedOn w:val="1"/>
    <w:qFormat/>
    <w:uiPriority w:val="0"/>
    <w:pPr>
      <w:tabs>
        <w:tab w:val="left" w:pos="840"/>
      </w:tabs>
      <w:spacing w:line="360" w:lineRule="auto"/>
      <w:ind w:left="840" w:hanging="420"/>
    </w:pPr>
    <w:rPr>
      <w:rFonts w:ascii="Times New Roman" w:hAnsi="Times New Roman" w:eastAsia="仿宋_GB2312" w:cs="Times New Roman"/>
      <w:sz w:val="24"/>
    </w:rPr>
  </w:style>
  <w:style w:type="character" w:customStyle="1" w:styleId="14">
    <w:name w:val="正文文本 字符"/>
    <w:basedOn w:val="9"/>
    <w:link w:val="2"/>
    <w:qFormat/>
    <w:uiPriority w:val="0"/>
    <w:rPr>
      <w:kern w:val="2"/>
      <w:sz w:val="21"/>
    </w:rPr>
  </w:style>
  <w:style w:type="paragraph" w:customStyle="1" w:styleId="15">
    <w:name w:val="flNote"/>
    <w:basedOn w:val="1"/>
    <w:qFormat/>
    <w:uiPriority w:val="0"/>
    <w:pPr>
      <w:adjustRightInd w:val="0"/>
      <w:spacing w:before="320" w:after="160" w:line="360" w:lineRule="atLeast"/>
      <w:jc w:val="center"/>
    </w:pPr>
    <w:rPr>
      <w:rFonts w:ascii="Arial" w:hAnsi="Times New Roman" w:eastAsia="黑体" w:cs="Times New Roman"/>
      <w:kern w:val="0"/>
      <w:sz w:val="30"/>
      <w:szCs w:val="20"/>
    </w:rPr>
  </w:style>
  <w:style w:type="character" w:customStyle="1" w:styleId="16">
    <w:name w:val="正文文本缩进 3 字符"/>
    <w:basedOn w:val="9"/>
    <w:link w:val="6"/>
    <w:qFormat/>
    <w:uiPriority w:val="0"/>
    <w:rPr>
      <w:kern w:val="2"/>
      <w:sz w:val="16"/>
      <w:szCs w:val="16"/>
    </w:rPr>
  </w:style>
  <w:style w:type="character" w:customStyle="1" w:styleId="17">
    <w:name w:val="页眉 字符"/>
    <w:basedOn w:val="9"/>
    <w:link w:val="5"/>
    <w:qFormat/>
    <w:uiPriority w:val="0"/>
    <w:rPr>
      <w:rFonts w:asciiTheme="minorHAnsi" w:hAnsiTheme="minorHAnsi" w:eastAsiaTheme="minorEastAsia" w:cstheme="minorBidi"/>
      <w:kern w:val="2"/>
      <w:sz w:val="18"/>
      <w:szCs w:val="18"/>
    </w:rPr>
  </w:style>
  <w:style w:type="character" w:customStyle="1" w:styleId="18">
    <w:name w:val="页脚 字符"/>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3403</Words>
  <Characters>19398</Characters>
  <Lines>161</Lines>
  <Paragraphs>45</Paragraphs>
  <TotalTime>0</TotalTime>
  <ScaleCrop>false</ScaleCrop>
  <LinksUpToDate>false</LinksUpToDate>
  <CharactersWithSpaces>22756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2025-12-11T05:34:00Z</dcterms:created>
  <dc:creator>Administrator</dc:creator>
  <cp:lastModifiedBy>xjc</cp:lastModifiedBy>
  <dcterms:modified xsi:type="dcterms:W3CDTF">2026-01-06T06:25:28Z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AFFA99F4BB864CF1A436036F12FA93CA</vt:lpwstr>
  </property>
  <property fmtid="{D5CDD505-2E9C-101B-9397-08002B2CF9AE}" pid="4" name="KSOTemplateDocerSaveRecord">
    <vt:lpwstr>eyJoZGlkIjoiYjNkMDA2ZWRlNjk3NDgwZTY1NDVhZTYxZGIxMmRkZmUiLCJ1c2VySWQiOiI0Mjc2ODk5MDYifQ==</vt:lpwstr>
  </property>
</Properties>
</file>