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color w:val="auto"/>
          <w:sz w:val="44"/>
          <w:szCs w:val="44"/>
          <w:highlight w:val="none"/>
        </w:rPr>
      </w:pPr>
      <w:r>
        <w:rPr>
          <w:rFonts w:hint="eastAsia" w:ascii="宋体" w:hAnsi="宋体" w:cs="宋体"/>
          <w:color w:val="auto"/>
          <w:sz w:val="44"/>
          <w:szCs w:val="44"/>
          <w:highlight w:val="none"/>
          <w:lang w:val="en-US" w:eastAsia="zh-CN"/>
        </w:rPr>
        <w:t>中钞长城贵金属</w:t>
      </w:r>
      <w:r>
        <w:rPr>
          <w:rFonts w:hint="eastAsia" w:ascii="宋体" w:hAnsi="宋体" w:eastAsia="宋体" w:cs="宋体"/>
          <w:color w:val="auto"/>
          <w:sz w:val="44"/>
          <w:szCs w:val="44"/>
          <w:highlight w:val="none"/>
        </w:rPr>
        <w:t>有限公司A银行渠道服务商采购</w:t>
      </w:r>
      <w:r>
        <w:rPr>
          <w:rFonts w:hint="eastAsia" w:ascii="宋体" w:hAnsi="宋体" w:cs="宋体"/>
          <w:color w:val="auto"/>
          <w:sz w:val="44"/>
          <w:szCs w:val="44"/>
          <w:highlight w:val="none"/>
          <w:lang w:eastAsia="zh-CN"/>
        </w:rPr>
        <w:t>（</w:t>
      </w:r>
      <w:r>
        <w:rPr>
          <w:rFonts w:hint="eastAsia" w:ascii="宋体" w:hAnsi="宋体" w:eastAsia="宋体" w:cs="宋体"/>
          <w:color w:val="auto"/>
          <w:sz w:val="44"/>
          <w:szCs w:val="44"/>
          <w:highlight w:val="none"/>
        </w:rPr>
        <w:t>三年）项目采购需求</w:t>
      </w:r>
    </w:p>
    <w:p>
      <w:pPr>
        <w:spacing w:line="360" w:lineRule="auto"/>
        <w:ind w:firstLine="640" w:firstLineChars="200"/>
        <w:jc w:val="left"/>
        <w:outlineLvl w:val="1"/>
        <w:rPr>
          <w:rFonts w:hint="eastAsia" w:ascii="楷体" w:hAnsi="楷体" w:eastAsia="楷体"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pacing w:line="360" w:lineRule="auto"/>
        <w:ind w:firstLine="640" w:firstLineChars="200"/>
        <w:jc w:val="left"/>
        <w:textAlignment w:val="auto"/>
        <w:outlineLvl w:val="1"/>
        <w:rPr>
          <w:rFonts w:hint="default" w:ascii="楷体" w:hAnsi="楷体" w:eastAsia="楷体" w:cs="Times New Roman"/>
          <w:color w:val="auto"/>
          <w:sz w:val="32"/>
          <w:szCs w:val="32"/>
          <w:highlight w:val="none"/>
          <w:lang w:val="en-US" w:eastAsia="zh-CN"/>
        </w:rPr>
      </w:pPr>
      <w:r>
        <w:rPr>
          <w:rFonts w:hint="eastAsia" w:ascii="楷体" w:hAnsi="楷体" w:eastAsia="楷体" w:cs="Times New Roman"/>
          <w:color w:val="auto"/>
          <w:sz w:val="32"/>
          <w:szCs w:val="32"/>
          <w:highlight w:val="none"/>
          <w:lang w:val="en-US" w:eastAsia="zh-CN"/>
        </w:rPr>
        <w:t>一、项目基本信息</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 w:hAnsi="仿宋" w:eastAsia="仿宋" w:cs="Times New Roman"/>
          <w:sz w:val="32"/>
          <w:szCs w:val="32"/>
          <w:highlight w:val="none"/>
          <w:lang w:val="en-US" w:eastAsia="zh-CN"/>
        </w:rPr>
      </w:pPr>
      <w:r>
        <w:rPr>
          <w:rFonts w:hint="eastAsia" w:ascii="仿宋" w:hAnsi="仿宋" w:eastAsia="仿宋" w:cs="Times New Roman"/>
          <w:sz w:val="32"/>
          <w:szCs w:val="32"/>
          <w:highlight w:val="none"/>
          <w:lang w:val="en-US" w:eastAsia="zh-CN"/>
        </w:rPr>
        <w:t>本项目为非政府采购项目，采购标的类型为服务，拟采用公开招标方式采购，供应商资格条件如下：</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ascii="仿宋" w:hAnsi="仿宋" w:eastAsia="仿宋" w:cs="Times New Roman"/>
          <w:sz w:val="32"/>
          <w:szCs w:val="32"/>
        </w:rPr>
      </w:pPr>
      <w:r>
        <w:rPr>
          <w:rFonts w:hint="eastAsia" w:ascii="仿宋" w:hAnsi="仿宋" w:eastAsia="仿宋" w:cs="Times New Roman"/>
          <w:sz w:val="32"/>
          <w:szCs w:val="32"/>
        </w:rPr>
        <w:t>（</w:t>
      </w:r>
      <w:r>
        <w:rPr>
          <w:rFonts w:hint="eastAsia" w:ascii="仿宋" w:hAnsi="仿宋" w:eastAsia="仿宋" w:cs="Times New Roman"/>
          <w:sz w:val="32"/>
          <w:szCs w:val="32"/>
          <w:lang w:val="zh-CN"/>
        </w:rPr>
        <w:t>一</w:t>
      </w:r>
      <w:r>
        <w:rPr>
          <w:rFonts w:hint="eastAsia" w:ascii="仿宋" w:hAnsi="仿宋" w:eastAsia="仿宋" w:cs="Times New Roman"/>
          <w:sz w:val="32"/>
          <w:szCs w:val="32"/>
        </w:rPr>
        <w:t>）</w:t>
      </w:r>
      <w:r>
        <w:rPr>
          <w:rFonts w:hint="eastAsia" w:ascii="仿宋" w:hAnsi="仿宋" w:eastAsia="仿宋" w:cs="Times New Roman"/>
          <w:sz w:val="32"/>
          <w:szCs w:val="32"/>
          <w:lang w:val="zh-CN"/>
        </w:rPr>
        <w:t>信用核查</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ascii="仿宋" w:hAnsi="仿宋" w:eastAsia="仿宋" w:cs="Times New Roman"/>
          <w:sz w:val="32"/>
          <w:szCs w:val="32"/>
        </w:rPr>
      </w:pPr>
      <w:r>
        <w:rPr>
          <w:rFonts w:hint="eastAsia" w:ascii="仿宋" w:hAnsi="仿宋" w:eastAsia="仿宋" w:cs="Times New Roman"/>
          <w:sz w:val="32"/>
          <w:szCs w:val="32"/>
          <w:lang w:val="zh-CN"/>
        </w:rPr>
        <w:t>必须为未被列入信用中国网站</w:t>
      </w:r>
      <w:r>
        <w:rPr>
          <w:rFonts w:hint="eastAsia" w:ascii="仿宋" w:hAnsi="仿宋" w:eastAsia="仿宋" w:cs="Times New Roman"/>
          <w:sz w:val="32"/>
          <w:szCs w:val="32"/>
        </w:rPr>
        <w:t>(www.creditchina.gov.cn)</w:t>
      </w:r>
      <w:r>
        <w:rPr>
          <w:rFonts w:hint="eastAsia" w:ascii="仿宋" w:hAnsi="仿宋" w:eastAsia="仿宋" w:cs="Times New Roman"/>
          <w:sz w:val="32"/>
          <w:szCs w:val="32"/>
          <w:lang w:val="zh-CN"/>
        </w:rPr>
        <w:t>、中国政府采购网</w:t>
      </w:r>
      <w:r>
        <w:rPr>
          <w:rFonts w:hint="eastAsia" w:ascii="仿宋" w:hAnsi="仿宋" w:eastAsia="仿宋" w:cs="Times New Roman"/>
          <w:sz w:val="32"/>
          <w:szCs w:val="32"/>
        </w:rPr>
        <w:t>(www.ccgp.gov.cn)</w:t>
      </w:r>
      <w:r>
        <w:rPr>
          <w:rFonts w:hint="eastAsia" w:ascii="仿宋" w:hAnsi="仿宋" w:eastAsia="仿宋" w:cs="Times New Roman"/>
          <w:sz w:val="32"/>
          <w:szCs w:val="32"/>
          <w:lang w:val="zh-CN"/>
        </w:rPr>
        <w:t>渠道信用记录失信被执行人、重大税收违法案件当事人名单、政府采购严重违法失信行为记录名单的投标人</w:t>
      </w:r>
      <w:r>
        <w:rPr>
          <w:rFonts w:hint="eastAsia" w:ascii="仿宋" w:hAnsi="仿宋" w:eastAsia="仿宋" w:cs="Times New Roman"/>
          <w:sz w:val="32"/>
          <w:szCs w:val="32"/>
        </w:rPr>
        <w:t>，</w:t>
      </w:r>
      <w:r>
        <w:rPr>
          <w:rFonts w:hint="eastAsia" w:ascii="仿宋" w:hAnsi="仿宋" w:eastAsia="仿宋" w:cs="Times New Roman"/>
          <w:sz w:val="32"/>
          <w:szCs w:val="32"/>
          <w:lang w:val="zh-CN"/>
        </w:rPr>
        <w:t>否则其投标将被拒绝。</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ascii="仿宋" w:hAnsi="仿宋" w:eastAsia="仿宋" w:cs="Times New Roman"/>
          <w:sz w:val="32"/>
          <w:szCs w:val="32"/>
          <w:lang w:val="zh-CN"/>
        </w:rPr>
      </w:pPr>
      <w:r>
        <w:rPr>
          <w:rFonts w:hint="eastAsia" w:ascii="仿宋" w:hAnsi="仿宋" w:eastAsia="仿宋" w:cs="Times New Roman"/>
          <w:sz w:val="32"/>
          <w:szCs w:val="32"/>
          <w:lang w:val="zh-CN"/>
        </w:rPr>
        <w:t>（二）符合《中华人民共和国政府采购法》第二十二条的规定,投标人必须在投标文件中提供下述资格证明文件，否则按无效投标处理：</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ascii="仿宋" w:hAnsi="仿宋" w:eastAsia="仿宋" w:cs="Times New Roman"/>
          <w:sz w:val="32"/>
          <w:szCs w:val="32"/>
          <w:lang w:val="zh-CN"/>
        </w:rPr>
      </w:pPr>
      <w:r>
        <w:rPr>
          <w:rFonts w:hint="eastAsia" w:ascii="仿宋" w:hAnsi="仿宋" w:eastAsia="仿宋" w:cs="Times New Roman"/>
          <w:sz w:val="32"/>
          <w:szCs w:val="32"/>
          <w:lang w:val="zh-CN"/>
        </w:rPr>
        <w:t>1、法人或者其他组织的营业执照等证明文件，自然人的身份证明；</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ascii="仿宋" w:hAnsi="仿宋" w:eastAsia="仿宋" w:cs="Times New Roman"/>
          <w:sz w:val="32"/>
          <w:szCs w:val="32"/>
          <w:lang w:val="zh-CN"/>
        </w:rPr>
      </w:pPr>
      <w:r>
        <w:rPr>
          <w:rFonts w:hint="eastAsia" w:ascii="仿宋" w:hAnsi="仿宋" w:eastAsia="仿宋" w:cs="Times New Roman"/>
          <w:sz w:val="32"/>
          <w:szCs w:val="32"/>
          <w:lang w:val="zh-CN"/>
        </w:rPr>
        <w:t>2、财务状况报告，依法缴纳税收和社会保障资金的相关材料；(供应商应提供书面承诺)</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ascii="仿宋" w:hAnsi="仿宋" w:eastAsia="仿宋" w:cs="Times New Roman"/>
          <w:sz w:val="32"/>
          <w:szCs w:val="32"/>
          <w:lang w:val="zh-CN"/>
        </w:rPr>
      </w:pPr>
      <w:r>
        <w:rPr>
          <w:rFonts w:hint="eastAsia" w:ascii="仿宋" w:hAnsi="仿宋" w:eastAsia="仿宋" w:cs="Times New Roman"/>
          <w:sz w:val="32"/>
          <w:szCs w:val="32"/>
          <w:lang w:val="zh-CN"/>
        </w:rPr>
        <w:t>3、具备履行合同所必需的设备和专业技术能力的证明材料；(供应商应提供书面承诺)</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ascii="仿宋" w:hAnsi="仿宋" w:eastAsia="仿宋" w:cs="Times New Roman"/>
          <w:sz w:val="32"/>
          <w:szCs w:val="32"/>
          <w:lang w:val="zh-CN"/>
        </w:rPr>
      </w:pPr>
      <w:r>
        <w:rPr>
          <w:rFonts w:hint="eastAsia" w:ascii="仿宋" w:hAnsi="仿宋" w:eastAsia="仿宋" w:cs="Times New Roman"/>
          <w:sz w:val="32"/>
          <w:szCs w:val="32"/>
          <w:lang w:val="zh-CN"/>
        </w:rPr>
        <w:t>4、参加政府采购活动前3年内在经营活动中没有重大违法记录的书面声明；(供应商应提供书面承诺)</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ascii="仿宋" w:hAnsi="仿宋" w:eastAsia="仿宋" w:cs="Times New Roman"/>
          <w:sz w:val="32"/>
          <w:szCs w:val="32"/>
          <w:lang w:val="zh-CN"/>
        </w:rPr>
      </w:pPr>
      <w:r>
        <w:rPr>
          <w:rFonts w:hint="eastAsia" w:ascii="仿宋" w:hAnsi="仿宋" w:eastAsia="仿宋" w:cs="Times New Roman"/>
          <w:sz w:val="32"/>
          <w:szCs w:val="32"/>
          <w:lang w:val="zh-CN"/>
        </w:rPr>
        <w:t>5、具备法律、行政法规规定的其他条件的证明材料。</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ascii="仿宋" w:hAnsi="仿宋" w:eastAsia="仿宋" w:cs="Times New Roman"/>
          <w:sz w:val="32"/>
          <w:szCs w:val="32"/>
          <w:lang w:val="zh-CN"/>
        </w:rPr>
      </w:pPr>
      <w:r>
        <w:rPr>
          <w:rFonts w:hint="eastAsia" w:ascii="仿宋" w:hAnsi="仿宋" w:eastAsia="仿宋" w:cs="Times New Roman"/>
          <w:sz w:val="32"/>
          <w:szCs w:val="32"/>
          <w:lang w:val="zh-CN"/>
        </w:rPr>
        <w:t>（以上均为《中华人民共和国政府采购法实施条例》第十七条之规定）</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outlineLvl w:val="1"/>
        <w:rPr>
          <w:rFonts w:hint="default" w:ascii="楷体" w:hAnsi="楷体" w:eastAsia="楷体" w:cs="Times New Roman"/>
          <w:color w:val="auto"/>
          <w:sz w:val="32"/>
          <w:szCs w:val="32"/>
          <w:highlight w:val="none"/>
          <w:lang w:val="en-US" w:eastAsia="zh-CN"/>
        </w:rPr>
      </w:pPr>
      <w:r>
        <w:rPr>
          <w:rFonts w:hint="eastAsia" w:ascii="楷体" w:hAnsi="楷体" w:eastAsia="楷体" w:cs="Times New Roman"/>
          <w:color w:val="auto"/>
          <w:sz w:val="32"/>
          <w:szCs w:val="32"/>
          <w:highlight w:val="none"/>
          <w:lang w:val="en-US" w:eastAsia="zh-CN"/>
        </w:rPr>
        <w:t>二、采购需求</w:t>
      </w:r>
    </w:p>
    <w:p>
      <w:pPr>
        <w:keepNext w:val="0"/>
        <w:keepLines w:val="0"/>
        <w:pageBreakBefore w:val="0"/>
        <w:widowControl w:val="0"/>
        <w:kinsoku/>
        <w:wordWrap/>
        <w:overflowPunct/>
        <w:topLinePunct w:val="0"/>
        <w:autoSpaceDE/>
        <w:autoSpaceDN/>
        <w:bidi w:val="0"/>
        <w:adjustRightInd/>
        <w:spacing w:line="360" w:lineRule="auto"/>
        <w:ind w:firstLine="640" w:firstLineChars="200"/>
        <w:jc w:val="left"/>
        <w:textAlignment w:val="auto"/>
        <w:outlineLvl w:val="1"/>
        <w:rPr>
          <w:rFonts w:hint="default" w:ascii="楷体" w:hAnsi="楷体" w:eastAsia="楷体" w:cs="Times New Roman"/>
          <w:color w:val="auto"/>
          <w:sz w:val="32"/>
          <w:szCs w:val="32"/>
          <w:highlight w:val="none"/>
          <w:lang w:val="en-US" w:eastAsia="zh-CN"/>
        </w:rPr>
      </w:pPr>
      <w:r>
        <w:rPr>
          <w:rFonts w:hint="eastAsia" w:ascii="楷体" w:hAnsi="楷体" w:eastAsia="楷体" w:cs="Times New Roman"/>
          <w:color w:val="auto"/>
          <w:sz w:val="32"/>
          <w:szCs w:val="32"/>
          <w:highlight w:val="none"/>
          <w:lang w:val="en-US" w:eastAsia="zh-CN"/>
        </w:rPr>
        <w:t>（一）项目内容</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 w:hAnsi="仿宋" w:eastAsia="仿宋" w:cs="Times New Roman"/>
          <w:sz w:val="32"/>
          <w:szCs w:val="32"/>
          <w:lang w:val="zh-CN"/>
        </w:rPr>
      </w:pPr>
      <w:r>
        <w:rPr>
          <w:rFonts w:hint="eastAsia" w:ascii="仿宋" w:hAnsi="仿宋" w:eastAsia="仿宋" w:cs="Times New Roman"/>
          <w:sz w:val="32"/>
          <w:szCs w:val="32"/>
          <w:lang w:val="zh-CN" w:eastAsia="zh-CN"/>
        </w:rPr>
        <w:t>中钞长城贵金属有限公司</w:t>
      </w:r>
      <w:r>
        <w:rPr>
          <w:rFonts w:hint="eastAsia" w:ascii="仿宋" w:hAnsi="仿宋" w:eastAsia="仿宋" w:cs="Times New Roman"/>
          <w:sz w:val="32"/>
          <w:szCs w:val="32"/>
          <w:lang w:val="zh-CN"/>
        </w:rPr>
        <w:t>拟在A银行开展实物贵金属销售业务，该银行有柜面、手机银行等销售方式，覆盖全国约15000个网点。预计</w:t>
      </w:r>
      <w:r>
        <w:rPr>
          <w:rFonts w:hint="eastAsia" w:ascii="仿宋" w:hAnsi="仿宋" w:eastAsia="仿宋" w:cs="Times New Roman"/>
          <w:sz w:val="32"/>
          <w:szCs w:val="32"/>
          <w:lang w:val="zh-CN" w:eastAsia="zh-CN"/>
        </w:rPr>
        <w:t>中钞长城贵金属有限公司</w:t>
      </w:r>
      <w:r>
        <w:rPr>
          <w:rFonts w:hint="eastAsia" w:ascii="仿宋" w:hAnsi="仿宋" w:eastAsia="仿宋" w:cs="Times New Roman"/>
          <w:sz w:val="32"/>
          <w:szCs w:val="32"/>
          <w:lang w:val="zh-CN"/>
        </w:rPr>
        <w:t>在该银行的年销售收入目标不低于10亿元。现拟针对A银行采购服务商，服务方需配合</w:t>
      </w:r>
      <w:r>
        <w:rPr>
          <w:rFonts w:hint="eastAsia" w:ascii="仿宋" w:hAnsi="仿宋" w:eastAsia="仿宋" w:cs="Times New Roman"/>
          <w:sz w:val="32"/>
          <w:szCs w:val="32"/>
          <w:lang w:val="zh-CN" w:eastAsia="zh-CN"/>
        </w:rPr>
        <w:t>中钞长城贵金属有限公司</w:t>
      </w:r>
      <w:r>
        <w:rPr>
          <w:rFonts w:hint="eastAsia" w:ascii="仿宋" w:hAnsi="仿宋" w:eastAsia="仿宋" w:cs="Times New Roman"/>
          <w:sz w:val="32"/>
          <w:szCs w:val="32"/>
          <w:lang w:val="zh-CN"/>
        </w:rPr>
        <w:t>开展银行渠道产品研发、IP资源获取、项目申报及竞争、营销方案策划、销售队伍组建并完成具体销售工作，提供相应的营销物料、产品</w:t>
      </w:r>
      <w:r>
        <w:rPr>
          <w:rFonts w:hint="eastAsia" w:ascii="仿宋" w:hAnsi="仿宋" w:eastAsia="仿宋" w:cs="Times New Roman"/>
          <w:sz w:val="32"/>
          <w:szCs w:val="32"/>
          <w:lang w:val="zh-CN" w:eastAsia="zh-CN"/>
        </w:rPr>
        <w:t>包装辅材</w:t>
      </w:r>
      <w:r>
        <w:rPr>
          <w:rFonts w:hint="eastAsia" w:ascii="仿宋" w:hAnsi="仿宋" w:eastAsia="仿宋" w:cs="Times New Roman"/>
          <w:sz w:val="32"/>
          <w:szCs w:val="32"/>
          <w:lang w:val="zh-CN"/>
        </w:rPr>
        <w:t>、完成预期销售目标。</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default" w:ascii="仿宋" w:hAnsi="仿宋" w:eastAsia="仿宋" w:cs="Times New Roman"/>
          <w:sz w:val="32"/>
          <w:szCs w:val="32"/>
          <w:lang w:val="en-US" w:eastAsia="zh-CN"/>
        </w:rPr>
      </w:pPr>
      <w:r>
        <w:rPr>
          <w:rFonts w:hint="eastAsia" w:ascii="仿宋" w:hAnsi="仿宋" w:eastAsia="仿宋" w:cs="Times New Roman"/>
          <w:sz w:val="32"/>
          <w:szCs w:val="32"/>
          <w:lang w:val="en-US" w:eastAsia="zh-CN"/>
        </w:rPr>
        <w:t>服务期：三年。</w:t>
      </w:r>
    </w:p>
    <w:p>
      <w:pPr>
        <w:keepNext w:val="0"/>
        <w:keepLines w:val="0"/>
        <w:pageBreakBefore w:val="0"/>
        <w:widowControl w:val="0"/>
        <w:kinsoku/>
        <w:wordWrap/>
        <w:overflowPunct/>
        <w:topLinePunct w:val="0"/>
        <w:autoSpaceDE/>
        <w:autoSpaceDN/>
        <w:bidi w:val="0"/>
        <w:adjustRightInd/>
        <w:spacing w:line="360" w:lineRule="auto"/>
        <w:ind w:firstLine="640" w:firstLineChars="200"/>
        <w:jc w:val="left"/>
        <w:textAlignment w:val="auto"/>
        <w:outlineLvl w:val="1"/>
        <w:rPr>
          <w:rFonts w:hint="eastAsia" w:ascii="楷体" w:hAnsi="楷体" w:eastAsia="楷体" w:cs="Times New Roman"/>
          <w:color w:val="auto"/>
          <w:sz w:val="32"/>
          <w:szCs w:val="32"/>
          <w:highlight w:val="none"/>
          <w:lang w:val="zh-CN" w:eastAsia="zh-CN"/>
        </w:rPr>
      </w:pPr>
      <w:r>
        <w:rPr>
          <w:rFonts w:hint="eastAsia" w:ascii="楷体" w:hAnsi="楷体" w:eastAsia="楷体" w:cs="Times New Roman"/>
          <w:color w:val="auto"/>
          <w:sz w:val="32"/>
          <w:szCs w:val="32"/>
          <w:highlight w:val="none"/>
          <w:lang w:val="en-US" w:eastAsia="zh-CN"/>
        </w:rPr>
        <w:t>（二）项目</w:t>
      </w:r>
      <w:r>
        <w:rPr>
          <w:rFonts w:hint="eastAsia" w:ascii="楷体" w:hAnsi="楷体" w:eastAsia="楷体" w:cs="Times New Roman"/>
          <w:color w:val="auto"/>
          <w:sz w:val="32"/>
          <w:szCs w:val="32"/>
          <w:highlight w:val="none"/>
          <w:lang w:val="zh-CN" w:eastAsia="zh-CN"/>
        </w:rPr>
        <w:t>需求部门</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60" w:lineRule="exact"/>
        <w:ind w:firstLine="640" w:firstLineChars="200"/>
        <w:jc w:val="left"/>
        <w:textAlignment w:val="auto"/>
        <w:rPr>
          <w:rFonts w:hint="default" w:ascii="仿宋" w:hAnsi="仿宋" w:eastAsia="仿宋" w:cs="Times New Roman"/>
          <w:color w:val="auto"/>
          <w:sz w:val="32"/>
          <w:szCs w:val="32"/>
          <w:highlight w:val="none"/>
          <w:lang w:val="en-US"/>
        </w:rPr>
      </w:pPr>
      <w:r>
        <w:rPr>
          <w:rFonts w:hint="eastAsia" w:ascii="仿宋" w:hAnsi="仿宋" w:eastAsia="仿宋" w:cs="Times New Roman"/>
          <w:color w:val="auto"/>
          <w:sz w:val="32"/>
          <w:szCs w:val="32"/>
          <w:highlight w:val="none"/>
          <w:lang w:val="zh-CN"/>
        </w:rPr>
        <w:t>需求部门</w:t>
      </w:r>
      <w:r>
        <w:rPr>
          <w:rFonts w:hint="eastAsia" w:ascii="仿宋" w:hAnsi="仿宋" w:eastAsia="仿宋" w:cs="Times New Roman"/>
          <w:color w:val="auto"/>
          <w:sz w:val="32"/>
          <w:szCs w:val="32"/>
          <w:highlight w:val="none"/>
          <w:lang w:val="zh-CN" w:eastAsia="zh-CN"/>
        </w:rPr>
        <w:t>：</w:t>
      </w:r>
      <w:r>
        <w:rPr>
          <w:rFonts w:hint="eastAsia" w:ascii="仿宋" w:hAnsi="仿宋" w:eastAsia="仿宋" w:cs="Times New Roman"/>
          <w:color w:val="auto"/>
          <w:sz w:val="32"/>
          <w:szCs w:val="32"/>
          <w:highlight w:val="none"/>
          <w:lang w:val="en-US" w:eastAsia="zh-CN"/>
        </w:rPr>
        <w:t>中钞长城贵金属有限公司</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outlineLvl w:val="1"/>
        <w:rPr>
          <w:rFonts w:hint="default" w:ascii="楷体" w:hAnsi="楷体" w:eastAsia="楷体" w:cs="Times New Roman"/>
          <w:color w:val="auto"/>
          <w:sz w:val="32"/>
          <w:szCs w:val="32"/>
          <w:highlight w:val="none"/>
          <w:lang w:val="en-US" w:eastAsia="zh-CN"/>
        </w:rPr>
      </w:pPr>
      <w:r>
        <w:rPr>
          <w:rFonts w:hint="eastAsia" w:ascii="楷体" w:hAnsi="楷体" w:eastAsia="楷体" w:cs="Times New Roman"/>
          <w:color w:val="auto"/>
          <w:sz w:val="32"/>
          <w:szCs w:val="32"/>
          <w:highlight w:val="none"/>
          <w:lang w:val="en-US" w:eastAsia="zh-CN"/>
        </w:rPr>
        <w:t>（三）采购标的汇总表</w:t>
      </w:r>
    </w:p>
    <w:tbl>
      <w:tblPr>
        <w:tblStyle w:val="16"/>
        <w:tblW w:w="8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160"/>
        <w:gridCol w:w="1728"/>
        <w:gridCol w:w="1463"/>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jc w:val="center"/>
        </w:trPr>
        <w:tc>
          <w:tcPr>
            <w:tcW w:w="1036" w:type="dxa"/>
            <w:vAlign w:val="center"/>
          </w:tcPr>
          <w:p>
            <w:pPr>
              <w:spacing w:line="560" w:lineRule="exact"/>
              <w:jc w:val="center"/>
              <w:rPr>
                <w:rFonts w:ascii="仿宋" w:hAnsi="仿宋" w:eastAsia="仿宋" w:cs="Times New Roman"/>
                <w:b/>
                <w:sz w:val="28"/>
                <w:szCs w:val="28"/>
              </w:rPr>
            </w:pPr>
            <w:r>
              <w:rPr>
                <w:rFonts w:hint="eastAsia" w:ascii="仿宋" w:hAnsi="仿宋" w:eastAsia="仿宋" w:cs="Times New Roman"/>
                <w:b/>
                <w:sz w:val="28"/>
                <w:szCs w:val="28"/>
              </w:rPr>
              <w:t>序号</w:t>
            </w:r>
          </w:p>
        </w:tc>
        <w:tc>
          <w:tcPr>
            <w:tcW w:w="3160" w:type="dxa"/>
            <w:vAlign w:val="center"/>
          </w:tcPr>
          <w:p>
            <w:pPr>
              <w:spacing w:line="560" w:lineRule="exact"/>
              <w:jc w:val="center"/>
              <w:rPr>
                <w:rFonts w:ascii="仿宋" w:hAnsi="仿宋" w:eastAsia="仿宋" w:cs="Times New Roman"/>
                <w:b/>
                <w:sz w:val="28"/>
                <w:szCs w:val="28"/>
              </w:rPr>
            </w:pPr>
            <w:r>
              <w:rPr>
                <w:rFonts w:hint="eastAsia" w:ascii="仿宋" w:hAnsi="仿宋" w:eastAsia="仿宋" w:cs="Times New Roman"/>
                <w:b/>
                <w:sz w:val="28"/>
                <w:szCs w:val="28"/>
              </w:rPr>
              <w:t>标的名称</w:t>
            </w:r>
          </w:p>
        </w:tc>
        <w:tc>
          <w:tcPr>
            <w:tcW w:w="1728" w:type="dxa"/>
            <w:vAlign w:val="center"/>
          </w:tcPr>
          <w:p>
            <w:pPr>
              <w:spacing w:line="560" w:lineRule="exact"/>
              <w:jc w:val="center"/>
              <w:rPr>
                <w:rFonts w:ascii="仿宋" w:hAnsi="仿宋" w:eastAsia="仿宋" w:cs="Times New Roman"/>
                <w:b/>
                <w:sz w:val="28"/>
                <w:szCs w:val="28"/>
              </w:rPr>
            </w:pPr>
            <w:r>
              <w:rPr>
                <w:rFonts w:hint="eastAsia" w:ascii="仿宋" w:hAnsi="仿宋" w:eastAsia="仿宋" w:cs="Times New Roman"/>
                <w:b/>
                <w:sz w:val="28"/>
                <w:szCs w:val="28"/>
              </w:rPr>
              <w:t>品目</w:t>
            </w:r>
          </w:p>
          <w:p>
            <w:pPr>
              <w:spacing w:line="560" w:lineRule="exact"/>
              <w:jc w:val="center"/>
              <w:rPr>
                <w:rFonts w:ascii="仿宋" w:hAnsi="仿宋" w:eastAsia="仿宋" w:cs="Times New Roman"/>
                <w:b/>
                <w:sz w:val="28"/>
                <w:szCs w:val="28"/>
              </w:rPr>
            </w:pPr>
            <w:r>
              <w:rPr>
                <w:rFonts w:hint="eastAsia" w:ascii="仿宋" w:hAnsi="仿宋" w:eastAsia="仿宋" w:cs="Times New Roman"/>
                <w:b/>
                <w:sz w:val="28"/>
                <w:szCs w:val="28"/>
              </w:rPr>
              <w:t>分类编码</w:t>
            </w:r>
          </w:p>
        </w:tc>
        <w:tc>
          <w:tcPr>
            <w:tcW w:w="1463" w:type="dxa"/>
            <w:vAlign w:val="center"/>
          </w:tcPr>
          <w:p>
            <w:pPr>
              <w:spacing w:line="560" w:lineRule="exact"/>
              <w:jc w:val="center"/>
              <w:rPr>
                <w:rFonts w:ascii="仿宋" w:hAnsi="仿宋" w:eastAsia="仿宋" w:cs="Times New Roman"/>
                <w:b/>
                <w:sz w:val="28"/>
                <w:szCs w:val="28"/>
              </w:rPr>
            </w:pPr>
            <w:r>
              <w:rPr>
                <w:rFonts w:hint="eastAsia" w:ascii="仿宋" w:hAnsi="仿宋" w:eastAsia="仿宋" w:cs="Times New Roman"/>
                <w:b/>
                <w:sz w:val="28"/>
                <w:szCs w:val="28"/>
              </w:rPr>
              <w:t>计量</w:t>
            </w:r>
          </w:p>
          <w:p>
            <w:pPr>
              <w:spacing w:line="560" w:lineRule="exact"/>
              <w:jc w:val="center"/>
              <w:rPr>
                <w:rFonts w:ascii="仿宋" w:hAnsi="仿宋" w:eastAsia="仿宋" w:cs="Times New Roman"/>
                <w:b/>
                <w:sz w:val="28"/>
                <w:szCs w:val="28"/>
              </w:rPr>
            </w:pPr>
            <w:r>
              <w:rPr>
                <w:rFonts w:hint="eastAsia" w:ascii="仿宋" w:hAnsi="仿宋" w:eastAsia="仿宋" w:cs="Times New Roman"/>
                <w:b/>
                <w:sz w:val="28"/>
                <w:szCs w:val="28"/>
              </w:rPr>
              <w:t>单位</w:t>
            </w:r>
          </w:p>
        </w:tc>
        <w:tc>
          <w:tcPr>
            <w:tcW w:w="1587" w:type="dxa"/>
            <w:vAlign w:val="center"/>
          </w:tcPr>
          <w:p>
            <w:pPr>
              <w:spacing w:line="560" w:lineRule="exact"/>
              <w:jc w:val="center"/>
              <w:rPr>
                <w:rFonts w:ascii="仿宋" w:hAnsi="仿宋" w:eastAsia="仿宋" w:cs="Times New Roman"/>
                <w:b/>
                <w:sz w:val="28"/>
                <w:szCs w:val="28"/>
              </w:rPr>
            </w:pPr>
            <w:r>
              <w:rPr>
                <w:rFonts w:hint="eastAsia" w:ascii="仿宋" w:hAnsi="仿宋" w:eastAsia="仿宋" w:cs="Times New Roman"/>
                <w:b/>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3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 w:hAnsi="仿宋" w:eastAsia="仿宋" w:cs="Times New Roman"/>
                <w:sz w:val="28"/>
                <w:szCs w:val="28"/>
              </w:rPr>
            </w:pPr>
            <w:r>
              <w:rPr>
                <w:rFonts w:hint="eastAsia" w:ascii="仿宋" w:hAnsi="仿宋" w:eastAsia="仿宋" w:cs="Times New Roman"/>
                <w:sz w:val="28"/>
                <w:szCs w:val="28"/>
              </w:rPr>
              <w:t>1</w:t>
            </w:r>
          </w:p>
        </w:tc>
        <w:tc>
          <w:tcPr>
            <w:tcW w:w="31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Times New Roman"/>
                <w:i/>
                <w:sz w:val="28"/>
                <w:szCs w:val="28"/>
                <w:u w:val="single"/>
                <w:lang w:val="en-US" w:eastAsia="zh-CN"/>
              </w:rPr>
            </w:pPr>
            <w:r>
              <w:rPr>
                <w:rFonts w:hint="default" w:ascii="仿宋" w:hAnsi="仿宋" w:eastAsia="仿宋"/>
                <w:iCs/>
                <w:sz w:val="28"/>
                <w:szCs w:val="28"/>
                <w:lang w:val="en-US"/>
              </w:rPr>
              <w:t>A</w:t>
            </w:r>
            <w:r>
              <w:rPr>
                <w:rFonts w:hint="eastAsia" w:ascii="仿宋" w:hAnsi="仿宋" w:eastAsia="仿宋"/>
                <w:iCs/>
                <w:sz w:val="28"/>
                <w:szCs w:val="28"/>
                <w:lang w:val="en-US" w:eastAsia="zh-CN"/>
              </w:rPr>
              <w:t>银行渠道服务商</w:t>
            </w:r>
          </w:p>
        </w:tc>
        <w:tc>
          <w:tcPr>
            <w:tcW w:w="17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sz w:val="28"/>
                <w:szCs w:val="28"/>
                <w:lang w:val="en-US" w:eastAsia="zh-CN"/>
              </w:rPr>
            </w:pPr>
            <w:r>
              <w:rPr>
                <w:rFonts w:hint="eastAsia" w:ascii="仿宋" w:hAnsi="仿宋" w:eastAsia="仿宋"/>
                <w:sz w:val="28"/>
                <w:szCs w:val="28"/>
              </w:rPr>
              <w:t>C23000000</w:t>
            </w:r>
          </w:p>
        </w:tc>
        <w:tc>
          <w:tcPr>
            <w:tcW w:w="146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项</w:t>
            </w:r>
          </w:p>
        </w:tc>
        <w:tc>
          <w:tcPr>
            <w:tcW w:w="15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1</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left"/>
        <w:textAlignment w:val="auto"/>
        <w:outlineLvl w:val="1"/>
        <w:rPr>
          <w:rFonts w:hint="eastAsia" w:ascii="楷体" w:hAnsi="楷体" w:eastAsia="楷体" w:cs="Times New Roman"/>
          <w:color w:val="auto"/>
          <w:sz w:val="32"/>
          <w:szCs w:val="32"/>
          <w:highlight w:val="none"/>
          <w:lang w:val="en-US" w:eastAsia="zh-CN"/>
        </w:rPr>
      </w:pPr>
      <w:r>
        <w:rPr>
          <w:rFonts w:hint="eastAsia" w:ascii="楷体" w:hAnsi="楷体" w:eastAsia="楷体" w:cs="Times New Roman"/>
          <w:color w:val="auto"/>
          <w:sz w:val="32"/>
          <w:szCs w:val="32"/>
          <w:highlight w:val="none"/>
          <w:lang w:val="en-US" w:eastAsia="zh-CN"/>
        </w:rPr>
        <w:t>三、技术要求</w:t>
      </w:r>
    </w:p>
    <w:p>
      <w:pPr>
        <w:spacing w:line="360" w:lineRule="auto"/>
        <w:ind w:firstLine="640" w:firstLineChars="200"/>
        <w:rPr>
          <w:rFonts w:hint="eastAsia" w:ascii="仿宋" w:hAnsi="仿宋" w:eastAsia="仿宋" w:cs="Times New Roman"/>
          <w:iCs/>
          <w:sz w:val="32"/>
          <w:szCs w:val="32"/>
        </w:rPr>
      </w:pPr>
      <w:r>
        <w:rPr>
          <w:rFonts w:hint="eastAsia" w:ascii="仿宋" w:hAnsi="仿宋" w:eastAsia="仿宋" w:cs="Times New Roman"/>
          <w:iCs/>
          <w:sz w:val="32"/>
          <w:szCs w:val="32"/>
        </w:rPr>
        <w:t>本技术要求</w:t>
      </w:r>
      <w:r>
        <w:rPr>
          <w:rFonts w:ascii="仿宋" w:hAnsi="仿宋" w:eastAsia="仿宋" w:cs="Times New Roman"/>
          <w:iCs/>
          <w:sz w:val="32"/>
          <w:szCs w:val="32"/>
        </w:rPr>
        <w:t>共有“</w:t>
      </w:r>
      <w:r>
        <w:rPr>
          <w:rFonts w:hint="eastAsia" w:ascii="仿宋" w:hAnsi="仿宋" w:eastAsia="仿宋" w:cs="Times New Roman"/>
          <w:iCs/>
          <w:sz w:val="32"/>
          <w:szCs w:val="32"/>
        </w:rPr>
        <w:t>★</w:t>
      </w:r>
      <w:r>
        <w:rPr>
          <w:rFonts w:ascii="仿宋" w:hAnsi="仿宋" w:eastAsia="仿宋" w:cs="Times New Roman"/>
          <w:iCs/>
          <w:sz w:val="32"/>
          <w:szCs w:val="32"/>
        </w:rPr>
        <w:t>”</w:t>
      </w:r>
      <w:r>
        <w:rPr>
          <w:rFonts w:hint="eastAsia" w:ascii="仿宋" w:hAnsi="仿宋" w:eastAsia="仿宋" w:cs="Times New Roman"/>
          <w:iCs/>
          <w:sz w:val="32"/>
          <w:szCs w:val="32"/>
        </w:rPr>
        <w:t>指标</w:t>
      </w:r>
      <w:r>
        <w:rPr>
          <w:rFonts w:hint="eastAsia" w:ascii="仿宋" w:hAnsi="仿宋" w:eastAsia="仿宋" w:cs="Times New Roman"/>
          <w:iCs/>
          <w:sz w:val="32"/>
          <w:szCs w:val="32"/>
          <w:u w:val="single"/>
        </w:rPr>
        <w:t xml:space="preserve">  </w:t>
      </w:r>
      <w:r>
        <w:rPr>
          <w:rFonts w:hint="default" w:ascii="仿宋" w:hAnsi="仿宋" w:eastAsia="仿宋" w:cs="Times New Roman"/>
          <w:iCs/>
          <w:sz w:val="32"/>
          <w:szCs w:val="32"/>
          <w:u w:val="single"/>
          <w:lang w:val="en-US"/>
        </w:rPr>
        <w:t>2</w:t>
      </w:r>
      <w:r>
        <w:rPr>
          <w:rFonts w:hint="eastAsia" w:ascii="仿宋" w:hAnsi="仿宋" w:eastAsia="仿宋" w:cs="Times New Roman"/>
          <w:iCs/>
          <w:sz w:val="32"/>
          <w:szCs w:val="32"/>
          <w:u w:val="single"/>
        </w:rPr>
        <w:t xml:space="preserve">  </w:t>
      </w:r>
      <w:r>
        <w:rPr>
          <w:rFonts w:hint="eastAsia" w:ascii="仿宋" w:hAnsi="仿宋" w:eastAsia="仿宋" w:cs="Times New Roman"/>
          <w:iCs/>
          <w:sz w:val="32"/>
          <w:szCs w:val="32"/>
        </w:rPr>
        <w:t>项</w:t>
      </w:r>
      <w:r>
        <w:rPr>
          <w:rFonts w:ascii="仿宋" w:hAnsi="仿宋" w:eastAsia="仿宋" w:cs="Times New Roman"/>
          <w:iCs/>
          <w:sz w:val="32"/>
          <w:szCs w:val="32"/>
        </w:rPr>
        <w:t>，“#”</w:t>
      </w:r>
      <w:r>
        <w:rPr>
          <w:rFonts w:hint="eastAsia" w:ascii="仿宋" w:hAnsi="仿宋" w:eastAsia="仿宋" w:cs="Times New Roman"/>
          <w:iCs/>
          <w:sz w:val="32"/>
          <w:szCs w:val="32"/>
        </w:rPr>
        <w:t>指标</w:t>
      </w:r>
      <w:r>
        <w:rPr>
          <w:rFonts w:hint="eastAsia" w:ascii="仿宋" w:hAnsi="仿宋" w:eastAsia="仿宋" w:cs="Times New Roman"/>
          <w:iCs/>
          <w:sz w:val="32"/>
          <w:szCs w:val="32"/>
          <w:highlight w:val="none"/>
          <w:u w:val="single"/>
        </w:rPr>
        <w:t xml:space="preserve">  </w:t>
      </w:r>
      <w:r>
        <w:rPr>
          <w:rFonts w:hint="default" w:ascii="仿宋" w:hAnsi="仿宋" w:eastAsia="仿宋" w:cs="Times New Roman"/>
          <w:iCs/>
          <w:sz w:val="32"/>
          <w:szCs w:val="32"/>
          <w:highlight w:val="none"/>
          <w:u w:val="single"/>
          <w:lang w:val="en-US" w:eastAsia="zh-CN"/>
        </w:rPr>
        <w:t>7</w:t>
      </w:r>
      <w:r>
        <w:rPr>
          <w:rFonts w:ascii="仿宋" w:hAnsi="仿宋" w:eastAsia="仿宋" w:cs="Times New Roman"/>
          <w:iCs/>
          <w:sz w:val="32"/>
          <w:szCs w:val="32"/>
          <w:highlight w:val="none"/>
          <w:u w:val="single"/>
        </w:rPr>
        <w:t xml:space="preserve"> </w:t>
      </w:r>
      <w:r>
        <w:rPr>
          <w:rFonts w:hint="eastAsia" w:ascii="仿宋" w:hAnsi="仿宋" w:eastAsia="仿宋" w:cs="Times New Roman"/>
          <w:iCs/>
          <w:sz w:val="32"/>
          <w:szCs w:val="32"/>
        </w:rPr>
        <w:t>项</w:t>
      </w:r>
      <w:r>
        <w:rPr>
          <w:rFonts w:ascii="仿宋" w:hAnsi="仿宋" w:eastAsia="仿宋" w:cs="Times New Roman"/>
          <w:iCs/>
          <w:sz w:val="32"/>
          <w:szCs w:val="32"/>
        </w:rPr>
        <w:t>，</w:t>
      </w:r>
      <w:r>
        <w:rPr>
          <w:rFonts w:hint="eastAsia" w:ascii="仿宋" w:hAnsi="仿宋" w:eastAsia="仿宋" w:cs="Times New Roman"/>
          <w:iCs/>
          <w:sz w:val="32"/>
          <w:szCs w:val="32"/>
        </w:rPr>
        <w:t>“△”</w:t>
      </w:r>
      <w:r>
        <w:rPr>
          <w:rFonts w:ascii="仿宋" w:hAnsi="仿宋" w:eastAsia="仿宋" w:cs="Times New Roman"/>
          <w:iCs/>
          <w:sz w:val="32"/>
          <w:szCs w:val="32"/>
        </w:rPr>
        <w:t>指标</w:t>
      </w:r>
      <w:r>
        <w:rPr>
          <w:rFonts w:hint="eastAsia" w:ascii="仿宋" w:hAnsi="仿宋" w:eastAsia="仿宋" w:cs="Times New Roman"/>
          <w:iCs/>
          <w:sz w:val="32"/>
          <w:szCs w:val="32"/>
          <w:u w:val="single"/>
        </w:rPr>
        <w:t xml:space="preserve"> </w:t>
      </w:r>
      <w:r>
        <w:rPr>
          <w:rFonts w:ascii="仿宋" w:hAnsi="仿宋" w:eastAsia="仿宋" w:cs="Times New Roman"/>
          <w:iCs/>
          <w:sz w:val="32"/>
          <w:szCs w:val="32"/>
          <w:u w:val="single"/>
        </w:rPr>
        <w:t xml:space="preserve"> </w:t>
      </w:r>
      <w:r>
        <w:rPr>
          <w:rFonts w:hint="eastAsia" w:ascii="仿宋" w:hAnsi="仿宋" w:eastAsia="仿宋" w:cs="Times New Roman"/>
          <w:iCs/>
          <w:sz w:val="32"/>
          <w:szCs w:val="32"/>
          <w:u w:val="single"/>
        </w:rPr>
        <w:t>0</w:t>
      </w:r>
      <w:r>
        <w:rPr>
          <w:rFonts w:ascii="仿宋" w:hAnsi="仿宋" w:eastAsia="仿宋" w:cs="Times New Roman"/>
          <w:iCs/>
          <w:sz w:val="32"/>
          <w:szCs w:val="32"/>
          <w:u w:val="single"/>
        </w:rPr>
        <w:t xml:space="preserve"> </w:t>
      </w:r>
      <w:r>
        <w:rPr>
          <w:rFonts w:hint="eastAsia" w:ascii="仿宋" w:hAnsi="仿宋" w:eastAsia="仿宋" w:cs="Times New Roman"/>
          <w:iCs/>
          <w:sz w:val="32"/>
          <w:szCs w:val="32"/>
          <w:u w:val="single"/>
        </w:rPr>
        <w:t xml:space="preserve">  </w:t>
      </w:r>
      <w:r>
        <w:rPr>
          <w:rFonts w:hint="eastAsia" w:ascii="仿宋" w:hAnsi="仿宋" w:eastAsia="仿宋" w:cs="Times New Roman"/>
          <w:iCs/>
          <w:sz w:val="32"/>
          <w:szCs w:val="32"/>
        </w:rPr>
        <w:t>项</w:t>
      </w:r>
    </w:p>
    <w:tbl>
      <w:tblPr>
        <w:tblStyle w:val="16"/>
        <w:tblW w:w="9993" w:type="dxa"/>
        <w:tblInd w:w="-725" w:type="dxa"/>
        <w:tblLayout w:type="fixed"/>
        <w:tblCellMar>
          <w:top w:w="0" w:type="dxa"/>
          <w:left w:w="0" w:type="dxa"/>
          <w:bottom w:w="0" w:type="dxa"/>
          <w:right w:w="0" w:type="dxa"/>
        </w:tblCellMar>
      </w:tblPr>
      <w:tblGrid>
        <w:gridCol w:w="735"/>
        <w:gridCol w:w="962"/>
        <w:gridCol w:w="1696"/>
        <w:gridCol w:w="4097"/>
        <w:gridCol w:w="2503"/>
      </w:tblGrid>
      <w:tr>
        <w:tblPrEx>
          <w:tblCellMar>
            <w:top w:w="0" w:type="dxa"/>
            <w:left w:w="0" w:type="dxa"/>
            <w:bottom w:w="0" w:type="dxa"/>
            <w:right w:w="0" w:type="dxa"/>
          </w:tblCellMar>
        </w:tblPrEx>
        <w:trPr>
          <w:trHeight w:val="1424" w:hRule="atLeast"/>
          <w:tblHead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b/>
                <w:color w:val="000000" w:themeColor="text1"/>
                <w:sz w:val="28"/>
                <w:szCs w:val="28"/>
              </w:rPr>
            </w:pPr>
            <w:r>
              <w:rPr>
                <w:rFonts w:hint="eastAsia" w:ascii="仿宋" w:hAnsi="仿宋" w:eastAsia="仿宋" w:cs="宋体"/>
                <w:b/>
                <w:color w:val="000000" w:themeColor="text1"/>
                <w:kern w:val="0"/>
                <w:sz w:val="28"/>
                <w:szCs w:val="28"/>
              </w:rPr>
              <w:t>序号</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b/>
                <w:color w:val="000000" w:themeColor="text1"/>
                <w:sz w:val="28"/>
                <w:szCs w:val="28"/>
              </w:rPr>
            </w:pPr>
            <w:r>
              <w:rPr>
                <w:rFonts w:hint="eastAsia" w:ascii="仿宋" w:hAnsi="仿宋" w:eastAsia="仿宋" w:cs="宋体"/>
                <w:b/>
                <w:color w:val="000000" w:themeColor="text1"/>
                <w:kern w:val="0"/>
                <w:sz w:val="28"/>
                <w:szCs w:val="28"/>
              </w:rPr>
              <w:t>重要性</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b/>
                <w:color w:val="000000" w:themeColor="text1"/>
                <w:sz w:val="28"/>
                <w:szCs w:val="28"/>
              </w:rPr>
            </w:pPr>
            <w:r>
              <w:rPr>
                <w:rFonts w:hint="eastAsia" w:ascii="仿宋" w:hAnsi="仿宋" w:eastAsia="仿宋" w:cs="宋体"/>
                <w:b/>
                <w:color w:val="000000" w:themeColor="text1"/>
                <w:kern w:val="0"/>
                <w:sz w:val="28"/>
                <w:szCs w:val="28"/>
              </w:rPr>
              <w:t>指标项</w:t>
            </w:r>
          </w:p>
        </w:tc>
        <w:tc>
          <w:tcPr>
            <w:tcW w:w="4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b/>
                <w:color w:val="000000" w:themeColor="text1"/>
                <w:sz w:val="28"/>
                <w:szCs w:val="28"/>
              </w:rPr>
            </w:pPr>
            <w:r>
              <w:rPr>
                <w:rFonts w:hint="eastAsia" w:ascii="仿宋" w:hAnsi="仿宋" w:eastAsia="仿宋" w:cs="宋体"/>
                <w:b/>
                <w:color w:val="000000" w:themeColor="text1"/>
                <w:kern w:val="0"/>
                <w:sz w:val="28"/>
                <w:szCs w:val="28"/>
              </w:rPr>
              <w:t>指标要求</w:t>
            </w:r>
          </w:p>
        </w:tc>
        <w:tc>
          <w:tcPr>
            <w:tcW w:w="2503"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仿宋" w:hAnsi="仿宋" w:eastAsia="仿宋" w:cs="宋体"/>
                <w:b/>
                <w:color w:val="000000" w:themeColor="text1"/>
                <w:kern w:val="0"/>
                <w:sz w:val="28"/>
                <w:szCs w:val="28"/>
              </w:rPr>
            </w:pPr>
            <w:r>
              <w:rPr>
                <w:rFonts w:hint="eastAsia" w:ascii="仿宋" w:hAnsi="仿宋" w:eastAsia="仿宋" w:cs="宋体"/>
                <w:b/>
                <w:color w:val="000000" w:themeColor="text1"/>
                <w:kern w:val="0"/>
                <w:sz w:val="28"/>
                <w:szCs w:val="28"/>
              </w:rPr>
              <w:t>是否</w:t>
            </w:r>
            <w:r>
              <w:rPr>
                <w:rFonts w:ascii="仿宋" w:hAnsi="仿宋" w:eastAsia="仿宋" w:cs="宋体"/>
                <w:b/>
                <w:color w:val="000000" w:themeColor="text1"/>
                <w:kern w:val="0"/>
                <w:sz w:val="28"/>
                <w:szCs w:val="28"/>
              </w:rPr>
              <w:t>提供证明材料</w:t>
            </w:r>
            <w:r>
              <w:rPr>
                <w:rFonts w:hint="eastAsia" w:ascii="仿宋" w:hAnsi="仿宋" w:eastAsia="仿宋" w:cs="宋体"/>
                <w:b/>
                <w:color w:val="000000" w:themeColor="text1"/>
                <w:kern w:val="0"/>
                <w:sz w:val="28"/>
                <w:szCs w:val="28"/>
              </w:rPr>
              <w:t>及方式</w:t>
            </w:r>
          </w:p>
        </w:tc>
      </w:tr>
      <w:tr>
        <w:tblPrEx>
          <w:tblCellMar>
            <w:top w:w="0" w:type="dxa"/>
            <w:left w:w="0" w:type="dxa"/>
            <w:bottom w:w="0" w:type="dxa"/>
            <w:right w:w="0" w:type="dxa"/>
          </w:tblCellMar>
        </w:tblPrEx>
        <w:trPr>
          <w:trHeight w:val="2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1</w:t>
            </w:r>
          </w:p>
        </w:tc>
        <w:tc>
          <w:tcPr>
            <w:tcW w:w="9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iCs/>
                <w:color w:val="000000" w:themeColor="text1"/>
                <w:sz w:val="32"/>
                <w:szCs w:val="32"/>
              </w:rPr>
            </w:pPr>
            <w:r>
              <w:rPr>
                <w:rFonts w:hint="eastAsia" w:ascii="仿宋" w:hAnsi="仿宋" w:eastAsia="仿宋" w:cs="Times New Roman"/>
                <w:color w:val="000000" w:themeColor="text1"/>
                <w:sz w:val="24"/>
              </w:rPr>
              <w:t>★</w:t>
            </w:r>
          </w:p>
        </w:tc>
        <w:tc>
          <w:tcPr>
            <w:tcW w:w="16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产品研发打样</w:t>
            </w:r>
          </w:p>
        </w:tc>
        <w:tc>
          <w:tcPr>
            <w:tcW w:w="4097" w:type="dxa"/>
            <w:tcBorders>
              <w:top w:val="single" w:color="000000" w:sz="4" w:space="0"/>
              <w:left w:val="single" w:color="000000" w:sz="4" w:space="0"/>
              <w:bottom w:val="single" w:color="000000" w:sz="4" w:space="0"/>
              <w:right w:val="single" w:color="000000" w:sz="4" w:space="0"/>
            </w:tcBorders>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服务商根据设计方案组织产品研发打样，并承担打样费用。</w:t>
            </w:r>
          </w:p>
        </w:tc>
        <w:tc>
          <w:tcPr>
            <w:tcW w:w="25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 w:hAnsi="仿宋" w:eastAsia="仿宋" w:cs="Times New Roman"/>
                <w:color w:val="000000" w:themeColor="text1"/>
                <w:sz w:val="24"/>
              </w:rPr>
            </w:pPr>
            <w:r>
              <w:rPr>
                <w:rFonts w:hint="eastAsia" w:ascii="仿宋" w:hAnsi="仿宋" w:eastAsia="仿宋" w:cs="宋体"/>
                <w:color w:val="000000" w:themeColor="text1"/>
                <w:sz w:val="24"/>
              </w:rPr>
              <w:t>是，提供自我承诺材料并加盖公章作为证明。</w:t>
            </w:r>
          </w:p>
        </w:tc>
      </w:tr>
      <w:tr>
        <w:tblPrEx>
          <w:tblCellMar>
            <w:top w:w="0" w:type="dxa"/>
            <w:left w:w="0" w:type="dxa"/>
            <w:bottom w:w="0" w:type="dxa"/>
            <w:right w:w="0" w:type="dxa"/>
          </w:tblCellMar>
        </w:tblPrEx>
        <w:trPr>
          <w:trHeight w:val="2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2</w:t>
            </w:r>
          </w:p>
        </w:tc>
        <w:tc>
          <w:tcPr>
            <w:tcW w:w="9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iCs/>
                <w:color w:val="000000" w:themeColor="text1"/>
                <w:sz w:val="32"/>
                <w:szCs w:val="32"/>
              </w:rPr>
            </w:pPr>
            <w:r>
              <w:rPr>
                <w:rFonts w:hint="eastAsia" w:ascii="仿宋" w:hAnsi="仿宋" w:eastAsia="仿宋" w:cs="Times New Roman"/>
                <w:color w:val="000000" w:themeColor="text1"/>
                <w:sz w:val="24"/>
              </w:rPr>
              <w:t>★</w:t>
            </w:r>
          </w:p>
        </w:tc>
        <w:tc>
          <w:tcPr>
            <w:tcW w:w="16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产品申报及竞争</w:t>
            </w:r>
          </w:p>
        </w:tc>
        <w:tc>
          <w:tcPr>
            <w:tcW w:w="4097" w:type="dxa"/>
            <w:tcBorders>
              <w:top w:val="single" w:color="000000" w:sz="4" w:space="0"/>
              <w:left w:val="single" w:color="000000" w:sz="4" w:space="0"/>
              <w:bottom w:val="single" w:color="000000" w:sz="4" w:space="0"/>
              <w:right w:val="single" w:color="000000" w:sz="4" w:space="0"/>
            </w:tcBorders>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服务商配合需方向银行申报产品，并参加新产品评审，努力实现产品准入，包括但不限于完成市场调研、产品设计方案、营销推广方案以及安排人员到银行现场讲解方案等。</w:t>
            </w:r>
          </w:p>
        </w:tc>
        <w:tc>
          <w:tcPr>
            <w:tcW w:w="25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 w:hAnsi="仿宋" w:eastAsia="仿宋" w:cs="Times New Roman"/>
                <w:color w:val="000000" w:themeColor="text1"/>
                <w:sz w:val="24"/>
              </w:rPr>
            </w:pPr>
            <w:r>
              <w:rPr>
                <w:rFonts w:hint="eastAsia" w:ascii="仿宋" w:hAnsi="仿宋" w:eastAsia="仿宋" w:cs="宋体"/>
                <w:color w:val="000000" w:themeColor="text1"/>
                <w:sz w:val="24"/>
              </w:rPr>
              <w:t>是，提供自我承诺材料并加盖公章作为证明。</w:t>
            </w:r>
          </w:p>
        </w:tc>
      </w:tr>
      <w:tr>
        <w:tblPrEx>
          <w:tblCellMar>
            <w:top w:w="0" w:type="dxa"/>
            <w:left w:w="0" w:type="dxa"/>
            <w:bottom w:w="0" w:type="dxa"/>
            <w:right w:w="0" w:type="dxa"/>
          </w:tblCellMar>
        </w:tblPrEx>
        <w:trPr>
          <w:trHeight w:val="2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3</w:t>
            </w:r>
          </w:p>
        </w:tc>
        <w:tc>
          <w:tcPr>
            <w:tcW w:w="9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ascii="仿宋" w:hAnsi="仿宋" w:eastAsia="仿宋" w:cs="Times New Roman"/>
                <w:iCs/>
                <w:color w:val="000000" w:themeColor="text1"/>
                <w:sz w:val="32"/>
                <w:szCs w:val="32"/>
              </w:rPr>
              <w:t>#</w:t>
            </w:r>
          </w:p>
        </w:tc>
        <w:tc>
          <w:tcPr>
            <w:tcW w:w="16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产品规划</w:t>
            </w:r>
          </w:p>
        </w:tc>
        <w:tc>
          <w:tcPr>
            <w:tcW w:w="4097" w:type="dxa"/>
            <w:tcBorders>
              <w:top w:val="single" w:color="000000" w:sz="4" w:space="0"/>
              <w:left w:val="single" w:color="000000" w:sz="4" w:space="0"/>
              <w:bottom w:val="single" w:color="000000" w:sz="4" w:space="0"/>
              <w:right w:val="single" w:color="000000" w:sz="4" w:space="0"/>
            </w:tcBorders>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服务商围绕年度销售目标策划年度产品开发方案。完成产品设计方案，方案应包含产品效果图、产品工艺、产品文案、包装设计、知识产权、价格等内容，且有明确的产品定位与市场分析，并承担设计费用。</w:t>
            </w:r>
          </w:p>
        </w:tc>
        <w:tc>
          <w:tcPr>
            <w:tcW w:w="25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 w:hAnsi="仿宋" w:eastAsia="仿宋" w:cs="宋体"/>
                <w:color w:val="000000" w:themeColor="text1"/>
                <w:sz w:val="28"/>
                <w:szCs w:val="28"/>
              </w:rPr>
            </w:pPr>
            <w:r>
              <w:rPr>
                <w:rFonts w:hint="eastAsia" w:ascii="仿宋" w:hAnsi="仿宋" w:eastAsia="仿宋" w:cs="Times New Roman"/>
                <w:color w:val="000000" w:themeColor="text1"/>
                <w:sz w:val="24"/>
              </w:rPr>
              <w:t>是，提供年度产品开发方案，包含产品效果图、产品工艺、产品文案、包装设计、知识产权、价格等内容，且有明确的产品定位与市场分析。</w:t>
            </w:r>
          </w:p>
        </w:tc>
      </w:tr>
      <w:tr>
        <w:tblPrEx>
          <w:tblCellMar>
            <w:top w:w="0" w:type="dxa"/>
            <w:left w:w="0" w:type="dxa"/>
            <w:bottom w:w="0" w:type="dxa"/>
            <w:right w:w="0" w:type="dxa"/>
          </w:tblCellMar>
        </w:tblPrEx>
        <w:trPr>
          <w:trHeight w:val="2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4</w:t>
            </w:r>
          </w:p>
        </w:tc>
        <w:tc>
          <w:tcPr>
            <w:tcW w:w="9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ascii="仿宋" w:hAnsi="仿宋" w:eastAsia="仿宋" w:cs="Times New Roman"/>
                <w:iCs/>
                <w:color w:val="000000" w:themeColor="text1"/>
                <w:sz w:val="32"/>
                <w:szCs w:val="32"/>
              </w:rPr>
              <w:t>#</w:t>
            </w:r>
          </w:p>
        </w:tc>
        <w:tc>
          <w:tcPr>
            <w:tcW w:w="169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营销策划及</w:t>
            </w:r>
          </w:p>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营销物料支持</w:t>
            </w:r>
          </w:p>
        </w:tc>
        <w:tc>
          <w:tcPr>
            <w:tcW w:w="4097" w:type="dxa"/>
            <w:tcBorders>
              <w:top w:val="single" w:color="000000" w:sz="4" w:space="0"/>
              <w:left w:val="single" w:color="000000" w:sz="4" w:space="0"/>
              <w:bottom w:val="single" w:color="000000" w:sz="4" w:space="0"/>
              <w:right w:val="single" w:color="000000" w:sz="4" w:space="0"/>
            </w:tcBorders>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 xml:space="preserve">1.服务商负责根据本项目年度销售目标开展营销策划工作，包括但不限于制定年度项目规划方案、年度销售目标分解方案、年度营销方案。 </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服务商应确保宣传物料供给充足，满足本项目宣传及终端需求，物料应覆盖平面、视频素材及活动配套物料，适配传播场景需要。根据销售需要，提供相应的产品营销材料，包括但不限于宣传单页、海报、折页、台卡、促销道具等，并承担相应制作及物料费用。促销材料的提供应与销售节奏相匹配，满足终端销售需求。</w:t>
            </w:r>
          </w:p>
        </w:tc>
        <w:tc>
          <w:tcPr>
            <w:tcW w:w="25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 w:hAnsi="仿宋" w:eastAsia="仿宋" w:cs="宋体"/>
                <w:color w:val="000000" w:themeColor="text1"/>
                <w:sz w:val="28"/>
                <w:szCs w:val="28"/>
              </w:rPr>
            </w:pPr>
            <w:r>
              <w:rPr>
                <w:rFonts w:hint="eastAsia" w:ascii="仿宋" w:hAnsi="仿宋" w:eastAsia="仿宋" w:cs="Times New Roman"/>
                <w:color w:val="000000" w:themeColor="text1"/>
                <w:sz w:val="24"/>
              </w:rPr>
              <w:t>是，提供服务方案。</w:t>
            </w:r>
          </w:p>
        </w:tc>
      </w:tr>
      <w:tr>
        <w:tblPrEx>
          <w:tblCellMar>
            <w:top w:w="0" w:type="dxa"/>
            <w:left w:w="0" w:type="dxa"/>
            <w:bottom w:w="0" w:type="dxa"/>
            <w:right w:w="0" w:type="dxa"/>
          </w:tblCellMar>
        </w:tblPrEx>
        <w:trPr>
          <w:trHeight w:val="1153"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5</w:t>
            </w:r>
          </w:p>
        </w:tc>
        <w:tc>
          <w:tcPr>
            <w:tcW w:w="9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ascii="仿宋" w:hAnsi="仿宋" w:eastAsia="仿宋" w:cs="Times New Roman"/>
                <w:iCs/>
                <w:color w:val="000000" w:themeColor="text1"/>
                <w:sz w:val="32"/>
                <w:szCs w:val="32"/>
              </w:rPr>
              <w:t>#</w:t>
            </w:r>
          </w:p>
        </w:tc>
        <w:tc>
          <w:tcPr>
            <w:tcW w:w="169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销售推进及服务团队配置</w:t>
            </w:r>
          </w:p>
        </w:tc>
        <w:tc>
          <w:tcPr>
            <w:tcW w:w="4097" w:type="dxa"/>
            <w:tcBorders>
              <w:top w:val="single" w:color="000000" w:sz="4" w:space="0"/>
              <w:left w:val="single" w:color="000000" w:sz="4" w:space="0"/>
              <w:bottom w:val="single" w:color="000000" w:sz="4" w:space="0"/>
              <w:right w:val="single" w:color="000000" w:sz="4" w:space="0"/>
            </w:tcBorders>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服务商应组建可以覆盖本项目银行全国范围总分支行及网点的销售队伍实施项目销售工作，包括但不限于与银行沟通项目销售方案、配合召开发布会（启动会）、场景化销售、银行工作人员销售培训、客户购买指引以及销售服务等。</w:t>
            </w:r>
          </w:p>
        </w:tc>
        <w:tc>
          <w:tcPr>
            <w:tcW w:w="25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是。</w:t>
            </w:r>
          </w:p>
          <w:p>
            <w:pPr>
              <w:widowControl/>
              <w:jc w:val="left"/>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1.提供服务团队配置方案应包含项目组织架构、岗位职责、项目人员工作保障机制，能够保障本项目履约实施。</w:t>
            </w:r>
          </w:p>
          <w:p>
            <w:pPr>
              <w:widowControl/>
              <w:jc w:val="left"/>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2.提供销售推进方案应包含销售节奏安排、分行覆盖计划及推进机制，能够覆盖全国总分支行及网点。</w:t>
            </w:r>
          </w:p>
        </w:tc>
      </w:tr>
      <w:tr>
        <w:tblPrEx>
          <w:tblCellMar>
            <w:top w:w="0" w:type="dxa"/>
            <w:left w:w="0" w:type="dxa"/>
            <w:bottom w:w="0" w:type="dxa"/>
            <w:right w:w="0" w:type="dxa"/>
          </w:tblCellMar>
        </w:tblPrEx>
        <w:trPr>
          <w:trHeight w:val="2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6</w:t>
            </w:r>
          </w:p>
        </w:tc>
        <w:tc>
          <w:tcPr>
            <w:tcW w:w="9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ascii="仿宋" w:hAnsi="仿宋" w:eastAsia="仿宋" w:cs="Times New Roman"/>
                <w:iCs/>
                <w:color w:val="000000" w:themeColor="text1"/>
                <w:sz w:val="32"/>
                <w:szCs w:val="32"/>
              </w:rPr>
              <w:t>#</w:t>
            </w:r>
          </w:p>
        </w:tc>
        <w:tc>
          <w:tcPr>
            <w:tcW w:w="169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Times New Roman"/>
                <w:color w:val="000000" w:themeColor="text1"/>
                <w:sz w:val="24"/>
                <w:lang w:val="en-US" w:eastAsia="zh-CN"/>
              </w:rPr>
            </w:pPr>
            <w:r>
              <w:rPr>
                <w:rFonts w:hint="eastAsia" w:ascii="仿宋" w:hAnsi="仿宋" w:eastAsia="仿宋" w:cs="Times New Roman"/>
                <w:color w:val="000000" w:themeColor="text1"/>
                <w:sz w:val="24"/>
              </w:rPr>
              <w:t>包</w:t>
            </w:r>
            <w:r>
              <w:rPr>
                <w:rFonts w:hint="eastAsia" w:ascii="仿宋" w:hAnsi="仿宋" w:eastAsia="仿宋" w:cs="Times New Roman"/>
                <w:color w:val="000000" w:themeColor="text1"/>
                <w:sz w:val="24"/>
                <w:lang w:val="en-US" w:eastAsia="zh-CN"/>
              </w:rPr>
              <w:t>装</w:t>
            </w:r>
            <w:r>
              <w:rPr>
                <w:rFonts w:hint="eastAsia" w:ascii="仿宋" w:hAnsi="仿宋" w:eastAsia="仿宋" w:cs="Times New Roman"/>
                <w:color w:val="000000" w:themeColor="text1"/>
                <w:sz w:val="24"/>
              </w:rPr>
              <w:t>辅材</w:t>
            </w:r>
            <w:r>
              <w:rPr>
                <w:rFonts w:hint="eastAsia" w:ascii="仿宋" w:hAnsi="仿宋" w:eastAsia="仿宋" w:cs="Times New Roman"/>
                <w:color w:val="000000" w:themeColor="text1"/>
                <w:sz w:val="24"/>
                <w:lang w:val="en-US" w:eastAsia="zh-CN"/>
              </w:rPr>
              <w:t>供应</w:t>
            </w:r>
          </w:p>
        </w:tc>
        <w:tc>
          <w:tcPr>
            <w:tcW w:w="4097" w:type="dxa"/>
            <w:tcBorders>
              <w:top w:val="single" w:color="000000" w:sz="4" w:space="0"/>
              <w:left w:val="single" w:color="000000" w:sz="4" w:space="0"/>
              <w:bottom w:val="single" w:color="000000" w:sz="4" w:space="0"/>
              <w:right w:val="single" w:color="000000" w:sz="4" w:space="0"/>
            </w:tcBorders>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服务商负责提供产品包装辅材，并承担相应费用。包装辅材包括但不限于包装盒、手提袋、包装盒外贴标签等。包装辅材的提供应与需方主体出货时间相匹配。</w:t>
            </w:r>
          </w:p>
        </w:tc>
        <w:tc>
          <w:tcPr>
            <w:tcW w:w="25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 w:hAnsi="仿宋" w:eastAsia="仿宋" w:cs="宋体"/>
                <w:color w:val="000000" w:themeColor="text1"/>
                <w:sz w:val="28"/>
                <w:szCs w:val="28"/>
              </w:rPr>
            </w:pPr>
            <w:r>
              <w:rPr>
                <w:rFonts w:hint="eastAsia" w:ascii="仿宋" w:hAnsi="仿宋" w:eastAsia="仿宋" w:cs="Times New Roman"/>
                <w:color w:val="000000" w:themeColor="text1"/>
                <w:sz w:val="24"/>
              </w:rPr>
              <w:t>是，提供包装辅材供应方案应包含供应计划、质量保障措施、供货应急保障措施。</w:t>
            </w:r>
          </w:p>
        </w:tc>
      </w:tr>
      <w:tr>
        <w:tblPrEx>
          <w:tblCellMar>
            <w:top w:w="0" w:type="dxa"/>
            <w:left w:w="0" w:type="dxa"/>
            <w:bottom w:w="0" w:type="dxa"/>
            <w:right w:w="0" w:type="dxa"/>
          </w:tblCellMar>
        </w:tblPrEx>
        <w:trPr>
          <w:trHeight w:val="2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7</w:t>
            </w:r>
          </w:p>
        </w:tc>
        <w:tc>
          <w:tcPr>
            <w:tcW w:w="9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ascii="仿宋" w:hAnsi="仿宋" w:eastAsia="仿宋" w:cs="Times New Roman"/>
                <w:iCs/>
                <w:color w:val="000000" w:themeColor="text1"/>
                <w:sz w:val="32"/>
                <w:szCs w:val="32"/>
              </w:rPr>
              <w:t>#</w:t>
            </w:r>
          </w:p>
        </w:tc>
        <w:tc>
          <w:tcPr>
            <w:tcW w:w="169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设计比稿方案</w:t>
            </w:r>
          </w:p>
        </w:tc>
        <w:tc>
          <w:tcPr>
            <w:tcW w:w="4097" w:type="dxa"/>
            <w:tcBorders>
              <w:top w:val="single" w:color="000000" w:sz="4" w:space="0"/>
              <w:left w:val="single" w:color="000000" w:sz="4" w:space="0"/>
              <w:bottom w:val="single" w:color="000000" w:sz="4" w:space="0"/>
              <w:right w:val="single" w:color="000000" w:sz="4" w:space="0"/>
            </w:tcBorders>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投标人需围绕国家一级博物馆馆藏文化元素，与产品开发深度融合，从产品文化、产品卖点、目标客群、工艺特色等多维度制定设计比稿方案。</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1.设计阐述要求：投标人需对设计比稿方案作详细阐述，至少包括以下内容：</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（1）产品立意与设计理念；</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 题材选取依据及与博物馆馆藏文物的关联性分析；</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（3）结合文化属性进行产品组成分析；</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（4）加工工艺方案及技术可行性分析；</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（5）适销的目标客户群体及对应的消费场景；</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（6）定价测算（含成本构成分析及建议零售价推导过程）。</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2.材质要求：设计产品中黄金原料占比不得低于70%，投标人需对产品的重量、规格、用料、加工周期及加工工艺等作具体说明。</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3.产品工艺要求：必须包含3D硬金类产品、倒模类产品。鼓励使用鎏彩、珐琅、镶嵌等工艺。</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4.产品设计方案数量：投标人需提供不少于5个设计方案。</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5.设计的产品方案应包含配件（如包装、配饰等）在内的全套设计，且产品款式覆盖面应与营销方案中客群分析的全部客户群体相匹配。</w:t>
            </w:r>
          </w:p>
        </w:tc>
        <w:tc>
          <w:tcPr>
            <w:tcW w:w="250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color w:val="000000" w:themeColor="text1"/>
                <w:sz w:val="28"/>
                <w:szCs w:val="28"/>
              </w:rPr>
            </w:pPr>
            <w:r>
              <w:rPr>
                <w:rFonts w:hint="eastAsia" w:ascii="仿宋" w:hAnsi="仿宋" w:eastAsia="仿宋" w:cs="Times New Roman"/>
                <w:color w:val="000000" w:themeColor="text1"/>
                <w:sz w:val="24"/>
              </w:rPr>
              <w:t>是，提供设计比稿方案。</w:t>
            </w:r>
          </w:p>
        </w:tc>
      </w:tr>
      <w:tr>
        <w:tblPrEx>
          <w:tblCellMar>
            <w:top w:w="0" w:type="dxa"/>
            <w:left w:w="0" w:type="dxa"/>
            <w:bottom w:w="0" w:type="dxa"/>
            <w:right w:w="0" w:type="dxa"/>
          </w:tblCellMar>
        </w:tblPrEx>
        <w:trPr>
          <w:trHeight w:val="2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8</w:t>
            </w:r>
          </w:p>
        </w:tc>
        <w:tc>
          <w:tcPr>
            <w:tcW w:w="9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ascii="仿宋" w:hAnsi="仿宋" w:eastAsia="仿宋" w:cs="Times New Roman"/>
                <w:iCs/>
                <w:color w:val="000000" w:themeColor="text1"/>
                <w:sz w:val="32"/>
                <w:szCs w:val="32"/>
              </w:rPr>
              <w:t>#</w:t>
            </w:r>
          </w:p>
        </w:tc>
        <w:tc>
          <w:tcPr>
            <w:tcW w:w="169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设计比稿样品</w:t>
            </w:r>
          </w:p>
        </w:tc>
        <w:tc>
          <w:tcPr>
            <w:tcW w:w="4097" w:type="dxa"/>
            <w:tcBorders>
              <w:top w:val="single" w:color="000000" w:sz="4" w:space="0"/>
              <w:left w:val="single" w:color="000000" w:sz="4" w:space="0"/>
              <w:bottom w:val="single" w:color="000000" w:sz="4" w:space="0"/>
              <w:right w:val="single" w:color="000000" w:sz="4" w:space="0"/>
            </w:tcBorders>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1.贵金属实物样品</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投标人需根据其提交的设计比稿方案，提供不低于5款实物样品（工艺可为硬金、倒模、鎏彩、珐琅、镶嵌等），每款各1件，样品需包含产品配件（如配饰、包装等）。</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样品需与设计比稿方案中对应产品的设计效果图保持一致，在材质、规格、工艺等方面保持一致。</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样品上不得出现投标人名称、标识或其他可识别身份的信息。</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样品质量要求：</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（1）硬金类产品应满足：材质为足金，金含量≥99.6%；硬度≥100（HV0.2/10）。</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（2）倒模金类产品应满足：材质为足金，金含量≥99.9%。</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所有样品尺寸、工艺、造型等需符合产品设计需求，表面图案、文字、标识清晰，无飞边毛刺。</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注：硬金类及倒模金类样品均需提供具备CMA资质的第三方检测机构出具的成色及硬度检测报告。</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（3）所有产品重量应为正公差。</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（4）如产品采用鎏彩、珐琅工艺，需配备NGTC国检证书，且NGTC证书检测结果须明确为鎏彩、珐琅。</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2.包装样品</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投标人需根据其提交的设计比稿方案，提供不少于5款产品的包装样品。包装样品需与产品实物样品一一对应，体现不同款式产品的包装定位差异。</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包装样品上不得出现投标人名称、标识或其他可识别身份的信息。</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包装盒质量要求：实际生产的包装物成品需与设计比稿中包装设计方案在外观、配色、尺寸和整体构造上保持一致，文字、图案等标识需准确清晰，材质环保无异味，质量合格，整体风格美观精致。具体指标如下：</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（1）盒口缝隙：不超过0.3mm；</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（2）铰链：连续正常开合，铰链位不得松动、不得有异响，弹力不得减弱；</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（3）异味：成品无明显异味；</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（4）包装盒需通过高低温测试（高温60℃，低温-20℃，持续48小时）；</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（5）包装盒需通过阳光老化测试，测试后不得出现变色现象；</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（6）包装盒需通过跌落测试、震动测试及抗压测试。</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注：包装物均需达到国家相关质量标准。以上（4）至（6）项提供CMA认证检测机构出具的合格报告。</w:t>
            </w:r>
          </w:p>
        </w:tc>
        <w:tc>
          <w:tcPr>
            <w:tcW w:w="2503"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是，提供贵金属实物样品及包装样品。</w:t>
            </w:r>
          </w:p>
        </w:tc>
      </w:tr>
      <w:tr>
        <w:tblPrEx>
          <w:tblCellMar>
            <w:top w:w="0" w:type="dxa"/>
            <w:left w:w="0" w:type="dxa"/>
            <w:bottom w:w="0" w:type="dxa"/>
            <w:right w:w="0" w:type="dxa"/>
          </w:tblCellMar>
        </w:tblPrEx>
        <w:trPr>
          <w:trHeight w:val="2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9</w:t>
            </w:r>
          </w:p>
        </w:tc>
        <w:tc>
          <w:tcPr>
            <w:tcW w:w="96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ascii="仿宋" w:hAnsi="仿宋" w:eastAsia="仿宋" w:cs="Times New Roman"/>
                <w:iCs/>
                <w:color w:val="000000" w:themeColor="text1"/>
                <w:sz w:val="32"/>
                <w:szCs w:val="32"/>
              </w:rPr>
              <w:t>#</w:t>
            </w:r>
          </w:p>
        </w:tc>
        <w:tc>
          <w:tcPr>
            <w:tcW w:w="169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设计比稿产品</w:t>
            </w:r>
          </w:p>
          <w:p>
            <w:pPr>
              <w:widowControl/>
              <w:jc w:val="center"/>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销售方案</w:t>
            </w:r>
          </w:p>
        </w:tc>
        <w:tc>
          <w:tcPr>
            <w:tcW w:w="4097" w:type="dxa"/>
            <w:tcBorders>
              <w:top w:val="single" w:color="000000" w:sz="4" w:space="0"/>
              <w:left w:val="single" w:color="000000" w:sz="4" w:space="0"/>
              <w:bottom w:val="single" w:color="000000" w:sz="4" w:space="0"/>
              <w:right w:val="single" w:color="000000" w:sz="4" w:space="0"/>
            </w:tcBorders>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投标人须围绕其产品设计方案中产品编制具体的产品销售方案，产品销售方案包括但不限于：</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1.销售目标分解</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投标人根据其提供产品设计方案中的产品设定3个月销售10000万元销售总目标，按照银行37家一级分行进行销售目标分解。销售目标需具体到各一级分行，各分行销售额度应与总销售目标相适配。</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2.销售组织安排</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投标人根据销售目标分解进行销售组织安排，安排应包含销售进度及执行计划、销售培训方案、客户激励方案以及产品在渠道销售中的售后方案。具体要求如下：</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（1）销售进度及执行计划：应提供销售进度安排及各阶段执行计划，含甘特图、细化到月度或周度的进度规划、核心节点清晰，并结合各分行销售特点制定分行销售规划，具体到网点层面。</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（2）销售培训方案：应包含购买操作流程、宣传物料投放计划、网点客户沙龙开展方案，以及客户在手机银行及银行电商平台购买操作指引流程图，并提供操作手册。</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（3）客户激励方案：应包含激励对象分层和激励方式与力度，激励方式多样，并提供预算测算依据。</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4）产品在渠道销售中的售后方案：应提供售后服务组织架构与人员配置情况，设专职客服负责人与投诉处理专员，岗位职责清晰，满足银行网点营业及非营业时段响应需求。售后方案应含售后问题分类处理方案（含处理流程与时限）、业务人员售后处理培训方案（含课程清单与考核标准）、售后服务考核机制（考核指标可量化）。</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3.营销方案</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投标人根据销售目标分解提供营销方案，包括客群分析与推广策略、物料支持方案。具体要求如下：</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（1）客群分析与推广策略：客群分析应有历史销售数据或调研数据支撑，客户画像具体到可操作标签。推广策略应与客群分析形成对应，渠道选择有依据。</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物料支持方案：应提供在销售周期内的营销物料支持清单，推广活动排期与物料支持配套，明确责任人与预算分配。物料清单应覆盖平面物料（含海报、产品展示图、公众号推文等）、视频物料（含广告宣传片、短视频等）及媒介资源（含权威新闻媒体、自媒体等）三类，并提供平面物料、实物物料、媒介资源物料样稿。</w:t>
            </w:r>
          </w:p>
        </w:tc>
        <w:tc>
          <w:tcPr>
            <w:tcW w:w="25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是，提供设计比稿产品销售方案。</w:t>
            </w:r>
          </w:p>
        </w:tc>
      </w:tr>
    </w:tbl>
    <w:p>
      <w:pPr>
        <w:spacing w:line="560" w:lineRule="exact"/>
        <w:ind w:firstLine="640" w:firstLineChars="200"/>
        <w:jc w:val="left"/>
        <w:outlineLvl w:val="3"/>
        <w:rPr>
          <w:rFonts w:ascii="仿宋" w:hAnsi="仿宋" w:eastAsia="仿宋" w:cs="Times New Roman"/>
          <w:sz w:val="32"/>
          <w:szCs w:val="32"/>
        </w:rPr>
      </w:pPr>
      <w:r>
        <w:rPr>
          <w:rFonts w:hint="eastAsia" w:ascii="仿宋" w:hAnsi="仿宋" w:eastAsia="仿宋" w:cs="Times New Roman"/>
          <w:sz w:val="32"/>
          <w:szCs w:val="32"/>
          <w:lang w:val="en-US" w:eastAsia="zh-CN"/>
        </w:rPr>
        <w:t>四、</w:t>
      </w:r>
      <w:r>
        <w:rPr>
          <w:rFonts w:hint="eastAsia" w:ascii="仿宋" w:hAnsi="仿宋" w:eastAsia="仿宋" w:cs="Times New Roman"/>
          <w:sz w:val="32"/>
          <w:szCs w:val="32"/>
        </w:rPr>
        <w:t>商务要求</w:t>
      </w:r>
    </w:p>
    <w:p>
      <w:pPr>
        <w:spacing w:line="360" w:lineRule="auto"/>
        <w:ind w:firstLine="640" w:firstLineChars="200"/>
        <w:rPr>
          <w:rFonts w:ascii="仿宋" w:hAnsi="仿宋" w:eastAsia="仿宋" w:cs="Times New Roman"/>
          <w:iCs/>
          <w:color w:val="000000" w:themeColor="text1"/>
          <w:sz w:val="32"/>
          <w:szCs w:val="32"/>
        </w:rPr>
      </w:pPr>
      <w:r>
        <w:rPr>
          <w:rFonts w:hint="eastAsia" w:ascii="仿宋" w:hAnsi="仿宋" w:eastAsia="仿宋" w:cs="Times New Roman"/>
          <w:iCs/>
          <w:color w:val="000000" w:themeColor="text1"/>
          <w:sz w:val="32"/>
          <w:szCs w:val="32"/>
        </w:rPr>
        <w:t>本商务要求</w:t>
      </w:r>
      <w:r>
        <w:rPr>
          <w:rFonts w:ascii="仿宋" w:hAnsi="仿宋" w:eastAsia="仿宋" w:cs="Times New Roman"/>
          <w:iCs/>
          <w:color w:val="000000" w:themeColor="text1"/>
          <w:sz w:val="32"/>
          <w:szCs w:val="32"/>
        </w:rPr>
        <w:t>共有“</w:t>
      </w:r>
      <w:r>
        <w:rPr>
          <w:rFonts w:hint="eastAsia" w:ascii="仿宋" w:hAnsi="仿宋" w:eastAsia="仿宋" w:cs="Times New Roman"/>
          <w:iCs/>
          <w:color w:val="000000" w:themeColor="text1"/>
          <w:sz w:val="32"/>
          <w:szCs w:val="32"/>
        </w:rPr>
        <w:t>★</w:t>
      </w:r>
      <w:r>
        <w:rPr>
          <w:rFonts w:ascii="仿宋" w:hAnsi="仿宋" w:eastAsia="仿宋" w:cs="Times New Roman"/>
          <w:iCs/>
          <w:color w:val="000000" w:themeColor="text1"/>
          <w:sz w:val="32"/>
          <w:szCs w:val="32"/>
        </w:rPr>
        <w:t>”</w:t>
      </w:r>
      <w:r>
        <w:rPr>
          <w:rFonts w:hint="eastAsia" w:ascii="仿宋" w:hAnsi="仿宋" w:eastAsia="仿宋" w:cs="Times New Roman"/>
          <w:iCs/>
          <w:color w:val="000000" w:themeColor="text1"/>
          <w:sz w:val="32"/>
          <w:szCs w:val="32"/>
        </w:rPr>
        <w:t>指标</w:t>
      </w:r>
      <w:r>
        <w:rPr>
          <w:rFonts w:hint="eastAsia" w:ascii="仿宋" w:hAnsi="仿宋" w:eastAsia="仿宋" w:cs="Times New Roman"/>
          <w:iCs/>
          <w:color w:val="000000" w:themeColor="text1"/>
          <w:sz w:val="32"/>
          <w:szCs w:val="32"/>
          <w:u w:val="single"/>
        </w:rPr>
        <w:t xml:space="preserve">  </w:t>
      </w:r>
      <w:r>
        <w:rPr>
          <w:rFonts w:hint="default" w:ascii="仿宋" w:hAnsi="仿宋" w:eastAsia="仿宋" w:cs="Times New Roman"/>
          <w:iCs/>
          <w:color w:val="000000" w:themeColor="text1"/>
          <w:sz w:val="32"/>
          <w:szCs w:val="32"/>
          <w:u w:val="single"/>
          <w:lang w:val="en-US"/>
        </w:rPr>
        <w:t>9</w:t>
      </w:r>
      <w:r>
        <w:rPr>
          <w:rFonts w:hint="eastAsia" w:ascii="仿宋" w:hAnsi="仿宋" w:eastAsia="仿宋" w:cs="Times New Roman"/>
          <w:iCs/>
          <w:color w:val="000000" w:themeColor="text1"/>
          <w:sz w:val="32"/>
          <w:szCs w:val="32"/>
          <w:u w:val="single"/>
        </w:rPr>
        <w:t xml:space="preserve">  </w:t>
      </w:r>
      <w:r>
        <w:rPr>
          <w:rFonts w:hint="eastAsia" w:ascii="仿宋" w:hAnsi="仿宋" w:eastAsia="仿宋" w:cs="Times New Roman"/>
          <w:iCs/>
          <w:color w:val="000000" w:themeColor="text1"/>
          <w:sz w:val="32"/>
          <w:szCs w:val="32"/>
        </w:rPr>
        <w:t>项</w:t>
      </w:r>
      <w:r>
        <w:rPr>
          <w:rFonts w:ascii="仿宋" w:hAnsi="仿宋" w:eastAsia="仿宋" w:cs="Times New Roman"/>
          <w:iCs/>
          <w:color w:val="000000" w:themeColor="text1"/>
          <w:sz w:val="32"/>
          <w:szCs w:val="32"/>
        </w:rPr>
        <w:t>，“#”</w:t>
      </w:r>
      <w:r>
        <w:rPr>
          <w:rFonts w:hint="eastAsia" w:ascii="仿宋" w:hAnsi="仿宋" w:eastAsia="仿宋" w:cs="Times New Roman"/>
          <w:iCs/>
          <w:color w:val="000000" w:themeColor="text1"/>
          <w:sz w:val="32"/>
          <w:szCs w:val="32"/>
        </w:rPr>
        <w:t>指标</w:t>
      </w:r>
      <w:r>
        <w:rPr>
          <w:rFonts w:hint="eastAsia" w:ascii="仿宋" w:hAnsi="仿宋" w:eastAsia="仿宋" w:cs="Times New Roman"/>
          <w:iCs/>
          <w:color w:val="000000" w:themeColor="text1"/>
          <w:sz w:val="32"/>
          <w:szCs w:val="32"/>
          <w:u w:val="single"/>
        </w:rPr>
        <w:t xml:space="preserve"> 2 </w:t>
      </w:r>
      <w:r>
        <w:rPr>
          <w:rFonts w:hint="eastAsia" w:ascii="仿宋" w:hAnsi="仿宋" w:eastAsia="仿宋" w:cs="Times New Roman"/>
          <w:iCs/>
          <w:color w:val="000000" w:themeColor="text1"/>
          <w:sz w:val="32"/>
          <w:szCs w:val="32"/>
        </w:rPr>
        <w:t>项</w:t>
      </w:r>
      <w:r>
        <w:rPr>
          <w:rFonts w:ascii="仿宋" w:hAnsi="仿宋" w:eastAsia="仿宋" w:cs="Times New Roman"/>
          <w:iCs/>
          <w:color w:val="000000" w:themeColor="text1"/>
          <w:sz w:val="32"/>
          <w:szCs w:val="32"/>
        </w:rPr>
        <w:t>，</w:t>
      </w:r>
      <w:r>
        <w:rPr>
          <w:rFonts w:hint="eastAsia" w:ascii="仿宋" w:hAnsi="仿宋" w:eastAsia="仿宋" w:cs="Times New Roman"/>
          <w:iCs/>
          <w:color w:val="000000" w:themeColor="text1"/>
          <w:sz w:val="32"/>
          <w:szCs w:val="32"/>
        </w:rPr>
        <w:t>“△”</w:t>
      </w:r>
      <w:r>
        <w:rPr>
          <w:rFonts w:ascii="仿宋" w:hAnsi="仿宋" w:eastAsia="仿宋" w:cs="Times New Roman"/>
          <w:iCs/>
          <w:color w:val="000000" w:themeColor="text1"/>
          <w:sz w:val="32"/>
          <w:szCs w:val="32"/>
        </w:rPr>
        <w:t>指标</w:t>
      </w:r>
      <w:r>
        <w:rPr>
          <w:rFonts w:hint="eastAsia" w:ascii="仿宋" w:hAnsi="仿宋" w:eastAsia="仿宋" w:cs="Times New Roman"/>
          <w:iCs/>
          <w:color w:val="000000" w:themeColor="text1"/>
          <w:sz w:val="32"/>
          <w:szCs w:val="32"/>
          <w:u w:val="single"/>
        </w:rPr>
        <w:t xml:space="preserve"> </w:t>
      </w:r>
      <w:r>
        <w:rPr>
          <w:rFonts w:ascii="仿宋" w:hAnsi="仿宋" w:eastAsia="仿宋" w:cs="Times New Roman"/>
          <w:iCs/>
          <w:color w:val="000000" w:themeColor="text1"/>
          <w:sz w:val="32"/>
          <w:szCs w:val="32"/>
          <w:u w:val="single"/>
        </w:rPr>
        <w:t xml:space="preserve"> </w:t>
      </w:r>
      <w:r>
        <w:rPr>
          <w:rFonts w:hint="eastAsia" w:ascii="仿宋" w:hAnsi="仿宋" w:eastAsia="仿宋" w:cs="Times New Roman"/>
          <w:iCs/>
          <w:color w:val="000000" w:themeColor="text1"/>
          <w:sz w:val="32"/>
          <w:szCs w:val="32"/>
          <w:u w:val="single"/>
        </w:rPr>
        <w:t>0</w:t>
      </w:r>
      <w:r>
        <w:rPr>
          <w:rFonts w:ascii="仿宋" w:hAnsi="仿宋" w:eastAsia="仿宋" w:cs="Times New Roman"/>
          <w:iCs/>
          <w:color w:val="000000" w:themeColor="text1"/>
          <w:sz w:val="32"/>
          <w:szCs w:val="32"/>
          <w:u w:val="single"/>
        </w:rPr>
        <w:t xml:space="preserve">  </w:t>
      </w:r>
      <w:r>
        <w:rPr>
          <w:rFonts w:hint="eastAsia" w:ascii="仿宋" w:hAnsi="仿宋" w:eastAsia="仿宋" w:cs="Times New Roman"/>
          <w:iCs/>
          <w:color w:val="000000" w:themeColor="text1"/>
          <w:sz w:val="32"/>
          <w:szCs w:val="32"/>
        </w:rPr>
        <w:t>项</w:t>
      </w:r>
    </w:p>
    <w:p>
      <w:pPr>
        <w:spacing w:line="360" w:lineRule="auto"/>
        <w:ind w:firstLine="640" w:firstLineChars="200"/>
        <w:rPr>
          <w:rFonts w:ascii="仿宋" w:hAnsi="仿宋" w:eastAsia="仿宋" w:cs="Times New Roman"/>
          <w:iCs/>
          <w:color w:val="000000" w:themeColor="text1"/>
          <w:sz w:val="32"/>
          <w:szCs w:val="32"/>
        </w:rPr>
      </w:pPr>
      <w:r>
        <w:rPr>
          <w:rFonts w:hint="eastAsia" w:ascii="仿宋" w:hAnsi="仿宋" w:eastAsia="仿宋" w:cs="Times New Roman"/>
          <w:iCs/>
          <w:color w:val="000000" w:themeColor="text1"/>
          <w:sz w:val="32"/>
          <w:szCs w:val="32"/>
        </w:rPr>
        <w:t>A、服务要求</w:t>
      </w:r>
    </w:p>
    <w:tbl>
      <w:tblPr>
        <w:tblStyle w:val="16"/>
        <w:tblW w:w="9693" w:type="dxa"/>
        <w:tblInd w:w="-3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117"/>
        <w:gridCol w:w="1749"/>
        <w:gridCol w:w="4065"/>
        <w:gridCol w:w="1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796" w:type="dxa"/>
            <w:vAlign w:val="center"/>
          </w:tcPr>
          <w:p>
            <w:pPr>
              <w:jc w:val="center"/>
              <w:rPr>
                <w:rFonts w:ascii="仿宋" w:hAnsi="仿宋" w:eastAsia="仿宋" w:cs="Times New Roman"/>
                <w:b/>
                <w:color w:val="000000" w:themeColor="text1"/>
                <w:sz w:val="28"/>
                <w:szCs w:val="28"/>
              </w:rPr>
            </w:pPr>
            <w:r>
              <w:rPr>
                <w:rFonts w:hint="eastAsia" w:ascii="仿宋" w:hAnsi="仿宋" w:eastAsia="仿宋" w:cs="Times New Roman"/>
                <w:b/>
                <w:color w:val="000000" w:themeColor="text1"/>
                <w:sz w:val="28"/>
                <w:szCs w:val="28"/>
              </w:rPr>
              <w:t>序号</w:t>
            </w:r>
          </w:p>
        </w:tc>
        <w:tc>
          <w:tcPr>
            <w:tcW w:w="1117" w:type="dxa"/>
            <w:vAlign w:val="center"/>
          </w:tcPr>
          <w:p>
            <w:pPr>
              <w:jc w:val="center"/>
              <w:rPr>
                <w:rFonts w:ascii="仿宋" w:hAnsi="仿宋" w:eastAsia="仿宋" w:cs="Times New Roman"/>
                <w:b/>
                <w:color w:val="000000" w:themeColor="text1"/>
                <w:sz w:val="28"/>
                <w:szCs w:val="28"/>
              </w:rPr>
            </w:pPr>
            <w:r>
              <w:rPr>
                <w:rFonts w:hint="eastAsia" w:ascii="仿宋" w:hAnsi="仿宋" w:eastAsia="仿宋" w:cs="Times New Roman"/>
                <w:b/>
                <w:color w:val="000000" w:themeColor="text1"/>
                <w:sz w:val="28"/>
                <w:szCs w:val="28"/>
              </w:rPr>
              <w:t>重要性</w:t>
            </w:r>
          </w:p>
        </w:tc>
        <w:tc>
          <w:tcPr>
            <w:tcW w:w="1749" w:type="dxa"/>
            <w:vAlign w:val="center"/>
          </w:tcPr>
          <w:p>
            <w:pPr>
              <w:jc w:val="center"/>
              <w:rPr>
                <w:rFonts w:ascii="仿宋" w:hAnsi="仿宋" w:eastAsia="仿宋" w:cs="Times New Roman"/>
                <w:b/>
                <w:color w:val="000000" w:themeColor="text1"/>
                <w:sz w:val="28"/>
                <w:szCs w:val="28"/>
              </w:rPr>
            </w:pPr>
            <w:r>
              <w:rPr>
                <w:rFonts w:hint="eastAsia" w:ascii="仿宋" w:hAnsi="仿宋" w:eastAsia="仿宋" w:cs="Times New Roman"/>
                <w:b/>
                <w:color w:val="000000" w:themeColor="text1"/>
                <w:sz w:val="28"/>
                <w:szCs w:val="28"/>
              </w:rPr>
              <w:t>内容</w:t>
            </w:r>
          </w:p>
        </w:tc>
        <w:tc>
          <w:tcPr>
            <w:tcW w:w="4065" w:type="dxa"/>
            <w:vAlign w:val="center"/>
          </w:tcPr>
          <w:p>
            <w:pPr>
              <w:jc w:val="center"/>
              <w:rPr>
                <w:rFonts w:ascii="仿宋" w:hAnsi="仿宋" w:eastAsia="仿宋" w:cs="Times New Roman"/>
                <w:b/>
                <w:color w:val="000000" w:themeColor="text1"/>
                <w:sz w:val="28"/>
                <w:szCs w:val="28"/>
              </w:rPr>
            </w:pPr>
            <w:r>
              <w:rPr>
                <w:rFonts w:hint="eastAsia" w:ascii="仿宋" w:hAnsi="仿宋" w:eastAsia="仿宋" w:cs="Times New Roman"/>
                <w:b/>
                <w:color w:val="000000" w:themeColor="text1"/>
                <w:sz w:val="28"/>
                <w:szCs w:val="28"/>
              </w:rPr>
              <w:t>服务要求标准</w:t>
            </w:r>
          </w:p>
        </w:tc>
        <w:tc>
          <w:tcPr>
            <w:tcW w:w="1966" w:type="dxa"/>
            <w:vAlign w:val="center"/>
          </w:tcPr>
          <w:p>
            <w:pPr>
              <w:jc w:val="center"/>
              <w:rPr>
                <w:rFonts w:ascii="仿宋" w:hAnsi="仿宋" w:eastAsia="仿宋" w:cs="Times New Roman"/>
                <w:b/>
                <w:color w:val="000000" w:themeColor="text1"/>
                <w:sz w:val="28"/>
                <w:szCs w:val="28"/>
              </w:rPr>
            </w:pPr>
            <w:r>
              <w:rPr>
                <w:rFonts w:hint="eastAsia" w:ascii="仿宋" w:hAnsi="仿宋" w:eastAsia="仿宋" w:cs="宋体"/>
                <w:b/>
                <w:color w:val="000000" w:themeColor="text1"/>
                <w:kern w:val="0"/>
                <w:sz w:val="28"/>
                <w:szCs w:val="28"/>
              </w:rPr>
              <w:t>是否</w:t>
            </w:r>
            <w:r>
              <w:rPr>
                <w:rFonts w:ascii="仿宋" w:hAnsi="仿宋" w:eastAsia="仿宋" w:cs="宋体"/>
                <w:b/>
                <w:color w:val="000000" w:themeColor="text1"/>
                <w:kern w:val="0"/>
                <w:sz w:val="28"/>
                <w:szCs w:val="28"/>
              </w:rPr>
              <w:t>提供证明材料</w:t>
            </w:r>
            <w:r>
              <w:rPr>
                <w:rFonts w:hint="eastAsia" w:ascii="仿宋" w:hAnsi="仿宋" w:eastAsia="仿宋" w:cs="宋体"/>
                <w:b/>
                <w:color w:val="000000" w:themeColor="text1"/>
                <w:kern w:val="0"/>
                <w:sz w:val="28"/>
                <w:szCs w:val="28"/>
              </w:rPr>
              <w:t>及方式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jc w:val="center"/>
              <w:rPr>
                <w:rFonts w:ascii="仿宋" w:hAnsi="仿宋" w:eastAsia="仿宋" w:cs="宋体"/>
                <w:color w:val="000000" w:themeColor="text1"/>
                <w:sz w:val="24"/>
              </w:rPr>
            </w:pPr>
            <w:r>
              <w:rPr>
                <w:rFonts w:hint="eastAsia" w:ascii="仿宋" w:hAnsi="仿宋" w:eastAsia="仿宋" w:cs="宋体"/>
                <w:color w:val="000000" w:themeColor="text1"/>
                <w:sz w:val="24"/>
              </w:rPr>
              <w:t>1</w:t>
            </w:r>
          </w:p>
        </w:tc>
        <w:tc>
          <w:tcPr>
            <w:tcW w:w="1117" w:type="dxa"/>
            <w:vAlign w:val="center"/>
          </w:tcPr>
          <w:p>
            <w:pPr>
              <w:jc w:val="center"/>
              <w:rPr>
                <w:rFonts w:ascii="仿宋" w:hAnsi="仿宋" w:eastAsia="仿宋" w:cs="宋体"/>
                <w:color w:val="000000" w:themeColor="text1"/>
                <w:sz w:val="24"/>
              </w:rPr>
            </w:pPr>
            <w:r>
              <w:rPr>
                <w:rFonts w:hint="eastAsia" w:ascii="仿宋" w:hAnsi="仿宋" w:eastAsia="仿宋" w:cs="宋体"/>
                <w:color w:val="000000" w:themeColor="text1"/>
                <w:sz w:val="24"/>
              </w:rPr>
              <w:t>★</w:t>
            </w:r>
          </w:p>
        </w:tc>
        <w:tc>
          <w:tcPr>
            <w:tcW w:w="1749" w:type="dxa"/>
            <w:vAlign w:val="center"/>
          </w:tcPr>
          <w:p>
            <w:pPr>
              <w:jc w:val="center"/>
              <w:rPr>
                <w:rFonts w:ascii="仿宋" w:hAnsi="仿宋" w:eastAsia="仿宋" w:cs="Times New Roman"/>
                <w:color w:val="000000" w:themeColor="text1"/>
                <w:sz w:val="28"/>
                <w:szCs w:val="28"/>
              </w:rPr>
            </w:pPr>
            <w:r>
              <w:rPr>
                <w:rFonts w:hint="eastAsia" w:ascii="仿宋" w:hAnsi="仿宋" w:eastAsia="仿宋" w:cs="宋体"/>
                <w:color w:val="000000" w:themeColor="text1"/>
                <w:sz w:val="24"/>
              </w:rPr>
              <w:t>渠道唯一性</w:t>
            </w:r>
          </w:p>
        </w:tc>
        <w:tc>
          <w:tcPr>
            <w:tcW w:w="4065" w:type="dxa"/>
            <w:vAlign w:val="center"/>
          </w:tcPr>
          <w:p>
            <w:pPr>
              <w:jc w:val="left"/>
              <w:rPr>
                <w:rFonts w:ascii="仿宋" w:hAnsi="仿宋" w:eastAsia="仿宋" w:cs="Times New Roman"/>
                <w:color w:val="000000" w:themeColor="text1"/>
                <w:sz w:val="28"/>
                <w:szCs w:val="28"/>
              </w:rPr>
            </w:pPr>
            <w:r>
              <w:rPr>
                <w:rFonts w:hint="eastAsia" w:ascii="仿宋" w:hAnsi="仿宋" w:eastAsia="仿宋" w:cs="Times New Roman"/>
                <w:color w:val="000000" w:themeColor="text1"/>
                <w:sz w:val="24"/>
              </w:rPr>
              <w:t>投标人中标后与需方开展合作应遵照渠道唯一性原则，即仅可与需方在A银行开展实物贵金属销售业务，不得与其他第三方或直接与A银行开展实物贵金属销售业务。</w:t>
            </w:r>
          </w:p>
        </w:tc>
        <w:tc>
          <w:tcPr>
            <w:tcW w:w="1966" w:type="dxa"/>
            <w:vAlign w:val="center"/>
          </w:tcPr>
          <w:p>
            <w:pPr>
              <w:jc w:val="left"/>
              <w:rPr>
                <w:rFonts w:ascii="仿宋" w:hAnsi="仿宋" w:eastAsia="仿宋" w:cs="Times New Roman"/>
                <w:color w:val="000000" w:themeColor="text1"/>
                <w:sz w:val="28"/>
                <w:szCs w:val="28"/>
              </w:rPr>
            </w:pPr>
            <w:r>
              <w:rPr>
                <w:rFonts w:hint="eastAsia" w:ascii="仿宋" w:hAnsi="仿宋" w:eastAsia="仿宋" w:cs="宋体"/>
                <w:color w:val="000000" w:themeColor="text1"/>
                <w:sz w:val="24"/>
              </w:rPr>
              <w:t>是，提供自我承诺材料并加盖公章作为证明。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96" w:type="dxa"/>
            <w:vAlign w:val="center"/>
          </w:tcPr>
          <w:p>
            <w:pPr>
              <w:jc w:val="center"/>
              <w:rPr>
                <w:rFonts w:ascii="仿宋" w:hAnsi="仿宋" w:eastAsia="仿宋" w:cs="宋体"/>
                <w:color w:val="000000" w:themeColor="text1"/>
                <w:sz w:val="24"/>
              </w:rPr>
            </w:pPr>
            <w:r>
              <w:rPr>
                <w:rFonts w:hint="eastAsia" w:ascii="仿宋" w:hAnsi="仿宋" w:eastAsia="仿宋" w:cs="宋体"/>
                <w:color w:val="000000" w:themeColor="text1"/>
                <w:sz w:val="24"/>
              </w:rPr>
              <w:t>2</w:t>
            </w:r>
          </w:p>
        </w:tc>
        <w:tc>
          <w:tcPr>
            <w:tcW w:w="1117" w:type="dxa"/>
            <w:vAlign w:val="center"/>
          </w:tcPr>
          <w:p>
            <w:pPr>
              <w:jc w:val="center"/>
              <w:rPr>
                <w:rFonts w:ascii="仿宋" w:hAnsi="仿宋" w:eastAsia="仿宋" w:cs="宋体"/>
                <w:color w:val="000000" w:themeColor="text1"/>
                <w:sz w:val="24"/>
              </w:rPr>
            </w:pPr>
            <w:r>
              <w:rPr>
                <w:rFonts w:hint="eastAsia" w:ascii="仿宋" w:hAnsi="仿宋" w:eastAsia="仿宋" w:cs="宋体"/>
                <w:color w:val="000000" w:themeColor="text1"/>
                <w:sz w:val="24"/>
              </w:rPr>
              <w:t>★</w:t>
            </w:r>
          </w:p>
        </w:tc>
        <w:tc>
          <w:tcPr>
            <w:tcW w:w="1749" w:type="dxa"/>
            <w:vAlign w:val="center"/>
          </w:tcPr>
          <w:p>
            <w:pPr>
              <w:jc w:val="center"/>
              <w:rPr>
                <w:rFonts w:ascii="仿宋" w:hAnsi="仿宋" w:eastAsia="仿宋" w:cs="宋体"/>
                <w:color w:val="000000" w:themeColor="text1"/>
                <w:sz w:val="24"/>
              </w:rPr>
            </w:pPr>
            <w:r>
              <w:rPr>
                <w:rFonts w:hint="eastAsia" w:ascii="仿宋" w:hAnsi="仿宋" w:eastAsia="仿宋" w:cs="宋体"/>
                <w:color w:val="000000" w:themeColor="text1"/>
                <w:sz w:val="24"/>
              </w:rPr>
              <w:t>服务期限</w:t>
            </w:r>
          </w:p>
        </w:tc>
        <w:tc>
          <w:tcPr>
            <w:tcW w:w="4065" w:type="dxa"/>
            <w:vAlign w:val="center"/>
          </w:tcPr>
          <w:p>
            <w:pPr>
              <w:jc w:val="left"/>
              <w:rPr>
                <w:rFonts w:ascii="仿宋" w:hAnsi="仿宋" w:eastAsia="仿宋" w:cs="宋体"/>
                <w:color w:val="000000" w:themeColor="text1"/>
                <w:sz w:val="24"/>
              </w:rPr>
            </w:pPr>
            <w:r>
              <w:rPr>
                <w:rFonts w:hint="eastAsia" w:ascii="仿宋" w:hAnsi="仿宋" w:eastAsia="仿宋" w:cs="宋体"/>
                <w:color w:val="000000" w:themeColor="text1"/>
                <w:sz w:val="24"/>
              </w:rPr>
              <w:t>自合同签订之日起三年。</w:t>
            </w:r>
          </w:p>
        </w:tc>
        <w:tc>
          <w:tcPr>
            <w:tcW w:w="1966" w:type="dxa"/>
          </w:tcPr>
          <w:p>
            <w:pPr>
              <w:jc w:val="left"/>
              <w:rPr>
                <w:rFonts w:ascii="仿宋" w:hAnsi="仿宋" w:eastAsia="仿宋" w:cs="宋体"/>
                <w:color w:val="000000" w:themeColor="text1"/>
                <w:sz w:val="24"/>
              </w:rPr>
            </w:pPr>
            <w:r>
              <w:rPr>
                <w:rFonts w:hint="eastAsia" w:ascii="仿宋" w:hAnsi="仿宋" w:eastAsia="仿宋" w:cs="宋体"/>
                <w:color w:val="000000" w:themeColor="text1"/>
                <w:sz w:val="24"/>
              </w:rPr>
              <w:t>是，提供自我承诺材料并加盖公章作为证明。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jc w:val="center"/>
              <w:rPr>
                <w:rFonts w:ascii="仿宋" w:hAnsi="仿宋" w:eastAsia="仿宋" w:cs="宋体"/>
                <w:color w:val="000000" w:themeColor="text1"/>
                <w:sz w:val="24"/>
              </w:rPr>
            </w:pPr>
            <w:r>
              <w:rPr>
                <w:rFonts w:hint="eastAsia" w:ascii="仿宋" w:hAnsi="仿宋" w:eastAsia="仿宋" w:cs="宋体"/>
                <w:color w:val="000000" w:themeColor="text1"/>
                <w:sz w:val="24"/>
              </w:rPr>
              <w:t>3</w:t>
            </w:r>
          </w:p>
        </w:tc>
        <w:tc>
          <w:tcPr>
            <w:tcW w:w="1117" w:type="dxa"/>
            <w:vAlign w:val="center"/>
          </w:tcPr>
          <w:p>
            <w:pPr>
              <w:jc w:val="center"/>
              <w:rPr>
                <w:rFonts w:ascii="仿宋" w:hAnsi="仿宋" w:eastAsia="仿宋" w:cs="宋体"/>
                <w:color w:val="000000" w:themeColor="text1"/>
                <w:sz w:val="24"/>
              </w:rPr>
            </w:pPr>
            <w:r>
              <w:rPr>
                <w:rFonts w:hint="eastAsia" w:ascii="仿宋" w:hAnsi="仿宋" w:eastAsia="仿宋" w:cs="宋体"/>
                <w:color w:val="000000" w:themeColor="text1"/>
                <w:sz w:val="24"/>
              </w:rPr>
              <w:t>★</w:t>
            </w:r>
          </w:p>
        </w:tc>
        <w:tc>
          <w:tcPr>
            <w:tcW w:w="1749" w:type="dxa"/>
            <w:vAlign w:val="center"/>
          </w:tcPr>
          <w:p>
            <w:pPr>
              <w:jc w:val="center"/>
              <w:rPr>
                <w:rFonts w:ascii="仿宋" w:hAnsi="仿宋" w:eastAsia="仿宋" w:cs="宋体"/>
                <w:color w:val="000000" w:themeColor="text1"/>
                <w:sz w:val="24"/>
              </w:rPr>
            </w:pPr>
            <w:r>
              <w:rPr>
                <w:rFonts w:hint="eastAsia" w:ascii="仿宋" w:hAnsi="仿宋" w:eastAsia="仿宋" w:cs="宋体"/>
                <w:color w:val="000000" w:themeColor="text1"/>
                <w:sz w:val="24"/>
              </w:rPr>
              <w:t>服务区域范围</w:t>
            </w:r>
          </w:p>
        </w:tc>
        <w:tc>
          <w:tcPr>
            <w:tcW w:w="4065" w:type="dxa"/>
            <w:vAlign w:val="center"/>
          </w:tcPr>
          <w:p>
            <w:pPr>
              <w:jc w:val="left"/>
              <w:rPr>
                <w:rFonts w:ascii="仿宋" w:hAnsi="仿宋" w:eastAsia="仿宋" w:cs="宋体"/>
                <w:color w:val="000000" w:themeColor="text1"/>
                <w:sz w:val="24"/>
              </w:rPr>
            </w:pPr>
            <w:r>
              <w:rPr>
                <w:rFonts w:hint="eastAsia" w:ascii="仿宋" w:hAnsi="仿宋" w:eastAsia="仿宋" w:cs="宋体"/>
                <w:color w:val="000000" w:themeColor="text1"/>
                <w:sz w:val="24"/>
              </w:rPr>
              <w:t>A银行总行、全国范围内各分行、支行及网点。</w:t>
            </w:r>
          </w:p>
        </w:tc>
        <w:tc>
          <w:tcPr>
            <w:tcW w:w="1966" w:type="dxa"/>
          </w:tcPr>
          <w:p>
            <w:pPr>
              <w:jc w:val="left"/>
              <w:rPr>
                <w:rFonts w:ascii="仿宋" w:hAnsi="仿宋" w:eastAsia="仿宋" w:cs="宋体"/>
                <w:color w:val="000000" w:themeColor="text1"/>
                <w:sz w:val="24"/>
              </w:rPr>
            </w:pPr>
            <w:r>
              <w:rPr>
                <w:rFonts w:hint="eastAsia" w:ascii="仿宋" w:hAnsi="仿宋" w:eastAsia="仿宋" w:cs="宋体"/>
                <w:color w:val="000000" w:themeColor="text1"/>
                <w:sz w:val="24"/>
              </w:rPr>
              <w:t>是，提供自我承诺材料并加盖公章作为证明。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4</w:t>
            </w:r>
          </w:p>
        </w:tc>
        <w:tc>
          <w:tcPr>
            <w:tcW w:w="1117"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w:t>
            </w:r>
          </w:p>
        </w:tc>
        <w:tc>
          <w:tcPr>
            <w:tcW w:w="1749"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销售目标</w:t>
            </w:r>
          </w:p>
        </w:tc>
        <w:tc>
          <w:tcPr>
            <w:tcW w:w="4065" w:type="dxa"/>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投标人应提供年度销售目标承诺书，承诺年度销售目标不低于50000万元/年，未达标的，需方将按照未达目标差额的0.5%收取违约金。</w:t>
            </w:r>
          </w:p>
        </w:tc>
        <w:tc>
          <w:tcPr>
            <w:tcW w:w="1966" w:type="dxa"/>
          </w:tcPr>
          <w:p>
            <w:pPr>
              <w:rPr>
                <w:rFonts w:ascii="仿宋" w:hAnsi="仿宋" w:eastAsia="仿宋" w:cs="Times New Roman"/>
                <w:color w:val="000000" w:themeColor="text1"/>
                <w:sz w:val="24"/>
              </w:rPr>
            </w:pPr>
          </w:p>
          <w:p>
            <w:pPr>
              <w:rPr>
                <w:rFonts w:ascii="仿宋" w:hAnsi="仿宋" w:eastAsia="仿宋" w:cs="Times New Roman"/>
                <w:color w:val="000000" w:themeColor="text1"/>
                <w:sz w:val="28"/>
                <w:szCs w:val="28"/>
              </w:rPr>
            </w:pPr>
            <w:r>
              <w:rPr>
                <w:rFonts w:hint="eastAsia" w:ascii="仿宋" w:hAnsi="仿宋" w:eastAsia="仿宋" w:cs="宋体"/>
                <w:color w:val="000000" w:themeColor="text1"/>
                <w:sz w:val="24"/>
              </w:rPr>
              <w:t>是，提供自我承诺材料并加盖公章作为证明。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5</w:t>
            </w:r>
          </w:p>
        </w:tc>
        <w:tc>
          <w:tcPr>
            <w:tcW w:w="1117"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w:t>
            </w:r>
          </w:p>
        </w:tc>
        <w:tc>
          <w:tcPr>
            <w:tcW w:w="1749"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履约担保</w:t>
            </w:r>
          </w:p>
        </w:tc>
        <w:tc>
          <w:tcPr>
            <w:tcW w:w="4065" w:type="dxa"/>
            <w:vAlign w:val="center"/>
          </w:tcPr>
          <w:p>
            <w:pPr>
              <w:pStyle w:val="15"/>
              <w:adjustRightInd w:val="0"/>
              <w:snapToGrid w:val="0"/>
              <w:spacing w:after="0"/>
              <w:ind w:left="0"/>
              <w:jc w:val="left"/>
              <w:rPr>
                <w:rFonts w:ascii="仿宋" w:hAnsi="仿宋" w:eastAsia="仿宋" w:cs="Times New Roman"/>
                <w:color w:val="000000" w:themeColor="text1"/>
                <w:sz w:val="28"/>
                <w:szCs w:val="28"/>
              </w:rPr>
            </w:pPr>
            <w:r>
              <w:rPr>
                <w:rFonts w:hint="eastAsia" w:ascii="仿宋" w:hAnsi="仿宋" w:eastAsia="仿宋" w:cs="宋体"/>
                <w:color w:val="000000" w:themeColor="text1"/>
                <w:sz w:val="24"/>
                <w:szCs w:val="24"/>
              </w:rPr>
              <w:t>服务商</w:t>
            </w:r>
            <w:r>
              <w:rPr>
                <w:rFonts w:ascii="仿宋" w:hAnsi="仿宋" w:eastAsia="仿宋" w:cs="宋体"/>
                <w:color w:val="000000" w:themeColor="text1"/>
                <w:sz w:val="24"/>
                <w:szCs w:val="24"/>
              </w:rPr>
              <w:t>必须在合同签订前向</w:t>
            </w:r>
            <w:r>
              <w:rPr>
                <w:rFonts w:hint="eastAsia" w:ascii="仿宋" w:hAnsi="仿宋" w:eastAsia="仿宋" w:cs="宋体"/>
                <w:color w:val="000000" w:themeColor="text1"/>
                <w:sz w:val="24"/>
                <w:szCs w:val="24"/>
                <w:lang w:val="en-US" w:eastAsia="zh-CN"/>
              </w:rPr>
              <w:t>需</w:t>
            </w:r>
            <w:r>
              <w:rPr>
                <w:rFonts w:ascii="仿宋" w:hAnsi="仿宋" w:eastAsia="仿宋" w:cs="宋体"/>
                <w:color w:val="000000" w:themeColor="text1"/>
                <w:sz w:val="24"/>
                <w:szCs w:val="24"/>
              </w:rPr>
              <w:t>方提交履约担保。</w:t>
            </w:r>
            <w:r>
              <w:rPr>
                <w:rFonts w:hint="eastAsia" w:ascii="仿宋" w:hAnsi="仿宋" w:eastAsia="仿宋" w:cs="宋体"/>
                <w:color w:val="000000" w:themeColor="text1"/>
                <w:sz w:val="24"/>
                <w:szCs w:val="24"/>
              </w:rPr>
              <w:t>服务商</w:t>
            </w:r>
            <w:r>
              <w:rPr>
                <w:rFonts w:ascii="仿宋" w:hAnsi="仿宋" w:eastAsia="仿宋" w:cs="宋体"/>
                <w:color w:val="000000" w:themeColor="text1"/>
                <w:sz w:val="24"/>
                <w:szCs w:val="24"/>
              </w:rPr>
              <w:t>向</w:t>
            </w:r>
            <w:r>
              <w:rPr>
                <w:rFonts w:hint="eastAsia" w:ascii="仿宋" w:hAnsi="仿宋" w:eastAsia="仿宋" w:cs="宋体"/>
                <w:color w:val="000000" w:themeColor="text1"/>
                <w:sz w:val="24"/>
                <w:szCs w:val="24"/>
                <w:lang w:val="en-US" w:eastAsia="zh-CN"/>
              </w:rPr>
              <w:t>需</w:t>
            </w:r>
            <w:r>
              <w:rPr>
                <w:rFonts w:ascii="仿宋" w:hAnsi="仿宋" w:eastAsia="仿宋" w:cs="宋体"/>
                <w:color w:val="000000" w:themeColor="text1"/>
                <w:sz w:val="24"/>
                <w:szCs w:val="24"/>
              </w:rPr>
              <w:t>方提供履约担保金额为人民币250万元(大写:贰佰伍拾万元整)，期限至</w:t>
            </w:r>
            <w:bookmarkStart w:id="0" w:name="_GoBack"/>
            <w:bookmarkEnd w:id="0"/>
            <w:r>
              <w:rPr>
                <w:rFonts w:ascii="仿宋" w:hAnsi="仿宋" w:eastAsia="仿宋" w:cs="宋体"/>
                <w:color w:val="000000" w:themeColor="text1"/>
                <w:sz w:val="24"/>
                <w:szCs w:val="24"/>
              </w:rPr>
              <w:t>本合同期满。</w:t>
            </w:r>
          </w:p>
        </w:tc>
        <w:tc>
          <w:tcPr>
            <w:tcW w:w="1966" w:type="dxa"/>
            <w:vAlign w:val="center"/>
          </w:tcPr>
          <w:p>
            <w:pPr>
              <w:jc w:val="left"/>
              <w:rPr>
                <w:rFonts w:ascii="仿宋" w:hAnsi="仿宋" w:eastAsia="仿宋" w:cs="Times New Roman"/>
                <w:color w:val="000000" w:themeColor="text1"/>
                <w:sz w:val="28"/>
                <w:szCs w:val="28"/>
              </w:rPr>
            </w:pPr>
            <w:r>
              <w:rPr>
                <w:rFonts w:hint="eastAsia" w:ascii="仿宋" w:hAnsi="仿宋" w:eastAsia="仿宋" w:cs="宋体"/>
                <w:color w:val="000000" w:themeColor="text1"/>
                <w:sz w:val="24"/>
              </w:rPr>
              <w:t>是，提供自我承诺材料并加盖公章作为证明。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6</w:t>
            </w:r>
          </w:p>
        </w:tc>
        <w:tc>
          <w:tcPr>
            <w:tcW w:w="1117"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w:t>
            </w:r>
          </w:p>
        </w:tc>
        <w:tc>
          <w:tcPr>
            <w:tcW w:w="1749"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IP获取承诺</w:t>
            </w:r>
          </w:p>
        </w:tc>
        <w:tc>
          <w:tcPr>
            <w:tcW w:w="4065" w:type="dxa"/>
            <w:vAlign w:val="center"/>
          </w:tcPr>
          <w:p>
            <w:pPr>
              <w:numPr>
                <w:ilvl w:val="0"/>
                <w:numId w:val="1"/>
              </w:numPr>
              <w:jc w:val="left"/>
              <w:rPr>
                <w:rFonts w:hint="eastAsia" w:ascii="仿宋" w:hAnsi="仿宋" w:eastAsia="仿宋" w:cs="Times New Roman"/>
                <w:color w:val="000000" w:themeColor="text1"/>
                <w:sz w:val="24"/>
              </w:rPr>
            </w:pPr>
            <w:r>
              <w:rPr>
                <w:rFonts w:hint="eastAsia" w:ascii="仿宋" w:hAnsi="仿宋" w:eastAsia="仿宋" w:cs="Times New Roman"/>
                <w:color w:val="000000" w:themeColor="text1"/>
                <w:sz w:val="24"/>
              </w:rPr>
              <w:t>投标人需承诺IP</w:t>
            </w:r>
            <w:r>
              <w:rPr>
                <w:rFonts w:hint="eastAsia" w:ascii="仿宋" w:hAnsi="仿宋" w:eastAsia="仿宋" w:cs="Times New Roman"/>
                <w:color w:val="000000" w:themeColor="text1"/>
                <w:sz w:val="24"/>
                <w:lang w:val="en-US" w:eastAsia="zh-CN"/>
              </w:rPr>
              <w:t>资源获取</w:t>
            </w:r>
            <w:r>
              <w:rPr>
                <w:rFonts w:hint="eastAsia" w:ascii="仿宋" w:hAnsi="仿宋" w:eastAsia="仿宋" w:cs="Times New Roman"/>
                <w:color w:val="000000" w:themeColor="text1"/>
                <w:sz w:val="24"/>
              </w:rPr>
              <w:t>至少应包含故宫博物院IP、</w:t>
            </w:r>
            <w:r>
              <w:rPr>
                <w:rFonts w:hint="eastAsia" w:ascii="仿宋" w:hAnsi="仿宋" w:eastAsia="仿宋" w:cs="Times New Roman"/>
                <w:color w:val="000000" w:themeColor="text1"/>
                <w:sz w:val="24"/>
                <w:lang w:val="en-US" w:eastAsia="zh-CN"/>
              </w:rPr>
              <w:t>中央广播电视总台</w:t>
            </w:r>
            <w:r>
              <w:rPr>
                <w:rFonts w:hint="eastAsia" w:ascii="仿宋" w:hAnsi="仿宋" w:eastAsia="仿宋" w:cs="Times New Roman"/>
                <w:color w:val="000000" w:themeColor="text1"/>
                <w:sz w:val="24"/>
              </w:rPr>
              <w:t>春晚IP</w:t>
            </w:r>
            <w:r>
              <w:rPr>
                <w:rFonts w:hint="eastAsia" w:ascii="仿宋" w:hAnsi="仿宋" w:eastAsia="仿宋" w:cs="Times New Roman"/>
                <w:color w:val="000000" w:themeColor="text1"/>
                <w:sz w:val="24"/>
                <w:lang w:eastAsia="zh-CN"/>
              </w:rPr>
              <w:t>。</w:t>
            </w:r>
          </w:p>
          <w:p>
            <w:pPr>
              <w:numPr>
                <w:ilvl w:val="0"/>
                <w:numId w:val="1"/>
              </w:numPr>
              <w:jc w:val="left"/>
              <w:rPr>
                <w:rFonts w:hint="eastAsia" w:ascii="仿宋" w:hAnsi="仿宋" w:eastAsia="仿宋" w:cs="Times New Roman"/>
                <w:color w:val="000000" w:themeColor="text1"/>
                <w:sz w:val="24"/>
              </w:rPr>
            </w:pPr>
            <w:r>
              <w:rPr>
                <w:rFonts w:hint="eastAsia" w:ascii="仿宋" w:hAnsi="仿宋" w:eastAsia="仿宋" w:cs="Times New Roman"/>
                <w:color w:val="000000" w:themeColor="text1"/>
                <w:sz w:val="24"/>
              </w:rPr>
              <w:t>投标人需承诺IP产品获得银行准入后，将在需方通知之日起</w:t>
            </w:r>
            <w:r>
              <w:rPr>
                <w:rFonts w:hint="default" w:ascii="仿宋" w:hAnsi="仿宋" w:eastAsia="仿宋" w:cs="Times New Roman"/>
                <w:color w:val="000000" w:themeColor="text1"/>
                <w:sz w:val="24"/>
                <w:lang w:val="en-US"/>
              </w:rPr>
              <w:t>30</w:t>
            </w:r>
            <w:r>
              <w:rPr>
                <w:rFonts w:hint="eastAsia" w:ascii="仿宋" w:hAnsi="仿宋" w:eastAsia="仿宋" w:cs="Times New Roman"/>
                <w:color w:val="000000" w:themeColor="text1"/>
                <w:sz w:val="24"/>
              </w:rPr>
              <w:t>个工作日内完成产品IP授权获取</w:t>
            </w:r>
            <w:r>
              <w:rPr>
                <w:rFonts w:hint="eastAsia" w:ascii="仿宋" w:hAnsi="仿宋" w:eastAsia="仿宋" w:cs="Times New Roman"/>
                <w:color w:val="000000" w:themeColor="text1"/>
                <w:sz w:val="24"/>
                <w:lang w:eastAsia="zh-CN"/>
              </w:rPr>
              <w:t>，</w:t>
            </w:r>
            <w:r>
              <w:rPr>
                <w:rFonts w:hint="eastAsia" w:ascii="仿宋" w:hAnsi="仿宋" w:eastAsia="仿宋" w:cs="Times New Roman"/>
                <w:color w:val="000000" w:themeColor="text1"/>
                <w:sz w:val="24"/>
                <w:lang w:val="en-US" w:eastAsia="zh-CN"/>
              </w:rPr>
              <w:t>并承担</w:t>
            </w:r>
            <w:r>
              <w:rPr>
                <w:rFonts w:hint="default" w:ascii="仿宋" w:hAnsi="仿宋" w:eastAsia="仿宋" w:cs="Times New Roman"/>
                <w:color w:val="000000" w:themeColor="text1"/>
                <w:sz w:val="24"/>
                <w:lang w:val="en-US" w:eastAsia="zh-CN"/>
              </w:rPr>
              <w:t>IP</w:t>
            </w:r>
            <w:r>
              <w:rPr>
                <w:rFonts w:hint="eastAsia" w:ascii="仿宋" w:hAnsi="仿宋" w:eastAsia="仿宋" w:cs="Times New Roman"/>
                <w:color w:val="000000" w:themeColor="text1"/>
                <w:sz w:val="24"/>
                <w:lang w:val="en-US" w:eastAsia="zh-CN"/>
              </w:rPr>
              <w:t>授权费用。</w:t>
            </w:r>
          </w:p>
        </w:tc>
        <w:tc>
          <w:tcPr>
            <w:tcW w:w="1966" w:type="dxa"/>
            <w:vAlign w:val="center"/>
          </w:tcPr>
          <w:p>
            <w:pPr>
              <w:jc w:val="both"/>
              <w:rPr>
                <w:rFonts w:ascii="仿宋" w:hAnsi="仿宋" w:eastAsia="仿宋" w:cs="Times New Roman"/>
                <w:color w:val="000000" w:themeColor="text1"/>
                <w:sz w:val="24"/>
              </w:rPr>
            </w:pPr>
            <w:r>
              <w:rPr>
                <w:rFonts w:hint="eastAsia" w:ascii="仿宋" w:hAnsi="仿宋" w:eastAsia="仿宋" w:cs="宋体"/>
                <w:color w:val="000000" w:themeColor="text1"/>
                <w:sz w:val="24"/>
              </w:rPr>
              <w:t>是，提供自我承诺材料并加盖公章作为证明。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jc w:val="center"/>
              <w:rPr>
                <w:rFonts w:hint="default" w:ascii="仿宋" w:hAnsi="仿宋" w:eastAsia="仿宋" w:cs="Times New Roman"/>
                <w:color w:val="000000" w:themeColor="text1"/>
                <w:sz w:val="24"/>
                <w:lang w:val="en-US"/>
              </w:rPr>
            </w:pPr>
            <w:r>
              <w:rPr>
                <w:rFonts w:hint="default" w:ascii="仿宋" w:hAnsi="仿宋" w:eastAsia="仿宋" w:cs="Times New Roman"/>
                <w:color w:val="000000" w:themeColor="text1"/>
                <w:sz w:val="24"/>
                <w:lang w:val="en-US"/>
              </w:rPr>
              <w:t>7</w:t>
            </w:r>
          </w:p>
        </w:tc>
        <w:tc>
          <w:tcPr>
            <w:tcW w:w="1117" w:type="dxa"/>
            <w:vAlign w:val="center"/>
          </w:tcPr>
          <w:p>
            <w:pPr>
              <w:jc w:val="center"/>
              <w:rPr>
                <w:rFonts w:hint="eastAsia" w:ascii="仿宋" w:hAnsi="仿宋" w:eastAsia="仿宋" w:cs="Times New Roman"/>
                <w:color w:val="000000" w:themeColor="text1"/>
                <w:sz w:val="24"/>
              </w:rPr>
            </w:pPr>
            <w:r>
              <w:rPr>
                <w:rFonts w:hint="eastAsia" w:ascii="仿宋" w:hAnsi="仿宋" w:eastAsia="仿宋" w:cs="Times New Roman"/>
                <w:color w:val="000000" w:themeColor="text1"/>
                <w:sz w:val="24"/>
              </w:rPr>
              <w:t>★</w:t>
            </w:r>
          </w:p>
        </w:tc>
        <w:tc>
          <w:tcPr>
            <w:tcW w:w="1749" w:type="dxa"/>
            <w:vAlign w:val="center"/>
          </w:tcPr>
          <w:p>
            <w:pPr>
              <w:jc w:val="center"/>
              <w:rPr>
                <w:rFonts w:hint="default" w:ascii="仿宋" w:hAnsi="仿宋" w:eastAsia="仿宋" w:cs="Times New Roman"/>
                <w:color w:val="000000" w:themeColor="text1"/>
                <w:sz w:val="24"/>
                <w:lang w:val="en-US" w:eastAsia="zh-CN"/>
              </w:rPr>
            </w:pPr>
            <w:r>
              <w:rPr>
                <w:rFonts w:hint="eastAsia" w:ascii="仿宋" w:hAnsi="仿宋" w:eastAsia="仿宋" w:cs="Times New Roman"/>
                <w:color w:val="000000" w:themeColor="text1"/>
                <w:sz w:val="24"/>
                <w:lang w:val="en-US" w:eastAsia="zh-CN"/>
              </w:rPr>
              <w:t>产品贵金属原料</w:t>
            </w:r>
          </w:p>
        </w:tc>
        <w:tc>
          <w:tcPr>
            <w:tcW w:w="4065" w:type="dxa"/>
            <w:vAlign w:val="center"/>
          </w:tcPr>
          <w:p>
            <w:pPr>
              <w:jc w:val="left"/>
              <w:rPr>
                <w:rFonts w:hint="eastAsia" w:ascii="仿宋" w:hAnsi="仿宋" w:eastAsia="仿宋" w:cs="Times New Roman"/>
                <w:color w:val="000000" w:themeColor="text1"/>
                <w:sz w:val="24"/>
              </w:rPr>
            </w:pPr>
            <w:r>
              <w:rPr>
                <w:rFonts w:hint="eastAsia" w:ascii="仿宋" w:hAnsi="仿宋" w:eastAsia="仿宋" w:cs="Times New Roman"/>
                <w:color w:val="000000" w:themeColor="text1"/>
                <w:sz w:val="24"/>
              </w:rPr>
              <w:t>由需方采购，贵金属原料成本由需方与服务商共担，在核算服务费前从销售结算金额中扣除。（贵金属原料价格参照上海黄金交易所实时价格，由双方共同确认）</w:t>
            </w:r>
          </w:p>
        </w:tc>
        <w:tc>
          <w:tcPr>
            <w:tcW w:w="1966" w:type="dxa"/>
            <w:vAlign w:val="center"/>
          </w:tcPr>
          <w:p>
            <w:pPr>
              <w:jc w:val="left"/>
              <w:rPr>
                <w:rFonts w:hint="eastAsia" w:ascii="仿宋" w:hAnsi="仿宋" w:eastAsia="仿宋" w:cs="宋体"/>
                <w:color w:val="000000" w:themeColor="text1"/>
                <w:sz w:val="24"/>
              </w:rPr>
            </w:pPr>
            <w:r>
              <w:rPr>
                <w:rFonts w:hint="eastAsia" w:ascii="仿宋" w:hAnsi="仿宋" w:eastAsia="仿宋" w:cs="宋体"/>
                <w:color w:val="000000" w:themeColor="text1"/>
                <w:sz w:val="24"/>
              </w:rPr>
              <w:t>是，提供自我承诺材料并加盖公章作为证明。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jc w:val="center"/>
              <w:rPr>
                <w:rFonts w:ascii="仿宋" w:hAnsi="仿宋" w:eastAsia="仿宋" w:cs="Times New Roman"/>
                <w:color w:val="000000" w:themeColor="text1"/>
                <w:sz w:val="24"/>
              </w:rPr>
            </w:pPr>
            <w:r>
              <w:rPr>
                <w:rFonts w:hint="default" w:ascii="仿宋" w:hAnsi="仿宋" w:eastAsia="仿宋" w:cs="Times New Roman"/>
                <w:color w:val="000000" w:themeColor="text1"/>
                <w:sz w:val="24"/>
                <w:lang w:val="en-US"/>
              </w:rPr>
              <w:t>8</w:t>
            </w:r>
          </w:p>
        </w:tc>
        <w:tc>
          <w:tcPr>
            <w:tcW w:w="1117"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w:t>
            </w:r>
          </w:p>
        </w:tc>
        <w:tc>
          <w:tcPr>
            <w:tcW w:w="1749"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产品主体中非贵金属组件</w:t>
            </w:r>
          </w:p>
        </w:tc>
        <w:tc>
          <w:tcPr>
            <w:tcW w:w="4065" w:type="dxa"/>
            <w:vAlign w:val="center"/>
          </w:tcPr>
          <w:p>
            <w:pPr>
              <w:jc w:val="left"/>
              <w:rPr>
                <w:rFonts w:hint="eastAsia" w:ascii="仿宋" w:hAnsi="仿宋" w:eastAsia="仿宋" w:cs="Times New Roman"/>
                <w:color w:val="000000" w:themeColor="text1"/>
                <w:sz w:val="24"/>
                <w:lang w:val="en-US" w:eastAsia="zh-CN"/>
              </w:rPr>
            </w:pPr>
            <w:r>
              <w:rPr>
                <w:rFonts w:hint="eastAsia" w:ascii="仿宋" w:hAnsi="仿宋" w:eastAsia="仿宋" w:cs="Times New Roman"/>
                <w:color w:val="000000" w:themeColor="text1"/>
                <w:sz w:val="24"/>
              </w:rPr>
              <w:t>若项目中涉及与主体不可分割的非贵金属组件，组件由需方采购，非贵金属组件费用由需方与服务商共担，在核算服务费前从销售结算金额中扣除。</w:t>
            </w:r>
            <w:r>
              <w:rPr>
                <w:rFonts w:hint="eastAsia" w:ascii="仿宋" w:hAnsi="仿宋" w:eastAsia="仿宋" w:cs="Times New Roman"/>
                <w:color w:val="000000" w:themeColor="text1"/>
                <w:sz w:val="24"/>
                <w:lang w:val="en-US" w:eastAsia="zh-CN"/>
              </w:rPr>
              <w:t>本项目</w:t>
            </w:r>
            <w:r>
              <w:rPr>
                <w:rFonts w:hint="eastAsia" w:ascii="仿宋" w:hAnsi="仿宋" w:eastAsia="仿宋" w:cs="Times New Roman"/>
                <w:color w:val="000000" w:themeColor="text1"/>
                <w:sz w:val="24"/>
              </w:rPr>
              <w:t>非贵金属组件</w:t>
            </w:r>
            <w:r>
              <w:rPr>
                <w:rFonts w:hint="eastAsia" w:ascii="仿宋" w:hAnsi="仿宋" w:eastAsia="仿宋" w:cs="Times New Roman"/>
                <w:color w:val="000000" w:themeColor="text1"/>
                <w:sz w:val="24"/>
                <w:lang w:val="en-US" w:eastAsia="zh-CN"/>
              </w:rPr>
              <w:t>包括：</w:t>
            </w:r>
          </w:p>
          <w:p>
            <w:pPr>
              <w:jc w:val="left"/>
              <w:rPr>
                <w:rFonts w:hint="eastAsia" w:ascii="仿宋" w:hAnsi="仿宋" w:eastAsia="仿宋" w:cs="Times New Roman"/>
                <w:color w:val="000000" w:themeColor="text1"/>
                <w:sz w:val="24"/>
              </w:rPr>
            </w:pPr>
            <w:r>
              <w:rPr>
                <w:rFonts w:hint="eastAsia" w:ascii="仿宋" w:hAnsi="仿宋" w:eastAsia="仿宋" w:cs="Times New Roman"/>
                <w:color w:val="000000" w:themeColor="text1"/>
                <w:sz w:val="24"/>
              </w:rPr>
              <w:t>（1）贵金属主体上镶嵌的非贵金属</w:t>
            </w:r>
            <w:r>
              <w:rPr>
                <w:rFonts w:hint="eastAsia" w:ascii="仿宋" w:hAnsi="仿宋" w:eastAsia="仿宋" w:cs="Times New Roman"/>
                <w:color w:val="000000" w:themeColor="text1"/>
                <w:sz w:val="24"/>
                <w:lang w:val="en-US" w:eastAsia="zh-CN"/>
              </w:rPr>
              <w:t>材料</w:t>
            </w:r>
            <w:r>
              <w:rPr>
                <w:rFonts w:hint="eastAsia" w:ascii="仿宋" w:hAnsi="仿宋" w:eastAsia="仿宋" w:cs="Times New Roman"/>
                <w:color w:val="000000" w:themeColor="text1"/>
                <w:sz w:val="24"/>
              </w:rPr>
              <w:t>；</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（2）实现</w:t>
            </w:r>
            <w:r>
              <w:rPr>
                <w:rFonts w:hint="eastAsia" w:ascii="仿宋" w:hAnsi="仿宋" w:eastAsia="仿宋" w:cs="Times New Roman"/>
                <w:color w:val="000000" w:themeColor="text1"/>
                <w:sz w:val="24"/>
                <w:lang w:val="en-US" w:eastAsia="zh-CN"/>
              </w:rPr>
              <w:t>产品</w:t>
            </w:r>
            <w:r>
              <w:rPr>
                <w:rFonts w:hint="eastAsia" w:ascii="仿宋" w:hAnsi="仿宋" w:eastAsia="仿宋" w:cs="Times New Roman"/>
                <w:color w:val="000000" w:themeColor="text1"/>
                <w:sz w:val="24"/>
              </w:rPr>
              <w:t>主体功能的</w:t>
            </w:r>
            <w:r>
              <w:rPr>
                <w:rFonts w:hint="eastAsia" w:ascii="仿宋" w:hAnsi="仿宋" w:eastAsia="仿宋" w:cs="Times New Roman"/>
                <w:color w:val="000000" w:themeColor="text1"/>
                <w:sz w:val="24"/>
                <w:lang w:val="en-US" w:eastAsia="zh-CN"/>
              </w:rPr>
              <w:t>配件</w:t>
            </w:r>
            <w:r>
              <w:rPr>
                <w:rFonts w:hint="eastAsia" w:ascii="仿宋" w:hAnsi="仿宋" w:eastAsia="仿宋" w:cs="Times New Roman"/>
                <w:color w:val="000000" w:themeColor="text1"/>
                <w:sz w:val="24"/>
              </w:rPr>
              <w:t>。</w:t>
            </w:r>
          </w:p>
        </w:tc>
        <w:tc>
          <w:tcPr>
            <w:tcW w:w="1966" w:type="dxa"/>
            <w:vAlign w:val="center"/>
          </w:tcPr>
          <w:p>
            <w:pPr>
              <w:jc w:val="left"/>
              <w:rPr>
                <w:rFonts w:ascii="仿宋" w:hAnsi="仿宋" w:eastAsia="仿宋" w:cs="Times New Roman"/>
                <w:color w:val="000000" w:themeColor="text1"/>
                <w:sz w:val="24"/>
              </w:rPr>
            </w:pPr>
            <w:r>
              <w:rPr>
                <w:rFonts w:hint="eastAsia" w:ascii="仿宋" w:hAnsi="仿宋" w:eastAsia="仿宋" w:cs="宋体"/>
                <w:color w:val="000000" w:themeColor="text1"/>
                <w:sz w:val="24"/>
              </w:rPr>
              <w:t>是，提供自我承诺材料并加盖公章作为证明。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jc w:val="center"/>
              <w:rPr>
                <w:rFonts w:ascii="仿宋" w:hAnsi="仿宋" w:eastAsia="仿宋" w:cs="Times New Roman"/>
                <w:color w:val="000000" w:themeColor="text1"/>
                <w:sz w:val="24"/>
              </w:rPr>
            </w:pPr>
            <w:r>
              <w:rPr>
                <w:rFonts w:hint="default" w:ascii="仿宋" w:hAnsi="仿宋" w:eastAsia="仿宋" w:cs="Times New Roman"/>
                <w:color w:val="000000" w:themeColor="text1"/>
                <w:sz w:val="24"/>
                <w:lang w:val="en-US"/>
              </w:rPr>
              <w:t>9</w:t>
            </w:r>
          </w:p>
        </w:tc>
        <w:tc>
          <w:tcPr>
            <w:tcW w:w="1117"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w:t>
            </w:r>
          </w:p>
        </w:tc>
        <w:tc>
          <w:tcPr>
            <w:tcW w:w="1749"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物流运输</w:t>
            </w:r>
          </w:p>
        </w:tc>
        <w:tc>
          <w:tcPr>
            <w:tcW w:w="4065" w:type="dxa"/>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服务商负责按照需方指令将包装辅材调运至需方指定地址（如成都、深圳、惠州、上海），并承担物流费用。产品整体组装后的</w:t>
            </w:r>
            <w:r>
              <w:rPr>
                <w:rFonts w:hint="eastAsia" w:ascii="仿宋" w:hAnsi="仿宋" w:eastAsia="仿宋" w:cs="Times New Roman"/>
                <w:color w:val="000000" w:themeColor="text1"/>
                <w:sz w:val="24"/>
                <w:lang w:eastAsia="zh-CN"/>
              </w:rPr>
              <w:t>物流运输费用</w:t>
            </w:r>
            <w:r>
              <w:rPr>
                <w:rFonts w:hint="eastAsia" w:ascii="仿宋" w:hAnsi="仿宋" w:eastAsia="仿宋" w:cs="Times New Roman"/>
                <w:color w:val="000000" w:themeColor="text1"/>
                <w:sz w:val="24"/>
              </w:rPr>
              <w:t>由服务商承担50%</w:t>
            </w:r>
            <w:r>
              <w:rPr>
                <w:rFonts w:hint="eastAsia" w:ascii="仿宋" w:hAnsi="仿宋" w:eastAsia="仿宋" w:cs="Times New Roman"/>
                <w:color w:val="000000" w:themeColor="text1"/>
                <w:sz w:val="24"/>
                <w:lang w:eastAsia="zh-CN"/>
              </w:rPr>
              <w:t>，</w:t>
            </w:r>
            <w:r>
              <w:rPr>
                <w:rFonts w:hint="eastAsia" w:ascii="仿宋" w:hAnsi="仿宋" w:eastAsia="仿宋" w:cs="Times New Roman"/>
                <w:color w:val="000000" w:themeColor="text1"/>
                <w:sz w:val="24"/>
                <w:lang w:val="en-US" w:eastAsia="zh-CN"/>
              </w:rPr>
              <w:t>并自行向承运方支付</w:t>
            </w:r>
            <w:r>
              <w:rPr>
                <w:rFonts w:hint="eastAsia" w:ascii="仿宋" w:hAnsi="仿宋" w:eastAsia="仿宋" w:cs="Times New Roman"/>
                <w:color w:val="000000" w:themeColor="text1"/>
                <w:sz w:val="24"/>
              </w:rPr>
              <w:t>。</w:t>
            </w:r>
          </w:p>
        </w:tc>
        <w:tc>
          <w:tcPr>
            <w:tcW w:w="1966" w:type="dxa"/>
            <w:vAlign w:val="center"/>
          </w:tcPr>
          <w:p>
            <w:pPr>
              <w:jc w:val="left"/>
              <w:rPr>
                <w:rFonts w:ascii="仿宋" w:hAnsi="仿宋" w:eastAsia="仿宋" w:cs="Times New Roman"/>
                <w:color w:val="000000" w:themeColor="text1"/>
                <w:sz w:val="24"/>
              </w:rPr>
            </w:pPr>
            <w:r>
              <w:rPr>
                <w:rFonts w:hint="eastAsia" w:ascii="仿宋" w:hAnsi="仿宋" w:eastAsia="仿宋" w:cs="宋体"/>
                <w:color w:val="000000" w:themeColor="text1"/>
                <w:sz w:val="24"/>
              </w:rPr>
              <w:t>是，提供自我承诺材料并加盖公章作为证明。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jc w:val="center"/>
              <w:rPr>
                <w:rFonts w:hint="default" w:ascii="仿宋" w:hAnsi="仿宋" w:eastAsia="仿宋" w:cs="Times New Roman"/>
                <w:color w:val="000000" w:themeColor="text1"/>
                <w:sz w:val="24"/>
                <w:lang w:val="en-US"/>
              </w:rPr>
            </w:pPr>
            <w:r>
              <w:rPr>
                <w:rFonts w:hint="default" w:ascii="仿宋" w:hAnsi="仿宋" w:eastAsia="仿宋" w:cs="Times New Roman"/>
                <w:color w:val="000000" w:themeColor="text1"/>
                <w:sz w:val="24"/>
                <w:lang w:val="en-US"/>
              </w:rPr>
              <w:t>10</w:t>
            </w:r>
          </w:p>
        </w:tc>
        <w:tc>
          <w:tcPr>
            <w:tcW w:w="1117"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w:t>
            </w:r>
          </w:p>
        </w:tc>
        <w:tc>
          <w:tcPr>
            <w:tcW w:w="1749" w:type="dxa"/>
            <w:vAlign w:val="center"/>
          </w:tcPr>
          <w:p>
            <w:pPr>
              <w:jc w:val="center"/>
              <w:rPr>
                <w:rFonts w:ascii="仿宋" w:hAnsi="仿宋" w:eastAsia="仿宋" w:cs="Times New Roman"/>
                <w:color w:val="000000" w:themeColor="text1"/>
                <w:sz w:val="28"/>
                <w:szCs w:val="28"/>
              </w:rPr>
            </w:pPr>
            <w:r>
              <w:rPr>
                <w:rFonts w:hint="eastAsia" w:ascii="仿宋" w:hAnsi="仿宋" w:eastAsia="仿宋" w:cs="Times New Roman"/>
                <w:color w:val="000000" w:themeColor="text1"/>
                <w:sz w:val="24"/>
              </w:rPr>
              <w:t>类似业绩</w:t>
            </w:r>
          </w:p>
        </w:tc>
        <w:tc>
          <w:tcPr>
            <w:tcW w:w="4065" w:type="dxa"/>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1.投标人需提供近三年（以投标截止时间为准）以来与银行或银行合作方签订的可体现贵金属销售服务的合作协议，以及对应服务费发票。单个业绩服务费金额不低于100</w:t>
            </w:r>
            <w:r>
              <w:rPr>
                <w:rFonts w:ascii="仿宋" w:hAnsi="仿宋" w:eastAsia="仿宋" w:cs="Times New Roman"/>
                <w:color w:val="000000" w:themeColor="text1"/>
                <w:sz w:val="24"/>
              </w:rPr>
              <w:t>0</w:t>
            </w:r>
            <w:r>
              <w:rPr>
                <w:rFonts w:hint="eastAsia" w:ascii="仿宋" w:hAnsi="仿宋" w:eastAsia="仿宋" w:cs="Times New Roman"/>
                <w:color w:val="000000" w:themeColor="text1"/>
                <w:sz w:val="24"/>
              </w:rPr>
              <w:t>万元。</w:t>
            </w:r>
          </w:p>
          <w:p>
            <w:pPr>
              <w:jc w:val="left"/>
              <w:rPr>
                <w:rFonts w:ascii="仿宋" w:hAnsi="仿宋" w:eastAsia="仿宋" w:cs="Times New Roman"/>
                <w:color w:val="000000" w:themeColor="text1"/>
                <w:sz w:val="28"/>
                <w:szCs w:val="28"/>
              </w:rPr>
            </w:pPr>
            <w:r>
              <w:rPr>
                <w:rFonts w:hint="eastAsia" w:ascii="仿宋" w:hAnsi="仿宋" w:eastAsia="仿宋" w:cs="Times New Roman"/>
                <w:color w:val="000000" w:themeColor="text1"/>
                <w:sz w:val="24"/>
              </w:rPr>
              <w:t>2.投标人需提供与上述业绩中贵金属产品或产品系列相对应的广告宣传片，以及与新媒体（抖音、小红书、快手）合作的宣传案例。</w:t>
            </w:r>
          </w:p>
        </w:tc>
        <w:tc>
          <w:tcPr>
            <w:tcW w:w="1966" w:type="dxa"/>
          </w:tcPr>
          <w:p>
            <w:pPr>
              <w:rPr>
                <w:rFonts w:ascii="仿宋" w:hAnsi="仿宋" w:eastAsia="仿宋" w:cs="Times New Roman"/>
                <w:color w:val="000000" w:themeColor="text1"/>
                <w:sz w:val="24"/>
              </w:rPr>
            </w:pPr>
            <w:r>
              <w:rPr>
                <w:rFonts w:hint="eastAsia" w:ascii="仿宋" w:hAnsi="仿宋" w:eastAsia="仿宋" w:cs="Times New Roman"/>
                <w:color w:val="000000" w:themeColor="text1"/>
                <w:sz w:val="24"/>
              </w:rPr>
              <w:t>是。</w:t>
            </w:r>
          </w:p>
          <w:p>
            <w:pPr>
              <w:rPr>
                <w:rFonts w:ascii="仿宋" w:hAnsi="仿宋" w:eastAsia="仿宋" w:cs="Times New Roman"/>
                <w:color w:val="000000" w:themeColor="text1"/>
                <w:sz w:val="24"/>
              </w:rPr>
            </w:pPr>
            <w:r>
              <w:rPr>
                <w:rFonts w:hint="eastAsia" w:ascii="仿宋" w:hAnsi="仿宋" w:eastAsia="仿宋" w:cs="Times New Roman"/>
                <w:color w:val="000000" w:themeColor="text1"/>
                <w:sz w:val="24"/>
              </w:rPr>
              <w:t>1.业绩证明需提供合同关键页等材料，体现服务内容、服务费金额；</w:t>
            </w:r>
          </w:p>
          <w:p>
            <w:pPr>
              <w:rPr>
                <w:rFonts w:ascii="仿宋" w:hAnsi="仿宋" w:eastAsia="仿宋" w:cs="Times New Roman"/>
                <w:color w:val="000000" w:themeColor="text1"/>
                <w:sz w:val="24"/>
              </w:rPr>
            </w:pPr>
            <w:r>
              <w:rPr>
                <w:rFonts w:hint="eastAsia" w:ascii="仿宋" w:hAnsi="仿宋" w:eastAsia="仿宋" w:cs="Times New Roman"/>
                <w:color w:val="000000" w:themeColor="text1"/>
                <w:sz w:val="24"/>
              </w:rPr>
              <w:t>2.广告宣传片为对应产品或产品系列专门拍摄制作，投标文件中提供宣传片作品说明、作品截图、播放链接等核验佐证材料。</w:t>
            </w:r>
          </w:p>
          <w:p>
            <w:pPr>
              <w:rPr>
                <w:rFonts w:ascii="仿宋" w:hAnsi="仿宋" w:eastAsia="仿宋" w:cs="Times New Roman"/>
                <w:color w:val="000000" w:themeColor="text1"/>
                <w:sz w:val="24"/>
              </w:rPr>
            </w:pPr>
            <w:r>
              <w:rPr>
                <w:rFonts w:hint="eastAsia" w:ascii="仿宋" w:hAnsi="仿宋" w:eastAsia="仿宋" w:cs="Times New Roman"/>
                <w:color w:val="000000" w:themeColor="text1"/>
                <w:sz w:val="24"/>
              </w:rPr>
              <w:t>3.新媒体宣传案例需提供案例说明、发布截图、链接等佐证材料。</w:t>
            </w:r>
          </w:p>
          <w:p>
            <w:pPr>
              <w:rPr>
                <w:rFonts w:ascii="仿宋" w:hAnsi="仿宋" w:eastAsia="仿宋" w:cs="Times New Roman"/>
                <w:color w:val="000000" w:themeColor="text1"/>
                <w:sz w:val="28"/>
                <w:szCs w:val="28"/>
              </w:rPr>
            </w:pPr>
            <w:r>
              <w:rPr>
                <w:rFonts w:hint="eastAsia" w:ascii="仿宋" w:hAnsi="仿宋" w:eastAsia="仿宋" w:cs="Times New Roman"/>
                <w:color w:val="000000" w:themeColor="text1"/>
                <w:sz w:val="24"/>
              </w:rPr>
              <w:t>4.以上证明材料需提供加盖公章复印件，投标人可将广告宣传片、短视频存储于U盘密封提交，U盘仅作补充佐证，不作为得分必要条件。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jc w:val="center"/>
              <w:rPr>
                <w:rFonts w:hint="default" w:ascii="仿宋" w:hAnsi="仿宋" w:eastAsia="仿宋" w:cs="Times New Roman"/>
                <w:color w:val="000000" w:themeColor="text1"/>
                <w:sz w:val="24"/>
                <w:lang w:val="en-US"/>
              </w:rPr>
            </w:pPr>
            <w:r>
              <w:rPr>
                <w:rFonts w:hint="default" w:ascii="仿宋" w:hAnsi="仿宋" w:eastAsia="仿宋" w:cs="Times New Roman"/>
                <w:color w:val="000000" w:themeColor="text1"/>
                <w:sz w:val="24"/>
                <w:lang w:val="en-US"/>
              </w:rPr>
              <w:t>11</w:t>
            </w:r>
          </w:p>
        </w:tc>
        <w:tc>
          <w:tcPr>
            <w:tcW w:w="1117"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w:t>
            </w:r>
          </w:p>
        </w:tc>
        <w:tc>
          <w:tcPr>
            <w:tcW w:w="1749" w:type="dxa"/>
            <w:vAlign w:val="center"/>
          </w:tcPr>
          <w:p>
            <w:pPr>
              <w:jc w:val="center"/>
              <w:rPr>
                <w:rFonts w:ascii="仿宋" w:hAnsi="仿宋" w:eastAsia="仿宋" w:cs="Times New Roman"/>
                <w:color w:val="000000" w:themeColor="text1"/>
                <w:sz w:val="24"/>
              </w:rPr>
            </w:pPr>
            <w:r>
              <w:rPr>
                <w:rFonts w:hint="eastAsia" w:ascii="仿宋" w:hAnsi="仿宋" w:eastAsia="仿宋" w:cs="Times New Roman"/>
                <w:color w:val="000000" w:themeColor="text1"/>
                <w:sz w:val="24"/>
              </w:rPr>
              <w:t>IP资源获取能力</w:t>
            </w:r>
          </w:p>
        </w:tc>
        <w:tc>
          <w:tcPr>
            <w:tcW w:w="4065" w:type="dxa"/>
            <w:vAlign w:val="center"/>
          </w:tcPr>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1.投标人应具备整合大型IP资源的能力，包括但不限于国家一级博物馆（国家一级博物馆查询链接：http://nb.ncha.gov.cn/）、省部级及以上文化单位及同等级文化IP。</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2.投标人负责取得IP授权，并承担IP授权费用。需方在该银行每年运营IP资源项目约为2个。</w:t>
            </w:r>
          </w:p>
        </w:tc>
        <w:tc>
          <w:tcPr>
            <w:tcW w:w="1966" w:type="dxa"/>
          </w:tcPr>
          <w:p>
            <w:pPr>
              <w:rPr>
                <w:rFonts w:ascii="仿宋" w:hAnsi="仿宋" w:eastAsia="仿宋" w:cs="Times New Roman"/>
                <w:color w:val="000000" w:themeColor="text1"/>
                <w:sz w:val="24"/>
              </w:rPr>
            </w:pPr>
            <w:r>
              <w:rPr>
                <w:rFonts w:hint="eastAsia" w:ascii="仿宋" w:hAnsi="仿宋" w:eastAsia="仿宋" w:cs="Times New Roman"/>
                <w:color w:val="000000" w:themeColor="text1"/>
                <w:sz w:val="24"/>
              </w:rPr>
              <w:t>是。</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投标人需阐述IP资源获取能力，至少包含以下内容：</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1.IP合作资源：投标人需阐述已取得的有效IP授权或转授权文件（国家一级博物馆、省部级及以上文化单位及同等级文化IP），说明合作模式、授权范围及授权期限。</w:t>
            </w:r>
          </w:p>
          <w:p>
            <w:pPr>
              <w:jc w:val="left"/>
              <w:rPr>
                <w:rFonts w:ascii="仿宋" w:hAnsi="仿宋" w:eastAsia="仿宋" w:cs="Times New Roman"/>
                <w:color w:val="000000" w:themeColor="text1"/>
                <w:sz w:val="24"/>
              </w:rPr>
            </w:pPr>
            <w:r>
              <w:rPr>
                <w:rFonts w:hint="eastAsia" w:ascii="仿宋" w:hAnsi="仿宋" w:eastAsia="仿宋" w:cs="Times New Roman"/>
                <w:color w:val="000000" w:themeColor="text1"/>
                <w:sz w:val="24"/>
              </w:rPr>
              <w:t>注：授权文件可为授权方直接授权或经授权方允许的合法转授权文件；授权范围包含项目开展所需的相关权利。</w:t>
            </w:r>
          </w:p>
          <w:p>
            <w:pPr>
              <w:rPr>
                <w:rFonts w:ascii="仿宋" w:hAnsi="仿宋" w:eastAsia="仿宋" w:cs="Times New Roman"/>
                <w:color w:val="000000" w:themeColor="text1"/>
                <w:sz w:val="24"/>
              </w:rPr>
            </w:pPr>
            <w:r>
              <w:rPr>
                <w:rFonts w:hint="eastAsia" w:ascii="仿宋" w:hAnsi="仿宋" w:eastAsia="仿宋" w:cs="Times New Roman"/>
                <w:color w:val="000000" w:themeColor="text1"/>
                <w:sz w:val="24"/>
              </w:rPr>
              <w:t>2.已获取IP项目成功案例：投标人需提供近三年（以投标截止时间为准）已成功获取并完成商业转化IP授权项目案例，包含国家一级博物馆、省部级及以上文化单位及同等级文化IP，每个案例需包含IP名称及授权方、项目周期、合作模式、销售渠道等内容。</w:t>
            </w:r>
          </w:p>
        </w:tc>
      </w:tr>
    </w:tbl>
    <w:p>
      <w:pPr>
        <w:spacing w:line="360" w:lineRule="auto"/>
        <w:ind w:firstLine="640" w:firstLineChars="200"/>
        <w:rPr>
          <w:rFonts w:ascii="仿宋" w:hAnsi="仿宋" w:eastAsia="仿宋" w:cs="Times New Roman"/>
          <w:iCs/>
          <w:color w:val="000000" w:themeColor="text1"/>
          <w:sz w:val="32"/>
          <w:szCs w:val="32"/>
        </w:rPr>
      </w:pPr>
      <w:r>
        <w:rPr>
          <w:rFonts w:ascii="仿宋" w:hAnsi="仿宋" w:eastAsia="仿宋" w:cs="Times New Roman"/>
          <w:iCs/>
          <w:color w:val="000000" w:themeColor="text1"/>
          <w:sz w:val="32"/>
          <w:szCs w:val="32"/>
        </w:rPr>
        <w:t>B</w:t>
      </w:r>
      <w:r>
        <w:rPr>
          <w:rFonts w:hint="eastAsia" w:ascii="仿宋" w:hAnsi="仿宋" w:eastAsia="仿宋" w:cs="Times New Roman"/>
          <w:iCs/>
          <w:color w:val="000000" w:themeColor="text1"/>
          <w:sz w:val="32"/>
          <w:szCs w:val="32"/>
        </w:rPr>
        <w:t>、付款方式</w:t>
      </w:r>
    </w:p>
    <w:tbl>
      <w:tblPr>
        <w:tblStyle w:val="16"/>
        <w:tblpPr w:leftFromText="180" w:rightFromText="180" w:vertAnchor="text" w:tblpY="1"/>
        <w:tblOverlap w:val="never"/>
        <w:tblW w:w="9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559"/>
        <w:gridCol w:w="3297"/>
        <w:gridCol w:w="1229"/>
        <w:gridCol w:w="839"/>
        <w:gridCol w:w="1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846" w:type="dxa"/>
            <w:vAlign w:val="center"/>
          </w:tcPr>
          <w:p>
            <w:pPr>
              <w:widowControl/>
              <w:jc w:val="center"/>
              <w:textAlignment w:val="center"/>
              <w:rPr>
                <w:rFonts w:ascii="仿宋" w:hAnsi="仿宋" w:eastAsia="仿宋" w:cs="宋体"/>
                <w:b/>
                <w:color w:val="000000" w:themeColor="text1"/>
                <w:kern w:val="0"/>
                <w:sz w:val="28"/>
                <w:szCs w:val="28"/>
              </w:rPr>
            </w:pPr>
            <w:r>
              <w:rPr>
                <w:rFonts w:hint="eastAsia" w:ascii="仿宋" w:hAnsi="仿宋" w:eastAsia="仿宋" w:cs="宋体"/>
                <w:b/>
                <w:color w:val="000000" w:themeColor="text1"/>
                <w:kern w:val="0"/>
                <w:sz w:val="28"/>
                <w:szCs w:val="28"/>
              </w:rPr>
              <w:t>序号</w:t>
            </w:r>
          </w:p>
        </w:tc>
        <w:tc>
          <w:tcPr>
            <w:tcW w:w="1559" w:type="dxa"/>
            <w:vAlign w:val="center"/>
          </w:tcPr>
          <w:p>
            <w:pPr>
              <w:jc w:val="center"/>
              <w:rPr>
                <w:rFonts w:ascii="仿宋" w:hAnsi="仿宋" w:eastAsia="仿宋" w:cs="Times New Roman"/>
                <w:b/>
                <w:color w:val="000000" w:themeColor="text1"/>
                <w:sz w:val="28"/>
                <w:szCs w:val="28"/>
              </w:rPr>
            </w:pPr>
            <w:r>
              <w:rPr>
                <w:rFonts w:hint="eastAsia" w:ascii="仿宋" w:hAnsi="仿宋" w:eastAsia="仿宋" w:cs="Times New Roman"/>
                <w:b/>
                <w:color w:val="000000" w:themeColor="text1"/>
                <w:sz w:val="28"/>
                <w:szCs w:val="28"/>
              </w:rPr>
              <w:t>付款节点（进度</w:t>
            </w:r>
            <w:r>
              <w:rPr>
                <w:rFonts w:ascii="仿宋" w:hAnsi="仿宋" w:eastAsia="仿宋" w:cs="Times New Roman"/>
                <w:b/>
                <w:color w:val="000000" w:themeColor="text1"/>
                <w:sz w:val="28"/>
                <w:szCs w:val="28"/>
              </w:rPr>
              <w:t>）</w:t>
            </w:r>
          </w:p>
        </w:tc>
        <w:tc>
          <w:tcPr>
            <w:tcW w:w="3297" w:type="dxa"/>
            <w:vAlign w:val="center"/>
          </w:tcPr>
          <w:p>
            <w:pPr>
              <w:jc w:val="center"/>
              <w:rPr>
                <w:rFonts w:ascii="仿宋" w:hAnsi="仿宋" w:eastAsia="仿宋" w:cs="Times New Roman"/>
                <w:b/>
                <w:color w:val="000000" w:themeColor="text1"/>
                <w:sz w:val="28"/>
                <w:szCs w:val="28"/>
              </w:rPr>
            </w:pPr>
            <w:r>
              <w:rPr>
                <w:rFonts w:hint="eastAsia" w:ascii="仿宋" w:hAnsi="仿宋" w:eastAsia="仿宋" w:cs="Times New Roman"/>
                <w:b/>
                <w:color w:val="000000" w:themeColor="text1"/>
                <w:sz w:val="28"/>
                <w:szCs w:val="28"/>
              </w:rPr>
              <w:t>付款条件</w:t>
            </w:r>
          </w:p>
        </w:tc>
        <w:tc>
          <w:tcPr>
            <w:tcW w:w="1229" w:type="dxa"/>
            <w:vAlign w:val="center"/>
          </w:tcPr>
          <w:p>
            <w:pPr>
              <w:jc w:val="center"/>
              <w:rPr>
                <w:rFonts w:ascii="仿宋" w:hAnsi="仿宋" w:eastAsia="仿宋" w:cs="Times New Roman"/>
                <w:b/>
                <w:color w:val="000000" w:themeColor="text1"/>
                <w:sz w:val="28"/>
                <w:szCs w:val="28"/>
              </w:rPr>
            </w:pPr>
            <w:r>
              <w:rPr>
                <w:rFonts w:hint="eastAsia" w:ascii="仿宋" w:hAnsi="仿宋" w:eastAsia="仿宋" w:cs="Times New Roman"/>
                <w:b/>
                <w:color w:val="000000" w:themeColor="text1"/>
                <w:sz w:val="28"/>
                <w:szCs w:val="28"/>
              </w:rPr>
              <w:t>付款比例（或金额）</w:t>
            </w:r>
          </w:p>
        </w:tc>
        <w:tc>
          <w:tcPr>
            <w:tcW w:w="839" w:type="dxa"/>
          </w:tcPr>
          <w:p>
            <w:pPr>
              <w:jc w:val="center"/>
              <w:rPr>
                <w:rFonts w:ascii="仿宋" w:hAnsi="仿宋" w:eastAsia="仿宋" w:cs="Times New Roman"/>
                <w:b/>
                <w:color w:val="000000" w:themeColor="text1"/>
                <w:sz w:val="28"/>
                <w:szCs w:val="28"/>
              </w:rPr>
            </w:pPr>
            <w:r>
              <w:rPr>
                <w:rFonts w:hint="eastAsia" w:ascii="仿宋" w:hAnsi="仿宋" w:eastAsia="仿宋" w:cs="Times New Roman"/>
                <w:b/>
                <w:color w:val="000000" w:themeColor="text1"/>
                <w:sz w:val="28"/>
                <w:szCs w:val="28"/>
              </w:rPr>
              <w:t>资金支付</w:t>
            </w:r>
            <w:r>
              <w:rPr>
                <w:rFonts w:ascii="仿宋" w:hAnsi="仿宋" w:eastAsia="仿宋" w:cs="Times New Roman"/>
                <w:b/>
                <w:color w:val="000000" w:themeColor="text1"/>
                <w:sz w:val="28"/>
                <w:szCs w:val="28"/>
              </w:rPr>
              <w:t>方式</w:t>
            </w:r>
          </w:p>
        </w:tc>
        <w:tc>
          <w:tcPr>
            <w:tcW w:w="1507" w:type="dxa"/>
            <w:vAlign w:val="center"/>
          </w:tcPr>
          <w:p>
            <w:pPr>
              <w:jc w:val="center"/>
              <w:rPr>
                <w:rFonts w:ascii="仿宋" w:hAnsi="仿宋" w:eastAsia="仿宋" w:cs="Times New Roman"/>
                <w:b/>
                <w:color w:val="000000" w:themeColor="text1"/>
                <w:sz w:val="28"/>
                <w:szCs w:val="28"/>
              </w:rPr>
            </w:pPr>
            <w:r>
              <w:rPr>
                <w:rFonts w:hint="eastAsia" w:ascii="仿宋" w:hAnsi="仿宋" w:eastAsia="仿宋" w:cs="Times New Roman"/>
                <w:b/>
                <w:color w:val="000000" w:themeColor="text1"/>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 w:hRule="atLeast"/>
        </w:trPr>
        <w:tc>
          <w:tcPr>
            <w:tcW w:w="846" w:type="dxa"/>
            <w:vAlign w:val="center"/>
          </w:tcPr>
          <w:p>
            <w:pPr>
              <w:jc w:val="center"/>
              <w:rPr>
                <w:rFonts w:ascii="仿宋" w:hAnsi="仿宋" w:eastAsia="仿宋" w:cs="宋体"/>
                <w:color w:val="000000" w:themeColor="text1"/>
                <w:kern w:val="0"/>
                <w:sz w:val="28"/>
                <w:szCs w:val="28"/>
              </w:rPr>
            </w:pPr>
            <w:r>
              <w:rPr>
                <w:rFonts w:hint="eastAsia" w:ascii="仿宋" w:hAnsi="仿宋" w:eastAsia="仿宋" w:cs="Times New Roman"/>
                <w:color w:val="000000" w:themeColor="text1"/>
                <w:sz w:val="24"/>
              </w:rPr>
              <w:t>1</w:t>
            </w:r>
          </w:p>
        </w:tc>
        <w:tc>
          <w:tcPr>
            <w:tcW w:w="1559" w:type="dxa"/>
            <w:vAlign w:val="center"/>
          </w:tcPr>
          <w:p>
            <w:pPr>
              <w:jc w:val="center"/>
              <w:rPr>
                <w:rFonts w:ascii="仿宋" w:hAnsi="仿宋" w:eastAsia="仿宋" w:cs="Times New Roman"/>
                <w:color w:val="000000" w:themeColor="text1"/>
                <w:sz w:val="28"/>
                <w:szCs w:val="28"/>
              </w:rPr>
            </w:pPr>
            <w:r>
              <w:rPr>
                <w:rFonts w:hint="eastAsia" w:ascii="仿宋" w:hAnsi="仿宋" w:eastAsia="仿宋" w:cs="Times New Roman"/>
                <w:color w:val="000000" w:themeColor="text1"/>
                <w:sz w:val="24"/>
              </w:rPr>
              <w:t>按月</w:t>
            </w:r>
          </w:p>
        </w:tc>
        <w:tc>
          <w:tcPr>
            <w:tcW w:w="3297" w:type="dxa"/>
          </w:tcPr>
          <w:p>
            <w:pPr>
              <w:rPr>
                <w:rFonts w:ascii="仿宋" w:hAnsi="仿宋" w:eastAsia="仿宋" w:cs="Times New Roman"/>
                <w:color w:val="000000" w:themeColor="text1"/>
                <w:sz w:val="24"/>
              </w:rPr>
            </w:pPr>
            <w:r>
              <w:rPr>
                <w:rFonts w:hint="default" w:ascii="仿宋" w:hAnsi="仿宋" w:eastAsia="仿宋" w:cs="Times New Roman"/>
                <w:color w:val="000000" w:themeColor="text1"/>
                <w:sz w:val="24"/>
                <w:lang w:val="en-US"/>
              </w:rPr>
              <w:t>1</w:t>
            </w:r>
            <w:r>
              <w:rPr>
                <w:rFonts w:hint="eastAsia" w:ascii="仿宋" w:hAnsi="仿宋" w:eastAsia="仿宋" w:cs="Times New Roman"/>
                <w:color w:val="000000" w:themeColor="text1"/>
                <w:sz w:val="24"/>
                <w:lang w:val="en-US" w:eastAsia="zh-CN"/>
              </w:rPr>
              <w:t>、</w:t>
            </w:r>
            <w:r>
              <w:rPr>
                <w:rFonts w:hint="eastAsia" w:ascii="仿宋" w:hAnsi="仿宋" w:eastAsia="仿宋" w:cs="Times New Roman"/>
                <w:color w:val="000000" w:themeColor="text1"/>
                <w:sz w:val="24"/>
              </w:rPr>
              <w:t>需方与银行完成销售款项结算后</w:t>
            </w:r>
            <w:r>
              <w:rPr>
                <w:rFonts w:hint="eastAsia" w:ascii="仿宋" w:hAnsi="仿宋" w:eastAsia="仿宋" w:cs="Times New Roman"/>
                <w:color w:val="000000" w:themeColor="text1"/>
                <w:sz w:val="24"/>
                <w:lang w:eastAsia="zh-CN"/>
              </w:rPr>
              <w:t>，</w:t>
            </w:r>
            <w:r>
              <w:rPr>
                <w:rFonts w:hint="eastAsia" w:ascii="仿宋" w:hAnsi="仿宋" w:eastAsia="仿宋" w:cs="Times New Roman"/>
                <w:color w:val="000000" w:themeColor="text1"/>
                <w:sz w:val="24"/>
                <w:lang w:val="en-US" w:eastAsia="zh-CN"/>
              </w:rPr>
              <w:t>与服务商结算服务费，</w:t>
            </w:r>
            <w:r>
              <w:rPr>
                <w:rFonts w:hint="eastAsia" w:ascii="仿宋" w:hAnsi="仿宋" w:eastAsia="仿宋" w:cs="Times New Roman"/>
                <w:color w:val="000000" w:themeColor="text1"/>
                <w:sz w:val="24"/>
              </w:rPr>
              <w:t>具体如下：</w:t>
            </w:r>
          </w:p>
          <w:p>
            <w:pPr>
              <w:rPr>
                <w:rFonts w:ascii="仿宋" w:hAnsi="仿宋" w:eastAsia="仿宋" w:cs="Times New Roman"/>
                <w:color w:val="000000" w:themeColor="text1"/>
                <w:sz w:val="24"/>
              </w:rPr>
            </w:pPr>
            <w:r>
              <w:rPr>
                <w:rFonts w:hint="eastAsia" w:ascii="仿宋" w:hAnsi="仿宋" w:eastAsia="仿宋" w:cs="Times New Roman"/>
                <w:color w:val="000000" w:themeColor="text1"/>
                <w:sz w:val="24"/>
              </w:rPr>
              <w:t>需方支付给服务商的服务费 =</w:t>
            </w:r>
            <w:r>
              <w:rPr>
                <w:rFonts w:hint="eastAsia" w:ascii="仿宋" w:hAnsi="仿宋" w:eastAsia="仿宋" w:cs="Times New Roman"/>
                <w:color w:val="000000" w:themeColor="text1"/>
                <w:sz w:val="24"/>
                <w:lang w:eastAsia="zh-CN"/>
              </w:rPr>
              <w:t>（</w:t>
            </w:r>
            <w:r>
              <w:rPr>
                <w:rFonts w:hint="eastAsia" w:ascii="仿宋" w:hAnsi="仿宋" w:eastAsia="仿宋" w:cs="Times New Roman"/>
                <w:color w:val="000000" w:themeColor="text1"/>
                <w:sz w:val="24"/>
                <w:lang w:val="en-US" w:eastAsia="zh-CN"/>
              </w:rPr>
              <w:t>销售结算金额</w:t>
            </w:r>
            <w:r>
              <w:rPr>
                <w:rFonts w:hint="eastAsia" w:ascii="仿宋" w:hAnsi="仿宋" w:eastAsia="仿宋" w:cs="Times New Roman"/>
                <w:color w:val="000000" w:themeColor="text1"/>
                <w:sz w:val="24"/>
              </w:rPr>
              <w:t>-</w:t>
            </w:r>
            <w:r>
              <w:rPr>
                <w:rFonts w:hint="eastAsia" w:ascii="仿宋" w:hAnsi="仿宋" w:eastAsia="仿宋" w:cs="Times New Roman"/>
                <w:color w:val="000000" w:themeColor="text1"/>
                <w:sz w:val="24"/>
                <w:lang w:val="en-US" w:eastAsia="zh-CN"/>
              </w:rPr>
              <w:t>共担成本</w:t>
            </w:r>
            <w:r>
              <w:rPr>
                <w:rFonts w:hint="eastAsia" w:ascii="仿宋" w:hAnsi="仿宋" w:eastAsia="仿宋" w:cs="Times New Roman"/>
                <w:color w:val="000000" w:themeColor="text1"/>
                <w:sz w:val="24"/>
              </w:rPr>
              <w:t>-消费税额）×服务费比例</w:t>
            </w:r>
          </w:p>
          <w:p>
            <w:pPr>
              <w:rPr>
                <w:rFonts w:ascii="仿宋" w:hAnsi="仿宋" w:eastAsia="仿宋" w:cs="Times New Roman"/>
                <w:color w:val="000000" w:themeColor="text1"/>
                <w:sz w:val="28"/>
                <w:szCs w:val="28"/>
              </w:rPr>
            </w:pPr>
            <w:r>
              <w:rPr>
                <w:rFonts w:hint="default" w:ascii="仿宋" w:hAnsi="仿宋" w:eastAsia="仿宋" w:cs="Times New Roman"/>
                <w:color w:val="000000" w:themeColor="text1"/>
                <w:sz w:val="24"/>
                <w:lang w:val="en-US" w:eastAsia="zh-CN"/>
              </w:rPr>
              <w:t>2</w:t>
            </w:r>
            <w:r>
              <w:rPr>
                <w:rFonts w:hint="eastAsia" w:ascii="仿宋" w:hAnsi="仿宋" w:eastAsia="仿宋" w:cs="Times New Roman"/>
                <w:color w:val="000000" w:themeColor="text1"/>
                <w:sz w:val="24"/>
                <w:lang w:val="en-US" w:eastAsia="zh-CN"/>
              </w:rPr>
              <w:t>、供需</w:t>
            </w:r>
            <w:r>
              <w:rPr>
                <w:rFonts w:hint="eastAsia" w:ascii="仿宋" w:hAnsi="仿宋" w:eastAsia="仿宋" w:cs="Times New Roman"/>
                <w:color w:val="000000" w:themeColor="text1"/>
                <w:sz w:val="24"/>
              </w:rPr>
              <w:t>双方每月按上述结算方式进行销售服务费核对、结算，</w:t>
            </w:r>
            <w:r>
              <w:rPr>
                <w:rFonts w:hint="eastAsia" w:ascii="仿宋" w:hAnsi="仿宋" w:eastAsia="仿宋" w:cs="Times New Roman"/>
                <w:color w:val="000000" w:themeColor="text1"/>
                <w:sz w:val="24"/>
                <w:lang w:val="en-US" w:eastAsia="zh-CN"/>
              </w:rPr>
              <w:t>供方</w:t>
            </w:r>
            <w:r>
              <w:rPr>
                <w:rFonts w:hint="eastAsia" w:ascii="仿宋" w:hAnsi="仿宋" w:eastAsia="仿宋" w:cs="Times New Roman"/>
                <w:color w:val="000000" w:themeColor="text1"/>
                <w:sz w:val="24"/>
              </w:rPr>
              <w:t>向</w:t>
            </w:r>
            <w:r>
              <w:rPr>
                <w:rFonts w:hint="eastAsia" w:ascii="仿宋" w:hAnsi="仿宋" w:eastAsia="仿宋" w:cs="Times New Roman"/>
                <w:color w:val="000000" w:themeColor="text1"/>
                <w:sz w:val="24"/>
                <w:lang w:val="en-US" w:eastAsia="zh-CN"/>
              </w:rPr>
              <w:t>需方</w:t>
            </w:r>
            <w:r>
              <w:rPr>
                <w:rFonts w:hint="eastAsia" w:ascii="仿宋" w:hAnsi="仿宋" w:eastAsia="仿宋" w:cs="Times New Roman"/>
                <w:color w:val="000000" w:themeColor="text1"/>
                <w:sz w:val="24"/>
              </w:rPr>
              <w:t>开具相应的增值税专用发票，</w:t>
            </w:r>
            <w:r>
              <w:rPr>
                <w:rFonts w:hint="eastAsia" w:ascii="仿宋" w:hAnsi="仿宋" w:eastAsia="仿宋" w:cs="Times New Roman"/>
                <w:color w:val="000000" w:themeColor="text1"/>
                <w:sz w:val="24"/>
                <w:lang w:val="en-US" w:eastAsia="zh-CN"/>
              </w:rPr>
              <w:t>需方</w:t>
            </w:r>
            <w:r>
              <w:rPr>
                <w:rFonts w:hint="eastAsia" w:ascii="仿宋" w:hAnsi="仿宋" w:eastAsia="仿宋" w:cs="Times New Roman"/>
                <w:color w:val="000000" w:themeColor="text1"/>
                <w:sz w:val="24"/>
              </w:rPr>
              <w:t>收到发票后10个工作日内将销售服务费支付给</w:t>
            </w:r>
            <w:r>
              <w:rPr>
                <w:rFonts w:hint="eastAsia" w:ascii="仿宋" w:hAnsi="仿宋" w:eastAsia="仿宋" w:cs="Times New Roman"/>
                <w:color w:val="000000" w:themeColor="text1"/>
                <w:sz w:val="24"/>
                <w:lang w:val="en-US" w:eastAsia="zh-CN"/>
              </w:rPr>
              <w:t>供</w:t>
            </w:r>
            <w:r>
              <w:rPr>
                <w:rFonts w:hint="eastAsia" w:ascii="仿宋" w:hAnsi="仿宋" w:eastAsia="仿宋" w:cs="Times New Roman"/>
                <w:color w:val="000000" w:themeColor="text1"/>
                <w:sz w:val="24"/>
              </w:rPr>
              <w:t>方。</w:t>
            </w:r>
          </w:p>
        </w:tc>
        <w:tc>
          <w:tcPr>
            <w:tcW w:w="1229" w:type="dxa"/>
            <w:vAlign w:val="center"/>
          </w:tcPr>
          <w:p>
            <w:pPr>
              <w:jc w:val="center"/>
              <w:rPr>
                <w:rFonts w:ascii="仿宋" w:hAnsi="仿宋" w:eastAsia="仿宋" w:cs="Times New Roman"/>
                <w:color w:val="000000" w:themeColor="text1"/>
                <w:sz w:val="28"/>
                <w:szCs w:val="28"/>
              </w:rPr>
            </w:pPr>
            <w:r>
              <w:rPr>
                <w:rFonts w:hint="eastAsia" w:ascii="仿宋" w:hAnsi="仿宋" w:eastAsia="仿宋" w:cs="Times New Roman"/>
                <w:color w:val="000000" w:themeColor="text1"/>
                <w:sz w:val="24"/>
              </w:rPr>
              <w:t>100%</w:t>
            </w:r>
          </w:p>
        </w:tc>
        <w:tc>
          <w:tcPr>
            <w:tcW w:w="839" w:type="dxa"/>
            <w:vAlign w:val="center"/>
          </w:tcPr>
          <w:p>
            <w:pPr>
              <w:jc w:val="center"/>
              <w:rPr>
                <w:rFonts w:ascii="仿宋" w:hAnsi="仿宋" w:eastAsia="仿宋" w:cs="Times New Roman"/>
                <w:color w:val="000000" w:themeColor="text1"/>
                <w:sz w:val="28"/>
                <w:szCs w:val="28"/>
              </w:rPr>
            </w:pPr>
            <w:r>
              <w:rPr>
                <w:rFonts w:hint="eastAsia" w:ascii="仿宋" w:hAnsi="仿宋" w:eastAsia="仿宋" w:cs="Times New Roman"/>
                <w:color w:val="000000" w:themeColor="text1"/>
                <w:sz w:val="24"/>
              </w:rPr>
              <w:t>银行转账</w:t>
            </w:r>
          </w:p>
        </w:tc>
        <w:tc>
          <w:tcPr>
            <w:tcW w:w="1507" w:type="dxa"/>
            <w:vAlign w:val="center"/>
          </w:tcPr>
          <w:p>
            <w:pPr>
              <w:jc w:val="left"/>
              <w:rPr>
                <w:rFonts w:ascii="仿宋" w:hAnsi="仿宋" w:eastAsia="仿宋" w:cs="Times New Roman"/>
                <w:color w:val="000000" w:themeColor="text1"/>
                <w:sz w:val="28"/>
                <w:szCs w:val="28"/>
              </w:rPr>
            </w:pPr>
          </w:p>
        </w:tc>
      </w:tr>
    </w:tbl>
    <w:p>
      <w:pPr>
        <w:rPr>
          <w:color w:val="000000" w:themeColor="text1"/>
        </w:rPr>
      </w:pPr>
    </w:p>
    <w:sectPr>
      <w:footerReference r:id="rId3" w:type="default"/>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p>
    <w:pPr>
      <w:snapToGrid w:val="0"/>
      <w:spacing w:before="120"/>
      <w:ind w:firstLine="560"/>
      <w:jc w:val="right"/>
      <w:rPr>
        <w:rFonts w:ascii="宋体" w:hAnsi="宋体" w:eastAsia="宋体" w:cs="Times New Roman"/>
        <w:sz w:val="28"/>
        <w:szCs w:val="28"/>
        <w:lang w:val="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78880"/>
    <w:multiLevelType w:val="singleLevel"/>
    <w:tmpl w:val="7E37888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c3MjNhNGYyODRjNDg2MzliYzAxOTY0ZjEzZWU4OTEifQ=="/>
  </w:docVars>
  <w:rsids>
    <w:rsidRoot w:val="33D82F28"/>
    <w:rsid w:val="000078A6"/>
    <w:rsid w:val="000233A0"/>
    <w:rsid w:val="000239C1"/>
    <w:rsid w:val="00047A3B"/>
    <w:rsid w:val="00060CFD"/>
    <w:rsid w:val="0006360B"/>
    <w:rsid w:val="00067ECE"/>
    <w:rsid w:val="00073359"/>
    <w:rsid w:val="00090A37"/>
    <w:rsid w:val="000A2EB8"/>
    <w:rsid w:val="000A3B3F"/>
    <w:rsid w:val="000C6E60"/>
    <w:rsid w:val="000D3BD5"/>
    <w:rsid w:val="000D5B95"/>
    <w:rsid w:val="000E2177"/>
    <w:rsid w:val="000F1D28"/>
    <w:rsid w:val="000F35D3"/>
    <w:rsid w:val="0010305B"/>
    <w:rsid w:val="00105802"/>
    <w:rsid w:val="00117DAD"/>
    <w:rsid w:val="00135507"/>
    <w:rsid w:val="00135FE1"/>
    <w:rsid w:val="001361D8"/>
    <w:rsid w:val="00147F6D"/>
    <w:rsid w:val="001521B3"/>
    <w:rsid w:val="00156D65"/>
    <w:rsid w:val="00157CA0"/>
    <w:rsid w:val="00161070"/>
    <w:rsid w:val="00170693"/>
    <w:rsid w:val="001711A9"/>
    <w:rsid w:val="00195947"/>
    <w:rsid w:val="00197272"/>
    <w:rsid w:val="001B487D"/>
    <w:rsid w:val="001D21AF"/>
    <w:rsid w:val="001D4EF5"/>
    <w:rsid w:val="00215C29"/>
    <w:rsid w:val="002207C3"/>
    <w:rsid w:val="0023069C"/>
    <w:rsid w:val="0023519D"/>
    <w:rsid w:val="00236E2F"/>
    <w:rsid w:val="00273B62"/>
    <w:rsid w:val="002921F9"/>
    <w:rsid w:val="00296965"/>
    <w:rsid w:val="002B4029"/>
    <w:rsid w:val="002D5F8C"/>
    <w:rsid w:val="002E03F3"/>
    <w:rsid w:val="002E531D"/>
    <w:rsid w:val="002E6EF5"/>
    <w:rsid w:val="002F7462"/>
    <w:rsid w:val="003145B6"/>
    <w:rsid w:val="003164E5"/>
    <w:rsid w:val="00317690"/>
    <w:rsid w:val="0033371A"/>
    <w:rsid w:val="003439FA"/>
    <w:rsid w:val="003505F9"/>
    <w:rsid w:val="00355C6C"/>
    <w:rsid w:val="0035629B"/>
    <w:rsid w:val="003626EA"/>
    <w:rsid w:val="0036338A"/>
    <w:rsid w:val="00367292"/>
    <w:rsid w:val="00371112"/>
    <w:rsid w:val="003758F3"/>
    <w:rsid w:val="0038133E"/>
    <w:rsid w:val="003B67C2"/>
    <w:rsid w:val="003D0A92"/>
    <w:rsid w:val="00403DF3"/>
    <w:rsid w:val="00421576"/>
    <w:rsid w:val="004330BC"/>
    <w:rsid w:val="00437951"/>
    <w:rsid w:val="00463043"/>
    <w:rsid w:val="0047150B"/>
    <w:rsid w:val="00487E76"/>
    <w:rsid w:val="00495644"/>
    <w:rsid w:val="00497842"/>
    <w:rsid w:val="004A568B"/>
    <w:rsid w:val="004B4C23"/>
    <w:rsid w:val="004D48A9"/>
    <w:rsid w:val="004D4D52"/>
    <w:rsid w:val="004E6372"/>
    <w:rsid w:val="00502EA6"/>
    <w:rsid w:val="005035C2"/>
    <w:rsid w:val="005058C0"/>
    <w:rsid w:val="0051598B"/>
    <w:rsid w:val="00526422"/>
    <w:rsid w:val="00541A40"/>
    <w:rsid w:val="0054311F"/>
    <w:rsid w:val="0056001C"/>
    <w:rsid w:val="00561A5A"/>
    <w:rsid w:val="00561C61"/>
    <w:rsid w:val="005734F8"/>
    <w:rsid w:val="00575FB8"/>
    <w:rsid w:val="005873A6"/>
    <w:rsid w:val="005937E4"/>
    <w:rsid w:val="00594EBE"/>
    <w:rsid w:val="005954B5"/>
    <w:rsid w:val="005A4B1D"/>
    <w:rsid w:val="005A58DB"/>
    <w:rsid w:val="005A66DF"/>
    <w:rsid w:val="005B3E3E"/>
    <w:rsid w:val="005C18E4"/>
    <w:rsid w:val="005C48D7"/>
    <w:rsid w:val="005D7009"/>
    <w:rsid w:val="00605E89"/>
    <w:rsid w:val="00605FAC"/>
    <w:rsid w:val="00626504"/>
    <w:rsid w:val="00627A05"/>
    <w:rsid w:val="00633300"/>
    <w:rsid w:val="006334AC"/>
    <w:rsid w:val="00636FA5"/>
    <w:rsid w:val="00651BF1"/>
    <w:rsid w:val="00661518"/>
    <w:rsid w:val="006638C6"/>
    <w:rsid w:val="0067146A"/>
    <w:rsid w:val="00692A67"/>
    <w:rsid w:val="00692C40"/>
    <w:rsid w:val="006A63DF"/>
    <w:rsid w:val="006C0FE0"/>
    <w:rsid w:val="006E6F3A"/>
    <w:rsid w:val="006F4B4A"/>
    <w:rsid w:val="006F7ABA"/>
    <w:rsid w:val="006F7B29"/>
    <w:rsid w:val="00703BCE"/>
    <w:rsid w:val="007072ED"/>
    <w:rsid w:val="00714B92"/>
    <w:rsid w:val="007172A3"/>
    <w:rsid w:val="007174E1"/>
    <w:rsid w:val="007239CA"/>
    <w:rsid w:val="0072449E"/>
    <w:rsid w:val="00727B65"/>
    <w:rsid w:val="007571F0"/>
    <w:rsid w:val="00767044"/>
    <w:rsid w:val="00770E97"/>
    <w:rsid w:val="00773162"/>
    <w:rsid w:val="00780AEB"/>
    <w:rsid w:val="0078725B"/>
    <w:rsid w:val="00791E49"/>
    <w:rsid w:val="00792CFD"/>
    <w:rsid w:val="007B2BBD"/>
    <w:rsid w:val="007B3C18"/>
    <w:rsid w:val="007D665C"/>
    <w:rsid w:val="007E6171"/>
    <w:rsid w:val="007E6D9D"/>
    <w:rsid w:val="00806394"/>
    <w:rsid w:val="00810E93"/>
    <w:rsid w:val="00812B4B"/>
    <w:rsid w:val="00831317"/>
    <w:rsid w:val="00843AEB"/>
    <w:rsid w:val="00845DA7"/>
    <w:rsid w:val="00850B75"/>
    <w:rsid w:val="008679DB"/>
    <w:rsid w:val="00887AFF"/>
    <w:rsid w:val="00895F9D"/>
    <w:rsid w:val="00897DE4"/>
    <w:rsid w:val="008A1A28"/>
    <w:rsid w:val="008B5225"/>
    <w:rsid w:val="008C2933"/>
    <w:rsid w:val="008C32FD"/>
    <w:rsid w:val="008C719F"/>
    <w:rsid w:val="008D1908"/>
    <w:rsid w:val="008D2B14"/>
    <w:rsid w:val="008D333E"/>
    <w:rsid w:val="008D4532"/>
    <w:rsid w:val="008D5EFC"/>
    <w:rsid w:val="008E200C"/>
    <w:rsid w:val="008E3393"/>
    <w:rsid w:val="008E7199"/>
    <w:rsid w:val="008E74D4"/>
    <w:rsid w:val="008F0487"/>
    <w:rsid w:val="008F6D0A"/>
    <w:rsid w:val="00932A77"/>
    <w:rsid w:val="00941DFD"/>
    <w:rsid w:val="00942244"/>
    <w:rsid w:val="0094705C"/>
    <w:rsid w:val="00957A97"/>
    <w:rsid w:val="00960BC5"/>
    <w:rsid w:val="00973589"/>
    <w:rsid w:val="009746DF"/>
    <w:rsid w:val="00975249"/>
    <w:rsid w:val="009859C4"/>
    <w:rsid w:val="009B70E2"/>
    <w:rsid w:val="009B7C25"/>
    <w:rsid w:val="009C0A32"/>
    <w:rsid w:val="009C3FA9"/>
    <w:rsid w:val="009C4292"/>
    <w:rsid w:val="009C7E5F"/>
    <w:rsid w:val="009D2599"/>
    <w:rsid w:val="009F0B18"/>
    <w:rsid w:val="009F0D53"/>
    <w:rsid w:val="00A1011F"/>
    <w:rsid w:val="00A12870"/>
    <w:rsid w:val="00A13719"/>
    <w:rsid w:val="00A236CE"/>
    <w:rsid w:val="00A55D9D"/>
    <w:rsid w:val="00A60B94"/>
    <w:rsid w:val="00A71273"/>
    <w:rsid w:val="00A72360"/>
    <w:rsid w:val="00A725BE"/>
    <w:rsid w:val="00A77B53"/>
    <w:rsid w:val="00AA2DF7"/>
    <w:rsid w:val="00AE0732"/>
    <w:rsid w:val="00AE0A9D"/>
    <w:rsid w:val="00AE6CA5"/>
    <w:rsid w:val="00AE7838"/>
    <w:rsid w:val="00AF542D"/>
    <w:rsid w:val="00AF7354"/>
    <w:rsid w:val="00B117CB"/>
    <w:rsid w:val="00B12703"/>
    <w:rsid w:val="00B5119F"/>
    <w:rsid w:val="00B51D82"/>
    <w:rsid w:val="00B80829"/>
    <w:rsid w:val="00B92867"/>
    <w:rsid w:val="00B93B34"/>
    <w:rsid w:val="00BC6469"/>
    <w:rsid w:val="00BC7237"/>
    <w:rsid w:val="00BD06D6"/>
    <w:rsid w:val="00BF212C"/>
    <w:rsid w:val="00BF442F"/>
    <w:rsid w:val="00C01623"/>
    <w:rsid w:val="00C02D24"/>
    <w:rsid w:val="00C04B76"/>
    <w:rsid w:val="00C07B88"/>
    <w:rsid w:val="00C247A2"/>
    <w:rsid w:val="00C2626F"/>
    <w:rsid w:val="00C27ACD"/>
    <w:rsid w:val="00C51876"/>
    <w:rsid w:val="00C54469"/>
    <w:rsid w:val="00C7111C"/>
    <w:rsid w:val="00C81D4C"/>
    <w:rsid w:val="00CA0043"/>
    <w:rsid w:val="00CA6158"/>
    <w:rsid w:val="00CD42A7"/>
    <w:rsid w:val="00CE796F"/>
    <w:rsid w:val="00CE7F60"/>
    <w:rsid w:val="00D30F82"/>
    <w:rsid w:val="00D4272C"/>
    <w:rsid w:val="00D42DC8"/>
    <w:rsid w:val="00D60D26"/>
    <w:rsid w:val="00D652FC"/>
    <w:rsid w:val="00D676A3"/>
    <w:rsid w:val="00D71B7D"/>
    <w:rsid w:val="00D8331D"/>
    <w:rsid w:val="00D91DE5"/>
    <w:rsid w:val="00D92239"/>
    <w:rsid w:val="00DB0166"/>
    <w:rsid w:val="00DC225A"/>
    <w:rsid w:val="00DC30B6"/>
    <w:rsid w:val="00DD2FDF"/>
    <w:rsid w:val="00DD3516"/>
    <w:rsid w:val="00DF50FE"/>
    <w:rsid w:val="00DF5A7D"/>
    <w:rsid w:val="00E0033D"/>
    <w:rsid w:val="00E043DA"/>
    <w:rsid w:val="00E1608C"/>
    <w:rsid w:val="00E16DAC"/>
    <w:rsid w:val="00E23235"/>
    <w:rsid w:val="00E433DC"/>
    <w:rsid w:val="00E50DDD"/>
    <w:rsid w:val="00E52E4A"/>
    <w:rsid w:val="00E610AB"/>
    <w:rsid w:val="00E6163C"/>
    <w:rsid w:val="00E83806"/>
    <w:rsid w:val="00E91CC3"/>
    <w:rsid w:val="00E940E7"/>
    <w:rsid w:val="00EA7989"/>
    <w:rsid w:val="00EB1AAD"/>
    <w:rsid w:val="00EB4FF2"/>
    <w:rsid w:val="00EC24EE"/>
    <w:rsid w:val="00EE6AFC"/>
    <w:rsid w:val="00EF6EF4"/>
    <w:rsid w:val="00F06A0E"/>
    <w:rsid w:val="00F17197"/>
    <w:rsid w:val="00F26DCF"/>
    <w:rsid w:val="00F40FE2"/>
    <w:rsid w:val="00F45AD9"/>
    <w:rsid w:val="00F819E5"/>
    <w:rsid w:val="00F828B6"/>
    <w:rsid w:val="00F82A28"/>
    <w:rsid w:val="00F92551"/>
    <w:rsid w:val="00FA0BAC"/>
    <w:rsid w:val="00FB2A1E"/>
    <w:rsid w:val="00FC0237"/>
    <w:rsid w:val="00FD15D3"/>
    <w:rsid w:val="00FD3517"/>
    <w:rsid w:val="00FF7E81"/>
    <w:rsid w:val="026E0709"/>
    <w:rsid w:val="048A2567"/>
    <w:rsid w:val="06DD2972"/>
    <w:rsid w:val="06F25656"/>
    <w:rsid w:val="075B159E"/>
    <w:rsid w:val="0C45750F"/>
    <w:rsid w:val="0E21783C"/>
    <w:rsid w:val="0E5C3B69"/>
    <w:rsid w:val="0FE64614"/>
    <w:rsid w:val="10AD7B5A"/>
    <w:rsid w:val="11C97303"/>
    <w:rsid w:val="13A34548"/>
    <w:rsid w:val="151F1C6C"/>
    <w:rsid w:val="15267261"/>
    <w:rsid w:val="153D3BD4"/>
    <w:rsid w:val="16357513"/>
    <w:rsid w:val="16AA7C79"/>
    <w:rsid w:val="17180827"/>
    <w:rsid w:val="177E548D"/>
    <w:rsid w:val="17B02BF4"/>
    <w:rsid w:val="1A76387A"/>
    <w:rsid w:val="1BC77335"/>
    <w:rsid w:val="1D5520CF"/>
    <w:rsid w:val="1E18141F"/>
    <w:rsid w:val="1EDB5C8F"/>
    <w:rsid w:val="20FA3A7C"/>
    <w:rsid w:val="2121003A"/>
    <w:rsid w:val="21CD34BF"/>
    <w:rsid w:val="21D40CD8"/>
    <w:rsid w:val="21F313F1"/>
    <w:rsid w:val="2345397D"/>
    <w:rsid w:val="23BC326A"/>
    <w:rsid w:val="24793C06"/>
    <w:rsid w:val="249C4E4A"/>
    <w:rsid w:val="25000982"/>
    <w:rsid w:val="26197C47"/>
    <w:rsid w:val="26EA7230"/>
    <w:rsid w:val="27C941A8"/>
    <w:rsid w:val="283161B9"/>
    <w:rsid w:val="28DF17A9"/>
    <w:rsid w:val="29E42D65"/>
    <w:rsid w:val="2B0A5203"/>
    <w:rsid w:val="2B7E5404"/>
    <w:rsid w:val="2CF972DD"/>
    <w:rsid w:val="2D491705"/>
    <w:rsid w:val="2E8D59BD"/>
    <w:rsid w:val="2EDC1D71"/>
    <w:rsid w:val="2EEC6788"/>
    <w:rsid w:val="2EF51C7A"/>
    <w:rsid w:val="30A75795"/>
    <w:rsid w:val="30F203C5"/>
    <w:rsid w:val="30FF6D10"/>
    <w:rsid w:val="318F44DB"/>
    <w:rsid w:val="31F60DF2"/>
    <w:rsid w:val="32506E1A"/>
    <w:rsid w:val="33446DD8"/>
    <w:rsid w:val="33D82F28"/>
    <w:rsid w:val="34E95B09"/>
    <w:rsid w:val="35C129EC"/>
    <w:rsid w:val="366432C6"/>
    <w:rsid w:val="36DD79AC"/>
    <w:rsid w:val="38594283"/>
    <w:rsid w:val="39541E97"/>
    <w:rsid w:val="39F92B0C"/>
    <w:rsid w:val="3A997671"/>
    <w:rsid w:val="3B3630C3"/>
    <w:rsid w:val="3B5129DA"/>
    <w:rsid w:val="3BD572C4"/>
    <w:rsid w:val="3C56183C"/>
    <w:rsid w:val="3D394EF3"/>
    <w:rsid w:val="3ED911DE"/>
    <w:rsid w:val="3FC823E0"/>
    <w:rsid w:val="41211D8D"/>
    <w:rsid w:val="42B17DA4"/>
    <w:rsid w:val="433D79A0"/>
    <w:rsid w:val="443B262A"/>
    <w:rsid w:val="457D22AA"/>
    <w:rsid w:val="47A67F81"/>
    <w:rsid w:val="47CC49F7"/>
    <w:rsid w:val="4893018E"/>
    <w:rsid w:val="48F83E1C"/>
    <w:rsid w:val="497C50C6"/>
    <w:rsid w:val="49F27137"/>
    <w:rsid w:val="4A8D73CE"/>
    <w:rsid w:val="4AC1615B"/>
    <w:rsid w:val="4B3E350D"/>
    <w:rsid w:val="4C0C1C90"/>
    <w:rsid w:val="4C455A7F"/>
    <w:rsid w:val="4C8B0E43"/>
    <w:rsid w:val="4C96242A"/>
    <w:rsid w:val="4CA56F92"/>
    <w:rsid w:val="4CF02985"/>
    <w:rsid w:val="4DDA139E"/>
    <w:rsid w:val="4E841138"/>
    <w:rsid w:val="500D4CCA"/>
    <w:rsid w:val="50290039"/>
    <w:rsid w:val="515964BD"/>
    <w:rsid w:val="51F66981"/>
    <w:rsid w:val="5245093A"/>
    <w:rsid w:val="52E27AD6"/>
    <w:rsid w:val="56E96850"/>
    <w:rsid w:val="586B115B"/>
    <w:rsid w:val="5890733E"/>
    <w:rsid w:val="58AA795D"/>
    <w:rsid w:val="58C1689A"/>
    <w:rsid w:val="59AD1613"/>
    <w:rsid w:val="5C1F540E"/>
    <w:rsid w:val="5C3E3E63"/>
    <w:rsid w:val="5E4B7549"/>
    <w:rsid w:val="5FB01C1F"/>
    <w:rsid w:val="60205367"/>
    <w:rsid w:val="603B5FBC"/>
    <w:rsid w:val="60DA3C57"/>
    <w:rsid w:val="616404C2"/>
    <w:rsid w:val="618747DB"/>
    <w:rsid w:val="627621B8"/>
    <w:rsid w:val="6337116C"/>
    <w:rsid w:val="65AB24B5"/>
    <w:rsid w:val="66EF5B2F"/>
    <w:rsid w:val="68B35723"/>
    <w:rsid w:val="6AB74751"/>
    <w:rsid w:val="6B5F66E9"/>
    <w:rsid w:val="6B8A6A7E"/>
    <w:rsid w:val="6C0C5B46"/>
    <w:rsid w:val="6C111C5C"/>
    <w:rsid w:val="6C322A0E"/>
    <w:rsid w:val="6C597309"/>
    <w:rsid w:val="6D807596"/>
    <w:rsid w:val="6DD81224"/>
    <w:rsid w:val="6E1940D9"/>
    <w:rsid w:val="702262E6"/>
    <w:rsid w:val="710E3FA6"/>
    <w:rsid w:val="71D90E6F"/>
    <w:rsid w:val="729066CB"/>
    <w:rsid w:val="73660203"/>
    <w:rsid w:val="73D04B05"/>
    <w:rsid w:val="74497B9C"/>
    <w:rsid w:val="75214BDD"/>
    <w:rsid w:val="75244B15"/>
    <w:rsid w:val="77B938B3"/>
    <w:rsid w:val="79CD2C51"/>
    <w:rsid w:val="7A911ED0"/>
    <w:rsid w:val="7B9769EB"/>
    <w:rsid w:val="7BF27482"/>
    <w:rsid w:val="7C4C0DA4"/>
    <w:rsid w:val="7D5A2AA6"/>
    <w:rsid w:val="7DC902A6"/>
    <w:rsid w:val="7E78065C"/>
    <w:rsid w:val="7F041786"/>
    <w:rsid w:val="7F2619A9"/>
    <w:rsid w:val="7F5C0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link w:val="29"/>
    <w:unhideWhenUsed/>
    <w:qFormat/>
    <w:uiPriority w:val="0"/>
    <w:pPr>
      <w:widowControl w:val="0"/>
    </w:pPr>
    <w:rPr>
      <w:rFonts w:ascii="Times New Roman" w:hAnsi="Times New Roman" w:eastAsia="宋体" w:cs="Times New Roman"/>
      <w:kern w:val="2"/>
      <w:sz w:val="21"/>
      <w:szCs w:val="24"/>
      <w:lang w:val="en-US" w:eastAsia="zh-CN" w:bidi="ar-SA"/>
    </w:rPr>
  </w:style>
  <w:style w:type="paragraph" w:styleId="4">
    <w:name w:val="Body Text"/>
    <w:basedOn w:val="1"/>
    <w:next w:val="1"/>
    <w:link w:val="27"/>
    <w:qFormat/>
    <w:uiPriority w:val="0"/>
    <w:pPr>
      <w:spacing w:after="120"/>
    </w:pPr>
  </w:style>
  <w:style w:type="paragraph" w:styleId="5">
    <w:name w:val="Body Text Indent"/>
    <w:basedOn w:val="1"/>
    <w:unhideWhenUsed/>
    <w:qFormat/>
    <w:uiPriority w:val="99"/>
    <w:pPr>
      <w:spacing w:after="120"/>
      <w:ind w:left="420" w:leftChars="200"/>
    </w:pPr>
  </w:style>
  <w:style w:type="paragraph" w:styleId="6">
    <w:name w:val="Plain Text"/>
    <w:basedOn w:val="1"/>
    <w:qFormat/>
    <w:uiPriority w:val="0"/>
    <w:rPr>
      <w:rFonts w:ascii="宋体" w:hAnsi="Courier New"/>
      <w:szCs w:val="21"/>
    </w:rPr>
  </w:style>
  <w:style w:type="paragraph" w:styleId="7">
    <w:name w:val="Body Text Indent 2"/>
    <w:unhideWhenUsed/>
    <w:qFormat/>
    <w:uiPriority w:val="99"/>
    <w:pPr>
      <w:widowControl w:val="0"/>
      <w:spacing w:line="360" w:lineRule="auto"/>
      <w:ind w:firstLine="600" w:firstLineChars="200"/>
      <w:jc w:val="both"/>
    </w:pPr>
    <w:rPr>
      <w:rFonts w:ascii="Times New Roman" w:hAnsi="Times New Roman" w:eastAsia="仿宋_GB2312" w:cs="Times New Roman"/>
      <w:kern w:val="2"/>
      <w:sz w:val="32"/>
      <w:lang w:val="en-US" w:eastAsia="zh-CN" w:bidi="ar-SA"/>
    </w:rPr>
  </w:style>
  <w:style w:type="paragraph" w:styleId="8">
    <w:name w:val="Balloon Text"/>
    <w:basedOn w:val="1"/>
    <w:link w:val="24"/>
    <w:qFormat/>
    <w:uiPriority w:val="0"/>
    <w:rPr>
      <w:sz w:val="18"/>
      <w:szCs w:val="18"/>
    </w:rPr>
  </w:style>
  <w:style w:type="paragraph" w:styleId="9">
    <w:name w:val="footer"/>
    <w:link w:val="39"/>
    <w:qFormat/>
    <w:uiPriority w:val="0"/>
    <w:pPr>
      <w:widowControl w:val="0"/>
      <w:tabs>
        <w:tab w:val="center" w:pos="4153"/>
        <w:tab w:val="right" w:pos="8306"/>
      </w:tabs>
      <w:snapToGrid w:val="0"/>
    </w:pPr>
    <w:rPr>
      <w:rFonts w:asciiTheme="minorHAnsi" w:hAnsiTheme="minorHAnsi" w:eastAsiaTheme="minorEastAsia" w:cstheme="minorBidi"/>
      <w:kern w:val="2"/>
      <w:sz w:val="18"/>
      <w:szCs w:val="18"/>
      <w:lang w:val="en-US" w:eastAsia="zh-CN" w:bidi="ar-SA"/>
    </w:rPr>
  </w:style>
  <w:style w:type="paragraph" w:styleId="10">
    <w:name w:val="header"/>
    <w:basedOn w:val="1"/>
    <w:link w:val="22"/>
    <w:qFormat/>
    <w:uiPriority w:val="0"/>
    <w:pPr>
      <w:tabs>
        <w:tab w:val="center" w:pos="4153"/>
        <w:tab w:val="right" w:pos="8306"/>
      </w:tabs>
      <w:snapToGrid w:val="0"/>
      <w:jc w:val="center"/>
    </w:pPr>
    <w:rPr>
      <w:sz w:val="18"/>
      <w:szCs w:val="18"/>
    </w:rPr>
  </w:style>
  <w:style w:type="paragraph" w:styleId="11">
    <w:name w:val="footnote text"/>
    <w:unhideWhenUsed/>
    <w:qFormat/>
    <w:uiPriority w:val="99"/>
    <w:pPr>
      <w:widowControl w:val="0"/>
      <w:snapToGrid w:val="0"/>
    </w:pPr>
    <w:rPr>
      <w:rFonts w:ascii="Times New Roman" w:hAnsi="Times New Roman" w:eastAsia="仿宋_GB2312" w:cs="Times New Roman"/>
      <w:kern w:val="2"/>
      <w:sz w:val="18"/>
      <w:lang w:val="en-US" w:eastAsia="zh-CN" w:bidi="ar-SA"/>
    </w:rPr>
  </w:style>
  <w:style w:type="paragraph" w:styleId="12">
    <w:name w:val="Normal (Web)"/>
    <w:unhideWhenUsed/>
    <w:qFormat/>
    <w:uiPriority w:val="99"/>
    <w:pPr>
      <w:spacing w:before="100" w:beforeAutospacing="1" w:after="100" w:afterAutospacing="1"/>
    </w:pPr>
    <w:rPr>
      <w:rFonts w:ascii="宋体" w:hAnsi="宋体" w:eastAsia="宋体" w:cs="宋体"/>
      <w:kern w:val="2"/>
      <w:sz w:val="24"/>
      <w:lang w:val="en-US" w:eastAsia="zh-CN" w:bidi="ar-SA"/>
    </w:rPr>
  </w:style>
  <w:style w:type="paragraph" w:styleId="13">
    <w:name w:val="Title"/>
    <w:basedOn w:val="1"/>
    <w:next w:val="1"/>
    <w:qFormat/>
    <w:uiPriority w:val="0"/>
    <w:pPr>
      <w:spacing w:before="240" w:after="60"/>
      <w:jc w:val="center"/>
      <w:outlineLvl w:val="0"/>
    </w:pPr>
    <w:rPr>
      <w:rFonts w:ascii="Cambria" w:hAnsi="Cambria"/>
      <w:b/>
      <w:bCs/>
      <w:sz w:val="32"/>
      <w:szCs w:val="32"/>
    </w:rPr>
  </w:style>
  <w:style w:type="paragraph" w:styleId="14">
    <w:name w:val="annotation subject"/>
    <w:basedOn w:val="3"/>
    <w:next w:val="3"/>
    <w:link w:val="30"/>
    <w:qFormat/>
    <w:uiPriority w:val="0"/>
    <w:rPr>
      <w:rFonts w:asciiTheme="minorHAnsi" w:hAnsiTheme="minorHAnsi" w:eastAsiaTheme="minorEastAsia" w:cstheme="minorBidi"/>
      <w:b/>
      <w:bCs/>
    </w:rPr>
  </w:style>
  <w:style w:type="paragraph" w:styleId="15">
    <w:name w:val="Body Text First Indent"/>
    <w:basedOn w:val="4"/>
    <w:qFormat/>
    <w:uiPriority w:val="0"/>
    <w:pPr>
      <w:ind w:firstLine="420" w:firstLineChars="100"/>
    </w:pPr>
    <w:rPr>
      <w:rFonts w:ascii="Times New Roman" w:hAnsi="Times New Roman"/>
    </w:rPr>
  </w:style>
  <w:style w:type="table" w:styleId="17">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Emphasis"/>
    <w:basedOn w:val="18"/>
    <w:qFormat/>
    <w:uiPriority w:val="0"/>
    <w:rPr>
      <w:i/>
    </w:rPr>
  </w:style>
  <w:style w:type="character" w:styleId="20">
    <w:name w:val="annotation reference"/>
    <w:basedOn w:val="18"/>
    <w:qFormat/>
    <w:uiPriority w:val="99"/>
    <w:rPr>
      <w:sz w:val="21"/>
      <w:szCs w:val="21"/>
    </w:rPr>
  </w:style>
  <w:style w:type="character" w:styleId="21">
    <w:name w:val="footnote reference"/>
    <w:unhideWhenUsed/>
    <w:qFormat/>
    <w:uiPriority w:val="99"/>
    <w:rPr>
      <w:vertAlign w:val="superscript"/>
    </w:rPr>
  </w:style>
  <w:style w:type="character" w:customStyle="1" w:styleId="22">
    <w:name w:val="页眉 Char"/>
    <w:basedOn w:val="18"/>
    <w:link w:val="10"/>
    <w:qFormat/>
    <w:uiPriority w:val="0"/>
    <w:rPr>
      <w:kern w:val="2"/>
      <w:sz w:val="18"/>
      <w:szCs w:val="18"/>
    </w:rPr>
  </w:style>
  <w:style w:type="paragraph" w:styleId="23">
    <w:name w:val="List Paragraph"/>
    <w:basedOn w:val="1"/>
    <w:qFormat/>
    <w:uiPriority w:val="34"/>
    <w:pPr>
      <w:ind w:firstLine="420" w:firstLineChars="200"/>
    </w:pPr>
  </w:style>
  <w:style w:type="character" w:customStyle="1" w:styleId="24">
    <w:name w:val="批注框文本 Char"/>
    <w:basedOn w:val="18"/>
    <w:link w:val="8"/>
    <w:qFormat/>
    <w:uiPriority w:val="0"/>
    <w:rPr>
      <w:kern w:val="2"/>
      <w:sz w:val="18"/>
      <w:szCs w:val="18"/>
    </w:rPr>
  </w:style>
  <w:style w:type="paragraph" w:customStyle="1" w:styleId="25">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6">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szCs w:val="20"/>
    </w:rPr>
  </w:style>
  <w:style w:type="character" w:customStyle="1" w:styleId="27">
    <w:name w:val="正文文本 Char"/>
    <w:basedOn w:val="18"/>
    <w:link w:val="4"/>
    <w:qFormat/>
    <w:uiPriority w:val="0"/>
    <w:rPr>
      <w:rFonts w:asciiTheme="minorHAnsi" w:hAnsiTheme="minorHAnsi" w:eastAsiaTheme="minorEastAsia" w:cstheme="minorBidi"/>
      <w:kern w:val="2"/>
      <w:sz w:val="21"/>
      <w:szCs w:val="24"/>
    </w:rPr>
  </w:style>
  <w:style w:type="paragraph" w:customStyle="1" w:styleId="28">
    <w:name w:val="Table Paragraph"/>
    <w:basedOn w:val="1"/>
    <w:qFormat/>
    <w:uiPriority w:val="1"/>
    <w:rPr>
      <w:rFonts w:ascii="Times New Roman" w:hAnsi="Times New Roman"/>
    </w:rPr>
  </w:style>
  <w:style w:type="character" w:customStyle="1" w:styleId="29">
    <w:name w:val="批注文字 Char"/>
    <w:basedOn w:val="18"/>
    <w:link w:val="3"/>
    <w:qFormat/>
    <w:uiPriority w:val="0"/>
    <w:rPr>
      <w:kern w:val="2"/>
      <w:sz w:val="21"/>
      <w:szCs w:val="24"/>
    </w:rPr>
  </w:style>
  <w:style w:type="character" w:customStyle="1" w:styleId="30">
    <w:name w:val="批注主题 Char"/>
    <w:basedOn w:val="29"/>
    <w:link w:val="14"/>
    <w:qFormat/>
    <w:uiPriority w:val="0"/>
    <w:rPr>
      <w:rFonts w:asciiTheme="minorHAnsi" w:hAnsiTheme="minorHAnsi" w:eastAsiaTheme="minorEastAsia" w:cstheme="minorBidi"/>
      <w:b/>
      <w:bCs/>
    </w:rPr>
  </w:style>
  <w:style w:type="paragraph" w:customStyle="1" w:styleId="31">
    <w:name w:val="一级条标题"/>
    <w:basedOn w:val="1"/>
    <w:next w:val="1"/>
    <w:link w:val="36"/>
    <w:qFormat/>
    <w:uiPriority w:val="0"/>
    <w:pPr>
      <w:widowControl/>
      <w:ind w:left="360"/>
      <w:outlineLvl w:val="2"/>
    </w:pPr>
    <w:rPr>
      <w:rFonts w:ascii="黑体" w:eastAsia="黑体"/>
      <w:kern w:val="0"/>
      <w:sz w:val="20"/>
      <w:szCs w:val="20"/>
      <w:lang w:eastAsia="en-US"/>
    </w:rPr>
  </w:style>
  <w:style w:type="paragraph" w:customStyle="1" w:styleId="32">
    <w:name w:val="二级条标题"/>
    <w:basedOn w:val="31"/>
    <w:next w:val="1"/>
    <w:qFormat/>
    <w:uiPriority w:val="0"/>
    <w:pPr>
      <w:spacing w:beforeLines="50" w:afterLines="50"/>
      <w:ind w:left="567"/>
      <w:outlineLvl w:val="3"/>
    </w:pPr>
    <w:rPr>
      <w:sz w:val="21"/>
      <w:szCs w:val="21"/>
      <w:lang w:eastAsia="zh-CN"/>
    </w:rPr>
  </w:style>
  <w:style w:type="paragraph" w:customStyle="1" w:styleId="33">
    <w:name w:val="段"/>
    <w:link w:val="37"/>
    <w:qFormat/>
    <w:uiPriority w:val="0"/>
    <w:pPr>
      <w:tabs>
        <w:tab w:val="center" w:pos="4201"/>
        <w:tab w:val="right" w:leader="dot" w:pos="9298"/>
      </w:tabs>
      <w:autoSpaceDE w:val="0"/>
      <w:autoSpaceDN w:val="0"/>
      <w:spacing w:beforeLines="100" w:afterLines="100"/>
      <w:ind w:firstLine="420" w:firstLineChars="200"/>
      <w:jc w:val="both"/>
    </w:pPr>
    <w:rPr>
      <w:rFonts w:ascii="宋体" w:hAnsi="Times New Roman" w:eastAsia="宋体" w:cs="Times New Roman"/>
      <w:sz w:val="21"/>
      <w:lang w:val="en-US" w:eastAsia="zh-CN" w:bidi="ar-SA"/>
    </w:rPr>
  </w:style>
  <w:style w:type="paragraph" w:customStyle="1" w:styleId="34">
    <w:name w:val="四级条标题"/>
    <w:basedOn w:val="1"/>
    <w:next w:val="33"/>
    <w:qFormat/>
    <w:uiPriority w:val="0"/>
    <w:pPr>
      <w:widowControl/>
      <w:spacing w:beforeLines="50" w:afterLines="50"/>
      <w:outlineLvl w:val="5"/>
    </w:pPr>
    <w:rPr>
      <w:rFonts w:ascii="黑体" w:eastAsia="黑体"/>
      <w:kern w:val="0"/>
      <w:szCs w:val="21"/>
    </w:rPr>
  </w:style>
  <w:style w:type="paragraph" w:customStyle="1" w:styleId="35">
    <w:name w:val="章标题"/>
    <w:next w:val="33"/>
    <w:qFormat/>
    <w:uiPriority w:val="0"/>
    <w:pPr>
      <w:tabs>
        <w:tab w:val="left" w:pos="720"/>
      </w:tabs>
      <w:spacing w:beforeLines="100" w:afterLines="100"/>
      <w:ind w:left="720" w:hanging="720"/>
      <w:jc w:val="both"/>
      <w:outlineLvl w:val="1"/>
    </w:pPr>
    <w:rPr>
      <w:rFonts w:ascii="黑体" w:hAnsi="Times New Roman" w:eastAsia="黑体" w:cs="Times New Roman"/>
      <w:sz w:val="21"/>
      <w:lang w:val="en-US" w:eastAsia="zh-CN" w:bidi="ar-SA"/>
    </w:rPr>
  </w:style>
  <w:style w:type="character" w:customStyle="1" w:styleId="36">
    <w:name w:val="一级条标题 Char"/>
    <w:link w:val="31"/>
    <w:qFormat/>
    <w:uiPriority w:val="0"/>
    <w:rPr>
      <w:rFonts w:ascii="黑体" w:eastAsia="黑体" w:hAnsiTheme="minorHAnsi" w:cstheme="minorBidi"/>
      <w:lang w:eastAsia="en-US"/>
    </w:rPr>
  </w:style>
  <w:style w:type="character" w:customStyle="1" w:styleId="37">
    <w:name w:val="段 Char"/>
    <w:link w:val="33"/>
    <w:qFormat/>
    <w:uiPriority w:val="0"/>
    <w:rPr>
      <w:rFonts w:ascii="宋体"/>
      <w:sz w:val="21"/>
    </w:rPr>
  </w:style>
  <w:style w:type="paragraph" w:customStyle="1" w:styleId="38">
    <w:name w:val="修订2"/>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589153-FB87-4F50-848A-3CC4B6BCED4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2318</Words>
  <Characters>2687</Characters>
  <Lines>917</Lines>
  <Paragraphs>258</Paragraphs>
  <TotalTime>1</TotalTime>
  <ScaleCrop>false</ScaleCrop>
  <LinksUpToDate>false</LinksUpToDate>
  <CharactersWithSpaces>2704</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2025-07-29T03:08:00Z</dcterms:created>
  <dc:creator>zzc</dc:creator>
  <cp:lastModifiedBy>李帅霞</cp:lastModifiedBy>
  <dcterms:modified xsi:type="dcterms:W3CDTF">2026-10-08T08:28:09Z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3019D4BDC40F4D56A226A1B0F3CC28EB_13</vt:lpwstr>
  </property>
  <property fmtid="{D5CDD505-2E9C-101B-9397-08002B2CF9AE}" pid="4" name="KSOTemplateDocerSaveRecord">
    <vt:lpwstr>eyJoZGlkIjoiMjNmNDVjZTljNDQ3YzEwNzlkZDE3NmE3MGE3ZTBhZTgiLCJ1c2VySWQiOiI3ODQwNDM2MTIifQ==</vt:lpwstr>
  </property>
</Properties>
</file>