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inorEastAsia" w:hAnsiTheme="minorEastAsia" w:eastAsiaTheme="minorEastAsia"/>
          <w:sz w:val="44"/>
          <w:szCs w:val="44"/>
        </w:rPr>
      </w:pPr>
    </w:p>
    <w:p>
      <w:pPr>
        <w:jc w:val="center"/>
        <w:rPr>
          <w:rFonts w:asciiTheme="minorEastAsia" w:hAnsiTheme="minorEastAsia" w:eastAsiaTheme="minorEastAsia"/>
          <w:sz w:val="44"/>
          <w:szCs w:val="44"/>
        </w:rPr>
      </w:pPr>
    </w:p>
    <w:p>
      <w:pPr>
        <w:autoSpaceDE w:val="0"/>
        <w:autoSpaceDN w:val="0"/>
        <w:adjustRightInd w:val="0"/>
        <w:jc w:val="center"/>
        <w:outlineLvl w:val="0"/>
        <w:rPr>
          <w:rFonts w:hint="eastAsia" w:ascii="宋体" w:hAnsi="宋体"/>
          <w:b/>
          <w:bCs/>
          <w:sz w:val="44"/>
          <w:szCs w:val="44"/>
          <w:lang w:val="en-US" w:eastAsia="zh-CN"/>
        </w:rPr>
      </w:pPr>
      <w:bookmarkStart w:id="0" w:name="xmmc"/>
      <w:r>
        <w:rPr>
          <w:rFonts w:hint="eastAsia" w:ascii="宋体" w:hAnsi="宋体"/>
          <w:b/>
          <w:bCs/>
          <w:sz w:val="44"/>
          <w:szCs w:val="44"/>
          <w:lang w:val="en-US" w:eastAsia="zh-CN"/>
        </w:rPr>
        <w:t>中国人民银行征信中心电信4008</w:t>
      </w:r>
    </w:p>
    <w:p>
      <w:pPr>
        <w:autoSpaceDE w:val="0"/>
        <w:autoSpaceDN w:val="0"/>
        <w:adjustRightInd w:val="0"/>
        <w:jc w:val="center"/>
        <w:outlineLvl w:val="0"/>
        <w:rPr>
          <w:rFonts w:ascii="宋体" w:hAnsi="宋体"/>
          <w:b/>
          <w:bCs/>
          <w:sz w:val="44"/>
          <w:szCs w:val="44"/>
        </w:rPr>
      </w:pPr>
      <w:r>
        <w:rPr>
          <w:rFonts w:hint="eastAsia" w:ascii="宋体" w:hAnsi="宋体"/>
          <w:b/>
          <w:bCs/>
          <w:sz w:val="44"/>
          <w:szCs w:val="44"/>
          <w:lang w:val="en-US" w:eastAsia="zh-CN"/>
        </w:rPr>
        <w:t>商务热线服务</w:t>
      </w:r>
      <w:bookmarkEnd w:id="0"/>
      <w:r>
        <w:rPr>
          <w:rFonts w:hint="eastAsia" w:ascii="宋体" w:hAnsi="宋体"/>
          <w:b/>
          <w:bCs/>
          <w:sz w:val="44"/>
          <w:szCs w:val="44"/>
        </w:rPr>
        <w:t>采购项目</w:t>
      </w:r>
      <w:r>
        <w:rPr>
          <w:rFonts w:ascii="宋体" w:hAnsi="宋体"/>
          <w:b/>
          <w:bCs/>
          <w:sz w:val="44"/>
          <w:szCs w:val="44"/>
        </w:rPr>
        <w:t>合同</w:t>
      </w:r>
    </w:p>
    <w:p>
      <w:pPr>
        <w:autoSpaceDE w:val="0"/>
        <w:autoSpaceDN w:val="0"/>
        <w:adjustRightInd w:val="0"/>
        <w:ind w:left="420" w:hanging="420"/>
        <w:jc w:val="center"/>
        <w:rPr>
          <w:rFonts w:ascii="宋体" w:cs="宋体"/>
          <w:b/>
          <w:sz w:val="32"/>
          <w:szCs w:val="21"/>
          <w:lang w:val="zh-CN"/>
        </w:rPr>
      </w:pPr>
    </w:p>
    <w:p>
      <w:pPr>
        <w:autoSpaceDE w:val="0"/>
        <w:autoSpaceDN w:val="0"/>
        <w:adjustRightInd w:val="0"/>
        <w:ind w:left="420" w:hanging="420"/>
        <w:jc w:val="center"/>
        <w:rPr>
          <w:rFonts w:ascii="宋体" w:cs="宋体"/>
          <w:b/>
          <w:sz w:val="32"/>
          <w:szCs w:val="21"/>
          <w:lang w:val="zh-CN"/>
        </w:rPr>
      </w:pPr>
    </w:p>
    <w:p>
      <w:pPr>
        <w:autoSpaceDE w:val="0"/>
        <w:autoSpaceDN w:val="0"/>
        <w:adjustRightInd w:val="0"/>
        <w:ind w:left="420" w:hanging="420"/>
        <w:jc w:val="center"/>
        <w:rPr>
          <w:rFonts w:hint="default" w:ascii="宋体" w:eastAsia="宋体" w:cs="宋体"/>
          <w:b/>
          <w:sz w:val="32"/>
          <w:szCs w:val="21"/>
          <w:lang w:val="en-US" w:eastAsia="zh-CN"/>
        </w:rPr>
      </w:pPr>
      <w:r>
        <w:rPr>
          <w:rFonts w:hint="eastAsia" w:ascii="宋体" w:cs="宋体"/>
          <w:b/>
          <w:sz w:val="32"/>
          <w:szCs w:val="21"/>
          <w:lang w:val="zh-CN"/>
        </w:rPr>
        <w:t>合同编号：</w:t>
      </w:r>
      <w:r>
        <w:rPr>
          <w:rFonts w:hint="eastAsia" w:ascii="宋体" w:hAnsi="宋体"/>
          <w:b/>
          <w:sz w:val="32"/>
          <w:szCs w:val="32"/>
          <w:lang w:val="zh-CN"/>
        </w:rPr>
        <w:t>ZXZX-202</w:t>
      </w:r>
      <w:r>
        <w:rPr>
          <w:rFonts w:hint="eastAsia" w:ascii="宋体" w:hAnsi="宋体"/>
          <w:b/>
          <w:sz w:val="32"/>
          <w:szCs w:val="32"/>
        </w:rPr>
        <w:t>6</w:t>
      </w:r>
      <w:r>
        <w:rPr>
          <w:rFonts w:hint="eastAsia" w:ascii="宋体" w:hAnsi="宋体"/>
          <w:b/>
          <w:sz w:val="32"/>
          <w:szCs w:val="32"/>
          <w:lang w:val="zh-CN"/>
        </w:rPr>
        <w:t>-</w:t>
      </w:r>
      <w:r>
        <w:rPr>
          <w:rFonts w:hint="eastAsia" w:ascii="宋体" w:hAnsi="宋体"/>
          <w:b/>
          <w:sz w:val="32"/>
          <w:szCs w:val="32"/>
          <w:lang w:val="en-US" w:eastAsia="zh-CN"/>
        </w:rPr>
        <w:t>0043</w:t>
      </w:r>
    </w:p>
    <w:p>
      <w:pPr>
        <w:autoSpaceDE w:val="0"/>
        <w:autoSpaceDN w:val="0"/>
        <w:adjustRightInd w:val="0"/>
        <w:jc w:val="center"/>
        <w:rPr>
          <w:rFonts w:ascii="宋体" w:hAnsi="宋体" w:cs="宋体"/>
          <w:color w:val="000000"/>
          <w:kern w:val="0"/>
          <w:sz w:val="28"/>
          <w:szCs w:val="28"/>
        </w:rPr>
      </w:pPr>
    </w:p>
    <w:p>
      <w:pPr>
        <w:autoSpaceDE w:val="0"/>
        <w:autoSpaceDN w:val="0"/>
        <w:adjustRightInd w:val="0"/>
        <w:jc w:val="center"/>
        <w:rPr>
          <w:rFonts w:ascii="宋体" w:hAnsi="宋体" w:cs="宋体"/>
          <w:color w:val="000000"/>
          <w:kern w:val="0"/>
          <w:sz w:val="28"/>
          <w:szCs w:val="28"/>
        </w:rPr>
      </w:pPr>
    </w:p>
    <w:p>
      <w:pPr>
        <w:autoSpaceDE w:val="0"/>
        <w:autoSpaceDN w:val="0"/>
        <w:adjustRightInd w:val="0"/>
        <w:jc w:val="center"/>
        <w:rPr>
          <w:rFonts w:ascii="宋体" w:hAnsi="宋体" w:cs="宋体"/>
          <w:color w:val="000000"/>
          <w:kern w:val="0"/>
          <w:sz w:val="28"/>
          <w:szCs w:val="28"/>
        </w:rPr>
      </w:pPr>
    </w:p>
    <w:p>
      <w:pPr>
        <w:autoSpaceDE w:val="0"/>
        <w:autoSpaceDN w:val="0"/>
        <w:adjustRightInd w:val="0"/>
        <w:jc w:val="center"/>
        <w:rPr>
          <w:rFonts w:ascii="宋体" w:hAnsi="宋体" w:cs="宋体"/>
          <w:color w:val="000000"/>
          <w:kern w:val="0"/>
          <w:sz w:val="28"/>
          <w:szCs w:val="28"/>
        </w:rPr>
      </w:pPr>
    </w:p>
    <w:p>
      <w:pPr>
        <w:autoSpaceDE w:val="0"/>
        <w:autoSpaceDN w:val="0"/>
        <w:adjustRightInd w:val="0"/>
        <w:jc w:val="center"/>
        <w:rPr>
          <w:rFonts w:ascii="宋体" w:hAnsi="宋体" w:cs="宋体"/>
          <w:color w:val="000000"/>
          <w:kern w:val="0"/>
          <w:sz w:val="28"/>
          <w:szCs w:val="28"/>
        </w:rPr>
      </w:pPr>
    </w:p>
    <w:p>
      <w:pPr>
        <w:autoSpaceDE w:val="0"/>
        <w:autoSpaceDN w:val="0"/>
        <w:adjustRightInd w:val="0"/>
        <w:jc w:val="center"/>
        <w:rPr>
          <w:rFonts w:ascii="宋体" w:hAnsi="宋体" w:cs="宋体"/>
          <w:color w:val="000000"/>
          <w:kern w:val="0"/>
          <w:sz w:val="28"/>
          <w:szCs w:val="28"/>
        </w:rPr>
      </w:pPr>
    </w:p>
    <w:p>
      <w:pPr>
        <w:autoSpaceDE w:val="0"/>
        <w:autoSpaceDN w:val="0"/>
        <w:adjustRightInd w:val="0"/>
        <w:jc w:val="center"/>
        <w:rPr>
          <w:rFonts w:ascii="宋体" w:cs="宋体" w:hAnsiTheme="minorHAnsi" w:eastAsiaTheme="minorEastAsia"/>
          <w:b/>
          <w:bCs/>
          <w:sz w:val="24"/>
          <w:szCs w:val="22"/>
          <w:lang w:val="zh-CN"/>
        </w:rPr>
      </w:pPr>
      <w:r>
        <w:rPr>
          <w:rFonts w:hint="eastAsia" w:ascii="宋体" w:cs="宋体" w:hAnsiTheme="minorHAnsi" w:eastAsiaTheme="minorEastAsia"/>
          <w:b/>
          <w:bCs/>
          <w:sz w:val="24"/>
          <w:szCs w:val="22"/>
          <w:lang w:val="zh-CN"/>
        </w:rPr>
        <w:t>甲方：中国人民银行征信中心</w:t>
      </w:r>
    </w:p>
    <w:p>
      <w:pPr>
        <w:autoSpaceDE w:val="0"/>
        <w:autoSpaceDN w:val="0"/>
        <w:adjustRightInd w:val="0"/>
        <w:jc w:val="center"/>
        <w:rPr>
          <w:rFonts w:ascii="宋体" w:cs="宋体" w:hAnsiTheme="minorHAnsi" w:eastAsiaTheme="minorEastAsia"/>
          <w:b/>
          <w:bCs/>
          <w:sz w:val="24"/>
          <w:szCs w:val="22"/>
          <w:lang w:val="zh-CN"/>
        </w:rPr>
      </w:pPr>
    </w:p>
    <w:p>
      <w:pPr>
        <w:autoSpaceDE w:val="0"/>
        <w:autoSpaceDN w:val="0"/>
        <w:adjustRightInd w:val="0"/>
        <w:ind w:firstLine="2650" w:firstLineChars="1100"/>
        <w:rPr>
          <w:rFonts w:asciiTheme="minorHAnsi" w:hAnsiTheme="minorHAnsi" w:eastAsiaTheme="minorEastAsia" w:cstheme="minorBidi"/>
          <w:bCs/>
          <w:color w:val="000000"/>
          <w:sz w:val="32"/>
          <w:szCs w:val="22"/>
        </w:rPr>
      </w:pPr>
      <w:r>
        <w:rPr>
          <w:rFonts w:hint="eastAsia" w:ascii="宋体" w:cs="宋体" w:hAnsiTheme="minorHAnsi" w:eastAsiaTheme="minorEastAsia"/>
          <w:b/>
          <w:bCs/>
          <w:sz w:val="24"/>
          <w:szCs w:val="22"/>
          <w:lang w:val="zh-CN"/>
        </w:rPr>
        <w:t>乙方：</w:t>
      </w:r>
      <w:bookmarkStart w:id="1" w:name="yf"/>
      <w:r>
        <w:rPr>
          <w:rFonts w:hint="eastAsia" w:ascii="宋体" w:cs="宋体" w:hAnsiTheme="minorHAnsi" w:eastAsiaTheme="minorEastAsia"/>
          <w:b/>
          <w:bCs/>
          <w:sz w:val="24"/>
          <w:szCs w:val="22"/>
          <w:lang w:val="en-US" w:eastAsia="zh-CN"/>
        </w:rPr>
        <w:t>中国电信股份有限公司北京分公司</w:t>
      </w:r>
      <w:bookmarkEnd w:id="1"/>
      <w:r>
        <w:rPr>
          <w:rFonts w:hint="eastAsia" w:ascii="宋体" w:cs="宋体" w:hAnsiTheme="minorHAnsi" w:eastAsiaTheme="minorEastAsia"/>
          <w:b/>
          <w:bCs/>
          <w:sz w:val="24"/>
          <w:szCs w:val="22"/>
          <w:lang w:val="zh-CN"/>
        </w:rPr>
        <w:t xml:space="preserve">  </w:t>
      </w:r>
    </w:p>
    <w:p>
      <w:pPr>
        <w:autoSpaceDE w:val="0"/>
        <w:autoSpaceDN w:val="0"/>
        <w:adjustRightInd w:val="0"/>
        <w:ind w:left="420" w:hanging="420"/>
        <w:jc w:val="center"/>
        <w:rPr>
          <w:rFonts w:ascii="宋体" w:cs="宋体" w:hAnsiTheme="minorHAnsi" w:eastAsiaTheme="minorEastAsia"/>
          <w:b/>
          <w:bCs/>
          <w:sz w:val="24"/>
          <w:szCs w:val="22"/>
          <w:lang w:val="zh-CN"/>
        </w:rPr>
      </w:pPr>
    </w:p>
    <w:p>
      <w:pPr>
        <w:autoSpaceDE w:val="0"/>
        <w:autoSpaceDN w:val="0"/>
        <w:adjustRightInd w:val="0"/>
        <w:ind w:left="420" w:hanging="420"/>
        <w:jc w:val="center"/>
        <w:rPr>
          <w:rFonts w:ascii="宋体" w:cs="宋体" w:hAnsiTheme="minorHAnsi" w:eastAsiaTheme="minorEastAsia"/>
          <w:b/>
          <w:bCs/>
          <w:sz w:val="24"/>
          <w:szCs w:val="22"/>
          <w:lang w:val="zh-CN"/>
        </w:rPr>
      </w:pPr>
    </w:p>
    <w:p>
      <w:pPr>
        <w:autoSpaceDE w:val="0"/>
        <w:autoSpaceDN w:val="0"/>
        <w:adjustRightInd w:val="0"/>
        <w:ind w:left="420" w:hanging="420"/>
        <w:jc w:val="center"/>
        <w:rPr>
          <w:rFonts w:ascii="宋体" w:cs="宋体" w:hAnsiTheme="minorHAnsi" w:eastAsiaTheme="minorEastAsia"/>
          <w:b/>
          <w:bCs/>
          <w:sz w:val="24"/>
          <w:szCs w:val="22"/>
          <w:lang w:val="zh-CN"/>
        </w:rPr>
      </w:pPr>
    </w:p>
    <w:p>
      <w:pPr>
        <w:jc w:val="center"/>
        <w:rPr>
          <w:rFonts w:hint="eastAsia" w:asciiTheme="minorHAnsi" w:hAnsiTheme="minorHAnsi" w:eastAsiaTheme="minorEastAsia" w:cstheme="minorBidi"/>
          <w:b/>
          <w:bCs/>
          <w:color w:val="000000"/>
          <w:sz w:val="44"/>
          <w:szCs w:val="22"/>
          <w:lang w:eastAsia="zh-CN"/>
        </w:rPr>
      </w:pPr>
      <w:bookmarkStart w:id="2" w:name="qdrq"/>
      <w:bookmarkEnd w:id="2"/>
      <w:r>
        <w:rPr>
          <w:rFonts w:hint="eastAsia" w:ascii="宋体" w:cs="宋体" w:hAnsiTheme="minorHAnsi" w:eastAsiaTheme="minorEastAsia"/>
          <w:b/>
          <w:bCs/>
          <w:sz w:val="24"/>
          <w:szCs w:val="22"/>
          <w:lang w:val="en-US" w:eastAsia="zh-CN"/>
        </w:rPr>
        <w:t xml:space="preserve">   </w:t>
      </w:r>
    </w:p>
    <w:p>
      <w:pPr>
        <w:ind w:left="7423" w:leftChars="2875" w:hanging="1385" w:hangingChars="575"/>
        <w:rPr>
          <w:rFonts w:ascii="宋体" w:hAnsi="宋体" w:eastAsiaTheme="minorEastAsia" w:cstheme="minorBidi"/>
          <w:b/>
          <w:color w:val="000000"/>
          <w:sz w:val="24"/>
          <w:szCs w:val="22"/>
        </w:rPr>
      </w:pPr>
    </w:p>
    <w:p>
      <w:pPr>
        <w:ind w:left="7423" w:leftChars="2875" w:hanging="1385" w:hangingChars="575"/>
        <w:rPr>
          <w:rFonts w:ascii="宋体" w:hAnsi="宋体" w:eastAsiaTheme="minorEastAsia" w:cstheme="minorBidi"/>
          <w:b/>
          <w:color w:val="000000"/>
          <w:sz w:val="24"/>
          <w:szCs w:val="22"/>
        </w:rPr>
      </w:pPr>
    </w:p>
    <w:p>
      <w:pPr>
        <w:jc w:val="center"/>
        <w:rPr>
          <w:rFonts w:ascii="宋体" w:hAnsi="宋体" w:eastAsiaTheme="minorEastAsia" w:cstheme="minorBidi"/>
          <w:b/>
          <w:color w:val="000000"/>
          <w:sz w:val="24"/>
          <w:szCs w:val="22"/>
        </w:rPr>
      </w:pPr>
      <w:r>
        <w:rPr>
          <w:rFonts w:hint="eastAsia" w:ascii="宋体" w:hAnsi="宋体" w:eastAsiaTheme="minorEastAsia" w:cstheme="minorBidi"/>
          <w:b/>
          <w:color w:val="000000"/>
          <w:sz w:val="24"/>
          <w:szCs w:val="22"/>
        </w:rPr>
        <w:t>签订地点：</w:t>
      </w:r>
      <w:bookmarkStart w:id="3" w:name="qddd"/>
      <w:r>
        <w:rPr>
          <w:rFonts w:hint="eastAsia" w:ascii="宋体" w:hAnsi="宋体" w:eastAsiaTheme="minorEastAsia" w:cstheme="minorBidi"/>
          <w:b/>
          <w:color w:val="000000"/>
          <w:sz w:val="24"/>
          <w:szCs w:val="22"/>
          <w:lang w:val="en-US" w:eastAsia="zh-CN"/>
        </w:rPr>
        <w:t>上海</w:t>
      </w:r>
      <w:bookmarkEnd w:id="3"/>
    </w:p>
    <w:p>
      <w:pPr>
        <w:autoSpaceDE w:val="0"/>
        <w:autoSpaceDN w:val="0"/>
        <w:adjustRightInd w:val="0"/>
        <w:spacing w:line="360" w:lineRule="auto"/>
        <w:ind w:firstLine="480"/>
        <w:jc w:val="left"/>
        <w:rPr>
          <w:rFonts w:ascii="宋体" w:cs="宋体"/>
          <w:sz w:val="24"/>
        </w:rPr>
        <w:sectPr>
          <w:footerReference r:id="rId3" w:type="default"/>
          <w:pgSz w:w="11906" w:h="16838"/>
          <w:pgMar w:top="1440" w:right="1800" w:bottom="1440" w:left="1800" w:header="851" w:footer="992" w:gutter="0"/>
          <w:cols w:space="425" w:num="1"/>
          <w:docGrid w:type="lines" w:linePitch="312" w:charSpace="0"/>
        </w:sectPr>
      </w:pPr>
      <w:r>
        <w:rPr>
          <w:rFonts w:ascii="宋体" w:hAnsi="宋体" w:eastAsiaTheme="minorEastAsia" w:cstheme="minorBidi"/>
          <w:b/>
          <w:color w:val="000000"/>
          <w:sz w:val="24"/>
          <w:szCs w:val="22"/>
        </w:rPr>
        <w:br w:type="page"/>
      </w:r>
    </w:p>
    <w:p>
      <w:pPr>
        <w:spacing w:line="360" w:lineRule="auto"/>
        <w:outlineLvl w:val="0"/>
        <w:rPr>
          <w:rFonts w:ascii="宋体" w:hAnsi="宋体"/>
          <w:b/>
          <w:sz w:val="24"/>
        </w:rPr>
      </w:pPr>
      <w:r>
        <w:rPr>
          <w:rFonts w:hint="eastAsia" w:ascii="宋体" w:hAnsi="宋体"/>
          <w:b/>
          <w:sz w:val="24"/>
        </w:rPr>
        <w:t>甲    方：中国人民银行征信中心</w:t>
      </w:r>
    </w:p>
    <w:p>
      <w:pPr>
        <w:spacing w:line="360" w:lineRule="auto"/>
        <w:rPr>
          <w:rFonts w:hint="default" w:ascii="宋体" w:hAnsi="宋体" w:eastAsia="宋体"/>
          <w:sz w:val="24"/>
          <w:lang w:val="en-US" w:eastAsia="zh-CN"/>
        </w:rPr>
      </w:pPr>
      <w:r>
        <w:rPr>
          <w:rFonts w:hint="eastAsia" w:ascii="宋体" w:hAnsi="宋体"/>
          <w:sz w:val="24"/>
        </w:rPr>
        <w:t>法定代表人：</w:t>
      </w:r>
    </w:p>
    <w:p>
      <w:pPr>
        <w:spacing w:line="360" w:lineRule="auto"/>
        <w:rPr>
          <w:rFonts w:hint="eastAsia" w:ascii="宋体" w:hAnsi="宋体"/>
          <w:sz w:val="24"/>
        </w:rPr>
      </w:pPr>
      <w:r>
        <w:rPr>
          <w:rFonts w:hint="eastAsia" w:ascii="宋体" w:hAnsi="宋体"/>
          <w:sz w:val="24"/>
        </w:rPr>
        <w:t>地址：</w:t>
      </w:r>
    </w:p>
    <w:p>
      <w:pPr>
        <w:spacing w:line="360" w:lineRule="auto"/>
        <w:rPr>
          <w:rFonts w:hint="default" w:ascii="宋体" w:hAnsi="宋体" w:eastAsia="宋体"/>
          <w:sz w:val="24"/>
          <w:lang w:val="en-US" w:eastAsia="zh-CN"/>
        </w:rPr>
      </w:pPr>
      <w:r>
        <w:rPr>
          <w:rFonts w:hint="eastAsia" w:ascii="宋体" w:hAnsi="宋体"/>
          <w:sz w:val="24"/>
        </w:rPr>
        <w:t>邮政编码：</w:t>
      </w:r>
    </w:p>
    <w:p>
      <w:pPr>
        <w:spacing w:line="360" w:lineRule="auto"/>
        <w:rPr>
          <w:rFonts w:hint="default" w:ascii="宋体" w:hAnsi="宋体" w:eastAsia="宋体"/>
          <w:sz w:val="24"/>
          <w:lang w:val="en-US" w:eastAsia="zh-CN"/>
        </w:rPr>
      </w:pPr>
      <w:r>
        <w:rPr>
          <w:rFonts w:hint="eastAsia" w:ascii="宋体" w:hAnsi="宋体"/>
          <w:sz w:val="24"/>
        </w:rPr>
        <w:t>联系人：</w:t>
      </w:r>
    </w:p>
    <w:p>
      <w:pPr>
        <w:spacing w:line="360" w:lineRule="auto"/>
        <w:rPr>
          <w:rFonts w:hint="default" w:ascii="宋体" w:hAnsi="宋体" w:eastAsia="宋体"/>
          <w:sz w:val="24"/>
          <w:lang w:val="en-US" w:eastAsia="zh-CN"/>
        </w:rPr>
      </w:pPr>
      <w:r>
        <w:rPr>
          <w:rFonts w:hint="eastAsia" w:ascii="宋体" w:hAnsi="宋体"/>
          <w:sz w:val="24"/>
        </w:rPr>
        <w:t>联系电话：</w:t>
      </w:r>
    </w:p>
    <w:p>
      <w:pPr>
        <w:spacing w:line="360" w:lineRule="auto"/>
        <w:rPr>
          <w:rFonts w:hint="default" w:ascii="宋体" w:hAnsi="宋体" w:eastAsia="宋体"/>
          <w:sz w:val="24"/>
          <w:lang w:val="en-US" w:eastAsia="zh-CN"/>
        </w:rPr>
      </w:pPr>
      <w:r>
        <w:rPr>
          <w:rFonts w:hint="eastAsia" w:ascii="宋体" w:hAnsi="宋体"/>
          <w:sz w:val="24"/>
        </w:rPr>
        <w:t>传真号码：</w:t>
      </w:r>
    </w:p>
    <w:p>
      <w:pPr>
        <w:spacing w:line="360" w:lineRule="auto"/>
        <w:rPr>
          <w:rFonts w:hint="default" w:ascii="宋体" w:hAnsi="宋体" w:eastAsia="宋体"/>
          <w:sz w:val="24"/>
          <w:lang w:val="en-US" w:eastAsia="zh-CN"/>
        </w:rPr>
      </w:pPr>
      <w:r>
        <w:rPr>
          <w:rFonts w:hint="eastAsia" w:ascii="宋体" w:hAnsi="宋体"/>
          <w:sz w:val="24"/>
        </w:rPr>
        <w:t>开户银行：</w:t>
      </w:r>
    </w:p>
    <w:p>
      <w:pPr>
        <w:spacing w:line="360" w:lineRule="auto"/>
        <w:rPr>
          <w:rFonts w:hint="default" w:ascii="宋体" w:hAnsi="宋体" w:eastAsia="宋体"/>
          <w:sz w:val="24"/>
          <w:lang w:val="en-US" w:eastAsia="zh-CN"/>
        </w:rPr>
      </w:pPr>
      <w:r>
        <w:rPr>
          <w:rFonts w:hint="eastAsia" w:ascii="宋体" w:hAnsi="宋体"/>
          <w:sz w:val="24"/>
        </w:rPr>
        <w:t>银行</w:t>
      </w:r>
      <w:r>
        <w:rPr>
          <w:rFonts w:hint="eastAsia" w:ascii="宋体" w:hAnsi="宋体"/>
          <w:sz w:val="24"/>
          <w:lang w:val="en-US" w:eastAsia="zh-CN"/>
        </w:rPr>
        <w:t>账</w:t>
      </w:r>
      <w:r>
        <w:rPr>
          <w:rFonts w:hint="eastAsia" w:ascii="宋体" w:hAnsi="宋体"/>
          <w:sz w:val="24"/>
        </w:rPr>
        <w:t>号：</w:t>
      </w:r>
    </w:p>
    <w:p>
      <w:pPr>
        <w:spacing w:line="360" w:lineRule="auto"/>
        <w:rPr>
          <w:rFonts w:hint="default" w:ascii="宋体" w:hAnsi="宋体" w:eastAsia="宋体"/>
          <w:sz w:val="24"/>
          <w:lang w:val="en-US" w:eastAsia="zh-CN"/>
        </w:rPr>
      </w:pPr>
      <w:r>
        <w:rPr>
          <w:rFonts w:hint="eastAsia" w:ascii="宋体" w:hAnsi="宋体"/>
          <w:sz w:val="24"/>
          <w:lang w:val="en-US" w:eastAsia="zh-CN"/>
        </w:rPr>
        <w:t>甲方税号</w:t>
      </w:r>
      <w:r>
        <w:rPr>
          <w:rFonts w:hint="eastAsia" w:ascii="宋体" w:hAnsi="宋体"/>
          <w:sz w:val="24"/>
        </w:rPr>
        <w:t>：</w:t>
      </w:r>
    </w:p>
    <w:p>
      <w:pPr>
        <w:spacing w:line="360" w:lineRule="auto"/>
        <w:rPr>
          <w:rFonts w:ascii="宋体" w:hAnsi="宋体"/>
          <w:sz w:val="24"/>
        </w:rPr>
      </w:pPr>
    </w:p>
    <w:p>
      <w:pPr>
        <w:spacing w:line="360" w:lineRule="auto"/>
        <w:rPr>
          <w:rFonts w:ascii="宋体" w:hAnsi="宋体"/>
          <w:sz w:val="24"/>
        </w:rPr>
      </w:pPr>
    </w:p>
    <w:p>
      <w:pPr>
        <w:spacing w:line="360" w:lineRule="auto"/>
        <w:outlineLvl w:val="0"/>
        <w:rPr>
          <w:rFonts w:hint="default" w:ascii="宋体" w:hAnsi="宋体" w:eastAsia="宋体"/>
          <w:b/>
          <w:sz w:val="24"/>
          <w:lang w:val="en-US" w:eastAsia="zh-CN"/>
        </w:rPr>
      </w:pPr>
      <w:r>
        <w:rPr>
          <w:rFonts w:hint="eastAsia" w:ascii="宋体" w:hAnsi="宋体"/>
          <w:b/>
          <w:sz w:val="24"/>
        </w:rPr>
        <w:t>乙    方：</w:t>
      </w:r>
      <w:bookmarkStart w:id="4" w:name="yf2"/>
      <w:r>
        <w:rPr>
          <w:rFonts w:hint="eastAsia" w:ascii="宋体" w:hAnsi="宋体"/>
          <w:b/>
          <w:sz w:val="24"/>
          <w:lang w:val="en-US" w:eastAsia="zh-CN"/>
        </w:rPr>
        <w:t>中国电信股份有限公司北京分公司</w:t>
      </w:r>
      <w:bookmarkEnd w:id="4"/>
    </w:p>
    <w:p>
      <w:pPr>
        <w:spacing w:line="360" w:lineRule="auto"/>
        <w:rPr>
          <w:rFonts w:hint="default" w:ascii="宋体" w:hAnsi="宋体" w:eastAsia="宋体"/>
          <w:sz w:val="24"/>
          <w:lang w:val="en-US" w:eastAsia="zh-CN"/>
        </w:rPr>
      </w:pPr>
      <w:r>
        <w:rPr>
          <w:rFonts w:hint="eastAsia" w:ascii="宋体" w:hAnsi="宋体"/>
          <w:sz w:val="24"/>
        </w:rPr>
        <w:t>法定代表人：</w:t>
      </w:r>
    </w:p>
    <w:p>
      <w:pPr>
        <w:spacing w:line="360" w:lineRule="auto"/>
        <w:rPr>
          <w:rFonts w:hint="default" w:ascii="宋体" w:hAnsi="宋体" w:eastAsia="宋体"/>
          <w:sz w:val="24"/>
          <w:lang w:val="en-US" w:eastAsia="zh-CN"/>
        </w:rPr>
      </w:pPr>
      <w:r>
        <w:rPr>
          <w:rFonts w:hint="eastAsia" w:ascii="宋体" w:hAnsi="宋体"/>
          <w:sz w:val="24"/>
        </w:rPr>
        <w:t>地址：</w:t>
      </w:r>
    </w:p>
    <w:p>
      <w:pPr>
        <w:spacing w:line="360" w:lineRule="auto"/>
        <w:rPr>
          <w:rFonts w:hint="default" w:ascii="宋体" w:hAnsi="宋体" w:eastAsia="宋体"/>
          <w:sz w:val="24"/>
          <w:lang w:val="en-US" w:eastAsia="zh-CN"/>
        </w:rPr>
      </w:pPr>
      <w:r>
        <w:rPr>
          <w:rFonts w:hint="eastAsia" w:ascii="宋体" w:hAnsi="宋体"/>
          <w:sz w:val="24"/>
        </w:rPr>
        <w:t>邮政编码：</w:t>
      </w:r>
    </w:p>
    <w:p>
      <w:pPr>
        <w:spacing w:line="360" w:lineRule="auto"/>
        <w:rPr>
          <w:rFonts w:hint="default" w:ascii="宋体" w:hAnsi="宋体" w:eastAsia="宋体"/>
          <w:sz w:val="24"/>
          <w:lang w:val="en-US" w:eastAsia="zh-CN"/>
        </w:rPr>
      </w:pPr>
      <w:r>
        <w:rPr>
          <w:rFonts w:hint="eastAsia" w:ascii="宋体" w:hAnsi="宋体"/>
          <w:sz w:val="24"/>
        </w:rPr>
        <w:t>联系人：</w:t>
      </w:r>
    </w:p>
    <w:p>
      <w:pPr>
        <w:spacing w:line="360" w:lineRule="auto"/>
        <w:rPr>
          <w:rFonts w:hint="default" w:ascii="宋体" w:hAnsi="宋体" w:eastAsia="宋体"/>
          <w:sz w:val="24"/>
          <w:lang w:val="en-US" w:eastAsia="zh-CN"/>
        </w:rPr>
      </w:pPr>
      <w:r>
        <w:rPr>
          <w:rFonts w:hint="eastAsia" w:ascii="宋体" w:hAnsi="宋体"/>
          <w:sz w:val="24"/>
        </w:rPr>
        <w:t>联系电话：</w:t>
      </w:r>
    </w:p>
    <w:p>
      <w:pPr>
        <w:spacing w:line="360" w:lineRule="auto"/>
        <w:rPr>
          <w:rFonts w:hint="default" w:ascii="宋体" w:hAnsi="宋体" w:eastAsia="宋体"/>
          <w:sz w:val="24"/>
          <w:lang w:val="en-US" w:eastAsia="zh-CN"/>
        </w:rPr>
      </w:pPr>
      <w:r>
        <w:rPr>
          <w:rFonts w:hint="eastAsia" w:ascii="宋体" w:hAnsi="宋体"/>
          <w:sz w:val="24"/>
        </w:rPr>
        <w:t>传真号码：</w:t>
      </w:r>
    </w:p>
    <w:p>
      <w:pPr>
        <w:spacing w:line="360" w:lineRule="auto"/>
        <w:rPr>
          <w:rFonts w:hint="default" w:ascii="宋体" w:hAnsi="宋体" w:eastAsia="宋体"/>
          <w:sz w:val="24"/>
          <w:lang w:val="en-US" w:eastAsia="zh-CN"/>
        </w:rPr>
      </w:pPr>
      <w:r>
        <w:rPr>
          <w:rFonts w:hint="eastAsia" w:ascii="宋体" w:hAnsi="宋体"/>
          <w:sz w:val="24"/>
        </w:rPr>
        <w:t>开户银行：</w:t>
      </w:r>
    </w:p>
    <w:p>
      <w:pPr>
        <w:spacing w:line="360" w:lineRule="auto"/>
        <w:rPr>
          <w:rFonts w:hint="default" w:ascii="宋体" w:hAnsi="宋体" w:eastAsia="宋体"/>
          <w:sz w:val="24"/>
          <w:lang w:val="en-US" w:eastAsia="zh-CN"/>
        </w:rPr>
      </w:pPr>
      <w:r>
        <w:rPr>
          <w:rFonts w:hint="eastAsia" w:ascii="宋体" w:hAnsi="宋体"/>
          <w:sz w:val="24"/>
        </w:rPr>
        <w:t>银行账号：</w:t>
      </w:r>
    </w:p>
    <w:p>
      <w:pPr>
        <w:spacing w:line="360" w:lineRule="auto"/>
        <w:rPr>
          <w:rFonts w:hint="default" w:ascii="宋体" w:hAnsi="宋体" w:eastAsia="宋体"/>
          <w:sz w:val="24"/>
          <w:lang w:val="en-US" w:eastAsia="zh-CN"/>
        </w:rPr>
      </w:pPr>
      <w:r>
        <w:rPr>
          <w:rFonts w:hint="eastAsia" w:ascii="宋体" w:hAnsi="宋体"/>
          <w:sz w:val="24"/>
          <w:lang w:val="en-US" w:eastAsia="zh-CN"/>
        </w:rPr>
        <w:t>乙方税号</w:t>
      </w:r>
      <w:r>
        <w:rPr>
          <w:rFonts w:hint="eastAsia" w:ascii="宋体" w:hAnsi="宋体"/>
          <w:sz w:val="24"/>
        </w:rPr>
        <w:t>：</w:t>
      </w:r>
    </w:p>
    <w:p>
      <w:pPr>
        <w:autoSpaceDE w:val="0"/>
        <w:autoSpaceDN w:val="0"/>
        <w:adjustRightInd w:val="0"/>
        <w:spacing w:line="360" w:lineRule="auto"/>
        <w:jc w:val="left"/>
        <w:rPr>
          <w:rFonts w:ascii="宋体" w:cs="宋体"/>
          <w:sz w:val="24"/>
        </w:rPr>
      </w:pPr>
    </w:p>
    <w:p>
      <w:pPr>
        <w:autoSpaceDE w:val="0"/>
        <w:autoSpaceDN w:val="0"/>
        <w:adjustRightInd w:val="0"/>
        <w:spacing w:line="360" w:lineRule="auto"/>
        <w:ind w:firstLine="480"/>
        <w:jc w:val="left"/>
        <w:rPr>
          <w:rFonts w:ascii="宋体" w:cs="宋体"/>
          <w:sz w:val="24"/>
          <w:lang w:val="zh-CN"/>
        </w:rPr>
      </w:pPr>
    </w:p>
    <w:p>
      <w:pPr>
        <w:autoSpaceDE w:val="0"/>
        <w:autoSpaceDN w:val="0"/>
        <w:adjustRightInd w:val="0"/>
        <w:spacing w:line="360" w:lineRule="auto"/>
        <w:ind w:firstLine="480"/>
        <w:jc w:val="left"/>
        <w:rPr>
          <w:rFonts w:ascii="宋体" w:cs="宋体"/>
          <w:sz w:val="24"/>
          <w:lang w:val="zh-CN"/>
        </w:rPr>
        <w:sectPr>
          <w:headerReference r:id="rId4" w:type="default"/>
          <w:pgSz w:w="11906" w:h="16838"/>
          <w:pgMar w:top="1440" w:right="1800" w:bottom="1440" w:left="1800" w:header="851" w:footer="992" w:gutter="0"/>
          <w:cols w:space="425" w:num="1"/>
          <w:docGrid w:type="lines" w:linePitch="312" w:charSpace="0"/>
        </w:sectPr>
      </w:pPr>
    </w:p>
    <w:p>
      <w:pPr>
        <w:pStyle w:val="33"/>
        <w:tabs>
          <w:tab w:val="left" w:pos="0"/>
        </w:tabs>
        <w:wordWrap/>
        <w:adjustRightInd w:val="0"/>
        <w:spacing w:before="0" w:after="0" w:line="360" w:lineRule="auto"/>
        <w:rPr>
          <w:rFonts w:ascii="宋体" w:hAnsi="宋体" w:cs="宋体"/>
          <w:b/>
          <w:bCs/>
          <w:kern w:val="0"/>
          <w:sz w:val="24"/>
        </w:rPr>
      </w:pPr>
      <w:r>
        <w:rPr>
          <w:rFonts w:hint="eastAsia" w:ascii="宋体" w:hAnsi="宋体" w:cs="宋体"/>
          <w:b/>
          <w:bCs/>
          <w:kern w:val="0"/>
          <w:sz w:val="24"/>
        </w:rPr>
        <w:t>鉴于：</w:t>
      </w:r>
    </w:p>
    <w:p>
      <w:pPr>
        <w:pStyle w:val="33"/>
        <w:tabs>
          <w:tab w:val="left" w:pos="0"/>
        </w:tabs>
        <w:wordWrap/>
        <w:adjustRightInd w:val="0"/>
        <w:spacing w:before="0" w:after="0" w:line="360" w:lineRule="auto"/>
        <w:ind w:firstLine="480" w:firstLineChars="200"/>
        <w:rPr>
          <w:rFonts w:ascii="宋体" w:hAnsi="宋体" w:cs="宋体"/>
          <w:kern w:val="0"/>
          <w:sz w:val="24"/>
        </w:rPr>
      </w:pPr>
      <w:r>
        <w:rPr>
          <w:rFonts w:hint="eastAsia" w:ascii="宋体" w:hAnsi="宋体" w:cs="宋体"/>
          <w:kern w:val="0"/>
          <w:sz w:val="24"/>
        </w:rPr>
        <w:t xml:space="preserve">1、甲方符合以下第（2）项条件: </w:t>
      </w:r>
    </w:p>
    <w:p>
      <w:pPr>
        <w:pStyle w:val="33"/>
        <w:tabs>
          <w:tab w:val="left" w:pos="0"/>
        </w:tabs>
        <w:wordWrap/>
        <w:adjustRightInd w:val="0"/>
        <w:spacing w:before="0" w:after="0" w:line="360" w:lineRule="auto"/>
        <w:ind w:firstLine="480" w:firstLineChars="200"/>
        <w:rPr>
          <w:rFonts w:ascii="宋体" w:hAnsi="宋体" w:cs="宋体"/>
          <w:kern w:val="0"/>
          <w:sz w:val="24"/>
        </w:rPr>
      </w:pPr>
      <w:r>
        <w:rPr>
          <w:rFonts w:hint="eastAsia" w:ascii="宋体" w:hAnsi="宋体" w:cs="宋体"/>
          <w:kern w:val="0"/>
          <w:sz w:val="24"/>
        </w:rPr>
        <w:t>（1）合法提供移动增值业务服务和内容的服务提供商和内容提供商（统称“SP”）；或者</w:t>
      </w:r>
    </w:p>
    <w:p>
      <w:pPr>
        <w:pStyle w:val="33"/>
        <w:tabs>
          <w:tab w:val="left" w:pos="0"/>
        </w:tabs>
        <w:wordWrap/>
        <w:adjustRightInd w:val="0"/>
        <w:spacing w:before="0" w:after="0" w:line="360" w:lineRule="auto"/>
        <w:ind w:firstLine="480" w:firstLineChars="200"/>
        <w:rPr>
          <w:rFonts w:ascii="宋体" w:hAnsi="宋体" w:cs="宋体"/>
          <w:kern w:val="0"/>
          <w:sz w:val="24"/>
        </w:rPr>
      </w:pPr>
      <w:r>
        <w:rPr>
          <w:rFonts w:hint="eastAsia" w:ascii="宋体" w:hAnsi="宋体" w:cs="宋体"/>
          <w:kern w:val="0"/>
          <w:sz w:val="24"/>
        </w:rPr>
        <w:t>（2）主要从事[征信服务的建设、运行和管理]的政府机构、企业、行业协会等法人或其他组织（“集团”），主要开展[/]业务，或主要履行[征信中心的职能]社会职能。</w:t>
      </w:r>
    </w:p>
    <w:p>
      <w:pPr>
        <w:pStyle w:val="33"/>
        <w:tabs>
          <w:tab w:val="left" w:pos="0"/>
        </w:tabs>
        <w:wordWrap/>
        <w:adjustRightInd w:val="0"/>
        <w:spacing w:before="0" w:after="0" w:line="360" w:lineRule="auto"/>
        <w:ind w:firstLine="480" w:firstLineChars="200"/>
        <w:rPr>
          <w:rFonts w:ascii="宋体" w:hAnsi="宋体" w:cs="宋体"/>
          <w:kern w:val="0"/>
          <w:sz w:val="24"/>
        </w:rPr>
      </w:pPr>
      <w:r>
        <w:rPr>
          <w:rFonts w:hint="eastAsia" w:ascii="宋体" w:hAnsi="宋体" w:cs="宋体"/>
          <w:kern w:val="0"/>
          <w:sz w:val="24"/>
        </w:rPr>
        <w:t>甲方有充分的权利签署并履行本合同。</w:t>
      </w:r>
    </w:p>
    <w:p>
      <w:pPr>
        <w:pStyle w:val="33"/>
        <w:tabs>
          <w:tab w:val="left" w:pos="0"/>
        </w:tabs>
        <w:wordWrap/>
        <w:adjustRightInd w:val="0"/>
        <w:spacing w:before="0" w:after="0" w:line="360" w:lineRule="auto"/>
        <w:ind w:firstLine="480" w:firstLineChars="200"/>
        <w:rPr>
          <w:rFonts w:ascii="宋体" w:hAnsi="宋体" w:cs="宋体"/>
          <w:kern w:val="0"/>
          <w:sz w:val="24"/>
        </w:rPr>
      </w:pPr>
      <w:r>
        <w:rPr>
          <w:rFonts w:hint="eastAsia" w:ascii="宋体" w:hAnsi="宋体" w:cs="宋体"/>
          <w:kern w:val="0"/>
          <w:sz w:val="24"/>
        </w:rPr>
        <w:t>2、乙方是经国务院信息产业主管部门批准，向社会公众提供基础电信业务及增值电信业务的电信运营商，拥有电信基础网络、增值业务平台、服务销售系统、庞大的客户群。乙方具有充分的权利和资格签署并履行本合同。</w:t>
      </w:r>
    </w:p>
    <w:p>
      <w:pPr>
        <w:pStyle w:val="33"/>
        <w:tabs>
          <w:tab w:val="left" w:pos="0"/>
        </w:tabs>
        <w:wordWrap/>
        <w:adjustRightInd w:val="0"/>
        <w:spacing w:before="0" w:after="0" w:line="360" w:lineRule="auto"/>
        <w:ind w:firstLine="480" w:firstLineChars="200"/>
        <w:rPr>
          <w:rFonts w:ascii="宋体" w:hAnsi="宋体"/>
          <w:sz w:val="24"/>
        </w:rPr>
      </w:pPr>
      <w:r>
        <w:rPr>
          <w:rFonts w:hint="eastAsia" w:ascii="宋体" w:hAnsi="宋体" w:cs="宋体"/>
          <w:kern w:val="0"/>
          <w:sz w:val="24"/>
        </w:rPr>
        <w:t>甲乙双方本着平等互利、互相信赖、有偿使用、共同发展的原则，经友好协商达成本合同。</w:t>
      </w:r>
    </w:p>
    <w:p>
      <w:pPr>
        <w:spacing w:line="360" w:lineRule="auto"/>
        <w:rPr>
          <w:rFonts w:asciiTheme="minorEastAsia" w:hAnsiTheme="minorEastAsia" w:cstheme="minorEastAsia"/>
          <w:b/>
          <w:sz w:val="24"/>
        </w:rPr>
      </w:pPr>
      <w:r>
        <w:rPr>
          <w:rFonts w:hint="eastAsia" w:asciiTheme="minorEastAsia" w:hAnsiTheme="minorEastAsia" w:cstheme="minorEastAsia"/>
          <w:b/>
          <w:sz w:val="24"/>
        </w:rPr>
        <w:t>一、4008商务热线服务条款</w:t>
      </w:r>
    </w:p>
    <w:p>
      <w:pPr>
        <w:tabs>
          <w:tab w:val="left" w:pos="1080"/>
        </w:tabs>
        <w:adjustRightInd w:val="0"/>
        <w:snapToGrid w:val="0"/>
        <w:spacing w:line="360" w:lineRule="auto"/>
        <w:outlineLvl w:val="0"/>
        <w:rPr>
          <w:rFonts w:ascii="宋体" w:hAnsi="宋体"/>
          <w:b/>
          <w:sz w:val="24"/>
        </w:rPr>
      </w:pPr>
      <w:r>
        <w:rPr>
          <w:rFonts w:hint="eastAsia" w:ascii="宋体" w:hAnsi="宋体"/>
          <w:b/>
          <w:sz w:val="24"/>
        </w:rPr>
        <w:t>1、定义</w:t>
      </w:r>
    </w:p>
    <w:p>
      <w:pPr>
        <w:pStyle w:val="7"/>
        <w:spacing w:line="360" w:lineRule="auto"/>
        <w:rPr>
          <w:rFonts w:asciiTheme="minorEastAsia" w:hAnsiTheme="minorEastAsia" w:cstheme="minorEastAsia"/>
          <w:sz w:val="24"/>
        </w:rPr>
      </w:pPr>
      <w:r>
        <w:rPr>
          <w:rFonts w:hint="eastAsia" w:asciiTheme="minorEastAsia" w:hAnsiTheme="minorEastAsia" w:cstheme="minorEastAsia"/>
          <w:sz w:val="24"/>
        </w:rPr>
        <w:t>1.1“4008业务”（ “一码通商务热线业务”）：建立在中国电信的公众电话网（PSTN）和先进的国家智能网（IN）基础上，具有全国统一号码接入、呼叫汇聚、目的地选择等功能的业务。</w:t>
      </w:r>
    </w:p>
    <w:p>
      <w:pPr>
        <w:pStyle w:val="7"/>
        <w:spacing w:line="360" w:lineRule="auto"/>
        <w:rPr>
          <w:rFonts w:asciiTheme="minorEastAsia" w:hAnsiTheme="minorEastAsia" w:cstheme="minorEastAsia"/>
          <w:sz w:val="24"/>
        </w:rPr>
      </w:pPr>
      <w:r>
        <w:rPr>
          <w:rFonts w:hint="eastAsia" w:asciiTheme="minorEastAsia" w:hAnsiTheme="minorEastAsia" w:cstheme="minorEastAsia"/>
          <w:sz w:val="24"/>
        </w:rPr>
        <w:t>1.2“通话服务费”：主叫用户呼叫时产生的，应当由甲方向乙方缴纳的费用。</w:t>
      </w:r>
    </w:p>
    <w:p>
      <w:pPr>
        <w:pStyle w:val="7"/>
        <w:spacing w:line="360" w:lineRule="auto"/>
        <w:rPr>
          <w:rFonts w:asciiTheme="minorEastAsia" w:hAnsiTheme="minorEastAsia" w:cstheme="minorEastAsia"/>
          <w:sz w:val="24"/>
        </w:rPr>
      </w:pPr>
      <w:r>
        <w:rPr>
          <w:rFonts w:hint="eastAsia" w:asciiTheme="minorEastAsia" w:hAnsiTheme="minorEastAsia" w:cstheme="minorEastAsia"/>
          <w:sz w:val="24"/>
        </w:rPr>
        <w:t>1.3“一站式服务”：在乙方一点完成相关的电信业务服务，如：业务咨询，受理，开通，收费以及故障受理等。</w:t>
      </w:r>
    </w:p>
    <w:p>
      <w:pPr>
        <w:pStyle w:val="7"/>
        <w:spacing w:line="360" w:lineRule="auto"/>
        <w:rPr>
          <w:rFonts w:asciiTheme="minorEastAsia" w:hAnsiTheme="minorEastAsia" w:cstheme="minorEastAsia"/>
          <w:sz w:val="24"/>
        </w:rPr>
      </w:pPr>
      <w:r>
        <w:rPr>
          <w:rFonts w:hint="eastAsia" w:asciiTheme="minorEastAsia" w:hAnsiTheme="minorEastAsia" w:cstheme="minorEastAsia"/>
          <w:sz w:val="24"/>
        </w:rPr>
        <w:t>1.4“工作日”：除周六、周日及法定节假日以外的日历日。</w:t>
      </w:r>
    </w:p>
    <w:p>
      <w:pPr>
        <w:pStyle w:val="7"/>
        <w:spacing w:line="360" w:lineRule="auto"/>
        <w:rPr>
          <w:rFonts w:asciiTheme="minorEastAsia" w:hAnsiTheme="minorEastAsia" w:cstheme="minorEastAsia"/>
          <w:sz w:val="24"/>
        </w:rPr>
      </w:pPr>
      <w:r>
        <w:rPr>
          <w:rFonts w:hint="eastAsia" w:asciiTheme="minorEastAsia" w:hAnsiTheme="minorEastAsia" w:cstheme="minorEastAsia"/>
          <w:sz w:val="24"/>
        </w:rPr>
        <w:t>1.5“日”：日历日，包括工作日、法定节假日和休息日。</w:t>
      </w:r>
    </w:p>
    <w:p>
      <w:pPr>
        <w:tabs>
          <w:tab w:val="left" w:pos="1080"/>
        </w:tabs>
        <w:adjustRightInd w:val="0"/>
        <w:snapToGrid w:val="0"/>
        <w:spacing w:line="360" w:lineRule="auto"/>
        <w:outlineLvl w:val="0"/>
        <w:rPr>
          <w:rFonts w:asciiTheme="minorEastAsia" w:hAnsiTheme="minorEastAsia" w:cstheme="minorEastAsia"/>
          <w:b/>
          <w:sz w:val="24"/>
        </w:rPr>
      </w:pPr>
      <w:r>
        <w:rPr>
          <w:rFonts w:hint="eastAsia" w:asciiTheme="minorEastAsia" w:hAnsiTheme="minorEastAsia" w:cstheme="minorEastAsia"/>
          <w:b/>
          <w:sz w:val="24"/>
        </w:rPr>
        <w:t>2、服务内容</w:t>
      </w:r>
    </w:p>
    <w:p>
      <w:pPr>
        <w:pStyle w:val="7"/>
        <w:spacing w:line="360" w:lineRule="auto"/>
        <w:rPr>
          <w:rFonts w:asciiTheme="minorEastAsia" w:hAnsiTheme="minorEastAsia" w:cstheme="minorEastAsia"/>
          <w:sz w:val="24"/>
        </w:rPr>
      </w:pPr>
      <w:r>
        <w:rPr>
          <w:rFonts w:hint="eastAsia" w:asciiTheme="minorEastAsia" w:hAnsiTheme="minorEastAsia" w:cstheme="minorEastAsia"/>
          <w:sz w:val="24"/>
        </w:rPr>
        <w:t>2.1甲方需要利用乙方400号码提供被叫接入服务服务,甲方申请使用的400号码：4008108866,具体服务范围和内容见甲方的业务需求及技术规范（附件二）为准。</w:t>
      </w:r>
    </w:p>
    <w:p>
      <w:pPr>
        <w:pStyle w:val="7"/>
        <w:spacing w:line="360" w:lineRule="auto"/>
        <w:rPr>
          <w:rFonts w:asciiTheme="minorEastAsia" w:hAnsiTheme="minorEastAsia" w:cstheme="minorEastAsia"/>
          <w:sz w:val="24"/>
        </w:rPr>
      </w:pPr>
      <w:r>
        <w:rPr>
          <w:rFonts w:hint="eastAsia" w:asciiTheme="minorEastAsia" w:hAnsiTheme="minorEastAsia" w:cstheme="minorEastAsia"/>
          <w:sz w:val="24"/>
        </w:rPr>
        <w:t>2.2乙方开通服务后，甲方如果需要调整接入方式，在不改变使用400号码接入方案的前提下，甲方可根据本合同的条款和条件，向乙方书面提交新的盖有甲方公章或授权部门章的业务</w:t>
      </w:r>
      <w:r>
        <w:rPr>
          <w:rFonts w:asciiTheme="minorEastAsia" w:hAnsiTheme="minorEastAsia" w:cstheme="minorEastAsia"/>
          <w:sz w:val="24"/>
        </w:rPr>
        <w:t>受理</w:t>
      </w:r>
      <w:r>
        <w:rPr>
          <w:rFonts w:hint="eastAsia" w:asciiTheme="minorEastAsia" w:hAnsiTheme="minorEastAsia" w:cstheme="minorEastAsia"/>
          <w:sz w:val="24"/>
        </w:rPr>
        <w:t>材料。</w:t>
      </w:r>
    </w:p>
    <w:p>
      <w:pPr>
        <w:tabs>
          <w:tab w:val="left" w:pos="1080"/>
        </w:tabs>
        <w:adjustRightInd w:val="0"/>
        <w:snapToGrid w:val="0"/>
        <w:spacing w:line="360" w:lineRule="auto"/>
        <w:outlineLvl w:val="0"/>
        <w:rPr>
          <w:rFonts w:asciiTheme="minorEastAsia" w:hAnsiTheme="minorEastAsia" w:cstheme="minorEastAsia"/>
          <w:b/>
          <w:sz w:val="24"/>
        </w:rPr>
      </w:pPr>
      <w:r>
        <w:rPr>
          <w:rFonts w:hint="eastAsia" w:asciiTheme="minorEastAsia" w:hAnsiTheme="minorEastAsia" w:cstheme="minorEastAsia"/>
          <w:b/>
          <w:sz w:val="24"/>
        </w:rPr>
        <w:t>3、双方权利和义务</w:t>
      </w:r>
    </w:p>
    <w:p>
      <w:pPr>
        <w:pStyle w:val="7"/>
        <w:spacing w:line="360" w:lineRule="auto"/>
        <w:rPr>
          <w:rFonts w:asciiTheme="minorEastAsia" w:hAnsiTheme="minorEastAsia" w:cstheme="minorEastAsia"/>
          <w:sz w:val="24"/>
        </w:rPr>
      </w:pPr>
      <w:r>
        <w:rPr>
          <w:rFonts w:hint="eastAsia" w:asciiTheme="minorEastAsia" w:hAnsiTheme="minorEastAsia" w:cstheme="minorEastAsia"/>
          <w:sz w:val="24"/>
        </w:rPr>
        <w:t>3.1甲方权利和义务</w:t>
      </w:r>
    </w:p>
    <w:p>
      <w:pPr>
        <w:spacing w:line="360" w:lineRule="auto"/>
        <w:rPr>
          <w:rFonts w:asciiTheme="minorEastAsia" w:hAnsiTheme="minorEastAsia" w:cstheme="minorEastAsia"/>
          <w:sz w:val="24"/>
        </w:rPr>
      </w:pPr>
      <w:r>
        <w:rPr>
          <w:rFonts w:hint="eastAsia" w:asciiTheme="minorEastAsia" w:hAnsiTheme="minorEastAsia" w:cstheme="minorEastAsia"/>
          <w:sz w:val="24"/>
        </w:rPr>
        <w:t>3.1.1作为乙方的集团客户，享受乙方为集团客户提供的一站式服务。</w:t>
      </w:r>
    </w:p>
    <w:p>
      <w:pPr>
        <w:spacing w:line="360" w:lineRule="auto"/>
        <w:rPr>
          <w:rFonts w:asciiTheme="minorEastAsia" w:hAnsiTheme="minorEastAsia" w:cstheme="minorEastAsia"/>
          <w:sz w:val="24"/>
        </w:rPr>
      </w:pPr>
      <w:r>
        <w:rPr>
          <w:rFonts w:hint="eastAsia" w:asciiTheme="minorEastAsia" w:hAnsiTheme="minorEastAsia" w:cstheme="minorEastAsia"/>
          <w:sz w:val="24"/>
        </w:rPr>
        <w:t>3.1.2在接入和使用400号码服务过程中出现的任何技术性问题，均可向中国电信统一服务电话10000拨9进行故障申告，或就近向乙方或乙方下属机构申告；主叫用户可以向乙方下属机构公布的客户服务热线申告。</w:t>
      </w:r>
    </w:p>
    <w:p>
      <w:pPr>
        <w:pStyle w:val="7"/>
        <w:spacing w:line="360" w:lineRule="auto"/>
        <w:rPr>
          <w:rFonts w:asciiTheme="minorEastAsia" w:hAnsiTheme="minorEastAsia" w:cstheme="minorEastAsia"/>
          <w:sz w:val="24"/>
        </w:rPr>
      </w:pPr>
      <w:r>
        <w:rPr>
          <w:rFonts w:hint="eastAsia" w:asciiTheme="minorEastAsia" w:hAnsiTheme="minorEastAsia" w:cstheme="minorEastAsia"/>
          <w:sz w:val="24"/>
        </w:rPr>
        <w:t>3.1.3办理业务开通、变更、过户和退订时，应当按国家法律法规规定、行政主管部门要求以及乙方业务要求提交相关业务登记资料和信息。甲方或甲方下属机构为最终用户时，还应当提供实际使用客户的单位证件信息及资料；上述信息或资料如有变更，甲方或甲方下属机构应当及时向乙方申请进行变更。甲方应当保证该等信息及资料的真实、准确、完整、合法有效，并对其负责，因所提供资料或信息不真实、不准确、不完整、无效或资料未及时变更而引起纠纷的，甲方应当负责解决并承担全部责任。</w:t>
      </w:r>
    </w:p>
    <w:p>
      <w:pPr>
        <w:pStyle w:val="7"/>
        <w:spacing w:line="360" w:lineRule="auto"/>
        <w:rPr>
          <w:rFonts w:asciiTheme="minorEastAsia" w:hAnsiTheme="minorEastAsia" w:cstheme="minorEastAsia"/>
          <w:sz w:val="24"/>
        </w:rPr>
      </w:pPr>
      <w:r>
        <w:rPr>
          <w:rFonts w:hint="eastAsia" w:asciiTheme="minorEastAsia" w:hAnsiTheme="minorEastAsia" w:cstheme="minorEastAsia"/>
          <w:sz w:val="24"/>
        </w:rPr>
        <w:t>3.1.4在本合同签订和履行过程中甲方应当持续具备开展业务所需的有效业务资质，履行相应的报备审批手续。在向乙方申请业务时应当提供相应的资质证明文件及报批手续，并应当严格按照相关资质文件的核准范围、期限、用途开展业务。</w:t>
      </w:r>
    </w:p>
    <w:p>
      <w:pPr>
        <w:pStyle w:val="7"/>
        <w:spacing w:line="360" w:lineRule="auto"/>
        <w:rPr>
          <w:rFonts w:asciiTheme="minorEastAsia" w:hAnsiTheme="minorEastAsia" w:cstheme="minorEastAsia"/>
          <w:sz w:val="24"/>
        </w:rPr>
      </w:pPr>
      <w:r>
        <w:rPr>
          <w:rFonts w:hint="eastAsia" w:asciiTheme="minorEastAsia" w:hAnsiTheme="minorEastAsia" w:cstheme="minorEastAsia"/>
          <w:sz w:val="24"/>
        </w:rPr>
        <w:t>3.1.5甲方应当按照相关部门核定以及本合同约定的范围、用途、功能进行使用，在使用中应当遵守法律、法规规定，并对其通信内容负责（包括但不限于内容的真实性、完整性、合法性）。甲方自行承担因其使用行为及通信引发的相关申告责任，并负责处理相关问题，如因此给乙方造成损失的应当赔偿乙方相应损失。</w:t>
      </w:r>
    </w:p>
    <w:p>
      <w:pPr>
        <w:pStyle w:val="7"/>
        <w:spacing w:line="360" w:lineRule="auto"/>
        <w:rPr>
          <w:rFonts w:asciiTheme="minorEastAsia" w:hAnsiTheme="minorEastAsia" w:cstheme="minorEastAsia"/>
          <w:sz w:val="24"/>
        </w:rPr>
      </w:pPr>
      <w:r>
        <w:rPr>
          <w:rFonts w:hint="eastAsia" w:asciiTheme="minorEastAsia" w:hAnsiTheme="minorEastAsia" w:cstheme="minorEastAsia"/>
          <w:sz w:val="24"/>
        </w:rPr>
        <w:t>3.1.6根据工信部《关于进一步防范和打击通讯信息诈骗工作的实施意见》[2017]361号文等相关规定以及监管机关要求，甲方（包括甲方的法定代表人或主要负责人、主要出资人的单位等）被纳入通信行业防范打击通讯信息诈骗违法违规主体“黑名单”的，乙方有权拒绝甲方的业务申请；已经提供服务的，乙方有权立即停止服务、终止合同，甲方应当承担乙方因此产生的全部损失。</w:t>
      </w:r>
    </w:p>
    <w:p>
      <w:pPr>
        <w:pStyle w:val="7"/>
        <w:spacing w:line="360" w:lineRule="auto"/>
        <w:rPr>
          <w:rFonts w:asciiTheme="minorEastAsia" w:hAnsiTheme="minorEastAsia" w:cstheme="minorEastAsia"/>
          <w:sz w:val="24"/>
        </w:rPr>
      </w:pPr>
      <w:r>
        <w:rPr>
          <w:rFonts w:hint="eastAsia" w:asciiTheme="minorEastAsia" w:hAnsiTheme="minorEastAsia" w:cstheme="minorEastAsia"/>
          <w:sz w:val="24"/>
        </w:rPr>
        <w:t>3.1.7乙方有权对甲方使用业务的服务内容进行过滤，如甲方相关服务内容违反法律法规规定的，乙方有权限制或停止提供服务。乙方发现可能存在诈骗行为的号码及使用人，有权暂停服务并直接向公安机关报案，甲方应当予以积极配合，同时乙方不因此承担违约责任。</w:t>
      </w:r>
    </w:p>
    <w:p>
      <w:pPr>
        <w:pStyle w:val="7"/>
        <w:spacing w:line="360" w:lineRule="auto"/>
        <w:rPr>
          <w:rFonts w:asciiTheme="minorEastAsia" w:hAnsiTheme="minorEastAsia" w:cstheme="minorEastAsia"/>
          <w:sz w:val="24"/>
        </w:rPr>
      </w:pPr>
      <w:r>
        <w:rPr>
          <w:rFonts w:hint="eastAsia" w:asciiTheme="minorEastAsia" w:hAnsiTheme="minorEastAsia" w:cstheme="minorEastAsia"/>
          <w:sz w:val="24"/>
        </w:rPr>
        <w:t>3.1.8甲方应当按照国家主管部门批准的用途、国家法律法规的规定以及本合同的约定使用400号码(包括目的码)，不得将400号码用于其他用途，也不得以任何方式提供给第三方使用。未经乙方同意，甲方不得使用本合同约定400号码进行呼出。</w:t>
      </w:r>
    </w:p>
    <w:p>
      <w:pPr>
        <w:pStyle w:val="7"/>
        <w:spacing w:line="360" w:lineRule="auto"/>
        <w:rPr>
          <w:rFonts w:asciiTheme="minorEastAsia" w:hAnsiTheme="minorEastAsia" w:cstheme="minorEastAsia"/>
          <w:sz w:val="24"/>
        </w:rPr>
      </w:pPr>
      <w:r>
        <w:rPr>
          <w:rFonts w:hint="eastAsia" w:asciiTheme="minorEastAsia" w:hAnsiTheme="minorEastAsia" w:cstheme="minorEastAsia"/>
          <w:sz w:val="24"/>
        </w:rPr>
        <w:t>3.1.9甲方应当加强对400短号码所传输业务信息内容的审核和规范管理，对内容信息的真实性、准确性、合法性负责。甲方使用400短号码发布、传送的内容应当严格遵守《中华人民共和国电信条例》有关规定以及其他国家法律法规的规定。甲方不得利用业务发布和传播有害信息，不得散发传播违法、不健康、反动等信息，不得利用业务实施危违法犯罪行为以及违反公序良俗、损害他人合法权益的行为，不得利用业务从事危害乙方网络安全或危害信息安全等有损于乙方利益和社会公共利益的活动。甲方应当积极协助与配合国家相关部门及乙方查找、清除非法网络行为。甲方同意遵守《网络及信息安全承诺书》（详见附件四）。</w:t>
      </w:r>
    </w:p>
    <w:p>
      <w:pPr>
        <w:pStyle w:val="7"/>
        <w:spacing w:line="360" w:lineRule="auto"/>
        <w:rPr>
          <w:rFonts w:asciiTheme="minorEastAsia" w:hAnsiTheme="minorEastAsia" w:cstheme="minorEastAsia"/>
          <w:sz w:val="24"/>
        </w:rPr>
      </w:pPr>
      <w:r>
        <w:rPr>
          <w:rFonts w:hint="eastAsia" w:asciiTheme="minorEastAsia" w:hAnsiTheme="minorEastAsia" w:cstheme="minorEastAsia"/>
          <w:sz w:val="24"/>
        </w:rPr>
        <w:t>3.1.10 甲方应当接受并配合乙方及国家相关部门进行实名制、网络安全、信息安全等相关的管理、监督和检查，并按要求进行整改。</w:t>
      </w:r>
    </w:p>
    <w:p>
      <w:pPr>
        <w:pStyle w:val="7"/>
        <w:spacing w:line="360" w:lineRule="auto"/>
        <w:rPr>
          <w:rFonts w:asciiTheme="minorEastAsia" w:hAnsiTheme="minorEastAsia" w:cstheme="minorEastAsia"/>
          <w:sz w:val="24"/>
        </w:rPr>
      </w:pPr>
      <w:r>
        <w:rPr>
          <w:rFonts w:hint="eastAsia" w:asciiTheme="minorEastAsia" w:hAnsiTheme="minorEastAsia" w:cstheme="minorEastAsia"/>
          <w:sz w:val="24"/>
        </w:rPr>
        <w:t>3.1.11甲方应当保证，有关通信设备全部符合国家主管部门规定的质量标准和技术要求，并取得进网许可证。</w:t>
      </w:r>
    </w:p>
    <w:p>
      <w:pPr>
        <w:pStyle w:val="7"/>
        <w:spacing w:line="360" w:lineRule="auto"/>
        <w:rPr>
          <w:rFonts w:asciiTheme="minorEastAsia" w:hAnsiTheme="minorEastAsia" w:cstheme="minorEastAsia"/>
          <w:sz w:val="24"/>
        </w:rPr>
      </w:pPr>
      <w:r>
        <w:rPr>
          <w:rFonts w:hint="eastAsia" w:asciiTheme="minorEastAsia" w:hAnsiTheme="minorEastAsia" w:cstheme="minorEastAsia"/>
          <w:sz w:val="24"/>
        </w:rPr>
        <w:t>3.1.12甲方应当按时足额缴纳本合同约定的费用。</w:t>
      </w:r>
    </w:p>
    <w:p>
      <w:pPr>
        <w:spacing w:line="360" w:lineRule="auto"/>
        <w:rPr>
          <w:rFonts w:asciiTheme="minorEastAsia" w:hAnsiTheme="minorEastAsia" w:cstheme="minorEastAsia"/>
          <w:sz w:val="24"/>
        </w:rPr>
      </w:pPr>
      <w:r>
        <w:rPr>
          <w:rFonts w:hint="eastAsia" w:asciiTheme="minorEastAsia" w:hAnsiTheme="minorEastAsia" w:cstheme="minorEastAsia"/>
          <w:sz w:val="24"/>
        </w:rPr>
        <w:t>3.2乙方权利和义务</w:t>
      </w:r>
    </w:p>
    <w:p>
      <w:pPr>
        <w:spacing w:line="360" w:lineRule="auto"/>
        <w:rPr>
          <w:rFonts w:asciiTheme="minorEastAsia" w:hAnsiTheme="minorEastAsia" w:cstheme="minorEastAsia"/>
          <w:sz w:val="24"/>
        </w:rPr>
      </w:pPr>
      <w:r>
        <w:rPr>
          <w:rFonts w:hint="eastAsia" w:asciiTheme="minorEastAsia" w:hAnsiTheme="minorEastAsia" w:cstheme="minorEastAsia"/>
          <w:sz w:val="24"/>
        </w:rPr>
        <w:t>3.2.1视甲方为乙方的全国集团客户，提供端到端的综合性服务，并为甲方提供业务咨询、组网建议、业务受理、开通、收费及故障申告等一站式服务。</w:t>
      </w:r>
    </w:p>
    <w:p>
      <w:pPr>
        <w:pStyle w:val="7"/>
        <w:spacing w:line="360" w:lineRule="auto"/>
        <w:rPr>
          <w:rFonts w:asciiTheme="minorEastAsia" w:hAnsiTheme="minorEastAsia" w:cstheme="minorEastAsia"/>
          <w:sz w:val="24"/>
        </w:rPr>
      </w:pPr>
      <w:r>
        <w:rPr>
          <w:rFonts w:hint="eastAsia" w:asciiTheme="minorEastAsia" w:hAnsiTheme="minorEastAsia" w:cstheme="minorEastAsia"/>
          <w:sz w:val="24"/>
        </w:rPr>
        <w:t>3.2.2应当设专人及时负责协调处理甲方在接入和使用服务过程中出现的网络技术故障等工作。若乙方修复不及时，导致甲方被投诉或者索赔的，乙方应承担全部责任。</w:t>
      </w:r>
    </w:p>
    <w:p>
      <w:pPr>
        <w:pStyle w:val="7"/>
        <w:spacing w:line="360" w:lineRule="auto"/>
        <w:rPr>
          <w:rFonts w:asciiTheme="minorEastAsia" w:hAnsiTheme="minorEastAsia" w:cstheme="minorEastAsia"/>
          <w:sz w:val="24"/>
        </w:rPr>
      </w:pPr>
      <w:r>
        <w:rPr>
          <w:rFonts w:hint="eastAsia" w:asciiTheme="minorEastAsia" w:hAnsiTheme="minorEastAsia" w:cstheme="minorEastAsia"/>
          <w:sz w:val="24"/>
        </w:rPr>
        <w:t>3.2.3如果甲方需要进行必要的网络设备调整工作，乙方应当予以配合。</w:t>
      </w:r>
    </w:p>
    <w:p>
      <w:pPr>
        <w:pStyle w:val="7"/>
        <w:spacing w:line="360" w:lineRule="auto"/>
        <w:rPr>
          <w:rFonts w:asciiTheme="minorEastAsia" w:hAnsiTheme="minorEastAsia" w:cstheme="minorEastAsia"/>
          <w:sz w:val="24"/>
        </w:rPr>
      </w:pPr>
      <w:r>
        <w:rPr>
          <w:rFonts w:hint="eastAsia" w:asciiTheme="minorEastAsia" w:hAnsiTheme="minorEastAsia" w:cstheme="minorEastAsia"/>
          <w:sz w:val="24"/>
        </w:rPr>
        <w:t>3.2.4有权要求甲方按国家法律法规规定、国家主管部门要求以及乙方统一业务规范办理业务手续。乙方对甲方提供的相关资料和信息进行形式审查。如甲方拒绝提供业务办理所需的资料和信息或甲方提供的资料、信息不真实、不准确、不完整、无效或者不及时进行变更的，乙方有权拒绝或停止提供服务，甲方自行承担相关责任。</w:t>
      </w:r>
    </w:p>
    <w:p>
      <w:pPr>
        <w:pStyle w:val="7"/>
        <w:spacing w:line="360" w:lineRule="auto"/>
        <w:rPr>
          <w:rFonts w:asciiTheme="minorEastAsia" w:hAnsiTheme="minorEastAsia" w:cstheme="minorEastAsia"/>
          <w:sz w:val="24"/>
        </w:rPr>
      </w:pPr>
      <w:r>
        <w:rPr>
          <w:rFonts w:hint="eastAsia" w:asciiTheme="minorEastAsia" w:hAnsiTheme="minorEastAsia" w:cstheme="minorEastAsia"/>
          <w:sz w:val="24"/>
        </w:rPr>
        <w:t>3.2.5乙方发现甲方冒用或伪造身份证照、违法使用、违规外呼、呼叫频次异常、超约定用途使用、转租转售、被公安机关通报以及用户就上述问题投诉等情况的，核实确认后，有权终止业务接入直至终止合同，并有权收回相关400号码。</w:t>
      </w:r>
    </w:p>
    <w:p>
      <w:pPr>
        <w:pStyle w:val="7"/>
        <w:spacing w:line="360" w:lineRule="auto"/>
        <w:rPr>
          <w:rFonts w:asciiTheme="minorEastAsia" w:hAnsiTheme="minorEastAsia" w:cstheme="minorEastAsia"/>
          <w:sz w:val="24"/>
        </w:rPr>
      </w:pPr>
      <w:r>
        <w:rPr>
          <w:rFonts w:hint="eastAsia" w:asciiTheme="minorEastAsia" w:hAnsiTheme="minorEastAsia" w:cstheme="minorEastAsia"/>
          <w:sz w:val="24"/>
        </w:rPr>
        <w:t>3.2.6如甲方用户因携号转网等原因无法接收到甲方向其发送的相关信息的，乙方不承担任何责任，但乙方确保及时配合甲方完成调整，并协助恢复400短号码的正常使用。</w:t>
      </w:r>
    </w:p>
    <w:p>
      <w:pPr>
        <w:tabs>
          <w:tab w:val="left" w:pos="1080"/>
        </w:tabs>
        <w:adjustRightInd w:val="0"/>
        <w:snapToGrid w:val="0"/>
        <w:spacing w:line="360" w:lineRule="auto"/>
        <w:outlineLvl w:val="0"/>
        <w:rPr>
          <w:rFonts w:ascii="宋体" w:hAnsi="宋体"/>
          <w:b/>
          <w:sz w:val="24"/>
        </w:rPr>
      </w:pPr>
      <w:r>
        <w:rPr>
          <w:rFonts w:hint="eastAsia" w:asciiTheme="minorEastAsia" w:hAnsiTheme="minorEastAsia" w:cstheme="minorEastAsia"/>
          <w:b/>
          <w:sz w:val="24"/>
        </w:rPr>
        <w:t>4、计费标准</w:t>
      </w:r>
    </w:p>
    <w:p>
      <w:pPr>
        <w:pStyle w:val="7"/>
        <w:spacing w:line="360" w:lineRule="auto"/>
        <w:rPr>
          <w:rFonts w:hAnsi="宋体"/>
          <w:bCs/>
          <w:sz w:val="24"/>
        </w:rPr>
      </w:pPr>
      <w:r>
        <w:rPr>
          <w:rFonts w:hint="eastAsia" w:hAnsi="宋体"/>
          <w:bCs/>
          <w:sz w:val="24"/>
        </w:rPr>
        <w:t>4.1</w:t>
      </w:r>
      <w:r>
        <w:rPr>
          <w:rFonts w:hint="eastAsia" w:asciiTheme="minorEastAsia" w:hAnsiTheme="minorEastAsia" w:cstheme="minorEastAsia"/>
          <w:sz w:val="24"/>
        </w:rPr>
        <w:t>合同生效后，4008商务热线服务按本次采购合同计费，本次采购合同计费前产生的4008商务热线服务费仍按原资费计算</w:t>
      </w:r>
      <w:r>
        <w:rPr>
          <w:rFonts w:hint="eastAsia" w:hAnsi="宋体"/>
          <w:bCs/>
          <w:sz w:val="24"/>
        </w:rPr>
        <w:t>。</w:t>
      </w:r>
    </w:p>
    <w:p>
      <w:pPr>
        <w:tabs>
          <w:tab w:val="left" w:pos="1080"/>
        </w:tabs>
        <w:adjustRightInd w:val="0"/>
        <w:snapToGrid w:val="0"/>
        <w:spacing w:line="360" w:lineRule="auto"/>
        <w:outlineLvl w:val="0"/>
        <w:rPr>
          <w:rFonts w:ascii="宋体" w:hAnsi="宋体"/>
          <w:b/>
          <w:sz w:val="24"/>
        </w:rPr>
      </w:pPr>
      <w:r>
        <w:rPr>
          <w:rFonts w:hint="eastAsia" w:ascii="宋体" w:hAnsi="宋体"/>
          <w:b/>
          <w:sz w:val="24"/>
        </w:rPr>
        <w:t>5、付款方式</w:t>
      </w:r>
    </w:p>
    <w:p>
      <w:pPr>
        <w:pStyle w:val="7"/>
        <w:spacing w:line="360" w:lineRule="auto"/>
        <w:rPr>
          <w:rFonts w:asciiTheme="minorEastAsia" w:hAnsiTheme="minorEastAsia" w:cstheme="minorEastAsia"/>
          <w:sz w:val="24"/>
        </w:rPr>
      </w:pPr>
      <w:r>
        <w:rPr>
          <w:rFonts w:hint="eastAsia" w:asciiTheme="minorEastAsia" w:hAnsiTheme="minorEastAsia" w:cstheme="minorEastAsia"/>
          <w:sz w:val="24"/>
        </w:rPr>
        <w:t>5.1</w:t>
      </w:r>
      <w:r>
        <w:rPr>
          <w:rFonts w:hint="eastAsia" w:asciiTheme="minorEastAsia" w:hAnsiTheme="minorEastAsia"/>
          <w:sz w:val="24"/>
        </w:rPr>
        <w:t>本</w:t>
      </w:r>
      <w:r>
        <w:rPr>
          <w:rFonts w:hint="eastAsia" w:ascii="Arial" w:hAnsi="Arial" w:cs="Arial"/>
          <w:sz w:val="24"/>
        </w:rPr>
        <w:t>合同上限金额为</w:t>
      </w:r>
      <w:r>
        <w:rPr>
          <w:rFonts w:hint="eastAsia" w:hAnsi="宋体"/>
          <w:sz w:val="24"/>
        </w:rPr>
        <w:t>（含税）人民币：</w:t>
      </w:r>
      <w:r>
        <w:rPr>
          <w:rFonts w:hint="eastAsia" w:hAnsi="宋体"/>
          <w:sz w:val="24"/>
          <w:u w:val="single"/>
        </w:rPr>
        <w:t>￥</w:t>
      </w:r>
      <w:r>
        <w:rPr>
          <w:rFonts w:hint="eastAsia" w:hAnsi="宋体"/>
          <w:sz w:val="24"/>
          <w:u w:val="single"/>
          <w:lang w:val="en-US" w:eastAsia="zh-CN"/>
        </w:rPr>
        <w:t>1,200,000.00</w:t>
      </w:r>
      <w:r>
        <w:rPr>
          <w:rFonts w:hint="eastAsia" w:hAnsi="宋体"/>
          <w:sz w:val="24"/>
        </w:rPr>
        <w:t>元整</w:t>
      </w:r>
      <w:r>
        <w:rPr>
          <w:rFonts w:hAnsi="宋体"/>
          <w:sz w:val="24"/>
        </w:rPr>
        <w:t>(大写：</w:t>
      </w:r>
      <w:r>
        <w:rPr>
          <w:rFonts w:hint="eastAsia" w:hAnsi="宋体"/>
          <w:sz w:val="24"/>
        </w:rPr>
        <w:t>人民币</w:t>
      </w:r>
      <w:r>
        <w:rPr>
          <w:rFonts w:hint="eastAsia" w:hAnsi="宋体"/>
          <w:sz w:val="24"/>
          <w:u w:val="single"/>
          <w:lang w:val="en-US" w:eastAsia="zh-CN"/>
        </w:rPr>
        <w:t>壹佰贰拾万</w:t>
      </w:r>
      <w:r>
        <w:rPr>
          <w:rFonts w:hint="eastAsia" w:hAnsi="宋体"/>
          <w:sz w:val="24"/>
          <w:u w:val="single"/>
        </w:rPr>
        <w:t>元</w:t>
      </w:r>
      <w:r>
        <w:rPr>
          <w:rFonts w:hint="eastAsia" w:hAnsi="宋体"/>
          <w:sz w:val="24"/>
        </w:rPr>
        <w:t>整</w:t>
      </w:r>
      <w:r>
        <w:rPr>
          <w:rFonts w:hAnsi="宋体"/>
          <w:sz w:val="24"/>
        </w:rPr>
        <w:t>）</w:t>
      </w:r>
      <w:r>
        <w:rPr>
          <w:rFonts w:hint="eastAsia" w:ascii="Arial" w:hAnsi="Arial" w:cs="Arial"/>
          <w:sz w:val="24"/>
        </w:rPr>
        <w:t>，</w:t>
      </w:r>
      <w:r>
        <w:rPr>
          <w:rFonts w:ascii="Arial" w:hAnsi="Arial" w:cs="Arial"/>
          <w:sz w:val="24"/>
        </w:rPr>
        <w:t>根据</w:t>
      </w:r>
      <w:r>
        <w:rPr>
          <w:rFonts w:hint="eastAsia" w:asciiTheme="minorEastAsia" w:hAnsiTheme="minorEastAsia" w:cstheme="minorEastAsia"/>
          <w:sz w:val="24"/>
        </w:rPr>
        <w:t>4008商务热线服务</w:t>
      </w:r>
      <w:r>
        <w:rPr>
          <w:rFonts w:ascii="Arial" w:hAnsi="Arial" w:cs="Arial"/>
          <w:sz w:val="24"/>
        </w:rPr>
        <w:t>的实际</w:t>
      </w:r>
      <w:r>
        <w:rPr>
          <w:rFonts w:hint="eastAsia" w:ascii="Arial" w:hAnsi="Arial" w:cs="Arial"/>
          <w:sz w:val="24"/>
        </w:rPr>
        <w:t>运行情况据</w:t>
      </w:r>
      <w:r>
        <w:rPr>
          <w:rFonts w:ascii="Arial" w:hAnsi="Arial" w:cs="Arial"/>
          <w:sz w:val="24"/>
        </w:rPr>
        <w:t>实结算</w:t>
      </w:r>
      <w:r>
        <w:rPr>
          <w:rFonts w:hint="eastAsia" w:ascii="Arial" w:hAnsi="Arial" w:cs="Arial"/>
          <w:sz w:val="24"/>
        </w:rPr>
        <w:t>，</w:t>
      </w:r>
      <w:r>
        <w:rPr>
          <w:rFonts w:ascii="Arial" w:hAnsi="Arial" w:cs="Arial"/>
          <w:sz w:val="24"/>
        </w:rPr>
        <w:t>采用后付费方式</w:t>
      </w:r>
      <w:r>
        <w:rPr>
          <w:rFonts w:hint="eastAsia" w:ascii="Arial" w:hAnsi="Arial" w:cs="Arial"/>
          <w:sz w:val="24"/>
        </w:rPr>
        <w:t>，</w:t>
      </w:r>
      <w:r>
        <w:rPr>
          <w:rFonts w:ascii="Arial" w:hAnsi="Arial" w:cs="Arial"/>
          <w:sz w:val="24"/>
        </w:rPr>
        <w:t>资费详情见附件</w:t>
      </w:r>
      <w:r>
        <w:rPr>
          <w:rFonts w:hint="eastAsia" w:ascii="Arial" w:hAnsi="Arial" w:cs="Arial"/>
          <w:sz w:val="24"/>
        </w:rPr>
        <w:t>一。</w:t>
      </w:r>
      <w:r>
        <w:rPr>
          <w:rFonts w:ascii="Arial" w:hAnsi="Arial" w:cs="Arial"/>
          <w:sz w:val="24"/>
        </w:rPr>
        <w:t>乙方向甲方提供本阶段</w:t>
      </w:r>
      <w:r>
        <w:rPr>
          <w:rFonts w:hint="eastAsia" w:ascii="Arial" w:hAnsi="Arial" w:cs="Arial"/>
          <w:sz w:val="24"/>
        </w:rPr>
        <w:t>的服务报告及账单，经甲方审核无误后，由甲方出具验收单（或验收报告），乙方进行书面确认（若拒绝书面确认，则视为同意），验收合格后</w:t>
      </w:r>
      <w:r>
        <w:rPr>
          <w:rFonts w:hint="eastAsia" w:hAnsi="宋体"/>
          <w:sz w:val="24"/>
        </w:rPr>
        <w:t>，甲方在收到乙方提供的与本阶段付款金额等值的正式发票后十（10）个工作日内</w:t>
      </w:r>
      <w:r>
        <w:rPr>
          <w:rFonts w:ascii="Arial" w:hAnsi="Arial" w:cs="Arial"/>
          <w:sz w:val="24"/>
        </w:rPr>
        <w:t>，</w:t>
      </w:r>
      <w:r>
        <w:rPr>
          <w:rFonts w:hint="eastAsia" w:asciiTheme="minorEastAsia" w:hAnsiTheme="minorEastAsia" w:cstheme="minorEastAsia"/>
          <w:sz w:val="24"/>
        </w:rPr>
        <w:t>甲方将本阶段的结算款项转至乙方指定的收款账户。</w:t>
      </w:r>
    </w:p>
    <w:p>
      <w:pPr>
        <w:pStyle w:val="7"/>
        <w:spacing w:line="360" w:lineRule="auto"/>
        <w:rPr>
          <w:rFonts w:asciiTheme="minorEastAsia" w:hAnsiTheme="minorEastAsia" w:cstheme="minorEastAsia"/>
          <w:sz w:val="24"/>
        </w:rPr>
      </w:pPr>
      <w:r>
        <w:rPr>
          <w:rFonts w:hint="eastAsia" w:asciiTheme="minorEastAsia" w:hAnsiTheme="minorEastAsia" w:cstheme="minorEastAsia"/>
          <w:sz w:val="24"/>
        </w:rPr>
        <w:t>5.2甲方对结算金额如有异议,可以向乙方提出对帐要求,核查差异原因，乙方收到甲方对账要求后应在【3】日内予以回应并进行相应对账。</w:t>
      </w:r>
    </w:p>
    <w:p>
      <w:pPr>
        <w:spacing w:line="360" w:lineRule="auto"/>
        <w:rPr>
          <w:rFonts w:asciiTheme="minorEastAsia" w:hAnsiTheme="minorEastAsia" w:cstheme="minorEastAsia"/>
          <w:sz w:val="24"/>
        </w:rPr>
      </w:pPr>
      <w:r>
        <w:rPr>
          <w:rFonts w:hint="eastAsia" w:asciiTheme="minorEastAsia" w:hAnsiTheme="minorEastAsia" w:cstheme="minorEastAsia"/>
          <w:sz w:val="24"/>
        </w:rPr>
        <w:t>5.3本条中的“收到”是指甲方实际接收到乙方交付的发票，收到日不以发票中载明的日期为准。双方对甲方是否“收到”及收到日有争议的，由乙方负责证明甲方已经“收到”及收到日。</w:t>
      </w:r>
    </w:p>
    <w:p>
      <w:pPr>
        <w:tabs>
          <w:tab w:val="left" w:pos="1080"/>
        </w:tabs>
        <w:adjustRightInd w:val="0"/>
        <w:snapToGrid w:val="0"/>
        <w:spacing w:line="360" w:lineRule="auto"/>
        <w:outlineLvl w:val="0"/>
        <w:rPr>
          <w:rFonts w:asciiTheme="minorEastAsia" w:hAnsiTheme="minorEastAsia" w:cstheme="minorEastAsia"/>
          <w:b/>
          <w:sz w:val="24"/>
        </w:rPr>
      </w:pPr>
      <w:r>
        <w:rPr>
          <w:rFonts w:hint="eastAsia" w:asciiTheme="minorEastAsia" w:hAnsiTheme="minorEastAsia" w:cstheme="minorEastAsia"/>
          <w:b/>
          <w:sz w:val="24"/>
        </w:rPr>
        <w:t>6、通信和服务质量</w:t>
      </w:r>
    </w:p>
    <w:p>
      <w:pPr>
        <w:pStyle w:val="7"/>
        <w:spacing w:line="360" w:lineRule="auto"/>
        <w:rPr>
          <w:rFonts w:asciiTheme="minorEastAsia" w:hAnsiTheme="minorEastAsia" w:cstheme="minorEastAsia"/>
          <w:sz w:val="24"/>
        </w:rPr>
      </w:pPr>
      <w:r>
        <w:rPr>
          <w:rFonts w:hint="eastAsia" w:asciiTheme="minorEastAsia" w:hAnsiTheme="minorEastAsia" w:cstheme="minorEastAsia"/>
          <w:sz w:val="24"/>
        </w:rPr>
        <w:t>6.1双方承诺严格遵守《中华人民共和国电信条例》等国家有关法律法规履行本合同，维护双方权益。</w:t>
      </w:r>
    </w:p>
    <w:p>
      <w:pPr>
        <w:spacing w:line="360" w:lineRule="auto"/>
        <w:rPr>
          <w:rFonts w:asciiTheme="minorEastAsia" w:hAnsiTheme="minorEastAsia" w:cstheme="minorEastAsia"/>
          <w:sz w:val="24"/>
        </w:rPr>
      </w:pPr>
      <w:r>
        <w:rPr>
          <w:rFonts w:hint="eastAsia" w:asciiTheme="minorEastAsia" w:hAnsiTheme="minorEastAsia" w:cstheme="minorEastAsia"/>
          <w:sz w:val="24"/>
        </w:rPr>
        <w:t>6.2因乙方施工、网络割接等原因影响400业务的正常使用时，乙方应当提前通知甲方，并且尽快消除故障、恢复通信线路。</w:t>
      </w:r>
    </w:p>
    <w:p>
      <w:pPr>
        <w:spacing w:line="360" w:lineRule="auto"/>
        <w:rPr>
          <w:rFonts w:asciiTheme="minorEastAsia" w:hAnsiTheme="minorEastAsia" w:cstheme="minorEastAsia"/>
          <w:sz w:val="24"/>
        </w:rPr>
      </w:pPr>
      <w:r>
        <w:rPr>
          <w:rFonts w:hint="eastAsia" w:asciiTheme="minorEastAsia" w:hAnsiTheme="minorEastAsia" w:cstheme="minorEastAsia"/>
          <w:sz w:val="24"/>
        </w:rPr>
        <w:t>6.3如乙方因国防需要、政府指令、网络维护、网络调整、网络安全等因素在网络上对服务进行更改或变动，乙方应当提前通知甲方，甲方应当予以配合。</w:t>
      </w:r>
    </w:p>
    <w:p>
      <w:pPr>
        <w:spacing w:line="360" w:lineRule="auto"/>
        <w:rPr>
          <w:rFonts w:asciiTheme="minorEastAsia" w:hAnsiTheme="minorEastAsia" w:cstheme="minorEastAsia"/>
          <w:sz w:val="24"/>
        </w:rPr>
      </w:pPr>
      <w:r>
        <w:rPr>
          <w:rFonts w:hint="eastAsia" w:asciiTheme="minorEastAsia" w:hAnsiTheme="minorEastAsia" w:cstheme="minorEastAsia"/>
          <w:sz w:val="24"/>
        </w:rPr>
        <w:t>6.4双方同意，为保证通信质量良好，双方应当就各自负责的设备和线路运行维护状况定期进行交流。</w:t>
      </w:r>
    </w:p>
    <w:p>
      <w:pPr>
        <w:tabs>
          <w:tab w:val="left" w:pos="1080"/>
        </w:tabs>
        <w:adjustRightInd w:val="0"/>
        <w:snapToGrid w:val="0"/>
        <w:spacing w:line="360" w:lineRule="auto"/>
        <w:outlineLvl w:val="0"/>
        <w:rPr>
          <w:rFonts w:asciiTheme="minorEastAsia" w:hAnsiTheme="minorEastAsia" w:cstheme="minorEastAsia"/>
          <w:b/>
          <w:bCs/>
          <w:sz w:val="24"/>
        </w:rPr>
      </w:pPr>
      <w:bookmarkStart w:id="5" w:name="OLE_LINK1"/>
      <w:r>
        <w:rPr>
          <w:rFonts w:hint="eastAsia" w:asciiTheme="minorEastAsia" w:hAnsiTheme="minorEastAsia" w:cstheme="minorEastAsia"/>
          <w:b/>
          <w:sz w:val="24"/>
        </w:rPr>
        <w:t>7、违约责任</w:t>
      </w:r>
    </w:p>
    <w:bookmarkEnd w:id="5"/>
    <w:p>
      <w:pPr>
        <w:pStyle w:val="7"/>
        <w:spacing w:line="360" w:lineRule="auto"/>
        <w:rPr>
          <w:rFonts w:asciiTheme="minorEastAsia" w:hAnsiTheme="minorEastAsia" w:cstheme="minorEastAsia"/>
          <w:sz w:val="24"/>
        </w:rPr>
      </w:pPr>
      <w:r>
        <w:rPr>
          <w:rFonts w:hint="eastAsia" w:asciiTheme="minorEastAsia" w:hAnsiTheme="minorEastAsia" w:cstheme="minorEastAsia"/>
          <w:sz w:val="24"/>
        </w:rPr>
        <w:t>7.1乙方承担因乙方原因造成的提供服务迟延的责任。每延期一日应当向甲方支付[千分之三]的违约金。</w:t>
      </w:r>
    </w:p>
    <w:p>
      <w:pPr>
        <w:pStyle w:val="7"/>
        <w:spacing w:line="360" w:lineRule="auto"/>
        <w:rPr>
          <w:rFonts w:asciiTheme="minorEastAsia" w:hAnsiTheme="minorEastAsia" w:cstheme="minorEastAsia"/>
          <w:sz w:val="24"/>
        </w:rPr>
      </w:pPr>
      <w:r>
        <w:rPr>
          <w:rFonts w:hint="eastAsia" w:asciiTheme="minorEastAsia" w:hAnsiTheme="minorEastAsia" w:cstheme="minorEastAsia"/>
          <w:sz w:val="24"/>
        </w:rPr>
        <w:t>7.2甲方未按本合同约定使用400号码（包括目的码)或被公安机关、工信部、信息安全主管部门等国家有关部门通报的，乙方有权终止本合同，追究甲方违约责任。甲方应当赔偿由此对乙方造成的一切损失。</w:t>
      </w:r>
    </w:p>
    <w:p>
      <w:pPr>
        <w:pStyle w:val="7"/>
        <w:spacing w:line="360" w:lineRule="auto"/>
        <w:rPr>
          <w:rFonts w:asciiTheme="minorEastAsia" w:hAnsiTheme="minorEastAsia" w:cstheme="minorEastAsia"/>
          <w:sz w:val="24"/>
        </w:rPr>
      </w:pPr>
      <w:r>
        <w:rPr>
          <w:rFonts w:hint="eastAsia" w:asciiTheme="minorEastAsia" w:hAnsiTheme="minorEastAsia" w:cstheme="minorEastAsia"/>
          <w:sz w:val="24"/>
        </w:rPr>
        <w:t>7.3本合同终止或解除后，乙方在书面告知甲方，并给定合理处理期限，期限届满后无偿收回400号码，并在三个自然月后重新分配。由此对甲方造成影响和损失的，由甲方自行承担。</w:t>
      </w:r>
    </w:p>
    <w:p>
      <w:pPr>
        <w:pStyle w:val="12"/>
        <w:snapToGrid w:val="0"/>
        <w:ind w:firstLine="0" w:firstLineChars="0"/>
        <w:rPr>
          <w:rFonts w:asciiTheme="minorEastAsia" w:hAnsiTheme="minorEastAsia" w:cstheme="minorEastAsia"/>
          <w:color w:val="auto"/>
        </w:rPr>
      </w:pPr>
      <w:r>
        <w:rPr>
          <w:rFonts w:hint="eastAsia" w:asciiTheme="minorEastAsia" w:hAnsiTheme="minorEastAsia" w:cstheme="minorEastAsia"/>
          <w:color w:val="auto"/>
        </w:rPr>
        <w:t>7.4本合同履行过程中，如甲方</w:t>
      </w:r>
      <w:r>
        <w:rPr>
          <w:rFonts w:hint="eastAsia" w:asciiTheme="minorEastAsia" w:hAnsiTheme="minorEastAsia" w:cstheme="minorEastAsia"/>
          <w:color w:val="auto"/>
          <w:highlight w:val="none"/>
        </w:rPr>
        <w:t>因本项目的的业务开展问题</w:t>
      </w:r>
      <w:r>
        <w:rPr>
          <w:rFonts w:hint="eastAsia" w:asciiTheme="minorEastAsia" w:hAnsiTheme="minorEastAsia" w:cstheme="minorEastAsia"/>
          <w:color w:val="auto"/>
        </w:rPr>
        <w:t>发生以下任一情形的，乙方有权视情节严重程度采取中止或终止履行合同、解除合同等措施并不承担违约责任。如该情形导致第三方向乙方提出法律或行政程序，甲方应当负责解决：</w:t>
      </w:r>
    </w:p>
    <w:p>
      <w:pPr>
        <w:pStyle w:val="12"/>
        <w:rPr>
          <w:rFonts w:asciiTheme="minorEastAsia" w:hAnsiTheme="minorEastAsia" w:cstheme="minorEastAsia"/>
          <w:color w:val="auto"/>
        </w:rPr>
      </w:pPr>
      <w:bookmarkStart w:id="6" w:name="_Hlk85931190"/>
      <w:r>
        <w:rPr>
          <w:rFonts w:hint="eastAsia" w:asciiTheme="minorEastAsia" w:hAnsiTheme="minorEastAsia" w:cstheme="minorEastAsia"/>
          <w:color w:val="auto"/>
        </w:rPr>
        <w:t>（1）被行政机关纳入“严重违法失信”名单；</w:t>
      </w:r>
    </w:p>
    <w:p>
      <w:pPr>
        <w:pStyle w:val="12"/>
        <w:rPr>
          <w:rFonts w:asciiTheme="minorEastAsia" w:hAnsiTheme="minorEastAsia" w:cstheme="minorEastAsia"/>
          <w:color w:val="auto"/>
        </w:rPr>
      </w:pPr>
      <w:r>
        <w:rPr>
          <w:rFonts w:hint="eastAsia" w:asciiTheme="minorEastAsia" w:hAnsiTheme="minorEastAsia" w:cstheme="minorEastAsia"/>
          <w:color w:val="auto"/>
        </w:rPr>
        <w:t>（2）被人民法院纳入“失信被执行人”名单；</w:t>
      </w:r>
    </w:p>
    <w:p>
      <w:pPr>
        <w:pStyle w:val="12"/>
        <w:rPr>
          <w:rFonts w:asciiTheme="minorEastAsia" w:hAnsiTheme="minorEastAsia" w:cstheme="minorEastAsia"/>
          <w:color w:val="auto"/>
        </w:rPr>
      </w:pPr>
      <w:r>
        <w:rPr>
          <w:rFonts w:hint="eastAsia" w:asciiTheme="minorEastAsia" w:hAnsiTheme="minorEastAsia" w:cstheme="minorEastAsia"/>
          <w:color w:val="auto"/>
        </w:rPr>
        <w:t>（3）被乙方（含乙方上级单位）纳入违规失信合作商名单；</w:t>
      </w:r>
    </w:p>
    <w:p>
      <w:pPr>
        <w:pStyle w:val="12"/>
        <w:rPr>
          <w:rFonts w:asciiTheme="minorEastAsia" w:hAnsiTheme="minorEastAsia" w:cstheme="minorEastAsia"/>
          <w:color w:val="auto"/>
        </w:rPr>
      </w:pPr>
      <w:r>
        <w:rPr>
          <w:rFonts w:hint="eastAsia" w:asciiTheme="minorEastAsia" w:hAnsiTheme="minorEastAsia" w:cstheme="minorEastAsia"/>
          <w:color w:val="auto"/>
        </w:rPr>
        <w:t>（4）如存在网络和信息安全违法、违规行为的，包括但不限于因网络和信息安全问题承担刑事责任或受到行政处罚，被列入各级公安机关的涉通讯信息诈骗违法犯罪高危自然人或法人名单、电信业务经营不良名单、失信名单等;</w:t>
      </w:r>
    </w:p>
    <w:p>
      <w:pPr>
        <w:pStyle w:val="12"/>
        <w:snapToGrid w:val="0"/>
        <w:rPr>
          <w:rFonts w:asciiTheme="minorEastAsia" w:hAnsiTheme="minorEastAsia" w:cstheme="minorEastAsia"/>
          <w:color w:val="auto"/>
        </w:rPr>
      </w:pPr>
      <w:r>
        <w:rPr>
          <w:rFonts w:hint="eastAsia" w:asciiTheme="minorEastAsia" w:hAnsiTheme="minorEastAsia" w:cstheme="minorEastAsia"/>
          <w:color w:val="auto"/>
        </w:rPr>
        <w:t>（5）其他相关法律法规规定或有权机关认定的违法失信情形，以及可能导致合同履行风险或侵害乙方合法权益或声誉的违规失信情形。</w:t>
      </w:r>
      <w:bookmarkEnd w:id="6"/>
    </w:p>
    <w:p>
      <w:pPr>
        <w:spacing w:line="360" w:lineRule="auto"/>
        <w:rPr>
          <w:rFonts w:asciiTheme="minorEastAsia" w:hAnsiTheme="minorEastAsia" w:cstheme="minorEastAsia"/>
          <w:b/>
          <w:sz w:val="24"/>
        </w:rPr>
      </w:pPr>
      <w:r>
        <w:rPr>
          <w:rFonts w:hint="eastAsia" w:asciiTheme="minorEastAsia" w:hAnsiTheme="minorEastAsia" w:cstheme="minorEastAsia"/>
          <w:b/>
          <w:sz w:val="24"/>
        </w:rPr>
        <w:t>三、通用条款</w:t>
      </w:r>
    </w:p>
    <w:p>
      <w:pPr>
        <w:tabs>
          <w:tab w:val="left" w:pos="1260"/>
        </w:tabs>
        <w:adjustRightInd w:val="0"/>
        <w:snapToGrid w:val="0"/>
        <w:spacing w:line="360" w:lineRule="auto"/>
        <w:rPr>
          <w:rFonts w:ascii="宋体" w:hAnsi="宋体"/>
          <w:b/>
          <w:sz w:val="24"/>
        </w:rPr>
      </w:pPr>
      <w:r>
        <w:rPr>
          <w:rFonts w:hint="eastAsia" w:ascii="宋体" w:hAnsi="宋体"/>
          <w:b/>
          <w:sz w:val="24"/>
        </w:rPr>
        <w:t>1、不可抗力</w:t>
      </w:r>
    </w:p>
    <w:p>
      <w:pPr>
        <w:adjustRightInd w:val="0"/>
        <w:snapToGrid w:val="0"/>
        <w:spacing w:line="360" w:lineRule="auto"/>
        <w:rPr>
          <w:rFonts w:ascii="宋体" w:hAnsi="宋体"/>
          <w:bCs/>
          <w:sz w:val="24"/>
        </w:rPr>
      </w:pPr>
      <w:r>
        <w:rPr>
          <w:rFonts w:hint="eastAsia" w:ascii="宋体" w:hAnsi="宋体"/>
          <w:bCs/>
          <w:sz w:val="24"/>
        </w:rPr>
        <w:t>1.1如果甲方、乙方任何一方由于遭受诸如战争、严重火灾、洪水、台风、地震等不可抗力的事故,致便影响合同履行,履行合同的期限应予以延长,延长的期限应相当于事故所影响的时间。不可抗力事故系指甲乙双方在缔结合同时所不能预见的,并且它的发生及其后果是无法避免和无法克服的事故。</w:t>
      </w:r>
    </w:p>
    <w:p>
      <w:pPr>
        <w:adjustRightInd w:val="0"/>
        <w:snapToGrid w:val="0"/>
        <w:spacing w:line="360" w:lineRule="auto"/>
        <w:rPr>
          <w:rFonts w:ascii="宋体" w:hAnsi="宋体"/>
          <w:bCs/>
          <w:sz w:val="24"/>
        </w:rPr>
      </w:pPr>
      <w:r>
        <w:rPr>
          <w:rFonts w:hint="eastAsia" w:ascii="宋体" w:hAnsi="宋体"/>
          <w:bCs/>
          <w:sz w:val="24"/>
        </w:rPr>
        <w:t>1.2遭受不可抗力—方应在不可抗力事故发生后尽快以书面形式通知另一方;并在事故发生后10天内,将有关部门出具的证明文件、详细情况报告以及不可抗力对合同影响程度的说明用特快专递或挂号信的形式寄给另一方。如果不可抗力影响时间延续60天以上,双方应通过友好协商在合理的时间内达成进一步履行合同或终止合同的合同。</w:t>
      </w:r>
    </w:p>
    <w:p>
      <w:pPr>
        <w:adjustRightInd w:val="0"/>
        <w:snapToGrid w:val="0"/>
        <w:spacing w:line="360" w:lineRule="auto"/>
        <w:rPr>
          <w:rFonts w:ascii="宋体" w:hAnsi="宋体"/>
          <w:bCs/>
          <w:sz w:val="24"/>
        </w:rPr>
      </w:pPr>
      <w:r>
        <w:rPr>
          <w:rFonts w:hint="eastAsia" w:ascii="宋体" w:hAnsi="宋体"/>
          <w:bCs/>
          <w:sz w:val="24"/>
        </w:rPr>
        <w:t>1.3除迟延履行后发生不可抗力外，发生不可抗力时,任何一方均不对因不可抗力无法履行或迟延履行本合同义务而使另一方蒙受损失承担责任,但遭受不可抗力一方有责任尽可能及时采取适当或必要措施减少或消除不可抗力的影响。遭受不可抗力的一方对因未尽本项义务而造成的损失承担赔偿责任。</w:t>
      </w:r>
    </w:p>
    <w:p>
      <w:pPr>
        <w:adjustRightInd w:val="0"/>
        <w:snapToGrid w:val="0"/>
        <w:spacing w:line="360" w:lineRule="auto"/>
        <w:rPr>
          <w:rFonts w:ascii="宋体" w:hAnsi="宋体"/>
          <w:bCs/>
          <w:sz w:val="24"/>
        </w:rPr>
      </w:pPr>
      <w:r>
        <w:rPr>
          <w:rFonts w:hint="eastAsia" w:ascii="宋体" w:hAnsi="宋体"/>
          <w:bCs/>
          <w:sz w:val="24"/>
        </w:rPr>
        <w:t>1.4受事故影响的一方应在不可抗力事故影响停止或消除后lO天内将不可抗力事故己停止的报告以书面形式通知对方。</w:t>
      </w:r>
    </w:p>
    <w:p>
      <w:pPr>
        <w:adjustRightInd w:val="0"/>
        <w:snapToGrid w:val="0"/>
        <w:spacing w:line="360" w:lineRule="auto"/>
        <w:rPr>
          <w:rFonts w:ascii="宋体" w:hAnsi="宋体"/>
          <w:b/>
          <w:sz w:val="24"/>
        </w:rPr>
      </w:pPr>
      <w:r>
        <w:rPr>
          <w:rFonts w:hint="eastAsia" w:ascii="宋体" w:hAnsi="宋体"/>
          <w:b/>
          <w:sz w:val="24"/>
        </w:rPr>
        <w:t>2、保密条款</w:t>
      </w:r>
    </w:p>
    <w:p>
      <w:pPr>
        <w:adjustRightInd w:val="0"/>
        <w:snapToGrid w:val="0"/>
        <w:spacing w:line="360" w:lineRule="auto"/>
        <w:rPr>
          <w:rFonts w:ascii="宋体" w:hAnsi="宋体"/>
          <w:bCs/>
          <w:sz w:val="24"/>
        </w:rPr>
      </w:pPr>
      <w:r>
        <w:rPr>
          <w:rFonts w:hint="eastAsia" w:ascii="宋体" w:hAnsi="宋体"/>
          <w:bCs/>
          <w:sz w:val="24"/>
        </w:rPr>
        <w:t>2.1任何一方均应对在本合同履行过程中知悉的有关对方的商业、技术、国家等秘密承担保密义务。除经秘密所有方的同意或法律、法规另有规定,相对方不得向本合同以外的任何第三人提供、泄漏上述秘密,由此给秘密所有方造成损失的,责任方应承担相应责任。</w:t>
      </w:r>
    </w:p>
    <w:p>
      <w:pPr>
        <w:adjustRightInd w:val="0"/>
        <w:snapToGrid w:val="0"/>
        <w:spacing w:line="360" w:lineRule="auto"/>
        <w:rPr>
          <w:rFonts w:ascii="宋体" w:hAnsi="宋体"/>
          <w:bCs/>
          <w:sz w:val="24"/>
        </w:rPr>
      </w:pPr>
      <w:r>
        <w:rPr>
          <w:rFonts w:hint="eastAsia" w:ascii="宋体" w:hAnsi="宋体"/>
          <w:bCs/>
          <w:sz w:val="24"/>
        </w:rPr>
        <w:t>2.2不论合同是否解除或终止,本条款持续有效。</w:t>
      </w:r>
    </w:p>
    <w:p>
      <w:pPr>
        <w:adjustRightInd w:val="0"/>
        <w:snapToGrid w:val="0"/>
        <w:spacing w:line="360" w:lineRule="auto"/>
        <w:rPr>
          <w:rFonts w:ascii="宋体" w:hAnsi="宋体"/>
          <w:bCs/>
          <w:sz w:val="24"/>
        </w:rPr>
      </w:pPr>
      <w:r>
        <w:rPr>
          <w:rFonts w:hint="eastAsia" w:ascii="宋体" w:hAnsi="宋体"/>
          <w:bCs/>
          <w:sz w:val="24"/>
        </w:rPr>
        <w:t>2.3甲、乙双方在提出相关争议,以及在争议协商处理、诉讼、投诉中,均有权在必要的范围内不受限制地以口头或书面引述、不受限制地以其它合理方式利用本合同的整体及/或任何部分条款内容。上述行为不应当被视为泄露本合同相关的商业秘密、国家秘密,也不应当被认为违约。</w:t>
      </w:r>
    </w:p>
    <w:p>
      <w:pPr>
        <w:adjustRightInd w:val="0"/>
        <w:snapToGrid w:val="0"/>
        <w:spacing w:line="360" w:lineRule="auto"/>
        <w:rPr>
          <w:rFonts w:ascii="宋体" w:hAnsi="宋体"/>
          <w:b/>
          <w:sz w:val="24"/>
        </w:rPr>
      </w:pPr>
      <w:r>
        <w:rPr>
          <w:rFonts w:hint="eastAsia" w:ascii="宋体" w:hAnsi="宋体"/>
          <w:b/>
          <w:sz w:val="24"/>
        </w:rPr>
        <w:t>3、权利的保留</w:t>
      </w:r>
    </w:p>
    <w:p>
      <w:pPr>
        <w:adjustRightInd w:val="0"/>
        <w:snapToGrid w:val="0"/>
        <w:spacing w:line="360" w:lineRule="auto"/>
        <w:rPr>
          <w:rFonts w:ascii="宋体" w:hAnsi="宋体"/>
          <w:bCs/>
          <w:sz w:val="24"/>
        </w:rPr>
      </w:pPr>
      <w:r>
        <w:rPr>
          <w:rFonts w:hint="eastAsia" w:ascii="宋体" w:hAnsi="宋体"/>
          <w:bCs/>
          <w:sz w:val="24"/>
        </w:rPr>
        <w:t>3.1任何一方没有行使其权利或没有就违约方的违约行为采取任何行动,不应被视为是对其权利的放弃或对追究另一方违约责任权利的放弃。任何一方放弃针对违约方的某种权利,或放弃追究违约方的某种责任,不应视为对其他权利或追究其他责任的放弃。</w:t>
      </w:r>
    </w:p>
    <w:p>
      <w:pPr>
        <w:adjustRightInd w:val="0"/>
        <w:snapToGrid w:val="0"/>
        <w:spacing w:line="360" w:lineRule="auto"/>
        <w:rPr>
          <w:rFonts w:ascii="宋体" w:hAnsi="宋体"/>
          <w:bCs/>
          <w:sz w:val="24"/>
        </w:rPr>
      </w:pPr>
      <w:r>
        <w:rPr>
          <w:rFonts w:hint="eastAsia" w:ascii="宋体" w:hAnsi="宋体"/>
          <w:bCs/>
          <w:sz w:val="24"/>
        </w:rPr>
        <w:t>3.2如果本合同部分条款依据现行有关法律、法规被确认为无效或无法履行,双方同意该部分无效或无法履行的条款不影响本合同其他条款效力的,本合同其他条款继续有效；同时合同双方应当依据现行有关法律、法规对该部分无效或无法履行的条款进行调整,使其依法成为有效条款,并尽量符合本合同所体现的原则和精神。</w:t>
      </w:r>
    </w:p>
    <w:p>
      <w:pPr>
        <w:adjustRightInd w:val="0"/>
        <w:snapToGrid w:val="0"/>
        <w:spacing w:line="360" w:lineRule="auto"/>
        <w:rPr>
          <w:rFonts w:ascii="宋体" w:hAnsi="宋体"/>
          <w:bCs/>
          <w:sz w:val="24"/>
        </w:rPr>
      </w:pPr>
      <w:r>
        <w:rPr>
          <w:rFonts w:hint="eastAsia" w:ascii="宋体" w:hAnsi="宋体"/>
          <w:bCs/>
          <w:sz w:val="24"/>
        </w:rPr>
        <w:t>3.3在本合同履行期间,因中国法律、法规、政策的变化致使本合同的部分条款相冲突、无效或失去可强制执行效力时,双方应协商一致尽快修改本合同中相冲突或无效或失去强制执行效力的有关条款。</w:t>
      </w:r>
    </w:p>
    <w:p>
      <w:pPr>
        <w:tabs>
          <w:tab w:val="left" w:pos="1260"/>
        </w:tabs>
        <w:adjustRightInd w:val="0"/>
        <w:snapToGrid w:val="0"/>
        <w:spacing w:line="360" w:lineRule="auto"/>
        <w:rPr>
          <w:rFonts w:ascii="宋体" w:hAnsi="宋体"/>
          <w:b/>
          <w:sz w:val="24"/>
        </w:rPr>
      </w:pPr>
      <w:r>
        <w:rPr>
          <w:rFonts w:hint="eastAsia" w:ascii="宋体" w:hAnsi="宋体"/>
          <w:b/>
          <w:sz w:val="24"/>
        </w:rPr>
        <w:t>4、转让</w:t>
      </w:r>
    </w:p>
    <w:p>
      <w:pPr>
        <w:adjustRightInd w:val="0"/>
        <w:snapToGrid w:val="0"/>
        <w:spacing w:line="360" w:lineRule="auto"/>
        <w:rPr>
          <w:rFonts w:ascii="宋体" w:hAnsi="宋体"/>
          <w:bCs/>
          <w:sz w:val="24"/>
        </w:rPr>
      </w:pPr>
      <w:r>
        <w:rPr>
          <w:rFonts w:hint="eastAsia" w:ascii="宋体" w:hAnsi="宋体"/>
          <w:bCs/>
          <w:sz w:val="24"/>
        </w:rPr>
        <w:t>4.1未经甲方事先书面同意,乙方不得部分转让或全部转让其应履行的合同义务或享有的合同权利。</w:t>
      </w:r>
    </w:p>
    <w:p>
      <w:pPr>
        <w:tabs>
          <w:tab w:val="left" w:pos="1260"/>
        </w:tabs>
        <w:adjustRightInd w:val="0"/>
        <w:snapToGrid w:val="0"/>
        <w:spacing w:line="360" w:lineRule="auto"/>
        <w:rPr>
          <w:rFonts w:ascii="宋体" w:hAnsi="宋体"/>
          <w:b/>
          <w:sz w:val="24"/>
        </w:rPr>
      </w:pPr>
      <w:r>
        <w:rPr>
          <w:rFonts w:hint="eastAsia" w:ascii="宋体" w:hAnsi="宋体"/>
          <w:b/>
          <w:sz w:val="24"/>
        </w:rPr>
        <w:t>5、主导语言和通知</w:t>
      </w:r>
    </w:p>
    <w:p>
      <w:pPr>
        <w:adjustRightInd w:val="0"/>
        <w:snapToGrid w:val="0"/>
        <w:spacing w:line="360" w:lineRule="auto"/>
        <w:rPr>
          <w:rFonts w:ascii="宋体" w:hAnsi="宋体"/>
          <w:bCs/>
          <w:sz w:val="24"/>
        </w:rPr>
      </w:pPr>
      <w:r>
        <w:rPr>
          <w:rFonts w:hint="eastAsia" w:ascii="宋体" w:hAnsi="宋体"/>
          <w:bCs/>
          <w:sz w:val="24"/>
        </w:rPr>
        <w:t>5.1合同书写应用中文,甲、乙双方所有的来往信函,以及合同有关的文件均应以中文书写,以外文书写的必须附有相应的中文译本。如果两种文本的含义发生冲突,双方同意以中文文本为准。</w:t>
      </w:r>
    </w:p>
    <w:p>
      <w:pPr>
        <w:adjustRightInd w:val="0"/>
        <w:snapToGrid w:val="0"/>
        <w:spacing w:line="360" w:lineRule="auto"/>
        <w:rPr>
          <w:rFonts w:ascii="宋体" w:hAnsi="宋体"/>
          <w:bCs/>
          <w:sz w:val="24"/>
        </w:rPr>
      </w:pPr>
      <w:r>
        <w:rPr>
          <w:rFonts w:hint="eastAsia" w:ascii="宋体" w:hAnsi="宋体"/>
          <w:bCs/>
          <w:sz w:val="24"/>
        </w:rPr>
        <w:t>5.2甲、乙双方发出与本合同有关的通知或回复,应以专人送递、传真或特快专递的方式送出。如果以专人送递或特快专递发送,以送达至对方的住所或通讯联络地经对方签收视为送达;如果以传真发送,发件人在收到传真报告后视为送达。</w:t>
      </w:r>
    </w:p>
    <w:p>
      <w:pPr>
        <w:spacing w:line="360" w:lineRule="auto"/>
        <w:rPr>
          <w:rFonts w:asciiTheme="minorEastAsia" w:hAnsiTheme="minorEastAsia" w:cstheme="minorEastAsia"/>
          <w:b/>
          <w:sz w:val="24"/>
        </w:rPr>
      </w:pPr>
      <w:r>
        <w:rPr>
          <w:rFonts w:hint="eastAsia" w:ascii="宋体" w:hAnsi="宋体"/>
          <w:bCs/>
          <w:sz w:val="24"/>
        </w:rPr>
        <w:t>双方的联络方式以本合同首部载明为准。任何一方变更列明的通讯地址、传真等联络方式的，应提前五日书面通知对方。</w:t>
      </w:r>
      <w:r>
        <w:rPr>
          <w:rFonts w:hint="eastAsia" w:ascii="宋体" w:hAnsi="宋体"/>
          <w:sz w:val="24"/>
        </w:rPr>
        <w:t>否则，任何一方通知按本合同载明地址寄出即视为送达，由此引发的法律后果由受送达方承担。</w:t>
      </w:r>
    </w:p>
    <w:p>
      <w:pPr>
        <w:pStyle w:val="34"/>
        <w:adjustRightInd w:val="0"/>
        <w:spacing w:before="0" w:line="360" w:lineRule="auto"/>
        <w:outlineLvl w:val="0"/>
        <w:rPr>
          <w:rFonts w:ascii="宋体" w:hAnsi="宋体"/>
          <w:b/>
          <w:sz w:val="24"/>
        </w:rPr>
      </w:pPr>
      <w:r>
        <w:rPr>
          <w:rFonts w:hint="eastAsia" w:ascii="宋体" w:hAnsi="宋体"/>
          <w:b/>
          <w:sz w:val="24"/>
        </w:rPr>
        <w:t>6、争端的解决</w:t>
      </w:r>
    </w:p>
    <w:p>
      <w:pPr>
        <w:adjustRightInd w:val="0"/>
        <w:snapToGrid w:val="0"/>
        <w:spacing w:line="360" w:lineRule="auto"/>
        <w:rPr>
          <w:rFonts w:ascii="宋体" w:hAnsi="宋体"/>
          <w:sz w:val="24"/>
        </w:rPr>
      </w:pPr>
      <w:r>
        <w:rPr>
          <w:rFonts w:hint="eastAsia" w:ascii="宋体" w:hAnsi="宋体"/>
          <w:sz w:val="24"/>
        </w:rPr>
        <w:t>6.1在执行本合同中所发生的争端,或与本合同有关的一切争端,甲、乙双方应通过协商解。如协商仍不能解决,双方同意将争端起诉至甲方所在地有管辖权的人民法院。</w:t>
      </w:r>
    </w:p>
    <w:p>
      <w:pPr>
        <w:adjustRightInd w:val="0"/>
        <w:snapToGrid w:val="0"/>
        <w:spacing w:line="360" w:lineRule="auto"/>
        <w:rPr>
          <w:rFonts w:ascii="宋体" w:hAnsi="宋体"/>
          <w:b/>
          <w:bCs/>
          <w:sz w:val="24"/>
        </w:rPr>
      </w:pPr>
      <w:r>
        <w:rPr>
          <w:rFonts w:hint="eastAsia" w:ascii="宋体" w:hAnsi="宋体"/>
          <w:b/>
          <w:bCs/>
          <w:sz w:val="24"/>
        </w:rPr>
        <w:t>7、法律适用</w:t>
      </w:r>
    </w:p>
    <w:p>
      <w:pPr>
        <w:spacing w:line="360" w:lineRule="auto"/>
        <w:jc w:val="left"/>
        <w:rPr>
          <w:rFonts w:ascii="宋体" w:hAnsi="宋体"/>
          <w:bCs/>
          <w:sz w:val="24"/>
        </w:rPr>
      </w:pPr>
      <w:r>
        <w:rPr>
          <w:rFonts w:hint="eastAsia" w:ascii="宋体" w:hAnsi="宋体"/>
          <w:bCs/>
          <w:sz w:val="24"/>
        </w:rPr>
        <w:t>7.1本合同及其附件的订立、效力、解释、履行、变更、争议的解决等适用本合同签订时有效的中华人民共相国法律、法规的有关规定。</w:t>
      </w:r>
    </w:p>
    <w:p>
      <w:pPr>
        <w:adjustRightInd w:val="0"/>
        <w:snapToGrid w:val="0"/>
        <w:spacing w:line="360" w:lineRule="auto"/>
        <w:rPr>
          <w:rFonts w:ascii="宋体" w:hAnsi="宋体"/>
          <w:bCs/>
          <w:sz w:val="24"/>
        </w:rPr>
      </w:pPr>
      <w:r>
        <w:rPr>
          <w:rFonts w:hint="eastAsia" w:ascii="宋体" w:hAnsi="宋体"/>
          <w:bCs/>
          <w:sz w:val="24"/>
        </w:rPr>
        <w:t>7.2对本合同的任何解释均应以书面形式作出。</w:t>
      </w:r>
    </w:p>
    <w:p>
      <w:pPr>
        <w:tabs>
          <w:tab w:val="left" w:pos="540"/>
          <w:tab w:val="left" w:pos="1260"/>
        </w:tabs>
        <w:adjustRightInd w:val="0"/>
        <w:snapToGrid w:val="0"/>
        <w:spacing w:line="360" w:lineRule="auto"/>
        <w:rPr>
          <w:rFonts w:ascii="宋体" w:hAnsi="宋体"/>
          <w:b/>
          <w:sz w:val="24"/>
        </w:rPr>
      </w:pPr>
      <w:r>
        <w:rPr>
          <w:rFonts w:hint="eastAsia" w:ascii="宋体" w:hAnsi="宋体"/>
          <w:b/>
          <w:sz w:val="24"/>
        </w:rPr>
        <w:t>8、合同期限</w:t>
      </w:r>
    </w:p>
    <w:p>
      <w:pPr>
        <w:tabs>
          <w:tab w:val="left" w:pos="540"/>
          <w:tab w:val="left" w:pos="1260"/>
        </w:tabs>
        <w:adjustRightInd w:val="0"/>
        <w:snapToGrid w:val="0"/>
        <w:spacing w:line="360" w:lineRule="auto"/>
        <w:rPr>
          <w:rFonts w:ascii="宋体" w:hAnsi="宋体"/>
          <w:bCs/>
          <w:sz w:val="24"/>
        </w:rPr>
      </w:pPr>
      <w:r>
        <w:rPr>
          <w:rFonts w:hint="eastAsia" w:ascii="宋体" w:hAnsi="宋体"/>
          <w:bCs/>
          <w:sz w:val="24"/>
        </w:rPr>
        <w:t>8.1</w:t>
      </w:r>
      <w:r>
        <w:rPr>
          <w:rFonts w:cs="宋体" w:asciiTheme="minorEastAsia" w:hAnsiTheme="minorEastAsia"/>
          <w:sz w:val="24"/>
        </w:rPr>
        <w:t>自合同生效之日起</w:t>
      </w:r>
      <w:r>
        <w:rPr>
          <w:rFonts w:hint="eastAsia" w:cs="宋体" w:asciiTheme="minorEastAsia" w:hAnsiTheme="minorEastAsia"/>
          <w:sz w:val="24"/>
        </w:rPr>
        <w:t>至2026年3月31日</w:t>
      </w:r>
      <w:r>
        <w:rPr>
          <w:rFonts w:hint="eastAsia" w:ascii="宋体" w:hAnsi="宋体"/>
          <w:bCs/>
          <w:sz w:val="24"/>
        </w:rPr>
        <w:t>。</w:t>
      </w:r>
    </w:p>
    <w:p>
      <w:pPr>
        <w:adjustRightInd w:val="0"/>
        <w:snapToGrid w:val="0"/>
        <w:spacing w:line="360" w:lineRule="auto"/>
        <w:rPr>
          <w:rFonts w:ascii="宋体" w:hAnsi="宋体"/>
          <w:b/>
          <w:sz w:val="24"/>
        </w:rPr>
      </w:pPr>
      <w:r>
        <w:rPr>
          <w:rFonts w:hint="eastAsia" w:ascii="宋体" w:hAnsi="宋体"/>
          <w:b/>
          <w:sz w:val="24"/>
        </w:rPr>
        <w:t>9、合同的变更或终止</w:t>
      </w:r>
    </w:p>
    <w:p>
      <w:pPr>
        <w:spacing w:line="360" w:lineRule="auto"/>
        <w:jc w:val="left"/>
        <w:rPr>
          <w:rFonts w:ascii="宋体" w:hAnsi="宋体"/>
          <w:bCs/>
          <w:sz w:val="24"/>
        </w:rPr>
      </w:pPr>
      <w:r>
        <w:rPr>
          <w:rFonts w:hint="eastAsia" w:ascii="宋体" w:hAnsi="宋体"/>
          <w:bCs/>
          <w:sz w:val="24"/>
        </w:rPr>
        <w:t>9.1本协议履行期间,如根据乙方制定的无线增值业务的相关业务规定、管理办法、质量标准及/或客户服务标准需要对本协议进行修改的,乙方应提前【15】日通知甲方，由双方协商确定是否对本协议予以修改。经协商,甲方不同意对本协议进行修改的,本协议终止履行。</w:t>
      </w:r>
    </w:p>
    <w:p>
      <w:pPr>
        <w:spacing w:line="360" w:lineRule="auto"/>
        <w:jc w:val="left"/>
        <w:rPr>
          <w:rFonts w:ascii="宋体" w:hAnsi="宋体"/>
          <w:bCs/>
          <w:sz w:val="24"/>
        </w:rPr>
      </w:pPr>
      <w:r>
        <w:rPr>
          <w:rFonts w:hint="eastAsia" w:ascii="宋体" w:hAnsi="宋体"/>
          <w:bCs/>
          <w:sz w:val="24"/>
        </w:rPr>
        <w:t>9.2协议双方中任何—方欲变更、或修改本协议必须提前十五天书面通知另一方。双方应协商以书面形式变更或修改本协议。</w:t>
      </w:r>
    </w:p>
    <w:p>
      <w:pPr>
        <w:spacing w:line="360" w:lineRule="auto"/>
        <w:jc w:val="left"/>
        <w:rPr>
          <w:rFonts w:ascii="宋体" w:hAnsi="宋体"/>
          <w:bCs/>
          <w:sz w:val="24"/>
        </w:rPr>
      </w:pPr>
      <w:r>
        <w:rPr>
          <w:rFonts w:hint="eastAsia" w:ascii="宋体" w:hAnsi="宋体"/>
          <w:bCs/>
          <w:sz w:val="24"/>
        </w:rPr>
        <w:t>9.3除本协议中明确规定的情况,在本协议履行期间,未经另一方书面同意,协议双方中任何一方均不得中止、终止本协议的履行或单方面解除本协议。</w:t>
      </w:r>
    </w:p>
    <w:p>
      <w:pPr>
        <w:spacing w:line="360" w:lineRule="auto"/>
        <w:jc w:val="left"/>
        <w:rPr>
          <w:rFonts w:ascii="宋体" w:hAnsi="宋体"/>
          <w:b/>
          <w:sz w:val="24"/>
        </w:rPr>
      </w:pPr>
      <w:r>
        <w:rPr>
          <w:rFonts w:hint="eastAsia" w:ascii="宋体" w:hAnsi="宋体"/>
          <w:b/>
          <w:sz w:val="24"/>
        </w:rPr>
        <w:t>10、合同生效</w:t>
      </w:r>
    </w:p>
    <w:p>
      <w:pPr>
        <w:spacing w:line="360" w:lineRule="auto"/>
        <w:jc w:val="left"/>
        <w:rPr>
          <w:rFonts w:ascii="宋体" w:hAnsi="宋体"/>
          <w:bCs/>
          <w:sz w:val="24"/>
        </w:rPr>
      </w:pPr>
      <w:r>
        <w:rPr>
          <w:rFonts w:hint="eastAsia" w:ascii="宋体" w:hAnsi="宋体"/>
          <w:bCs/>
          <w:sz w:val="24"/>
        </w:rPr>
        <w:t>10</w:t>
      </w:r>
      <w:r>
        <w:rPr>
          <w:rFonts w:ascii="宋体" w:hAnsi="宋体"/>
          <w:bCs/>
          <w:sz w:val="24"/>
        </w:rPr>
        <w:t>.1</w:t>
      </w:r>
      <w:r>
        <w:rPr>
          <w:rFonts w:hint="eastAsia" w:ascii="宋体" w:hAnsi="宋体"/>
          <w:bCs/>
          <w:sz w:val="24"/>
        </w:rPr>
        <w:t>本协议未尽事项,双方可另行签订补充协议。该协议经双方签章后与本协议具有同等效力。</w:t>
      </w:r>
    </w:p>
    <w:p>
      <w:pPr>
        <w:pStyle w:val="34"/>
        <w:adjustRightInd w:val="0"/>
        <w:spacing w:before="0" w:line="360" w:lineRule="auto"/>
        <w:ind w:left="0" w:firstLine="0"/>
        <w:jc w:val="left"/>
        <w:outlineLvl w:val="0"/>
        <w:rPr>
          <w:rFonts w:ascii="宋体" w:hAnsi="宋体"/>
          <w:bCs/>
          <w:sz w:val="24"/>
          <w:szCs w:val="24"/>
        </w:rPr>
      </w:pPr>
      <w:r>
        <w:rPr>
          <w:rFonts w:hint="eastAsia" w:ascii="宋体" w:hAnsi="宋体"/>
          <w:bCs/>
          <w:sz w:val="24"/>
          <w:szCs w:val="24"/>
        </w:rPr>
        <w:t>10.2本协议一式四份，甲方持二份，乙方持二份，经甲、乙双方法定代表人或其授权代表签字、加盖单位公章或合同专用章后生效。</w:t>
      </w:r>
    </w:p>
    <w:p>
      <w:pPr>
        <w:spacing w:line="360" w:lineRule="auto"/>
        <w:jc w:val="left"/>
        <w:rPr>
          <w:rFonts w:ascii="宋体" w:hAnsi="宋体"/>
          <w:b/>
          <w:sz w:val="24"/>
        </w:rPr>
      </w:pPr>
      <w:r>
        <w:rPr>
          <w:rFonts w:hint="eastAsia" w:ascii="宋体" w:hAnsi="宋体"/>
          <w:b/>
          <w:sz w:val="24"/>
        </w:rPr>
        <w:t>11、其他</w:t>
      </w:r>
    </w:p>
    <w:p>
      <w:pPr>
        <w:spacing w:line="360" w:lineRule="auto"/>
        <w:ind w:firstLine="480" w:firstLineChars="200"/>
        <w:jc w:val="left"/>
        <w:rPr>
          <w:rFonts w:ascii="宋体" w:hAnsi="宋体"/>
          <w:bCs/>
          <w:sz w:val="24"/>
        </w:rPr>
      </w:pPr>
      <w:r>
        <w:rPr>
          <w:rFonts w:hint="eastAsia" w:ascii="宋体" w:hAnsi="宋体"/>
          <w:bCs/>
          <w:sz w:val="24"/>
        </w:rPr>
        <w:t>未经甲乙双方书面确认,任何一方不得自行变更或修改本合同。</w:t>
      </w:r>
    </w:p>
    <w:p>
      <w:pPr>
        <w:spacing w:line="360" w:lineRule="auto"/>
        <w:jc w:val="left"/>
        <w:rPr>
          <w:rFonts w:ascii="宋体" w:hAnsi="宋体"/>
          <w:b/>
          <w:sz w:val="24"/>
        </w:rPr>
      </w:pPr>
      <w:r>
        <w:rPr>
          <w:rFonts w:hint="eastAsia" w:ascii="宋体" w:hAnsi="宋体"/>
          <w:b/>
          <w:sz w:val="24"/>
        </w:rPr>
        <w:t>12、合同附件</w:t>
      </w:r>
    </w:p>
    <w:p>
      <w:pPr>
        <w:spacing w:line="360" w:lineRule="auto"/>
        <w:ind w:firstLine="480" w:firstLineChars="200"/>
        <w:jc w:val="left"/>
        <w:rPr>
          <w:rFonts w:ascii="宋体" w:hAnsi="宋体"/>
          <w:bCs/>
          <w:sz w:val="24"/>
        </w:rPr>
      </w:pPr>
      <w:r>
        <w:rPr>
          <w:rFonts w:hint="eastAsia" w:ascii="宋体" w:hAnsi="宋体"/>
          <w:bCs/>
          <w:sz w:val="24"/>
        </w:rPr>
        <w:t>合同附件为本合同不可分割的部分，与合同正文具有同等法律效力。</w:t>
      </w:r>
    </w:p>
    <w:p>
      <w:pPr>
        <w:pStyle w:val="34"/>
        <w:adjustRightInd w:val="0"/>
        <w:spacing w:before="0" w:line="360" w:lineRule="auto"/>
        <w:ind w:left="0" w:firstLine="480" w:firstLineChars="200"/>
        <w:rPr>
          <w:rFonts w:ascii="宋体" w:hAnsi="宋体"/>
          <w:bCs/>
          <w:sz w:val="24"/>
          <w:szCs w:val="24"/>
        </w:rPr>
      </w:pPr>
      <w:r>
        <w:rPr>
          <w:rFonts w:hint="eastAsia" w:ascii="宋体" w:hAnsi="宋体"/>
          <w:bCs/>
          <w:sz w:val="24"/>
          <w:szCs w:val="24"/>
        </w:rPr>
        <w:t>附件目录如下：</w:t>
      </w:r>
    </w:p>
    <w:p>
      <w:pPr>
        <w:pStyle w:val="34"/>
        <w:adjustRightInd w:val="0"/>
        <w:spacing w:before="0" w:line="360" w:lineRule="auto"/>
        <w:ind w:left="0" w:firstLine="480" w:firstLineChars="200"/>
        <w:rPr>
          <w:rFonts w:ascii="宋体" w:hAnsi="宋体"/>
          <w:bCs/>
          <w:sz w:val="24"/>
          <w:szCs w:val="24"/>
        </w:rPr>
      </w:pPr>
      <w:r>
        <w:rPr>
          <w:rFonts w:hint="eastAsia" w:ascii="宋体" w:hAnsi="宋体"/>
          <w:bCs/>
          <w:sz w:val="24"/>
          <w:szCs w:val="24"/>
        </w:rPr>
        <w:t>附件一、清单及价格</w:t>
      </w:r>
    </w:p>
    <w:p>
      <w:pPr>
        <w:pStyle w:val="34"/>
        <w:adjustRightInd w:val="0"/>
        <w:spacing w:before="0" w:line="360" w:lineRule="auto"/>
        <w:ind w:left="0" w:firstLine="480" w:firstLineChars="200"/>
        <w:rPr>
          <w:rFonts w:ascii="宋体" w:hAnsi="宋体"/>
          <w:bCs/>
          <w:sz w:val="24"/>
          <w:szCs w:val="24"/>
        </w:rPr>
      </w:pPr>
      <w:r>
        <w:rPr>
          <w:rFonts w:hint="eastAsia" w:ascii="宋体" w:hAnsi="宋体"/>
          <w:bCs/>
          <w:sz w:val="24"/>
          <w:szCs w:val="24"/>
        </w:rPr>
        <w:t>附件二、甲方的业务需求及技术规范</w:t>
      </w:r>
    </w:p>
    <w:p>
      <w:pPr>
        <w:pStyle w:val="34"/>
        <w:adjustRightInd w:val="0"/>
        <w:spacing w:before="0" w:line="360" w:lineRule="auto"/>
        <w:ind w:left="0" w:firstLine="480" w:firstLineChars="200"/>
        <w:rPr>
          <w:rFonts w:ascii="宋体" w:hAnsi="宋体"/>
          <w:bCs/>
          <w:sz w:val="24"/>
          <w:szCs w:val="24"/>
        </w:rPr>
      </w:pPr>
      <w:r>
        <w:rPr>
          <w:rFonts w:hint="eastAsia" w:ascii="宋体" w:hAnsi="宋体"/>
          <w:bCs/>
          <w:sz w:val="24"/>
          <w:szCs w:val="24"/>
        </w:rPr>
        <w:t>附件三、乙方维护服务及质量保证承诺</w:t>
      </w:r>
    </w:p>
    <w:p>
      <w:pPr>
        <w:pStyle w:val="34"/>
        <w:adjustRightInd w:val="0"/>
        <w:spacing w:before="0" w:line="360" w:lineRule="auto"/>
        <w:ind w:left="0" w:firstLine="480" w:firstLineChars="200"/>
        <w:rPr>
          <w:rFonts w:ascii="宋体" w:hAnsi="宋体"/>
          <w:bCs/>
          <w:sz w:val="24"/>
          <w:szCs w:val="24"/>
        </w:rPr>
      </w:pPr>
      <w:r>
        <w:rPr>
          <w:rFonts w:hint="eastAsia" w:ascii="宋体" w:hAnsi="宋体"/>
          <w:bCs/>
          <w:sz w:val="24"/>
          <w:szCs w:val="24"/>
        </w:rPr>
        <w:t>附件四、网络及信息安全承诺书</w:t>
      </w:r>
    </w:p>
    <w:p>
      <w:pPr>
        <w:pStyle w:val="34"/>
        <w:adjustRightInd w:val="0"/>
        <w:spacing w:before="0" w:line="360" w:lineRule="auto"/>
        <w:ind w:left="0" w:firstLine="480" w:firstLineChars="200"/>
        <w:rPr>
          <w:rFonts w:ascii="宋体" w:hAnsi="宋体"/>
          <w:bCs/>
          <w:sz w:val="24"/>
          <w:szCs w:val="24"/>
        </w:rPr>
      </w:pPr>
      <w:r>
        <w:rPr>
          <w:rFonts w:hint="eastAsia" w:ascii="宋体" w:hAnsi="宋体"/>
          <w:bCs/>
          <w:sz w:val="24"/>
          <w:szCs w:val="24"/>
        </w:rPr>
        <w:t>附件五、成交通知书</w:t>
      </w:r>
    </w:p>
    <w:p>
      <w:pPr>
        <w:pStyle w:val="34"/>
        <w:adjustRightInd w:val="0"/>
        <w:spacing w:before="0" w:line="360" w:lineRule="auto"/>
        <w:ind w:left="0" w:firstLine="480" w:firstLineChars="200"/>
        <w:rPr>
          <w:rFonts w:ascii="宋体" w:hAnsi="宋体"/>
          <w:bCs/>
          <w:sz w:val="24"/>
          <w:szCs w:val="24"/>
        </w:rPr>
      </w:pPr>
      <w:r>
        <w:rPr>
          <w:rFonts w:hint="eastAsia" w:ascii="宋体" w:hAnsi="宋体"/>
          <w:bCs/>
          <w:sz w:val="24"/>
          <w:szCs w:val="24"/>
        </w:rPr>
        <w:t>附件六、供应商拥有者性别声明</w:t>
      </w:r>
    </w:p>
    <w:p>
      <w:pPr>
        <w:spacing w:line="360" w:lineRule="auto"/>
        <w:rPr>
          <w:rFonts w:ascii="宋体" w:hAnsi="宋体"/>
          <w:sz w:val="24"/>
        </w:rPr>
      </w:pPr>
    </w:p>
    <w:p>
      <w:pPr>
        <w:widowControl/>
        <w:jc w:val="left"/>
        <w:rPr>
          <w:rFonts w:ascii="宋体" w:hAnsi="宋体"/>
          <w:bCs/>
          <w:sz w:val="24"/>
        </w:rPr>
      </w:pPr>
      <w:r>
        <w:rPr>
          <w:rFonts w:ascii="宋体" w:hAnsi="宋体"/>
          <w:bCs/>
          <w:sz w:val="24"/>
        </w:rPr>
        <w:br w:type="page"/>
      </w:r>
    </w:p>
    <w:p>
      <w:pPr>
        <w:adjustRightInd w:val="0"/>
        <w:snapToGrid w:val="0"/>
        <w:spacing w:line="360" w:lineRule="auto"/>
        <w:rPr>
          <w:rFonts w:hint="eastAsia" w:ascii="宋体" w:hAnsi="宋体" w:eastAsia="宋体" w:cs="Times New Roman"/>
          <w:bCs/>
          <w:sz w:val="24"/>
          <w:lang w:val="en-US" w:eastAsia="zh-CN"/>
        </w:rPr>
      </w:pPr>
      <w:r>
        <w:rPr>
          <w:rFonts w:hint="eastAsia" w:ascii="宋体" w:hAnsi="宋体" w:eastAsia="宋体" w:cs="Times New Roman"/>
          <w:bCs/>
          <w:sz w:val="24"/>
        </w:rPr>
        <w:t xml:space="preserve">甲方： </w:t>
      </w:r>
      <w:r>
        <w:rPr>
          <w:rFonts w:hint="eastAsia" w:ascii="宋体" w:hAnsi="宋体" w:eastAsia="宋体" w:cs="Times New Roman"/>
          <w:bCs/>
          <w:sz w:val="24"/>
          <w:lang w:val="en-US" w:eastAsia="zh-CN"/>
        </w:rPr>
        <w:t>中国人民银行征信中心</w:t>
      </w:r>
    </w:p>
    <w:p>
      <w:pPr>
        <w:pStyle w:val="2"/>
        <w:rPr>
          <w:rFonts w:hint="eastAsia"/>
          <w:lang w:val="en-US" w:eastAsia="zh-CN"/>
        </w:rPr>
      </w:pPr>
    </w:p>
    <w:p>
      <w:pPr>
        <w:adjustRightInd w:val="0"/>
        <w:snapToGrid w:val="0"/>
        <w:spacing w:line="360" w:lineRule="auto"/>
        <w:rPr>
          <w:rFonts w:hint="eastAsia" w:ascii="宋体" w:hAnsi="宋体" w:eastAsia="宋体" w:cs="Times New Roman"/>
          <w:bCs/>
          <w:sz w:val="24"/>
        </w:rPr>
      </w:pPr>
      <w:r>
        <w:rPr>
          <w:rFonts w:hint="eastAsia" w:ascii="宋体" w:hAnsi="宋体" w:eastAsia="宋体" w:cs="Times New Roman"/>
          <w:bCs/>
          <w:sz w:val="24"/>
        </w:rPr>
        <w:t>单位盖章：</w:t>
      </w:r>
    </w:p>
    <w:p>
      <w:pPr>
        <w:adjustRightInd w:val="0"/>
        <w:snapToGrid w:val="0"/>
        <w:spacing w:line="360" w:lineRule="auto"/>
        <w:rPr>
          <w:rFonts w:hint="eastAsia" w:ascii="宋体" w:hAnsi="宋体" w:eastAsia="宋体" w:cs="Times New Roman"/>
          <w:bCs/>
          <w:sz w:val="24"/>
        </w:rPr>
      </w:pPr>
    </w:p>
    <w:p>
      <w:pPr>
        <w:adjustRightInd w:val="0"/>
        <w:snapToGrid w:val="0"/>
        <w:spacing w:line="360" w:lineRule="auto"/>
        <w:rPr>
          <w:rFonts w:hint="eastAsia" w:ascii="宋体" w:hAnsi="宋体" w:eastAsia="宋体" w:cs="Times New Roman"/>
          <w:bCs/>
          <w:sz w:val="24"/>
        </w:rPr>
      </w:pPr>
      <w:r>
        <w:rPr>
          <w:rFonts w:hint="eastAsia" w:ascii="宋体" w:hAnsi="宋体" w:eastAsia="宋体" w:cs="Times New Roman"/>
          <w:bCs/>
          <w:sz w:val="24"/>
        </w:rPr>
        <w:t>法定代表人或授权代表：</w:t>
      </w:r>
    </w:p>
    <w:p>
      <w:pPr>
        <w:adjustRightInd w:val="0"/>
        <w:snapToGrid w:val="0"/>
        <w:spacing w:line="360" w:lineRule="auto"/>
        <w:rPr>
          <w:rFonts w:ascii="宋体" w:hAnsi="宋体"/>
          <w:bCs/>
          <w:sz w:val="24"/>
        </w:rPr>
      </w:pPr>
    </w:p>
    <w:p>
      <w:pPr>
        <w:adjustRightInd w:val="0"/>
        <w:snapToGrid w:val="0"/>
        <w:spacing w:line="360" w:lineRule="auto"/>
        <w:rPr>
          <w:rFonts w:ascii="宋体" w:hAnsi="宋体"/>
          <w:bCs/>
          <w:sz w:val="24"/>
        </w:rPr>
      </w:pPr>
      <w:r>
        <w:rPr>
          <w:rFonts w:hint="eastAsia" w:ascii="宋体" w:hAnsi="宋体"/>
          <w:bCs/>
          <w:sz w:val="24"/>
        </w:rPr>
        <w:t>日期：</w:t>
      </w:r>
    </w:p>
    <w:p>
      <w:pPr>
        <w:adjustRightInd w:val="0"/>
        <w:snapToGrid w:val="0"/>
        <w:spacing w:line="360" w:lineRule="auto"/>
        <w:rPr>
          <w:rFonts w:ascii="宋体" w:hAnsi="宋体"/>
          <w:bCs/>
          <w:sz w:val="24"/>
        </w:rPr>
      </w:pPr>
    </w:p>
    <w:p>
      <w:pPr>
        <w:adjustRightInd w:val="0"/>
        <w:snapToGrid w:val="0"/>
        <w:spacing w:line="360" w:lineRule="auto"/>
        <w:rPr>
          <w:rFonts w:ascii="宋体" w:hAnsi="宋体"/>
          <w:bCs/>
          <w:sz w:val="24"/>
        </w:rPr>
      </w:pPr>
    </w:p>
    <w:p>
      <w:pPr>
        <w:adjustRightInd w:val="0"/>
        <w:snapToGrid w:val="0"/>
        <w:spacing w:line="360" w:lineRule="auto"/>
        <w:rPr>
          <w:rFonts w:hint="eastAsia" w:ascii="宋体" w:hAnsi="宋体" w:eastAsia="宋体" w:cs="Times New Roman"/>
          <w:b w:val="0"/>
          <w:bCs/>
          <w:sz w:val="24"/>
          <w:lang w:val="en-US" w:eastAsia="zh-CN"/>
        </w:rPr>
      </w:pPr>
      <w:r>
        <w:rPr>
          <w:rFonts w:hint="eastAsia" w:ascii="宋体" w:hAnsi="宋体"/>
          <w:bCs/>
          <w:sz w:val="24"/>
        </w:rPr>
        <w:t>乙方：</w:t>
      </w:r>
      <w:r>
        <w:rPr>
          <w:rFonts w:hint="eastAsia" w:ascii="宋体" w:hAnsi="宋体" w:eastAsia="宋体" w:cs="Times New Roman"/>
          <w:b w:val="0"/>
          <w:bCs/>
          <w:sz w:val="24"/>
          <w:lang w:val="en-US"/>
        </w:rPr>
        <w:t>中国电信股份有限公司</w:t>
      </w:r>
      <w:r>
        <w:rPr>
          <w:rFonts w:hint="eastAsia" w:ascii="宋体" w:hAnsi="宋体" w:eastAsia="宋体" w:cs="Times New Roman"/>
          <w:b w:val="0"/>
          <w:bCs/>
          <w:sz w:val="24"/>
          <w:lang w:val="en-US" w:eastAsia="zh-CN"/>
        </w:rPr>
        <w:t>北京分公司</w:t>
      </w:r>
    </w:p>
    <w:p>
      <w:pPr>
        <w:pStyle w:val="2"/>
        <w:rPr>
          <w:rFonts w:hint="eastAsia"/>
          <w:lang w:val="en-US" w:eastAsia="zh-CN"/>
        </w:rPr>
      </w:pPr>
    </w:p>
    <w:p>
      <w:pPr>
        <w:adjustRightInd w:val="0"/>
        <w:snapToGrid w:val="0"/>
        <w:spacing w:line="360" w:lineRule="auto"/>
        <w:rPr>
          <w:rFonts w:hint="eastAsia" w:ascii="宋体" w:hAnsi="宋体" w:eastAsia="宋体" w:cs="Times New Roman"/>
          <w:bCs/>
          <w:sz w:val="24"/>
        </w:rPr>
      </w:pPr>
      <w:r>
        <w:rPr>
          <w:rFonts w:hint="eastAsia" w:ascii="宋体" w:hAnsi="宋体" w:eastAsia="宋体" w:cs="Times New Roman"/>
          <w:bCs/>
          <w:sz w:val="24"/>
        </w:rPr>
        <w:t>单位盖章：</w:t>
      </w:r>
    </w:p>
    <w:p>
      <w:pPr>
        <w:adjustRightInd w:val="0"/>
        <w:snapToGrid w:val="0"/>
        <w:spacing w:line="360" w:lineRule="auto"/>
        <w:rPr>
          <w:rFonts w:ascii="宋体" w:hAnsi="宋体"/>
          <w:bCs/>
          <w:sz w:val="24"/>
        </w:rPr>
      </w:pPr>
    </w:p>
    <w:p>
      <w:pPr>
        <w:adjustRightInd w:val="0"/>
        <w:snapToGrid w:val="0"/>
        <w:spacing w:line="360" w:lineRule="auto"/>
        <w:rPr>
          <w:rFonts w:ascii="宋体" w:hAnsi="宋体"/>
          <w:bCs/>
          <w:sz w:val="24"/>
        </w:rPr>
      </w:pPr>
      <w:r>
        <w:rPr>
          <w:rFonts w:hint="eastAsia" w:ascii="宋体" w:hAnsi="宋体"/>
          <w:bCs/>
          <w:sz w:val="24"/>
        </w:rPr>
        <w:t>法定代表人或授权代表：</w:t>
      </w:r>
    </w:p>
    <w:p>
      <w:pPr>
        <w:adjustRightInd w:val="0"/>
        <w:snapToGrid w:val="0"/>
        <w:spacing w:line="360" w:lineRule="auto"/>
        <w:rPr>
          <w:rFonts w:ascii="宋体" w:hAnsi="宋体"/>
          <w:bCs/>
          <w:sz w:val="24"/>
        </w:rPr>
      </w:pPr>
    </w:p>
    <w:p>
      <w:pPr>
        <w:adjustRightInd w:val="0"/>
        <w:snapToGrid w:val="0"/>
        <w:spacing w:after="50" w:line="360" w:lineRule="auto"/>
        <w:rPr>
          <w:rFonts w:ascii="宋体" w:hAnsi="宋体"/>
          <w:bCs/>
          <w:sz w:val="24"/>
        </w:rPr>
      </w:pPr>
      <w:r>
        <w:rPr>
          <w:rFonts w:hint="eastAsia" w:ascii="宋体" w:hAnsi="宋体"/>
          <w:bCs/>
          <w:sz w:val="24"/>
        </w:rPr>
        <w:t>日期：</w:t>
      </w:r>
    </w:p>
    <w:p>
      <w:pPr>
        <w:ind w:firstLine="420" w:firstLineChars="200"/>
        <w:rPr>
          <w:rFonts w:hint="eastAsia" w:ascii="宋体" w:hAnsi="宋体"/>
          <w:sz w:val="24"/>
        </w:rPr>
      </w:pPr>
      <w:r>
        <w:drawing>
          <wp:inline distT="0" distB="0" distL="114300" distR="114300">
            <wp:extent cx="4410075" cy="6191250"/>
            <wp:effectExtent l="0" t="0" r="952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4410075" cy="6191250"/>
                    </a:xfrm>
                    <a:prstGeom prst="rect">
                      <a:avLst/>
                    </a:prstGeom>
                    <a:noFill/>
                    <a:ln>
                      <a:noFill/>
                    </a:ln>
                  </pic:spPr>
                </pic:pic>
              </a:graphicData>
            </a:graphic>
          </wp:inline>
        </w:drawing>
      </w:r>
      <w:r>
        <w:drawing>
          <wp:inline distT="0" distB="0" distL="114300" distR="114300">
            <wp:extent cx="4419600" cy="6181725"/>
            <wp:effectExtent l="0" t="0" r="0"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4419600" cy="6181725"/>
                    </a:xfrm>
                    <a:prstGeom prst="rect">
                      <a:avLst/>
                    </a:prstGeom>
                    <a:noFill/>
                    <a:ln>
                      <a:noFill/>
                    </a:ln>
                  </pic:spPr>
                </pic:pic>
              </a:graphicData>
            </a:graphic>
          </wp:inline>
        </w:drawing>
      </w:r>
      <w:bookmarkStart w:id="7" w:name="_GoBack"/>
      <w:bookmarkEnd w:id="7"/>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482388"/>
      <w:docPartObj>
        <w:docPartGallery w:val="autotext"/>
      </w:docPartObj>
    </w:sdtPr>
    <w:sdtContent>
      <w:sdt>
        <w:sdtPr>
          <w:id w:val="171357217"/>
          <w:docPartObj>
            <w:docPartGallery w:val="autotext"/>
          </w:docPartObj>
        </w:sdtPr>
        <w:sdtContent>
          <w:p>
            <w:pPr>
              <w:pStyle w:val="10"/>
              <w:jc w:val="center"/>
            </w:pPr>
            <w:r>
              <w:rPr>
                <w:b/>
                <w:sz w:val="24"/>
                <w:szCs w:val="24"/>
              </w:rPr>
              <w:fldChar w:fldCharType="begin"/>
            </w:r>
            <w:r>
              <w:rPr>
                <w:b/>
              </w:rPr>
              <w:instrText xml:space="preserve">PAGE</w:instrText>
            </w:r>
            <w:r>
              <w:rPr>
                <w:b/>
                <w:sz w:val="24"/>
                <w:szCs w:val="24"/>
              </w:rPr>
              <w:fldChar w:fldCharType="separate"/>
            </w:r>
            <w:r>
              <w:rPr>
                <w:b/>
              </w:rPr>
              <w:t>6</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13</w:t>
            </w:r>
            <w:r>
              <w:rPr>
                <w:b/>
                <w:sz w:val="24"/>
                <w:szCs w:val="24"/>
              </w:rPr>
              <w:fldChar w:fldCharType="end"/>
            </w:r>
          </w:p>
        </w:sdtContent>
      </w:sdt>
    </w:sdtContent>
  </w:sdt>
  <w:p>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1"/>
      </w:pBdr>
      <w:tabs>
        <w:tab w:val="center" w:pos="8364"/>
        <w:tab w:val="clear" w:pos="4153"/>
      </w:tabs>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dit="trackedChanges"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QxM2NmNGU1N2U3NTVlOGU0YzcyN2Q4YzE4N2M0NGUifQ=="/>
    <w:docVar w:name="KGWebUrl" w:val="http://20.0.182.3/weaver/weaver.file.FileDownloadForNews?uuid=390221c4-13f8-4630-bfb2-13d197fd5ef1&amp;fileid=1054599&amp;type=document&amp;isofficeview=0"/>
  </w:docVars>
  <w:rsids>
    <w:rsidRoot w:val="00A54F8B"/>
    <w:rsid w:val="000005A4"/>
    <w:rsid w:val="00005FAA"/>
    <w:rsid w:val="000063B7"/>
    <w:rsid w:val="00017698"/>
    <w:rsid w:val="0002435F"/>
    <w:rsid w:val="00036620"/>
    <w:rsid w:val="0004438E"/>
    <w:rsid w:val="00046F85"/>
    <w:rsid w:val="000532C2"/>
    <w:rsid w:val="0005476A"/>
    <w:rsid w:val="00054E97"/>
    <w:rsid w:val="000571CA"/>
    <w:rsid w:val="00082EAC"/>
    <w:rsid w:val="00092C1A"/>
    <w:rsid w:val="000B7335"/>
    <w:rsid w:val="000D72E0"/>
    <w:rsid w:val="000E44F3"/>
    <w:rsid w:val="000F2C53"/>
    <w:rsid w:val="00106743"/>
    <w:rsid w:val="001100C3"/>
    <w:rsid w:val="00114321"/>
    <w:rsid w:val="00117743"/>
    <w:rsid w:val="00121BE2"/>
    <w:rsid w:val="00122CC4"/>
    <w:rsid w:val="00132A19"/>
    <w:rsid w:val="00162E87"/>
    <w:rsid w:val="00171712"/>
    <w:rsid w:val="001731FB"/>
    <w:rsid w:val="001E0B72"/>
    <w:rsid w:val="001E0F85"/>
    <w:rsid w:val="001E2D71"/>
    <w:rsid w:val="001E4D23"/>
    <w:rsid w:val="001E4F8C"/>
    <w:rsid w:val="001E5040"/>
    <w:rsid w:val="001F57D3"/>
    <w:rsid w:val="00201E8C"/>
    <w:rsid w:val="00204F4A"/>
    <w:rsid w:val="002107EE"/>
    <w:rsid w:val="00217A4C"/>
    <w:rsid w:val="00225495"/>
    <w:rsid w:val="00247929"/>
    <w:rsid w:val="00253669"/>
    <w:rsid w:val="00262F87"/>
    <w:rsid w:val="00273399"/>
    <w:rsid w:val="002768A8"/>
    <w:rsid w:val="00287C10"/>
    <w:rsid w:val="002918FD"/>
    <w:rsid w:val="002938B5"/>
    <w:rsid w:val="002B12B0"/>
    <w:rsid w:val="002B1CC4"/>
    <w:rsid w:val="002C77A0"/>
    <w:rsid w:val="002D74DF"/>
    <w:rsid w:val="002E206A"/>
    <w:rsid w:val="002E2EFC"/>
    <w:rsid w:val="002E315D"/>
    <w:rsid w:val="002F4CD2"/>
    <w:rsid w:val="002F6679"/>
    <w:rsid w:val="003064B5"/>
    <w:rsid w:val="0031222F"/>
    <w:rsid w:val="003169BC"/>
    <w:rsid w:val="003176FA"/>
    <w:rsid w:val="00321F24"/>
    <w:rsid w:val="003233CC"/>
    <w:rsid w:val="00336E37"/>
    <w:rsid w:val="00355D48"/>
    <w:rsid w:val="003604F5"/>
    <w:rsid w:val="00364F77"/>
    <w:rsid w:val="00367FCE"/>
    <w:rsid w:val="0037096E"/>
    <w:rsid w:val="00376400"/>
    <w:rsid w:val="003870F6"/>
    <w:rsid w:val="003A1014"/>
    <w:rsid w:val="003A38D9"/>
    <w:rsid w:val="003D269B"/>
    <w:rsid w:val="003D5740"/>
    <w:rsid w:val="003E469D"/>
    <w:rsid w:val="003F04B2"/>
    <w:rsid w:val="00402449"/>
    <w:rsid w:val="00407807"/>
    <w:rsid w:val="004115DF"/>
    <w:rsid w:val="0041562C"/>
    <w:rsid w:val="004243D2"/>
    <w:rsid w:val="00442E80"/>
    <w:rsid w:val="00452387"/>
    <w:rsid w:val="00456E76"/>
    <w:rsid w:val="00463E1F"/>
    <w:rsid w:val="00475DAA"/>
    <w:rsid w:val="00477477"/>
    <w:rsid w:val="0048020F"/>
    <w:rsid w:val="0048281A"/>
    <w:rsid w:val="00482E9C"/>
    <w:rsid w:val="00483B5F"/>
    <w:rsid w:val="004A1B09"/>
    <w:rsid w:val="004B2D7D"/>
    <w:rsid w:val="004C5186"/>
    <w:rsid w:val="004C651B"/>
    <w:rsid w:val="004D071D"/>
    <w:rsid w:val="004D71C9"/>
    <w:rsid w:val="004E0652"/>
    <w:rsid w:val="004E372E"/>
    <w:rsid w:val="004E546B"/>
    <w:rsid w:val="004F1D2A"/>
    <w:rsid w:val="004F4578"/>
    <w:rsid w:val="004F6A57"/>
    <w:rsid w:val="004F7DE2"/>
    <w:rsid w:val="005024A5"/>
    <w:rsid w:val="00512292"/>
    <w:rsid w:val="005200E4"/>
    <w:rsid w:val="00530F29"/>
    <w:rsid w:val="00555436"/>
    <w:rsid w:val="0058550B"/>
    <w:rsid w:val="005902EF"/>
    <w:rsid w:val="005C08BA"/>
    <w:rsid w:val="005D0975"/>
    <w:rsid w:val="005E0A3C"/>
    <w:rsid w:val="005F61F6"/>
    <w:rsid w:val="006006AF"/>
    <w:rsid w:val="006039BF"/>
    <w:rsid w:val="00614D86"/>
    <w:rsid w:val="00630B0E"/>
    <w:rsid w:val="00630CBD"/>
    <w:rsid w:val="006328F2"/>
    <w:rsid w:val="00635967"/>
    <w:rsid w:val="00637945"/>
    <w:rsid w:val="00654959"/>
    <w:rsid w:val="00674722"/>
    <w:rsid w:val="00675FE3"/>
    <w:rsid w:val="006C228E"/>
    <w:rsid w:val="006D61A7"/>
    <w:rsid w:val="006E3126"/>
    <w:rsid w:val="006E3196"/>
    <w:rsid w:val="006F3852"/>
    <w:rsid w:val="007207C9"/>
    <w:rsid w:val="007272D0"/>
    <w:rsid w:val="007279AA"/>
    <w:rsid w:val="00731759"/>
    <w:rsid w:val="007469D2"/>
    <w:rsid w:val="007510E4"/>
    <w:rsid w:val="007717E6"/>
    <w:rsid w:val="007839EA"/>
    <w:rsid w:val="007850B9"/>
    <w:rsid w:val="0079507A"/>
    <w:rsid w:val="007A3BCD"/>
    <w:rsid w:val="007A4293"/>
    <w:rsid w:val="007B5BB5"/>
    <w:rsid w:val="007B7112"/>
    <w:rsid w:val="007D51E7"/>
    <w:rsid w:val="007E4BC3"/>
    <w:rsid w:val="007F78F4"/>
    <w:rsid w:val="00806170"/>
    <w:rsid w:val="0081489E"/>
    <w:rsid w:val="00816220"/>
    <w:rsid w:val="00824342"/>
    <w:rsid w:val="008308F9"/>
    <w:rsid w:val="00834C6E"/>
    <w:rsid w:val="00847EDF"/>
    <w:rsid w:val="0085128D"/>
    <w:rsid w:val="008523D2"/>
    <w:rsid w:val="008850B7"/>
    <w:rsid w:val="0089064C"/>
    <w:rsid w:val="0089435A"/>
    <w:rsid w:val="00897459"/>
    <w:rsid w:val="008C4EE4"/>
    <w:rsid w:val="008D7AC8"/>
    <w:rsid w:val="008E00F6"/>
    <w:rsid w:val="008E218F"/>
    <w:rsid w:val="008E3446"/>
    <w:rsid w:val="008E5AF9"/>
    <w:rsid w:val="008F0CE7"/>
    <w:rsid w:val="008F1787"/>
    <w:rsid w:val="0090422B"/>
    <w:rsid w:val="009128B8"/>
    <w:rsid w:val="00934A6E"/>
    <w:rsid w:val="00934DD2"/>
    <w:rsid w:val="00941C5D"/>
    <w:rsid w:val="009443D2"/>
    <w:rsid w:val="00950E85"/>
    <w:rsid w:val="00953420"/>
    <w:rsid w:val="00960B35"/>
    <w:rsid w:val="00976272"/>
    <w:rsid w:val="00983884"/>
    <w:rsid w:val="009942DA"/>
    <w:rsid w:val="00997ACF"/>
    <w:rsid w:val="009A7C56"/>
    <w:rsid w:val="009C634F"/>
    <w:rsid w:val="009D35C4"/>
    <w:rsid w:val="009D45AE"/>
    <w:rsid w:val="009D7B3C"/>
    <w:rsid w:val="009E1B87"/>
    <w:rsid w:val="009E4E9B"/>
    <w:rsid w:val="009E6B7E"/>
    <w:rsid w:val="00A107A5"/>
    <w:rsid w:val="00A11691"/>
    <w:rsid w:val="00A12CAF"/>
    <w:rsid w:val="00A233EF"/>
    <w:rsid w:val="00A25271"/>
    <w:rsid w:val="00A25859"/>
    <w:rsid w:val="00A31470"/>
    <w:rsid w:val="00A43996"/>
    <w:rsid w:val="00A531ED"/>
    <w:rsid w:val="00A54F8B"/>
    <w:rsid w:val="00A630A5"/>
    <w:rsid w:val="00A84F4E"/>
    <w:rsid w:val="00A95C85"/>
    <w:rsid w:val="00AA2C1E"/>
    <w:rsid w:val="00AA340F"/>
    <w:rsid w:val="00AB3D6C"/>
    <w:rsid w:val="00AC1F77"/>
    <w:rsid w:val="00AC3958"/>
    <w:rsid w:val="00AD5D91"/>
    <w:rsid w:val="00AF2B31"/>
    <w:rsid w:val="00AF7DBC"/>
    <w:rsid w:val="00B00992"/>
    <w:rsid w:val="00B04AEA"/>
    <w:rsid w:val="00B143AE"/>
    <w:rsid w:val="00B15BC0"/>
    <w:rsid w:val="00B21DAF"/>
    <w:rsid w:val="00B25150"/>
    <w:rsid w:val="00B36A3F"/>
    <w:rsid w:val="00B52DEE"/>
    <w:rsid w:val="00B7006D"/>
    <w:rsid w:val="00B871D2"/>
    <w:rsid w:val="00B878D6"/>
    <w:rsid w:val="00B97316"/>
    <w:rsid w:val="00BA310B"/>
    <w:rsid w:val="00BA43E9"/>
    <w:rsid w:val="00BB0902"/>
    <w:rsid w:val="00BC2E24"/>
    <w:rsid w:val="00BD29C9"/>
    <w:rsid w:val="00BD7852"/>
    <w:rsid w:val="00BE7C15"/>
    <w:rsid w:val="00C02871"/>
    <w:rsid w:val="00C046FE"/>
    <w:rsid w:val="00C05A7B"/>
    <w:rsid w:val="00C06310"/>
    <w:rsid w:val="00C1264E"/>
    <w:rsid w:val="00C262BC"/>
    <w:rsid w:val="00C31E98"/>
    <w:rsid w:val="00C508BD"/>
    <w:rsid w:val="00C6209D"/>
    <w:rsid w:val="00C67C1B"/>
    <w:rsid w:val="00C722C6"/>
    <w:rsid w:val="00C75B2C"/>
    <w:rsid w:val="00C80121"/>
    <w:rsid w:val="00C8294F"/>
    <w:rsid w:val="00C85709"/>
    <w:rsid w:val="00C91134"/>
    <w:rsid w:val="00C925AF"/>
    <w:rsid w:val="00C926FF"/>
    <w:rsid w:val="00C93988"/>
    <w:rsid w:val="00CA5EE9"/>
    <w:rsid w:val="00CA7762"/>
    <w:rsid w:val="00CC51E9"/>
    <w:rsid w:val="00CD5C1B"/>
    <w:rsid w:val="00D01945"/>
    <w:rsid w:val="00D10358"/>
    <w:rsid w:val="00D254BD"/>
    <w:rsid w:val="00D3620F"/>
    <w:rsid w:val="00D4735F"/>
    <w:rsid w:val="00D61A18"/>
    <w:rsid w:val="00D77222"/>
    <w:rsid w:val="00D8676D"/>
    <w:rsid w:val="00D87240"/>
    <w:rsid w:val="00D92D6F"/>
    <w:rsid w:val="00DB0345"/>
    <w:rsid w:val="00DB167A"/>
    <w:rsid w:val="00DB55E1"/>
    <w:rsid w:val="00DB7EB2"/>
    <w:rsid w:val="00DC03CA"/>
    <w:rsid w:val="00DC0557"/>
    <w:rsid w:val="00DD0A7B"/>
    <w:rsid w:val="00DD5253"/>
    <w:rsid w:val="00DE0028"/>
    <w:rsid w:val="00DE39FA"/>
    <w:rsid w:val="00DE59C6"/>
    <w:rsid w:val="00DF08BA"/>
    <w:rsid w:val="00DF18AB"/>
    <w:rsid w:val="00E10E53"/>
    <w:rsid w:val="00E146B3"/>
    <w:rsid w:val="00E15463"/>
    <w:rsid w:val="00E24AB4"/>
    <w:rsid w:val="00E25773"/>
    <w:rsid w:val="00E34065"/>
    <w:rsid w:val="00E658F2"/>
    <w:rsid w:val="00E73374"/>
    <w:rsid w:val="00E737CC"/>
    <w:rsid w:val="00E9136A"/>
    <w:rsid w:val="00E95AD3"/>
    <w:rsid w:val="00EA2F2F"/>
    <w:rsid w:val="00EB1142"/>
    <w:rsid w:val="00EB48F0"/>
    <w:rsid w:val="00ED58A6"/>
    <w:rsid w:val="00ED658E"/>
    <w:rsid w:val="00ED77F0"/>
    <w:rsid w:val="00ED7E14"/>
    <w:rsid w:val="00EE1FF4"/>
    <w:rsid w:val="00EE3569"/>
    <w:rsid w:val="00EF02D2"/>
    <w:rsid w:val="00EF4AED"/>
    <w:rsid w:val="00EF5EEC"/>
    <w:rsid w:val="00F03D60"/>
    <w:rsid w:val="00F151B9"/>
    <w:rsid w:val="00F15263"/>
    <w:rsid w:val="00F21041"/>
    <w:rsid w:val="00F316F9"/>
    <w:rsid w:val="00F36426"/>
    <w:rsid w:val="00F46439"/>
    <w:rsid w:val="00F517E5"/>
    <w:rsid w:val="00F54A86"/>
    <w:rsid w:val="00F5688E"/>
    <w:rsid w:val="00F5745F"/>
    <w:rsid w:val="00F63492"/>
    <w:rsid w:val="00F64ABC"/>
    <w:rsid w:val="00F7310D"/>
    <w:rsid w:val="00F8007B"/>
    <w:rsid w:val="00F94E61"/>
    <w:rsid w:val="00FB3A72"/>
    <w:rsid w:val="00FE185A"/>
    <w:rsid w:val="00FE21B9"/>
    <w:rsid w:val="00FE3B4C"/>
    <w:rsid w:val="00FE5CCE"/>
    <w:rsid w:val="00FF19C7"/>
    <w:rsid w:val="0153453C"/>
    <w:rsid w:val="021B47BF"/>
    <w:rsid w:val="02C55AA1"/>
    <w:rsid w:val="02DA783B"/>
    <w:rsid w:val="03100C5A"/>
    <w:rsid w:val="03175CFC"/>
    <w:rsid w:val="0416093D"/>
    <w:rsid w:val="05290E6D"/>
    <w:rsid w:val="05917228"/>
    <w:rsid w:val="0621650D"/>
    <w:rsid w:val="06861B61"/>
    <w:rsid w:val="07EF4858"/>
    <w:rsid w:val="0EA43809"/>
    <w:rsid w:val="12347797"/>
    <w:rsid w:val="139E04F2"/>
    <w:rsid w:val="142F6BEA"/>
    <w:rsid w:val="17A8622A"/>
    <w:rsid w:val="19A54BF8"/>
    <w:rsid w:val="1BCD6688"/>
    <w:rsid w:val="1D4B3D09"/>
    <w:rsid w:val="1E00075A"/>
    <w:rsid w:val="1F5364C1"/>
    <w:rsid w:val="1FA007CB"/>
    <w:rsid w:val="204B26A4"/>
    <w:rsid w:val="22751573"/>
    <w:rsid w:val="2275296A"/>
    <w:rsid w:val="29B37EC5"/>
    <w:rsid w:val="2DAD786F"/>
    <w:rsid w:val="2F0B78C3"/>
    <w:rsid w:val="301315BE"/>
    <w:rsid w:val="329C72D0"/>
    <w:rsid w:val="32A43B1B"/>
    <w:rsid w:val="34682048"/>
    <w:rsid w:val="377855E6"/>
    <w:rsid w:val="39DA3DA0"/>
    <w:rsid w:val="3ABE4218"/>
    <w:rsid w:val="3CFA450F"/>
    <w:rsid w:val="3E0D1F35"/>
    <w:rsid w:val="3EDC12D4"/>
    <w:rsid w:val="3FF102E8"/>
    <w:rsid w:val="410127AD"/>
    <w:rsid w:val="413C5988"/>
    <w:rsid w:val="418331C2"/>
    <w:rsid w:val="42796E8B"/>
    <w:rsid w:val="43391EBC"/>
    <w:rsid w:val="436F39FE"/>
    <w:rsid w:val="43863A5B"/>
    <w:rsid w:val="4402541B"/>
    <w:rsid w:val="466D15DA"/>
    <w:rsid w:val="47A344E9"/>
    <w:rsid w:val="4BF70A34"/>
    <w:rsid w:val="4DC738AD"/>
    <w:rsid w:val="4EED4F71"/>
    <w:rsid w:val="4FAE483F"/>
    <w:rsid w:val="55324DEE"/>
    <w:rsid w:val="55357DC1"/>
    <w:rsid w:val="56826AD5"/>
    <w:rsid w:val="576F6420"/>
    <w:rsid w:val="599F5D5B"/>
    <w:rsid w:val="5B411CCC"/>
    <w:rsid w:val="5E456A29"/>
    <w:rsid w:val="5F5E0B9D"/>
    <w:rsid w:val="5F8F28CB"/>
    <w:rsid w:val="60423580"/>
    <w:rsid w:val="61811074"/>
    <w:rsid w:val="625B18C5"/>
    <w:rsid w:val="661835C7"/>
    <w:rsid w:val="69CC7557"/>
    <w:rsid w:val="6B161723"/>
    <w:rsid w:val="6D37639A"/>
    <w:rsid w:val="70237DCF"/>
    <w:rsid w:val="71AB45B5"/>
    <w:rsid w:val="71FC3BE3"/>
    <w:rsid w:val="763F1E3E"/>
    <w:rsid w:val="7B39702D"/>
    <w:rsid w:val="7BD14F61"/>
    <w:rsid w:val="7CBB6BE1"/>
    <w:rsid w:val="7D7A43AE"/>
    <w:rsid w:val="7E6D055E"/>
    <w:rsid w:val="F7B9693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spacing w:after="120"/>
      <w:ind w:left="420" w:leftChars="200" w:firstLine="420" w:firstLineChars="200"/>
    </w:pPr>
    <w:rPr>
      <w:rFonts w:ascii="Times New Roman" w:hAnsi="Times New Roman" w:eastAsia="宋体"/>
      <w:bCs w:val="0"/>
      <w:sz w:val="21"/>
    </w:rPr>
  </w:style>
  <w:style w:type="paragraph" w:styleId="3">
    <w:name w:val="Body Text Indent"/>
    <w:basedOn w:val="1"/>
    <w:next w:val="4"/>
    <w:qFormat/>
    <w:uiPriority w:val="0"/>
    <w:pPr>
      <w:ind w:firstLine="549"/>
    </w:pPr>
    <w:rPr>
      <w:rFonts w:ascii="仿宋_GB2312" w:hAnsi="Arial" w:eastAsia="仿宋_GB2312"/>
      <w:bCs/>
      <w:sz w:val="28"/>
    </w:rPr>
  </w:style>
  <w:style w:type="paragraph" w:styleId="4">
    <w:name w:val="envelope return"/>
    <w:basedOn w:val="1"/>
    <w:qFormat/>
    <w:uiPriority w:val="0"/>
    <w:pPr>
      <w:snapToGrid w:val="0"/>
    </w:pPr>
    <w:rPr>
      <w:rFonts w:ascii="Arial" w:hAnsi="Arial"/>
    </w:rPr>
  </w:style>
  <w:style w:type="paragraph" w:styleId="5">
    <w:name w:val="Document Map"/>
    <w:basedOn w:val="1"/>
    <w:link w:val="23"/>
    <w:semiHidden/>
    <w:unhideWhenUsed/>
    <w:qFormat/>
    <w:uiPriority w:val="99"/>
    <w:rPr>
      <w:rFonts w:ascii="宋体"/>
      <w:sz w:val="18"/>
      <w:szCs w:val="18"/>
    </w:rPr>
  </w:style>
  <w:style w:type="paragraph" w:styleId="6">
    <w:name w:val="annotation text"/>
    <w:basedOn w:val="1"/>
    <w:link w:val="29"/>
    <w:unhideWhenUsed/>
    <w:qFormat/>
    <w:uiPriority w:val="0"/>
    <w:pPr>
      <w:autoSpaceDE w:val="0"/>
      <w:autoSpaceDN w:val="0"/>
      <w:adjustRightInd w:val="0"/>
      <w:spacing w:line="312" w:lineRule="atLeast"/>
      <w:jc w:val="left"/>
    </w:pPr>
    <w:rPr>
      <w:kern w:val="0"/>
      <w:szCs w:val="20"/>
    </w:rPr>
  </w:style>
  <w:style w:type="paragraph" w:styleId="7">
    <w:name w:val="Plain Text"/>
    <w:basedOn w:val="1"/>
    <w:qFormat/>
    <w:uiPriority w:val="0"/>
    <w:rPr>
      <w:rFonts w:ascii="宋体" w:hAnsi="Courier New"/>
    </w:rPr>
  </w:style>
  <w:style w:type="paragraph" w:styleId="8">
    <w:name w:val="Body Text Indent 2"/>
    <w:basedOn w:val="1"/>
    <w:link w:val="21"/>
    <w:qFormat/>
    <w:uiPriority w:val="0"/>
    <w:pPr>
      <w:spacing w:line="360" w:lineRule="auto"/>
      <w:ind w:firstLine="480" w:firstLineChars="200"/>
    </w:pPr>
    <w:rPr>
      <w:rFonts w:ascii="宋体" w:hAnsi="宋体"/>
      <w:sz w:val="24"/>
    </w:rPr>
  </w:style>
  <w:style w:type="paragraph" w:styleId="9">
    <w:name w:val="Balloon Text"/>
    <w:basedOn w:val="1"/>
    <w:link w:val="26"/>
    <w:semiHidden/>
    <w:unhideWhenUsed/>
    <w:qFormat/>
    <w:uiPriority w:val="99"/>
    <w:rPr>
      <w:sz w:val="18"/>
      <w:szCs w:val="18"/>
    </w:rPr>
  </w:style>
  <w:style w:type="paragraph" w:styleId="10">
    <w:name w:val="footer"/>
    <w:basedOn w:val="1"/>
    <w:link w:val="25"/>
    <w:unhideWhenUsed/>
    <w:qFormat/>
    <w:uiPriority w:val="99"/>
    <w:pPr>
      <w:tabs>
        <w:tab w:val="center" w:pos="4153"/>
        <w:tab w:val="right" w:pos="8306"/>
      </w:tabs>
      <w:snapToGrid w:val="0"/>
      <w:jc w:val="left"/>
    </w:pPr>
    <w:rPr>
      <w:sz w:val="18"/>
      <w:szCs w:val="18"/>
    </w:rPr>
  </w:style>
  <w:style w:type="paragraph" w:styleId="11">
    <w:name w:val="header"/>
    <w:basedOn w:val="1"/>
    <w:link w:val="24"/>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Body Text Indent 3"/>
    <w:basedOn w:val="1"/>
    <w:link w:val="22"/>
    <w:qFormat/>
    <w:uiPriority w:val="0"/>
    <w:pPr>
      <w:tabs>
        <w:tab w:val="left" w:pos="540"/>
      </w:tabs>
      <w:spacing w:line="360" w:lineRule="auto"/>
      <w:ind w:firstLine="480" w:firstLineChars="200"/>
    </w:pPr>
    <w:rPr>
      <w:rFonts w:ascii="宋体" w:hAnsi="宋体"/>
      <w:bCs/>
      <w:color w:val="FF0000"/>
      <w:sz w:val="24"/>
    </w:rPr>
  </w:style>
  <w:style w:type="paragraph" w:styleId="13">
    <w:name w:val="Body Text 2"/>
    <w:basedOn w:val="1"/>
    <w:qFormat/>
    <w:uiPriority w:val="0"/>
    <w:pPr>
      <w:spacing w:after="120" w:line="480" w:lineRule="auto"/>
    </w:pPr>
    <w:rPr>
      <w:sz w:val="24"/>
    </w:rPr>
  </w:style>
  <w:style w:type="paragraph" w:styleId="1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5">
    <w:name w:val="annotation subject"/>
    <w:basedOn w:val="6"/>
    <w:next w:val="6"/>
    <w:link w:val="30"/>
    <w:semiHidden/>
    <w:unhideWhenUsed/>
    <w:qFormat/>
    <w:uiPriority w:val="99"/>
    <w:pPr>
      <w:autoSpaceDE/>
      <w:autoSpaceDN/>
      <w:adjustRightInd/>
      <w:spacing w:line="240" w:lineRule="auto"/>
    </w:pPr>
    <w:rPr>
      <w:b/>
      <w:bCs/>
      <w:kern w:val="2"/>
      <w:szCs w:val="24"/>
    </w:rPr>
  </w:style>
  <w:style w:type="table" w:styleId="17">
    <w:name w:val="Table Grid"/>
    <w:basedOn w:val="1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qFormat/>
    <w:uiPriority w:val="0"/>
    <w:rPr>
      <w:color w:val="0000FF"/>
      <w:u w:val="single"/>
    </w:rPr>
  </w:style>
  <w:style w:type="character" w:styleId="20">
    <w:name w:val="annotation reference"/>
    <w:basedOn w:val="18"/>
    <w:unhideWhenUsed/>
    <w:qFormat/>
    <w:uiPriority w:val="0"/>
    <w:rPr>
      <w:sz w:val="21"/>
      <w:szCs w:val="21"/>
    </w:rPr>
  </w:style>
  <w:style w:type="character" w:customStyle="1" w:styleId="21">
    <w:name w:val="正文文本缩进 2 Char"/>
    <w:basedOn w:val="18"/>
    <w:link w:val="8"/>
    <w:qFormat/>
    <w:uiPriority w:val="0"/>
    <w:rPr>
      <w:rFonts w:ascii="宋体" w:hAnsi="宋体" w:eastAsia="宋体" w:cs="Times New Roman"/>
      <w:sz w:val="24"/>
      <w:szCs w:val="24"/>
    </w:rPr>
  </w:style>
  <w:style w:type="character" w:customStyle="1" w:styleId="22">
    <w:name w:val="正文文本缩进 3 Char"/>
    <w:basedOn w:val="18"/>
    <w:link w:val="12"/>
    <w:qFormat/>
    <w:uiPriority w:val="0"/>
    <w:rPr>
      <w:rFonts w:ascii="宋体" w:hAnsi="宋体" w:eastAsia="宋体" w:cs="Times New Roman"/>
      <w:bCs/>
      <w:color w:val="FF0000"/>
      <w:sz w:val="24"/>
      <w:szCs w:val="24"/>
    </w:rPr>
  </w:style>
  <w:style w:type="character" w:customStyle="1" w:styleId="23">
    <w:name w:val="文档结构图 Char"/>
    <w:basedOn w:val="18"/>
    <w:link w:val="5"/>
    <w:semiHidden/>
    <w:qFormat/>
    <w:uiPriority w:val="99"/>
    <w:rPr>
      <w:rFonts w:ascii="宋体" w:hAnsi="Times New Roman" w:eastAsia="宋体" w:cs="Times New Roman"/>
      <w:sz w:val="18"/>
      <w:szCs w:val="18"/>
    </w:rPr>
  </w:style>
  <w:style w:type="character" w:customStyle="1" w:styleId="24">
    <w:name w:val="页眉 Char"/>
    <w:basedOn w:val="18"/>
    <w:link w:val="11"/>
    <w:qFormat/>
    <w:uiPriority w:val="99"/>
    <w:rPr>
      <w:rFonts w:ascii="Times New Roman" w:hAnsi="Times New Roman" w:eastAsia="宋体" w:cs="Times New Roman"/>
      <w:sz w:val="18"/>
      <w:szCs w:val="18"/>
    </w:rPr>
  </w:style>
  <w:style w:type="character" w:customStyle="1" w:styleId="25">
    <w:name w:val="页脚 Char"/>
    <w:basedOn w:val="18"/>
    <w:link w:val="10"/>
    <w:qFormat/>
    <w:uiPriority w:val="99"/>
    <w:rPr>
      <w:rFonts w:ascii="Times New Roman" w:hAnsi="Times New Roman" w:eastAsia="宋体" w:cs="Times New Roman"/>
      <w:sz w:val="18"/>
      <w:szCs w:val="18"/>
    </w:rPr>
  </w:style>
  <w:style w:type="character" w:customStyle="1" w:styleId="26">
    <w:name w:val="批注框文本 Char"/>
    <w:basedOn w:val="18"/>
    <w:link w:val="9"/>
    <w:semiHidden/>
    <w:qFormat/>
    <w:uiPriority w:val="99"/>
    <w:rPr>
      <w:rFonts w:ascii="Times New Roman" w:hAnsi="Times New Roman" w:eastAsia="宋体" w:cs="Times New Roman"/>
      <w:sz w:val="18"/>
      <w:szCs w:val="18"/>
    </w:rPr>
  </w:style>
  <w:style w:type="paragraph" w:customStyle="1" w:styleId="27">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paragraph" w:customStyle="1" w:styleId="28">
    <w:name w:val="w正文"/>
    <w:basedOn w:val="1"/>
    <w:qFormat/>
    <w:uiPriority w:val="0"/>
    <w:pPr>
      <w:spacing w:line="360" w:lineRule="auto"/>
      <w:ind w:firstLine="480" w:firstLineChars="200"/>
    </w:pPr>
    <w:rPr>
      <w:rFonts w:ascii="宋体" w:hAnsi="宋体"/>
      <w:bCs/>
      <w:sz w:val="24"/>
    </w:rPr>
  </w:style>
  <w:style w:type="character" w:customStyle="1" w:styleId="29">
    <w:name w:val="批注文字 Char"/>
    <w:basedOn w:val="18"/>
    <w:link w:val="6"/>
    <w:qFormat/>
    <w:uiPriority w:val="0"/>
    <w:rPr>
      <w:rFonts w:ascii="Times New Roman" w:hAnsi="Times New Roman" w:eastAsia="宋体" w:cs="Times New Roman"/>
      <w:kern w:val="0"/>
      <w:szCs w:val="20"/>
    </w:rPr>
  </w:style>
  <w:style w:type="character" w:customStyle="1" w:styleId="30">
    <w:name w:val="批注主题 Char"/>
    <w:basedOn w:val="29"/>
    <w:link w:val="15"/>
    <w:semiHidden/>
    <w:qFormat/>
    <w:uiPriority w:val="99"/>
    <w:rPr>
      <w:rFonts w:ascii="Times New Roman" w:hAnsi="Times New Roman" w:eastAsia="宋体" w:cs="Times New Roman"/>
      <w:b/>
      <w:bCs/>
      <w:kern w:val="0"/>
      <w:szCs w:val="24"/>
    </w:rPr>
  </w:style>
  <w:style w:type="paragraph" w:customStyle="1" w:styleId="31">
    <w:name w:val="Revision"/>
    <w:hidden/>
    <w:semiHidden/>
    <w:qFormat/>
    <w:uiPriority w:val="99"/>
    <w:rPr>
      <w:rFonts w:ascii="Times New Roman" w:hAnsi="Times New Roman" w:eastAsia="宋体" w:cs="Times New Roman"/>
      <w:kern w:val="2"/>
      <w:sz w:val="21"/>
      <w:szCs w:val="24"/>
      <w:lang w:val="en-US" w:eastAsia="zh-CN" w:bidi="ar-SA"/>
    </w:rPr>
  </w:style>
  <w:style w:type="paragraph" w:styleId="32">
    <w:name w:val="List Paragraph"/>
    <w:basedOn w:val="1"/>
    <w:qFormat/>
    <w:uiPriority w:val="34"/>
    <w:pPr>
      <w:ind w:firstLine="420" w:firstLineChars="200"/>
    </w:pPr>
  </w:style>
  <w:style w:type="paragraph" w:customStyle="1" w:styleId="33">
    <w:name w:val="段落1"/>
    <w:basedOn w:val="13"/>
    <w:qFormat/>
    <w:uiPriority w:val="0"/>
    <w:pPr>
      <w:kinsoku w:val="0"/>
      <w:wordWrap w:val="0"/>
      <w:overflowPunct w:val="0"/>
      <w:autoSpaceDE w:val="0"/>
      <w:autoSpaceDN w:val="0"/>
      <w:snapToGrid w:val="0"/>
      <w:spacing w:before="120" w:line="240" w:lineRule="auto"/>
      <w:ind w:firstLine="440"/>
    </w:pPr>
    <w:rPr>
      <w:rFonts w:asciiTheme="minorHAnsi" w:hAnsiTheme="minorHAnsi" w:eastAsiaTheme="minorEastAsia" w:cstheme="minorBidi"/>
      <w:sz w:val="28"/>
      <w:szCs w:val="22"/>
    </w:rPr>
  </w:style>
  <w:style w:type="paragraph" w:customStyle="1" w:styleId="34">
    <w:name w:val="条"/>
    <w:basedOn w:val="1"/>
    <w:qFormat/>
    <w:uiPriority w:val="0"/>
    <w:pPr>
      <w:snapToGrid w:val="0"/>
      <w:spacing w:before="120"/>
      <w:ind w:left="720" w:hanging="720"/>
    </w:pPr>
    <w:rPr>
      <w:rFonts w:asciiTheme="minorHAnsi" w:hAnsiTheme="minorHAnsi" w:eastAsiaTheme="minorEastAsia" w:cstheme="minorBidi"/>
      <w:sz w:val="28"/>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20</Pages>
  <Words>12676</Words>
  <Characters>13138</Characters>
  <Lines>78</Lines>
  <Paragraphs>22</Paragraphs>
  <TotalTime>54</TotalTime>
  <ScaleCrop>false</ScaleCrop>
  <LinksUpToDate>false</LinksUpToDate>
  <CharactersWithSpaces>13419</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2015-02-09T23:59:00Z</dcterms:created>
  <dc:creator>xchen</dc:creator>
  <cp:lastModifiedBy>孙靓瑶</cp:lastModifiedBy>
  <dcterms:modified xsi:type="dcterms:W3CDTF">2026-03-19T08:40:36Z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337BC70F16624DABB254100DECFD53E2</vt:lpwstr>
  </property>
  <property fmtid="{D5CDD505-2E9C-101B-9397-08002B2CF9AE}" pid="4" name="KSOTemplateDocerSaveRecord">
    <vt:lpwstr>eyJoZGlkIjoiNWZhZDZiZDU1MTVlZWJhYzJjYzIwNjdhYjg2Mjk2MTkiLCJ1c2VySWQiOiI4Njk5NTkwMDMifQ==</vt:lpwstr>
  </property>
</Properties>
</file>