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7D08A9">
      <w:pPr>
        <w:pStyle w:val="31"/>
        <w:widowControl w:val="0"/>
        <w:spacing w:line="360" w:lineRule="exact"/>
        <w:ind w:right="880"/>
        <w:jc w:val="right"/>
        <w:rPr>
          <w:rFonts w:hint="eastAsia" w:ascii="Arial Unicode MS" w:hAnsi="Arial Unicode MS" w:eastAsia="楷体" w:cs="Arial"/>
          <w:sz w:val="22"/>
          <w:szCs w:val="22"/>
        </w:rPr>
      </w:pPr>
      <w:r>
        <w:rPr>
          <w:rFonts w:hint="eastAsia" w:ascii="Arial Unicode MS" w:hAnsi="Arial Unicode MS" w:eastAsia="楷体" w:cs="Arial"/>
          <w:sz w:val="22"/>
          <w:szCs w:val="22"/>
        </w:rPr>
        <w:t xml:space="preserve"> </w:t>
      </w:r>
      <w:r>
        <w:rPr>
          <w:rFonts w:ascii="Arial Unicode MS" w:hAnsi="Arial Unicode MS" w:eastAsia="楷体" w:cs="Arial"/>
          <w:sz w:val="22"/>
          <w:szCs w:val="22"/>
        </w:rPr>
        <w:t xml:space="preserve">      </w:t>
      </w:r>
    </w:p>
    <w:p w14:paraId="623E6F70">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30"/>
          <w:szCs w:val="30"/>
        </w:rPr>
      </w:pPr>
      <w:r>
        <w:rPr>
          <w:rFonts w:hint="eastAsia" w:ascii="楷体" w:hAnsi="楷体" w:eastAsia="楷体" w:cs="楷体"/>
          <w:kern w:val="0"/>
          <w:sz w:val="30"/>
          <w:szCs w:val="30"/>
          <w:lang w:val="en-US" w:eastAsia="zh-CN" w:bidi="ar"/>
        </w:rPr>
        <w:t>房屋租赁合同</w:t>
      </w:r>
    </w:p>
    <w:p w14:paraId="50BB2303">
      <w:pPr>
        <w:pStyle w:val="31"/>
        <w:keepNext w:val="0"/>
        <w:keepLines w:val="0"/>
        <w:widowControl w:val="0"/>
        <w:suppressLineNumbers w:val="0"/>
        <w:spacing w:before="0" w:beforeAutospacing="1" w:after="0" w:afterAutospacing="1"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 xml:space="preserve"> </w:t>
      </w:r>
    </w:p>
    <w:p w14:paraId="26A5F956">
      <w:pPr>
        <w:pStyle w:val="31"/>
        <w:widowControl/>
        <w:spacing w:before="0" w:beforeAutospacing="1" w:after="0" w:afterAutospacing="0" w:line="360" w:lineRule="exact"/>
        <w:ind w:left="0" w:right="0" w:firstLine="440" w:firstLineChars="200"/>
        <w:jc w:val="left"/>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出租方：上海陆家嘴金融贸易区联合发展有限公司（“出租方”）</w:t>
      </w:r>
    </w:p>
    <w:p w14:paraId="242F8882">
      <w:pPr>
        <w:pStyle w:val="31"/>
        <w:widowControl/>
        <w:spacing w:before="0" w:beforeAutospacing="1" w:after="0" w:afterAutospacing="0" w:line="360" w:lineRule="exact"/>
        <w:ind w:left="0" w:right="0" w:firstLine="440" w:firstLineChars="200"/>
        <w:jc w:val="left"/>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承租方：网联清算有限公司上海分公司（“承租方”）</w:t>
      </w:r>
    </w:p>
    <w:p w14:paraId="49ACAF63">
      <w:pPr>
        <w:pStyle w:val="31"/>
        <w:keepNext w:val="0"/>
        <w:keepLines w:val="0"/>
        <w:widowControl w:val="0"/>
        <w:suppressLineNumbers w:val="0"/>
        <w:spacing w:before="0" w:beforeAutospacing="1" w:after="0" w:afterAutospacing="0" w:line="360" w:lineRule="exact"/>
        <w:ind w:left="0" w:right="0" w:firstLine="42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物业管理方：上海陆家嘴物业管理有限公司（“物业管理方”）</w:t>
      </w:r>
    </w:p>
    <w:p w14:paraId="3B918A68">
      <w:pPr>
        <w:pStyle w:val="31"/>
        <w:keepNext w:val="0"/>
        <w:keepLines w:val="0"/>
        <w:widowControl w:val="0"/>
        <w:suppressLineNumbers w:val="0"/>
        <w:spacing w:before="0" w:beforeAutospacing="1" w:after="0" w:afterAutospacing="0" w:line="360" w:lineRule="exact"/>
        <w:ind w:left="0" w:right="0" w:firstLine="42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 xml:space="preserve"> </w:t>
      </w:r>
    </w:p>
    <w:p w14:paraId="4C6302C9">
      <w:pPr>
        <w:pStyle w:val="31"/>
        <w:keepNext w:val="0"/>
        <w:keepLines w:val="0"/>
        <w:widowControl w:val="0"/>
        <w:suppressLineNumbers w:val="0"/>
        <w:spacing w:before="0" w:beforeAutospacing="1" w:after="0" w:afterAutospacing="0" w:line="360" w:lineRule="exact"/>
        <w:ind w:left="0" w:right="0" w:firstLine="42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鉴于出租方是该房屋的合法所有权人，现出租方有意向承租方【出租】、承租方有意向出租方承租该房屋， 物业管理方是该房屋的物业管理单位，三方根据《中华人民共和国民法典》、《中华人民共和国城市房地产管理法》、《商品房屋租赁管理办法》及其他相关规定，参照国内和上海市各开发区的通行惯例，经各方协商一致，就承租该房屋事宜，达成一致如下：</w:t>
      </w:r>
    </w:p>
    <w:p w14:paraId="56904D5F">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定义</w:t>
      </w:r>
    </w:p>
    <w:p w14:paraId="4E1DFA51">
      <w:pPr>
        <w:pStyle w:val="31"/>
        <w:keepNext w:val="0"/>
        <w:keepLines w:val="0"/>
        <w:widowControl w:val="0"/>
        <w:suppressLineNumbers w:val="0"/>
        <w:tabs>
          <w:tab w:val="left" w:pos="1080"/>
        </w:tabs>
        <w:spacing w:before="0" w:beforeAutospacing="1" w:after="0" w:afterAutospacing="1" w:line="360" w:lineRule="exact"/>
        <w:ind w:left="0" w:right="0" w:firstLine="0" w:firstLineChars="0"/>
        <w:jc w:val="both"/>
        <w:outlineLvl w:val="1"/>
        <w:rPr>
          <w:rFonts w:hint="eastAsia" w:ascii="楷体" w:hAnsi="楷体" w:eastAsia="楷体" w:cs="楷体"/>
          <w:b w:val="0"/>
          <w:sz w:val="22"/>
          <w:szCs w:val="22"/>
        </w:rPr>
      </w:pPr>
      <w:r>
        <w:rPr>
          <w:rFonts w:hint="default" w:ascii="楷体" w:hAnsi="楷体" w:eastAsia="楷体" w:cs="楷体"/>
          <w:b w:val="0"/>
          <w:kern w:val="0"/>
          <w:sz w:val="22"/>
          <w:szCs w:val="22"/>
          <w:lang w:eastAsia="zh-CN" w:bidi="ar"/>
        </w:rPr>
        <w:t xml:space="preserve">           </w:t>
      </w:r>
      <w:r>
        <w:rPr>
          <w:rFonts w:hint="eastAsia" w:ascii="楷体" w:hAnsi="楷体" w:eastAsia="楷体" w:cs="楷体"/>
          <w:b w:val="0"/>
          <w:kern w:val="0"/>
          <w:sz w:val="22"/>
          <w:szCs w:val="22"/>
          <w:lang w:val="en-US" w:eastAsia="zh-CN" w:bidi="ar"/>
        </w:rPr>
        <w:t>本合同中下列词语定义如下，本合同主文、各附件中如无特别约定，即适用本条规定：</w:t>
      </w:r>
    </w:p>
    <w:p w14:paraId="30735748">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“该大厦”：</w:t>
      </w:r>
      <w:r>
        <w:rPr>
          <w:rFonts w:hint="eastAsia" w:ascii="楷体" w:hAnsi="楷体" w:eastAsia="楷体" w:cs="楷体"/>
          <w:b w:val="0"/>
          <w:kern w:val="0"/>
          <w:sz w:val="22"/>
          <w:szCs w:val="22"/>
          <w:lang w:val="en-US" w:eastAsia="zh-CN" w:bidi="ar"/>
        </w:rPr>
        <w:t>定义见附表一。</w:t>
      </w:r>
    </w:p>
    <w:p w14:paraId="288C47E0">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“该房屋”：</w:t>
      </w:r>
      <w:r>
        <w:rPr>
          <w:rFonts w:hint="eastAsia" w:ascii="楷体" w:hAnsi="楷体" w:eastAsia="楷体" w:cs="楷体"/>
          <w:b w:val="0"/>
          <w:kern w:val="0"/>
          <w:sz w:val="22"/>
          <w:szCs w:val="22"/>
          <w:lang w:val="en-US" w:eastAsia="zh-CN" w:bidi="ar"/>
        </w:rPr>
        <w:t>定义见附表一。该房屋的平面图见本合同附件一，该平面图仅作方便图鉴之用。</w:t>
      </w:r>
    </w:p>
    <w:p w14:paraId="686A57D5">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val="0"/>
          <w:sz w:val="22"/>
          <w:szCs w:val="22"/>
        </w:rPr>
      </w:pPr>
      <w:r>
        <w:rPr>
          <w:rFonts w:hint="eastAsia" w:ascii="楷体" w:hAnsi="楷体" w:eastAsia="楷体" w:cs="楷体"/>
          <w:b/>
          <w:bCs w:val="0"/>
          <w:kern w:val="0"/>
          <w:sz w:val="22"/>
          <w:szCs w:val="22"/>
          <w:lang w:val="en-US" w:eastAsia="zh-CN" w:bidi="ar"/>
        </w:rPr>
        <w:t>“建筑面积”：</w:t>
      </w:r>
      <w:r>
        <w:rPr>
          <w:rFonts w:hint="eastAsia" w:ascii="楷体" w:hAnsi="楷体" w:eastAsia="楷体" w:cs="楷体"/>
          <w:b w:val="0"/>
          <w:kern w:val="0"/>
          <w:sz w:val="22"/>
          <w:szCs w:val="22"/>
          <w:lang w:val="en-US" w:eastAsia="zh-CN" w:bidi="ar"/>
        </w:rPr>
        <w:t>该房屋的建筑面积记载于附表一。</w:t>
      </w:r>
      <w:r>
        <w:rPr>
          <w:rFonts w:hint="eastAsia" w:ascii="楷体" w:hAnsi="楷体" w:eastAsia="楷体" w:cs="楷体"/>
          <w:b w:val="0"/>
          <w:kern w:val="0"/>
          <w:sz w:val="22"/>
          <w:szCs w:val="22"/>
          <w:lang w:val="en-US" w:eastAsia="zh-CN" w:bidi="ar"/>
        </w:rPr>
        <w:br w:type="textWrapping"/>
      </w:r>
      <w:r>
        <w:rPr>
          <w:rFonts w:hint="eastAsia" w:ascii="楷体" w:hAnsi="楷体" w:eastAsia="楷体" w:cs="楷体"/>
          <w:b w:val="0"/>
          <w:kern w:val="0"/>
          <w:sz w:val="22"/>
          <w:szCs w:val="22"/>
          <w:lang w:val="en-US" w:eastAsia="zh-CN" w:bidi="ar"/>
        </w:rPr>
        <w:br w:type="textWrapping"/>
      </w:r>
      <w:r>
        <w:rPr>
          <w:rFonts w:hint="eastAsia" w:ascii="楷体" w:hAnsi="楷体" w:eastAsia="楷体" w:cs="楷体"/>
          <w:b w:val="0"/>
          <w:kern w:val="0"/>
          <w:sz w:val="22"/>
          <w:szCs w:val="22"/>
          <w:lang w:val="en-US" w:eastAsia="zh-CN" w:bidi="ar"/>
        </w:rPr>
        <w:t>指出租方根据</w:t>
      </w:r>
      <w:r>
        <w:rPr>
          <w:rFonts w:hint="eastAsia" w:ascii="楷体" w:hAnsi="楷体" w:eastAsia="楷体" w:cs="楷体"/>
          <w:b w:val="0"/>
          <w:kern w:val="0"/>
          <w:sz w:val="22"/>
          <w:szCs w:val="22"/>
          <w:u w:val="single"/>
          <w:lang w:val="en-US" w:eastAsia="zh-CN" w:bidi="ar"/>
        </w:rPr>
        <w:t>2018</w:t>
      </w:r>
      <w:r>
        <w:rPr>
          <w:rFonts w:hint="eastAsia" w:ascii="楷体" w:hAnsi="楷体" w:eastAsia="楷体" w:cs="楷体"/>
          <w:b w:val="0"/>
          <w:kern w:val="0"/>
          <w:sz w:val="22"/>
          <w:szCs w:val="22"/>
          <w:lang w:val="en-US" w:eastAsia="zh-CN" w:bidi="ar"/>
        </w:rPr>
        <w:t>年</w:t>
      </w:r>
      <w:r>
        <w:rPr>
          <w:rFonts w:hint="eastAsia" w:ascii="楷体" w:hAnsi="楷体" w:eastAsia="楷体" w:cs="楷体"/>
          <w:b w:val="0"/>
          <w:kern w:val="0"/>
          <w:sz w:val="22"/>
          <w:szCs w:val="22"/>
          <w:u w:val="single"/>
          <w:lang w:val="en-US" w:eastAsia="zh-CN" w:bidi="ar"/>
        </w:rPr>
        <w:t>7</w:t>
      </w:r>
      <w:r>
        <w:rPr>
          <w:rFonts w:hint="eastAsia" w:ascii="楷体" w:hAnsi="楷体" w:eastAsia="楷体" w:cs="楷体"/>
          <w:b w:val="0"/>
          <w:kern w:val="0"/>
          <w:sz w:val="22"/>
          <w:szCs w:val="22"/>
          <w:lang w:val="en-US" w:eastAsia="zh-CN" w:bidi="ar"/>
        </w:rPr>
        <w:t>月</w:t>
      </w:r>
      <w:r>
        <w:rPr>
          <w:rFonts w:hint="eastAsia" w:ascii="楷体" w:hAnsi="楷体" w:eastAsia="楷体" w:cs="楷体"/>
          <w:b w:val="0"/>
          <w:kern w:val="0"/>
          <w:sz w:val="22"/>
          <w:szCs w:val="22"/>
          <w:u w:val="single"/>
          <w:lang w:val="en-US" w:eastAsia="zh-CN" w:bidi="ar"/>
        </w:rPr>
        <w:t>27</w:t>
      </w:r>
      <w:r>
        <w:rPr>
          <w:rFonts w:hint="eastAsia" w:ascii="楷体" w:hAnsi="楷体" w:eastAsia="楷体" w:cs="楷体"/>
          <w:b w:val="0"/>
          <w:kern w:val="0"/>
          <w:sz w:val="22"/>
          <w:szCs w:val="22"/>
          <w:lang w:val="en-US" w:eastAsia="zh-CN" w:bidi="ar"/>
        </w:rPr>
        <w:t>日政府主管部门认可的测绘机构出具的、并在相关房地产交易部门正式备案的关于该大厦的《房屋土地权属调查报告书》中记载的</w:t>
      </w:r>
      <w:r>
        <w:rPr>
          <w:rFonts w:hint="eastAsia" w:ascii="楷体" w:hAnsi="楷体" w:eastAsia="楷体" w:cs="楷体"/>
          <w:b/>
          <w:bCs w:val="0"/>
          <w:kern w:val="0"/>
          <w:sz w:val="22"/>
          <w:szCs w:val="22"/>
          <w:lang w:val="en-US" w:eastAsia="zh-CN" w:bidi="ar"/>
        </w:rPr>
        <w:t>该房屋所在楼层的实测建筑面积测算出的该房屋的实测建筑面积</w:t>
      </w:r>
      <w:r>
        <w:rPr>
          <w:rFonts w:hint="eastAsia" w:ascii="楷体" w:hAnsi="楷体" w:eastAsia="楷体" w:cs="楷体"/>
          <w:b w:val="0"/>
          <w:kern w:val="0"/>
          <w:sz w:val="22"/>
          <w:szCs w:val="22"/>
          <w:lang w:val="en-US" w:eastAsia="zh-CN" w:bidi="ar"/>
        </w:rPr>
        <w:t>。若该房屋的建筑面积与任何人士、组织或机关测量的建筑面积或其他算法的面积有出入，各方同意不对该房屋的租金价税合计及以该房屋建筑面积为基础进行计算的其他任何费用作调整。</w:t>
      </w:r>
    </w:p>
    <w:p w14:paraId="3E0DEFEA">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“关联企业”：</w:t>
      </w:r>
      <w:r>
        <w:rPr>
          <w:rFonts w:hint="eastAsia" w:ascii="楷体" w:hAnsi="楷体" w:eastAsia="楷体" w:cs="楷体"/>
          <w:b w:val="0"/>
          <w:kern w:val="0"/>
          <w:sz w:val="22"/>
          <w:szCs w:val="22"/>
          <w:lang w:val="en-US" w:eastAsia="zh-CN" w:bidi="ar"/>
        </w:rPr>
        <w:t>指就一家公司而言：</w:t>
      </w:r>
      <w:r>
        <w:rPr>
          <w:rFonts w:hint="eastAsia" w:ascii="楷体" w:hAnsi="楷体" w:eastAsia="楷体" w:cs="楷体"/>
          <w:b/>
          <w:bCs w:val="0"/>
          <w:kern w:val="0"/>
          <w:sz w:val="22"/>
          <w:szCs w:val="22"/>
          <w:lang w:val="en-US" w:eastAsia="zh-CN" w:bidi="ar"/>
        </w:rPr>
        <w:t xml:space="preserve"> </w:t>
      </w:r>
    </w:p>
    <w:p w14:paraId="43729D58">
      <w:pPr>
        <w:pStyle w:val="31"/>
        <w:keepNext w:val="0"/>
        <w:keepLines w:val="0"/>
        <w:widowControl w:val="0"/>
        <w:numPr>
          <w:ilvl w:val="2"/>
          <w:numId w:val="1"/>
        </w:numPr>
        <w:suppressLineNumbers w:val="0"/>
        <w:tabs>
          <w:tab w:val="left" w:pos="900"/>
          <w:tab w:val="left" w:pos="1620"/>
        </w:tabs>
        <w:spacing w:before="0" w:beforeAutospacing="1" w:after="0" w:afterAutospacing="1" w:line="360" w:lineRule="exact"/>
        <w:ind w:left="90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其控股公司；或</w:t>
      </w:r>
    </w:p>
    <w:p w14:paraId="7D36BCBF">
      <w:pPr>
        <w:pStyle w:val="31"/>
        <w:keepNext w:val="0"/>
        <w:keepLines w:val="0"/>
        <w:widowControl w:val="0"/>
        <w:numPr>
          <w:ilvl w:val="2"/>
          <w:numId w:val="1"/>
        </w:numPr>
        <w:suppressLineNumbers w:val="0"/>
        <w:tabs>
          <w:tab w:val="left" w:pos="900"/>
          <w:tab w:val="left" w:pos="1620"/>
        </w:tabs>
        <w:spacing w:before="0" w:beforeAutospacing="1" w:after="0" w:afterAutospacing="1" w:line="360" w:lineRule="exact"/>
        <w:ind w:left="90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其直接或间接控制的公司；或</w:t>
      </w:r>
    </w:p>
    <w:p w14:paraId="46A5D123">
      <w:pPr>
        <w:pStyle w:val="31"/>
        <w:keepNext w:val="0"/>
        <w:keepLines w:val="0"/>
        <w:widowControl w:val="0"/>
        <w:numPr>
          <w:ilvl w:val="2"/>
          <w:numId w:val="1"/>
        </w:numPr>
        <w:suppressLineNumbers w:val="0"/>
        <w:tabs>
          <w:tab w:val="left" w:pos="900"/>
          <w:tab w:val="left" w:pos="1620"/>
        </w:tabs>
        <w:spacing w:before="0" w:beforeAutospacing="1" w:after="0" w:afterAutospacing="1" w:line="360" w:lineRule="exact"/>
        <w:ind w:left="90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 xml:space="preserve">其控股公司直接或间接控制的公司。 </w:t>
      </w:r>
    </w:p>
    <w:p w14:paraId="78822651">
      <w:pPr>
        <w:pStyle w:val="31"/>
        <w:keepNext w:val="0"/>
        <w:keepLines w:val="0"/>
        <w:widowControl w:val="0"/>
        <w:suppressLineNumbers w:val="0"/>
        <w:tabs>
          <w:tab w:val="left" w:pos="180"/>
          <w:tab w:val="left" w:pos="900"/>
        </w:tabs>
        <w:spacing w:before="0" w:beforeAutospacing="1" w:after="0" w:afterAutospacing="1" w:line="360" w:lineRule="exact"/>
        <w:ind w:left="900" w:right="0"/>
        <w:jc w:val="both"/>
        <w:outlineLvl w:val="5"/>
        <w:rPr>
          <w:rFonts w:hint="eastAsia" w:ascii="楷体" w:hAnsi="楷体" w:eastAsia="楷体" w:cs="楷体"/>
          <w:sz w:val="22"/>
          <w:szCs w:val="22"/>
        </w:rPr>
      </w:pPr>
      <w:r>
        <w:rPr>
          <w:rFonts w:hint="eastAsia" w:ascii="楷体" w:hAnsi="楷体" w:eastAsia="楷体" w:cs="楷体"/>
          <w:kern w:val="0"/>
          <w:sz w:val="22"/>
          <w:szCs w:val="22"/>
          <w:lang w:val="en-US" w:eastAsia="zh-CN" w:bidi="ar"/>
        </w:rPr>
        <w:t>在本定义中，如一家公司直接或间接控制另一家公司过半数权益股本，则视为前述公司直接或间接控制了后一家公司。</w:t>
      </w:r>
    </w:p>
    <w:p w14:paraId="2FCC21D3">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“工作日”：</w:t>
      </w:r>
      <w:r>
        <w:rPr>
          <w:rFonts w:hint="eastAsia" w:ascii="楷体" w:hAnsi="楷体" w:eastAsia="楷体" w:cs="楷体"/>
          <w:b w:val="0"/>
          <w:kern w:val="0"/>
          <w:sz w:val="22"/>
          <w:szCs w:val="22"/>
          <w:lang w:val="en-US" w:eastAsia="zh-CN" w:bidi="ar"/>
        </w:rPr>
        <w:t>指每周一至周五，不含国家法定节假日。</w:t>
      </w:r>
      <w:r>
        <w:rPr>
          <w:rFonts w:hint="eastAsia" w:ascii="楷体" w:hAnsi="楷体" w:eastAsia="楷体" w:cs="楷体"/>
          <w:b/>
          <w:bCs w:val="0"/>
          <w:kern w:val="0"/>
          <w:sz w:val="22"/>
          <w:szCs w:val="22"/>
          <w:lang w:val="en-US" w:eastAsia="zh-CN" w:bidi="ar"/>
        </w:rPr>
        <w:t xml:space="preserve"> </w:t>
      </w:r>
    </w:p>
    <w:p w14:paraId="550D4F5D">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“共用部位”：</w:t>
      </w:r>
      <w:r>
        <w:rPr>
          <w:rFonts w:hint="eastAsia" w:ascii="楷体" w:hAnsi="楷体" w:eastAsia="楷体" w:cs="楷体"/>
          <w:b w:val="0"/>
          <w:kern w:val="0"/>
          <w:sz w:val="22"/>
          <w:szCs w:val="22"/>
          <w:lang w:val="en-US" w:eastAsia="zh-CN" w:bidi="ar"/>
        </w:rPr>
        <w:t>指承租方与其他业主或者使用人共同使用的，该大厦的主体承重结构部位（包括基础、内外承重墙体、柱、梁、楼板、屋顶等）、户外墙面、门厅、卫生间、楼梯间、走廊通道、户外地面等。</w:t>
      </w:r>
    </w:p>
    <w:p w14:paraId="3C4D3A58">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“共用设施设备”：</w:t>
      </w:r>
      <w:r>
        <w:rPr>
          <w:rFonts w:hint="eastAsia" w:ascii="楷体" w:hAnsi="楷体" w:eastAsia="楷体" w:cs="楷体"/>
          <w:b w:val="0"/>
          <w:kern w:val="0"/>
          <w:sz w:val="22"/>
          <w:szCs w:val="22"/>
          <w:lang w:val="en-US" w:eastAsia="zh-CN" w:bidi="ar"/>
        </w:rPr>
        <w:t>指承租方与其他业主或者使用人共同使用的，该大厦的空调、上下水管道、落水管、水箱、加压水泵、电梯、天线、供电线路、照明、锅炉、暖气线路、煤气线路、消防设施、绿地、道路、路灯、沟渠、池、井和共用设施设备使用的房屋等。</w:t>
      </w:r>
    </w:p>
    <w:p w14:paraId="46F6D320">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“自用部位”：</w:t>
      </w:r>
      <w:r>
        <w:rPr>
          <w:rFonts w:hint="eastAsia" w:ascii="楷体" w:hAnsi="楷体" w:eastAsia="楷体" w:cs="楷体"/>
          <w:b w:val="0"/>
          <w:kern w:val="0"/>
          <w:sz w:val="22"/>
          <w:szCs w:val="22"/>
          <w:lang w:val="en-US" w:eastAsia="zh-CN" w:bidi="ar"/>
        </w:rPr>
        <w:t>指在该房屋内部，除去共用部位外的，承租方依据本合同可以独占使用的办公室、配电间、楼梯间、卫生间等的部位。</w:t>
      </w:r>
    </w:p>
    <w:p w14:paraId="62B10A0C">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“自用设施设备”：</w:t>
      </w:r>
      <w:r>
        <w:rPr>
          <w:rFonts w:hint="eastAsia" w:ascii="楷体" w:hAnsi="楷体" w:eastAsia="楷体" w:cs="楷体"/>
          <w:b w:val="0"/>
          <w:kern w:val="0"/>
          <w:sz w:val="22"/>
          <w:szCs w:val="22"/>
          <w:lang w:val="en-US" w:eastAsia="zh-CN" w:bidi="ar"/>
        </w:rPr>
        <w:t>指由出租方提供的供承租方独占使用，或者承租方自行添置的管道、空调、电器或其他设施设备等。</w:t>
      </w:r>
    </w:p>
    <w:p w14:paraId="66B01013">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“租赁押金”：</w:t>
      </w:r>
      <w:r>
        <w:rPr>
          <w:rFonts w:hint="eastAsia" w:ascii="楷体" w:hAnsi="楷体" w:eastAsia="楷体" w:cs="楷体"/>
          <w:b w:val="0"/>
          <w:kern w:val="0"/>
          <w:sz w:val="22"/>
          <w:szCs w:val="22"/>
          <w:lang w:val="en-US" w:eastAsia="zh-CN" w:bidi="ar"/>
        </w:rPr>
        <w:t>指承租方依据本合同向出租方支付的租金押金和向物业管理方支付的物业管理费押金的统称，具体金额载明于附表二。租赁押金返还时应为无息返还。</w:t>
      </w:r>
    </w:p>
    <w:p w14:paraId="55C93832">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“公用事业费用”：</w:t>
      </w:r>
      <w:r>
        <w:rPr>
          <w:rFonts w:hint="eastAsia" w:ascii="楷体" w:hAnsi="楷体" w:eastAsia="楷体" w:cs="楷体"/>
          <w:b w:val="0"/>
          <w:kern w:val="0"/>
          <w:sz w:val="22"/>
          <w:szCs w:val="22"/>
          <w:lang w:val="en-US" w:eastAsia="zh-CN" w:bidi="ar"/>
        </w:rPr>
        <w:t>指该房屋内由承租方发生的通讯费用(如有)、水费(如有)、电费、煤气费(如有)的实际金额。</w:t>
      </w:r>
    </w:p>
    <w:p w14:paraId="386F40C0">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“其他费用”：</w:t>
      </w:r>
      <w:r>
        <w:rPr>
          <w:rFonts w:hint="eastAsia" w:ascii="楷体" w:hAnsi="楷体" w:eastAsia="楷体" w:cs="楷体"/>
          <w:b w:val="0"/>
          <w:kern w:val="0"/>
          <w:sz w:val="22"/>
          <w:szCs w:val="22"/>
          <w:lang w:val="en-US" w:eastAsia="zh-CN" w:bidi="ar"/>
        </w:rPr>
        <w:t>指依据本合同及其附件约定，应由承租方支付的除租金价税合计、物业管理费价税合计及公用事业费用以外的其他款项及有关国家、地方规定应由承租方缴纳的费用（包括装修押金及其他根据《用户手册》（附件六）、《租户二次装修管理手册》（附件七）应当支付的费用）。</w:t>
      </w:r>
    </w:p>
    <w:p w14:paraId="16FB1941">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9" w:leftChars="171" w:right="0" w:hanging="720" w:hangingChars="326"/>
        <w:jc w:val="both"/>
        <w:outlineLvl w:val="1"/>
        <w:rPr>
          <w:rFonts w:hint="eastAsia" w:ascii="楷体" w:hAnsi="楷体" w:eastAsia="楷体" w:cs="楷体"/>
          <w:b w:val="0"/>
          <w:sz w:val="22"/>
          <w:szCs w:val="22"/>
        </w:rPr>
      </w:pPr>
      <w:r>
        <w:rPr>
          <w:rFonts w:hint="eastAsia" w:ascii="楷体" w:hAnsi="楷体" w:eastAsia="楷体" w:cs="楷体"/>
          <w:b/>
          <w:bCs w:val="0"/>
          <w:kern w:val="0"/>
          <w:sz w:val="22"/>
          <w:szCs w:val="22"/>
          <w:lang w:val="en-US" w:eastAsia="zh-CN" w:bidi="ar"/>
        </w:rPr>
        <w:t>“不可抗力”：</w:t>
      </w:r>
      <w:r>
        <w:rPr>
          <w:rFonts w:hint="eastAsia" w:ascii="楷体" w:hAnsi="楷体" w:eastAsia="楷体" w:cs="楷体"/>
          <w:b w:val="0"/>
          <w:kern w:val="0"/>
          <w:sz w:val="22"/>
          <w:szCs w:val="22"/>
          <w:lang w:val="en-US" w:eastAsia="zh-CN" w:bidi="ar"/>
        </w:rPr>
        <w:t>指不能预见、不能避免且超出一方控制范围的从而造成任何一方不能履行本合同项下重大义务或行使本合同项下重大权利的事件，包括：</w:t>
      </w:r>
    </w:p>
    <w:p w14:paraId="5BF1D264">
      <w:pPr>
        <w:pStyle w:val="31"/>
        <w:keepNext w:val="0"/>
        <w:keepLines w:val="0"/>
        <w:widowControl/>
        <w:numPr>
          <w:ilvl w:val="2"/>
          <w:numId w:val="1"/>
        </w:numPr>
        <w:suppressLineNumbers w:val="0"/>
        <w:tabs>
          <w:tab w:val="left" w:pos="180"/>
          <w:tab w:val="left" w:pos="900"/>
          <w:tab w:val="left" w:pos="1620"/>
        </w:tabs>
        <w:spacing w:before="0" w:beforeAutospacing="1" w:after="0" w:afterAutospacing="1" w:line="360" w:lineRule="exact"/>
        <w:ind w:left="90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政府行为、战争、入侵、暴乱、叛乱、暴动、起义或恐怖活动；以及</w:t>
      </w:r>
    </w:p>
    <w:p w14:paraId="4A418AEB">
      <w:pPr>
        <w:pStyle w:val="31"/>
        <w:keepNext w:val="0"/>
        <w:keepLines w:val="0"/>
        <w:widowControl/>
        <w:numPr>
          <w:ilvl w:val="2"/>
          <w:numId w:val="1"/>
        </w:numPr>
        <w:suppressLineNumbers w:val="0"/>
        <w:tabs>
          <w:tab w:val="left" w:pos="180"/>
          <w:tab w:val="left" w:pos="900"/>
          <w:tab w:val="left" w:pos="1620"/>
        </w:tabs>
        <w:spacing w:before="0" w:beforeAutospacing="1" w:after="0" w:afterAutospacing="1" w:line="360" w:lineRule="exact"/>
        <w:ind w:left="90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地震、海啸、火灾、闪电、飓风、水灾或该等自然现象造成的其他事件。</w:t>
      </w:r>
    </w:p>
    <w:p w14:paraId="745598A0">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在本合同中，除非出现相反意图：</w:t>
      </w:r>
    </w:p>
    <w:p w14:paraId="4E11E0F0">
      <w:pPr>
        <w:pStyle w:val="31"/>
        <w:keepNext w:val="0"/>
        <w:keepLines w:val="0"/>
        <w:widowControl w:val="0"/>
        <w:numPr>
          <w:ilvl w:val="2"/>
          <w:numId w:val="1"/>
        </w:numPr>
        <w:suppressLineNumbers w:val="0"/>
        <w:tabs>
          <w:tab w:val="left" w:pos="180"/>
          <w:tab w:val="left" w:pos="900"/>
          <w:tab w:val="left" w:pos="1620"/>
        </w:tabs>
        <w:spacing w:before="0" w:beforeAutospacing="1" w:after="0" w:afterAutospacing="1" w:line="360" w:lineRule="exact"/>
        <w:ind w:left="900" w:right="0" w:firstLine="0"/>
        <w:jc w:val="both"/>
        <w:outlineLvl w:val="2"/>
        <w:rPr>
          <w:rFonts w:hint="eastAsia" w:ascii="楷体" w:hAnsi="楷体" w:eastAsia="楷体" w:cs="楷体"/>
          <w:sz w:val="22"/>
          <w:szCs w:val="22"/>
        </w:rPr>
      </w:pPr>
      <w:r>
        <w:rPr>
          <w:rFonts w:hint="eastAsia" w:ascii="楷体" w:hAnsi="楷体" w:eastAsia="楷体" w:cs="楷体"/>
          <w:b/>
          <w:bCs w:val="0"/>
          <w:kern w:val="0"/>
          <w:sz w:val="22"/>
          <w:szCs w:val="22"/>
          <w:lang w:val="en-US" w:eastAsia="zh-CN" w:bidi="ar"/>
        </w:rPr>
        <w:t>“法律”</w:t>
      </w:r>
      <w:r>
        <w:rPr>
          <w:rFonts w:hint="eastAsia" w:ascii="楷体" w:hAnsi="楷体" w:eastAsia="楷体" w:cs="楷体"/>
          <w:kern w:val="0"/>
          <w:sz w:val="22"/>
          <w:szCs w:val="22"/>
          <w:lang w:val="en-US" w:eastAsia="zh-CN" w:bidi="ar"/>
        </w:rPr>
        <w:t>指就任何人士、实体或事项而言，任何中央、省和地方各级政府的任何分支机构所颁布的且对其适用和有约束力的任何法律、条例、行政或部门规章、指令、通知、条约、法令或命令；</w:t>
      </w:r>
    </w:p>
    <w:p w14:paraId="43B56D55">
      <w:pPr>
        <w:pStyle w:val="31"/>
        <w:keepNext w:val="0"/>
        <w:keepLines w:val="0"/>
        <w:widowControl w:val="0"/>
        <w:numPr>
          <w:ilvl w:val="2"/>
          <w:numId w:val="1"/>
        </w:numPr>
        <w:suppressLineNumbers w:val="0"/>
        <w:tabs>
          <w:tab w:val="left" w:pos="180"/>
          <w:tab w:val="left" w:pos="900"/>
          <w:tab w:val="left" w:pos="1620"/>
        </w:tabs>
        <w:spacing w:before="0" w:beforeAutospacing="1" w:after="0" w:afterAutospacing="1" w:line="360" w:lineRule="exact"/>
        <w:ind w:left="900" w:right="0" w:firstLine="0"/>
        <w:jc w:val="both"/>
        <w:outlineLvl w:val="2"/>
        <w:rPr>
          <w:rFonts w:hint="eastAsia" w:ascii="楷体" w:hAnsi="楷体" w:eastAsia="楷体" w:cs="楷体"/>
          <w:sz w:val="22"/>
          <w:szCs w:val="22"/>
        </w:rPr>
      </w:pPr>
      <w:r>
        <w:rPr>
          <w:rFonts w:hint="eastAsia" w:ascii="楷体" w:hAnsi="楷体" w:eastAsia="楷体" w:cs="楷体"/>
          <w:b/>
          <w:bCs w:val="0"/>
          <w:kern w:val="0"/>
          <w:sz w:val="22"/>
          <w:szCs w:val="22"/>
          <w:lang w:val="en-US" w:eastAsia="zh-CN" w:bidi="ar"/>
        </w:rPr>
        <w:t>“包括”</w:t>
      </w:r>
      <w:r>
        <w:rPr>
          <w:rFonts w:hint="eastAsia" w:ascii="楷体" w:hAnsi="楷体" w:eastAsia="楷体" w:cs="楷体"/>
          <w:kern w:val="0"/>
          <w:sz w:val="22"/>
          <w:szCs w:val="22"/>
          <w:lang w:val="en-US" w:eastAsia="zh-CN" w:bidi="ar"/>
        </w:rPr>
        <w:t>指“包括但不限于”；</w:t>
      </w:r>
    </w:p>
    <w:p w14:paraId="14BD3B5E">
      <w:pPr>
        <w:pStyle w:val="31"/>
        <w:keepNext w:val="0"/>
        <w:keepLines w:val="0"/>
        <w:widowControl w:val="0"/>
        <w:numPr>
          <w:ilvl w:val="2"/>
          <w:numId w:val="1"/>
        </w:numPr>
        <w:suppressLineNumbers w:val="0"/>
        <w:tabs>
          <w:tab w:val="left" w:pos="180"/>
          <w:tab w:val="left" w:pos="900"/>
          <w:tab w:val="left" w:pos="1620"/>
        </w:tabs>
        <w:spacing w:before="0" w:beforeAutospacing="1" w:after="0" w:afterAutospacing="1" w:line="360" w:lineRule="exact"/>
        <w:ind w:left="90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凡提及某一法律的一项条款包括引述经修订或重新制订的该条款。</w:t>
      </w:r>
    </w:p>
    <w:p w14:paraId="799C3505">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条款和/或附录的标题仅为参考之用，不影响对本合同的解释。</w:t>
      </w:r>
    </w:p>
    <w:p w14:paraId="5F7C41C4">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三方的法律地位</w:t>
      </w:r>
    </w:p>
    <w:p w14:paraId="469EF36C">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依据出租方提供的营业执照复印件，出租方系一家中国法人，是该房屋的唯一所有权人，拥有依照本合同向承租方出租该房屋的权利、权力和授权。</w:t>
      </w:r>
      <w:r>
        <w:rPr>
          <w:rFonts w:hint="eastAsia" w:ascii="楷体" w:hAnsi="楷体" w:eastAsia="楷体" w:cs="楷体"/>
          <w:b w:val="0"/>
          <w:kern w:val="0"/>
          <w:sz w:val="22"/>
          <w:szCs w:val="22"/>
          <w:lang w:val="en-US" w:eastAsia="zh-CN" w:bidi="ar"/>
        </w:rPr>
        <w:br w:type="textWrapping"/>
      </w:r>
      <w:r>
        <w:rPr>
          <w:rFonts w:hint="eastAsia" w:ascii="楷体" w:hAnsi="楷体" w:eastAsia="楷体" w:cs="楷体"/>
          <w:b w:val="0"/>
          <w:kern w:val="0"/>
          <w:sz w:val="22"/>
          <w:szCs w:val="22"/>
          <w:lang w:val="en-US" w:eastAsia="zh-CN" w:bidi="ar"/>
        </w:rPr>
        <w:t>出租方已向承租方出示该房屋的【房地产权证】（编号：</w:t>
      </w:r>
      <w:r>
        <w:rPr>
          <w:rFonts w:hint="eastAsia" w:ascii="楷体" w:hAnsi="楷体" w:eastAsia="楷体" w:cs="楷体"/>
          <w:b w:val="0"/>
          <w:kern w:val="0"/>
          <w:sz w:val="22"/>
          <w:szCs w:val="22"/>
          <w:u w:val="single"/>
          <w:lang w:val="en-US" w:eastAsia="zh-CN" w:bidi="ar"/>
        </w:rPr>
        <w:t>沪（2020）浦字不动产权第021350号</w:t>
      </w:r>
      <w:r>
        <w:rPr>
          <w:rFonts w:hint="eastAsia" w:ascii="楷体" w:hAnsi="楷体" w:eastAsia="楷体" w:cs="楷体"/>
          <w:b w:val="0"/>
          <w:kern w:val="0"/>
          <w:sz w:val="22"/>
          <w:szCs w:val="22"/>
          <w:lang w:val="en-US" w:eastAsia="zh-CN" w:bidi="ar"/>
        </w:rPr>
        <w:t>）。</w:t>
      </w:r>
      <w:r>
        <w:rPr>
          <w:rFonts w:hint="eastAsia" w:ascii="楷体" w:hAnsi="楷体" w:eastAsia="楷体" w:cs="楷体"/>
          <w:b w:val="0"/>
          <w:kern w:val="0"/>
          <w:sz w:val="22"/>
          <w:szCs w:val="22"/>
          <w:lang w:val="en-US" w:eastAsia="zh-CN" w:bidi="ar"/>
        </w:rPr>
        <w:br w:type="textWrapping"/>
      </w:r>
      <w:r>
        <w:rPr>
          <w:rFonts w:hint="eastAsia" w:ascii="楷体" w:hAnsi="楷体" w:eastAsia="楷体" w:cs="楷体"/>
          <w:b w:val="0"/>
          <w:kern w:val="0"/>
          <w:sz w:val="22"/>
          <w:szCs w:val="22"/>
          <w:lang w:val="en-US" w:eastAsia="zh-CN" w:bidi="ar"/>
        </w:rPr>
        <w:br w:type="textWrapping"/>
      </w:r>
      <w:r>
        <w:rPr>
          <w:rFonts w:hint="eastAsia" w:ascii="楷体" w:hAnsi="楷体" w:eastAsia="楷体" w:cs="楷体"/>
          <w:b w:val="0"/>
          <w:kern w:val="0"/>
          <w:sz w:val="22"/>
          <w:szCs w:val="22"/>
          <w:lang w:val="en-US" w:eastAsia="zh-CN" w:bidi="ar"/>
        </w:rPr>
        <w:t>出租方已告知承租方，该房屋于本合同生效时【未】设定抵押。</w:t>
      </w:r>
    </w:p>
    <w:p w14:paraId="15B5B227">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依据承租方提供的营业执照复印件，承租方系一家中国法人。</w:t>
      </w:r>
    </w:p>
    <w:p w14:paraId="27A32040">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依据物业管理方提供的营业执照复印件，物业管理方系一家中国法人，具有物业管理资质，是该大厦的物业管理单位。</w:t>
      </w:r>
    </w:p>
    <w:p w14:paraId="61F8DA6A">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出租方有权在提前通知承租方情况下更换该大厦的物业管理单位，则此种情况下，自出租方通知上载明的更换日期起，物业管理方即不再作为该大厦的物业管理单位及本合同一方，承租方与新的物业管理单位签署协议，由新的物业管理单位取代物业管理方的地位，享有物业管理方的权利并承担物业管理方的义务。</w:t>
      </w:r>
    </w:p>
    <w:p w14:paraId="42AA8003">
      <w:pPr>
        <w:pStyle w:val="31"/>
        <w:keepNext w:val="0"/>
        <w:keepLines w:val="0"/>
        <w:widowControl/>
        <w:numPr>
          <w:ilvl w:val="0"/>
          <w:numId w:val="1"/>
        </w:numPr>
        <w:suppressLineNumbers w:val="0"/>
        <w:tabs>
          <w:tab w:val="left" w:pos="900"/>
        </w:tabs>
        <w:spacing w:before="0" w:beforeAutospacing="1" w:after="0" w:afterAutospacing="1" w:line="360" w:lineRule="exact"/>
        <w:ind w:left="360" w:right="0" w:hanging="360"/>
        <w:jc w:val="both"/>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房屋的用途</w:t>
      </w:r>
    </w:p>
    <w:p w14:paraId="71283A02">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向出租方承诺，承租该房屋仅作为研发、办公用途，并且不得擅自改变用途。承租方并须遵守中国和上海市有关房屋租赁和物业管理的规定，遵守中国有关部门关于消防、治安等相关规定，遵守中国法律、法规、其他权力机关制订的各类规范性文件，服从物业管理方的物业管理。</w:t>
      </w:r>
    </w:p>
    <w:p w14:paraId="29456BF7">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交房</w:t>
      </w:r>
    </w:p>
    <w:p w14:paraId="7FBB1E64">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bCs/>
          <w:sz w:val="22"/>
          <w:szCs w:val="22"/>
        </w:rPr>
      </w:pPr>
      <w:r>
        <w:rPr>
          <w:rFonts w:hint="eastAsia" w:ascii="楷体" w:hAnsi="楷体" w:eastAsia="楷体" w:cs="楷体"/>
          <w:b w:val="0"/>
          <w:kern w:val="0"/>
          <w:sz w:val="22"/>
          <w:szCs w:val="22"/>
          <w:lang w:val="en-US" w:eastAsia="zh-CN" w:bidi="ar"/>
        </w:rPr>
        <w:t>在承租方已经支付了租赁押金和首笔租金价税合计（载明于附表二）的前提下，出租方应于</w:t>
      </w:r>
      <w:r>
        <w:rPr>
          <w:rFonts w:hint="eastAsia" w:ascii="楷体" w:hAnsi="楷体" w:eastAsia="楷体" w:cs="楷体"/>
          <w:b w:val="0"/>
          <w:caps/>
          <w:kern w:val="28"/>
          <w:sz w:val="22"/>
          <w:szCs w:val="22"/>
          <w:lang w:val="en-US" w:eastAsia="zh-CN" w:bidi="ar"/>
        </w:rPr>
        <w:t>交房日（</w:t>
      </w:r>
      <w:r>
        <w:rPr>
          <w:rFonts w:hint="eastAsia" w:ascii="楷体" w:hAnsi="楷体" w:eastAsia="楷体" w:cs="楷体"/>
          <w:b w:val="0"/>
          <w:kern w:val="0"/>
          <w:sz w:val="22"/>
          <w:szCs w:val="22"/>
          <w:lang w:val="en-US" w:eastAsia="zh-CN" w:bidi="ar"/>
        </w:rPr>
        <w:t>载明于附表一</w:t>
      </w:r>
      <w:r>
        <w:rPr>
          <w:rFonts w:hint="eastAsia" w:ascii="楷体" w:hAnsi="楷体" w:eastAsia="楷体" w:cs="楷体"/>
          <w:b w:val="0"/>
          <w:kern w:val="0"/>
          <w:sz w:val="21"/>
          <w:szCs w:val="21"/>
          <w:lang w:val="en-US" w:eastAsia="zh-CN" w:bidi="ar"/>
        </w:rPr>
        <w:t>），</w:t>
      </w:r>
      <w:r>
        <w:rPr>
          <w:rFonts w:hint="eastAsia" w:ascii="楷体" w:hAnsi="楷体" w:eastAsia="楷体" w:cs="楷体"/>
          <w:b w:val="0"/>
          <w:kern w:val="0"/>
          <w:sz w:val="22"/>
          <w:szCs w:val="22"/>
          <w:lang w:val="en-US" w:eastAsia="zh-CN" w:bidi="ar"/>
        </w:rPr>
        <w:t>将该房屋按符合附件三所列出租方提供标准的基础上以现状交付给承租方。承租方声明其在签署本合同前已现场视察过该房屋，对该房屋及其现有装修及设施状况充分了解。出租方承租方双方同意附件三所列标准及出租方承租方双方交付该房屋时所签署的《交房确认书》（格式如本合同附件二）及该大厦竣工图为本合同终止/提前终止时承租方向出租方返还该房屋之主体结构验收标准</w:t>
      </w:r>
      <w:r>
        <w:rPr>
          <w:rFonts w:hint="eastAsia" w:ascii="楷体" w:hAnsi="楷体" w:eastAsia="楷体" w:cs="楷体"/>
          <w:b/>
          <w:bCs w:val="0"/>
          <w:kern w:val="0"/>
          <w:sz w:val="22"/>
          <w:szCs w:val="22"/>
          <w:lang w:val="en-US" w:eastAsia="zh-CN" w:bidi="ar"/>
        </w:rPr>
        <w:t>。</w:t>
      </w:r>
      <w:r>
        <w:rPr>
          <w:rFonts w:hint="eastAsia" w:ascii="楷体" w:hAnsi="楷体" w:eastAsia="楷体" w:cs="楷体"/>
          <w:b w:val="0"/>
          <w:bCs/>
          <w:kern w:val="0"/>
          <w:sz w:val="22"/>
          <w:szCs w:val="22"/>
          <w:lang w:val="en-US" w:eastAsia="zh-CN" w:bidi="ar"/>
        </w:rPr>
        <w:t>但该标准不作为承租方返还房屋的原则，在合同终止或提前终止时承租方返还房屋以正常使用后的状态现状返还出租方。</w:t>
      </w:r>
    </w:p>
    <w:p w14:paraId="22515B54">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如非因出租方原因，承租方未于交房日办理该房屋的验收、交接手续，则视为自交房日起，出租方已经向承租方交付了房屋。如承租方实际迟延办理验收、交接手续累计超过30日的，出租方有权书面通知解除本合同并没收租赁押金，承租方无需承担其他责任。</w:t>
      </w:r>
    </w:p>
    <w:p w14:paraId="2E76C9C5">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如非因承租方原因，出租方未能在交房日将该房屋交付给承租方，每延迟一日，出租方应支付承租方月租金5%的违约金。超过交房日30日出租方仍未能交房的，出租方承租方双方均可以书面通知解除本合同，出租方和物业管理方应当于本合同解除并收到承租方返还的相应收据起15日内无息返还承租方已支付的租赁押金和首笔租金价税合计（如有），并且同时出租方向承租方赔偿金额相当于租金押金的违约金。</w:t>
      </w:r>
    </w:p>
    <w:p w14:paraId="2697724A">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bCs w:val="0"/>
          <w:sz w:val="22"/>
          <w:szCs w:val="22"/>
        </w:rPr>
      </w:pPr>
      <w:r>
        <w:rPr>
          <w:rFonts w:hint="eastAsia" w:ascii="楷体" w:hAnsi="楷体" w:eastAsia="楷体" w:cs="楷体"/>
          <w:b w:val="0"/>
          <w:bCs/>
          <w:kern w:val="0"/>
          <w:sz w:val="22"/>
          <w:szCs w:val="22"/>
          <w:lang w:val="en-US" w:eastAsia="zh-CN" w:bidi="ar"/>
        </w:rPr>
        <w:t>出租方提供的房屋及附属设施设备不符合合同的标准或存在质量缺陷，承租方有权求出租方根据承租方规定的时间及本合同约定的要求及时维修、更换，并承担由此给承租方造成损失。出租方未按时或按要求维修出租房屋造成承租方及工作人员，其他人员财务毁损或人身伤害的，出租方应承担由此造成的损失。</w:t>
      </w:r>
    </w:p>
    <w:p w14:paraId="282F43AD">
      <w:pPr>
        <w:pStyle w:val="31"/>
        <w:keepNext w:val="0"/>
        <w:keepLines w:val="0"/>
        <w:widowControl w:val="0"/>
        <w:numPr>
          <w:ilvl w:val="0"/>
          <w:numId w:val="1"/>
        </w:numPr>
        <w:suppressLineNumbers w:val="0"/>
        <w:tabs>
          <w:tab w:val="left" w:pos="1080"/>
        </w:tabs>
        <w:spacing w:before="0" w:beforeAutospacing="1" w:after="0" w:afterAutospacing="1" w:line="360" w:lineRule="exact"/>
        <w:ind w:left="360" w:right="0" w:hanging="360"/>
        <w:jc w:val="both"/>
        <w:outlineLvl w:val="1"/>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租赁期限</w:t>
      </w:r>
      <w:r>
        <w:rPr>
          <w:rFonts w:hint="default" w:ascii="楷体" w:hAnsi="楷体" w:eastAsia="楷体" w:cs="楷体"/>
          <w:b/>
          <w:bCs w:val="0"/>
          <w:kern w:val="0"/>
          <w:sz w:val="22"/>
          <w:szCs w:val="22"/>
          <w:lang w:eastAsia="zh-CN" w:bidi="ar"/>
        </w:rPr>
        <w:t>、</w:t>
      </w:r>
      <w:r>
        <w:rPr>
          <w:rFonts w:hint="eastAsia" w:ascii="楷体" w:hAnsi="楷体" w:eastAsia="楷体" w:cs="楷体"/>
          <w:b/>
          <w:bCs w:val="0"/>
          <w:kern w:val="0"/>
          <w:sz w:val="22"/>
          <w:szCs w:val="22"/>
          <w:lang w:val="en-US" w:eastAsia="zh-CN" w:bidi="ar"/>
        </w:rPr>
        <w:t>装修期</w:t>
      </w:r>
      <w:r>
        <w:rPr>
          <w:rFonts w:hint="default" w:ascii="楷体" w:hAnsi="楷体" w:eastAsia="楷体" w:cs="楷体"/>
          <w:b/>
          <w:bCs w:val="0"/>
          <w:kern w:val="0"/>
          <w:sz w:val="22"/>
          <w:szCs w:val="22"/>
          <w:lang w:eastAsia="zh-CN" w:bidi="ar"/>
        </w:rPr>
        <w:t>、</w:t>
      </w:r>
    </w:p>
    <w:p w14:paraId="0CCE500E">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该房屋的租赁期限载明于附表一。</w:t>
      </w:r>
    </w:p>
    <w:p w14:paraId="34D5C0E3">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该房屋的装修期载明于附表一。装修期内，承租方无需支付该房屋的租金价税合计，但需支付物业管理费价税合计，公用事业费用及其他费用。</w:t>
      </w:r>
    </w:p>
    <w:p w14:paraId="02523F8B">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如本合同由于承租方原因提前终止，则在不影响本合同项下出租方其他权利的前提下，视为承租方自始不享有前述装修期，承租方需向出租方补交该等期间的所有租金价税合计。</w:t>
      </w:r>
    </w:p>
    <w:p w14:paraId="5D8664AB">
      <w:pPr>
        <w:pStyle w:val="31"/>
        <w:keepNext w:val="0"/>
        <w:keepLines w:val="0"/>
        <w:widowControl/>
        <w:numPr>
          <w:ilvl w:val="0"/>
          <w:numId w:val="1"/>
        </w:numPr>
        <w:suppressLineNumbers w:val="0"/>
        <w:spacing w:before="0" w:beforeAutospacing="1" w:after="0" w:afterAutospacing="1" w:line="360" w:lineRule="exact"/>
        <w:ind w:left="360" w:right="0" w:hanging="360"/>
        <w:jc w:val="both"/>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租金、租金价税合计、租赁押金、物业管理费、物业管理费价税合计和其他费用</w:t>
      </w:r>
    </w:p>
    <w:p w14:paraId="7F078143">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该房屋的租金价税合计自起租日（载明于附表一）起计取。月租金、每期租金及租金价税合计的具体数额及支付方式载明于附表二。承租方在收到出租方开具相应数额的增值税专用发票，且付款材料经承租方审核齐备后10个工作日内向出租方支付前述租金价税合计。</w:t>
      </w:r>
    </w:p>
    <w:p w14:paraId="5F01E0EB">
      <w:pPr>
        <w:pStyle w:val="31"/>
        <w:keepNext w:val="0"/>
        <w:keepLines w:val="0"/>
        <w:widowControl w:val="0"/>
        <w:suppressLineNumbers w:val="0"/>
        <w:tabs>
          <w:tab w:val="left" w:pos="900"/>
          <w:tab w:val="left" w:pos="1080"/>
        </w:tabs>
        <w:spacing w:before="0" w:beforeAutospacing="1" w:after="0" w:afterAutospacing="1" w:line="360" w:lineRule="exact"/>
        <w:ind w:left="1076"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ab/>
      </w:r>
      <w:r>
        <w:rPr>
          <w:rFonts w:hint="eastAsia" w:ascii="楷体" w:hAnsi="楷体" w:eastAsia="楷体" w:cs="楷体"/>
          <w:b w:val="0"/>
          <w:kern w:val="0"/>
          <w:sz w:val="22"/>
          <w:szCs w:val="22"/>
          <w:lang w:val="en-US" w:eastAsia="zh-CN" w:bidi="ar"/>
        </w:rPr>
        <w:tab/>
      </w:r>
      <w:r>
        <w:rPr>
          <w:rFonts w:hint="eastAsia" w:ascii="楷体" w:hAnsi="楷体" w:eastAsia="楷体" w:cs="楷体"/>
          <w:b w:val="0"/>
          <w:kern w:val="0"/>
          <w:sz w:val="22"/>
          <w:szCs w:val="22"/>
          <w:lang w:val="en-US" w:eastAsia="zh-CN" w:bidi="ar"/>
        </w:rPr>
        <w:t>月租金价税合计按下述公式计算得出：月租金价税合计=（日租金单价价税合计×365×该房屋建筑面积）÷12。</w:t>
      </w:r>
    </w:p>
    <w:p w14:paraId="16E1A722">
      <w:pPr>
        <w:pStyle w:val="31"/>
        <w:keepNext w:val="0"/>
        <w:keepLines w:val="0"/>
        <w:widowControl w:val="0"/>
        <w:suppressLineNumbers w:val="0"/>
        <w:tabs>
          <w:tab w:val="left" w:pos="900"/>
          <w:tab w:val="left" w:pos="1080"/>
        </w:tabs>
        <w:spacing w:before="0" w:beforeAutospacing="1" w:after="0" w:afterAutospacing="1" w:line="360" w:lineRule="exact"/>
        <w:ind w:left="1076" w:right="0" w:hanging="720"/>
        <w:jc w:val="both"/>
        <w:outlineLvl w:val="1"/>
        <w:rPr>
          <w:rFonts w:hint="eastAsia" w:ascii="楷体" w:hAnsi="楷体" w:eastAsia="楷体" w:cs="楷体"/>
          <w:b/>
          <w:bCs w:val="0"/>
          <w:sz w:val="22"/>
          <w:szCs w:val="22"/>
        </w:rPr>
      </w:pPr>
      <w:r>
        <w:rPr>
          <w:rFonts w:hint="eastAsia" w:ascii="楷体" w:hAnsi="楷体" w:eastAsia="楷体" w:cs="楷体"/>
          <w:b w:val="0"/>
          <w:kern w:val="0"/>
          <w:sz w:val="22"/>
          <w:szCs w:val="22"/>
          <w:lang w:val="en-US" w:eastAsia="zh-CN" w:bidi="ar"/>
        </w:rPr>
        <w:t xml:space="preserve">      如依据本合同，承租方应支付的租金价税合计不足1个月的，则支付的租金价税合计金额应为该历月租赁期所占天数与该历月总天数之比率乘以月租金价税合计以后的金额。</w:t>
      </w:r>
    </w:p>
    <w:p w14:paraId="7657DD8B">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承租方应在本合同生效后，但至迟不晚于起租日前1日，须向出租方支付首笔租金价税合计，具体金额见附表二。</w:t>
      </w:r>
    </w:p>
    <w:p w14:paraId="6EE3A2E6">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 xml:space="preserve">关于该房屋的物业管理费约定如下： </w:t>
      </w:r>
    </w:p>
    <w:p w14:paraId="74D670E9">
      <w:pPr>
        <w:pStyle w:val="31"/>
        <w:keepNext w:val="0"/>
        <w:keepLines w:val="0"/>
        <w:widowControl w:val="0"/>
        <w:numPr>
          <w:ilvl w:val="2"/>
          <w:numId w:val="1"/>
        </w:numPr>
        <w:suppressLineNumbers w:val="0"/>
        <w:tabs>
          <w:tab w:val="left" w:pos="1620"/>
        </w:tabs>
        <w:spacing w:before="0" w:beforeAutospacing="1" w:after="0" w:afterAutospacing="1" w:line="360" w:lineRule="exact"/>
        <w:ind w:left="126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物业管理费单价价税合计和月物业管理费价税合计和每期物业管理费价税合计的具体数额及支付方式载明于附表二。</w:t>
      </w:r>
      <w:r>
        <w:rPr>
          <w:rFonts w:hint="eastAsia" w:ascii="楷体" w:hAnsi="楷体" w:eastAsia="楷体" w:cs="楷体"/>
          <w:b w:val="0"/>
          <w:kern w:val="0"/>
          <w:sz w:val="22"/>
          <w:szCs w:val="22"/>
          <w:lang w:val="en-US" w:eastAsia="zh-CN" w:bidi="ar"/>
        </w:rPr>
        <w:t>承租方在收到物业管理方开具相应数额的增值税专用发票，且付款材料经承租方审核齐备后10个工作日内向物业管理方支付</w:t>
      </w:r>
      <w:r>
        <w:rPr>
          <w:rFonts w:hint="eastAsia" w:ascii="楷体" w:hAnsi="楷体" w:eastAsia="楷体" w:cs="楷体"/>
          <w:kern w:val="0"/>
          <w:sz w:val="22"/>
          <w:szCs w:val="22"/>
          <w:lang w:val="en-US" w:eastAsia="zh-CN" w:bidi="ar"/>
        </w:rPr>
        <w:t>前述物业管理费价税合计。</w:t>
      </w:r>
    </w:p>
    <w:p w14:paraId="5715ECB3">
      <w:pPr>
        <w:pStyle w:val="31"/>
        <w:keepNext w:val="0"/>
        <w:keepLines w:val="0"/>
        <w:widowControl w:val="0"/>
        <w:numPr>
          <w:ilvl w:val="2"/>
          <w:numId w:val="1"/>
        </w:numPr>
        <w:suppressLineNumbers w:val="0"/>
        <w:tabs>
          <w:tab w:val="left" w:pos="1620"/>
        </w:tabs>
        <w:spacing w:before="0" w:beforeAutospacing="1" w:after="0" w:afterAutospacing="1" w:line="360" w:lineRule="exact"/>
        <w:ind w:left="126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如因政府有关部门或者公共事业单位调整物业管理相关费用或其他相关原因，导致物业管理成本增加的，则出租方和/或物业管理方有权对物业管理费单价价税合计作出合理调整，但应事先通知承租方。</w:t>
      </w:r>
    </w:p>
    <w:p w14:paraId="095945C9">
      <w:pPr>
        <w:pStyle w:val="31"/>
        <w:keepNext w:val="0"/>
        <w:keepLines w:val="0"/>
        <w:widowControl w:val="0"/>
        <w:numPr>
          <w:ilvl w:val="2"/>
          <w:numId w:val="1"/>
        </w:numPr>
        <w:suppressLineNumbers w:val="0"/>
        <w:tabs>
          <w:tab w:val="left" w:pos="900"/>
          <w:tab w:val="left" w:pos="1620"/>
        </w:tabs>
        <w:spacing w:before="0" w:beforeAutospacing="1" w:after="0" w:afterAutospacing="1" w:line="360" w:lineRule="exact"/>
        <w:ind w:left="1260" w:right="0" w:firstLine="0"/>
        <w:jc w:val="both"/>
        <w:outlineLvl w:val="2"/>
        <w:rPr>
          <w:rFonts w:hint="eastAsia" w:ascii="楷体" w:hAnsi="楷体" w:eastAsia="楷体" w:cs="楷体"/>
          <w:sz w:val="22"/>
          <w:szCs w:val="22"/>
        </w:rPr>
      </w:pPr>
      <w:r>
        <w:rPr>
          <w:rFonts w:hint="eastAsia" w:ascii="楷体" w:hAnsi="楷体" w:eastAsia="楷体" w:cs="楷体"/>
          <w:bCs/>
          <w:iCs/>
          <w:kern w:val="0"/>
          <w:sz w:val="22"/>
          <w:szCs w:val="22"/>
          <w:lang w:val="en-US" w:eastAsia="zh-CN" w:bidi="ar"/>
        </w:rPr>
        <w:t>月物业管理费</w:t>
      </w:r>
      <w:r>
        <w:rPr>
          <w:rFonts w:hint="eastAsia" w:ascii="楷体" w:hAnsi="楷体" w:eastAsia="楷体" w:cs="楷体"/>
          <w:kern w:val="0"/>
          <w:sz w:val="22"/>
          <w:szCs w:val="22"/>
          <w:lang w:val="en-US" w:eastAsia="zh-CN" w:bidi="ar"/>
        </w:rPr>
        <w:t>价税合计</w:t>
      </w:r>
      <w:r>
        <w:rPr>
          <w:rFonts w:hint="eastAsia" w:ascii="楷体" w:hAnsi="楷体" w:eastAsia="楷体" w:cs="楷体"/>
          <w:bCs/>
          <w:iCs/>
          <w:kern w:val="0"/>
          <w:sz w:val="22"/>
          <w:szCs w:val="22"/>
          <w:lang w:val="en-US" w:eastAsia="zh-CN" w:bidi="ar"/>
        </w:rPr>
        <w:t>应按下述公式计算：</w:t>
      </w:r>
    </w:p>
    <w:p w14:paraId="720984E0">
      <w:pPr>
        <w:pStyle w:val="31"/>
        <w:keepNext w:val="0"/>
        <w:keepLines w:val="0"/>
        <w:widowControl w:val="0"/>
        <w:suppressLineNumbers w:val="0"/>
        <w:tabs>
          <w:tab w:val="left" w:pos="900"/>
          <w:tab w:val="left" w:pos="1620"/>
        </w:tabs>
        <w:spacing w:before="0" w:beforeAutospacing="1" w:after="0" w:afterAutospacing="1" w:line="360" w:lineRule="exact"/>
        <w:ind w:left="1260" w:right="0" w:hanging="72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月物业管理费价税合计=物业管理费单价价税合计×该房屋建筑面积。</w:t>
      </w:r>
    </w:p>
    <w:p w14:paraId="326C0175">
      <w:pPr>
        <w:pStyle w:val="31"/>
        <w:keepNext w:val="0"/>
        <w:keepLines w:val="0"/>
        <w:widowControl w:val="0"/>
        <w:suppressLineNumbers w:val="0"/>
        <w:tabs>
          <w:tab w:val="left" w:pos="900"/>
          <w:tab w:val="left" w:pos="1620"/>
        </w:tabs>
        <w:spacing w:before="0" w:beforeAutospacing="1" w:after="0" w:afterAutospacing="1" w:line="360" w:lineRule="exact"/>
        <w:ind w:left="1260" w:right="0" w:hanging="72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如依据本合同，承租方应支付的物业管理费价税合计不足1个月的，则支付的物业管理费价税合计金额应为该历月租赁期所占天数与该历月总天数之比率乘以每月的物业管理费价税合计以后的金额。</w:t>
      </w:r>
    </w:p>
    <w:p w14:paraId="6C2803DC">
      <w:pPr>
        <w:pStyle w:val="31"/>
        <w:keepNext w:val="0"/>
        <w:keepLines w:val="0"/>
        <w:widowControl w:val="0"/>
        <w:numPr>
          <w:ilvl w:val="2"/>
          <w:numId w:val="1"/>
        </w:numPr>
        <w:suppressLineNumbers w:val="0"/>
        <w:tabs>
          <w:tab w:val="left" w:pos="900"/>
          <w:tab w:val="left" w:pos="1620"/>
        </w:tabs>
        <w:spacing w:before="0" w:beforeAutospacing="1" w:after="0" w:afterAutospacing="1" w:line="360" w:lineRule="exact"/>
        <w:ind w:left="1260" w:right="0" w:firstLine="0"/>
        <w:jc w:val="both"/>
        <w:outlineLvl w:val="2"/>
        <w:rPr>
          <w:rFonts w:hint="eastAsia" w:ascii="楷体" w:hAnsi="楷体" w:eastAsia="楷体" w:cs="楷体"/>
          <w:bCs/>
          <w:iCs/>
          <w:sz w:val="22"/>
          <w:szCs w:val="22"/>
        </w:rPr>
      </w:pPr>
      <w:r>
        <w:rPr>
          <w:rFonts w:hint="eastAsia" w:ascii="楷体" w:hAnsi="楷体" w:eastAsia="楷体" w:cs="楷体"/>
          <w:bCs/>
          <w:iCs/>
          <w:kern w:val="0"/>
          <w:sz w:val="22"/>
          <w:szCs w:val="22"/>
          <w:lang w:val="en-US" w:eastAsia="zh-CN" w:bidi="ar"/>
        </w:rPr>
        <w:t>承租方应承担自该房屋实际交付日起至按本合同约定实际返还该房屋日为止期间的物业管理费</w:t>
      </w:r>
      <w:r>
        <w:rPr>
          <w:rFonts w:hint="eastAsia" w:ascii="楷体" w:hAnsi="楷体" w:eastAsia="楷体" w:cs="楷体"/>
          <w:kern w:val="0"/>
          <w:sz w:val="22"/>
          <w:szCs w:val="22"/>
          <w:lang w:val="en-US" w:eastAsia="zh-CN" w:bidi="ar"/>
        </w:rPr>
        <w:t>价税合计</w:t>
      </w:r>
      <w:r>
        <w:rPr>
          <w:rFonts w:hint="eastAsia" w:ascii="楷体" w:hAnsi="楷体" w:eastAsia="楷体" w:cs="楷体"/>
          <w:bCs/>
          <w:iCs/>
          <w:kern w:val="0"/>
          <w:sz w:val="22"/>
          <w:szCs w:val="22"/>
          <w:lang w:val="en-US" w:eastAsia="zh-CN" w:bidi="ar"/>
        </w:rPr>
        <w:t>。</w:t>
      </w:r>
    </w:p>
    <w:p w14:paraId="67F28B4A">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承租方应在本合同生效后，但至迟不晚于交房日前1日，向物业管理方支付首笔物业管理费价税合计，具体金额见附表二。</w:t>
      </w:r>
    </w:p>
    <w:p w14:paraId="40D0DFB5">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承租方应按照物业管理方另行提供的《用户手册》、《租户二次装修管理手册》的规定，另行支付公用事业费用和其他费用。其中公用事业费用应当在收到物业管理方发出的付款通知单后5个工作日内支付。</w:t>
      </w:r>
    </w:p>
    <w:p w14:paraId="4E0F981E">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该房屋的租金押金为相当于3个月的租金价税合计的金额，该房屋的物业管理费押金为相当于3个月的物业管理费价税合计的金额。出租方及物业管理方收到上述押金后应在10个工作日内向承租方开具相应数额的收据。</w:t>
      </w:r>
    </w:p>
    <w:p w14:paraId="3B3B8119">
      <w:pPr>
        <w:pStyle w:val="31"/>
        <w:keepNext w:val="0"/>
        <w:keepLines w:val="0"/>
        <w:widowControl/>
        <w:suppressLineNumbers w:val="0"/>
        <w:tabs>
          <w:tab w:val="left" w:pos="1080"/>
          <w:tab w:val="left" w:pos="1620"/>
        </w:tabs>
        <w:spacing w:before="0" w:beforeAutospacing="1" w:after="0" w:afterAutospacing="1" w:line="360" w:lineRule="exact"/>
        <w:ind w:left="1076" w:right="0" w:hanging="16"/>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 xml:space="preserve">承租方应在支付首笔租金价税合计的同时，向指定的出租方账户汇付全额租金押金。承租方应在支付首笔物业管理费价税合计的同时，向指定的物业管理方账户汇付全额的物业管理费押金。 </w:t>
      </w:r>
    </w:p>
    <w:p w14:paraId="26A1DC02">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出租方及物业管理方有权从租赁押金中扣除依照本合同承租方应付而未付的款项及按本合同应付未付的赔偿金、违约金和其他费用，如发生扣除的，出租方和/或物业管理方应及时通知承租方，承租方应当在接到通知后的15个工作日内补足租赁押金，补足后的租赁押金同样适用本合同有关租赁押金的规定。于本合同终止或提前终止后，承租方按本合同规定将该房屋返还予出租方、注销或变更以该房屋为注册地址的任何证照、结清本合同项下的所有款项且出租方及物业管理方在收到承租方返还的相应收据后的30日内，应分别把租金押金和物业管理费押金退还给承租方。</w:t>
      </w:r>
    </w:p>
    <w:p w14:paraId="4AD7AB95">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承租方不得以任何理由拒绝支付其必须向出租方和/或物业管理方支付的租金价税合计、物业管理费价税合计、租赁押金（包括应当补足的租赁押金）、公用事业费用及其他费用。</w:t>
      </w:r>
    </w:p>
    <w:p w14:paraId="0E978F63">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除非出租方、物业管理方另行事先书面通知，承租方需将本合同对出租方、物业管理方的所有应付款项分别付至出租方及物业管理方载明于附表三的指定账户。</w:t>
      </w:r>
    </w:p>
    <w:p w14:paraId="16C521B4">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依据本合同，一方应当向另一方支付的任何款项，均应以人民币形式支付。</w:t>
      </w:r>
    </w:p>
    <w:p w14:paraId="6F18BBF6">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倘承租方无正当理由拖欠支付本合同规定的租金价税合计、应当补足的租赁押金、物业管理费价税合计、应由出租方和/或物业管理方收取的公用事业费用及其他费用等各项费用，出租方和/或物业管理方有权要求承租方按照应付未付的金额支付日息1‰的逾期付款违约金。逾期付款违约金的计算期自上述各项费用应付之日起5个工作日后开始计算，直至承租方付清所有费用为止。</w:t>
      </w:r>
    </w:p>
    <w:p w14:paraId="77F77185">
      <w:pPr>
        <w:pStyle w:val="31"/>
        <w:keepNext w:val="0"/>
        <w:keepLines w:val="0"/>
        <w:widowControl/>
        <w:numPr>
          <w:ilvl w:val="1"/>
          <w:numId w:val="1"/>
        </w:numPr>
        <w:suppressLineNumbers w:val="0"/>
        <w:spacing w:before="0" w:beforeAutospacing="1" w:after="0" w:afterAutospacing="1" w:line="360" w:lineRule="exact"/>
        <w:ind w:left="1080" w:right="0" w:hanging="72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如承租方</w:t>
      </w:r>
      <w:r>
        <w:rPr>
          <w:rFonts w:hint="eastAsia" w:ascii="楷体" w:hAnsi="楷体" w:eastAsia="楷体" w:cs="楷体"/>
          <w:b w:val="0"/>
          <w:kern w:val="0"/>
          <w:sz w:val="22"/>
          <w:szCs w:val="22"/>
          <w:lang w:val="en-US" w:eastAsia="zh-CN" w:bidi="ar"/>
        </w:rPr>
        <w:t>无正当理由</w:t>
      </w:r>
      <w:r>
        <w:rPr>
          <w:rFonts w:hint="eastAsia" w:ascii="楷体" w:hAnsi="楷体" w:eastAsia="楷体" w:cs="楷体"/>
          <w:kern w:val="0"/>
          <w:sz w:val="22"/>
          <w:szCs w:val="22"/>
          <w:lang w:val="en-US" w:eastAsia="zh-CN" w:bidi="ar"/>
        </w:rPr>
        <w:t>违反本合同项下任何付款责任，出租方和/或物业管理方有权中止履行本合同项下任何属于出租方和/或物业管理方应履行的责任和义务，包括切断该房屋水、电供应或中止物业管理服务或者采取合法的其他措施、行动，直到承租方前述违反得到改正，且因此而产生的一切后果及所有因此而引起的费用（包括重新接驳水电供应的费用）均由承租方负责。承租方</w:t>
      </w:r>
      <w:r>
        <w:rPr>
          <w:rFonts w:hint="eastAsia" w:ascii="楷体" w:hAnsi="楷体" w:eastAsia="楷体" w:cs="楷体"/>
          <w:bCs/>
          <w:kern w:val="0"/>
          <w:sz w:val="22"/>
          <w:szCs w:val="22"/>
          <w:lang w:val="en-US" w:eastAsia="zh-CN" w:bidi="ar"/>
        </w:rPr>
        <w:t>仍应按本合同约定标准支付</w:t>
      </w:r>
      <w:r>
        <w:rPr>
          <w:rFonts w:hint="eastAsia" w:ascii="楷体" w:hAnsi="楷体" w:eastAsia="楷体" w:cs="楷体"/>
          <w:kern w:val="0"/>
          <w:sz w:val="22"/>
          <w:szCs w:val="22"/>
          <w:lang w:val="en-US" w:eastAsia="zh-CN" w:bidi="ar"/>
        </w:rPr>
        <w:t>该等措施持续期间内的租金价税合计、物业管理费价税合计等应付款项，不得以该等措施影响承租方使用为由要求减免</w:t>
      </w:r>
      <w:r>
        <w:rPr>
          <w:rFonts w:hint="eastAsia" w:ascii="楷体" w:hAnsi="楷体" w:eastAsia="楷体" w:cs="楷体"/>
          <w:b/>
          <w:bCs w:val="0"/>
          <w:kern w:val="0"/>
          <w:sz w:val="22"/>
          <w:szCs w:val="22"/>
          <w:lang w:val="en-US" w:eastAsia="zh-CN" w:bidi="ar"/>
        </w:rPr>
        <w:t>。</w:t>
      </w:r>
    </w:p>
    <w:p w14:paraId="2329D68E">
      <w:pPr>
        <w:pStyle w:val="31"/>
        <w:keepNext w:val="0"/>
        <w:keepLines w:val="0"/>
        <w:widowControl/>
        <w:numPr>
          <w:ilvl w:val="1"/>
          <w:numId w:val="1"/>
        </w:numPr>
        <w:suppressLineNumbers w:val="0"/>
        <w:spacing w:before="0" w:beforeAutospacing="1" w:after="0" w:afterAutospacing="1" w:line="360" w:lineRule="exact"/>
        <w:ind w:left="1080" w:right="0" w:hanging="72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承租方享有的租金折扣载明于附表二，如本合同由于承租方原因提前终止，则在不影响本合同项下出租方其他权利的前提下，视为承租方自始不享有前述租金折扣，承租方需在接到出租方通知后5日内向出租方补交前述租金折扣。</w:t>
      </w:r>
    </w:p>
    <w:p w14:paraId="021D0F3C">
      <w:pPr>
        <w:pStyle w:val="31"/>
        <w:keepNext w:val="0"/>
        <w:keepLines w:val="0"/>
        <w:widowControl w:val="0"/>
        <w:numPr>
          <w:ilvl w:val="0"/>
          <w:numId w:val="1"/>
        </w:numPr>
        <w:suppressLineNumbers w:val="0"/>
        <w:tabs>
          <w:tab w:val="left" w:pos="720"/>
          <w:tab w:val="left" w:pos="90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装修</w:t>
      </w:r>
    </w:p>
    <w:p w14:paraId="1AD5303A">
      <w:pPr>
        <w:pStyle w:val="31"/>
        <w:keepNext w:val="0"/>
        <w:keepLines w:val="0"/>
        <w:widowControl/>
        <w:numPr>
          <w:ilvl w:val="1"/>
          <w:numId w:val="1"/>
        </w:numPr>
        <w:suppressLineNumbers w:val="0"/>
        <w:tabs>
          <w:tab w:val="left" w:pos="737"/>
          <w:tab w:val="left" w:pos="1080"/>
        </w:tabs>
        <w:spacing w:before="0" w:beforeAutospacing="1" w:after="0" w:afterAutospacing="1" w:line="360" w:lineRule="exact"/>
        <w:ind w:left="1080" w:right="0" w:hanging="72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合同期内，如承租方对该房屋进行任何装修或改造工程，必须事先获得出租方和/或物业管理方对其有关设计图纸的书面同意，并征得所有必要的政府有关部门的书面同意或批准后方可实施。因向政府部门的报批而引起的一切费用均由承租方承担。出租方和/或物业管理方对承租方所提供设计图纸的同意不视为出租方和/或物业管理方对承租方之装修工程承担任何责任。</w:t>
      </w:r>
    </w:p>
    <w:p w14:paraId="21669493">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如承租方进行任何施工作业，应保证文明管理，安全施工，服从物业管理方管理，并应要求承租方聘请的承建商为其雇用的外来施工人员购买城镇职工社会保险。承租方保证该等装修工程不得影响该大厦内其他业主或使用人的正常办公及房屋使用。</w:t>
      </w:r>
    </w:p>
    <w:p w14:paraId="0719D57A">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倘对该房屋消防系统、空调系统或可能影响该大厦主机电系统的工程进行任何修改/重做，必须聘用出租方指定或事先同意的承建商，并承担由此而引起的一切费用。除前述工程外，经向物业管理方事先备案，承租方可以自费聘用有资质的承建商负责进行其他装修/改造工程。承租方所聘请的承建商其资质应当符合《租户二次装修管理手册》及物业管理方制订或修改的有关装修规定且承租方应责成其聘请的承建商遵守《租户二次装修管理手册》及物业管理方制订或修改的有关装修规定。</w:t>
      </w:r>
    </w:p>
    <w:p w14:paraId="00603B9E">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出租方和/或物业管理方有权对承租方的装修/改造工程进行检查，如发现承租方实施的工程与其事先提交出租方和/或物业管理方审核方案不一致，或者该工程事先未取得出租方和/或物业管理方同意，或者未取得必要的政府部门书面批准的，出租方和/或物业管理方有权要求承租方重做、停工、恢复原状或者代为重做、恢复原状，产生的相关费用由承租方承担。此外，承租方应赔偿出租方和/或物业管理方由于承租方违反本合同规定而承担的罚款或任何其他损失（如有）。</w:t>
      </w:r>
    </w:p>
    <w:p w14:paraId="20B60D31">
      <w:pPr>
        <w:pStyle w:val="31"/>
        <w:keepNext w:val="0"/>
        <w:keepLines w:val="0"/>
        <w:widowControl w:val="0"/>
        <w:suppressLineNumbers w:val="0"/>
        <w:tabs>
          <w:tab w:val="left" w:pos="737"/>
          <w:tab w:val="left" w:pos="1080"/>
        </w:tabs>
        <w:spacing w:before="0" w:beforeAutospacing="1" w:after="156" w:afterLines="50" w:afterAutospacing="0" w:line="360" w:lineRule="exact"/>
        <w:ind w:left="1083" w:right="0" w:firstLine="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装修/改造工程完工后需经过出租方和/或物业管理方验收合格，否则出租方和/或物业管理方有权采取相应措施限制承租方对该房屋的使用，包括切断该房屋水、电供应或中止物业管理服务或者采取合法的其他措施、行动，直到承租方前述违反得到改正。承租方</w:t>
      </w:r>
      <w:r>
        <w:rPr>
          <w:rFonts w:hint="eastAsia" w:ascii="楷体" w:hAnsi="楷体" w:eastAsia="楷体" w:cs="楷体"/>
          <w:b w:val="0"/>
          <w:bCs/>
          <w:kern w:val="0"/>
          <w:sz w:val="22"/>
          <w:szCs w:val="22"/>
          <w:lang w:val="en-US" w:eastAsia="zh-CN" w:bidi="ar"/>
        </w:rPr>
        <w:t>仍应按本合同约定标准支付</w:t>
      </w:r>
      <w:r>
        <w:rPr>
          <w:rFonts w:hint="eastAsia" w:ascii="楷体" w:hAnsi="楷体" w:eastAsia="楷体" w:cs="楷体"/>
          <w:b w:val="0"/>
          <w:kern w:val="0"/>
          <w:sz w:val="22"/>
          <w:szCs w:val="22"/>
          <w:lang w:val="en-US" w:eastAsia="zh-CN" w:bidi="ar"/>
        </w:rPr>
        <w:t>该等措施持续期间对应的租金价税合计、物业管理费价税合计等应付款项，不得以该等措施影响承租方使用为由要求减免。</w:t>
      </w:r>
    </w:p>
    <w:p w14:paraId="15CE7761">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自交房日起，政府任何主管部门对承租方实施的装修/改造工程提出整改要求，承租方必须按照要求修改其装修/改造工程。如因此导致相邻单元的业主或使用人受影响，承租方应负责修复损坏并承担由此引起的一切费用，包括对相邻单元的业主或使用人的补偿。同时，出租方和/或物业管理方并不因此承担任何责任，如因此而使出租方和/或物业管理方权益遭受损害，承租方应赔偿出租方和/或物业管理方损失。</w:t>
      </w:r>
    </w:p>
    <w:p w14:paraId="33F51581">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自交房日起，政府任何主管部门对该房屋相邻单元的装修/改造工程提出整改要求，承租方应根据出租方和/或物业管理方的要求提供必要的协助及配合。如届时承租方因此遭受非承租方自身引起的损失，出租方、物业管理方应协助承租方与相邻单元的业主或使用人进行协商，要求相邻单元的业主或使用人对承租方承担责任及赔偿损失。</w:t>
      </w:r>
    </w:p>
    <w:p w14:paraId="6DD4505F">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除出租方提供的定制装修工程外，承租方对房屋进行装修的，在开始装修/改造工程前，承租方应保证该等工程已足额购买建筑工程一切险以及第三者责任险。承租方在向出租方和/或物业管理方出示该等保险的保险单以及保险公司发出的表明该等保险单已经全额缴足及在各方面均有效的证明后</w:t>
      </w:r>
      <w:r>
        <w:rPr>
          <w:rFonts w:hint="eastAsia" w:ascii="楷体" w:hAnsi="楷体" w:eastAsia="楷体" w:cs="楷体"/>
          <w:b/>
          <w:bCs w:val="0"/>
          <w:kern w:val="0"/>
          <w:sz w:val="22"/>
          <w:szCs w:val="22"/>
          <w:lang w:val="en-US" w:eastAsia="zh-CN" w:bidi="ar"/>
        </w:rPr>
        <w:t>，</w:t>
      </w:r>
      <w:r>
        <w:rPr>
          <w:rFonts w:hint="eastAsia" w:ascii="楷体" w:hAnsi="楷体" w:eastAsia="楷体" w:cs="楷体"/>
          <w:b w:val="0"/>
          <w:kern w:val="0"/>
          <w:sz w:val="22"/>
          <w:szCs w:val="22"/>
          <w:lang w:val="en-US" w:eastAsia="zh-CN" w:bidi="ar"/>
        </w:rPr>
        <w:t>方可开始施工。上述保险还须符合以下要求：</w:t>
      </w:r>
    </w:p>
    <w:p w14:paraId="0D2D14B3">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采用国内通用的建筑工程一切险及第三者责任险保单；</w:t>
      </w:r>
    </w:p>
    <w:p w14:paraId="2977E9BC">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以出租方、承租方和承建商为受益人；</w:t>
      </w:r>
    </w:p>
    <w:p w14:paraId="4D9D6B9D">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保险期限和工程装修期限一致；</w:t>
      </w:r>
    </w:p>
    <w:p w14:paraId="51112253">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如因承租方原因，发生涉及出租方损失的保险事故，承租方从保险公司获得的赔款应当首先用于赔偿出租方的损失；如承租方从保险公司获得的赔款不足以赔偿出租方的损失，则差额部分由承租方承担。</w:t>
      </w:r>
    </w:p>
    <w:p w14:paraId="4C10B292">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维护和修理</w:t>
      </w:r>
    </w:p>
    <w:p w14:paraId="1BB7869D">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共用部位及未经承租方改动的共用设施设备的自然损坏和维修，由出租方负责，费用由出租方承担，如发生人为毁损．由责任方负责修复或赔偿相应的经济损失。</w:t>
      </w:r>
    </w:p>
    <w:p w14:paraId="259B1482">
      <w:pPr>
        <w:pStyle w:val="31"/>
        <w:keepNext w:val="0"/>
        <w:keepLines w:val="0"/>
        <w:widowControl w:val="0"/>
        <w:suppressLineNumbers w:val="0"/>
        <w:tabs>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承租方应允许出租方和/或物业管理方在事先通知后进入该房屋进行必要的维护，并提供必要的协助。</w:t>
      </w:r>
    </w:p>
    <w:p w14:paraId="558CD4AE">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除本合同及其附件另有约定外，承租方应自费维护自用部位且自费维护和修理自用设施设备以及经承租方改动或新添的共用设施设备，如上述部位或设施设备的缺陷或者损坏导致或者可能导致出租方、该大厦或者该大厦其他业主或使用人损失，承租方应当立即修理（承租方不维修的，出租方和/或物业管理方可以代为维修，因此发生的费用由承租方承担），并赔偿对出租方、该大厦或者该大厦其他业主或使用人造成的损失。</w:t>
      </w:r>
    </w:p>
    <w:p w14:paraId="4EC8DED9">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遇到紧急事态（如火灾、水灾、抢劫、人员伤亡等）时，出租方和/或物业管理方可在事先无通知的情况下进入该房屋，但事后出租方和/或物业管理方需及时将情况向承租方予以书面说明。</w:t>
      </w:r>
    </w:p>
    <w:p w14:paraId="68E88F5F">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出租方和/或物业管理方有权因紧急情况或出于该大厦公共使用及大厦安全之目的，无需征得承租方的同意，变更、修缮或临时封闭该大厦共用部位或共用设施设备，同时亦有权更换大厦共用部位整体结构、布局及安排。</w:t>
      </w:r>
    </w:p>
    <w:p w14:paraId="6AA78090">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出租方有权在不影响承租方正常营业的前提下，在该大厦任何部分安装或固定出租方认为适合的机器、设备、标记、广告架及其他设施并有权维修、拆除、更换这些设备和设施。出租方应尽量减少干扰承租方，并负责修复因此而对该房屋造成的损坏。</w:t>
      </w:r>
    </w:p>
    <w:p w14:paraId="7492B3ED">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倘非因出租方和/或物业管理方的过错或疏忽或因配合政府相关部门及公用事业单位的调度管理导致该房屋的水（如有）、电供应或空调服务停止供应或该大厦的任何共用设施设备停止运作，出租方和/或物业管理方无需承担任何赔偿责任。倘非因出租方和/或物业管理方的过错或疏忽导致该大厦或该房屋内因有水、烟、火或任何其他物质泄漏，或因老鼠、白蚁、蟑螂、其他害虫的滋生，或因遭受爆炸、盗窃、抢劫，而对承租方或任何其他人士造成的任何个人或财物上的损失或破坏，出租方和/或物业管理方亦无需负责。如因不可抗力原因导致该房屋损坏或致使承租方遭受损失的，各方互不承担责任。</w:t>
      </w:r>
    </w:p>
    <w:p w14:paraId="50B86A9D">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出租方和/或物业管理方向该大厦或该房屋提供的秩序维护与管理人员、任何性质的机械设备，不构成出租方和/或物业管理方对该房屋内财物的保安、保管义务。承租方在任何时间都应自行对该房屋内财物负责。</w:t>
      </w:r>
    </w:p>
    <w:p w14:paraId="1EA3EDE3">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房屋的使用</w:t>
      </w:r>
    </w:p>
    <w:p w14:paraId="6F0FE798">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承租方有权按照本合同的规定，在租赁期内独占地使用自用部位及自用设施设备，而不受到出租方和/或物业管理方的干扰。</w:t>
      </w:r>
    </w:p>
    <w:p w14:paraId="1A28163F">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在租赁期内，承租方必须保持该房屋处在可使用及良好状态(除自然损耗外)。承租方并需遵照出租方和/或物业管理方的规定，在租赁期内自费对该房屋及其内部进行维修保养、粉饰以保证该房屋的整洁和美观。</w:t>
      </w:r>
    </w:p>
    <w:p w14:paraId="46FC6846">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出租方和/或物业管理方可制订、引进或修改、采用、废除任何其认为经营和维持该大厦作为优秀办公楼宇所必要的一切管理规章制度。该等规章制度由出租方和/或物业管理方向承租方作出书面通知后即生效，承租方应严格遵守。</w:t>
      </w:r>
    </w:p>
    <w:p w14:paraId="63948489">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承租方不得使用或许可该房屋或其任何部分用于广播工作室、宗教仪式、赌博或其他非法活动，或用于任何政治活动，或用于或允许用于拍卖任何产品。</w:t>
      </w:r>
    </w:p>
    <w:p w14:paraId="33C6E312">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承租方不得在该房屋或该大厦内存放任何放射性、易燃、易爆危险品。</w:t>
      </w:r>
    </w:p>
    <w:p w14:paraId="4235465A">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出租方有权更改该大厦的名字，但应至少提前30日书面通知承租方。</w:t>
      </w:r>
    </w:p>
    <w:p w14:paraId="0614D13A">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在该房屋内开展及经营其业务前，承租方应向政府有关部门取得所有必要的执照、批准或许可证(如有规定)。承租方必须确保该等执照、批准或许可证在租赁期届满前完全有效，及在各方面均符合该等执照、批准或许可证的规定。并且，承租方必须确保在该房屋的经营活动不得违反包括法律、有关工商行政管理等行政法规及规章等。</w:t>
      </w:r>
    </w:p>
    <w:p w14:paraId="3C76CD29">
      <w:pPr>
        <w:pStyle w:val="31"/>
        <w:keepNext w:val="0"/>
        <w:keepLines w:val="0"/>
        <w:widowControl/>
        <w:suppressLineNumbers w:val="0"/>
        <w:tabs>
          <w:tab w:val="left" w:pos="900"/>
          <w:tab w:val="left" w:pos="1040"/>
        </w:tabs>
        <w:spacing w:before="0" w:beforeAutospacing="1" w:after="0" w:afterAutospacing="1" w:line="360" w:lineRule="exact"/>
        <w:ind w:left="1040" w:right="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承租方将承担因其不正当经营所造成的一切责任和后果，并应使出租方免受因此产生的诉讼、纠纷和处罚等，否则承租方应赔偿出租方遭受的损失。</w:t>
      </w:r>
    </w:p>
    <w:p w14:paraId="21F6566F">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非经出租方同意，承租方不得在该房屋内展览、展示、悬挂、粘贴从该大厦外足以看到的包括任何书写标志、店招、标记牌或其他无论是否有灯饰的设计。</w:t>
      </w:r>
    </w:p>
    <w:p w14:paraId="12B5ABB9">
      <w:pPr>
        <w:pStyle w:val="31"/>
        <w:keepNext w:val="0"/>
        <w:keepLines w:val="0"/>
        <w:widowControl w:val="0"/>
        <w:suppressLineNumbers w:val="0"/>
        <w:tabs>
          <w:tab w:val="left" w:pos="1080"/>
        </w:tabs>
        <w:spacing w:before="0" w:beforeAutospacing="1" w:after="0" w:afterAutospacing="1" w:line="360" w:lineRule="exact"/>
        <w:ind w:left="1073" w:leftChars="504" w:right="0" w:hanging="15"/>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除由出租方和/或物业管理方统一设计、提供的指示标记和名称标牌外，未经出租方事先许可，承租方不得在该房屋外、该大厦的任何部位安装或展示任何广告、灯箱、布告板、标志、装饰品、海报、旗帜或其他材料。</w:t>
      </w:r>
    </w:p>
    <w:p w14:paraId="0E36F8D3">
      <w:pPr>
        <w:pStyle w:val="31"/>
        <w:keepNext w:val="0"/>
        <w:keepLines w:val="0"/>
        <w:widowControl/>
        <w:suppressLineNumbers w:val="0"/>
        <w:tabs>
          <w:tab w:val="left" w:pos="900"/>
        </w:tabs>
        <w:spacing w:before="0" w:beforeAutospacing="1" w:after="0" w:afterAutospacing="1" w:line="360" w:lineRule="exact"/>
        <w:ind w:left="1076" w:right="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出租方和/或物业管理方有权清除上述安装或者展示的物品材料且不予赔偿或补偿，由此产生的一切费用由承租方承担，如因此造成出租方损失的，承租方应作相应赔偿。</w:t>
      </w:r>
    </w:p>
    <w:p w14:paraId="70525E72">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如承租方要求在该房屋以外的区域进行广告或组织公关活动，承租方应当事先报请出租方及物业管理方和有关政府部门（如适用）批准后方可进行该等广告或公关活动，并按照出租方及物业管理方的要求承担相关费用及责任。</w:t>
      </w:r>
    </w:p>
    <w:p w14:paraId="7FDA6CA1">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76" w:leftChars="171" w:right="0" w:hanging="717" w:hangingChars="32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出租方有权在提前告知承租方后携同该房屋任何可能的未来租客或有关人士在租赁期结束或提前结束前6个月内的合理时间内视察该房屋，但尽量不影响承租方的正常经营。</w:t>
      </w:r>
    </w:p>
    <w:p w14:paraId="74155C5B">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有责任清理及处置该房屋外承租方留下或未处理好的任何装箱、纸盒、垃圾或其他任何种类或性质的障碍物。若承租方不处理，则出租方和/或物业管理方有权以出租方和/或物业管理方认为妥当的办法予以处理。出租方和/或物业管理方并不因此而须向承租方和/或任何其他人士承担任何责任。</w:t>
      </w:r>
    </w:p>
    <w:p w14:paraId="0B4EF876">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如承租方违反本合同12-3项下承租方须履行的规定，出租方有权制止承租方将该房屋内届时任何物品搬离该房屋直至承租方纠正其违约行为为止。</w:t>
      </w:r>
    </w:p>
    <w:p w14:paraId="68A4722C">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应保证其雇员、承建商、供应商(以下统称“该等人士”)遵守及履行本合同项下应由承租方遵守或履行的全部条款。因该等人士的任何违反本合同的行为给出租方、物业管理方或任何第三人造成损失的，承租方承担连带责任。</w:t>
      </w:r>
    </w:p>
    <w:p w14:paraId="0BB7B10C">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返还房屋</w:t>
      </w:r>
    </w:p>
    <w:p w14:paraId="1EDBC3D7">
      <w:pPr>
        <w:keepNext w:val="0"/>
        <w:keepLines w:val="0"/>
        <w:widowControl/>
        <w:numPr>
          <w:ilvl w:val="1"/>
          <w:numId w:val="1"/>
        </w:numPr>
        <w:suppressLineNumbers w:val="0"/>
        <w:tabs>
          <w:tab w:val="left" w:pos="737"/>
          <w:tab w:val="left" w:pos="1080"/>
        </w:tabs>
        <w:autoSpaceDE w:val="0"/>
        <w:autoSpaceDN w:val="0"/>
        <w:spacing w:before="0" w:beforeAutospacing="1" w:after="0" w:afterAutospacing="0" w:line="360" w:lineRule="exact"/>
        <w:ind w:left="1080" w:right="0" w:hanging="720"/>
        <w:jc w:val="both"/>
        <w:textAlignment w:val="bottom"/>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在本合同终止或提前终止时，除非出租方承租方双方另有约定，承租方应将该房屋良好、清洁地交还给出租方，并还须同时符合以下所有条件：</w:t>
      </w:r>
    </w:p>
    <w:p w14:paraId="593D5D28">
      <w:pPr>
        <w:keepNext w:val="0"/>
        <w:keepLines w:val="0"/>
        <w:widowControl w:val="0"/>
        <w:numPr>
          <w:ilvl w:val="2"/>
          <w:numId w:val="1"/>
        </w:numPr>
        <w:suppressLineNumbers w:val="0"/>
        <w:tabs>
          <w:tab w:val="left" w:pos="900"/>
        </w:tabs>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该房屋以合同终止或提前终止时符合正常使用后的状态，现状交付出租方；</w:t>
      </w:r>
    </w:p>
    <w:p w14:paraId="2BBE4191">
      <w:pPr>
        <w:keepNext w:val="0"/>
        <w:keepLines w:val="0"/>
        <w:widowControl w:val="0"/>
        <w:numPr>
          <w:ilvl w:val="2"/>
          <w:numId w:val="1"/>
        </w:numPr>
        <w:suppressLineNumbers w:val="0"/>
        <w:tabs>
          <w:tab w:val="left" w:pos="900"/>
        </w:tabs>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承租方已将属于承租方的一切装修和物品搬出；</w:t>
      </w:r>
    </w:p>
    <w:p w14:paraId="61ACB884">
      <w:pPr>
        <w:keepNext w:val="0"/>
        <w:keepLines w:val="0"/>
        <w:widowControl w:val="0"/>
        <w:numPr>
          <w:ilvl w:val="2"/>
          <w:numId w:val="1"/>
        </w:numPr>
        <w:suppressLineNumbers w:val="0"/>
        <w:tabs>
          <w:tab w:val="left" w:pos="900"/>
        </w:tabs>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经出租方验收合格；</w:t>
      </w:r>
    </w:p>
    <w:p w14:paraId="2BB30467">
      <w:pPr>
        <w:keepNext w:val="0"/>
        <w:keepLines w:val="0"/>
        <w:widowControl/>
        <w:numPr>
          <w:ilvl w:val="2"/>
          <w:numId w:val="1"/>
        </w:numPr>
        <w:suppressLineNumbers w:val="0"/>
        <w:tabs>
          <w:tab w:val="left" w:pos="900"/>
        </w:tabs>
        <w:autoSpaceDE w:val="0"/>
        <w:autoSpaceDN w:val="0"/>
        <w:spacing w:before="0" w:beforeAutospacing="1" w:after="0" w:afterAutospacing="0" w:line="360" w:lineRule="exact"/>
        <w:ind w:left="1260" w:right="0" w:firstLine="0"/>
        <w:jc w:val="both"/>
        <w:textAlignment w:val="bottom"/>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将该房屋完整地交还给出租方，包括钥匙、密码，以及有关的档案（包括承租方实施的改建工程、增加的设备、设施以及该房屋交接时出租方移交给承租方的所有相关资料）等；</w:t>
      </w:r>
    </w:p>
    <w:p w14:paraId="50F9EC75">
      <w:pPr>
        <w:keepNext w:val="0"/>
        <w:keepLines w:val="0"/>
        <w:widowControl/>
        <w:numPr>
          <w:ilvl w:val="2"/>
          <w:numId w:val="1"/>
        </w:numPr>
        <w:suppressLineNumbers w:val="0"/>
        <w:tabs>
          <w:tab w:val="left" w:pos="900"/>
        </w:tabs>
        <w:autoSpaceDE w:val="0"/>
        <w:autoSpaceDN w:val="0"/>
        <w:spacing w:before="0" w:beforeAutospacing="1" w:after="0" w:afterAutospacing="0" w:line="360" w:lineRule="exact"/>
        <w:ind w:left="1260" w:right="0" w:firstLine="0"/>
        <w:jc w:val="both"/>
        <w:textAlignment w:val="bottom"/>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如承租方为开展及经营其业务以该房屋的地址取得了相关执照、批准或许可证（包括注册地址为该房屋的营业执照，开户或账单地址为该房屋的电话和网络等），则承租方应已办理完毕前述所有执照、批准或许可证的注销或变更地址手续。</w:t>
      </w:r>
    </w:p>
    <w:p w14:paraId="159C5A04">
      <w:pPr>
        <w:keepNext w:val="0"/>
        <w:keepLines w:val="0"/>
        <w:widowControl/>
        <w:suppressLineNumbers w:val="0"/>
        <w:tabs>
          <w:tab w:val="left" w:pos="900"/>
          <w:tab w:val="left" w:pos="1260"/>
        </w:tabs>
        <w:autoSpaceDE w:val="0"/>
        <w:autoSpaceDN w:val="0"/>
        <w:spacing w:before="0" w:beforeAutospacing="1" w:after="0" w:afterAutospacing="0" w:line="360" w:lineRule="exact"/>
        <w:ind w:left="1260" w:right="0"/>
        <w:jc w:val="both"/>
        <w:textAlignment w:val="bottom"/>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尽管有本合同10-1条的约定，各方同意，承租方以现状接受该房屋及其内前任租户遗留的装修工程和设备等，由承租方自行对装修及设备进行评估，选择拆除或保留的，均由承租方自行承担全部责任。</w:t>
      </w:r>
    </w:p>
    <w:p w14:paraId="5BC49E4E">
      <w:pPr>
        <w:pStyle w:val="31"/>
        <w:keepNext w:val="0"/>
        <w:keepLines w:val="0"/>
        <w:widowControl/>
        <w:numPr>
          <w:ilvl w:val="1"/>
          <w:numId w:val="1"/>
        </w:numPr>
        <w:suppressLineNumbers w:val="0"/>
        <w:tabs>
          <w:tab w:val="left" w:pos="530"/>
          <w:tab w:val="left" w:pos="737"/>
          <w:tab w:val="left" w:pos="1080"/>
        </w:tabs>
        <w:spacing w:before="0" w:beforeAutospacing="1" w:after="0" w:afterAutospacing="1" w:line="360" w:lineRule="exact"/>
        <w:ind w:left="1080" w:right="0" w:hanging="72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承租方在返还该房屋时，不得以任何理由要求出租方收购或补偿承租方自置的分割、装修和设施。因出租方原因提前终止的除外。</w:t>
      </w:r>
    </w:p>
    <w:p w14:paraId="521C2BB6">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有权在本合同租赁期或续租期届满前6个月书面通知出租方且预付全部租金价税合计的前提下延迟交还该房屋给出租方，该延迟交还期自租赁期或续租期届满之次日起算，具体的延迟交还期自租赁期或续租期由双方协商确定。</w:t>
      </w:r>
    </w:p>
    <w:p w14:paraId="767B838A">
      <w:pPr>
        <w:pStyle w:val="31"/>
        <w:keepNext w:val="0"/>
        <w:keepLines w:val="0"/>
        <w:widowControl/>
        <w:numPr>
          <w:ilvl w:val="1"/>
          <w:numId w:val="1"/>
        </w:numPr>
        <w:suppressLineNumbers w:val="0"/>
        <w:tabs>
          <w:tab w:val="left" w:pos="530"/>
          <w:tab w:val="left" w:pos="737"/>
          <w:tab w:val="left" w:pos="1080"/>
        </w:tabs>
        <w:spacing w:before="0" w:beforeAutospacing="1" w:after="0" w:afterAutospacing="1" w:line="360" w:lineRule="exact"/>
        <w:ind w:left="1080" w:right="0" w:hanging="72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在本合同终止或提前终止时，承租方应在双方确认的返还期限届满之次日返还该房屋。如未按照上述日期返还该房屋的，则其应向出租方支付的违约金为每日按租赁期结束之日历月的租金价税合计标准计算所得，同时承租方还应按照租赁期结束之日历月的租金价税合计标准支付房屋占用费，直至该房屋退还之日。</w:t>
      </w:r>
      <w:r>
        <w:rPr>
          <w:rFonts w:hint="eastAsia" w:ascii="楷体" w:hAnsi="楷体" w:eastAsia="楷体" w:cs="楷体"/>
          <w:kern w:val="0"/>
          <w:sz w:val="22"/>
          <w:szCs w:val="22"/>
          <w:lang w:val="en-US" w:eastAsia="zh-CN" w:bidi="ar"/>
        </w:rPr>
        <w:br w:type="textWrapping"/>
      </w:r>
    </w:p>
    <w:p w14:paraId="22FD1F4E">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如因承租方原因本合同终止或提前终止，承租方未能按照本合同规定向出租方返还该房屋的，出租方有权行使收回该房屋的权利包括在承租方不在场的情况下进入、占有该房屋并处理、移除该房屋内的任何财物而无需对承租方因此而遭受的损失、损害承担赔偿责任。如该房屋内有承租方遗留下任何装饰、家具、装备、物件、物料、设备或其他物品，视为承租方放弃前述物品，出租方有权以任何方式处置前述物品，承租方不得提出异议，也不得追究出租方责任和要求出租方赔偿；同时，出租方亦有权向承租方追讨因清理、保管前述物品（如有）所产生的所有费用，并有权将该等费用直接从租赁押金中扣除。</w:t>
      </w:r>
    </w:p>
    <w:p w14:paraId="761BD4CA">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如因承租方原因本合同终止或提前终止，承租方未能按照本合同规定向出租方返还该房屋的，出租方及物业管理方有权终止履行本合同项下任何属于出租方及物业管理方应履行的责任和义务，包括切断该房屋水、电供应或终止物业管理服务或者采取合法的其他措施、行动，直到承租方前述的违反得到改正，且因此而产生的一切后果及所有因此而引起的费用（包括重新接驳水电供应的费用）均由承租方负责，承租方仍应按本合同约定标准支付该等措施持续期间内承租方应承担的违约金、房屋占用费等应付款项，不得以该等措施影响承租方使用为由要求减免。</w:t>
      </w:r>
    </w:p>
    <w:p w14:paraId="0FEB8F00">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任何形式的提前终止，应给予双方合理的期限收回及返还房屋（不少于3个月），具体时间由双方协商确定。</w:t>
      </w:r>
    </w:p>
    <w:p w14:paraId="444AD244">
      <w:pPr>
        <w:pStyle w:val="31"/>
        <w:keepNext w:val="0"/>
        <w:keepLines w:val="0"/>
        <w:widowControl w:val="0"/>
        <w:numPr>
          <w:ilvl w:val="0"/>
          <w:numId w:val="1"/>
        </w:numPr>
        <w:suppressLineNumbers w:val="0"/>
        <w:tabs>
          <w:tab w:val="left" w:pos="720"/>
          <w:tab w:val="left" w:pos="90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转租</w:t>
      </w:r>
    </w:p>
    <w:p w14:paraId="6CCB7480">
      <w:pPr>
        <w:pStyle w:val="31"/>
        <w:keepNext w:val="0"/>
        <w:keepLines w:val="0"/>
        <w:widowControl w:val="0"/>
        <w:numPr>
          <w:ilvl w:val="1"/>
          <w:numId w:val="1"/>
        </w:numPr>
        <w:suppressLineNumbers w:val="0"/>
        <w:tabs>
          <w:tab w:val="left" w:pos="737"/>
          <w:tab w:val="left" w:pos="880"/>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未经出租方事先书面许可，承租方不得转租该房屋部分或全部予其他第三人或以任何形式变相转租该房屋（包括但不限于转让承租权、分租、调换使用、联营、入股）</w:t>
      </w:r>
      <w:r>
        <w:rPr>
          <w:rFonts w:hint="eastAsia" w:ascii="楷体" w:hAnsi="楷体" w:eastAsia="楷体" w:cs="楷体"/>
          <w:b w:val="0"/>
          <w:kern w:val="0"/>
          <w:sz w:val="22"/>
          <w:szCs w:val="22"/>
          <w:lang w:val="en-US" w:eastAsia="zh-CN" w:bidi="ar"/>
        </w:rPr>
        <w:br w:type="textWrapping"/>
      </w:r>
    </w:p>
    <w:p w14:paraId="6A5AB09E">
      <w:pPr>
        <w:pStyle w:val="31"/>
        <w:keepNext w:val="0"/>
        <w:keepLines w:val="0"/>
        <w:widowControl/>
        <w:numPr>
          <w:ilvl w:val="0"/>
          <w:numId w:val="1"/>
        </w:numPr>
        <w:suppressLineNumbers w:val="0"/>
        <w:spacing w:before="0" w:beforeAutospacing="1" w:after="0" w:afterAutospacing="1" w:line="360" w:lineRule="exact"/>
        <w:ind w:left="360" w:right="0" w:hanging="360"/>
        <w:jc w:val="both"/>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提前终止</w:t>
      </w:r>
    </w:p>
    <w:p w14:paraId="19025CF3">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于合同期内，有下列情形之一的，本合同提前终止，各方均不承担责任：</w:t>
      </w:r>
    </w:p>
    <w:p w14:paraId="2D93ABD8">
      <w:pPr>
        <w:keepNext w:val="0"/>
        <w:keepLines w:val="0"/>
        <w:widowControl w:val="0"/>
        <w:numPr>
          <w:ilvl w:val="2"/>
          <w:numId w:val="1"/>
        </w:numPr>
        <w:suppressLineNumbers w:val="0"/>
        <w:tabs>
          <w:tab w:val="left" w:pos="1080"/>
        </w:tabs>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该房屋占用范围内的土地使用权依法提前收回的；</w:t>
      </w:r>
    </w:p>
    <w:p w14:paraId="3B9C3D76">
      <w:pPr>
        <w:keepNext w:val="0"/>
        <w:keepLines w:val="0"/>
        <w:widowControl w:val="0"/>
        <w:numPr>
          <w:ilvl w:val="2"/>
          <w:numId w:val="1"/>
        </w:numPr>
        <w:suppressLineNumbers w:val="0"/>
        <w:tabs>
          <w:tab w:val="left" w:pos="1080"/>
        </w:tabs>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该房屋因社会公共利益被依法征用的；</w:t>
      </w:r>
    </w:p>
    <w:p w14:paraId="57BB1344">
      <w:pPr>
        <w:keepNext w:val="0"/>
        <w:keepLines w:val="0"/>
        <w:widowControl w:val="0"/>
        <w:numPr>
          <w:ilvl w:val="2"/>
          <w:numId w:val="1"/>
        </w:numPr>
        <w:suppressLineNumbers w:val="0"/>
        <w:tabs>
          <w:tab w:val="left" w:pos="1080"/>
        </w:tabs>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该房屋因城市建设需要被依法列入房屋拆迁许可范围的；</w:t>
      </w:r>
    </w:p>
    <w:p w14:paraId="4D19873E">
      <w:pPr>
        <w:keepNext w:val="0"/>
        <w:keepLines w:val="0"/>
        <w:widowControl w:val="0"/>
        <w:numPr>
          <w:ilvl w:val="2"/>
          <w:numId w:val="1"/>
        </w:numPr>
        <w:suppressLineNumbers w:val="0"/>
        <w:tabs>
          <w:tab w:val="left" w:pos="1080"/>
        </w:tabs>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因不可抗力或者非因各方原因，该房屋完全或不完全毁损、破坏致使其不适宜继续使用，且该房屋在发生上述毁损、破坏后的60日内仍未得到重修或重建，出租方或承租方任何一方可以书面通知对方终止本合同。承租方自该房屋遭受破坏、毁损的次日起停止支付租金价税合计和物业管理费价税合计，直至该房屋完成重修或重建。在前述情形下，出租方无义务重修或重建该房屋。</w:t>
      </w:r>
    </w:p>
    <w:p w14:paraId="7C4CEFB3">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除本合同另有规定外，出租方或承租方可经提前3个月书面通知另一方后，单方面提前终止本合同，但应当同时支付3个月租金价税合计的款项作为违约金），违约金不足以弥补另一方损失的，该方还需赔偿另一方的其他损失。</w:t>
      </w:r>
    </w:p>
    <w:p w14:paraId="171A5BD0">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在不影响出租方根据法律、法规及本合同的规定所享有的其他权利的前提下，出租方有权在下列任何事件之一发生后的任何时间提前终止本合同并合法地提前收回该房屋或其任何部分，同时承租方应向出租方支付相当于该房屋届时（即本合同提前终止当月）3个月租金价税合计和物业管理费价税合计之和的款项作为违约金，违约金不足以弥补出租方损失的，承租方还需赔偿出租方的其他损失：</w:t>
      </w:r>
    </w:p>
    <w:p w14:paraId="7E11ED40">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承租方未将该房屋用于本合同约定用途的；</w:t>
      </w:r>
    </w:p>
    <w:p w14:paraId="01DE9812">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因承租方原因造成该房屋主体结构损坏或承租方擅自改变其建筑结构的；</w:t>
      </w:r>
    </w:p>
    <w:p w14:paraId="42A43A46">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承租方以任何方式（包括转租）将该房屋交于第三方使用的；</w:t>
      </w:r>
    </w:p>
    <w:p w14:paraId="33A589D0">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承租方逾期支付任何应付费用（包括租金价税合计、租赁押金（包括应当补足的租赁押金）、公用事业费用、物业管理费价税合计、其他费用）超过14日的；</w:t>
      </w:r>
    </w:p>
    <w:p w14:paraId="1F03A507">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该房屋内承租方的任何财物因法庭强制执行其判决而被查封，使得承租方无法进行经营活动的；</w:t>
      </w:r>
    </w:p>
    <w:p w14:paraId="2685DF0D">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承租方停止经营、或破产进入破产清算程序的（经出租方同意的除外）；</w:t>
      </w:r>
    </w:p>
    <w:p w14:paraId="22915B80">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承租方涉嫌犯罪的；</w:t>
      </w:r>
    </w:p>
    <w:p w14:paraId="5707260F">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承租方经营活动严重违反法律、法规的；</w:t>
      </w:r>
    </w:p>
    <w:p w14:paraId="0432C2E7">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承租方严重违反本合同中承租方必须遵守或履行的其他规定。</w:t>
      </w:r>
    </w:p>
    <w:p w14:paraId="7B8974E8">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在不影响承租方根据法律、法规及本合同的规定所享有的其他权利的前提下，承租方有权在下列任何事件之一发生后结束前的任何时间提前终止本合同。出租方及物业管理方应向承租方返还租赁押金，并由出租方向承租方支付相当于该房屋届时（即本合同提前终止当月）3个月租金价税合计和物业管理费价税合计之和的款项作为违约金，违约金不足以弥补承租方损失的，出租方还需赔偿承租方的其他损失：</w:t>
      </w:r>
    </w:p>
    <w:p w14:paraId="3230F1AC">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该房屋因法院强制执行其针对出租方的判决而被查封的；</w:t>
      </w:r>
    </w:p>
    <w:p w14:paraId="0A41F6A2">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出租方停止经营、或破产进入破产清算程序的（经承租方同意的除外）；</w:t>
      </w:r>
    </w:p>
    <w:p w14:paraId="418251B4">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出租方严重违反本合同中出租方必须遵守或履行的其他规定；</w:t>
      </w:r>
    </w:p>
    <w:p w14:paraId="4CE793E2">
      <w:pPr>
        <w:keepNext w:val="0"/>
        <w:keepLines w:val="0"/>
        <w:widowControl w:val="0"/>
        <w:numPr>
          <w:ilvl w:val="2"/>
          <w:numId w:val="1"/>
        </w:numPr>
        <w:suppressLineNumbers w:val="0"/>
        <w:spacing w:before="0" w:beforeAutospacing="1" w:after="0" w:afterAutospacing="0" w:line="360" w:lineRule="exact"/>
        <w:ind w:left="1260" w:right="0" w:firstLine="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在租赁期限内，出租方将租赁房屋进行</w:t>
      </w:r>
      <w:r>
        <w:rPr>
          <w:rFonts w:hint="eastAsia" w:ascii="楷体" w:hAnsi="楷体" w:eastAsia="楷体" w:cs="楷体"/>
          <w:b w:val="0"/>
          <w:bCs w:val="0"/>
          <w:kern w:val="0"/>
          <w:sz w:val="22"/>
          <w:szCs w:val="22"/>
          <w:lang w:val="en-US" w:eastAsia="zh-CN" w:bidi="ar"/>
        </w:rPr>
        <w:t>转让或在租赁期间将租赁区域对外抵押，从而使得承租方无法享受本合同约定的租赁权的。</w:t>
      </w:r>
    </w:p>
    <w:p w14:paraId="6980C6E8">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因承租方过错终止本合同的，承租方应全额赔偿出租方已支付的中介费（如有）。</w:t>
      </w:r>
    </w:p>
    <w:p w14:paraId="49126483">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在任何情况下，物业管理方均无单独提出要求提前终止本合同的权利。</w:t>
      </w:r>
    </w:p>
    <w:p w14:paraId="3EA68076">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承租方每期付款前有权对出租方提供的房屋进行验收，如承租方验收发现出租方提供的 房屋不合格，承租方有权要求出租方在合理期限内进行整改，并再次验收。</w:t>
      </w:r>
    </w:p>
    <w:p w14:paraId="7BF11BF9">
      <w:pPr>
        <w:pStyle w:val="31"/>
        <w:keepNext w:val="0"/>
        <w:keepLines w:val="0"/>
        <w:widowControl/>
        <w:suppressLineNumbers w:val="0"/>
        <w:spacing w:before="240" w:beforeAutospacing="0" w:after="0" w:afterAutospacing="1" w:line="260" w:lineRule="atLeast"/>
        <w:ind w:left="0" w:right="0" w:firstLine="440" w:firstLineChars="20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 xml:space="preserve"> </w:t>
      </w:r>
    </w:p>
    <w:p w14:paraId="05339A56">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续租</w:t>
      </w:r>
    </w:p>
    <w:p w14:paraId="5A955FE8">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bCs/>
          <w:kern w:val="0"/>
          <w:sz w:val="22"/>
          <w:szCs w:val="22"/>
          <w:lang w:val="en-US" w:eastAsia="zh-CN" w:bidi="ar"/>
        </w:rPr>
        <w:t>出租方有完全自主权决定是否于本合同租赁期限届满后继续出租该房屋。若</w:t>
      </w:r>
      <w:r>
        <w:rPr>
          <w:rFonts w:hint="eastAsia" w:ascii="楷体" w:hAnsi="楷体" w:eastAsia="楷体" w:cs="楷体"/>
          <w:b w:val="0"/>
          <w:kern w:val="0"/>
          <w:sz w:val="22"/>
          <w:szCs w:val="22"/>
          <w:lang w:val="en-US" w:eastAsia="zh-CN" w:bidi="ar"/>
        </w:rPr>
        <w:t>出租方决定继续出租该房屋的，同等条件下，承租方享有优先承租的权利。如承租方有意于租赁期届满后继续租赁该房屋的，应于租赁期届满日6个月前向出租方提出书面续租申请，否则视为承租方放弃优先承租权。</w:t>
      </w:r>
      <w:r>
        <w:rPr>
          <w:rFonts w:hint="eastAsia" w:ascii="楷体" w:hAnsi="楷体" w:eastAsia="楷体" w:cs="楷体"/>
          <w:b w:val="0"/>
          <w:kern w:val="0"/>
          <w:sz w:val="22"/>
          <w:szCs w:val="22"/>
          <w:lang w:val="en-US" w:eastAsia="zh-CN" w:bidi="ar"/>
        </w:rPr>
        <w:br w:type="textWrapping"/>
      </w:r>
      <w:r>
        <w:rPr>
          <w:rFonts w:hint="eastAsia" w:ascii="楷体" w:hAnsi="楷体" w:eastAsia="楷体" w:cs="楷体"/>
          <w:b w:val="0"/>
          <w:kern w:val="0"/>
          <w:sz w:val="22"/>
          <w:szCs w:val="22"/>
          <w:lang w:val="en-US" w:eastAsia="zh-CN" w:bidi="ar"/>
        </w:rPr>
        <w:t xml:space="preserve">承租方享有[ </w:t>
      </w:r>
      <w:r>
        <w:rPr>
          <w:rFonts w:hint="default" w:ascii="楷体" w:hAnsi="楷体" w:eastAsia="楷体" w:cs="楷体"/>
          <w:b w:val="0"/>
          <w:kern w:val="0"/>
          <w:sz w:val="22"/>
          <w:szCs w:val="22"/>
          <w:lang w:eastAsia="zh-CN" w:bidi="ar"/>
        </w:rPr>
        <w:t>/</w:t>
      </w:r>
      <w:r>
        <w:rPr>
          <w:rFonts w:hint="eastAsia" w:ascii="楷体" w:hAnsi="楷体" w:eastAsia="楷体" w:cs="楷体"/>
          <w:b w:val="0"/>
          <w:kern w:val="0"/>
          <w:sz w:val="22"/>
          <w:szCs w:val="22"/>
          <w:lang w:val="en-US" w:eastAsia="zh-CN" w:bidi="ar"/>
        </w:rPr>
        <w:t xml:space="preserve"> ]次续租期为[ 3 ]年的优先续租权，如承租方有意于租赁期届满后继续租赁该房屋的，应于租赁期届满日6个月前向出租方提出书面申请。续租的租金价税合计按当时的市场租金价税合计进行上浮，上浮幅度不超过上期租金价税合计的[/]%。</w:t>
      </w:r>
    </w:p>
    <w:p w14:paraId="45D52C89">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如各方就续租达成一致的，应于租赁期满日90日前签订一份续租协议，如未能达成一致并签署前述续租协议的，则本合同自租赁期届满之日起自然终止</w:t>
      </w:r>
      <w:r>
        <w:rPr>
          <w:rFonts w:hint="eastAsia" w:ascii="楷体" w:hAnsi="楷体" w:eastAsia="楷体" w:cs="楷体"/>
          <w:b/>
          <w:bCs w:val="0"/>
          <w:kern w:val="0"/>
          <w:sz w:val="22"/>
          <w:szCs w:val="22"/>
          <w:lang w:val="en-US" w:eastAsia="zh-CN" w:bidi="ar"/>
        </w:rPr>
        <w:t>，</w:t>
      </w:r>
      <w:r>
        <w:rPr>
          <w:rFonts w:hint="eastAsia" w:ascii="楷体" w:hAnsi="楷体" w:eastAsia="楷体" w:cs="楷体"/>
          <w:b w:val="0"/>
          <w:kern w:val="0"/>
          <w:sz w:val="22"/>
          <w:szCs w:val="22"/>
          <w:lang w:val="en-US" w:eastAsia="zh-CN" w:bidi="ar"/>
        </w:rPr>
        <w:t>承租方亦不再向出租方主张优先承租权。</w:t>
      </w:r>
    </w:p>
    <w:p w14:paraId="5D8ADBFE">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优先购买权</w:t>
      </w:r>
    </w:p>
    <w:p w14:paraId="4272BFCF">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如出租方出售该房屋的，承租方放弃对该房屋或其任何部分的优先购买权。</w:t>
      </w:r>
    </w:p>
    <w:p w14:paraId="2AC6F827">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车位</w:t>
      </w:r>
    </w:p>
    <w:p w14:paraId="009C7918">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于合同期内，可向出租方租用停车位。承租方应在支付该房屋租金价税合计和物业管理费价税合计时，同时支付同期的车位租金价税合计和车位物业管理费价税合计。出租方和/或物业管理方有权对车位租金价税合计及车位物业管理费单价价税合计作出合理调整，但应事先通知承租方。车位数量、车位的租金价税合计和物业管理费价税合计详见附表二。</w:t>
      </w:r>
    </w:p>
    <w:p w14:paraId="07C6BC24">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通知与送达</w:t>
      </w:r>
    </w:p>
    <w:p w14:paraId="5C0CD0FC">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除非各方另行达成一致或紧急情况时，本合同项下作出的任何通知、要求、请求、批准、同意或其他通讯(合称</w:t>
      </w:r>
      <w:r>
        <w:rPr>
          <w:rFonts w:hint="eastAsia" w:ascii="楷体" w:hAnsi="楷体" w:eastAsia="楷体" w:cs="楷体"/>
          <w:b/>
          <w:bCs w:val="0"/>
          <w:kern w:val="0"/>
          <w:sz w:val="22"/>
          <w:szCs w:val="22"/>
          <w:lang w:val="en-US" w:eastAsia="zh-CN" w:bidi="ar"/>
        </w:rPr>
        <w:t>“通知”</w:t>
      </w:r>
      <w:r>
        <w:rPr>
          <w:rFonts w:hint="eastAsia" w:ascii="楷体" w:hAnsi="楷体" w:eastAsia="楷体" w:cs="楷体"/>
          <w:b w:val="0"/>
          <w:kern w:val="0"/>
          <w:sz w:val="22"/>
          <w:szCs w:val="22"/>
          <w:lang w:val="en-US" w:eastAsia="zh-CN" w:bidi="ar"/>
        </w:rPr>
        <w:t>)应为书面形式。</w:t>
      </w:r>
    </w:p>
    <w:p w14:paraId="41EF7176">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除非另行明确规定，通知送达时间应按以下方式确定：</w:t>
      </w:r>
    </w:p>
    <w:p w14:paraId="14BFE2A9">
      <w:pPr>
        <w:pStyle w:val="31"/>
        <w:keepNext w:val="0"/>
        <w:keepLines w:val="0"/>
        <w:widowControl w:val="0"/>
        <w:numPr>
          <w:ilvl w:val="2"/>
          <w:numId w:val="1"/>
        </w:numPr>
        <w:suppressLineNumbers w:val="0"/>
        <w:tabs>
          <w:tab w:val="left" w:pos="1620"/>
        </w:tabs>
        <w:spacing w:before="0" w:beforeAutospacing="1" w:after="0" w:afterAutospacing="1" w:line="360" w:lineRule="exact"/>
        <w:ind w:left="126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专人递送的，送达时间为交付之时；或</w:t>
      </w:r>
    </w:p>
    <w:p w14:paraId="60A44137">
      <w:pPr>
        <w:pStyle w:val="31"/>
        <w:keepNext w:val="0"/>
        <w:keepLines w:val="0"/>
        <w:widowControl w:val="0"/>
        <w:numPr>
          <w:ilvl w:val="2"/>
          <w:numId w:val="1"/>
        </w:numPr>
        <w:suppressLineNumbers w:val="0"/>
        <w:tabs>
          <w:tab w:val="left" w:pos="1620"/>
        </w:tabs>
        <w:spacing w:before="0" w:beforeAutospacing="1" w:after="0" w:afterAutospacing="1" w:line="360" w:lineRule="exact"/>
        <w:ind w:left="126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邮寄的，送达时间为投寄后第4个工作日；在寄往境外的情况下，送达时间为投寄后第7个工作日；或</w:t>
      </w:r>
    </w:p>
    <w:p w14:paraId="7F97D189">
      <w:pPr>
        <w:pStyle w:val="31"/>
        <w:keepNext w:val="0"/>
        <w:keepLines w:val="0"/>
        <w:widowControl w:val="0"/>
        <w:numPr>
          <w:ilvl w:val="2"/>
          <w:numId w:val="1"/>
        </w:numPr>
        <w:suppressLineNumbers w:val="0"/>
        <w:tabs>
          <w:tab w:val="left" w:pos="1620"/>
        </w:tabs>
        <w:spacing w:before="0" w:beforeAutospacing="1" w:after="0" w:afterAutospacing="1" w:line="360" w:lineRule="exact"/>
        <w:ind w:left="126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传真发送的，在(目的地当地时间的)工作日下午3点前传输的情况下，送达时间为传输时间后届满2个小时之时；其他情况下，送达时间为传输之日后(收件人地址所在地的当地时间的)第1个工作日上午10点。</w:t>
      </w:r>
    </w:p>
    <w:p w14:paraId="67C90C30">
      <w:pPr>
        <w:pStyle w:val="31"/>
        <w:keepNext w:val="0"/>
        <w:keepLines w:val="0"/>
        <w:widowControl w:val="0"/>
        <w:numPr>
          <w:ilvl w:val="2"/>
          <w:numId w:val="1"/>
        </w:numPr>
        <w:suppressLineNumbers w:val="0"/>
        <w:tabs>
          <w:tab w:val="left" w:pos="1620"/>
        </w:tabs>
        <w:spacing w:before="0" w:beforeAutospacing="1" w:after="0" w:afterAutospacing="1" w:line="360" w:lineRule="exact"/>
        <w:ind w:left="126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电子邮件发送的，在邮件</w:t>
      </w:r>
      <w:r>
        <w:rPr>
          <w:rFonts w:hint="default" w:ascii="楷体" w:hAnsi="楷体" w:eastAsia="楷体" w:cs="楷体"/>
          <w:kern w:val="0"/>
          <w:sz w:val="22"/>
          <w:szCs w:val="22"/>
          <w:lang w:eastAsia="zh-CN" w:bidi="ar"/>
        </w:rPr>
        <w:t>进</w:t>
      </w:r>
      <w:r>
        <w:rPr>
          <w:rFonts w:hint="eastAsia" w:ascii="楷体" w:hAnsi="楷体" w:eastAsia="楷体" w:cs="楷体"/>
          <w:kern w:val="0"/>
          <w:sz w:val="22"/>
          <w:szCs w:val="22"/>
          <w:lang w:val="en-US" w:eastAsia="zh-CN" w:bidi="ar"/>
        </w:rPr>
        <w:t>入对方邮件系统时视为送达。</w:t>
      </w:r>
    </w:p>
    <w:p w14:paraId="46660858">
      <w:pPr>
        <w:pStyle w:val="31"/>
        <w:keepNext w:val="0"/>
        <w:keepLines w:val="0"/>
        <w:widowControl w:val="0"/>
        <w:suppressLineNumbers w:val="0"/>
        <w:tabs>
          <w:tab w:val="left" w:pos="1080"/>
        </w:tabs>
        <w:spacing w:before="0" w:beforeAutospacing="1" w:after="0" w:afterAutospacing="1" w:line="360" w:lineRule="exact"/>
        <w:ind w:left="1060" w:leftChars="0" w:right="0" w:hanging="4" w:firstLineChars="0"/>
        <w:jc w:val="both"/>
        <w:outlineLvl w:val="1"/>
        <w:rPr>
          <w:rFonts w:hint="eastAsia" w:ascii="楷体" w:hAnsi="楷体" w:eastAsia="楷体" w:cs="楷体"/>
          <w:b w:val="0"/>
          <w:kern w:val="0"/>
          <w:sz w:val="22"/>
          <w:szCs w:val="22"/>
          <w:lang w:val="en-US" w:eastAsia="zh-CN" w:bidi="ar"/>
        </w:rPr>
      </w:pPr>
      <w:r>
        <w:rPr>
          <w:rFonts w:hint="eastAsia" w:ascii="楷体" w:hAnsi="楷体" w:eastAsia="楷体" w:cs="楷体"/>
          <w:b w:val="0"/>
          <w:kern w:val="0"/>
          <w:sz w:val="22"/>
          <w:szCs w:val="22"/>
          <w:lang w:val="en-US" w:eastAsia="zh-CN" w:bidi="ar"/>
        </w:rPr>
        <w:t>为证明通知或文件被送达，只须证明专人递送已经送达、载有通知或文件的信件地址书写正确且邮资预付挂号信或邮资预付航空信(视情况而定)已经投寄、或传真发件人的传真机发出传输确认件、以及电子邮件显示发送至对方系统时间确认。</w:t>
      </w:r>
    </w:p>
    <w:p w14:paraId="770A167D">
      <w:pPr>
        <w:pStyle w:val="31"/>
        <w:keepNext w:val="0"/>
        <w:keepLines w:val="0"/>
        <w:widowControl w:val="0"/>
        <w:suppressLineNumbers w:val="0"/>
        <w:tabs>
          <w:tab w:val="left" w:pos="1080"/>
        </w:tabs>
        <w:spacing w:before="0" w:beforeAutospacing="1" w:after="0" w:afterAutospacing="1" w:line="360" w:lineRule="exact"/>
        <w:ind w:left="944" w:right="0" w:firstLine="136"/>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通知发送的各方地址和传真号码、电子邮件载明于附表四。</w:t>
      </w:r>
    </w:p>
    <w:p w14:paraId="2621FD88">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一方可通知其他各方其名称、相关收件人、地址或传真号码的变更，前提是该等通知仅在下列日期起生效：</w:t>
      </w:r>
    </w:p>
    <w:p w14:paraId="5C8B6E8F">
      <w:pPr>
        <w:pStyle w:val="31"/>
        <w:keepNext w:val="0"/>
        <w:keepLines w:val="0"/>
        <w:widowControl w:val="0"/>
        <w:numPr>
          <w:ilvl w:val="2"/>
          <w:numId w:val="1"/>
        </w:numPr>
        <w:suppressLineNumbers w:val="0"/>
        <w:tabs>
          <w:tab w:val="left" w:pos="1620"/>
        </w:tabs>
        <w:spacing w:before="0" w:beforeAutospacing="1" w:after="0" w:afterAutospacing="1" w:line="360" w:lineRule="exact"/>
        <w:ind w:left="126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通知中规定的发生变更之日；</w:t>
      </w:r>
    </w:p>
    <w:p w14:paraId="5C7D11B2">
      <w:pPr>
        <w:pStyle w:val="31"/>
        <w:keepNext w:val="0"/>
        <w:keepLines w:val="0"/>
        <w:widowControl w:val="0"/>
        <w:numPr>
          <w:ilvl w:val="2"/>
          <w:numId w:val="1"/>
        </w:numPr>
        <w:suppressLineNumbers w:val="0"/>
        <w:tabs>
          <w:tab w:val="left" w:pos="1620"/>
        </w:tabs>
        <w:spacing w:before="0" w:beforeAutospacing="1" w:after="0" w:afterAutospacing="1" w:line="360" w:lineRule="exact"/>
        <w:ind w:left="1260" w:right="0" w:firstLine="0"/>
        <w:jc w:val="both"/>
        <w:outlineLvl w:val="2"/>
        <w:rPr>
          <w:rFonts w:hint="eastAsia" w:ascii="楷体" w:hAnsi="楷体" w:eastAsia="楷体" w:cs="楷体"/>
          <w:sz w:val="22"/>
          <w:szCs w:val="22"/>
        </w:rPr>
      </w:pPr>
      <w:r>
        <w:rPr>
          <w:rFonts w:hint="eastAsia" w:ascii="楷体" w:hAnsi="楷体" w:eastAsia="楷体" w:cs="楷体"/>
          <w:kern w:val="0"/>
          <w:sz w:val="22"/>
          <w:szCs w:val="22"/>
          <w:lang w:val="en-US" w:eastAsia="zh-CN" w:bidi="ar"/>
        </w:rPr>
        <w:t>如未规定日期，或所规定的日期是在通知发出之日后的5个工作日内，则在发出变更通知后的5个工作日。</w:t>
      </w:r>
    </w:p>
    <w:p w14:paraId="4DE2F41A">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违约责任、法律适用和争议解决</w:t>
      </w:r>
    </w:p>
    <w:p w14:paraId="234730E8">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bCs/>
          <w:sz w:val="22"/>
          <w:szCs w:val="22"/>
        </w:rPr>
      </w:pPr>
      <w:r>
        <w:rPr>
          <w:rFonts w:hint="eastAsia" w:ascii="楷体" w:hAnsi="楷体" w:eastAsia="楷体" w:cs="楷体"/>
          <w:b w:val="0"/>
          <w:bCs/>
          <w:kern w:val="0"/>
          <w:sz w:val="22"/>
          <w:szCs w:val="22"/>
          <w:lang w:val="en-US" w:eastAsia="zh-CN" w:bidi="ar"/>
        </w:rPr>
        <w:t>任何一方未按本合同的约定履行义务均构成违约。任何一方的违约行为给对方造成损失的，应予以赔偿；本条或本合同其他条款另有约定的，从其约定。</w:t>
      </w:r>
    </w:p>
    <w:p w14:paraId="0B42DBCE">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本合同适用中华人民共和国法律（为本合同目的不包括香港、澳门和台湾地区的法律）。</w:t>
      </w:r>
    </w:p>
    <w:p w14:paraId="6B27C82A">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 xml:space="preserve">因本合同产生的或与此相关的任何争议、分歧或索赔，应首先通过各方友好协商解决。如不能通过协商解决该等争议，则任一方应向该房屋所在地的人民法院提起诉讼。 </w:t>
      </w:r>
    </w:p>
    <w:p w14:paraId="03B7762A">
      <w:pPr>
        <w:pStyle w:val="31"/>
        <w:keepNext w:val="0"/>
        <w:keepLines w:val="0"/>
        <w:widowControl w:val="0"/>
        <w:numPr>
          <w:ilvl w:val="0"/>
          <w:numId w:val="1"/>
        </w:numPr>
        <w:suppressLineNumbers w:val="0"/>
        <w:tabs>
          <w:tab w:val="left" w:pos="720"/>
        </w:tabs>
        <w:spacing w:before="0" w:beforeAutospacing="1" w:after="0" w:afterAutospacing="1" w:line="360" w:lineRule="exact"/>
        <w:ind w:left="360" w:right="0" w:hanging="360"/>
        <w:jc w:val="both"/>
        <w:outlineLvl w:val="0"/>
        <w:rPr>
          <w:rFonts w:hint="eastAsia" w:ascii="楷体" w:hAnsi="楷体" w:eastAsia="楷体" w:cs="楷体"/>
          <w:b/>
          <w:bCs w:val="0"/>
          <w:caps/>
          <w:kern w:val="28"/>
          <w:sz w:val="22"/>
          <w:szCs w:val="22"/>
        </w:rPr>
      </w:pPr>
      <w:r>
        <w:rPr>
          <w:rFonts w:hint="eastAsia" w:ascii="楷体" w:hAnsi="楷体" w:eastAsia="楷体" w:cs="楷体"/>
          <w:b/>
          <w:bCs w:val="0"/>
          <w:caps/>
          <w:kern w:val="28"/>
          <w:sz w:val="22"/>
          <w:szCs w:val="22"/>
          <w:lang w:val="en-US" w:eastAsia="zh-CN" w:bidi="ar"/>
        </w:rPr>
        <w:t>其他规定</w:t>
      </w:r>
    </w:p>
    <w:p w14:paraId="40644E62">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bCs/>
          <w:sz w:val="22"/>
          <w:szCs w:val="22"/>
        </w:rPr>
      </w:pPr>
      <w:r>
        <w:rPr>
          <w:rFonts w:hint="eastAsia" w:ascii="楷体" w:hAnsi="楷体" w:eastAsia="楷体" w:cs="楷体"/>
          <w:b w:val="0"/>
          <w:bCs/>
          <w:kern w:val="0"/>
          <w:sz w:val="22"/>
          <w:szCs w:val="22"/>
          <w:lang w:val="en-US" w:eastAsia="zh-CN" w:bidi="ar"/>
        </w:rPr>
        <w:t>承租方知悉该房屋在本合同签署时的证照办理情况，承租方愿意待出租方和物业管理方取得全部该大厦相关证照后再行提出着手办理相关许可证照等事宜，否则出租方及物业管理方不承担任何责任。</w:t>
      </w:r>
    </w:p>
    <w:p w14:paraId="7B774D1B">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出租方和/或物业管理方将另行向承租方提供该房屋《用户手册》、《租户二次装修管理手册》，作为本合同的附件。</w:t>
      </w:r>
    </w:p>
    <w:p w14:paraId="7DD240A9">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如一方因不可抗力事件迟延履行或不能全面履行其在本合同项下的义务，则不构成违约；但是该方应当尽一切合理努力避免或减少不可抗力造成的影响，并且及时书面通知其他各方和提供相关证据。</w:t>
      </w:r>
    </w:p>
    <w:p w14:paraId="33E6A859">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各方应对关于本合同的磋商、签订、履行、终止而了解或得知的所有事项保密，未经一方事先书面同意，不得向第三方披露（但向政府有关部门报批或向各自的律师等专业顾问披露的除外）。各方将采取一切适当措施防止保密信息在非经对方书面授权情况下披露，并应尽一切合理的努力确保需要知悉保密信息之一方关联人士遵守本条款。若一方违反上述承诺的，应立即停止违反保密义务的行为并向另一方承担赔偿责任。保密期限自本合同签署之日起至保密范围内的资料及信息非经违法或违反本条款的途径为公众知晓之日止。</w:t>
      </w:r>
    </w:p>
    <w:p w14:paraId="5FF71FF3">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本合同的任何条款由于任何原因被视为无效，不影响本合同其他条款的有效性。</w:t>
      </w:r>
    </w:p>
    <w:p w14:paraId="7F840A31">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本合同生效且具备办理房屋租赁登记备案条件之日起的30日内，由要求登记的一方（即出租方）负责按规定向房屋所在地区房地产交易中心办理登记备案，领取房屋租赁登记备案证明，因办理登记备案所需的一切费用由要求登记的一方负担。本合同经登记备案后，凡因任何一方原因变更、终止本合同的，由该方负责在本合同变更或终止之日起的30日内，向原登记机构办理变更、终止登记备案手续，并由该方承担由此而引起的一切费用。其他各方需提供必要的协助。</w:t>
      </w:r>
    </w:p>
    <w:p w14:paraId="5A17F18E">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本合同的附表、附件均为本合同不可分割的部分。本合同的附件如下：</w:t>
      </w:r>
    </w:p>
    <w:p w14:paraId="27C41C20">
      <w:pPr>
        <w:pStyle w:val="31"/>
        <w:keepNext w:val="0"/>
        <w:keepLines w:val="0"/>
        <w:widowControl w:val="0"/>
        <w:numPr>
          <w:ilvl w:val="2"/>
          <w:numId w:val="1"/>
        </w:numPr>
        <w:suppressLineNumbers w:val="0"/>
        <w:tabs>
          <w:tab w:val="left" w:pos="1080"/>
        </w:tabs>
        <w:spacing w:before="0" w:beforeAutospacing="1" w:after="0" w:afterAutospacing="1" w:line="360" w:lineRule="exact"/>
        <w:ind w:left="1260" w:right="0" w:firstLine="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附件一：该房屋的平面图</w:t>
      </w:r>
    </w:p>
    <w:p w14:paraId="5D6F086F">
      <w:pPr>
        <w:pStyle w:val="31"/>
        <w:keepNext w:val="0"/>
        <w:keepLines w:val="0"/>
        <w:widowControl w:val="0"/>
        <w:numPr>
          <w:ilvl w:val="2"/>
          <w:numId w:val="1"/>
        </w:numPr>
        <w:suppressLineNumbers w:val="0"/>
        <w:tabs>
          <w:tab w:val="left" w:pos="1080"/>
        </w:tabs>
        <w:spacing w:before="0" w:beforeAutospacing="1" w:after="0" w:afterAutospacing="1" w:line="360" w:lineRule="exact"/>
        <w:ind w:left="1260" w:right="0" w:firstLine="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附件二：《交房确认书》（格式）</w:t>
      </w:r>
    </w:p>
    <w:p w14:paraId="0B0DFBDD">
      <w:pPr>
        <w:pStyle w:val="31"/>
        <w:keepNext w:val="0"/>
        <w:keepLines w:val="0"/>
        <w:widowControl w:val="0"/>
        <w:numPr>
          <w:ilvl w:val="2"/>
          <w:numId w:val="1"/>
        </w:numPr>
        <w:suppressLineNumbers w:val="0"/>
        <w:tabs>
          <w:tab w:val="left" w:pos="1080"/>
        </w:tabs>
        <w:spacing w:before="0" w:beforeAutospacing="1" w:after="0" w:afterAutospacing="1" w:line="360" w:lineRule="exact"/>
        <w:ind w:left="1260" w:right="0" w:firstLine="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附件三：现有装修、设施及设备状况</w:t>
      </w:r>
    </w:p>
    <w:p w14:paraId="58282CAC">
      <w:pPr>
        <w:pStyle w:val="31"/>
        <w:keepNext w:val="0"/>
        <w:keepLines w:val="0"/>
        <w:widowControl w:val="0"/>
        <w:numPr>
          <w:ilvl w:val="2"/>
          <w:numId w:val="1"/>
        </w:numPr>
        <w:suppressLineNumbers w:val="0"/>
        <w:tabs>
          <w:tab w:val="left" w:pos="1080"/>
        </w:tabs>
        <w:spacing w:before="0" w:beforeAutospacing="1" w:after="0" w:afterAutospacing="1" w:line="360" w:lineRule="exact"/>
        <w:ind w:left="1260" w:right="0" w:firstLine="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附件四：企业商业交易行为廉洁自律协议书</w:t>
      </w:r>
    </w:p>
    <w:p w14:paraId="20E91365">
      <w:pPr>
        <w:pStyle w:val="31"/>
        <w:keepNext w:val="0"/>
        <w:keepLines w:val="0"/>
        <w:widowControl w:val="0"/>
        <w:numPr>
          <w:ilvl w:val="2"/>
          <w:numId w:val="1"/>
        </w:numPr>
        <w:suppressLineNumbers w:val="0"/>
        <w:tabs>
          <w:tab w:val="left" w:pos="1080"/>
        </w:tabs>
        <w:spacing w:before="0" w:beforeAutospacing="1" w:after="0" w:afterAutospacing="1" w:line="360" w:lineRule="exact"/>
        <w:ind w:left="1259" w:right="0" w:firstLine="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附件五：安全管理协议</w:t>
      </w:r>
    </w:p>
    <w:p w14:paraId="321B3ACE">
      <w:pPr>
        <w:pStyle w:val="31"/>
        <w:keepNext w:val="0"/>
        <w:keepLines w:val="0"/>
        <w:widowControl w:val="0"/>
        <w:numPr>
          <w:ilvl w:val="2"/>
          <w:numId w:val="1"/>
        </w:numPr>
        <w:suppressLineNumbers w:val="0"/>
        <w:tabs>
          <w:tab w:val="left" w:pos="1080"/>
        </w:tabs>
        <w:spacing w:before="0" w:beforeAutospacing="1" w:after="0" w:afterAutospacing="1" w:line="360" w:lineRule="exact"/>
        <w:ind w:left="1260" w:right="0" w:firstLine="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附件六：《用户手册》（另行提供）</w:t>
      </w:r>
    </w:p>
    <w:p w14:paraId="35221DF8">
      <w:pPr>
        <w:pStyle w:val="31"/>
        <w:keepNext w:val="0"/>
        <w:keepLines w:val="0"/>
        <w:widowControl w:val="0"/>
        <w:numPr>
          <w:ilvl w:val="2"/>
          <w:numId w:val="1"/>
        </w:numPr>
        <w:suppressLineNumbers w:val="0"/>
        <w:tabs>
          <w:tab w:val="left" w:pos="1080"/>
        </w:tabs>
        <w:spacing w:before="0" w:beforeAutospacing="1" w:after="0" w:afterAutospacing="1" w:line="360" w:lineRule="exact"/>
        <w:ind w:left="1260" w:right="0" w:firstLine="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附件七：《租户二次装修管理手册》（另行提供）</w:t>
      </w:r>
    </w:p>
    <w:p w14:paraId="1B83E724">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和本合同有关的印花税、其他有关费用将按有关部门的规定分摊或各自负担。本合同签署后，一方要求签署任何补充协议、变更协议或终止协议的，所发生的印花税和其他有关费用由提出该等要求的一方独自承担。</w:t>
      </w:r>
    </w:p>
    <w:p w14:paraId="7092ACEE">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一方要求公证本合同的，则由此而引起的一切公证费用由该方承担。</w:t>
      </w:r>
    </w:p>
    <w:p w14:paraId="47A5CD9E">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val="0"/>
          <w:sz w:val="22"/>
          <w:szCs w:val="22"/>
        </w:rPr>
      </w:pPr>
      <w:r>
        <w:rPr>
          <w:rFonts w:hint="eastAsia" w:ascii="楷体" w:hAnsi="楷体" w:eastAsia="楷体" w:cs="楷体"/>
          <w:b w:val="0"/>
          <w:kern w:val="0"/>
          <w:sz w:val="22"/>
          <w:szCs w:val="22"/>
          <w:lang w:val="en-US" w:eastAsia="zh-CN" w:bidi="ar"/>
        </w:rPr>
        <w:t>本合同以中文书写，一方根据本合同向另一方发出的或者向另一方发出有关本合同的每份通知、文书、证书或其他通讯皆应以中文书写。</w:t>
      </w:r>
    </w:p>
    <w:p w14:paraId="68729E89">
      <w:pPr>
        <w:pStyle w:val="31"/>
        <w:keepNext w:val="0"/>
        <w:keepLines w:val="0"/>
        <w:widowControl w:val="0"/>
        <w:numPr>
          <w:ilvl w:val="1"/>
          <w:numId w:val="1"/>
        </w:numPr>
        <w:suppressLineNumbers w:val="0"/>
        <w:tabs>
          <w:tab w:val="left" w:pos="737"/>
          <w:tab w:val="left" w:pos="1080"/>
        </w:tabs>
        <w:spacing w:before="0" w:beforeAutospacing="1" w:after="0" w:afterAutospacing="1" w:line="360" w:lineRule="exact"/>
        <w:ind w:left="1080" w:right="0" w:hanging="720"/>
        <w:jc w:val="both"/>
        <w:outlineLvl w:val="1"/>
        <w:rPr>
          <w:rFonts w:hint="eastAsia" w:ascii="楷体" w:hAnsi="楷体" w:eastAsia="楷体" w:cs="楷体"/>
          <w:b/>
          <w:bCs w:val="0"/>
          <w:sz w:val="22"/>
          <w:szCs w:val="22"/>
        </w:rPr>
      </w:pPr>
      <w:r>
        <w:rPr>
          <w:rFonts w:hint="eastAsia" w:ascii="楷体" w:hAnsi="楷体" w:eastAsia="楷体" w:cs="楷体"/>
          <w:b w:val="0"/>
          <w:kern w:val="0"/>
          <w:sz w:val="22"/>
          <w:szCs w:val="22"/>
          <w:lang w:val="en-US" w:eastAsia="zh-CN" w:bidi="ar"/>
        </w:rPr>
        <w:t>本合同一式六份，各方各执二份，自各方盖章之日起生效。</w:t>
      </w:r>
      <w:r>
        <w:rPr>
          <w:rFonts w:hint="eastAsia" w:ascii="楷体" w:hAnsi="楷体" w:eastAsia="楷体" w:cs="楷体"/>
          <w:b/>
          <w:bCs w:val="0"/>
          <w:kern w:val="0"/>
          <w:sz w:val="22"/>
          <w:szCs w:val="22"/>
          <w:lang w:val="en-US" w:eastAsia="zh-CN" w:bidi="ar"/>
        </w:rPr>
        <w:t xml:space="preserve"> </w:t>
      </w:r>
    </w:p>
    <w:p w14:paraId="189759F3">
      <w:pPr>
        <w:keepNext w:val="0"/>
        <w:keepLines w:val="0"/>
        <w:widowControl w:val="0"/>
        <w:suppressLineNumbers w:val="0"/>
        <w:spacing w:before="0" w:beforeAutospacing="1" w:after="0" w:afterAutospacing="0" w:line="360" w:lineRule="exact"/>
        <w:ind w:left="0" w:right="0"/>
        <w:jc w:val="both"/>
        <w:rPr>
          <w:rFonts w:hint="eastAsia" w:ascii="楷体" w:hAnsi="楷体" w:eastAsia="楷体" w:cs="楷体"/>
          <w:b/>
          <w:bCs w:val="0"/>
          <w:kern w:val="0"/>
          <w:sz w:val="24"/>
          <w:szCs w:val="24"/>
        </w:rPr>
      </w:pPr>
      <w:r>
        <w:rPr>
          <w:rFonts w:hint="eastAsia" w:ascii="楷体" w:hAnsi="楷体" w:eastAsia="楷体" w:cs="楷体"/>
          <w:b/>
          <w:bCs w:val="0"/>
          <w:kern w:val="0"/>
          <w:sz w:val="24"/>
          <w:szCs w:val="24"/>
          <w:lang w:val="en-US" w:eastAsia="zh-CN" w:bidi="ar"/>
        </w:rPr>
        <w:t>（以下无正文）</w:t>
      </w:r>
    </w:p>
    <w:p w14:paraId="3690A925">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24"/>
          <w:szCs w:val="24"/>
        </w:rPr>
      </w:pPr>
      <w:r>
        <w:rPr>
          <w:rFonts w:hint="eastAsia" w:ascii="楷体" w:hAnsi="楷体" w:eastAsia="楷体" w:cs="楷体"/>
          <w:kern w:val="0"/>
          <w:sz w:val="24"/>
          <w:szCs w:val="24"/>
          <w:lang w:val="en-US" w:eastAsia="zh-CN" w:bidi="ar"/>
        </w:rPr>
        <w:br w:type="page"/>
      </w:r>
      <w:r>
        <w:rPr>
          <w:rFonts w:hint="eastAsia" w:ascii="楷体" w:hAnsi="楷体" w:eastAsia="楷体" w:cs="楷体"/>
          <w:kern w:val="0"/>
          <w:sz w:val="24"/>
          <w:szCs w:val="24"/>
          <w:lang w:val="en-US" w:eastAsia="zh-CN" w:bidi="ar"/>
        </w:rPr>
        <w:t>附表一</w:t>
      </w:r>
    </w:p>
    <w:p w14:paraId="796DE99D">
      <w:pPr>
        <w:pStyle w:val="31"/>
        <w:keepNext w:val="0"/>
        <w:keepLines w:val="0"/>
        <w:widowControl w:val="0"/>
        <w:suppressLineNumbers w:val="0"/>
        <w:tabs>
          <w:tab w:val="center" w:pos="4153"/>
          <w:tab w:val="right" w:pos="8306"/>
        </w:tabs>
        <w:spacing w:before="0" w:beforeAutospacing="1" w:after="0" w:afterAutospacing="0" w:line="360" w:lineRule="exact"/>
        <w:ind w:left="0" w:right="0"/>
        <w:jc w:val="both"/>
        <w:rPr>
          <w:rFonts w:hint="eastAsia" w:ascii="楷体" w:hAnsi="楷体" w:eastAsia="楷体" w:cs="楷体"/>
          <w:kern w:val="0"/>
          <w:sz w:val="22"/>
          <w:szCs w:val="22"/>
        </w:rPr>
      </w:pPr>
      <w:r>
        <w:rPr>
          <w:rFonts w:hint="eastAsia" w:ascii="楷体" w:hAnsi="楷体" w:eastAsia="楷体" w:cs="楷体"/>
          <w:b/>
          <w:bCs w:val="0"/>
          <w:kern w:val="0"/>
          <w:sz w:val="22"/>
          <w:szCs w:val="22"/>
          <w:lang w:val="en-US" w:eastAsia="zh-CN" w:bidi="ar"/>
        </w:rPr>
        <w:t>“该大厦”</w:t>
      </w:r>
      <w:r>
        <w:rPr>
          <w:rFonts w:hint="eastAsia" w:ascii="楷体" w:hAnsi="楷体" w:eastAsia="楷体" w:cs="楷体"/>
          <w:kern w:val="0"/>
          <w:sz w:val="22"/>
          <w:szCs w:val="22"/>
          <w:lang w:val="en-US" w:eastAsia="zh-CN" w:bidi="ar"/>
        </w:rPr>
        <w:t>系指地处</w:t>
      </w:r>
      <w:r>
        <w:rPr>
          <w:rFonts w:hint="eastAsia" w:ascii="楷体" w:hAnsi="楷体" w:eastAsia="楷体" w:cs="楷体"/>
          <w:kern w:val="0"/>
          <w:sz w:val="22"/>
          <w:szCs w:val="22"/>
          <w:u w:val="single"/>
          <w:lang w:val="en-US" w:eastAsia="zh-CN" w:bidi="ar"/>
        </w:rPr>
        <w:t>上海市浦东新区世纪大道</w:t>
      </w:r>
      <w:r>
        <w:rPr>
          <w:rFonts w:hint="eastAsia" w:ascii="楷体" w:hAnsi="楷体" w:eastAsia="楷体" w:cs="楷体"/>
          <w:kern w:val="0"/>
          <w:sz w:val="22"/>
          <w:szCs w:val="22"/>
          <w:lang w:val="en-US" w:eastAsia="zh-CN" w:bidi="ar"/>
        </w:rPr>
        <w:t>的办公楼。</w:t>
      </w:r>
    </w:p>
    <w:p w14:paraId="6FE1E39E">
      <w:pPr>
        <w:pStyle w:val="31"/>
        <w:keepNext w:val="0"/>
        <w:keepLines w:val="0"/>
        <w:widowControl/>
        <w:suppressLineNumbers w:val="0"/>
        <w:spacing w:before="0" w:beforeAutospacing="1" w:after="0" w:afterAutospacing="1" w:line="360" w:lineRule="exact"/>
        <w:ind w:left="0" w:right="0"/>
        <w:jc w:val="both"/>
        <w:rPr>
          <w:rFonts w:hint="eastAsia" w:ascii="楷体" w:hAnsi="楷体" w:eastAsia="楷体" w:cs="楷体"/>
          <w:sz w:val="22"/>
          <w:szCs w:val="22"/>
        </w:rPr>
      </w:pPr>
      <w:r>
        <w:rPr>
          <w:rFonts w:hint="eastAsia" w:ascii="楷体" w:hAnsi="楷体" w:eastAsia="楷体" w:cs="楷体"/>
          <w:b/>
          <w:bCs w:val="0"/>
          <w:kern w:val="0"/>
          <w:sz w:val="22"/>
          <w:szCs w:val="22"/>
          <w:lang w:val="en-US" w:eastAsia="zh-CN" w:bidi="ar"/>
        </w:rPr>
        <w:t>“该房屋”</w:t>
      </w:r>
      <w:r>
        <w:rPr>
          <w:rFonts w:hint="eastAsia" w:ascii="楷体" w:hAnsi="楷体" w:eastAsia="楷体" w:cs="楷体"/>
          <w:kern w:val="0"/>
          <w:sz w:val="22"/>
          <w:szCs w:val="22"/>
          <w:lang w:val="en-US" w:eastAsia="zh-CN" w:bidi="ar"/>
        </w:rPr>
        <w:t>系指该大厦第</w:t>
      </w:r>
      <w:r>
        <w:rPr>
          <w:rFonts w:hint="eastAsia" w:ascii="楷体" w:hAnsi="楷体" w:eastAsia="楷体" w:cs="楷体"/>
          <w:kern w:val="0"/>
          <w:sz w:val="22"/>
          <w:szCs w:val="22"/>
          <w:u w:val="single"/>
          <w:lang w:val="en-US" w:eastAsia="zh-CN" w:bidi="ar"/>
        </w:rPr>
        <w:t xml:space="preserve"> 21 </w:t>
      </w:r>
      <w:r>
        <w:rPr>
          <w:rFonts w:hint="eastAsia" w:ascii="楷体" w:hAnsi="楷体" w:eastAsia="楷体" w:cs="楷体"/>
          <w:kern w:val="0"/>
          <w:sz w:val="22"/>
          <w:szCs w:val="22"/>
          <w:lang w:val="en-US" w:eastAsia="zh-CN" w:bidi="ar"/>
        </w:rPr>
        <w:t>层（名义楼层）</w:t>
      </w:r>
      <w:r>
        <w:rPr>
          <w:rFonts w:hint="eastAsia" w:ascii="楷体" w:hAnsi="楷体" w:eastAsia="楷体" w:cs="楷体"/>
          <w:kern w:val="0"/>
          <w:sz w:val="22"/>
          <w:szCs w:val="22"/>
          <w:u w:val="single"/>
          <w:lang w:val="en-US" w:eastAsia="zh-CN" w:bidi="ar"/>
        </w:rPr>
        <w:t>整层</w:t>
      </w:r>
      <w:r>
        <w:rPr>
          <w:rFonts w:hint="eastAsia" w:ascii="楷体" w:hAnsi="楷体" w:eastAsia="楷体" w:cs="楷体"/>
          <w:bCs/>
          <w:kern w:val="0"/>
          <w:sz w:val="22"/>
          <w:szCs w:val="22"/>
          <w:lang w:val="en-US" w:eastAsia="zh-CN" w:bidi="ar"/>
        </w:rPr>
        <w:t>（该房屋平面图见本合同附件一）。</w:t>
      </w:r>
    </w:p>
    <w:p w14:paraId="0AEE553B">
      <w:pPr>
        <w:pStyle w:val="31"/>
        <w:keepNext w:val="0"/>
        <w:keepLines w:val="0"/>
        <w:widowControl/>
        <w:suppressLineNumbers w:val="0"/>
        <w:spacing w:before="0" w:beforeAutospacing="1" w:after="0" w:afterAutospacing="1" w:line="360" w:lineRule="exact"/>
        <w:ind w:left="0" w:right="0"/>
        <w:jc w:val="both"/>
        <w:rPr>
          <w:rFonts w:hint="eastAsia" w:ascii="楷体" w:hAnsi="楷体" w:eastAsia="楷体" w:cs="楷体"/>
          <w:sz w:val="22"/>
          <w:szCs w:val="22"/>
        </w:rPr>
      </w:pPr>
      <w:r>
        <w:rPr>
          <w:rFonts w:hint="eastAsia" w:ascii="楷体" w:hAnsi="楷体" w:eastAsia="楷体" w:cs="楷体"/>
          <w:b/>
          <w:bCs w:val="0"/>
          <w:kern w:val="0"/>
          <w:sz w:val="22"/>
          <w:szCs w:val="22"/>
          <w:lang w:val="en-US" w:eastAsia="zh-CN" w:bidi="ar"/>
        </w:rPr>
        <w:t>该房屋的“建筑面积”:</w:t>
      </w:r>
      <w:r>
        <w:rPr>
          <w:rFonts w:hint="eastAsia" w:ascii="楷体" w:hAnsi="楷体" w:eastAsia="楷体" w:cs="楷体"/>
          <w:kern w:val="0"/>
          <w:sz w:val="22"/>
          <w:szCs w:val="22"/>
          <w:u w:val="single"/>
          <w:lang w:val="en-US" w:eastAsia="zh-CN" w:bidi="ar"/>
        </w:rPr>
        <w:t>1684.60</w:t>
      </w:r>
      <w:r>
        <w:rPr>
          <w:rFonts w:hint="eastAsia" w:ascii="楷体" w:hAnsi="楷体" w:eastAsia="楷体" w:cs="楷体"/>
          <w:kern w:val="0"/>
          <w:sz w:val="22"/>
          <w:szCs w:val="22"/>
          <w:lang w:val="en-US" w:eastAsia="zh-CN" w:bidi="ar"/>
        </w:rPr>
        <w:t>平方米。</w:t>
      </w:r>
    </w:p>
    <w:p w14:paraId="47E4E890">
      <w:pPr>
        <w:pStyle w:val="31"/>
        <w:keepNext w:val="0"/>
        <w:keepLines w:val="0"/>
        <w:widowControl/>
        <w:suppressLineNumbers w:val="0"/>
        <w:spacing w:before="0" w:beforeAutospacing="1" w:after="0" w:afterAutospacing="1" w:line="360" w:lineRule="exact"/>
        <w:ind w:left="0" w:leftChars="0" w:right="0" w:firstLine="0" w:firstLineChars="0"/>
        <w:jc w:val="both"/>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“交房日”：</w:t>
      </w:r>
      <w:r>
        <w:rPr>
          <w:rFonts w:hint="eastAsia" w:ascii="楷体" w:hAnsi="楷体" w:eastAsia="楷体" w:cs="楷体"/>
          <w:kern w:val="0"/>
          <w:sz w:val="22"/>
          <w:szCs w:val="22"/>
          <w:u w:val="single"/>
          <w:lang w:val="en-US" w:eastAsia="zh-CN" w:bidi="ar"/>
        </w:rPr>
        <w:t>2026</w:t>
      </w:r>
      <w:r>
        <w:rPr>
          <w:rFonts w:hint="eastAsia" w:ascii="楷体" w:hAnsi="楷体" w:eastAsia="楷体" w:cs="楷体"/>
          <w:kern w:val="0"/>
          <w:sz w:val="22"/>
          <w:szCs w:val="22"/>
          <w:lang w:val="en-US" w:eastAsia="zh-CN" w:bidi="ar"/>
        </w:rPr>
        <w:t>年</w:t>
      </w:r>
      <w:r>
        <w:rPr>
          <w:rFonts w:hint="eastAsia" w:ascii="楷体" w:hAnsi="楷体" w:eastAsia="楷体" w:cs="楷体"/>
          <w:kern w:val="0"/>
          <w:sz w:val="22"/>
          <w:szCs w:val="22"/>
          <w:u w:val="single"/>
          <w:lang w:val="en-US" w:eastAsia="zh-CN" w:bidi="ar"/>
        </w:rPr>
        <w:t>7</w:t>
      </w:r>
      <w:r>
        <w:rPr>
          <w:rFonts w:hint="eastAsia" w:ascii="楷体" w:hAnsi="楷体" w:eastAsia="楷体" w:cs="楷体"/>
          <w:kern w:val="0"/>
          <w:sz w:val="22"/>
          <w:szCs w:val="22"/>
          <w:lang w:val="en-US" w:eastAsia="zh-CN" w:bidi="ar"/>
        </w:rPr>
        <w:t>月</w:t>
      </w:r>
      <w:r>
        <w:rPr>
          <w:rFonts w:hint="eastAsia" w:ascii="楷体" w:hAnsi="楷体" w:eastAsia="楷体" w:cs="楷体"/>
          <w:kern w:val="0"/>
          <w:sz w:val="22"/>
          <w:szCs w:val="22"/>
          <w:u w:val="single"/>
          <w:lang w:val="en-US" w:eastAsia="zh-CN" w:bidi="ar"/>
        </w:rPr>
        <w:t>1</w:t>
      </w:r>
      <w:r>
        <w:rPr>
          <w:rFonts w:hint="eastAsia" w:ascii="楷体" w:hAnsi="楷体" w:eastAsia="楷体" w:cs="楷体"/>
          <w:kern w:val="0"/>
          <w:sz w:val="22"/>
          <w:szCs w:val="22"/>
          <w:lang w:val="en-US" w:eastAsia="zh-CN" w:bidi="ar"/>
        </w:rPr>
        <w:t>日。</w:t>
      </w:r>
    </w:p>
    <w:p w14:paraId="290FB42D">
      <w:pPr>
        <w:pStyle w:val="31"/>
        <w:keepNext w:val="0"/>
        <w:keepLines w:val="0"/>
        <w:widowControl/>
        <w:suppressLineNumbers w:val="0"/>
        <w:spacing w:before="0" w:beforeAutospacing="1" w:after="0" w:afterAutospacing="1" w:line="360" w:lineRule="exact"/>
        <w:ind w:left="0" w:leftChars="0" w:right="0" w:firstLine="0" w:firstLineChars="0"/>
        <w:jc w:val="both"/>
        <w:rPr>
          <w:rFonts w:hint="eastAsia" w:ascii="楷体" w:hAnsi="楷体" w:eastAsia="楷体" w:cs="楷体"/>
          <w:sz w:val="22"/>
          <w:szCs w:val="22"/>
        </w:rPr>
      </w:pPr>
      <w:r>
        <w:rPr>
          <w:rFonts w:hint="eastAsia" w:ascii="楷体" w:hAnsi="楷体" w:eastAsia="楷体" w:cs="楷体"/>
          <w:b/>
          <w:bCs w:val="0"/>
          <w:kern w:val="0"/>
          <w:sz w:val="22"/>
          <w:szCs w:val="22"/>
          <w:lang w:val="en-US" w:eastAsia="zh-CN" w:bidi="ar"/>
        </w:rPr>
        <w:t>“起租日”：</w:t>
      </w:r>
      <w:r>
        <w:rPr>
          <w:rFonts w:hint="eastAsia" w:ascii="楷体" w:hAnsi="楷体" w:eastAsia="楷体" w:cs="楷体"/>
          <w:kern w:val="0"/>
          <w:sz w:val="22"/>
          <w:szCs w:val="22"/>
          <w:u w:val="single"/>
          <w:lang w:val="en-US" w:eastAsia="zh-CN" w:bidi="ar"/>
        </w:rPr>
        <w:t>2026</w:t>
      </w:r>
      <w:r>
        <w:rPr>
          <w:rFonts w:hint="eastAsia" w:ascii="楷体" w:hAnsi="楷体" w:eastAsia="楷体" w:cs="楷体"/>
          <w:kern w:val="0"/>
          <w:sz w:val="22"/>
          <w:szCs w:val="22"/>
          <w:lang w:val="en-US" w:eastAsia="zh-CN" w:bidi="ar"/>
        </w:rPr>
        <w:t>年</w:t>
      </w:r>
      <w:r>
        <w:rPr>
          <w:rFonts w:hint="eastAsia" w:ascii="楷体" w:hAnsi="楷体" w:eastAsia="楷体" w:cs="楷体"/>
          <w:kern w:val="0"/>
          <w:sz w:val="22"/>
          <w:szCs w:val="22"/>
          <w:u w:val="single"/>
          <w:lang w:val="en-US" w:eastAsia="zh-CN" w:bidi="ar"/>
        </w:rPr>
        <w:t>11</w:t>
      </w:r>
      <w:r>
        <w:rPr>
          <w:rFonts w:hint="eastAsia" w:ascii="楷体" w:hAnsi="楷体" w:eastAsia="楷体" w:cs="楷体"/>
          <w:kern w:val="0"/>
          <w:sz w:val="22"/>
          <w:szCs w:val="22"/>
          <w:lang w:val="en-US" w:eastAsia="zh-CN" w:bidi="ar"/>
        </w:rPr>
        <w:t>月</w:t>
      </w:r>
      <w:r>
        <w:rPr>
          <w:rFonts w:hint="eastAsia" w:ascii="楷体" w:hAnsi="楷体" w:eastAsia="楷体" w:cs="楷体"/>
          <w:kern w:val="0"/>
          <w:sz w:val="22"/>
          <w:szCs w:val="22"/>
          <w:u w:val="single"/>
          <w:lang w:val="en-US" w:eastAsia="zh-CN" w:bidi="ar"/>
        </w:rPr>
        <w:t>1</w:t>
      </w:r>
      <w:r>
        <w:rPr>
          <w:rFonts w:hint="eastAsia" w:ascii="楷体" w:hAnsi="楷体" w:eastAsia="楷体" w:cs="楷体"/>
          <w:kern w:val="0"/>
          <w:sz w:val="22"/>
          <w:szCs w:val="22"/>
          <w:lang w:val="en-US" w:eastAsia="zh-CN" w:bidi="ar"/>
        </w:rPr>
        <w:t>日。</w:t>
      </w:r>
    </w:p>
    <w:p w14:paraId="6F389DC3">
      <w:pPr>
        <w:pStyle w:val="31"/>
        <w:keepNext w:val="0"/>
        <w:keepLines w:val="0"/>
        <w:widowControl/>
        <w:suppressLineNumbers w:val="0"/>
        <w:spacing w:before="0" w:beforeAutospacing="1" w:after="0" w:afterAutospacing="1" w:line="360" w:lineRule="exact"/>
        <w:ind w:left="0" w:leftChars="0" w:right="0" w:firstLine="0" w:firstLineChars="0"/>
        <w:jc w:val="both"/>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“装修期”</w:t>
      </w:r>
      <w:r>
        <w:rPr>
          <w:rFonts w:hint="eastAsia" w:ascii="楷体" w:hAnsi="楷体" w:eastAsia="楷体" w:cs="楷体"/>
          <w:kern w:val="0"/>
          <w:sz w:val="22"/>
          <w:szCs w:val="22"/>
          <w:lang w:val="en-US" w:eastAsia="zh-CN" w:bidi="ar"/>
        </w:rPr>
        <w:t>：自交房日起计算，即自即自</w:t>
      </w:r>
      <w:r>
        <w:rPr>
          <w:rFonts w:hint="eastAsia" w:ascii="楷体" w:hAnsi="楷体" w:eastAsia="楷体" w:cs="楷体"/>
          <w:kern w:val="0"/>
          <w:sz w:val="22"/>
          <w:szCs w:val="22"/>
          <w:u w:val="single"/>
          <w:lang w:val="en-US" w:eastAsia="zh-CN" w:bidi="ar"/>
        </w:rPr>
        <w:t>2026</w:t>
      </w:r>
      <w:r>
        <w:rPr>
          <w:rFonts w:hint="eastAsia" w:ascii="楷体" w:hAnsi="楷体" w:eastAsia="楷体" w:cs="楷体"/>
          <w:kern w:val="0"/>
          <w:sz w:val="22"/>
          <w:szCs w:val="22"/>
          <w:lang w:val="en-US" w:eastAsia="zh-CN" w:bidi="ar"/>
        </w:rPr>
        <w:t>年</w:t>
      </w:r>
      <w:r>
        <w:rPr>
          <w:rFonts w:hint="eastAsia" w:ascii="楷体" w:hAnsi="楷体" w:eastAsia="楷体" w:cs="楷体"/>
          <w:kern w:val="0"/>
          <w:sz w:val="22"/>
          <w:szCs w:val="22"/>
          <w:u w:val="single"/>
          <w:lang w:val="en-US" w:eastAsia="zh-CN" w:bidi="ar"/>
        </w:rPr>
        <w:t>7</w:t>
      </w:r>
      <w:r>
        <w:rPr>
          <w:rFonts w:hint="eastAsia" w:ascii="楷体" w:hAnsi="楷体" w:eastAsia="楷体" w:cs="楷体"/>
          <w:kern w:val="0"/>
          <w:sz w:val="22"/>
          <w:szCs w:val="22"/>
          <w:lang w:val="en-US" w:eastAsia="zh-CN" w:bidi="ar"/>
        </w:rPr>
        <w:t>月</w:t>
      </w:r>
      <w:r>
        <w:rPr>
          <w:rFonts w:hint="eastAsia" w:ascii="楷体" w:hAnsi="楷体" w:eastAsia="楷体" w:cs="楷体"/>
          <w:kern w:val="0"/>
          <w:sz w:val="22"/>
          <w:szCs w:val="22"/>
          <w:u w:val="single"/>
          <w:lang w:val="en-US" w:eastAsia="zh-CN" w:bidi="ar"/>
        </w:rPr>
        <w:t>1</w:t>
      </w:r>
      <w:r>
        <w:rPr>
          <w:rFonts w:hint="eastAsia" w:ascii="楷体" w:hAnsi="楷体" w:eastAsia="楷体" w:cs="楷体"/>
          <w:kern w:val="0"/>
          <w:sz w:val="22"/>
          <w:szCs w:val="22"/>
          <w:lang w:val="en-US" w:eastAsia="zh-CN" w:bidi="ar"/>
        </w:rPr>
        <w:t>日起至</w:t>
      </w:r>
      <w:r>
        <w:rPr>
          <w:rFonts w:hint="eastAsia" w:ascii="楷体" w:hAnsi="楷体" w:eastAsia="楷体" w:cs="楷体"/>
          <w:kern w:val="0"/>
          <w:sz w:val="22"/>
          <w:szCs w:val="22"/>
          <w:u w:val="single"/>
          <w:lang w:val="en-US" w:eastAsia="zh-CN" w:bidi="ar"/>
        </w:rPr>
        <w:t>2026</w:t>
      </w:r>
      <w:r>
        <w:rPr>
          <w:rFonts w:hint="eastAsia" w:ascii="楷体" w:hAnsi="楷体" w:eastAsia="楷体" w:cs="楷体"/>
          <w:kern w:val="0"/>
          <w:sz w:val="22"/>
          <w:szCs w:val="22"/>
          <w:lang w:val="en-US" w:eastAsia="zh-CN" w:bidi="ar"/>
        </w:rPr>
        <w:t>年</w:t>
      </w:r>
      <w:r>
        <w:rPr>
          <w:rFonts w:hint="eastAsia" w:ascii="楷体" w:hAnsi="楷体" w:eastAsia="楷体" w:cs="楷体"/>
          <w:kern w:val="0"/>
          <w:sz w:val="22"/>
          <w:szCs w:val="22"/>
          <w:u w:val="single"/>
          <w:lang w:val="en-US" w:eastAsia="zh-CN" w:bidi="ar"/>
        </w:rPr>
        <w:t>10</w:t>
      </w:r>
      <w:r>
        <w:rPr>
          <w:rFonts w:hint="eastAsia" w:ascii="楷体" w:hAnsi="楷体" w:eastAsia="楷体" w:cs="楷体"/>
          <w:kern w:val="0"/>
          <w:sz w:val="22"/>
          <w:szCs w:val="22"/>
          <w:lang w:val="en-US" w:eastAsia="zh-CN" w:bidi="ar"/>
        </w:rPr>
        <w:t>月</w:t>
      </w:r>
      <w:r>
        <w:rPr>
          <w:rFonts w:hint="eastAsia" w:ascii="楷体" w:hAnsi="楷体" w:eastAsia="楷体" w:cs="楷体"/>
          <w:kern w:val="0"/>
          <w:sz w:val="22"/>
          <w:szCs w:val="22"/>
          <w:u w:val="single"/>
          <w:lang w:val="en-US" w:eastAsia="zh-CN" w:bidi="ar"/>
        </w:rPr>
        <w:t>31</w:t>
      </w:r>
      <w:r>
        <w:rPr>
          <w:rFonts w:hint="eastAsia" w:ascii="楷体" w:hAnsi="楷体" w:eastAsia="楷体" w:cs="楷体"/>
          <w:kern w:val="0"/>
          <w:sz w:val="22"/>
          <w:szCs w:val="22"/>
          <w:lang w:val="en-US" w:eastAsia="zh-CN" w:bidi="ar"/>
        </w:rPr>
        <w:t>日止。</w:t>
      </w:r>
    </w:p>
    <w:p w14:paraId="2BF407AF">
      <w:pPr>
        <w:pStyle w:val="31"/>
        <w:keepNext w:val="0"/>
        <w:keepLines w:val="0"/>
        <w:widowControl/>
        <w:suppressLineNumbers w:val="0"/>
        <w:spacing w:before="0" w:beforeAutospacing="1" w:after="0" w:afterAutospacing="1" w:line="360" w:lineRule="exact"/>
        <w:ind w:left="0" w:leftChars="0" w:right="0" w:firstLine="0" w:firstLineChars="0"/>
        <w:jc w:val="both"/>
        <w:rPr>
          <w:rFonts w:hint="eastAsia" w:ascii="楷体" w:hAnsi="楷体" w:eastAsia="楷体" w:cs="楷体"/>
          <w:sz w:val="22"/>
          <w:szCs w:val="22"/>
        </w:rPr>
      </w:pPr>
      <w:r>
        <w:rPr>
          <w:rFonts w:hint="eastAsia" w:ascii="楷体" w:hAnsi="楷体" w:eastAsia="楷体" w:cs="楷体"/>
          <w:b/>
          <w:bCs w:val="0"/>
          <w:kern w:val="0"/>
          <w:sz w:val="22"/>
          <w:szCs w:val="22"/>
          <w:lang w:val="en-US" w:eastAsia="zh-CN" w:bidi="ar"/>
        </w:rPr>
        <w:t>“租赁期限”：</w:t>
      </w:r>
      <w:r>
        <w:rPr>
          <w:rFonts w:hint="eastAsia" w:ascii="楷体" w:hAnsi="楷体" w:eastAsia="楷体" w:cs="楷体"/>
          <w:kern w:val="0"/>
          <w:sz w:val="22"/>
          <w:szCs w:val="22"/>
          <w:u w:val="single"/>
          <w:lang w:val="en-US" w:eastAsia="zh-CN" w:bidi="ar"/>
        </w:rPr>
        <w:t>36</w:t>
      </w:r>
      <w:r>
        <w:rPr>
          <w:rFonts w:hint="eastAsia" w:ascii="楷体" w:hAnsi="楷体" w:eastAsia="楷体" w:cs="楷体"/>
          <w:kern w:val="0"/>
          <w:sz w:val="22"/>
          <w:szCs w:val="22"/>
          <w:lang w:val="en-US" w:eastAsia="zh-CN" w:bidi="ar"/>
        </w:rPr>
        <w:t>个月，自起租日起计算，即自</w:t>
      </w:r>
      <w:r>
        <w:rPr>
          <w:rFonts w:hint="eastAsia" w:ascii="楷体" w:hAnsi="楷体" w:eastAsia="楷体" w:cs="楷体"/>
          <w:kern w:val="0"/>
          <w:sz w:val="22"/>
          <w:szCs w:val="22"/>
          <w:u w:val="single"/>
          <w:lang w:val="en-US" w:eastAsia="zh-CN" w:bidi="ar"/>
        </w:rPr>
        <w:t>2026</w:t>
      </w:r>
      <w:r>
        <w:rPr>
          <w:rFonts w:hint="eastAsia" w:ascii="楷体" w:hAnsi="楷体" w:eastAsia="楷体" w:cs="楷体"/>
          <w:kern w:val="0"/>
          <w:sz w:val="22"/>
          <w:szCs w:val="22"/>
          <w:lang w:val="en-US" w:eastAsia="zh-CN" w:bidi="ar"/>
        </w:rPr>
        <w:t>年</w:t>
      </w:r>
      <w:r>
        <w:rPr>
          <w:rFonts w:hint="eastAsia" w:ascii="楷体" w:hAnsi="楷体" w:eastAsia="楷体" w:cs="楷体"/>
          <w:kern w:val="0"/>
          <w:sz w:val="22"/>
          <w:szCs w:val="22"/>
          <w:u w:val="single"/>
          <w:lang w:val="en-US" w:eastAsia="zh-CN" w:bidi="ar"/>
        </w:rPr>
        <w:t>11</w:t>
      </w:r>
      <w:r>
        <w:rPr>
          <w:rFonts w:hint="eastAsia" w:ascii="楷体" w:hAnsi="楷体" w:eastAsia="楷体" w:cs="楷体"/>
          <w:kern w:val="0"/>
          <w:sz w:val="22"/>
          <w:szCs w:val="22"/>
          <w:lang w:val="en-US" w:eastAsia="zh-CN" w:bidi="ar"/>
        </w:rPr>
        <w:t>月</w:t>
      </w:r>
      <w:r>
        <w:rPr>
          <w:rFonts w:hint="eastAsia" w:ascii="楷体" w:hAnsi="楷体" w:eastAsia="楷体" w:cs="楷体"/>
          <w:kern w:val="0"/>
          <w:sz w:val="22"/>
          <w:szCs w:val="22"/>
          <w:u w:val="single"/>
          <w:lang w:val="en-US" w:eastAsia="zh-CN" w:bidi="ar"/>
        </w:rPr>
        <w:t>1</w:t>
      </w:r>
      <w:r>
        <w:rPr>
          <w:rFonts w:hint="eastAsia" w:ascii="楷体" w:hAnsi="楷体" w:eastAsia="楷体" w:cs="楷体"/>
          <w:kern w:val="0"/>
          <w:sz w:val="22"/>
          <w:szCs w:val="22"/>
          <w:lang w:val="en-US" w:eastAsia="zh-CN" w:bidi="ar"/>
        </w:rPr>
        <w:t>日起至</w:t>
      </w:r>
      <w:r>
        <w:rPr>
          <w:rFonts w:hint="eastAsia" w:ascii="楷体" w:hAnsi="楷体" w:eastAsia="楷体" w:cs="楷体"/>
          <w:kern w:val="0"/>
          <w:sz w:val="22"/>
          <w:szCs w:val="22"/>
          <w:u w:val="single"/>
          <w:lang w:val="en-US" w:eastAsia="zh-CN" w:bidi="ar"/>
        </w:rPr>
        <w:t>2029</w:t>
      </w:r>
      <w:r>
        <w:rPr>
          <w:rFonts w:hint="eastAsia" w:ascii="楷体" w:hAnsi="楷体" w:eastAsia="楷体" w:cs="楷体"/>
          <w:kern w:val="0"/>
          <w:sz w:val="22"/>
          <w:szCs w:val="22"/>
          <w:lang w:val="en-US" w:eastAsia="zh-CN" w:bidi="ar"/>
        </w:rPr>
        <w:t>年</w:t>
      </w:r>
      <w:r>
        <w:rPr>
          <w:rFonts w:hint="eastAsia" w:ascii="楷体" w:hAnsi="楷体" w:eastAsia="楷体" w:cs="楷体"/>
          <w:kern w:val="0"/>
          <w:sz w:val="22"/>
          <w:szCs w:val="22"/>
          <w:u w:val="single"/>
          <w:lang w:val="en-US" w:eastAsia="zh-CN" w:bidi="ar"/>
        </w:rPr>
        <w:t>10</w:t>
      </w:r>
      <w:r>
        <w:rPr>
          <w:rFonts w:hint="eastAsia" w:ascii="楷体" w:hAnsi="楷体" w:eastAsia="楷体" w:cs="楷体"/>
          <w:kern w:val="0"/>
          <w:sz w:val="22"/>
          <w:szCs w:val="22"/>
          <w:lang w:val="en-US" w:eastAsia="zh-CN" w:bidi="ar"/>
        </w:rPr>
        <w:t>月</w:t>
      </w:r>
      <w:r>
        <w:rPr>
          <w:rFonts w:hint="eastAsia" w:ascii="楷体" w:hAnsi="楷体" w:eastAsia="楷体" w:cs="楷体"/>
          <w:kern w:val="0"/>
          <w:sz w:val="22"/>
          <w:szCs w:val="22"/>
          <w:u w:val="single"/>
          <w:lang w:val="en-US" w:eastAsia="zh-CN" w:bidi="ar"/>
        </w:rPr>
        <w:t>31</w:t>
      </w:r>
      <w:r>
        <w:rPr>
          <w:rFonts w:hint="eastAsia" w:ascii="楷体" w:hAnsi="楷体" w:eastAsia="楷体" w:cs="楷体"/>
          <w:kern w:val="0"/>
          <w:sz w:val="22"/>
          <w:szCs w:val="22"/>
          <w:lang w:val="en-US" w:eastAsia="zh-CN" w:bidi="ar"/>
        </w:rPr>
        <w:t>日止。</w:t>
      </w:r>
    </w:p>
    <w:p w14:paraId="1509E5FD">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24"/>
          <w:szCs w:val="24"/>
        </w:rPr>
      </w:pPr>
    </w:p>
    <w:p w14:paraId="3E07D628">
      <w:pPr>
        <w:pStyle w:val="31"/>
        <w:keepNext w:val="0"/>
        <w:keepLines w:val="0"/>
        <w:widowControl/>
        <w:suppressLineNumbers w:val="0"/>
        <w:spacing w:before="0" w:beforeAutospacing="1" w:after="0" w:afterAutospacing="1" w:line="360" w:lineRule="exact"/>
        <w:ind w:left="0" w:leftChars="0" w:right="0" w:firstLine="0" w:firstLineChars="0"/>
        <w:jc w:val="both"/>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关于“增值税”条款的特别约定</w:t>
      </w:r>
    </w:p>
    <w:p w14:paraId="02AA561D">
      <w:pPr>
        <w:pStyle w:val="31"/>
        <w:keepNext w:val="0"/>
        <w:keepLines w:val="0"/>
        <w:widowControl/>
        <w:suppressLineNumbers w:val="0"/>
        <w:spacing w:before="0" w:beforeAutospacing="1" w:after="0" w:afterAutospacing="1" w:line="360" w:lineRule="exact"/>
        <w:ind w:left="0" w:leftChars="0" w:right="0" w:firstLine="0" w:firstLineChars="0"/>
        <w:jc w:val="both"/>
        <w:rPr>
          <w:rFonts w:hint="eastAsia" w:ascii="楷体" w:hAnsi="楷体" w:eastAsia="楷体" w:cs="楷体"/>
          <w:b/>
          <w:bCs w:val="0"/>
          <w:sz w:val="22"/>
          <w:szCs w:val="22"/>
        </w:rPr>
      </w:pPr>
      <w:r>
        <w:rPr>
          <w:rFonts w:hint="eastAsia" w:ascii="楷体" w:hAnsi="楷体" w:eastAsia="楷体" w:cs="楷体"/>
          <w:kern w:val="0"/>
          <w:sz w:val="22"/>
          <w:szCs w:val="22"/>
          <w:lang w:val="en-US" w:eastAsia="zh-CN" w:bidi="ar"/>
        </w:rPr>
        <w:t>租金按现行增值税征收计算方式缴纳</w:t>
      </w:r>
      <w:r>
        <w:rPr>
          <w:rFonts w:hint="eastAsia" w:ascii="楷体" w:hAnsi="楷体" w:eastAsia="楷体" w:cs="楷体"/>
          <w:b/>
          <w:bCs w:val="0"/>
          <w:kern w:val="0"/>
          <w:sz w:val="22"/>
          <w:szCs w:val="22"/>
          <w:lang w:val="en-US" w:eastAsia="zh-CN" w:bidi="ar"/>
        </w:rPr>
        <w:t xml:space="preserve">[ </w:t>
      </w:r>
      <w:r>
        <w:rPr>
          <w:rFonts w:hint="eastAsia" w:ascii="楷体" w:hAnsi="楷体" w:eastAsia="楷体" w:cs="楷体"/>
          <w:b w:val="0"/>
          <w:bCs/>
          <w:kern w:val="0"/>
          <w:sz w:val="22"/>
          <w:szCs w:val="22"/>
          <w:lang w:val="en-US" w:eastAsia="zh-CN" w:bidi="ar"/>
        </w:rPr>
        <w:t>9</w:t>
      </w:r>
      <w:r>
        <w:rPr>
          <w:rFonts w:hint="eastAsia" w:ascii="楷体" w:hAnsi="楷体" w:eastAsia="楷体" w:cs="楷体"/>
          <w:b/>
          <w:bCs w:val="0"/>
          <w:kern w:val="0"/>
          <w:sz w:val="22"/>
          <w:szCs w:val="22"/>
          <w:lang w:val="en-US" w:eastAsia="zh-CN" w:bidi="ar"/>
        </w:rPr>
        <w:t xml:space="preserve"> ]</w:t>
      </w:r>
      <w:r>
        <w:rPr>
          <w:rFonts w:hint="eastAsia" w:ascii="楷体" w:hAnsi="楷体" w:eastAsia="楷体" w:cs="楷体"/>
          <w:kern w:val="0"/>
          <w:sz w:val="22"/>
          <w:szCs w:val="22"/>
          <w:lang w:val="en-US" w:eastAsia="zh-CN" w:bidi="ar"/>
        </w:rPr>
        <w:t>%的增值税，若政府要求调整增值税实际缴纳比例，承租方在接到出租方书面通知后，向出租方支付调整后租金价税合计并补缴租赁押金；若政府要求调减增值税实际缴纳比例，出租应向承租方返还调减后租金价税合计。调整公式为：调整后的租金价税合计=租金*</w:t>
      </w:r>
      <w:r>
        <w:rPr>
          <w:rFonts w:hint="eastAsia" w:ascii="楷体" w:hAnsi="楷体" w:eastAsia="楷体" w:cs="楷体"/>
          <w:b/>
          <w:bCs w:val="0"/>
          <w:kern w:val="0"/>
          <w:sz w:val="22"/>
          <w:szCs w:val="22"/>
          <w:lang w:val="en-US" w:eastAsia="zh-CN" w:bidi="ar"/>
        </w:rPr>
        <w:t>[</w:t>
      </w:r>
      <w:r>
        <w:rPr>
          <w:rFonts w:hint="eastAsia" w:ascii="楷体" w:hAnsi="楷体" w:eastAsia="楷体" w:cs="楷体"/>
          <w:kern w:val="0"/>
          <w:sz w:val="22"/>
          <w:szCs w:val="22"/>
          <w:lang w:val="en-US" w:eastAsia="zh-CN" w:bidi="ar"/>
        </w:rPr>
        <w:t>1+（调整后的增值税税率）</w:t>
      </w:r>
      <w:r>
        <w:rPr>
          <w:rFonts w:hint="eastAsia" w:ascii="楷体" w:hAnsi="楷体" w:eastAsia="楷体" w:cs="楷体"/>
          <w:b/>
          <w:bCs w:val="0"/>
          <w:kern w:val="0"/>
          <w:sz w:val="22"/>
          <w:szCs w:val="22"/>
          <w:lang w:val="en-US" w:eastAsia="zh-CN" w:bidi="ar"/>
        </w:rPr>
        <w:t>]</w:t>
      </w:r>
    </w:p>
    <w:p w14:paraId="76D7A33D">
      <w:pPr>
        <w:pStyle w:val="31"/>
        <w:keepNext w:val="0"/>
        <w:keepLines w:val="0"/>
        <w:widowControl/>
        <w:suppressLineNumbers w:val="0"/>
        <w:spacing w:before="0" w:beforeAutospacing="1" w:after="0" w:afterAutospacing="1" w:line="360" w:lineRule="exact"/>
        <w:ind w:left="720" w:right="0"/>
        <w:jc w:val="both"/>
        <w:rPr>
          <w:rFonts w:hint="eastAsia" w:ascii="楷体" w:hAnsi="楷体" w:eastAsia="楷体" w:cs="楷体"/>
          <w:b/>
          <w:bCs w:val="0"/>
          <w:sz w:val="22"/>
          <w:szCs w:val="22"/>
        </w:rPr>
      </w:pPr>
      <w:r>
        <w:rPr>
          <w:rFonts w:hint="eastAsia" w:ascii="楷体" w:hAnsi="楷体" w:eastAsia="楷体" w:cs="楷体"/>
          <w:b/>
          <w:bCs w:val="0"/>
          <w:kern w:val="0"/>
          <w:sz w:val="22"/>
          <w:szCs w:val="22"/>
          <w:lang w:val="en-US" w:eastAsia="zh-CN" w:bidi="ar"/>
        </w:rPr>
        <w:t xml:space="preserve"> </w:t>
      </w:r>
    </w:p>
    <w:p w14:paraId="19DE7B4F">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24"/>
          <w:szCs w:val="24"/>
        </w:rPr>
      </w:pPr>
      <w:r>
        <w:rPr>
          <w:rFonts w:hint="eastAsia" w:ascii="楷体" w:hAnsi="楷体" w:eastAsia="楷体" w:cs="楷体"/>
          <w:kern w:val="0"/>
          <w:sz w:val="24"/>
          <w:szCs w:val="24"/>
          <w:lang w:val="en-US" w:eastAsia="zh-CN" w:bidi="ar"/>
        </w:rPr>
        <w:t xml:space="preserve"> </w:t>
      </w:r>
    </w:p>
    <w:p w14:paraId="5F9DBC19">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24"/>
          <w:szCs w:val="24"/>
        </w:rPr>
      </w:pPr>
      <w:r>
        <w:rPr>
          <w:rFonts w:hint="eastAsia" w:ascii="楷体" w:hAnsi="楷体" w:eastAsia="楷体" w:cs="楷体"/>
          <w:kern w:val="0"/>
          <w:sz w:val="24"/>
          <w:szCs w:val="24"/>
          <w:lang w:val="en-US" w:eastAsia="zh-CN" w:bidi="ar"/>
        </w:rPr>
        <w:br w:type="page"/>
      </w:r>
      <w:r>
        <w:rPr>
          <w:rFonts w:hint="eastAsia" w:ascii="楷体" w:hAnsi="楷体" w:eastAsia="楷体" w:cs="楷体"/>
          <w:kern w:val="0"/>
          <w:sz w:val="24"/>
          <w:szCs w:val="24"/>
          <w:lang w:val="en-US" w:eastAsia="zh-CN" w:bidi="ar"/>
        </w:rPr>
        <w:t>附表二</w:t>
      </w:r>
    </w:p>
    <w:p w14:paraId="0D7F030D">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kern w:val="0"/>
          <w:sz w:val="22"/>
          <w:szCs w:val="22"/>
        </w:rPr>
      </w:pPr>
      <w:r>
        <w:rPr>
          <w:rFonts w:hint="eastAsia" w:ascii="楷体" w:hAnsi="楷体" w:eastAsia="楷体" w:cs="楷体"/>
          <w:b/>
          <w:bCs w:val="0"/>
          <w:kern w:val="0"/>
          <w:sz w:val="22"/>
          <w:szCs w:val="22"/>
          <w:lang w:val="en-US" w:eastAsia="zh-CN" w:bidi="ar"/>
        </w:rPr>
        <w:t>租金</w:t>
      </w:r>
      <w:r>
        <w:rPr>
          <w:rFonts w:hint="eastAsia" w:ascii="楷体" w:hAnsi="楷体" w:eastAsia="楷体" w:cs="楷体"/>
          <w:kern w:val="0"/>
          <w:sz w:val="22"/>
          <w:szCs w:val="22"/>
          <w:lang w:val="en-US" w:eastAsia="zh-CN" w:bidi="ar"/>
        </w:rPr>
        <w:t>：</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68"/>
        <w:gridCol w:w="2409"/>
        <w:gridCol w:w="2127"/>
        <w:gridCol w:w="2126"/>
      </w:tblGrid>
      <w:tr w14:paraId="79C4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668" w:type="dxa"/>
            <w:tcBorders>
              <w:top w:val="single" w:color="auto" w:sz="4" w:space="0"/>
              <w:left w:val="single" w:color="auto" w:sz="4" w:space="0"/>
              <w:bottom w:val="single" w:color="auto" w:sz="4" w:space="0"/>
              <w:right w:val="single" w:color="auto" w:sz="4" w:space="0"/>
            </w:tcBorders>
            <w:shd w:val="clear" w:color="auto" w:fill="auto"/>
            <w:vAlign w:val="top"/>
          </w:tcPr>
          <w:p w14:paraId="148CD808">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自起租日起</w:t>
            </w:r>
            <w:r>
              <w:rPr>
                <w:rFonts w:hint="eastAsia" w:ascii="楷体" w:hAnsi="楷体" w:eastAsia="楷体" w:cs="楷体"/>
                <w:kern w:val="0"/>
                <w:sz w:val="22"/>
                <w:szCs w:val="22"/>
                <w:lang w:val="en-US" w:eastAsia="zh-CN" w:bidi="ar"/>
              </w:rPr>
              <w:br w:type="textWrapping"/>
            </w:r>
            <w:r>
              <w:rPr>
                <w:rFonts w:hint="eastAsia" w:ascii="楷体" w:hAnsi="楷体" w:eastAsia="楷体" w:cs="楷体"/>
                <w:kern w:val="0"/>
                <w:sz w:val="22"/>
                <w:szCs w:val="22"/>
                <w:lang w:val="en-US" w:eastAsia="zh-CN" w:bidi="ar"/>
              </w:rPr>
              <w:t xml:space="preserve">     年内</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top"/>
          </w:tcPr>
          <w:p w14:paraId="06372212">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日租金单价</w:t>
            </w:r>
            <w:r>
              <w:rPr>
                <w:rFonts w:hint="eastAsia" w:ascii="楷体" w:hAnsi="楷体" w:eastAsia="楷体" w:cs="楷体"/>
                <w:kern w:val="0"/>
                <w:sz w:val="22"/>
                <w:szCs w:val="22"/>
                <w:lang w:val="en-US" w:eastAsia="zh-CN" w:bidi="ar"/>
              </w:rPr>
              <w:br w:type="textWrapping"/>
            </w:r>
            <w:r>
              <w:rPr>
                <w:rFonts w:hint="eastAsia" w:ascii="楷体" w:hAnsi="楷体" w:eastAsia="楷体" w:cs="楷体"/>
                <w:kern w:val="0"/>
                <w:sz w:val="22"/>
                <w:szCs w:val="22"/>
                <w:lang w:val="en-US" w:eastAsia="zh-CN" w:bidi="ar"/>
              </w:rPr>
              <w:t>（元/日/平方米）</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top"/>
          </w:tcPr>
          <w:p w14:paraId="7C68261B">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月租金</w:t>
            </w:r>
            <w:r>
              <w:rPr>
                <w:rFonts w:hint="eastAsia" w:ascii="楷体" w:hAnsi="楷体" w:eastAsia="楷体" w:cs="楷体"/>
                <w:kern w:val="0"/>
                <w:sz w:val="22"/>
                <w:szCs w:val="22"/>
                <w:lang w:val="en-US" w:eastAsia="zh-CN" w:bidi="ar"/>
              </w:rPr>
              <w:br w:type="textWrapping"/>
            </w:r>
            <w:r>
              <w:rPr>
                <w:rFonts w:hint="eastAsia" w:ascii="楷体" w:hAnsi="楷体" w:eastAsia="楷体" w:cs="楷体"/>
                <w:kern w:val="0"/>
                <w:sz w:val="22"/>
                <w:szCs w:val="22"/>
                <w:lang w:val="en-US" w:eastAsia="zh-CN" w:bidi="ar"/>
              </w:rPr>
              <w:t>（元）</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top"/>
          </w:tcPr>
          <w:p w14:paraId="66411D4F">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每期租金</w:t>
            </w:r>
            <w:r>
              <w:rPr>
                <w:rFonts w:hint="eastAsia" w:ascii="楷体" w:hAnsi="楷体" w:eastAsia="楷体" w:cs="楷体"/>
                <w:kern w:val="0"/>
                <w:sz w:val="22"/>
                <w:szCs w:val="22"/>
                <w:lang w:val="en-US" w:eastAsia="zh-CN" w:bidi="ar"/>
              </w:rPr>
              <w:br w:type="textWrapping"/>
            </w:r>
            <w:r>
              <w:rPr>
                <w:rFonts w:hint="eastAsia" w:ascii="楷体" w:hAnsi="楷体" w:eastAsia="楷体" w:cs="楷体"/>
                <w:kern w:val="0"/>
                <w:sz w:val="22"/>
                <w:szCs w:val="22"/>
                <w:lang w:val="en-US" w:eastAsia="zh-CN" w:bidi="ar"/>
              </w:rPr>
              <w:t>（元）</w:t>
            </w:r>
          </w:p>
        </w:tc>
      </w:tr>
      <w:tr w14:paraId="6E50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shd w:val="clear" w:color="auto" w:fill="auto"/>
            <w:vAlign w:val="top"/>
          </w:tcPr>
          <w:p w14:paraId="5F1E76F8">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租金</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top"/>
          </w:tcPr>
          <w:p w14:paraId="282ADF74">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5.42</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top"/>
          </w:tcPr>
          <w:p w14:paraId="24A26A05">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280,169.06</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top"/>
          </w:tcPr>
          <w:p w14:paraId="718CA236">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840,507.18</w:t>
            </w:r>
          </w:p>
        </w:tc>
      </w:tr>
      <w:tr w14:paraId="5BBD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shd w:val="clear" w:color="auto" w:fill="auto"/>
            <w:vAlign w:val="top"/>
          </w:tcPr>
          <w:p w14:paraId="6C8E0581">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增值税</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top"/>
          </w:tcPr>
          <w:p w14:paraId="7883DB89">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0.54</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top"/>
          </w:tcPr>
          <w:p w14:paraId="60ACA764">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25,215.22</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top"/>
          </w:tcPr>
          <w:p w14:paraId="7E7B36D7">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75,645.66</w:t>
            </w:r>
          </w:p>
        </w:tc>
      </w:tr>
      <w:tr w14:paraId="16EE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shd w:val="clear" w:color="auto" w:fill="auto"/>
            <w:vAlign w:val="top"/>
          </w:tcPr>
          <w:p w14:paraId="28AA43CD">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租金价税合计</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top"/>
          </w:tcPr>
          <w:p w14:paraId="541B70A1">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5.96</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top"/>
          </w:tcPr>
          <w:p w14:paraId="38B2D163">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305,384.28</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top"/>
          </w:tcPr>
          <w:p w14:paraId="4166F617">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916,152.84</w:t>
            </w:r>
          </w:p>
        </w:tc>
      </w:tr>
    </w:tbl>
    <w:p w14:paraId="20813ADA">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租金价税合计每</w:t>
      </w:r>
      <w:r>
        <w:rPr>
          <w:rFonts w:hint="eastAsia" w:ascii="楷体" w:hAnsi="楷体" w:eastAsia="楷体" w:cs="楷体"/>
          <w:kern w:val="0"/>
          <w:sz w:val="22"/>
          <w:szCs w:val="22"/>
          <w:u w:val="single"/>
          <w:lang w:val="en-US" w:eastAsia="zh-CN" w:bidi="ar"/>
        </w:rPr>
        <w:t>3</w:t>
      </w:r>
      <w:r>
        <w:rPr>
          <w:rFonts w:hint="eastAsia" w:ascii="楷体" w:hAnsi="楷体" w:eastAsia="楷体" w:cs="楷体"/>
          <w:kern w:val="0"/>
          <w:sz w:val="22"/>
          <w:szCs w:val="22"/>
          <w:lang w:val="en-US" w:eastAsia="zh-CN" w:bidi="ar"/>
        </w:rPr>
        <w:t>个月为一期，承租方应在每期首月的</w:t>
      </w:r>
      <w:r>
        <w:rPr>
          <w:rFonts w:hint="eastAsia" w:ascii="楷体" w:hAnsi="楷体" w:eastAsia="楷体" w:cs="楷体"/>
          <w:kern w:val="0"/>
          <w:sz w:val="22"/>
          <w:szCs w:val="22"/>
          <w:u w:val="single"/>
          <w:lang w:val="en-US" w:eastAsia="zh-CN" w:bidi="ar"/>
        </w:rPr>
        <w:t>10</w:t>
      </w:r>
      <w:r>
        <w:rPr>
          <w:rFonts w:hint="eastAsia" w:ascii="楷体" w:hAnsi="楷体" w:eastAsia="楷体" w:cs="楷体"/>
          <w:kern w:val="0"/>
          <w:sz w:val="22"/>
          <w:szCs w:val="22"/>
          <w:lang w:val="en-US" w:eastAsia="zh-CN" w:bidi="ar"/>
        </w:rPr>
        <w:t>日之前向出租方支付当期租金价税合计。</w:t>
      </w:r>
    </w:p>
    <w:p w14:paraId="27A9D992">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承租方根据本合同第6-2条支付的首笔租金价税合计为人民币</w:t>
      </w:r>
      <w:r>
        <w:rPr>
          <w:rFonts w:hint="eastAsia" w:ascii="楷体" w:hAnsi="楷体" w:eastAsia="楷体" w:cs="楷体"/>
          <w:kern w:val="0"/>
          <w:sz w:val="22"/>
          <w:szCs w:val="22"/>
          <w:u w:val="single"/>
          <w:lang w:val="en-US" w:eastAsia="zh-CN" w:bidi="ar"/>
        </w:rPr>
        <w:t>916,152.84</w:t>
      </w:r>
      <w:r>
        <w:rPr>
          <w:rFonts w:hint="eastAsia" w:ascii="楷体" w:hAnsi="楷体" w:eastAsia="楷体" w:cs="楷体"/>
          <w:kern w:val="0"/>
          <w:sz w:val="22"/>
          <w:szCs w:val="22"/>
          <w:lang w:val="en-US" w:eastAsia="zh-CN" w:bidi="ar"/>
        </w:rPr>
        <w:t>元，为</w:t>
      </w:r>
      <w:r>
        <w:rPr>
          <w:rFonts w:hint="eastAsia" w:ascii="楷体" w:hAnsi="楷体" w:eastAsia="楷体" w:cs="楷体"/>
          <w:kern w:val="0"/>
          <w:sz w:val="22"/>
          <w:szCs w:val="22"/>
          <w:u w:val="single"/>
          <w:lang w:val="en-US" w:eastAsia="zh-CN" w:bidi="ar"/>
        </w:rPr>
        <w:t>2026</w:t>
      </w:r>
      <w:r>
        <w:rPr>
          <w:rFonts w:hint="eastAsia" w:ascii="楷体" w:hAnsi="楷体" w:eastAsia="楷体" w:cs="楷体"/>
          <w:kern w:val="0"/>
          <w:sz w:val="22"/>
          <w:szCs w:val="22"/>
          <w:lang w:val="en-US" w:eastAsia="zh-CN" w:bidi="ar"/>
        </w:rPr>
        <w:t>年</w:t>
      </w:r>
      <w:r>
        <w:rPr>
          <w:rFonts w:hint="eastAsia" w:ascii="楷体" w:hAnsi="楷体" w:eastAsia="楷体" w:cs="楷体"/>
          <w:kern w:val="0"/>
          <w:sz w:val="22"/>
          <w:szCs w:val="22"/>
          <w:u w:val="single"/>
          <w:lang w:val="en-US" w:eastAsia="zh-CN" w:bidi="ar"/>
        </w:rPr>
        <w:t>11</w:t>
      </w:r>
      <w:r>
        <w:rPr>
          <w:rFonts w:hint="eastAsia" w:ascii="楷体" w:hAnsi="楷体" w:eastAsia="楷体" w:cs="楷体"/>
          <w:kern w:val="0"/>
          <w:sz w:val="22"/>
          <w:szCs w:val="22"/>
          <w:lang w:val="en-US" w:eastAsia="zh-CN" w:bidi="ar"/>
        </w:rPr>
        <w:t>月</w:t>
      </w:r>
      <w:r>
        <w:rPr>
          <w:rFonts w:hint="eastAsia" w:ascii="楷体" w:hAnsi="楷体" w:eastAsia="楷体" w:cs="楷体"/>
          <w:kern w:val="0"/>
          <w:sz w:val="22"/>
          <w:szCs w:val="22"/>
          <w:u w:val="single"/>
          <w:lang w:val="en-US" w:eastAsia="zh-CN" w:bidi="ar"/>
        </w:rPr>
        <w:t>1</w:t>
      </w:r>
      <w:r>
        <w:rPr>
          <w:rFonts w:hint="eastAsia" w:ascii="楷体" w:hAnsi="楷体" w:eastAsia="楷体" w:cs="楷体"/>
          <w:kern w:val="0"/>
          <w:sz w:val="22"/>
          <w:szCs w:val="22"/>
          <w:lang w:val="en-US" w:eastAsia="zh-CN" w:bidi="ar"/>
        </w:rPr>
        <w:t>日至</w:t>
      </w:r>
      <w:r>
        <w:rPr>
          <w:rFonts w:hint="eastAsia" w:ascii="楷体" w:hAnsi="楷体" w:eastAsia="楷体" w:cs="楷体"/>
          <w:kern w:val="0"/>
          <w:sz w:val="22"/>
          <w:szCs w:val="22"/>
          <w:u w:val="single"/>
          <w:lang w:val="en-US" w:eastAsia="zh-CN" w:bidi="ar"/>
        </w:rPr>
        <w:t>2027</w:t>
      </w:r>
      <w:r>
        <w:rPr>
          <w:rFonts w:hint="eastAsia" w:ascii="楷体" w:hAnsi="楷体" w:eastAsia="楷体" w:cs="楷体"/>
          <w:kern w:val="0"/>
          <w:sz w:val="22"/>
          <w:szCs w:val="22"/>
          <w:lang w:val="en-US" w:eastAsia="zh-CN" w:bidi="ar"/>
        </w:rPr>
        <w:t>年</w:t>
      </w:r>
      <w:r>
        <w:rPr>
          <w:rFonts w:hint="eastAsia" w:ascii="楷体" w:hAnsi="楷体" w:eastAsia="楷体" w:cs="楷体"/>
          <w:kern w:val="0"/>
          <w:sz w:val="22"/>
          <w:szCs w:val="22"/>
          <w:u w:val="single"/>
          <w:lang w:val="en-US" w:eastAsia="zh-CN" w:bidi="ar"/>
        </w:rPr>
        <w:t>1</w:t>
      </w:r>
      <w:r>
        <w:rPr>
          <w:rFonts w:hint="eastAsia" w:ascii="楷体" w:hAnsi="楷体" w:eastAsia="楷体" w:cs="楷体"/>
          <w:kern w:val="0"/>
          <w:sz w:val="22"/>
          <w:szCs w:val="22"/>
          <w:lang w:val="en-US" w:eastAsia="zh-CN" w:bidi="ar"/>
        </w:rPr>
        <w:t>月</w:t>
      </w:r>
      <w:r>
        <w:rPr>
          <w:rFonts w:hint="eastAsia" w:ascii="楷体" w:hAnsi="楷体" w:eastAsia="楷体" w:cs="楷体"/>
          <w:kern w:val="0"/>
          <w:sz w:val="22"/>
          <w:szCs w:val="22"/>
          <w:u w:val="single"/>
          <w:lang w:val="en-US" w:eastAsia="zh-CN" w:bidi="ar"/>
        </w:rPr>
        <w:t>31</w:t>
      </w:r>
      <w:r>
        <w:rPr>
          <w:rFonts w:hint="eastAsia" w:ascii="楷体" w:hAnsi="楷体" w:eastAsia="楷体" w:cs="楷体"/>
          <w:kern w:val="0"/>
          <w:sz w:val="22"/>
          <w:szCs w:val="22"/>
          <w:lang w:val="en-US" w:eastAsia="zh-CN" w:bidi="ar"/>
        </w:rPr>
        <w:t>日的租金价税合计。</w:t>
      </w:r>
    </w:p>
    <w:p w14:paraId="794EE4AB">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b/>
          <w:bCs w:val="0"/>
          <w:kern w:val="0"/>
          <w:sz w:val="22"/>
          <w:szCs w:val="22"/>
        </w:rPr>
      </w:pPr>
      <w:r>
        <w:rPr>
          <w:rFonts w:hint="eastAsia" w:ascii="楷体" w:hAnsi="楷体" w:eastAsia="楷体" w:cs="楷体"/>
          <w:b/>
          <w:bCs w:val="0"/>
          <w:kern w:val="0"/>
          <w:sz w:val="22"/>
          <w:szCs w:val="22"/>
          <w:lang w:val="en-US" w:eastAsia="zh-CN" w:bidi="ar"/>
        </w:rPr>
        <w:t>租金折扣：</w:t>
      </w:r>
    </w:p>
    <w:p w14:paraId="474637BD">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color w:val="000000"/>
          <w:kern w:val="0"/>
          <w:sz w:val="22"/>
          <w:szCs w:val="22"/>
        </w:rPr>
      </w:pPr>
      <w:r>
        <w:rPr>
          <w:rFonts w:hint="eastAsia" w:ascii="楷体" w:hAnsi="楷体" w:eastAsia="楷体" w:cs="楷体"/>
          <w:kern w:val="0"/>
          <w:sz w:val="22"/>
          <w:szCs w:val="22"/>
          <w:u w:val="single"/>
          <w:lang w:val="en-US" w:eastAsia="zh-CN" w:bidi="ar"/>
        </w:rPr>
        <w:t>2029</w:t>
      </w:r>
      <w:r>
        <w:rPr>
          <w:rFonts w:hint="eastAsia" w:ascii="楷体" w:hAnsi="楷体" w:eastAsia="楷体" w:cs="楷体"/>
          <w:color w:val="000000"/>
          <w:kern w:val="0"/>
          <w:sz w:val="22"/>
          <w:szCs w:val="22"/>
          <w:lang w:val="en-US" w:eastAsia="zh-CN" w:bidi="ar"/>
        </w:rPr>
        <w:t>年</w:t>
      </w:r>
      <w:r>
        <w:rPr>
          <w:rFonts w:hint="eastAsia" w:ascii="楷体" w:hAnsi="楷体" w:eastAsia="楷体" w:cs="楷体"/>
          <w:color w:val="000000"/>
          <w:kern w:val="0"/>
          <w:sz w:val="22"/>
          <w:szCs w:val="22"/>
          <w:u w:val="single"/>
          <w:lang w:val="en-US" w:eastAsia="zh-CN" w:bidi="ar"/>
        </w:rPr>
        <w:t>8</w:t>
      </w:r>
      <w:r>
        <w:rPr>
          <w:rFonts w:hint="eastAsia" w:ascii="楷体" w:hAnsi="楷体" w:eastAsia="楷体" w:cs="楷体"/>
          <w:color w:val="000000"/>
          <w:kern w:val="0"/>
          <w:sz w:val="22"/>
          <w:szCs w:val="22"/>
          <w:lang w:val="en-US" w:eastAsia="zh-CN" w:bidi="ar"/>
        </w:rPr>
        <w:t>月</w:t>
      </w:r>
      <w:r>
        <w:rPr>
          <w:rFonts w:hint="eastAsia" w:ascii="楷体" w:hAnsi="楷体" w:eastAsia="楷体" w:cs="楷体"/>
          <w:color w:val="000000"/>
          <w:kern w:val="0"/>
          <w:sz w:val="22"/>
          <w:szCs w:val="22"/>
          <w:u w:val="single"/>
          <w:lang w:val="en-US" w:eastAsia="zh-CN" w:bidi="ar"/>
        </w:rPr>
        <w:t>1</w:t>
      </w:r>
      <w:r>
        <w:rPr>
          <w:rFonts w:hint="eastAsia" w:ascii="楷体" w:hAnsi="楷体" w:eastAsia="楷体" w:cs="楷体"/>
          <w:color w:val="000000"/>
          <w:kern w:val="0"/>
          <w:sz w:val="22"/>
          <w:szCs w:val="22"/>
          <w:lang w:val="en-US" w:eastAsia="zh-CN" w:bidi="ar"/>
        </w:rPr>
        <w:t>日至</w:t>
      </w:r>
      <w:r>
        <w:rPr>
          <w:rFonts w:hint="eastAsia" w:ascii="楷体" w:hAnsi="楷体" w:eastAsia="楷体" w:cs="楷体"/>
          <w:color w:val="000000"/>
          <w:kern w:val="0"/>
          <w:sz w:val="22"/>
          <w:szCs w:val="22"/>
          <w:u w:val="single"/>
          <w:lang w:val="en-US" w:eastAsia="zh-CN" w:bidi="ar"/>
        </w:rPr>
        <w:t>2029</w:t>
      </w:r>
      <w:r>
        <w:rPr>
          <w:rFonts w:hint="eastAsia" w:ascii="楷体" w:hAnsi="楷体" w:eastAsia="楷体" w:cs="楷体"/>
          <w:color w:val="000000"/>
          <w:kern w:val="0"/>
          <w:sz w:val="22"/>
          <w:szCs w:val="22"/>
          <w:lang w:val="en-US" w:eastAsia="zh-CN" w:bidi="ar"/>
        </w:rPr>
        <w:t>年</w:t>
      </w:r>
      <w:r>
        <w:rPr>
          <w:rFonts w:hint="eastAsia" w:ascii="楷体" w:hAnsi="楷体" w:eastAsia="楷体" w:cs="楷体"/>
          <w:color w:val="000000"/>
          <w:kern w:val="0"/>
          <w:sz w:val="22"/>
          <w:szCs w:val="22"/>
          <w:u w:val="single"/>
          <w:lang w:val="en-US" w:eastAsia="zh-CN" w:bidi="ar"/>
        </w:rPr>
        <w:t>10</w:t>
      </w:r>
      <w:r>
        <w:rPr>
          <w:rFonts w:hint="eastAsia" w:ascii="楷体" w:hAnsi="楷体" w:eastAsia="楷体" w:cs="楷体"/>
          <w:color w:val="000000"/>
          <w:kern w:val="0"/>
          <w:sz w:val="22"/>
          <w:szCs w:val="22"/>
          <w:lang w:val="en-US" w:eastAsia="zh-CN" w:bidi="ar"/>
        </w:rPr>
        <w:t>月</w:t>
      </w:r>
      <w:r>
        <w:rPr>
          <w:rFonts w:hint="eastAsia" w:ascii="楷体" w:hAnsi="楷体" w:eastAsia="楷体" w:cs="楷体"/>
          <w:color w:val="000000"/>
          <w:kern w:val="0"/>
          <w:sz w:val="22"/>
          <w:szCs w:val="22"/>
          <w:u w:val="single"/>
          <w:lang w:val="en-US" w:eastAsia="zh-CN" w:bidi="ar"/>
        </w:rPr>
        <w:t>31</w:t>
      </w:r>
      <w:r>
        <w:rPr>
          <w:rFonts w:hint="eastAsia" w:ascii="楷体" w:hAnsi="楷体" w:eastAsia="楷体" w:cs="楷体"/>
          <w:color w:val="000000"/>
          <w:kern w:val="0"/>
          <w:sz w:val="22"/>
          <w:szCs w:val="22"/>
          <w:lang w:val="en-US" w:eastAsia="zh-CN" w:bidi="ar"/>
        </w:rPr>
        <w:t>日的租金价税合计为人民币</w:t>
      </w:r>
      <w:r>
        <w:rPr>
          <w:rFonts w:hint="eastAsia" w:ascii="楷体" w:hAnsi="楷体" w:eastAsia="楷体" w:cs="楷体"/>
          <w:kern w:val="0"/>
          <w:sz w:val="22"/>
          <w:szCs w:val="22"/>
          <w:u w:val="single"/>
          <w:lang w:val="en-US" w:eastAsia="zh-CN" w:bidi="ar"/>
        </w:rPr>
        <w:t>916,152.84</w:t>
      </w:r>
      <w:r>
        <w:rPr>
          <w:rFonts w:hint="eastAsia" w:ascii="楷体" w:hAnsi="楷体" w:eastAsia="楷体" w:cs="楷体"/>
          <w:color w:val="000000"/>
          <w:kern w:val="0"/>
          <w:sz w:val="22"/>
          <w:szCs w:val="22"/>
          <w:lang w:val="en-US" w:eastAsia="zh-CN" w:bidi="ar"/>
        </w:rPr>
        <w:t>元，折扣金额为人民币</w:t>
      </w:r>
      <w:r>
        <w:rPr>
          <w:rFonts w:hint="eastAsia" w:ascii="楷体" w:hAnsi="楷体" w:eastAsia="楷体" w:cs="楷体"/>
          <w:kern w:val="0"/>
          <w:sz w:val="22"/>
          <w:szCs w:val="22"/>
          <w:u w:val="single"/>
          <w:lang w:val="en-US" w:eastAsia="zh-CN" w:bidi="ar"/>
        </w:rPr>
        <w:t>305,384.28</w:t>
      </w:r>
      <w:r>
        <w:rPr>
          <w:rFonts w:hint="eastAsia" w:ascii="楷体" w:hAnsi="楷体" w:eastAsia="楷体" w:cs="楷体"/>
          <w:color w:val="000000"/>
          <w:kern w:val="0"/>
          <w:sz w:val="22"/>
          <w:szCs w:val="22"/>
          <w:lang w:val="en-US" w:eastAsia="zh-CN" w:bidi="ar"/>
        </w:rPr>
        <w:t>元（为避免歧义，折扣金额对应折扣期为</w:t>
      </w:r>
      <w:r>
        <w:rPr>
          <w:rFonts w:hint="eastAsia" w:ascii="楷体" w:hAnsi="楷体" w:eastAsia="楷体" w:cs="楷体"/>
          <w:color w:val="000000"/>
          <w:kern w:val="0"/>
          <w:sz w:val="22"/>
          <w:szCs w:val="22"/>
          <w:u w:val="single"/>
          <w:lang w:val="en-US" w:eastAsia="zh-CN" w:bidi="ar"/>
        </w:rPr>
        <w:t>2029</w:t>
      </w:r>
      <w:r>
        <w:rPr>
          <w:rFonts w:hint="eastAsia" w:ascii="楷体" w:hAnsi="楷体" w:eastAsia="楷体" w:cs="楷体"/>
          <w:color w:val="000000"/>
          <w:kern w:val="0"/>
          <w:sz w:val="22"/>
          <w:szCs w:val="22"/>
          <w:lang w:val="en-US" w:eastAsia="zh-CN" w:bidi="ar"/>
        </w:rPr>
        <w:t>年</w:t>
      </w:r>
      <w:r>
        <w:rPr>
          <w:rFonts w:hint="eastAsia" w:ascii="楷体" w:hAnsi="楷体" w:eastAsia="楷体" w:cs="楷体"/>
          <w:color w:val="000000"/>
          <w:kern w:val="0"/>
          <w:sz w:val="22"/>
          <w:szCs w:val="22"/>
          <w:u w:val="single"/>
          <w:lang w:val="en-US" w:eastAsia="zh-CN" w:bidi="ar"/>
        </w:rPr>
        <w:t>10</w:t>
      </w:r>
      <w:r>
        <w:rPr>
          <w:rFonts w:hint="eastAsia" w:ascii="楷体" w:hAnsi="楷体" w:eastAsia="楷体" w:cs="楷体"/>
          <w:color w:val="000000"/>
          <w:kern w:val="0"/>
          <w:sz w:val="22"/>
          <w:szCs w:val="22"/>
          <w:lang w:val="en-US" w:eastAsia="zh-CN" w:bidi="ar"/>
        </w:rPr>
        <w:t>月</w:t>
      </w:r>
      <w:r>
        <w:rPr>
          <w:rFonts w:hint="eastAsia" w:ascii="楷体" w:hAnsi="楷体" w:eastAsia="楷体" w:cs="楷体"/>
          <w:color w:val="000000"/>
          <w:kern w:val="0"/>
          <w:sz w:val="22"/>
          <w:szCs w:val="22"/>
          <w:u w:val="single"/>
          <w:lang w:val="en-US" w:eastAsia="zh-CN" w:bidi="ar"/>
        </w:rPr>
        <w:t>1</w:t>
      </w:r>
      <w:r>
        <w:rPr>
          <w:rFonts w:hint="eastAsia" w:ascii="楷体" w:hAnsi="楷体" w:eastAsia="楷体" w:cs="楷体"/>
          <w:color w:val="000000"/>
          <w:kern w:val="0"/>
          <w:sz w:val="22"/>
          <w:szCs w:val="22"/>
          <w:lang w:val="en-US" w:eastAsia="zh-CN" w:bidi="ar"/>
        </w:rPr>
        <w:t>日至</w:t>
      </w:r>
      <w:r>
        <w:rPr>
          <w:rFonts w:hint="eastAsia" w:ascii="楷体" w:hAnsi="楷体" w:eastAsia="楷体" w:cs="楷体"/>
          <w:color w:val="000000"/>
          <w:kern w:val="0"/>
          <w:sz w:val="22"/>
          <w:szCs w:val="22"/>
          <w:u w:val="single"/>
          <w:lang w:val="en-US" w:eastAsia="zh-CN" w:bidi="ar"/>
        </w:rPr>
        <w:t>2029</w:t>
      </w:r>
      <w:r>
        <w:rPr>
          <w:rFonts w:hint="eastAsia" w:ascii="楷体" w:hAnsi="楷体" w:eastAsia="楷体" w:cs="楷体"/>
          <w:color w:val="000000"/>
          <w:kern w:val="0"/>
          <w:sz w:val="22"/>
          <w:szCs w:val="22"/>
          <w:lang w:val="en-US" w:eastAsia="zh-CN" w:bidi="ar"/>
        </w:rPr>
        <w:t>年</w:t>
      </w:r>
      <w:r>
        <w:rPr>
          <w:rFonts w:hint="eastAsia" w:ascii="楷体" w:hAnsi="楷体" w:eastAsia="楷体" w:cs="楷体"/>
          <w:color w:val="000000"/>
          <w:kern w:val="0"/>
          <w:sz w:val="22"/>
          <w:szCs w:val="22"/>
          <w:u w:val="single"/>
          <w:lang w:val="en-US" w:eastAsia="zh-CN" w:bidi="ar"/>
        </w:rPr>
        <w:t>10</w:t>
      </w:r>
      <w:r>
        <w:rPr>
          <w:rFonts w:hint="eastAsia" w:ascii="楷体" w:hAnsi="楷体" w:eastAsia="楷体" w:cs="楷体"/>
          <w:color w:val="000000"/>
          <w:kern w:val="0"/>
          <w:sz w:val="22"/>
          <w:szCs w:val="22"/>
          <w:lang w:val="en-US" w:eastAsia="zh-CN" w:bidi="ar"/>
        </w:rPr>
        <w:t>月</w:t>
      </w:r>
      <w:r>
        <w:rPr>
          <w:rFonts w:hint="eastAsia" w:ascii="楷体" w:hAnsi="楷体" w:eastAsia="楷体" w:cs="楷体"/>
          <w:color w:val="000000"/>
          <w:kern w:val="0"/>
          <w:sz w:val="22"/>
          <w:szCs w:val="22"/>
          <w:u w:val="single"/>
          <w:lang w:val="en-US" w:eastAsia="zh-CN" w:bidi="ar"/>
        </w:rPr>
        <w:t>31</w:t>
      </w:r>
      <w:r>
        <w:rPr>
          <w:rFonts w:hint="eastAsia" w:ascii="楷体" w:hAnsi="楷体" w:eastAsia="楷体" w:cs="楷体"/>
          <w:color w:val="000000"/>
          <w:kern w:val="0"/>
          <w:sz w:val="22"/>
          <w:szCs w:val="22"/>
          <w:lang w:val="en-US" w:eastAsia="zh-CN" w:bidi="ar"/>
        </w:rPr>
        <w:t>日期间租金价税合计），折扣后承租方实际需支付的租金价税合计为人民币</w:t>
      </w:r>
      <w:r>
        <w:rPr>
          <w:rFonts w:hint="eastAsia" w:ascii="楷体" w:hAnsi="楷体" w:eastAsia="楷体" w:cs="楷体"/>
          <w:color w:val="000000"/>
          <w:kern w:val="0"/>
          <w:sz w:val="22"/>
          <w:szCs w:val="22"/>
          <w:u w:val="single"/>
          <w:lang w:val="en-US" w:eastAsia="zh-CN" w:bidi="ar"/>
        </w:rPr>
        <w:t>610,768.56</w:t>
      </w:r>
      <w:r>
        <w:rPr>
          <w:rFonts w:hint="eastAsia" w:ascii="楷体" w:hAnsi="楷体" w:eastAsia="楷体" w:cs="楷体"/>
          <w:color w:val="000000"/>
          <w:kern w:val="0"/>
          <w:sz w:val="22"/>
          <w:szCs w:val="22"/>
          <w:lang w:val="en-US" w:eastAsia="zh-CN" w:bidi="ar"/>
        </w:rPr>
        <w:t>元；</w:t>
      </w:r>
    </w:p>
    <w:p w14:paraId="45239915">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b/>
          <w:bCs w:val="0"/>
          <w:color w:val="000000"/>
          <w:kern w:val="0"/>
          <w:sz w:val="22"/>
          <w:szCs w:val="22"/>
        </w:rPr>
      </w:pPr>
      <w:r>
        <w:rPr>
          <w:rFonts w:hint="eastAsia" w:ascii="楷体" w:hAnsi="楷体" w:eastAsia="楷体" w:cs="楷体"/>
          <w:b/>
          <w:bCs w:val="0"/>
          <w:color w:val="000000"/>
          <w:kern w:val="0"/>
          <w:sz w:val="22"/>
          <w:szCs w:val="22"/>
          <w:lang w:val="en-US" w:eastAsia="zh-CN" w:bidi="ar"/>
        </w:rPr>
        <w:t>物业管理费：</w:t>
      </w:r>
    </w:p>
    <w:p w14:paraId="0069779F">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color w:val="000000"/>
          <w:kern w:val="0"/>
          <w:sz w:val="24"/>
          <w:szCs w:val="24"/>
          <w:u w:val="single"/>
        </w:rPr>
      </w:pPr>
      <w:r>
        <w:rPr>
          <w:rFonts w:hint="eastAsia" w:ascii="楷体" w:hAnsi="楷体" w:eastAsia="楷体" w:cs="楷体"/>
          <w:color w:val="000000"/>
          <w:kern w:val="0"/>
          <w:sz w:val="22"/>
          <w:szCs w:val="22"/>
          <w:lang w:val="en-US" w:eastAsia="zh-CN" w:bidi="ar"/>
        </w:rPr>
        <w:t>于本合同签署时，该房屋的物业管理费单价</w:t>
      </w:r>
      <w:r>
        <w:rPr>
          <w:rFonts w:hint="eastAsia" w:ascii="楷体" w:hAnsi="楷体" w:eastAsia="楷体" w:cs="楷体"/>
          <w:color w:val="000000"/>
          <w:kern w:val="0"/>
          <w:sz w:val="24"/>
          <w:szCs w:val="24"/>
          <w:lang w:val="en-US" w:eastAsia="zh-CN" w:bidi="ar"/>
        </w:rPr>
        <w:t>价税合计</w:t>
      </w:r>
      <w:r>
        <w:rPr>
          <w:rFonts w:hint="eastAsia" w:ascii="楷体" w:hAnsi="楷体" w:eastAsia="楷体" w:cs="楷体"/>
          <w:color w:val="000000"/>
          <w:kern w:val="0"/>
          <w:sz w:val="22"/>
          <w:szCs w:val="22"/>
          <w:lang w:val="en-US" w:eastAsia="zh-CN" w:bidi="ar"/>
        </w:rPr>
        <w:t>为人民币</w:t>
      </w:r>
      <w:r>
        <w:rPr>
          <w:rFonts w:hint="eastAsia" w:ascii="楷体" w:hAnsi="楷体" w:eastAsia="楷体" w:cs="楷体"/>
          <w:color w:val="000000"/>
          <w:kern w:val="0"/>
          <w:sz w:val="24"/>
          <w:szCs w:val="24"/>
          <w:u w:val="single"/>
          <w:lang w:val="en-US" w:eastAsia="zh-CN" w:bidi="ar"/>
        </w:rPr>
        <w:t>38</w:t>
      </w:r>
      <w:r>
        <w:rPr>
          <w:rFonts w:hint="eastAsia" w:ascii="楷体" w:hAnsi="楷体" w:eastAsia="楷体" w:cs="楷体"/>
          <w:color w:val="000000"/>
          <w:kern w:val="0"/>
          <w:sz w:val="22"/>
          <w:szCs w:val="22"/>
          <w:lang w:val="en-US" w:eastAsia="zh-CN" w:bidi="ar"/>
        </w:rPr>
        <w:t>元/每平方米建筑面积/月。月物业管理费</w:t>
      </w:r>
      <w:r>
        <w:rPr>
          <w:rFonts w:hint="eastAsia" w:ascii="楷体" w:hAnsi="楷体" w:eastAsia="楷体" w:cs="楷体"/>
          <w:color w:val="000000"/>
          <w:kern w:val="0"/>
          <w:sz w:val="24"/>
          <w:szCs w:val="24"/>
          <w:lang w:val="en-US" w:eastAsia="zh-CN" w:bidi="ar"/>
        </w:rPr>
        <w:t>价税合计</w:t>
      </w:r>
      <w:r>
        <w:rPr>
          <w:rFonts w:hint="eastAsia" w:ascii="楷体" w:hAnsi="楷体" w:eastAsia="楷体" w:cs="楷体"/>
          <w:color w:val="000000"/>
          <w:kern w:val="0"/>
          <w:sz w:val="22"/>
          <w:szCs w:val="22"/>
          <w:lang w:val="en-US" w:eastAsia="zh-CN" w:bidi="ar"/>
        </w:rPr>
        <w:t>为人民币</w:t>
      </w:r>
      <w:r>
        <w:rPr>
          <w:rFonts w:hint="eastAsia" w:ascii="楷体" w:hAnsi="楷体" w:eastAsia="楷体" w:cs="楷体"/>
          <w:kern w:val="0"/>
          <w:sz w:val="22"/>
          <w:szCs w:val="22"/>
          <w:u w:val="single"/>
          <w:lang w:val="en-US" w:eastAsia="zh-CN" w:bidi="ar"/>
        </w:rPr>
        <w:t>64,014.80</w:t>
      </w:r>
      <w:r>
        <w:rPr>
          <w:rFonts w:hint="eastAsia" w:ascii="楷体" w:hAnsi="楷体" w:eastAsia="楷体" w:cs="楷体"/>
          <w:color w:val="000000"/>
          <w:kern w:val="0"/>
          <w:sz w:val="22"/>
          <w:szCs w:val="22"/>
          <w:lang w:val="en-US" w:eastAsia="zh-CN" w:bidi="ar"/>
        </w:rPr>
        <w:t>元，每</w:t>
      </w:r>
      <w:r>
        <w:rPr>
          <w:rFonts w:hint="eastAsia" w:ascii="楷体" w:hAnsi="楷体" w:eastAsia="楷体" w:cs="楷体"/>
          <w:color w:val="000000"/>
          <w:kern w:val="0"/>
          <w:sz w:val="22"/>
          <w:szCs w:val="22"/>
          <w:u w:val="single"/>
          <w:lang w:val="en-US" w:eastAsia="zh-CN" w:bidi="ar"/>
        </w:rPr>
        <w:t>3</w:t>
      </w:r>
      <w:r>
        <w:rPr>
          <w:rFonts w:hint="eastAsia" w:ascii="楷体" w:hAnsi="楷体" w:eastAsia="楷体" w:cs="楷体"/>
          <w:color w:val="000000"/>
          <w:kern w:val="0"/>
          <w:sz w:val="22"/>
          <w:szCs w:val="22"/>
          <w:lang w:val="en-US" w:eastAsia="zh-CN" w:bidi="ar"/>
        </w:rPr>
        <w:t>个月为一期的物业管理费</w:t>
      </w:r>
      <w:r>
        <w:rPr>
          <w:rFonts w:hint="eastAsia" w:ascii="楷体" w:hAnsi="楷体" w:eastAsia="楷体" w:cs="楷体"/>
          <w:color w:val="000000"/>
          <w:kern w:val="0"/>
          <w:sz w:val="24"/>
          <w:szCs w:val="24"/>
          <w:lang w:val="en-US" w:eastAsia="zh-CN" w:bidi="ar"/>
        </w:rPr>
        <w:t>价税合计</w:t>
      </w:r>
      <w:r>
        <w:rPr>
          <w:rFonts w:hint="eastAsia" w:ascii="楷体" w:hAnsi="楷体" w:eastAsia="楷体" w:cs="楷体"/>
          <w:color w:val="000000"/>
          <w:kern w:val="0"/>
          <w:sz w:val="22"/>
          <w:szCs w:val="22"/>
          <w:lang w:val="en-US" w:eastAsia="zh-CN" w:bidi="ar"/>
        </w:rPr>
        <w:t>为人民币</w:t>
      </w:r>
      <w:r>
        <w:rPr>
          <w:rFonts w:hint="eastAsia" w:ascii="楷体" w:hAnsi="楷体" w:eastAsia="楷体" w:cs="楷体"/>
          <w:color w:val="000000"/>
          <w:kern w:val="0"/>
          <w:sz w:val="22"/>
          <w:szCs w:val="22"/>
          <w:u w:val="single"/>
          <w:lang w:val="en-US" w:eastAsia="zh-CN" w:bidi="ar"/>
        </w:rPr>
        <w:t>192,044.40</w:t>
      </w:r>
      <w:r>
        <w:rPr>
          <w:rFonts w:hint="eastAsia" w:ascii="楷体" w:hAnsi="楷体" w:eastAsia="楷体" w:cs="楷体"/>
          <w:color w:val="000000"/>
          <w:kern w:val="0"/>
          <w:sz w:val="22"/>
          <w:szCs w:val="22"/>
          <w:lang w:val="en-US" w:eastAsia="zh-CN" w:bidi="ar"/>
        </w:rPr>
        <w:t>元。</w:t>
      </w:r>
    </w:p>
    <w:p w14:paraId="6FA8A05A">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kern w:val="0"/>
          <w:sz w:val="22"/>
          <w:szCs w:val="22"/>
        </w:rPr>
      </w:pPr>
      <w:r>
        <w:rPr>
          <w:rFonts w:hint="eastAsia" w:ascii="楷体" w:hAnsi="楷体" w:eastAsia="楷体" w:cs="楷体"/>
          <w:color w:val="000000"/>
          <w:kern w:val="0"/>
          <w:sz w:val="22"/>
          <w:szCs w:val="22"/>
          <w:lang w:val="en-US" w:eastAsia="zh-CN" w:bidi="ar"/>
        </w:rPr>
        <w:t>物业管理费</w:t>
      </w:r>
      <w:r>
        <w:rPr>
          <w:rFonts w:hint="eastAsia" w:ascii="楷体" w:hAnsi="楷体" w:eastAsia="楷体" w:cs="楷体"/>
          <w:color w:val="000000"/>
          <w:kern w:val="0"/>
          <w:sz w:val="24"/>
          <w:szCs w:val="24"/>
          <w:lang w:val="en-US" w:eastAsia="zh-CN" w:bidi="ar"/>
        </w:rPr>
        <w:t>价税合计</w:t>
      </w:r>
      <w:r>
        <w:rPr>
          <w:rFonts w:hint="eastAsia" w:ascii="楷体" w:hAnsi="楷体" w:eastAsia="楷体" w:cs="楷体"/>
          <w:color w:val="000000"/>
          <w:kern w:val="0"/>
          <w:sz w:val="22"/>
          <w:szCs w:val="22"/>
          <w:lang w:val="en-US" w:eastAsia="zh-CN" w:bidi="ar"/>
        </w:rPr>
        <w:t>按期支付，承租方应在每期首月</w:t>
      </w:r>
      <w:r>
        <w:rPr>
          <w:rFonts w:hint="eastAsia" w:ascii="楷体" w:hAnsi="楷体" w:eastAsia="楷体" w:cs="楷体"/>
          <w:color w:val="000000"/>
          <w:kern w:val="0"/>
          <w:sz w:val="22"/>
          <w:szCs w:val="22"/>
          <w:u w:val="single"/>
          <w:lang w:val="en-US" w:eastAsia="zh-CN" w:bidi="ar"/>
        </w:rPr>
        <w:t>10</w:t>
      </w:r>
      <w:r>
        <w:rPr>
          <w:rFonts w:hint="eastAsia" w:ascii="楷体" w:hAnsi="楷体" w:eastAsia="楷体" w:cs="楷体"/>
          <w:color w:val="000000"/>
          <w:kern w:val="0"/>
          <w:sz w:val="22"/>
          <w:szCs w:val="22"/>
          <w:lang w:val="en-US" w:eastAsia="zh-CN" w:bidi="ar"/>
        </w:rPr>
        <w:t>日前向物业管理方支付当期物业管理</w:t>
      </w:r>
      <w:r>
        <w:rPr>
          <w:rFonts w:hint="eastAsia" w:ascii="楷体" w:hAnsi="楷体" w:eastAsia="楷体" w:cs="楷体"/>
          <w:kern w:val="0"/>
          <w:sz w:val="22"/>
          <w:szCs w:val="22"/>
          <w:lang w:val="en-US" w:eastAsia="zh-CN" w:bidi="ar"/>
        </w:rPr>
        <w:t>费</w:t>
      </w:r>
      <w:r>
        <w:rPr>
          <w:rFonts w:hint="eastAsia" w:ascii="楷体" w:hAnsi="楷体" w:eastAsia="楷体" w:cs="楷体"/>
          <w:kern w:val="0"/>
          <w:sz w:val="24"/>
          <w:szCs w:val="24"/>
          <w:lang w:val="en-US" w:eastAsia="zh-CN" w:bidi="ar"/>
        </w:rPr>
        <w:t>价税合计</w:t>
      </w:r>
      <w:r>
        <w:rPr>
          <w:rFonts w:hint="eastAsia" w:ascii="楷体" w:hAnsi="楷体" w:eastAsia="楷体" w:cs="楷体"/>
          <w:kern w:val="0"/>
          <w:sz w:val="22"/>
          <w:szCs w:val="22"/>
          <w:lang w:val="en-US" w:eastAsia="zh-CN" w:bidi="ar"/>
        </w:rPr>
        <w:t>。</w:t>
      </w:r>
    </w:p>
    <w:p w14:paraId="1DAB278C">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承租方根据本合同第6-4条支付的首笔物业管理费</w:t>
      </w:r>
      <w:r>
        <w:rPr>
          <w:rFonts w:hint="eastAsia" w:ascii="楷体" w:hAnsi="楷体" w:eastAsia="楷体" w:cs="楷体"/>
          <w:kern w:val="0"/>
          <w:sz w:val="24"/>
          <w:szCs w:val="24"/>
          <w:lang w:val="en-US" w:eastAsia="zh-CN" w:bidi="ar"/>
        </w:rPr>
        <w:t>价税合计</w:t>
      </w:r>
      <w:r>
        <w:rPr>
          <w:rFonts w:hint="eastAsia" w:ascii="楷体" w:hAnsi="楷体" w:eastAsia="楷体" w:cs="楷体"/>
          <w:kern w:val="0"/>
          <w:sz w:val="22"/>
          <w:szCs w:val="22"/>
          <w:lang w:val="en-US" w:eastAsia="zh-CN" w:bidi="ar"/>
        </w:rPr>
        <w:t>为人民币</w:t>
      </w:r>
      <w:r>
        <w:rPr>
          <w:rFonts w:hint="eastAsia" w:ascii="楷体" w:hAnsi="楷体" w:eastAsia="楷体" w:cs="楷体"/>
          <w:color w:val="000000"/>
          <w:kern w:val="0"/>
          <w:sz w:val="22"/>
          <w:szCs w:val="22"/>
          <w:u w:val="single"/>
          <w:lang w:val="en-US" w:eastAsia="zh-CN" w:bidi="ar"/>
        </w:rPr>
        <w:t>256,059.20</w:t>
      </w:r>
      <w:r>
        <w:rPr>
          <w:rFonts w:hint="eastAsia" w:ascii="楷体" w:hAnsi="楷体" w:eastAsia="楷体" w:cs="楷体"/>
          <w:kern w:val="0"/>
          <w:sz w:val="22"/>
          <w:szCs w:val="22"/>
          <w:lang w:val="en-US" w:eastAsia="zh-CN" w:bidi="ar"/>
        </w:rPr>
        <w:t>元，为</w:t>
      </w:r>
      <w:r>
        <w:rPr>
          <w:rFonts w:hint="eastAsia" w:ascii="楷体" w:hAnsi="楷体" w:eastAsia="楷体" w:cs="楷体"/>
          <w:kern w:val="0"/>
          <w:sz w:val="22"/>
          <w:szCs w:val="22"/>
          <w:u w:val="single"/>
          <w:lang w:val="en-US" w:eastAsia="zh-CN" w:bidi="ar"/>
        </w:rPr>
        <w:t>2026</w:t>
      </w:r>
      <w:r>
        <w:rPr>
          <w:rFonts w:hint="eastAsia" w:ascii="楷体" w:hAnsi="楷体" w:eastAsia="楷体" w:cs="楷体"/>
          <w:kern w:val="0"/>
          <w:sz w:val="22"/>
          <w:szCs w:val="22"/>
          <w:lang w:val="en-US" w:eastAsia="zh-CN" w:bidi="ar"/>
        </w:rPr>
        <w:t>年</w:t>
      </w:r>
      <w:r>
        <w:rPr>
          <w:rFonts w:hint="eastAsia" w:ascii="楷体" w:hAnsi="楷体" w:eastAsia="楷体" w:cs="楷体"/>
          <w:kern w:val="0"/>
          <w:sz w:val="22"/>
          <w:szCs w:val="22"/>
          <w:u w:val="single"/>
          <w:lang w:val="en-US" w:eastAsia="zh-CN" w:bidi="ar"/>
        </w:rPr>
        <w:t>7</w:t>
      </w:r>
      <w:r>
        <w:rPr>
          <w:rFonts w:hint="eastAsia" w:ascii="楷体" w:hAnsi="楷体" w:eastAsia="楷体" w:cs="楷体"/>
          <w:kern w:val="0"/>
          <w:sz w:val="22"/>
          <w:szCs w:val="22"/>
          <w:lang w:val="en-US" w:eastAsia="zh-CN" w:bidi="ar"/>
        </w:rPr>
        <w:t>月</w:t>
      </w:r>
      <w:r>
        <w:rPr>
          <w:rFonts w:hint="eastAsia" w:ascii="楷体" w:hAnsi="楷体" w:eastAsia="楷体" w:cs="楷体"/>
          <w:kern w:val="0"/>
          <w:sz w:val="22"/>
          <w:szCs w:val="22"/>
          <w:u w:val="single"/>
          <w:lang w:val="en-US" w:eastAsia="zh-CN" w:bidi="ar"/>
        </w:rPr>
        <w:t>1</w:t>
      </w:r>
      <w:r>
        <w:rPr>
          <w:rFonts w:hint="eastAsia" w:ascii="楷体" w:hAnsi="楷体" w:eastAsia="楷体" w:cs="楷体"/>
          <w:kern w:val="0"/>
          <w:sz w:val="22"/>
          <w:szCs w:val="22"/>
          <w:lang w:val="en-US" w:eastAsia="zh-CN" w:bidi="ar"/>
        </w:rPr>
        <w:t>日至</w:t>
      </w:r>
      <w:r>
        <w:rPr>
          <w:rFonts w:hint="eastAsia" w:ascii="楷体" w:hAnsi="楷体" w:eastAsia="楷体" w:cs="楷体"/>
          <w:kern w:val="0"/>
          <w:sz w:val="22"/>
          <w:szCs w:val="22"/>
          <w:u w:val="single"/>
          <w:lang w:val="en-US" w:eastAsia="zh-CN" w:bidi="ar"/>
        </w:rPr>
        <w:t>2026</w:t>
      </w:r>
      <w:r>
        <w:rPr>
          <w:rFonts w:hint="eastAsia" w:ascii="楷体" w:hAnsi="楷体" w:eastAsia="楷体" w:cs="楷体"/>
          <w:kern w:val="0"/>
          <w:sz w:val="22"/>
          <w:szCs w:val="22"/>
          <w:lang w:val="en-US" w:eastAsia="zh-CN" w:bidi="ar"/>
        </w:rPr>
        <w:t>年</w:t>
      </w:r>
      <w:r>
        <w:rPr>
          <w:rFonts w:hint="eastAsia" w:ascii="楷体" w:hAnsi="楷体" w:eastAsia="楷体" w:cs="楷体"/>
          <w:kern w:val="0"/>
          <w:sz w:val="22"/>
          <w:szCs w:val="22"/>
          <w:u w:val="single"/>
          <w:lang w:val="en-US" w:eastAsia="zh-CN" w:bidi="ar"/>
        </w:rPr>
        <w:t>10</w:t>
      </w:r>
      <w:r>
        <w:rPr>
          <w:rFonts w:hint="eastAsia" w:ascii="楷体" w:hAnsi="楷体" w:eastAsia="楷体" w:cs="楷体"/>
          <w:kern w:val="0"/>
          <w:sz w:val="22"/>
          <w:szCs w:val="22"/>
          <w:lang w:val="en-US" w:eastAsia="zh-CN" w:bidi="ar"/>
        </w:rPr>
        <w:t>月</w:t>
      </w:r>
      <w:r>
        <w:rPr>
          <w:rFonts w:hint="eastAsia" w:ascii="楷体" w:hAnsi="楷体" w:eastAsia="楷体" w:cs="楷体"/>
          <w:kern w:val="0"/>
          <w:sz w:val="22"/>
          <w:szCs w:val="22"/>
          <w:u w:val="single"/>
          <w:lang w:val="en-US" w:eastAsia="zh-CN" w:bidi="ar"/>
        </w:rPr>
        <w:t>31</w:t>
      </w:r>
      <w:r>
        <w:rPr>
          <w:rFonts w:hint="eastAsia" w:ascii="楷体" w:hAnsi="楷体" w:eastAsia="楷体" w:cs="楷体"/>
          <w:kern w:val="0"/>
          <w:sz w:val="22"/>
          <w:szCs w:val="22"/>
          <w:lang w:val="en-US" w:eastAsia="zh-CN" w:bidi="ar"/>
        </w:rPr>
        <w:t>日的物业管理费</w:t>
      </w:r>
      <w:r>
        <w:rPr>
          <w:rFonts w:hint="eastAsia" w:ascii="楷体" w:hAnsi="楷体" w:eastAsia="楷体" w:cs="楷体"/>
          <w:kern w:val="0"/>
          <w:sz w:val="24"/>
          <w:szCs w:val="24"/>
          <w:lang w:val="en-US" w:eastAsia="zh-CN" w:bidi="ar"/>
        </w:rPr>
        <w:t>价税合计</w:t>
      </w:r>
      <w:r>
        <w:rPr>
          <w:rFonts w:hint="eastAsia" w:ascii="楷体" w:hAnsi="楷体" w:eastAsia="楷体" w:cs="楷体"/>
          <w:kern w:val="0"/>
          <w:sz w:val="22"/>
          <w:szCs w:val="22"/>
          <w:lang w:val="en-US" w:eastAsia="zh-CN" w:bidi="ar"/>
        </w:rPr>
        <w:t>。</w:t>
      </w:r>
    </w:p>
    <w:p w14:paraId="61A78A61">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 xml:space="preserve"> </w:t>
      </w:r>
    </w:p>
    <w:p w14:paraId="4F8C0E3D">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b/>
          <w:bCs w:val="0"/>
          <w:kern w:val="0"/>
          <w:sz w:val="22"/>
          <w:szCs w:val="22"/>
        </w:rPr>
      </w:pPr>
      <w:r>
        <w:rPr>
          <w:rFonts w:hint="eastAsia" w:ascii="楷体" w:hAnsi="楷体" w:eastAsia="楷体" w:cs="楷体"/>
          <w:b/>
          <w:bCs w:val="0"/>
          <w:kern w:val="0"/>
          <w:sz w:val="22"/>
          <w:szCs w:val="22"/>
          <w:lang w:val="en-US" w:eastAsia="zh-CN" w:bidi="ar"/>
        </w:rPr>
        <w:t>租赁押金：</w:t>
      </w:r>
    </w:p>
    <w:p w14:paraId="1235E216">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人民币</w:t>
      </w:r>
      <w:r>
        <w:rPr>
          <w:rFonts w:hint="eastAsia" w:ascii="楷体" w:hAnsi="楷体" w:eastAsia="楷体" w:cs="楷体"/>
          <w:kern w:val="0"/>
          <w:sz w:val="22"/>
          <w:szCs w:val="22"/>
          <w:u w:val="single"/>
          <w:lang w:val="en-US" w:eastAsia="zh-CN" w:bidi="ar"/>
        </w:rPr>
        <w:t>1,108,197.24</w:t>
      </w:r>
      <w:r>
        <w:rPr>
          <w:rFonts w:hint="eastAsia" w:ascii="楷体" w:hAnsi="楷体" w:eastAsia="楷体" w:cs="楷体"/>
          <w:kern w:val="0"/>
          <w:sz w:val="22"/>
          <w:szCs w:val="22"/>
          <w:lang w:val="en-US" w:eastAsia="zh-CN" w:bidi="ar"/>
        </w:rPr>
        <w:t>元；其中包括租金押金人民币</w:t>
      </w:r>
      <w:r>
        <w:rPr>
          <w:rFonts w:hint="eastAsia" w:ascii="楷体" w:hAnsi="楷体" w:eastAsia="楷体" w:cs="楷体"/>
          <w:kern w:val="0"/>
          <w:sz w:val="22"/>
          <w:szCs w:val="22"/>
          <w:u w:val="single"/>
          <w:lang w:val="en-US" w:eastAsia="zh-CN" w:bidi="ar"/>
        </w:rPr>
        <w:t>916,152.84</w:t>
      </w:r>
      <w:r>
        <w:rPr>
          <w:rFonts w:hint="eastAsia" w:ascii="楷体" w:hAnsi="楷体" w:eastAsia="楷体" w:cs="楷体"/>
          <w:kern w:val="0"/>
          <w:sz w:val="22"/>
          <w:szCs w:val="22"/>
          <w:lang w:val="en-US" w:eastAsia="zh-CN" w:bidi="ar"/>
        </w:rPr>
        <w:t>元；物业管理费押金人民币</w:t>
      </w:r>
      <w:r>
        <w:rPr>
          <w:rFonts w:hint="eastAsia" w:ascii="楷体" w:hAnsi="楷体" w:eastAsia="楷体" w:cs="楷体"/>
          <w:kern w:val="0"/>
          <w:sz w:val="22"/>
          <w:szCs w:val="22"/>
          <w:u w:val="single"/>
          <w:lang w:val="en-US" w:eastAsia="zh-CN" w:bidi="ar"/>
        </w:rPr>
        <w:t>192,044.40</w:t>
      </w:r>
      <w:r>
        <w:rPr>
          <w:rFonts w:hint="eastAsia" w:ascii="楷体" w:hAnsi="楷体" w:eastAsia="楷体" w:cs="楷体"/>
          <w:kern w:val="0"/>
          <w:sz w:val="22"/>
          <w:szCs w:val="22"/>
          <w:lang w:val="en-US" w:eastAsia="zh-CN" w:bidi="ar"/>
        </w:rPr>
        <w:t>元。</w:t>
      </w:r>
    </w:p>
    <w:p w14:paraId="7D27ACD7">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 xml:space="preserve"> </w:t>
      </w:r>
    </w:p>
    <w:p w14:paraId="0EA0CD73">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b/>
          <w:bCs w:val="0"/>
          <w:kern w:val="0"/>
          <w:sz w:val="22"/>
          <w:szCs w:val="22"/>
        </w:rPr>
      </w:pPr>
      <w:r>
        <w:rPr>
          <w:rFonts w:hint="eastAsia" w:ascii="楷体" w:hAnsi="楷体" w:eastAsia="楷体" w:cs="楷体"/>
          <w:b/>
          <w:bCs w:val="0"/>
          <w:kern w:val="0"/>
          <w:sz w:val="22"/>
          <w:szCs w:val="22"/>
          <w:lang w:val="en-US" w:eastAsia="zh-CN" w:bidi="ar"/>
        </w:rPr>
        <w:t>车位：</w:t>
      </w:r>
    </w:p>
    <w:p w14:paraId="79E250A9">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承租方向出租租用</w:t>
      </w:r>
      <w:r>
        <w:rPr>
          <w:rFonts w:hint="eastAsia" w:ascii="楷体" w:hAnsi="楷体" w:eastAsia="楷体" w:cs="楷体"/>
          <w:kern w:val="0"/>
          <w:sz w:val="24"/>
          <w:szCs w:val="24"/>
          <w:u w:val="single"/>
          <w:lang w:val="en-US" w:eastAsia="zh-CN" w:bidi="ar"/>
        </w:rPr>
        <w:t>9</w:t>
      </w:r>
      <w:r>
        <w:rPr>
          <w:rFonts w:hint="eastAsia" w:ascii="楷体" w:hAnsi="楷体" w:eastAsia="楷体" w:cs="楷体"/>
          <w:kern w:val="0"/>
          <w:sz w:val="22"/>
          <w:szCs w:val="22"/>
          <w:lang w:val="en-US" w:eastAsia="zh-CN" w:bidi="ar"/>
        </w:rPr>
        <w:t>个停车位。于本合同签署时，车位</w:t>
      </w:r>
      <w:r>
        <w:rPr>
          <w:rFonts w:hint="default" w:ascii="楷体" w:hAnsi="楷体" w:eastAsia="楷体" w:cs="楷体"/>
          <w:kern w:val="0"/>
          <w:sz w:val="22"/>
          <w:szCs w:val="22"/>
          <w:lang w:eastAsia="zh-CN" w:bidi="ar"/>
        </w:rPr>
        <w:t>费用</w:t>
      </w:r>
      <w:r>
        <w:rPr>
          <w:rFonts w:hint="eastAsia" w:ascii="楷体" w:hAnsi="楷体" w:eastAsia="楷体" w:cs="楷体"/>
          <w:kern w:val="0"/>
          <w:sz w:val="22"/>
          <w:szCs w:val="22"/>
          <w:lang w:val="en-US" w:eastAsia="zh-CN" w:bidi="ar"/>
        </w:rPr>
        <w:t>为人民币</w:t>
      </w:r>
      <w:r>
        <w:rPr>
          <w:rFonts w:hint="eastAsia" w:ascii="楷体" w:hAnsi="楷体" w:eastAsia="楷体" w:cs="楷体"/>
          <w:kern w:val="0"/>
          <w:sz w:val="24"/>
          <w:szCs w:val="24"/>
          <w:u w:val="single"/>
          <w:lang w:val="en-US" w:eastAsia="zh-CN" w:bidi="ar"/>
        </w:rPr>
        <w:t>800.00</w:t>
      </w:r>
      <w:r>
        <w:rPr>
          <w:rFonts w:hint="eastAsia" w:ascii="楷体" w:hAnsi="楷体" w:eastAsia="楷体" w:cs="楷体"/>
          <w:kern w:val="0"/>
          <w:sz w:val="22"/>
          <w:szCs w:val="22"/>
          <w:lang w:val="en-US" w:eastAsia="zh-CN" w:bidi="ar"/>
        </w:rPr>
        <w:t>元/月/个，</w:t>
      </w:r>
      <w:r>
        <w:rPr>
          <w:rFonts w:hint="default" w:ascii="楷体" w:hAnsi="楷体" w:eastAsia="楷体" w:cs="楷体"/>
          <w:kern w:val="0"/>
          <w:sz w:val="22"/>
          <w:szCs w:val="22"/>
          <w:lang w:eastAsia="zh-CN" w:bidi="ar"/>
        </w:rPr>
        <w:t>其中</w:t>
      </w:r>
      <w:r>
        <w:rPr>
          <w:rFonts w:hint="eastAsia" w:ascii="楷体" w:hAnsi="楷体" w:eastAsia="楷体" w:cs="楷体"/>
          <w:kern w:val="0"/>
          <w:sz w:val="22"/>
          <w:szCs w:val="22"/>
          <w:lang w:val="en-US" w:eastAsia="zh-CN" w:bidi="ar"/>
        </w:rPr>
        <w:t>车位租金价税合计</w:t>
      </w:r>
      <w:r>
        <w:rPr>
          <w:rFonts w:hint="default" w:ascii="楷体" w:hAnsi="楷体" w:eastAsia="楷体" w:cs="楷体"/>
          <w:kern w:val="0"/>
          <w:sz w:val="22"/>
          <w:szCs w:val="22"/>
          <w:lang w:eastAsia="zh-CN" w:bidi="ar"/>
        </w:rPr>
        <w:t>人民</w:t>
      </w:r>
      <w:r>
        <w:rPr>
          <w:rFonts w:hint="eastAsia" w:ascii="楷体" w:hAnsi="楷体" w:eastAsia="楷体" w:cs="楷体"/>
          <w:kern w:val="0"/>
          <w:sz w:val="22"/>
          <w:szCs w:val="22"/>
          <w:lang w:val="en-US" w:eastAsia="zh-CN" w:bidi="ar"/>
        </w:rPr>
        <w:t>币</w:t>
      </w:r>
      <w:r>
        <w:rPr>
          <w:rFonts w:hint="eastAsia" w:ascii="楷体" w:hAnsi="楷体" w:eastAsia="楷体" w:cs="楷体"/>
          <w:kern w:val="0"/>
          <w:sz w:val="24"/>
          <w:szCs w:val="24"/>
          <w:u w:val="single"/>
          <w:lang w:val="en-US" w:eastAsia="zh-CN" w:bidi="ar"/>
        </w:rPr>
        <w:t>650.00</w:t>
      </w:r>
      <w:r>
        <w:rPr>
          <w:rFonts w:hint="eastAsia" w:ascii="楷体" w:hAnsi="楷体" w:eastAsia="楷体" w:cs="楷体"/>
          <w:kern w:val="0"/>
          <w:sz w:val="22"/>
          <w:szCs w:val="22"/>
          <w:lang w:val="en-US" w:eastAsia="zh-CN" w:bidi="ar"/>
        </w:rPr>
        <w:t>元/月个，车位物业管理费</w:t>
      </w:r>
      <w:r>
        <w:rPr>
          <w:rFonts w:hint="eastAsia" w:ascii="楷体" w:hAnsi="楷体" w:eastAsia="楷体" w:cs="楷体"/>
          <w:kern w:val="0"/>
          <w:sz w:val="24"/>
          <w:szCs w:val="24"/>
          <w:lang w:val="en-US" w:eastAsia="zh-CN" w:bidi="ar"/>
        </w:rPr>
        <w:t>价税合计</w:t>
      </w:r>
      <w:r>
        <w:rPr>
          <w:rFonts w:hint="eastAsia" w:ascii="楷体" w:hAnsi="楷体" w:eastAsia="楷体" w:cs="楷体"/>
          <w:kern w:val="0"/>
          <w:sz w:val="22"/>
          <w:szCs w:val="22"/>
          <w:lang w:val="en-US" w:eastAsia="zh-CN" w:bidi="ar"/>
        </w:rPr>
        <w:t>为人</w:t>
      </w:r>
      <w:r>
        <w:rPr>
          <w:rFonts w:hint="default" w:ascii="楷体" w:hAnsi="楷体" w:eastAsia="楷体" w:cs="楷体"/>
          <w:kern w:val="0"/>
          <w:sz w:val="22"/>
          <w:szCs w:val="22"/>
          <w:lang w:eastAsia="zh-CN" w:bidi="ar"/>
        </w:rPr>
        <w:t>民币</w:t>
      </w:r>
      <w:r>
        <w:rPr>
          <w:rFonts w:hint="eastAsia" w:ascii="楷体" w:hAnsi="楷体" w:eastAsia="楷体" w:cs="楷体"/>
          <w:kern w:val="0"/>
          <w:sz w:val="24"/>
          <w:szCs w:val="24"/>
          <w:u w:val="single"/>
          <w:lang w:val="en-US" w:eastAsia="zh-CN" w:bidi="ar"/>
        </w:rPr>
        <w:t>150.00</w:t>
      </w:r>
      <w:r>
        <w:rPr>
          <w:rFonts w:hint="eastAsia" w:ascii="楷体" w:hAnsi="楷体" w:eastAsia="楷体" w:cs="楷体"/>
          <w:kern w:val="0"/>
          <w:sz w:val="22"/>
          <w:szCs w:val="22"/>
          <w:lang w:val="en-US" w:eastAsia="zh-CN" w:bidi="ar"/>
        </w:rPr>
        <w:t>元/月/个月/个。</w:t>
      </w:r>
    </w:p>
    <w:p w14:paraId="3E94A81B">
      <w:pPr>
        <w:pStyle w:val="31"/>
        <w:keepNext w:val="0"/>
        <w:keepLines w:val="0"/>
        <w:widowControl w:val="0"/>
        <w:suppressLineNumbers w:val="0"/>
        <w:spacing w:before="0" w:beforeAutospacing="1" w:after="0" w:afterAutospacing="1" w:line="360" w:lineRule="exact"/>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在承租方及时充分履行合同项下各义务的情况下，租赁期内出租方向承租方提供2个免车位租赁费的非固定停车位，即免除承租方非固定车位租赁费及车位物业管理费，共计1600元/月。</w:t>
      </w:r>
    </w:p>
    <w:p w14:paraId="7C2389F5">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24"/>
          <w:szCs w:val="24"/>
        </w:rPr>
      </w:pPr>
      <w:r>
        <w:rPr>
          <w:rFonts w:hint="eastAsia" w:ascii="楷体" w:hAnsi="楷体" w:eastAsia="楷体" w:cs="楷体"/>
          <w:kern w:val="0"/>
          <w:sz w:val="24"/>
          <w:szCs w:val="24"/>
          <w:lang w:val="en-US" w:eastAsia="zh-CN" w:bidi="ar"/>
        </w:rPr>
        <w:br w:type="page"/>
      </w:r>
      <w:r>
        <w:rPr>
          <w:rFonts w:hint="eastAsia" w:ascii="楷体" w:hAnsi="楷体" w:eastAsia="楷体" w:cs="楷体"/>
          <w:kern w:val="0"/>
          <w:sz w:val="24"/>
          <w:szCs w:val="24"/>
          <w:lang w:val="en-US" w:eastAsia="zh-CN" w:bidi="ar"/>
        </w:rPr>
        <w:t>附表三</w:t>
      </w:r>
    </w:p>
    <w:p w14:paraId="0B4533E8">
      <w:pPr>
        <w:pStyle w:val="31"/>
        <w:keepNext w:val="0"/>
        <w:keepLines w:val="0"/>
        <w:widowControl/>
        <w:suppressLineNumbers w:val="0"/>
        <w:spacing w:before="0" w:beforeAutospacing="1" w:after="0" w:afterAutospacing="1" w:line="360" w:lineRule="exact"/>
        <w:ind w:left="840" w:right="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出租方：上海陆家嘴金融贸易区联合发展有限公司</w:t>
      </w:r>
    </w:p>
    <w:p w14:paraId="3E806A94">
      <w:pPr>
        <w:pStyle w:val="31"/>
        <w:keepNext w:val="0"/>
        <w:keepLines w:val="0"/>
        <w:widowControl/>
        <w:suppressLineNumbers w:val="0"/>
        <w:spacing w:before="0" w:beforeAutospacing="1" w:after="0" w:afterAutospacing="1" w:line="360" w:lineRule="exact"/>
        <w:ind w:left="840" w:right="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户名：</w:t>
      </w:r>
    </w:p>
    <w:p w14:paraId="338914B0">
      <w:pPr>
        <w:pStyle w:val="31"/>
        <w:keepNext w:val="0"/>
        <w:keepLines w:val="0"/>
        <w:widowControl/>
        <w:suppressLineNumbers w:val="0"/>
        <w:spacing w:before="0" w:beforeAutospacing="1" w:after="0" w:afterAutospacing="1" w:line="360" w:lineRule="exact"/>
        <w:ind w:left="840" w:right="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银行：</w:t>
      </w:r>
    </w:p>
    <w:p w14:paraId="13694B0B">
      <w:pPr>
        <w:pStyle w:val="31"/>
        <w:keepNext w:val="0"/>
        <w:keepLines w:val="0"/>
        <w:widowControl/>
        <w:suppressLineNumbers w:val="0"/>
        <w:spacing w:before="0" w:beforeAutospacing="1" w:after="0" w:afterAutospacing="1" w:line="360" w:lineRule="exact"/>
        <w:ind w:left="840" w:right="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账号：</w:t>
      </w:r>
    </w:p>
    <w:p w14:paraId="11E3CD56">
      <w:pPr>
        <w:pStyle w:val="31"/>
        <w:keepNext w:val="0"/>
        <w:keepLines w:val="0"/>
        <w:widowControl/>
        <w:suppressLineNumbers w:val="0"/>
        <w:spacing w:before="0" w:beforeAutospacing="1" w:after="0" w:afterAutospacing="1" w:line="360" w:lineRule="exact"/>
        <w:ind w:left="840" w:right="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 xml:space="preserve"> </w:t>
      </w:r>
    </w:p>
    <w:p w14:paraId="716C7EA5">
      <w:pPr>
        <w:pStyle w:val="31"/>
        <w:keepNext w:val="0"/>
        <w:keepLines w:val="0"/>
        <w:widowControl/>
        <w:suppressLineNumbers w:val="0"/>
        <w:spacing w:before="0" w:beforeAutospacing="1" w:after="0" w:afterAutospacing="1" w:line="360" w:lineRule="exact"/>
        <w:ind w:left="840" w:right="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物业管理方：上海陆家嘴物业管理有限公司</w:t>
      </w:r>
    </w:p>
    <w:p w14:paraId="20F6652E">
      <w:pPr>
        <w:pStyle w:val="31"/>
        <w:keepNext w:val="0"/>
        <w:keepLines w:val="0"/>
        <w:widowControl/>
        <w:suppressLineNumbers w:val="0"/>
        <w:spacing w:before="0" w:beforeAutospacing="1" w:after="0" w:afterAutospacing="1" w:line="360" w:lineRule="exact"/>
        <w:ind w:left="840" w:right="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户名：</w:t>
      </w:r>
    </w:p>
    <w:p w14:paraId="6A31E09D">
      <w:pPr>
        <w:pStyle w:val="31"/>
        <w:keepNext w:val="0"/>
        <w:keepLines w:val="0"/>
        <w:widowControl/>
        <w:suppressLineNumbers w:val="0"/>
        <w:spacing w:before="0" w:beforeAutospacing="1" w:after="0" w:afterAutospacing="1" w:line="360" w:lineRule="exact"/>
        <w:ind w:left="840" w:right="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银行：</w:t>
      </w:r>
    </w:p>
    <w:p w14:paraId="4ED548F0">
      <w:pPr>
        <w:pStyle w:val="31"/>
        <w:keepNext w:val="0"/>
        <w:keepLines w:val="0"/>
        <w:widowControl/>
        <w:suppressLineNumbers w:val="0"/>
        <w:spacing w:before="0" w:beforeAutospacing="1" w:after="0" w:afterAutospacing="1" w:line="360" w:lineRule="exact"/>
        <w:ind w:left="840" w:right="0"/>
        <w:jc w:val="both"/>
        <w:rPr>
          <w:rFonts w:hint="eastAsia" w:ascii="楷体" w:hAnsi="楷体" w:eastAsia="楷体" w:cs="楷体"/>
          <w:sz w:val="22"/>
          <w:szCs w:val="22"/>
        </w:rPr>
      </w:pPr>
      <w:r>
        <w:rPr>
          <w:rFonts w:hint="eastAsia" w:ascii="楷体" w:hAnsi="楷体" w:eastAsia="楷体" w:cs="楷体"/>
          <w:kern w:val="0"/>
          <w:sz w:val="22"/>
          <w:szCs w:val="22"/>
          <w:lang w:val="en-US" w:eastAsia="zh-CN" w:bidi="ar"/>
        </w:rPr>
        <w:t>账号：</w:t>
      </w:r>
    </w:p>
    <w:p w14:paraId="2C5EB55B">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24"/>
          <w:szCs w:val="24"/>
        </w:rPr>
      </w:pPr>
      <w:r>
        <w:rPr>
          <w:rFonts w:hint="eastAsia" w:ascii="楷体" w:hAnsi="楷体" w:eastAsia="楷体" w:cs="楷体"/>
          <w:kern w:val="0"/>
          <w:sz w:val="24"/>
          <w:szCs w:val="24"/>
          <w:lang w:val="en-US" w:eastAsia="zh-CN" w:bidi="ar"/>
        </w:rPr>
        <w:t xml:space="preserve"> </w:t>
      </w:r>
    </w:p>
    <w:p w14:paraId="402AE296">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36"/>
          <w:szCs w:val="36"/>
        </w:rPr>
      </w:pPr>
      <w:r>
        <w:rPr>
          <w:rFonts w:hint="eastAsia" w:ascii="楷体" w:hAnsi="楷体" w:eastAsia="楷体" w:cs="楷体"/>
          <w:kern w:val="0"/>
          <w:sz w:val="36"/>
          <w:szCs w:val="36"/>
          <w:lang w:val="en-US" w:eastAsia="zh-CN" w:bidi="ar"/>
        </w:rPr>
        <w:br w:type="page"/>
      </w:r>
      <w:r>
        <w:rPr>
          <w:rFonts w:hint="eastAsia" w:ascii="楷体" w:hAnsi="楷体" w:eastAsia="楷体" w:cs="楷体"/>
          <w:kern w:val="0"/>
          <w:sz w:val="24"/>
          <w:szCs w:val="24"/>
          <w:lang w:val="en-US" w:eastAsia="zh-CN" w:bidi="ar"/>
        </w:rPr>
        <w:t>附表四</w:t>
      </w:r>
    </w:p>
    <w:tbl>
      <w:tblPr>
        <w:tblStyle w:val="3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07"/>
        <w:gridCol w:w="6667"/>
      </w:tblGrid>
      <w:tr w14:paraId="7644C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top"/>
          </w:tcPr>
          <w:p w14:paraId="277A08D9">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出租方：</w:t>
            </w:r>
          </w:p>
        </w:tc>
        <w:tc>
          <w:tcPr>
            <w:tcW w:w="3842" w:type="pct"/>
            <w:tcBorders>
              <w:top w:val="nil"/>
              <w:left w:val="nil"/>
              <w:bottom w:val="nil"/>
              <w:right w:val="nil"/>
            </w:tcBorders>
            <w:shd w:val="clear" w:color="auto" w:fill="auto"/>
            <w:vAlign w:val="center"/>
          </w:tcPr>
          <w:p w14:paraId="35C7BDE4">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上海陆家嘴金融贸易区联合发展有限公司</w:t>
            </w:r>
          </w:p>
        </w:tc>
      </w:tr>
      <w:tr w14:paraId="7AD1D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3805D43F">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地址：</w:t>
            </w:r>
          </w:p>
        </w:tc>
        <w:tc>
          <w:tcPr>
            <w:tcW w:w="3842" w:type="pct"/>
            <w:tcBorders>
              <w:top w:val="nil"/>
              <w:left w:val="nil"/>
              <w:bottom w:val="nil"/>
              <w:right w:val="nil"/>
            </w:tcBorders>
            <w:shd w:val="clear" w:color="auto" w:fill="auto"/>
            <w:vAlign w:val="center"/>
          </w:tcPr>
          <w:p w14:paraId="48B3966E">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53FEE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407AE747">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 xml:space="preserve">电话： </w:t>
            </w:r>
          </w:p>
        </w:tc>
        <w:tc>
          <w:tcPr>
            <w:tcW w:w="3842" w:type="pct"/>
            <w:tcBorders>
              <w:top w:val="nil"/>
              <w:left w:val="nil"/>
              <w:bottom w:val="nil"/>
              <w:right w:val="nil"/>
            </w:tcBorders>
            <w:shd w:val="clear" w:color="auto" w:fill="auto"/>
            <w:vAlign w:val="center"/>
          </w:tcPr>
          <w:p w14:paraId="667DF9AF">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71B2F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273738A9">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传真：</w:t>
            </w:r>
          </w:p>
        </w:tc>
        <w:tc>
          <w:tcPr>
            <w:tcW w:w="3842" w:type="pct"/>
            <w:tcBorders>
              <w:top w:val="nil"/>
              <w:left w:val="nil"/>
              <w:bottom w:val="nil"/>
              <w:right w:val="nil"/>
            </w:tcBorders>
            <w:shd w:val="clear" w:color="auto" w:fill="auto"/>
            <w:vAlign w:val="center"/>
          </w:tcPr>
          <w:p w14:paraId="6A665F13">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54DD8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26DAC0B7">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 xml:space="preserve">收件人： </w:t>
            </w:r>
          </w:p>
        </w:tc>
        <w:tc>
          <w:tcPr>
            <w:tcW w:w="3842" w:type="pct"/>
            <w:tcBorders>
              <w:top w:val="nil"/>
              <w:left w:val="nil"/>
              <w:bottom w:val="nil"/>
              <w:right w:val="nil"/>
            </w:tcBorders>
            <w:shd w:val="clear" w:color="auto" w:fill="auto"/>
            <w:vAlign w:val="center"/>
          </w:tcPr>
          <w:p w14:paraId="0FB7504B">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0323A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3EA0F22E">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电子邮件：</w:t>
            </w:r>
          </w:p>
        </w:tc>
        <w:tc>
          <w:tcPr>
            <w:tcW w:w="3842" w:type="pct"/>
            <w:tcBorders>
              <w:top w:val="nil"/>
              <w:left w:val="nil"/>
              <w:bottom w:val="nil"/>
              <w:right w:val="nil"/>
            </w:tcBorders>
            <w:shd w:val="clear" w:color="auto" w:fill="auto"/>
            <w:vAlign w:val="center"/>
          </w:tcPr>
          <w:p w14:paraId="185D5217">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184AA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1B9AE302">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承租方：</w:t>
            </w:r>
          </w:p>
        </w:tc>
        <w:tc>
          <w:tcPr>
            <w:tcW w:w="3842" w:type="pct"/>
            <w:tcBorders>
              <w:top w:val="nil"/>
              <w:left w:val="nil"/>
              <w:bottom w:val="nil"/>
              <w:right w:val="nil"/>
            </w:tcBorders>
            <w:shd w:val="clear" w:color="auto" w:fill="auto"/>
            <w:vAlign w:val="center"/>
          </w:tcPr>
          <w:p w14:paraId="17D97635">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网联清算有限公司上海分公司</w:t>
            </w:r>
          </w:p>
        </w:tc>
      </w:tr>
      <w:tr w14:paraId="1D083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1F30E184">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纳税人身份：</w:t>
            </w:r>
          </w:p>
        </w:tc>
        <w:tc>
          <w:tcPr>
            <w:tcW w:w="3842" w:type="pct"/>
            <w:tcBorders>
              <w:top w:val="nil"/>
              <w:left w:val="nil"/>
              <w:bottom w:val="nil"/>
              <w:right w:val="nil"/>
            </w:tcBorders>
            <w:shd w:val="clear" w:color="auto" w:fill="auto"/>
            <w:vAlign w:val="center"/>
          </w:tcPr>
          <w:p w14:paraId="6AFD643C">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48860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47491DD7">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纳税人识别号：</w:t>
            </w:r>
          </w:p>
        </w:tc>
        <w:tc>
          <w:tcPr>
            <w:tcW w:w="3842" w:type="pct"/>
            <w:tcBorders>
              <w:top w:val="nil"/>
              <w:left w:val="nil"/>
              <w:bottom w:val="nil"/>
              <w:right w:val="nil"/>
            </w:tcBorders>
            <w:shd w:val="clear" w:color="auto" w:fill="auto"/>
            <w:vAlign w:val="center"/>
          </w:tcPr>
          <w:p w14:paraId="361DB90E">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60182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0B37A8DA">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开户行：</w:t>
            </w:r>
          </w:p>
        </w:tc>
        <w:tc>
          <w:tcPr>
            <w:tcW w:w="3842" w:type="pct"/>
            <w:tcBorders>
              <w:top w:val="nil"/>
              <w:left w:val="nil"/>
              <w:bottom w:val="nil"/>
              <w:right w:val="nil"/>
            </w:tcBorders>
            <w:shd w:val="clear" w:color="auto" w:fill="auto"/>
            <w:vAlign w:val="center"/>
          </w:tcPr>
          <w:p w14:paraId="16BA282C">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49FEE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0026F5D5">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开户行账号：</w:t>
            </w:r>
          </w:p>
        </w:tc>
        <w:tc>
          <w:tcPr>
            <w:tcW w:w="3842" w:type="pct"/>
            <w:tcBorders>
              <w:top w:val="nil"/>
              <w:left w:val="nil"/>
              <w:bottom w:val="nil"/>
              <w:right w:val="nil"/>
            </w:tcBorders>
            <w:shd w:val="clear" w:color="auto" w:fill="auto"/>
            <w:vAlign w:val="center"/>
          </w:tcPr>
          <w:p w14:paraId="259C82CE">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470A2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35CF7088">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地址：</w:t>
            </w:r>
          </w:p>
        </w:tc>
        <w:tc>
          <w:tcPr>
            <w:tcW w:w="3842" w:type="pct"/>
            <w:tcBorders>
              <w:top w:val="nil"/>
              <w:left w:val="nil"/>
              <w:bottom w:val="nil"/>
              <w:right w:val="nil"/>
            </w:tcBorders>
            <w:shd w:val="clear" w:color="auto" w:fill="auto"/>
            <w:vAlign w:val="center"/>
          </w:tcPr>
          <w:p w14:paraId="3E6B6FBB">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2DCB7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61A9466A">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电话：</w:t>
            </w:r>
          </w:p>
        </w:tc>
        <w:tc>
          <w:tcPr>
            <w:tcW w:w="3842" w:type="pct"/>
            <w:tcBorders>
              <w:top w:val="nil"/>
              <w:left w:val="nil"/>
              <w:bottom w:val="nil"/>
              <w:right w:val="nil"/>
            </w:tcBorders>
            <w:shd w:val="clear" w:color="auto" w:fill="auto"/>
            <w:vAlign w:val="center"/>
          </w:tcPr>
          <w:p w14:paraId="7C1324D1">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3663D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10ECE03C">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传真：</w:t>
            </w:r>
          </w:p>
        </w:tc>
        <w:tc>
          <w:tcPr>
            <w:tcW w:w="3842" w:type="pct"/>
            <w:tcBorders>
              <w:top w:val="nil"/>
              <w:left w:val="nil"/>
              <w:bottom w:val="nil"/>
              <w:right w:val="nil"/>
            </w:tcBorders>
            <w:shd w:val="clear" w:color="auto" w:fill="auto"/>
            <w:vAlign w:val="center"/>
          </w:tcPr>
          <w:p w14:paraId="58D8C9E0">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23C21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58E013DA">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收件人：</w:t>
            </w:r>
          </w:p>
        </w:tc>
        <w:tc>
          <w:tcPr>
            <w:tcW w:w="3842" w:type="pct"/>
            <w:tcBorders>
              <w:top w:val="nil"/>
              <w:left w:val="nil"/>
              <w:bottom w:val="nil"/>
              <w:right w:val="nil"/>
            </w:tcBorders>
            <w:shd w:val="clear" w:color="auto" w:fill="auto"/>
            <w:vAlign w:val="center"/>
          </w:tcPr>
          <w:p w14:paraId="1A5DEBA0">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051A4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394C3225">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电子邮件：</w:t>
            </w:r>
          </w:p>
        </w:tc>
        <w:tc>
          <w:tcPr>
            <w:tcW w:w="3842" w:type="pct"/>
            <w:tcBorders>
              <w:top w:val="nil"/>
              <w:left w:val="nil"/>
              <w:bottom w:val="nil"/>
              <w:right w:val="nil"/>
            </w:tcBorders>
            <w:shd w:val="clear" w:color="auto" w:fill="auto"/>
            <w:vAlign w:val="center"/>
          </w:tcPr>
          <w:p w14:paraId="725A282E">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5FC75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47049B67">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物业管理方：</w:t>
            </w:r>
          </w:p>
        </w:tc>
        <w:tc>
          <w:tcPr>
            <w:tcW w:w="3842" w:type="pct"/>
            <w:tcBorders>
              <w:top w:val="nil"/>
              <w:left w:val="nil"/>
              <w:bottom w:val="nil"/>
              <w:right w:val="nil"/>
            </w:tcBorders>
            <w:shd w:val="clear" w:color="auto" w:fill="auto"/>
            <w:vAlign w:val="center"/>
          </w:tcPr>
          <w:p w14:paraId="71AFB25E">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上海陆家嘴物业管理有限公司</w:t>
            </w:r>
          </w:p>
        </w:tc>
      </w:tr>
      <w:tr w14:paraId="1AA86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7A089912">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 xml:space="preserve">地址： </w:t>
            </w:r>
          </w:p>
        </w:tc>
        <w:tc>
          <w:tcPr>
            <w:tcW w:w="3842" w:type="pct"/>
            <w:tcBorders>
              <w:top w:val="nil"/>
              <w:left w:val="nil"/>
              <w:bottom w:val="nil"/>
              <w:right w:val="nil"/>
            </w:tcBorders>
            <w:shd w:val="clear" w:color="auto" w:fill="auto"/>
            <w:vAlign w:val="center"/>
          </w:tcPr>
          <w:p w14:paraId="408BE419">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2FE49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3B9661C7">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电话：</w:t>
            </w:r>
          </w:p>
        </w:tc>
        <w:tc>
          <w:tcPr>
            <w:tcW w:w="3842" w:type="pct"/>
            <w:tcBorders>
              <w:top w:val="nil"/>
              <w:left w:val="nil"/>
              <w:bottom w:val="nil"/>
              <w:right w:val="nil"/>
            </w:tcBorders>
            <w:shd w:val="clear" w:color="auto" w:fill="auto"/>
            <w:vAlign w:val="center"/>
          </w:tcPr>
          <w:p w14:paraId="23352946">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496FF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65E90C2E">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传真：</w:t>
            </w:r>
          </w:p>
        </w:tc>
        <w:tc>
          <w:tcPr>
            <w:tcW w:w="3842" w:type="pct"/>
            <w:tcBorders>
              <w:top w:val="nil"/>
              <w:left w:val="nil"/>
              <w:bottom w:val="nil"/>
              <w:right w:val="nil"/>
            </w:tcBorders>
            <w:shd w:val="clear" w:color="auto" w:fill="auto"/>
            <w:vAlign w:val="center"/>
          </w:tcPr>
          <w:p w14:paraId="68667F32">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69A4A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113B2B2E">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收件人：</w:t>
            </w:r>
          </w:p>
        </w:tc>
        <w:tc>
          <w:tcPr>
            <w:tcW w:w="3842" w:type="pct"/>
            <w:tcBorders>
              <w:top w:val="nil"/>
              <w:left w:val="nil"/>
              <w:bottom w:val="nil"/>
              <w:right w:val="nil"/>
            </w:tcBorders>
            <w:shd w:val="clear" w:color="auto" w:fill="auto"/>
            <w:vAlign w:val="center"/>
          </w:tcPr>
          <w:p w14:paraId="6B639512">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r w14:paraId="07C7B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1157" w:type="pct"/>
            <w:tcBorders>
              <w:top w:val="nil"/>
              <w:left w:val="nil"/>
              <w:bottom w:val="nil"/>
              <w:right w:val="nil"/>
            </w:tcBorders>
            <w:shd w:val="clear" w:color="auto" w:fill="auto"/>
            <w:vAlign w:val="center"/>
          </w:tcPr>
          <w:p w14:paraId="22A71B23">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r>
              <w:rPr>
                <w:rFonts w:hint="eastAsia" w:ascii="楷体" w:hAnsi="楷体" w:eastAsia="楷体" w:cs="楷体"/>
                <w:kern w:val="0"/>
                <w:sz w:val="22"/>
                <w:szCs w:val="22"/>
                <w:lang w:val="en-US" w:eastAsia="zh-CN" w:bidi="ar"/>
              </w:rPr>
              <w:t>电子邮件：</w:t>
            </w:r>
          </w:p>
        </w:tc>
        <w:tc>
          <w:tcPr>
            <w:tcW w:w="3842" w:type="pct"/>
            <w:tcBorders>
              <w:top w:val="nil"/>
              <w:left w:val="nil"/>
              <w:bottom w:val="nil"/>
              <w:right w:val="nil"/>
            </w:tcBorders>
            <w:shd w:val="clear" w:color="auto" w:fill="auto"/>
            <w:vAlign w:val="center"/>
          </w:tcPr>
          <w:p w14:paraId="3A744A62">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sz w:val="22"/>
                <w:szCs w:val="22"/>
              </w:rPr>
            </w:pPr>
          </w:p>
        </w:tc>
      </w:tr>
    </w:tbl>
    <w:p w14:paraId="6E03ECF2">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36"/>
          <w:szCs w:val="36"/>
        </w:rPr>
      </w:pPr>
      <w:r>
        <w:rPr>
          <w:rFonts w:hint="eastAsia" w:ascii="楷体" w:hAnsi="楷体" w:eastAsia="楷体" w:cs="楷体"/>
          <w:kern w:val="0"/>
          <w:sz w:val="36"/>
          <w:szCs w:val="36"/>
          <w:lang w:val="en-US" w:eastAsia="zh-CN" w:bidi="ar"/>
        </w:rPr>
        <w:t xml:space="preserve"> </w:t>
      </w:r>
    </w:p>
    <w:p w14:paraId="30045F20">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36"/>
          <w:szCs w:val="36"/>
          <w:lang w:val="en-US" w:eastAsia="zh-CN" w:bidi="ar"/>
        </w:rPr>
        <w:br w:type="page"/>
      </w:r>
      <w:r>
        <w:rPr>
          <w:rFonts w:hint="eastAsia" w:ascii="楷体" w:hAnsi="楷体" w:eastAsia="楷体" w:cs="楷体"/>
          <w:kern w:val="0"/>
          <w:sz w:val="36"/>
          <w:szCs w:val="36"/>
          <w:lang w:val="en-US" w:eastAsia="zh-CN" w:bidi="ar"/>
        </w:rPr>
        <w:t>附     件     一</w:t>
      </w:r>
    </w:p>
    <w:p w14:paraId="5A790CCD">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该房屋的平面图</w:t>
      </w:r>
      <w:r>
        <w:rPr>
          <w:rFonts w:hint="eastAsia" w:ascii="楷体" w:hAnsi="楷体" w:eastAsia="楷体" w:cs="楷体"/>
          <w:kern w:val="0"/>
          <w:sz w:val="22"/>
          <w:szCs w:val="22"/>
          <w:lang w:val="en-US" w:eastAsia="zh-CN" w:bidi="ar"/>
        </w:rPr>
        <w:br w:type="textWrapping"/>
      </w:r>
      <w:r>
        <w:rPr>
          <w:rFonts w:hint="eastAsia" w:ascii="楷体" w:hAnsi="楷体" w:eastAsia="楷体" w:cs="楷体"/>
          <w:kern w:val="0"/>
          <w:sz w:val="22"/>
          <w:szCs w:val="22"/>
          <w:lang w:val="en-US" w:eastAsia="zh-CN" w:bidi="ar"/>
        </w:rPr>
        <w:t>-----------------------------------------------------------</w:t>
      </w:r>
    </w:p>
    <w:p w14:paraId="2F4CA365">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(粘贴处)  (骑缝章加盖处)</w:t>
      </w:r>
    </w:p>
    <w:p w14:paraId="24F3B7DF">
      <w:pPr>
        <w:pStyle w:val="31"/>
        <w:keepNext w:val="0"/>
        <w:keepLines w:val="0"/>
        <w:widowControl w:val="0"/>
        <w:suppressLineNumbers w:val="0"/>
        <w:spacing w:before="0" w:beforeAutospacing="1" w:after="0" w:afterAutospacing="1"/>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drawing>
          <wp:inline distT="0" distB="0" distL="114300" distR="114300">
            <wp:extent cx="5365750" cy="4064000"/>
            <wp:effectExtent l="0" t="0" r="635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365750" cy="4064000"/>
                    </a:xfrm>
                    <a:prstGeom prst="rect">
                      <a:avLst/>
                    </a:prstGeom>
                  </pic:spPr>
                </pic:pic>
              </a:graphicData>
            </a:graphic>
          </wp:inline>
        </w:drawing>
      </w:r>
      <w:r>
        <w:rPr>
          <w:rFonts w:hint="eastAsia" w:ascii="楷体" w:hAnsi="楷体" w:eastAsia="楷体" w:cs="楷体"/>
          <w:kern w:val="0"/>
          <w:sz w:val="22"/>
          <w:szCs w:val="22"/>
          <w:lang w:val="en-US" w:eastAsia="zh-CN" w:bidi="ar"/>
        </w:rPr>
        <w:t xml:space="preserve"> </w:t>
      </w:r>
    </w:p>
    <w:p w14:paraId="6084EAC5">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5D80D43E">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7E35B420">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49AF26DE">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4C4262C5">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29187612">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245F56CA">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36008F2F">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36"/>
          <w:szCs w:val="36"/>
        </w:rPr>
      </w:pPr>
      <w:r>
        <w:rPr>
          <w:rFonts w:hint="eastAsia" w:ascii="楷体" w:hAnsi="楷体" w:eastAsia="楷体" w:cs="楷体"/>
          <w:kern w:val="0"/>
          <w:sz w:val="24"/>
          <w:szCs w:val="24"/>
          <w:lang w:val="en-US" w:eastAsia="zh-CN" w:bidi="ar"/>
        </w:rPr>
        <w:br w:type="page"/>
      </w:r>
    </w:p>
    <w:p w14:paraId="4F99EAFE">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b/>
          <w:bCs w:val="0"/>
          <w:kern w:val="0"/>
          <w:sz w:val="22"/>
          <w:szCs w:val="22"/>
        </w:rPr>
      </w:pPr>
      <w:r>
        <w:rPr>
          <w:rFonts w:hint="eastAsia" w:ascii="楷体" w:hAnsi="楷体" w:eastAsia="楷体" w:cs="楷体"/>
          <w:kern w:val="0"/>
          <w:sz w:val="36"/>
          <w:szCs w:val="36"/>
          <w:lang w:val="en-US" w:eastAsia="zh-CN" w:bidi="ar"/>
        </w:rPr>
        <w:t>附       件        二</w:t>
      </w:r>
      <w:r>
        <w:rPr>
          <w:rFonts w:hint="eastAsia" w:ascii="楷体" w:hAnsi="楷体" w:eastAsia="楷体" w:cs="楷体"/>
          <w:kern w:val="0"/>
          <w:sz w:val="18"/>
          <w:szCs w:val="18"/>
          <w:lang w:val="en-US" w:eastAsia="zh-CN" w:bidi="ar"/>
        </w:rPr>
        <w:br w:type="textWrapping"/>
      </w:r>
      <w:r>
        <w:rPr>
          <w:rFonts w:hint="eastAsia" w:ascii="楷体" w:hAnsi="楷体" w:eastAsia="楷体" w:cs="楷体"/>
          <w:b/>
          <w:bCs w:val="0"/>
          <w:kern w:val="0"/>
          <w:sz w:val="22"/>
          <w:szCs w:val="22"/>
          <w:lang w:val="en-US" w:eastAsia="zh-CN" w:bidi="ar"/>
        </w:rPr>
        <w:t>交房确认书（格式）</w:t>
      </w:r>
    </w:p>
    <w:p w14:paraId="56A4ABCB">
      <w:pPr>
        <w:pStyle w:val="31"/>
        <w:keepNext w:val="0"/>
        <w:keepLines w:val="0"/>
        <w:widowControl w:val="0"/>
        <w:suppressLineNumbers w:val="0"/>
        <w:spacing w:before="0" w:beforeAutospacing="1" w:after="0" w:afterAutospacing="0" w:line="360" w:lineRule="exact"/>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依照出租方上海陆家嘴金融贸易区联合发展有限公司和承租方网联清算有限公司上海分公司于[</w:t>
      </w:r>
      <w:r>
        <w:rPr>
          <w:rFonts w:hint="default" w:ascii="楷体" w:hAnsi="楷体" w:eastAsia="楷体" w:cs="楷体"/>
          <w:kern w:val="0"/>
          <w:sz w:val="22"/>
          <w:szCs w:val="22"/>
          <w:lang w:eastAsia="zh-CN" w:bidi="ar"/>
        </w:rPr>
        <w:t xml:space="preserve">   </w:t>
      </w:r>
      <w:r>
        <w:rPr>
          <w:rFonts w:hint="eastAsia" w:ascii="楷体" w:hAnsi="楷体" w:eastAsia="楷体" w:cs="楷体"/>
          <w:kern w:val="0"/>
          <w:sz w:val="22"/>
          <w:szCs w:val="22"/>
          <w:lang w:val="en-US" w:eastAsia="zh-CN" w:bidi="ar"/>
        </w:rPr>
        <w:t>]年[</w:t>
      </w:r>
      <w:r>
        <w:rPr>
          <w:rFonts w:hint="default" w:ascii="楷体" w:hAnsi="楷体" w:eastAsia="楷体" w:cs="楷体"/>
          <w:kern w:val="0"/>
          <w:sz w:val="22"/>
          <w:szCs w:val="22"/>
          <w:lang w:eastAsia="zh-CN" w:bidi="ar"/>
        </w:rPr>
        <w:t xml:space="preserve">   </w:t>
      </w:r>
      <w:r>
        <w:rPr>
          <w:rFonts w:hint="eastAsia" w:ascii="楷体" w:hAnsi="楷体" w:eastAsia="楷体" w:cs="楷体"/>
          <w:kern w:val="0"/>
          <w:sz w:val="22"/>
          <w:szCs w:val="22"/>
          <w:lang w:val="en-US" w:eastAsia="zh-CN" w:bidi="ar"/>
        </w:rPr>
        <w:t>月[</w:t>
      </w:r>
      <w:r>
        <w:rPr>
          <w:rFonts w:hint="default" w:ascii="楷体" w:hAnsi="楷体" w:eastAsia="楷体" w:cs="楷体"/>
          <w:kern w:val="0"/>
          <w:sz w:val="22"/>
          <w:szCs w:val="22"/>
          <w:lang w:eastAsia="zh-CN" w:bidi="ar"/>
        </w:rPr>
        <w:t xml:space="preserve">   </w:t>
      </w:r>
      <w:r>
        <w:rPr>
          <w:rFonts w:hint="eastAsia" w:ascii="楷体" w:hAnsi="楷体" w:eastAsia="楷体" w:cs="楷体"/>
          <w:kern w:val="0"/>
          <w:sz w:val="22"/>
          <w:szCs w:val="22"/>
          <w:lang w:val="en-US" w:eastAsia="zh-CN" w:bidi="ar"/>
        </w:rPr>
        <w:t>]日签订的《房屋租赁合同》(简称“</w:t>
      </w:r>
      <w:r>
        <w:rPr>
          <w:rFonts w:hint="eastAsia" w:ascii="楷体" w:hAnsi="楷体" w:eastAsia="楷体" w:cs="楷体"/>
          <w:b/>
          <w:bCs w:val="0"/>
          <w:kern w:val="0"/>
          <w:sz w:val="22"/>
          <w:szCs w:val="22"/>
          <w:lang w:val="en-US" w:eastAsia="zh-CN" w:bidi="ar"/>
        </w:rPr>
        <w:t>租赁合同</w:t>
      </w:r>
      <w:r>
        <w:rPr>
          <w:rFonts w:hint="eastAsia" w:ascii="楷体" w:hAnsi="楷体" w:eastAsia="楷体" w:cs="楷体"/>
          <w:kern w:val="0"/>
          <w:sz w:val="22"/>
          <w:szCs w:val="22"/>
          <w:lang w:val="en-US" w:eastAsia="zh-CN" w:bidi="ar"/>
        </w:rPr>
        <w:t>”)，出租方和承租方签署本交房确认书。</w:t>
      </w:r>
    </w:p>
    <w:p w14:paraId="6A332C37">
      <w:pPr>
        <w:pStyle w:val="31"/>
        <w:keepNext w:val="0"/>
        <w:keepLines w:val="0"/>
        <w:widowControl w:val="0"/>
        <w:suppressLineNumbers w:val="0"/>
        <w:spacing w:before="0" w:beforeAutospacing="1" w:after="0" w:afterAutospacing="0" w:line="360" w:lineRule="exact"/>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双方在[</w:t>
      </w:r>
      <w:r>
        <w:rPr>
          <w:rFonts w:hint="default" w:ascii="楷体" w:hAnsi="楷体" w:eastAsia="楷体" w:cs="楷体"/>
          <w:kern w:val="0"/>
          <w:sz w:val="22"/>
          <w:szCs w:val="22"/>
          <w:lang w:eastAsia="zh-CN" w:bidi="ar"/>
        </w:rPr>
        <w:t xml:space="preserve">   </w:t>
      </w:r>
      <w:r>
        <w:rPr>
          <w:rFonts w:hint="eastAsia" w:ascii="楷体" w:hAnsi="楷体" w:eastAsia="楷体" w:cs="楷体"/>
          <w:kern w:val="0"/>
          <w:sz w:val="22"/>
          <w:szCs w:val="22"/>
          <w:lang w:val="en-US" w:eastAsia="zh-CN" w:bidi="ar"/>
        </w:rPr>
        <w:t>]年[</w:t>
      </w:r>
      <w:r>
        <w:rPr>
          <w:rFonts w:hint="default" w:ascii="楷体" w:hAnsi="楷体" w:eastAsia="楷体" w:cs="楷体"/>
          <w:kern w:val="0"/>
          <w:sz w:val="22"/>
          <w:szCs w:val="22"/>
          <w:lang w:eastAsia="zh-CN" w:bidi="ar"/>
        </w:rPr>
        <w:t xml:space="preserve">   </w:t>
      </w:r>
      <w:r>
        <w:rPr>
          <w:rFonts w:hint="eastAsia" w:ascii="楷体" w:hAnsi="楷体" w:eastAsia="楷体" w:cs="楷体"/>
          <w:kern w:val="0"/>
          <w:sz w:val="22"/>
          <w:szCs w:val="22"/>
          <w:lang w:val="en-US" w:eastAsia="zh-CN" w:bidi="ar"/>
        </w:rPr>
        <w:t>]月[</w:t>
      </w:r>
      <w:r>
        <w:rPr>
          <w:rFonts w:hint="default" w:ascii="楷体" w:hAnsi="楷体" w:eastAsia="楷体" w:cs="楷体"/>
          <w:kern w:val="0"/>
          <w:sz w:val="22"/>
          <w:szCs w:val="22"/>
          <w:lang w:eastAsia="zh-CN" w:bidi="ar"/>
        </w:rPr>
        <w:t xml:space="preserve">   </w:t>
      </w:r>
      <w:r>
        <w:rPr>
          <w:rFonts w:hint="eastAsia" w:ascii="楷体" w:hAnsi="楷体" w:eastAsia="楷体" w:cs="楷体"/>
          <w:kern w:val="0"/>
          <w:sz w:val="22"/>
          <w:szCs w:val="22"/>
          <w:lang w:val="en-US" w:eastAsia="zh-CN" w:bidi="ar"/>
        </w:rPr>
        <w:t>]日对</w:t>
      </w:r>
      <w:r>
        <w:rPr>
          <w:rFonts w:hint="eastAsia" w:ascii="楷体" w:hAnsi="楷体" w:eastAsia="楷体" w:cs="楷体"/>
          <w:kern w:val="0"/>
          <w:sz w:val="22"/>
          <w:szCs w:val="22"/>
          <w:u w:val="single"/>
          <w:lang w:val="en-US" w:eastAsia="zh-CN" w:bidi="ar"/>
        </w:rPr>
        <w:t xml:space="preserve"> 整层 </w:t>
      </w:r>
      <w:r>
        <w:rPr>
          <w:rFonts w:hint="eastAsia" w:ascii="楷体" w:hAnsi="楷体" w:eastAsia="楷体" w:cs="楷体"/>
          <w:kern w:val="0"/>
          <w:sz w:val="22"/>
          <w:szCs w:val="22"/>
          <w:lang w:val="en-US" w:eastAsia="zh-CN" w:bidi="ar"/>
        </w:rPr>
        <w:t>的房屋进行了验收，并且对下述事项进行了确认：</w:t>
      </w:r>
    </w:p>
    <w:p w14:paraId="4049D6BA">
      <w:pPr>
        <w:pStyle w:val="31"/>
        <w:keepNext w:val="0"/>
        <w:keepLines w:val="0"/>
        <w:widowControl w:val="0"/>
        <w:numPr>
          <w:ilvl w:val="0"/>
          <w:numId w:val="2"/>
        </w:numPr>
        <w:suppressLineNumbers w:val="0"/>
        <w:spacing w:before="0" w:beforeAutospacing="1" w:after="0" w:afterAutospacing="0" w:line="360" w:lineRule="exact"/>
        <w:ind w:left="720" w:right="0" w:hanging="72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 xml:space="preserve">出租方交付的该房屋符合租赁合同载明的条件，除了以下事项应自本交房确认书签署起10日内予以改正。 </w:t>
      </w:r>
    </w:p>
    <w:p w14:paraId="593F79C2">
      <w:pPr>
        <w:pStyle w:val="31"/>
        <w:keepNext w:val="0"/>
        <w:keepLines w:val="0"/>
        <w:widowControl w:val="0"/>
        <w:numPr>
          <w:ilvl w:val="0"/>
          <w:numId w:val="2"/>
        </w:numPr>
        <w:suppressLineNumbers w:val="0"/>
        <w:spacing w:before="0" w:beforeAutospacing="1" w:after="0" w:afterAutospacing="0" w:line="360" w:lineRule="exact"/>
        <w:ind w:left="720" w:right="0" w:hanging="72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该房屋现有的设施和设备的状况如下：</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892"/>
        <w:gridCol w:w="2892"/>
        <w:gridCol w:w="2892"/>
      </w:tblGrid>
      <w:tr w14:paraId="1B42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75E10302">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2409BE9E">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规格</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05B8BAAF">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数量</w:t>
            </w:r>
          </w:p>
        </w:tc>
      </w:tr>
      <w:tr w14:paraId="5829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4BDCDFB8">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不锈钢框</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36BC6B6D">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727D3E2B">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67EB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29EFDB8E">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不锈钢门玻璃</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64371D66">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6693CC89">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70D9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68B69206">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不锈钢门拉手</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1C4FEF14">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6F4126B1">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5CDF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476E50E5">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不锈钢门地弹簧</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150AEE63">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6DFD7EFF">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4983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12EE2511">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不锈钢门地锁</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2506DB08">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5DFE4FC7">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2840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24C07AD2">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石膏板天花</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6DC16A15">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5E064DC8">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2AF9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1EDBA6BD">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幕墙玻璃</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541627EE">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4114365E">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3FDB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343F1679">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幕墙铝框</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39C1A872">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508D4081">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4522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07A80E5F">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石膏板隔墙</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0A85CECD">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24A04D66">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7AB7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5D696CCF">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格栅灯</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78DA91FA">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30F1D14A">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76A1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2C43B635">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KAQ景观灯</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0A21FD33">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04D0A9E4">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5ABC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316CB5C5">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VAV风柜</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2211C1FF">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514C8FCD">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64D3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571F9620">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温控器</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60C288EF">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3E4B3C54">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3DFA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3AA8405E">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喷淋</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2021AB65">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010CA252">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4925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0636275D">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烟感</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7A515957">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53528052">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5BFD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3138E64E">
            <w:pPr>
              <w:keepNext w:val="0"/>
              <w:keepLines w:val="0"/>
              <w:widowControl w:val="0"/>
              <w:suppressLineNumbers w:val="0"/>
              <w:spacing w:before="0" w:beforeAutospacing="0" w:after="0" w:afterAutospacing="0"/>
              <w:ind w:left="0" w:right="0"/>
              <w:jc w:val="center"/>
              <w:rPr>
                <w:rFonts w:hint="eastAsia" w:ascii="楷体" w:hAnsi="楷体" w:eastAsia="楷体" w:cs="楷体"/>
                <w:kern w:val="2"/>
                <w:sz w:val="24"/>
                <w:szCs w:val="24"/>
                <w:vertAlign w:val="baseline"/>
              </w:rPr>
            </w:pPr>
            <w:r>
              <w:rPr>
                <w:rFonts w:hint="eastAsia" w:ascii="楷体" w:hAnsi="楷体" w:eastAsia="楷体" w:cs="楷体"/>
                <w:kern w:val="2"/>
                <w:sz w:val="24"/>
                <w:szCs w:val="24"/>
                <w:vertAlign w:val="baseline"/>
                <w:lang w:val="en-US" w:eastAsia="zh-CN" w:bidi="ar"/>
              </w:rPr>
              <w:t>风口</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23177C45">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49A5744B">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2C3E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5B72E6E8">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地插座</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158319A4">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56918944">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64C7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14:paraId="25DA815C">
            <w:pPr>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kern w:val="0"/>
                <w:sz w:val="24"/>
                <w:szCs w:val="24"/>
                <w:vertAlign w:val="baseline"/>
              </w:rPr>
            </w:pPr>
            <w:r>
              <w:rPr>
                <w:rFonts w:hint="eastAsia" w:ascii="楷体" w:hAnsi="楷体" w:eastAsia="楷体" w:cs="楷体"/>
                <w:kern w:val="0"/>
                <w:sz w:val="24"/>
                <w:szCs w:val="24"/>
                <w:vertAlign w:val="baseline"/>
                <w:lang w:val="en-US" w:eastAsia="zh-CN" w:bidi="ar"/>
              </w:rPr>
              <w:t>开关</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3B8F478D">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0481013E">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r w14:paraId="4749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78906D88">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其他（注明）</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737B46B0">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c>
          <w:tcPr>
            <w:tcW w:w="1666" w:type="pct"/>
            <w:tcBorders>
              <w:top w:val="single" w:color="auto" w:sz="4" w:space="0"/>
              <w:left w:val="single" w:color="auto" w:sz="4" w:space="0"/>
              <w:bottom w:val="single" w:color="auto" w:sz="4" w:space="0"/>
              <w:right w:val="single" w:color="auto" w:sz="4" w:space="0"/>
            </w:tcBorders>
            <w:shd w:val="clear" w:color="auto" w:fill="auto"/>
            <w:vAlign w:val="top"/>
          </w:tcPr>
          <w:p w14:paraId="00D58591">
            <w:pPr>
              <w:keepNext w:val="0"/>
              <w:keepLines w:val="0"/>
              <w:widowControl w:val="0"/>
              <w:suppressLineNumbers w:val="0"/>
              <w:spacing w:before="0" w:beforeAutospacing="0" w:after="0" w:afterAutospacing="0"/>
              <w:ind w:left="0" w:right="0"/>
              <w:jc w:val="both"/>
              <w:rPr>
                <w:rFonts w:hint="eastAsia" w:ascii="楷体" w:hAnsi="楷体" w:eastAsia="楷体" w:cs="楷体"/>
                <w:kern w:val="0"/>
                <w:sz w:val="22"/>
                <w:szCs w:val="22"/>
              </w:rPr>
            </w:pPr>
          </w:p>
        </w:tc>
      </w:tr>
    </w:tbl>
    <w:p w14:paraId="375979CB">
      <w:pPr>
        <w:pStyle w:val="31"/>
        <w:keepNext w:val="0"/>
        <w:keepLines w:val="0"/>
        <w:widowControl w:val="0"/>
        <w:suppressLineNumbers w:val="0"/>
        <w:spacing w:before="0" w:beforeAutospacing="1" w:after="0" w:afterAutospacing="0" w:line="360" w:lineRule="exact"/>
        <w:ind w:left="0" w:right="0"/>
        <w:jc w:val="both"/>
        <w:rPr>
          <w:rFonts w:hint="eastAsia" w:ascii="楷体" w:hAnsi="楷体" w:eastAsia="楷体" w:cs="楷体"/>
          <w:kern w:val="0"/>
          <w:sz w:val="22"/>
          <w:szCs w:val="22"/>
        </w:rPr>
      </w:pPr>
      <w:r>
        <w:rPr>
          <w:rFonts w:hint="eastAsia" w:ascii="楷体" w:hAnsi="楷体" w:eastAsia="楷体" w:cs="楷体"/>
          <w:b/>
          <w:bCs w:val="0"/>
          <w:kern w:val="0"/>
          <w:sz w:val="22"/>
          <w:szCs w:val="22"/>
          <w:lang w:val="en-US" w:eastAsia="zh-CN" w:bidi="ar"/>
        </w:rPr>
        <w:t>出租方：</w:t>
      </w:r>
      <w:r>
        <w:rPr>
          <w:rFonts w:hint="eastAsia" w:ascii="楷体" w:hAnsi="楷体" w:eastAsia="楷体" w:cs="楷体"/>
          <w:kern w:val="0"/>
          <w:sz w:val="22"/>
          <w:szCs w:val="22"/>
          <w:lang w:val="en-US" w:eastAsia="zh-CN" w:bidi="ar"/>
        </w:rPr>
        <w:t>上海陆家嘴金融贸易区联合发展有限公司</w:t>
      </w:r>
    </w:p>
    <w:p w14:paraId="00DBF739">
      <w:pPr>
        <w:pStyle w:val="31"/>
        <w:keepNext w:val="0"/>
        <w:keepLines w:val="0"/>
        <w:widowControl w:val="0"/>
        <w:suppressLineNumbers w:val="0"/>
        <w:spacing w:before="0" w:beforeAutospacing="1" w:after="0" w:afterAutospacing="0" w:line="360" w:lineRule="exact"/>
        <w:ind w:left="0" w:right="0"/>
        <w:jc w:val="both"/>
        <w:rPr>
          <w:rFonts w:hint="eastAsia" w:ascii="楷体" w:hAnsi="楷体" w:eastAsia="楷体" w:cs="楷体"/>
          <w:b/>
          <w:bCs w:val="0"/>
          <w:kern w:val="0"/>
          <w:sz w:val="22"/>
          <w:szCs w:val="22"/>
        </w:rPr>
      </w:pPr>
      <w:r>
        <w:rPr>
          <w:rFonts w:hint="eastAsia" w:ascii="楷体" w:hAnsi="楷体" w:eastAsia="楷体" w:cs="楷体"/>
          <w:b/>
          <w:bCs w:val="0"/>
          <w:kern w:val="0"/>
          <w:sz w:val="22"/>
          <w:szCs w:val="22"/>
          <w:lang w:val="en-US" w:eastAsia="zh-CN" w:bidi="ar"/>
        </w:rPr>
        <w:t>承租方：</w:t>
      </w:r>
      <w:r>
        <w:rPr>
          <w:rFonts w:hint="eastAsia" w:ascii="楷体" w:hAnsi="楷体" w:eastAsia="楷体" w:cs="楷体"/>
          <w:kern w:val="0"/>
          <w:sz w:val="22"/>
          <w:szCs w:val="22"/>
          <w:lang w:val="en-US" w:eastAsia="zh-CN" w:bidi="ar"/>
        </w:rPr>
        <w:t>网联清算有限公司上海分公司</w:t>
      </w:r>
    </w:p>
    <w:p w14:paraId="23525733">
      <w:pPr>
        <w:keepNext w:val="0"/>
        <w:keepLines w:val="0"/>
        <w:widowControl w:val="0"/>
        <w:suppressLineNumbers w:val="0"/>
        <w:spacing w:before="0" w:beforeAutospacing="1" w:after="0" w:afterAutospacing="0" w:line="360" w:lineRule="exact"/>
        <w:ind w:left="0" w:right="0"/>
        <w:jc w:val="center"/>
        <w:rPr>
          <w:rFonts w:hint="eastAsia" w:ascii="楷体" w:hAnsi="楷体" w:eastAsia="楷体" w:cs="楷体"/>
          <w:b/>
          <w:bCs w:val="0"/>
          <w:kern w:val="0"/>
          <w:sz w:val="24"/>
          <w:szCs w:val="24"/>
        </w:rPr>
      </w:pPr>
      <w:r>
        <w:rPr>
          <w:rFonts w:hint="eastAsia" w:ascii="楷体" w:hAnsi="楷体" w:eastAsia="楷体" w:cs="楷体"/>
          <w:kern w:val="0"/>
          <w:sz w:val="24"/>
          <w:szCs w:val="24"/>
          <w:lang w:val="en-US" w:eastAsia="zh-CN" w:bidi="ar"/>
        </w:rPr>
        <w:br w:type="page"/>
      </w:r>
      <w:r>
        <w:rPr>
          <w:rFonts w:hint="eastAsia" w:ascii="楷体" w:hAnsi="楷体" w:eastAsia="楷体" w:cs="楷体"/>
          <w:kern w:val="0"/>
          <w:sz w:val="36"/>
          <w:szCs w:val="36"/>
          <w:lang w:val="en-US" w:eastAsia="zh-CN" w:bidi="ar"/>
        </w:rPr>
        <w:t>附       件        三</w:t>
      </w:r>
    </w:p>
    <w:p w14:paraId="08A9F7A4">
      <w:pPr>
        <w:keepNext w:val="0"/>
        <w:keepLines w:val="0"/>
        <w:widowControl w:val="0"/>
        <w:suppressLineNumbers w:val="0"/>
        <w:spacing w:before="0" w:beforeAutospacing="1" w:after="0" w:afterAutospacing="0" w:line="360" w:lineRule="exact"/>
        <w:ind w:left="0" w:right="0" w:firstLine="883" w:firstLineChars="400"/>
        <w:jc w:val="both"/>
        <w:rPr>
          <w:rFonts w:hint="eastAsia" w:ascii="楷体" w:hAnsi="楷体" w:eastAsia="楷体" w:cs="楷体"/>
          <w:bCs/>
          <w:kern w:val="0"/>
          <w:sz w:val="24"/>
          <w:szCs w:val="24"/>
        </w:rPr>
      </w:pPr>
      <w:r>
        <w:rPr>
          <w:rFonts w:hint="eastAsia" w:ascii="楷体" w:hAnsi="楷体" w:eastAsia="楷体" w:cs="楷体"/>
          <w:b/>
          <w:bCs w:val="0"/>
          <w:kern w:val="2"/>
          <w:sz w:val="22"/>
          <w:szCs w:val="22"/>
          <w:lang w:val="en-US" w:eastAsia="zh-CN" w:bidi="ar"/>
        </w:rPr>
        <w:t>该单元装修费用、所用材质及交付平面图</w:t>
      </w:r>
      <w:r>
        <w:rPr>
          <w:rFonts w:hint="eastAsia" w:ascii="楷体" w:hAnsi="楷体" w:eastAsia="楷体" w:cs="楷体"/>
          <w:kern w:val="0"/>
          <w:sz w:val="24"/>
          <w:szCs w:val="24"/>
          <w:lang w:val="en-US" w:eastAsia="zh-CN" w:bidi="ar"/>
        </w:rPr>
        <w:t xml:space="preserve"> </w:t>
      </w:r>
    </w:p>
    <w:p w14:paraId="6E19ED58">
      <w:pPr>
        <w:keepNext w:val="0"/>
        <w:keepLines w:val="0"/>
        <w:widowControl w:val="0"/>
        <w:suppressLineNumbers w:val="0"/>
        <w:spacing w:before="0" w:beforeAutospacing="1" w:after="0" w:afterAutospacing="0" w:line="360" w:lineRule="exact"/>
        <w:ind w:left="0" w:right="0" w:firstLine="960" w:firstLineChars="400"/>
        <w:jc w:val="both"/>
        <w:rPr>
          <w:rFonts w:hint="eastAsia" w:ascii="楷体" w:hAnsi="楷体" w:eastAsia="楷体" w:cs="楷体"/>
          <w:bCs/>
          <w:kern w:val="0"/>
          <w:sz w:val="24"/>
          <w:szCs w:val="24"/>
        </w:rPr>
      </w:pPr>
      <w:r>
        <w:rPr>
          <w:rFonts w:hint="eastAsia" w:ascii="楷体" w:hAnsi="楷体" w:eastAsia="楷体" w:cs="楷体"/>
          <w:bCs/>
          <w:kern w:val="0"/>
          <w:sz w:val="24"/>
          <w:szCs w:val="24"/>
          <w:lang w:val="en-US" w:eastAsia="zh-CN" w:bidi="ar"/>
        </w:rPr>
        <w:t>该房屋装修、数量、附属设施型号/规格：</w:t>
      </w:r>
    </w:p>
    <w:tbl>
      <w:tblPr>
        <w:tblStyle w:val="33"/>
        <w:tblW w:w="757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0"/>
        <w:gridCol w:w="1800"/>
        <w:gridCol w:w="5230"/>
      </w:tblGrid>
      <w:tr w14:paraId="0DEF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8E4F87C">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序号</w:t>
            </w:r>
          </w:p>
        </w:tc>
        <w:tc>
          <w:tcPr>
            <w:tcW w:w="1800" w:type="dxa"/>
            <w:tcBorders>
              <w:top w:val="single" w:color="auto" w:sz="4" w:space="0"/>
              <w:left w:val="nil"/>
              <w:bottom w:val="single" w:color="auto" w:sz="4" w:space="0"/>
              <w:right w:val="single" w:color="auto" w:sz="4" w:space="0"/>
            </w:tcBorders>
            <w:shd w:val="clear" w:color="auto" w:fill="auto"/>
            <w:vAlign w:val="center"/>
          </w:tcPr>
          <w:p w14:paraId="4CFE92A2">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建筑</w:t>
            </w:r>
          </w:p>
        </w:tc>
        <w:tc>
          <w:tcPr>
            <w:tcW w:w="5230" w:type="dxa"/>
            <w:tcBorders>
              <w:top w:val="single" w:color="auto" w:sz="4" w:space="0"/>
              <w:left w:val="nil"/>
              <w:bottom w:val="single" w:color="auto" w:sz="4" w:space="0"/>
              <w:right w:val="single" w:color="auto" w:sz="4" w:space="0"/>
            </w:tcBorders>
            <w:shd w:val="clear" w:color="auto" w:fill="auto"/>
            <w:vAlign w:val="center"/>
          </w:tcPr>
          <w:p w14:paraId="154314FB">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出租方提供标准</w:t>
            </w:r>
          </w:p>
        </w:tc>
      </w:tr>
      <w:tr w14:paraId="07E3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C70B83E">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1</w:t>
            </w:r>
          </w:p>
        </w:tc>
        <w:tc>
          <w:tcPr>
            <w:tcW w:w="1800" w:type="dxa"/>
            <w:tcBorders>
              <w:top w:val="single" w:color="auto" w:sz="4" w:space="0"/>
              <w:left w:val="nil"/>
              <w:bottom w:val="single" w:color="auto" w:sz="4" w:space="0"/>
              <w:right w:val="single" w:color="auto" w:sz="4" w:space="0"/>
            </w:tcBorders>
            <w:shd w:val="clear" w:color="auto" w:fill="auto"/>
            <w:vAlign w:val="center"/>
          </w:tcPr>
          <w:p w14:paraId="1AD8BCA5">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外墙</w:t>
            </w:r>
          </w:p>
        </w:tc>
        <w:tc>
          <w:tcPr>
            <w:tcW w:w="5230" w:type="dxa"/>
            <w:tcBorders>
              <w:top w:val="single" w:color="auto" w:sz="4" w:space="0"/>
              <w:left w:val="nil"/>
              <w:bottom w:val="single" w:color="auto" w:sz="4" w:space="0"/>
              <w:right w:val="single" w:color="auto" w:sz="4" w:space="0"/>
            </w:tcBorders>
            <w:shd w:val="clear" w:color="auto" w:fill="auto"/>
            <w:vAlign w:val="center"/>
          </w:tcPr>
          <w:p w14:paraId="6F237484">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不锈钢框、玻璃幕墙</w:t>
            </w:r>
          </w:p>
        </w:tc>
      </w:tr>
      <w:tr w14:paraId="4453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8B1D88D">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2</w:t>
            </w:r>
          </w:p>
        </w:tc>
        <w:tc>
          <w:tcPr>
            <w:tcW w:w="1800" w:type="dxa"/>
            <w:tcBorders>
              <w:top w:val="single" w:color="auto" w:sz="4" w:space="0"/>
              <w:left w:val="nil"/>
              <w:bottom w:val="single" w:color="auto" w:sz="4" w:space="0"/>
              <w:right w:val="single" w:color="auto" w:sz="4" w:space="0"/>
            </w:tcBorders>
            <w:shd w:val="clear" w:color="auto" w:fill="auto"/>
            <w:vAlign w:val="center"/>
          </w:tcPr>
          <w:p w14:paraId="516999A2">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内墙</w:t>
            </w:r>
          </w:p>
        </w:tc>
        <w:tc>
          <w:tcPr>
            <w:tcW w:w="5230" w:type="dxa"/>
            <w:tcBorders>
              <w:top w:val="single" w:color="auto" w:sz="4" w:space="0"/>
              <w:left w:val="nil"/>
              <w:bottom w:val="single" w:color="auto" w:sz="4" w:space="0"/>
              <w:right w:val="single" w:color="auto" w:sz="4" w:space="0"/>
            </w:tcBorders>
            <w:shd w:val="clear" w:color="auto" w:fill="auto"/>
            <w:vAlign w:val="center"/>
          </w:tcPr>
          <w:p w14:paraId="532A245A">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办公区域：涂料；公共走道：铝板+饰面玻璃</w:t>
            </w:r>
          </w:p>
        </w:tc>
      </w:tr>
      <w:tr w14:paraId="5BDB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6"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5E01475">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3</w:t>
            </w:r>
          </w:p>
        </w:tc>
        <w:tc>
          <w:tcPr>
            <w:tcW w:w="1800" w:type="dxa"/>
            <w:tcBorders>
              <w:top w:val="single" w:color="auto" w:sz="4" w:space="0"/>
              <w:left w:val="nil"/>
              <w:bottom w:val="single" w:color="auto" w:sz="4" w:space="0"/>
              <w:right w:val="single" w:color="auto" w:sz="4" w:space="0"/>
            </w:tcBorders>
            <w:shd w:val="clear" w:color="auto" w:fill="auto"/>
            <w:vAlign w:val="center"/>
          </w:tcPr>
          <w:p w14:paraId="5C895729">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地板</w:t>
            </w:r>
          </w:p>
        </w:tc>
        <w:tc>
          <w:tcPr>
            <w:tcW w:w="5230" w:type="dxa"/>
            <w:tcBorders>
              <w:top w:val="single" w:color="auto" w:sz="4" w:space="0"/>
              <w:left w:val="nil"/>
              <w:bottom w:val="single" w:color="auto" w:sz="4" w:space="0"/>
              <w:right w:val="single" w:color="auto" w:sz="4" w:space="0"/>
            </w:tcBorders>
            <w:shd w:val="clear" w:color="auto" w:fill="auto"/>
            <w:vAlign w:val="center"/>
          </w:tcPr>
          <w:p w14:paraId="7209B687">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金属架空地板（不提供线槽及地板）</w:t>
            </w:r>
          </w:p>
        </w:tc>
      </w:tr>
      <w:tr w14:paraId="5E45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C7C10AE">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4</w:t>
            </w:r>
          </w:p>
        </w:tc>
        <w:tc>
          <w:tcPr>
            <w:tcW w:w="1800" w:type="dxa"/>
            <w:tcBorders>
              <w:top w:val="single" w:color="auto" w:sz="4" w:space="0"/>
              <w:left w:val="nil"/>
              <w:bottom w:val="single" w:color="auto" w:sz="4" w:space="0"/>
              <w:right w:val="single" w:color="auto" w:sz="4" w:space="0"/>
            </w:tcBorders>
            <w:shd w:val="clear" w:color="auto" w:fill="auto"/>
            <w:vAlign w:val="center"/>
          </w:tcPr>
          <w:p w14:paraId="55AA1BCC">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天花</w:t>
            </w:r>
          </w:p>
        </w:tc>
        <w:tc>
          <w:tcPr>
            <w:tcW w:w="5230" w:type="dxa"/>
            <w:tcBorders>
              <w:top w:val="single" w:color="auto" w:sz="4" w:space="0"/>
              <w:left w:val="nil"/>
              <w:bottom w:val="single" w:color="auto" w:sz="4" w:space="0"/>
              <w:right w:val="single" w:color="auto" w:sz="4" w:space="0"/>
            </w:tcBorders>
            <w:shd w:val="clear" w:color="auto" w:fill="auto"/>
            <w:vAlign w:val="center"/>
          </w:tcPr>
          <w:p w14:paraId="4EE6A326">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矿棉板+荧光灯</w:t>
            </w:r>
          </w:p>
        </w:tc>
      </w:tr>
      <w:tr w14:paraId="4E77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2179A36">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5</w:t>
            </w:r>
          </w:p>
        </w:tc>
        <w:tc>
          <w:tcPr>
            <w:tcW w:w="1800" w:type="dxa"/>
            <w:tcBorders>
              <w:top w:val="single" w:color="auto" w:sz="4" w:space="0"/>
              <w:left w:val="nil"/>
              <w:bottom w:val="single" w:color="auto" w:sz="4" w:space="0"/>
              <w:right w:val="single" w:color="auto" w:sz="4" w:space="0"/>
            </w:tcBorders>
            <w:shd w:val="clear" w:color="auto" w:fill="auto"/>
            <w:vAlign w:val="center"/>
          </w:tcPr>
          <w:p w14:paraId="543030E2">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盥洗室/茶水室</w:t>
            </w:r>
          </w:p>
        </w:tc>
        <w:tc>
          <w:tcPr>
            <w:tcW w:w="5230" w:type="dxa"/>
            <w:tcBorders>
              <w:top w:val="single" w:color="auto" w:sz="4" w:space="0"/>
              <w:left w:val="nil"/>
              <w:bottom w:val="single" w:color="auto" w:sz="4" w:space="0"/>
              <w:right w:val="single" w:color="auto" w:sz="4" w:space="0"/>
            </w:tcBorders>
            <w:shd w:val="clear" w:color="auto" w:fill="auto"/>
            <w:vAlign w:val="center"/>
          </w:tcPr>
          <w:p w14:paraId="18879044">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高标准装饰</w:t>
            </w:r>
          </w:p>
        </w:tc>
      </w:tr>
      <w:tr w14:paraId="36C9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50FA3BC">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6</w:t>
            </w:r>
          </w:p>
        </w:tc>
        <w:tc>
          <w:tcPr>
            <w:tcW w:w="1800" w:type="dxa"/>
            <w:tcBorders>
              <w:top w:val="single" w:color="auto" w:sz="4" w:space="0"/>
              <w:left w:val="nil"/>
              <w:bottom w:val="single" w:color="auto" w:sz="4" w:space="0"/>
              <w:right w:val="single" w:color="auto" w:sz="4" w:space="0"/>
            </w:tcBorders>
            <w:shd w:val="clear" w:color="auto" w:fill="auto"/>
            <w:vAlign w:val="center"/>
          </w:tcPr>
          <w:p w14:paraId="46810B01">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办公区出入口</w:t>
            </w:r>
          </w:p>
        </w:tc>
        <w:tc>
          <w:tcPr>
            <w:tcW w:w="5230" w:type="dxa"/>
            <w:tcBorders>
              <w:top w:val="single" w:color="auto" w:sz="4" w:space="0"/>
              <w:left w:val="nil"/>
              <w:bottom w:val="single" w:color="auto" w:sz="4" w:space="0"/>
              <w:right w:val="single" w:color="auto" w:sz="4" w:space="0"/>
            </w:tcBorders>
            <w:shd w:val="clear" w:color="auto" w:fill="auto"/>
            <w:vAlign w:val="center"/>
          </w:tcPr>
          <w:p w14:paraId="44B7D3A3">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常开防火门</w:t>
            </w:r>
          </w:p>
        </w:tc>
      </w:tr>
      <w:tr w14:paraId="434B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31D7E5D">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7</w:t>
            </w:r>
          </w:p>
        </w:tc>
        <w:tc>
          <w:tcPr>
            <w:tcW w:w="1800" w:type="dxa"/>
            <w:tcBorders>
              <w:top w:val="single" w:color="auto" w:sz="4" w:space="0"/>
              <w:left w:val="nil"/>
              <w:bottom w:val="single" w:color="auto" w:sz="4" w:space="0"/>
              <w:right w:val="single" w:color="auto" w:sz="4" w:space="0"/>
            </w:tcBorders>
            <w:shd w:val="clear" w:color="auto" w:fill="auto"/>
            <w:vAlign w:val="center"/>
          </w:tcPr>
          <w:p w14:paraId="3FEED4C4">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紧急消防通道</w:t>
            </w:r>
          </w:p>
        </w:tc>
        <w:tc>
          <w:tcPr>
            <w:tcW w:w="5230" w:type="dxa"/>
            <w:tcBorders>
              <w:top w:val="single" w:color="auto" w:sz="4" w:space="0"/>
              <w:left w:val="nil"/>
              <w:bottom w:val="single" w:color="auto" w:sz="4" w:space="0"/>
              <w:right w:val="single" w:color="auto" w:sz="4" w:space="0"/>
            </w:tcBorders>
            <w:shd w:val="clear" w:color="auto" w:fill="auto"/>
            <w:vAlign w:val="center"/>
          </w:tcPr>
          <w:p w14:paraId="3A8B79A2">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按发展商原建筑设计</w:t>
            </w:r>
          </w:p>
        </w:tc>
      </w:tr>
      <w:tr w14:paraId="3BCE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1354892">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8</w:t>
            </w:r>
          </w:p>
        </w:tc>
        <w:tc>
          <w:tcPr>
            <w:tcW w:w="1800" w:type="dxa"/>
            <w:tcBorders>
              <w:top w:val="single" w:color="auto" w:sz="4" w:space="0"/>
              <w:left w:val="nil"/>
              <w:bottom w:val="single" w:color="auto" w:sz="4" w:space="0"/>
              <w:right w:val="single" w:color="auto" w:sz="4" w:space="0"/>
            </w:tcBorders>
            <w:shd w:val="clear" w:color="auto" w:fill="auto"/>
            <w:vAlign w:val="center"/>
          </w:tcPr>
          <w:p w14:paraId="75CC6545">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楼面荷载</w:t>
            </w:r>
          </w:p>
        </w:tc>
        <w:tc>
          <w:tcPr>
            <w:tcW w:w="5230" w:type="dxa"/>
            <w:tcBorders>
              <w:top w:val="single" w:color="auto" w:sz="4" w:space="0"/>
              <w:left w:val="nil"/>
              <w:bottom w:val="single" w:color="auto" w:sz="4" w:space="0"/>
              <w:right w:val="single" w:color="auto" w:sz="4" w:space="0"/>
            </w:tcBorders>
            <w:shd w:val="clear" w:color="auto" w:fill="auto"/>
            <w:vAlign w:val="center"/>
          </w:tcPr>
          <w:p w14:paraId="5D6C46A2">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250kg/㎡</w:t>
            </w:r>
          </w:p>
        </w:tc>
      </w:tr>
      <w:tr w14:paraId="6A78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81581DA">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9</w:t>
            </w:r>
          </w:p>
        </w:tc>
        <w:tc>
          <w:tcPr>
            <w:tcW w:w="1800" w:type="dxa"/>
            <w:tcBorders>
              <w:top w:val="single" w:color="auto" w:sz="4" w:space="0"/>
              <w:left w:val="nil"/>
              <w:bottom w:val="single" w:color="auto" w:sz="4" w:space="0"/>
              <w:right w:val="single" w:color="auto" w:sz="4" w:space="0"/>
            </w:tcBorders>
            <w:shd w:val="clear" w:color="auto" w:fill="auto"/>
            <w:vAlign w:val="center"/>
          </w:tcPr>
          <w:p w14:paraId="2CE69B90">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标志</w:t>
            </w:r>
          </w:p>
        </w:tc>
        <w:tc>
          <w:tcPr>
            <w:tcW w:w="5230" w:type="dxa"/>
            <w:tcBorders>
              <w:top w:val="single" w:color="auto" w:sz="4" w:space="0"/>
              <w:left w:val="nil"/>
              <w:bottom w:val="single" w:color="auto" w:sz="4" w:space="0"/>
              <w:right w:val="single" w:color="auto" w:sz="4" w:space="0"/>
            </w:tcBorders>
            <w:shd w:val="clear" w:color="auto" w:fill="auto"/>
            <w:vAlign w:val="center"/>
          </w:tcPr>
          <w:p w14:paraId="1ABD4A7F">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只提供大堂、公共走道、电梯间方向标志</w:t>
            </w:r>
          </w:p>
        </w:tc>
      </w:tr>
      <w:tr w14:paraId="3E8D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3857F4A">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10</w:t>
            </w:r>
          </w:p>
        </w:tc>
        <w:tc>
          <w:tcPr>
            <w:tcW w:w="1800" w:type="dxa"/>
            <w:tcBorders>
              <w:top w:val="single" w:color="auto" w:sz="4" w:space="0"/>
              <w:left w:val="nil"/>
              <w:bottom w:val="single" w:color="auto" w:sz="4" w:space="0"/>
              <w:right w:val="single" w:color="auto" w:sz="4" w:space="0"/>
            </w:tcBorders>
            <w:shd w:val="clear" w:color="auto" w:fill="auto"/>
            <w:vAlign w:val="center"/>
          </w:tcPr>
          <w:p w14:paraId="0E3BBC1C">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电力系统</w:t>
            </w:r>
          </w:p>
        </w:tc>
        <w:tc>
          <w:tcPr>
            <w:tcW w:w="5230" w:type="dxa"/>
            <w:tcBorders>
              <w:top w:val="single" w:color="auto" w:sz="4" w:space="0"/>
              <w:left w:val="nil"/>
              <w:bottom w:val="single" w:color="auto" w:sz="4" w:space="0"/>
              <w:right w:val="single" w:color="auto" w:sz="4" w:space="0"/>
            </w:tcBorders>
            <w:shd w:val="clear" w:color="auto" w:fill="auto"/>
            <w:vAlign w:val="center"/>
          </w:tcPr>
          <w:p w14:paraId="7A9491FC">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出租方向承租方提供 120KW的动力电(包括照明电量和自用电量)和150KW的空调电量。</w:t>
            </w:r>
          </w:p>
        </w:tc>
      </w:tr>
      <w:tr w14:paraId="09BC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E974996">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11</w:t>
            </w:r>
          </w:p>
        </w:tc>
        <w:tc>
          <w:tcPr>
            <w:tcW w:w="1800" w:type="dxa"/>
            <w:tcBorders>
              <w:top w:val="single" w:color="auto" w:sz="4" w:space="0"/>
              <w:left w:val="nil"/>
              <w:bottom w:val="single" w:color="auto" w:sz="4" w:space="0"/>
              <w:right w:val="single" w:color="auto" w:sz="4" w:space="0"/>
            </w:tcBorders>
            <w:shd w:val="clear" w:color="auto" w:fill="auto"/>
            <w:vAlign w:val="center"/>
          </w:tcPr>
          <w:p w14:paraId="2348E83E">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广播系统</w:t>
            </w:r>
          </w:p>
        </w:tc>
        <w:tc>
          <w:tcPr>
            <w:tcW w:w="5230" w:type="dxa"/>
            <w:tcBorders>
              <w:top w:val="single" w:color="auto" w:sz="4" w:space="0"/>
              <w:left w:val="nil"/>
              <w:bottom w:val="single" w:color="auto" w:sz="4" w:space="0"/>
              <w:right w:val="single" w:color="auto" w:sz="4" w:space="0"/>
            </w:tcBorders>
            <w:shd w:val="clear" w:color="auto" w:fill="auto"/>
            <w:vAlign w:val="center"/>
          </w:tcPr>
          <w:p w14:paraId="7BA64233">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出租方仅提供公共区域紧急广播。</w:t>
            </w:r>
          </w:p>
        </w:tc>
      </w:tr>
      <w:tr w14:paraId="7D82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FBA9C8B">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12</w:t>
            </w:r>
          </w:p>
        </w:tc>
        <w:tc>
          <w:tcPr>
            <w:tcW w:w="1800" w:type="dxa"/>
            <w:tcBorders>
              <w:top w:val="single" w:color="auto" w:sz="4" w:space="0"/>
              <w:left w:val="nil"/>
              <w:bottom w:val="single" w:color="auto" w:sz="4" w:space="0"/>
              <w:right w:val="single" w:color="auto" w:sz="4" w:space="0"/>
            </w:tcBorders>
            <w:shd w:val="clear" w:color="auto" w:fill="auto"/>
            <w:vAlign w:val="center"/>
          </w:tcPr>
          <w:p w14:paraId="4FAC9EC8">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安保系统</w:t>
            </w:r>
          </w:p>
        </w:tc>
        <w:tc>
          <w:tcPr>
            <w:tcW w:w="5230" w:type="dxa"/>
            <w:tcBorders>
              <w:top w:val="single" w:color="auto" w:sz="4" w:space="0"/>
              <w:left w:val="nil"/>
              <w:bottom w:val="single" w:color="auto" w:sz="4" w:space="0"/>
              <w:right w:val="single" w:color="auto" w:sz="4" w:space="0"/>
            </w:tcBorders>
            <w:shd w:val="clear" w:color="auto" w:fill="auto"/>
            <w:vAlign w:val="center"/>
          </w:tcPr>
          <w:p w14:paraId="6B67442D">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物业公共区域提供值班巡逻系统及24小时监控闭路电视于主要出入口、停车场。</w:t>
            </w:r>
          </w:p>
        </w:tc>
      </w:tr>
      <w:tr w14:paraId="5912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9"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804A0AA">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13</w:t>
            </w:r>
          </w:p>
          <w:p w14:paraId="566D7E09">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p>
        </w:tc>
        <w:tc>
          <w:tcPr>
            <w:tcW w:w="1800" w:type="dxa"/>
            <w:tcBorders>
              <w:top w:val="single" w:color="auto" w:sz="4" w:space="0"/>
              <w:left w:val="nil"/>
              <w:bottom w:val="single" w:color="auto" w:sz="4" w:space="0"/>
              <w:right w:val="single" w:color="auto" w:sz="4" w:space="0"/>
            </w:tcBorders>
            <w:shd w:val="clear" w:color="auto" w:fill="auto"/>
            <w:vAlign w:val="center"/>
          </w:tcPr>
          <w:p w14:paraId="6A85B4F3">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通讯系统</w:t>
            </w:r>
          </w:p>
        </w:tc>
        <w:tc>
          <w:tcPr>
            <w:tcW w:w="5230" w:type="dxa"/>
            <w:tcBorders>
              <w:top w:val="single" w:color="auto" w:sz="4" w:space="0"/>
              <w:left w:val="nil"/>
              <w:bottom w:val="single" w:color="auto" w:sz="4" w:space="0"/>
              <w:right w:val="single" w:color="auto" w:sz="4" w:space="0"/>
            </w:tcBorders>
            <w:shd w:val="clear" w:color="auto" w:fill="auto"/>
            <w:vAlign w:val="center"/>
          </w:tcPr>
          <w:p w14:paraId="1D28D87B">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自行向电信、网通申请；</w:t>
            </w:r>
          </w:p>
        </w:tc>
      </w:tr>
      <w:tr w14:paraId="7416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8C6F355">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14</w:t>
            </w:r>
          </w:p>
        </w:tc>
        <w:tc>
          <w:tcPr>
            <w:tcW w:w="1800" w:type="dxa"/>
            <w:tcBorders>
              <w:top w:val="single" w:color="auto" w:sz="4" w:space="0"/>
              <w:left w:val="nil"/>
              <w:bottom w:val="single" w:color="auto" w:sz="4" w:space="0"/>
              <w:right w:val="single" w:color="auto" w:sz="4" w:space="0"/>
            </w:tcBorders>
            <w:shd w:val="clear" w:color="auto" w:fill="auto"/>
            <w:vAlign w:val="center"/>
          </w:tcPr>
          <w:p w14:paraId="47459AD4">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防火</w:t>
            </w:r>
          </w:p>
        </w:tc>
        <w:tc>
          <w:tcPr>
            <w:tcW w:w="5230" w:type="dxa"/>
            <w:tcBorders>
              <w:top w:val="single" w:color="auto" w:sz="4" w:space="0"/>
              <w:left w:val="nil"/>
              <w:bottom w:val="single" w:color="auto" w:sz="4" w:space="0"/>
              <w:right w:val="single" w:color="auto" w:sz="4" w:space="0"/>
            </w:tcBorders>
            <w:shd w:val="clear" w:color="auto" w:fill="auto"/>
            <w:vAlign w:val="center"/>
          </w:tcPr>
          <w:p w14:paraId="3D0AB389">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按出租方设计图纸提供。</w:t>
            </w:r>
          </w:p>
        </w:tc>
      </w:tr>
      <w:tr w14:paraId="668A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EE5631D">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15</w:t>
            </w:r>
          </w:p>
        </w:tc>
        <w:tc>
          <w:tcPr>
            <w:tcW w:w="1800" w:type="dxa"/>
            <w:tcBorders>
              <w:top w:val="single" w:color="auto" w:sz="4" w:space="0"/>
              <w:left w:val="nil"/>
              <w:bottom w:val="single" w:color="auto" w:sz="4" w:space="0"/>
              <w:right w:val="single" w:color="auto" w:sz="4" w:space="0"/>
            </w:tcBorders>
            <w:shd w:val="clear" w:color="auto" w:fill="auto"/>
            <w:vAlign w:val="center"/>
          </w:tcPr>
          <w:p w14:paraId="470828A5">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垂直运输</w:t>
            </w:r>
          </w:p>
        </w:tc>
        <w:tc>
          <w:tcPr>
            <w:tcW w:w="5230" w:type="dxa"/>
            <w:tcBorders>
              <w:top w:val="single" w:color="auto" w:sz="4" w:space="0"/>
              <w:left w:val="nil"/>
              <w:bottom w:val="single" w:color="auto" w:sz="4" w:space="0"/>
              <w:right w:val="single" w:color="auto" w:sz="4" w:space="0"/>
            </w:tcBorders>
            <w:shd w:val="clear" w:color="auto" w:fill="auto"/>
            <w:vAlign w:val="center"/>
          </w:tcPr>
          <w:p w14:paraId="18124BCF">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仅提供卫生间的冷水上水及排水。</w:t>
            </w:r>
          </w:p>
        </w:tc>
      </w:tr>
      <w:tr w14:paraId="4911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8"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E8B43E2">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16</w:t>
            </w:r>
          </w:p>
        </w:tc>
        <w:tc>
          <w:tcPr>
            <w:tcW w:w="1800" w:type="dxa"/>
            <w:tcBorders>
              <w:top w:val="single" w:color="auto" w:sz="4" w:space="0"/>
              <w:left w:val="nil"/>
              <w:bottom w:val="single" w:color="auto" w:sz="4" w:space="0"/>
              <w:right w:val="single" w:color="auto" w:sz="4" w:space="0"/>
            </w:tcBorders>
            <w:shd w:val="clear" w:color="auto" w:fill="auto"/>
            <w:vAlign w:val="center"/>
          </w:tcPr>
          <w:p w14:paraId="5C6924D3">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给排水系统</w:t>
            </w:r>
          </w:p>
        </w:tc>
        <w:tc>
          <w:tcPr>
            <w:tcW w:w="5230" w:type="dxa"/>
            <w:tcBorders>
              <w:top w:val="single" w:color="auto" w:sz="4" w:space="0"/>
              <w:left w:val="nil"/>
              <w:bottom w:val="single" w:color="auto" w:sz="4" w:space="0"/>
              <w:right w:val="single" w:color="auto" w:sz="4" w:space="0"/>
            </w:tcBorders>
            <w:shd w:val="clear" w:color="auto" w:fill="auto"/>
            <w:vAlign w:val="center"/>
          </w:tcPr>
          <w:p w14:paraId="47E72763">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客梯：10台（高区6低区4）</w:t>
            </w:r>
          </w:p>
          <w:p w14:paraId="32F94EF7">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消防兼货梯：2台</w:t>
            </w:r>
          </w:p>
          <w:p w14:paraId="04CA54C8">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转换梯：2台</w:t>
            </w:r>
          </w:p>
        </w:tc>
      </w:tr>
      <w:tr w14:paraId="6AC1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0DD9CA3">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17</w:t>
            </w:r>
          </w:p>
        </w:tc>
        <w:tc>
          <w:tcPr>
            <w:tcW w:w="1800" w:type="dxa"/>
            <w:tcBorders>
              <w:top w:val="single" w:color="auto" w:sz="4" w:space="0"/>
              <w:left w:val="nil"/>
              <w:bottom w:val="single" w:color="auto" w:sz="4" w:space="0"/>
              <w:right w:val="single" w:color="auto" w:sz="4" w:space="0"/>
            </w:tcBorders>
            <w:shd w:val="clear" w:color="auto" w:fill="auto"/>
            <w:vAlign w:val="center"/>
          </w:tcPr>
          <w:p w14:paraId="18726331">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人均占用密度（设计标准）</w:t>
            </w:r>
          </w:p>
        </w:tc>
        <w:tc>
          <w:tcPr>
            <w:tcW w:w="5230" w:type="dxa"/>
            <w:tcBorders>
              <w:top w:val="single" w:color="auto" w:sz="4" w:space="0"/>
              <w:left w:val="nil"/>
              <w:bottom w:val="single" w:color="auto" w:sz="4" w:space="0"/>
              <w:right w:val="single" w:color="auto" w:sz="4" w:space="0"/>
            </w:tcBorders>
            <w:shd w:val="clear" w:color="auto" w:fill="auto"/>
            <w:vAlign w:val="center"/>
          </w:tcPr>
          <w:p w14:paraId="33A5A7A3">
            <w:pPr>
              <w:keepNext w:val="0"/>
              <w:keepLines w:val="0"/>
              <w:widowControl w:val="0"/>
              <w:suppressLineNumbers w:val="0"/>
              <w:spacing w:before="0" w:beforeAutospacing="0" w:after="0" w:afterAutospacing="0"/>
              <w:ind w:left="0" w:right="0"/>
              <w:jc w:val="center"/>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10 m</w:t>
            </w:r>
            <w:r>
              <w:rPr>
                <w:rFonts w:hint="eastAsia" w:ascii="楷体" w:hAnsi="楷体" w:eastAsia="楷体" w:cs="楷体"/>
                <w:kern w:val="0"/>
                <w:sz w:val="22"/>
                <w:szCs w:val="22"/>
                <w:vertAlign w:val="superscript"/>
                <w:lang w:val="en-US" w:eastAsia="zh-CN" w:bidi="ar"/>
              </w:rPr>
              <w:t>2</w:t>
            </w:r>
            <w:r>
              <w:rPr>
                <w:rFonts w:hint="eastAsia" w:ascii="楷体" w:hAnsi="楷体" w:eastAsia="楷体" w:cs="楷体"/>
                <w:kern w:val="0"/>
                <w:sz w:val="22"/>
                <w:szCs w:val="22"/>
                <w:lang w:val="en-US" w:eastAsia="zh-CN" w:bidi="ar"/>
              </w:rPr>
              <w:t>建筑面积</w:t>
            </w:r>
          </w:p>
        </w:tc>
      </w:tr>
    </w:tbl>
    <w:p w14:paraId="225D9D65">
      <w:pPr>
        <w:keepNext w:val="0"/>
        <w:keepLines w:val="0"/>
        <w:widowControl w:val="0"/>
        <w:suppressLineNumbers w:val="0"/>
        <w:spacing w:before="0" w:beforeAutospacing="1" w:after="0" w:afterAutospacing="0" w:line="360" w:lineRule="exact"/>
        <w:ind w:left="0" w:right="0" w:firstLine="960" w:firstLineChars="400"/>
        <w:jc w:val="both"/>
        <w:rPr>
          <w:rFonts w:hint="eastAsia" w:ascii="楷体" w:hAnsi="楷体" w:eastAsia="楷体" w:cs="楷体"/>
          <w:bCs/>
          <w:kern w:val="0"/>
          <w:sz w:val="24"/>
          <w:szCs w:val="24"/>
        </w:rPr>
      </w:pPr>
      <w:r>
        <w:rPr>
          <w:rFonts w:hint="eastAsia" w:ascii="楷体" w:hAnsi="楷体" w:eastAsia="楷体" w:cs="楷体"/>
          <w:bCs/>
          <w:kern w:val="0"/>
          <w:sz w:val="24"/>
          <w:szCs w:val="24"/>
          <w:lang w:val="en-US" w:eastAsia="zh-CN" w:bidi="ar"/>
        </w:rPr>
        <w:t xml:space="preserve"> </w:t>
      </w:r>
    </w:p>
    <w:p w14:paraId="0251BEB4">
      <w:pPr>
        <w:keepNext w:val="0"/>
        <w:keepLines w:val="0"/>
        <w:widowControl w:val="0"/>
        <w:suppressLineNumbers w:val="0"/>
        <w:spacing w:before="0" w:beforeAutospacing="1" w:after="0" w:afterAutospacing="0" w:line="360" w:lineRule="exact"/>
        <w:ind w:left="0" w:right="0"/>
        <w:jc w:val="both"/>
        <w:rPr>
          <w:rFonts w:hint="eastAsia" w:ascii="楷体" w:hAnsi="楷体" w:eastAsia="楷体" w:cs="楷体"/>
          <w:bCs/>
          <w:kern w:val="0"/>
          <w:sz w:val="24"/>
          <w:szCs w:val="24"/>
        </w:rPr>
      </w:pPr>
      <w:r>
        <w:rPr>
          <w:rFonts w:hint="eastAsia" w:ascii="楷体" w:hAnsi="楷体" w:eastAsia="楷体" w:cs="楷体"/>
          <w:bCs/>
          <w:kern w:val="0"/>
          <w:sz w:val="24"/>
          <w:szCs w:val="24"/>
          <w:lang w:val="en-US" w:eastAsia="zh-CN" w:bidi="ar"/>
        </w:rPr>
        <w:t xml:space="preserve"> </w:t>
      </w:r>
    </w:p>
    <w:p w14:paraId="61945D57">
      <w:pPr>
        <w:keepNext w:val="0"/>
        <w:keepLines w:val="0"/>
        <w:widowControl w:val="0"/>
        <w:suppressLineNumbers w:val="0"/>
        <w:spacing w:before="0" w:beforeAutospacing="1" w:after="0" w:afterAutospacing="0" w:line="360" w:lineRule="exact"/>
        <w:ind w:left="0" w:right="0"/>
        <w:jc w:val="both"/>
        <w:rPr>
          <w:rFonts w:hint="eastAsia" w:ascii="楷体" w:hAnsi="楷体" w:eastAsia="楷体" w:cs="楷体"/>
          <w:bCs/>
          <w:kern w:val="0"/>
          <w:sz w:val="24"/>
          <w:szCs w:val="24"/>
        </w:rPr>
      </w:pPr>
      <w:r>
        <w:rPr>
          <w:rFonts w:hint="eastAsia" w:ascii="楷体" w:hAnsi="楷体" w:eastAsia="楷体" w:cs="楷体"/>
          <w:bCs/>
          <w:kern w:val="0"/>
          <w:sz w:val="24"/>
          <w:szCs w:val="24"/>
          <w:lang w:val="en-US" w:eastAsia="zh-CN" w:bidi="ar"/>
        </w:rPr>
        <w:br w:type="page"/>
      </w:r>
    </w:p>
    <w:p w14:paraId="2D31120C">
      <w:pPr>
        <w:keepNext w:val="0"/>
        <w:keepLines w:val="0"/>
        <w:widowControl w:val="0"/>
        <w:suppressLineNumbers w:val="0"/>
        <w:spacing w:before="0" w:beforeAutospacing="1" w:after="0" w:afterAutospacing="0" w:line="360" w:lineRule="exact"/>
        <w:ind w:left="0" w:right="0"/>
        <w:jc w:val="center"/>
        <w:rPr>
          <w:rFonts w:hint="eastAsia" w:ascii="楷体" w:hAnsi="楷体" w:eastAsia="楷体" w:cs="楷体"/>
          <w:kern w:val="0"/>
          <w:sz w:val="36"/>
          <w:szCs w:val="36"/>
        </w:rPr>
      </w:pPr>
      <w:r>
        <w:rPr>
          <w:rFonts w:hint="eastAsia" w:ascii="楷体" w:hAnsi="楷体" w:eastAsia="楷体" w:cs="楷体"/>
          <w:kern w:val="0"/>
          <w:sz w:val="36"/>
          <w:szCs w:val="36"/>
          <w:lang w:val="en-US" w:eastAsia="zh-CN" w:bidi="ar"/>
        </w:rPr>
        <w:t>附       件        四</w:t>
      </w:r>
    </w:p>
    <w:p w14:paraId="0EBE4ADA">
      <w:pPr>
        <w:pStyle w:val="31"/>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sz w:val="22"/>
          <w:szCs w:val="22"/>
        </w:rPr>
      </w:pPr>
      <w:r>
        <w:rPr>
          <w:rFonts w:hint="eastAsia" w:ascii="楷体" w:hAnsi="楷体" w:eastAsia="楷体" w:cs="楷体"/>
          <w:kern w:val="0"/>
          <w:sz w:val="22"/>
          <w:szCs w:val="22"/>
          <w:lang w:val="en-US" w:eastAsia="zh-CN" w:bidi="ar"/>
        </w:rPr>
        <w:t>企业商业交易行为廉洁自律协议书</w:t>
      </w:r>
    </w:p>
    <w:p w14:paraId="3FCE3766">
      <w:pPr>
        <w:pStyle w:val="31"/>
        <w:keepNext w:val="0"/>
        <w:keepLines w:val="0"/>
        <w:widowControl w:val="0"/>
        <w:suppressLineNumbers w:val="0"/>
        <w:adjustRightInd w:val="0"/>
        <w:spacing w:before="0" w:beforeAutospacing="1" w:after="0" w:afterAutospacing="0" w:line="360" w:lineRule="exact"/>
        <w:ind w:left="0" w:right="0"/>
        <w:jc w:val="center"/>
        <w:textAlignment w:val="baseline"/>
        <w:rPr>
          <w:rFonts w:hint="eastAsia" w:ascii="楷体" w:hAnsi="楷体" w:eastAsia="楷体" w:cs="楷体"/>
          <w:sz w:val="22"/>
          <w:szCs w:val="22"/>
        </w:rPr>
      </w:pPr>
      <w:r>
        <w:rPr>
          <w:rFonts w:hint="eastAsia" w:ascii="楷体" w:hAnsi="楷体" w:eastAsia="楷体" w:cs="楷体"/>
          <w:kern w:val="0"/>
          <w:sz w:val="22"/>
          <w:szCs w:val="22"/>
          <w:lang w:val="en-US" w:eastAsia="zh-CN" w:bidi="ar"/>
        </w:rPr>
        <w:t xml:space="preserve"> </w:t>
      </w:r>
    </w:p>
    <w:p w14:paraId="121226DC">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为了规范出租方承租方双方之间的商业交易行为，保持廉洁自律的工作作风，杜绝在商业交易过程中行贿、受贿等各种不正当以至腐败行为的发生，促进企业反腐倡廉建设，确保集团公司科学、和谐、可持续发展，根据国家相关法律、法规的规定，结合出租方承租方双方商业交易行为的特点，特订立本协议。出租方承租方双方及其参与商业交易行为的员工均应自觉遵守本协议。</w:t>
      </w:r>
    </w:p>
    <w:p w14:paraId="2E19116D">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一、出租方承租方双方应当自觉遵守国家有关禁止利用职务之便进行商业贿赂的法律法规以及政府关于反腐倡廉建设的各项规定。双方的商业交易行为应遵循公开、公平、公正和平等、择优、效益的原则。</w:t>
      </w:r>
    </w:p>
    <w:p w14:paraId="58113B1C">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二、出租方及其员工不得以任何形式向承租方索取或收受回扣、佣金等好处费，不得通过吃拿卡要等方式为自己或特定关系人谋取不正当利益。</w:t>
      </w:r>
    </w:p>
    <w:p w14:paraId="6C580575">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三、出租方及其员工应当保持与承租方的正常业务交往，不得接受承租方及其员工的礼金、有价证券和贵重物品，不得在承租方报销任何应由出租方及其员工个人支付的费用。</w:t>
      </w:r>
    </w:p>
    <w:p w14:paraId="24E429C2">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四、出租方员工不得参加可能对公正执行公务产生影响的由承租方出资的宴请和娱乐活动。</w:t>
      </w:r>
    </w:p>
    <w:p w14:paraId="30F0F414">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五、出租方员工不得要求或者接受承租方为其住房装修、婚丧嫁娶、家属和子女的工作安排以及出国等提供方便。</w:t>
      </w:r>
    </w:p>
    <w:p w14:paraId="2AE63BDE">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六、出租方员工不得向承租方介绍家属或者亲友从事与出租方商业交易有关的材料设备供应、工程分包等经济活动。</w:t>
      </w:r>
    </w:p>
    <w:p w14:paraId="2D352D5E">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七、承租方必须具备政府相关部门认定的合法经营资质，企业内部规章制度、工作章程、供应方案应科学完善。承租方与出租方的商业交易行为应严格遵守国家法律法规、企业规章制度，与出租方交易的产品或服务均真实可靠，决不发生以次充好、隐瞒报价、骗取交易等违法行为，否则将承担相应的民事、行政直至刑事责任。</w:t>
      </w:r>
    </w:p>
    <w:p w14:paraId="35811E69">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八、承租方应当通过正常途径开展相关业务工作，不得向出租方提供任何虚假的交易信息或财务票据，不得用不正当手段排挤其他供应商。</w:t>
      </w:r>
    </w:p>
    <w:p w14:paraId="797F93B3">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九、承租方不得为谋取私利而向出租方员工提供佣金或赠送礼金、有价证券和贵重物品或其他任何形式的经济酬劳等，不得与出租方员工就商业交易达成默契。</w:t>
      </w:r>
    </w:p>
    <w:p w14:paraId="7090AEAC">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十、承租方不得以洽谈业务、签订商业交易合同为借口，邀请出租方员工外出旅游或出入营业性高档娱乐场所。</w:t>
      </w:r>
    </w:p>
    <w:p w14:paraId="13F2EF2D">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十一、承租方不得为出租方及其员工购置或者提供通讯工具、交通工具、家电、高档办公用品等物品。</w:t>
      </w:r>
    </w:p>
    <w:p w14:paraId="2A951AEF">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十二、承租方如发现出租方员工有违反上述协议者，应及时向出租方管理层或者出租方上级单位举报。出租方不得以任何借口对承租方进行报复。出租方对举报属实和严格遵守廉洁自律协议书的承租方，在同等条件下给予优先提供产品或服务的权利。</w:t>
      </w:r>
    </w:p>
    <w:p w14:paraId="7F812B0A">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十三、出租方如发现承租方有违反本协议的行为或者采用其他不正当的手段向出租方员工行贿的，应及时向出租方管理层或者出租方相关部门举报。</w:t>
      </w:r>
    </w:p>
    <w:p w14:paraId="4FEC0BF2">
      <w:pPr>
        <w:keepNext w:val="0"/>
        <w:keepLines w:val="0"/>
        <w:widowControl w:val="0"/>
        <w:suppressLineNumbers w:val="0"/>
        <w:spacing w:before="0" w:beforeAutospacing="1" w:after="0" w:afterAutospacing="0" w:line="360" w:lineRule="exact"/>
        <w:ind w:left="0" w:right="0" w:firstLine="48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十四、本协议经双方签署后立即生效。如出租方承租方双方就商业交易达成合同的，本协议应作为该合同的附件，与合同正本具有同等的法律效力。</w:t>
      </w:r>
    </w:p>
    <w:p w14:paraId="40BC077F">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7F70AF0A">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7D17B0D9">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0E0EB604">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27AE7932">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2E0118CB">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269B41CA">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0FE59A51">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652E05AB">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2A2598C8">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6A81974D">
      <w:pPr>
        <w:pStyle w:val="31"/>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3933DCEA">
      <w:pPr>
        <w:keepNext w:val="0"/>
        <w:keepLines w:val="0"/>
        <w:widowControl w:val="0"/>
        <w:suppressLineNumbers w:val="0"/>
        <w:spacing w:before="0" w:beforeAutospacing="1" w:after="0" w:afterAutospacing="0" w:line="360" w:lineRule="exact"/>
        <w:ind w:left="0" w:right="0"/>
        <w:jc w:val="center"/>
        <w:rPr>
          <w:rFonts w:hint="eastAsia" w:ascii="楷体" w:hAnsi="楷体" w:eastAsia="楷体" w:cs="楷体"/>
          <w:kern w:val="0"/>
          <w:sz w:val="36"/>
          <w:szCs w:val="36"/>
        </w:rPr>
      </w:pPr>
      <w:r>
        <w:rPr>
          <w:rFonts w:hint="eastAsia" w:ascii="楷体" w:hAnsi="楷体" w:eastAsia="楷体" w:cs="楷体"/>
          <w:kern w:val="0"/>
          <w:sz w:val="36"/>
          <w:szCs w:val="36"/>
          <w:lang w:val="en-US" w:eastAsia="zh-CN" w:bidi="ar"/>
        </w:rPr>
        <w:br w:type="page"/>
      </w:r>
      <w:r>
        <w:rPr>
          <w:rFonts w:hint="eastAsia" w:ascii="楷体" w:hAnsi="楷体" w:eastAsia="楷体" w:cs="楷体"/>
          <w:kern w:val="0"/>
          <w:sz w:val="36"/>
          <w:szCs w:val="36"/>
          <w:lang w:val="en-US" w:eastAsia="zh-CN" w:bidi="ar"/>
        </w:rPr>
        <w:t>附  件  五</w:t>
      </w:r>
    </w:p>
    <w:p w14:paraId="4B7B4C7B">
      <w:pPr>
        <w:keepNext w:val="0"/>
        <w:keepLines w:val="0"/>
        <w:widowControl w:val="0"/>
        <w:suppressLineNumbers w:val="0"/>
        <w:spacing w:before="0" w:beforeAutospacing="1" w:after="0" w:afterAutospacing="0" w:line="360" w:lineRule="exact"/>
        <w:ind w:left="0" w:right="0"/>
        <w:jc w:val="both"/>
        <w:textAlignment w:val="bottom"/>
        <w:rPr>
          <w:rFonts w:hint="eastAsia" w:ascii="楷体" w:hAnsi="楷体" w:eastAsia="楷体" w:cs="楷体"/>
          <w:b/>
          <w:bCs/>
          <w:kern w:val="0"/>
          <w:sz w:val="22"/>
          <w:szCs w:val="22"/>
        </w:rPr>
      </w:pPr>
      <w:r>
        <w:rPr>
          <w:rFonts w:hint="eastAsia" w:ascii="楷体" w:hAnsi="楷体" w:eastAsia="楷体" w:cs="楷体"/>
          <w:b/>
          <w:bCs/>
          <w:kern w:val="0"/>
          <w:sz w:val="22"/>
          <w:szCs w:val="22"/>
          <w:lang w:val="en-US" w:eastAsia="zh-CN" w:bidi="ar"/>
        </w:rPr>
        <w:t xml:space="preserve"> </w:t>
      </w:r>
    </w:p>
    <w:p w14:paraId="5F01818F">
      <w:pPr>
        <w:keepNext w:val="0"/>
        <w:keepLines w:val="0"/>
        <w:widowControl w:val="0"/>
        <w:suppressLineNumbers w:val="0"/>
        <w:spacing w:before="0" w:beforeAutospacing="1" w:after="0" w:afterAutospacing="0" w:line="360" w:lineRule="exact"/>
        <w:ind w:left="0" w:right="0"/>
        <w:jc w:val="center"/>
        <w:rPr>
          <w:rFonts w:hint="eastAsia" w:ascii="楷体" w:hAnsi="楷体" w:eastAsia="楷体" w:cs="楷体"/>
          <w:b/>
          <w:bCs w:val="0"/>
          <w:kern w:val="0"/>
          <w:sz w:val="24"/>
          <w:szCs w:val="24"/>
        </w:rPr>
      </w:pPr>
      <w:r>
        <w:rPr>
          <w:rFonts w:hint="eastAsia" w:ascii="楷体" w:hAnsi="楷体" w:eastAsia="楷体" w:cs="楷体"/>
          <w:b/>
          <w:bCs w:val="0"/>
          <w:kern w:val="0"/>
          <w:sz w:val="24"/>
          <w:szCs w:val="24"/>
          <w:lang w:val="en-US" w:eastAsia="zh-CN" w:bidi="ar"/>
        </w:rPr>
        <w:t>安全管理协议</w:t>
      </w:r>
    </w:p>
    <w:p w14:paraId="056735A0">
      <w:pPr>
        <w:keepNext w:val="0"/>
        <w:keepLines w:val="0"/>
        <w:widowControl w:val="0"/>
        <w:suppressLineNumbers w:val="0"/>
        <w:spacing w:before="0" w:beforeAutospacing="1" w:after="0" w:afterAutospacing="0" w:line="360" w:lineRule="exact"/>
        <w:ind w:left="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 xml:space="preserve"> </w:t>
      </w:r>
    </w:p>
    <w:p w14:paraId="614CACB1">
      <w:pPr>
        <w:keepNext w:val="0"/>
        <w:keepLines w:val="0"/>
        <w:widowControl w:val="0"/>
        <w:suppressLineNumbers w:val="0"/>
        <w:spacing w:before="0" w:beforeAutospacing="1" w:after="0" w:afterAutospacing="0" w:line="360" w:lineRule="exact"/>
        <w:ind w:left="0" w:right="0" w:firstLine="42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根据《中华人民共和国消防法》、《中华人民共和国安全生产法》和国家《安全生产违法行为行政处罚办法》，以及国家相关法规，贯彻“安全第一，预防为主”的方针，明确承租方（承租单位）对该房屋的安全管理责任，确保出租方（业主）对外出租该房屋利益不受意外损失，防止发生事故，双方在签订本合同的同时，约定如下：</w:t>
      </w:r>
    </w:p>
    <w:p w14:paraId="2EDCBEF2">
      <w:pPr>
        <w:keepNext w:val="0"/>
        <w:keepLines w:val="0"/>
        <w:widowControl w:val="0"/>
        <w:suppressLineNumbers w:val="0"/>
        <w:spacing w:before="0" w:beforeAutospacing="1" w:after="0" w:afterAutospacing="0" w:line="360" w:lineRule="exact"/>
        <w:ind w:left="0" w:right="0" w:firstLine="42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第一条：（该房屋基本情况）</w:t>
      </w:r>
    </w:p>
    <w:p w14:paraId="23481FFE">
      <w:pPr>
        <w:keepNext w:val="0"/>
        <w:keepLines w:val="0"/>
        <w:widowControl w:val="0"/>
        <w:suppressLineNumbers w:val="0"/>
        <w:spacing w:before="0" w:beforeAutospacing="1" w:after="0" w:afterAutospacing="0" w:line="360" w:lineRule="exact"/>
        <w:ind w:left="0" w:right="0" w:firstLine="440" w:firstLineChars="2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详见本合同相关附表及附录。</w:t>
      </w:r>
    </w:p>
    <w:p w14:paraId="21423FA8">
      <w:pPr>
        <w:keepNext w:val="0"/>
        <w:keepLines w:val="0"/>
        <w:widowControl w:val="0"/>
        <w:suppressLineNumbers w:val="0"/>
        <w:spacing w:before="0" w:beforeAutospacing="1" w:after="0" w:afterAutospacing="0" w:line="360" w:lineRule="exact"/>
        <w:ind w:left="42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第二条（租赁用途）</w:t>
      </w:r>
    </w:p>
    <w:p w14:paraId="50E6D601">
      <w:pPr>
        <w:keepNext w:val="0"/>
        <w:keepLines w:val="0"/>
        <w:widowControl w:val="0"/>
        <w:suppressLineNumbers w:val="0"/>
        <w:spacing w:before="0" w:beforeAutospacing="1" w:after="0" w:afterAutospacing="0" w:line="360" w:lineRule="exact"/>
        <w:ind w:left="42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1、该房屋由出租方出租给承租方，其用途详见本合同正文3-1条。</w:t>
      </w:r>
    </w:p>
    <w:p w14:paraId="5A5C5C8D">
      <w:pPr>
        <w:keepNext w:val="0"/>
        <w:keepLines w:val="0"/>
        <w:widowControl w:val="0"/>
        <w:suppressLineNumbers w:val="0"/>
        <w:spacing w:before="0" w:beforeAutospacing="1" w:after="0" w:afterAutospacing="0" w:line="360" w:lineRule="exact"/>
        <w:ind w:left="42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2、未经出租方书面认可，该房屋不得改作其他用途。</w:t>
      </w:r>
    </w:p>
    <w:p w14:paraId="4C3A4B81">
      <w:pPr>
        <w:keepNext w:val="0"/>
        <w:keepLines w:val="0"/>
        <w:widowControl w:val="0"/>
        <w:suppressLineNumbers w:val="0"/>
        <w:spacing w:before="0" w:beforeAutospacing="1" w:after="0" w:afterAutospacing="0" w:line="360" w:lineRule="exact"/>
        <w:ind w:left="42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第三条（安全责任期限）</w:t>
      </w:r>
    </w:p>
    <w:p w14:paraId="1D0A7BCD">
      <w:pPr>
        <w:keepNext w:val="0"/>
        <w:keepLines w:val="0"/>
        <w:widowControl w:val="0"/>
        <w:suppressLineNumbers w:val="0"/>
        <w:spacing w:before="0" w:beforeAutospacing="1" w:after="0" w:afterAutospacing="0" w:line="360" w:lineRule="exact"/>
        <w:ind w:left="42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安全责任期限自该房屋的交房日起至返还日。</w:t>
      </w:r>
    </w:p>
    <w:p w14:paraId="0E4136E7">
      <w:pPr>
        <w:keepNext w:val="0"/>
        <w:keepLines w:val="0"/>
        <w:widowControl w:val="0"/>
        <w:suppressLineNumbers w:val="0"/>
        <w:spacing w:before="0" w:beforeAutospacing="1" w:after="0" w:afterAutospacing="0" w:line="360" w:lineRule="exact"/>
        <w:ind w:left="42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第四条（租赁使用权限）</w:t>
      </w:r>
    </w:p>
    <w:p w14:paraId="385620F6">
      <w:pPr>
        <w:keepNext w:val="0"/>
        <w:keepLines w:val="0"/>
        <w:widowControl w:val="0"/>
        <w:numPr>
          <w:ilvl w:val="0"/>
          <w:numId w:val="3"/>
        </w:numPr>
        <w:suppressLineNumbers w:val="0"/>
        <w:spacing w:before="0" w:beforeAutospacing="1" w:after="0" w:afterAutospacing="0" w:line="360" w:lineRule="exact"/>
        <w:ind w:left="735" w:right="0" w:hanging="315"/>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该房屋根据本合同仅提供给承租方，承租方不得擅自转租给第三方。</w:t>
      </w:r>
    </w:p>
    <w:p w14:paraId="3A69D3CF">
      <w:pPr>
        <w:keepNext w:val="0"/>
        <w:keepLines w:val="0"/>
        <w:widowControl w:val="0"/>
        <w:suppressLineNumbers w:val="0"/>
        <w:spacing w:before="0" w:beforeAutospacing="1" w:after="0" w:afterAutospacing="0" w:line="360" w:lineRule="exact"/>
        <w:ind w:left="42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第五条（安全管理责任单位）</w:t>
      </w:r>
    </w:p>
    <w:p w14:paraId="5AD8C2FB">
      <w:pPr>
        <w:keepNext w:val="0"/>
        <w:keepLines w:val="0"/>
        <w:widowControl w:val="0"/>
        <w:numPr>
          <w:ilvl w:val="0"/>
          <w:numId w:val="4"/>
        </w:numPr>
        <w:suppressLineNumbers w:val="0"/>
        <w:spacing w:before="0" w:beforeAutospacing="1" w:after="0" w:afterAutospacing="0" w:line="360" w:lineRule="exact"/>
        <w:ind w:left="720" w:right="0" w:hanging="3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本合同明确承租方自该房屋交接之日起，即获得该房屋的使用权，同时亦承担该房屋的安全管理责任，在合同期内由承租方作为该房屋的安全管理责任单位。</w:t>
      </w:r>
    </w:p>
    <w:p w14:paraId="3C96A376">
      <w:pPr>
        <w:keepNext w:val="0"/>
        <w:keepLines w:val="0"/>
        <w:widowControl w:val="0"/>
        <w:suppressLineNumbers w:val="0"/>
        <w:spacing w:before="0" w:beforeAutospacing="1" w:after="0" w:afterAutospacing="0" w:line="360" w:lineRule="exact"/>
        <w:ind w:left="42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第六条（安全管理责任）</w:t>
      </w:r>
    </w:p>
    <w:p w14:paraId="72C4C39F">
      <w:pPr>
        <w:keepNext w:val="0"/>
        <w:keepLines w:val="0"/>
        <w:widowControl w:val="0"/>
        <w:numPr>
          <w:ilvl w:val="0"/>
          <w:numId w:val="5"/>
        </w:numPr>
        <w:suppressLineNumbers w:val="0"/>
        <w:spacing w:before="0" w:beforeAutospacing="1" w:after="0" w:afterAutospacing="0" w:line="360" w:lineRule="exact"/>
        <w:ind w:left="735" w:right="0" w:hanging="315"/>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承租方应当确定具体部门和人员，全面负责该房屋的安全管理工作。</w:t>
      </w:r>
    </w:p>
    <w:p w14:paraId="2DA31868">
      <w:pPr>
        <w:keepNext w:val="0"/>
        <w:keepLines w:val="0"/>
        <w:widowControl w:val="0"/>
        <w:numPr>
          <w:ilvl w:val="0"/>
          <w:numId w:val="5"/>
        </w:numPr>
        <w:suppressLineNumbers w:val="0"/>
        <w:spacing w:before="0" w:beforeAutospacing="1" w:after="0" w:afterAutospacing="0" w:line="360" w:lineRule="exact"/>
        <w:ind w:left="735" w:right="0" w:hanging="315"/>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承租方不得擅自改动（拆除）该房屋的建筑结构，不得造成建筑物的不安全因素。</w:t>
      </w:r>
    </w:p>
    <w:p w14:paraId="780BFDD9">
      <w:pPr>
        <w:keepNext w:val="0"/>
        <w:keepLines w:val="0"/>
        <w:widowControl w:val="0"/>
        <w:numPr>
          <w:ilvl w:val="0"/>
          <w:numId w:val="5"/>
        </w:numPr>
        <w:suppressLineNumbers w:val="0"/>
        <w:spacing w:before="0" w:beforeAutospacing="1" w:after="0" w:afterAutospacing="0" w:line="360" w:lineRule="exact"/>
        <w:ind w:left="735" w:right="0" w:hanging="315"/>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承租方应当按照国家相关规定，建立和健全该房屋的安全管理制度，并认真有效地执行。</w:t>
      </w:r>
    </w:p>
    <w:p w14:paraId="7A024737">
      <w:pPr>
        <w:keepNext w:val="0"/>
        <w:keepLines w:val="0"/>
        <w:widowControl w:val="0"/>
        <w:numPr>
          <w:ilvl w:val="0"/>
          <w:numId w:val="5"/>
        </w:numPr>
        <w:suppressLineNumbers w:val="0"/>
        <w:spacing w:before="0" w:beforeAutospacing="1" w:after="0" w:afterAutospacing="0" w:line="360" w:lineRule="exact"/>
        <w:ind w:left="735" w:right="0" w:hanging="315"/>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承租方必须严格执行国家《消防法》，严格执行相关防火规定，防止发生火灾火警事故。</w:t>
      </w:r>
    </w:p>
    <w:p w14:paraId="6A7BBC1C">
      <w:pPr>
        <w:keepNext w:val="0"/>
        <w:keepLines w:val="0"/>
        <w:widowControl w:val="0"/>
        <w:numPr>
          <w:ilvl w:val="0"/>
          <w:numId w:val="5"/>
        </w:numPr>
        <w:suppressLineNumbers w:val="0"/>
        <w:spacing w:before="0" w:beforeAutospacing="1" w:after="0" w:afterAutospacing="0" w:line="360" w:lineRule="exact"/>
        <w:ind w:left="735" w:right="0" w:hanging="315"/>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承租方必须严格执行国家《安全生产法》，特种作业人员必须持有效证件上岗，认真做好该房屋设备的维护保养工作，防止发生触电、高处坠落或坠物伤人等事故。</w:t>
      </w:r>
    </w:p>
    <w:p w14:paraId="143051B3">
      <w:pPr>
        <w:keepNext w:val="0"/>
        <w:keepLines w:val="0"/>
        <w:widowControl w:val="0"/>
        <w:numPr>
          <w:ilvl w:val="0"/>
          <w:numId w:val="5"/>
        </w:numPr>
        <w:suppressLineNumbers w:val="0"/>
        <w:spacing w:before="0" w:beforeAutospacing="1" w:after="0" w:afterAutospacing="0" w:line="360" w:lineRule="exact"/>
        <w:ind w:left="735" w:right="0" w:hanging="315"/>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承租方必须采取必要的保护措施，防止在该房屋发生第三者伤害事故。</w:t>
      </w:r>
    </w:p>
    <w:p w14:paraId="05FE4FAF">
      <w:pPr>
        <w:keepNext w:val="0"/>
        <w:keepLines w:val="0"/>
        <w:widowControl w:val="0"/>
        <w:suppressLineNumbers w:val="0"/>
        <w:spacing w:before="0" w:beforeAutospacing="1" w:after="0" w:afterAutospacing="0" w:line="360" w:lineRule="exact"/>
        <w:ind w:left="42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第七条（事故责任）</w:t>
      </w:r>
    </w:p>
    <w:p w14:paraId="014D7EB2">
      <w:pPr>
        <w:keepNext w:val="0"/>
        <w:keepLines w:val="0"/>
        <w:widowControl w:val="0"/>
        <w:numPr>
          <w:ilvl w:val="0"/>
          <w:numId w:val="6"/>
        </w:numPr>
        <w:suppressLineNumbers w:val="0"/>
        <w:spacing w:before="0" w:beforeAutospacing="1" w:after="0" w:afterAutospacing="0" w:line="360" w:lineRule="exact"/>
        <w:ind w:left="720" w:right="0" w:hanging="30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在本合同有效期内，如在该房屋范围内发生任何火警火灾事故、人身伤亡事故、包括第三者伤害责任事故，均由承租方负全部责任。</w:t>
      </w:r>
    </w:p>
    <w:p w14:paraId="2D478B8C">
      <w:pPr>
        <w:keepNext w:val="0"/>
        <w:keepLines w:val="0"/>
        <w:widowControl w:val="0"/>
        <w:suppressLineNumbers w:val="0"/>
        <w:spacing w:before="0" w:beforeAutospacing="1" w:after="0" w:afterAutospacing="0" w:line="360" w:lineRule="exact"/>
        <w:ind w:left="420" w:right="0"/>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第八条（事故处理）</w:t>
      </w:r>
    </w:p>
    <w:p w14:paraId="19844BE9">
      <w:pPr>
        <w:keepNext w:val="0"/>
        <w:keepLines w:val="0"/>
        <w:widowControl w:val="0"/>
        <w:numPr>
          <w:ilvl w:val="0"/>
          <w:numId w:val="7"/>
        </w:numPr>
        <w:suppressLineNumbers w:val="0"/>
        <w:spacing w:before="0" w:beforeAutospacing="1" w:after="0" w:afterAutospacing="0" w:line="360" w:lineRule="exact"/>
        <w:ind w:left="735" w:right="0" w:hanging="315"/>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一旦发生事故，承租方必须在第一时间报告公安消防部门，或安全生产主管部门。</w:t>
      </w:r>
    </w:p>
    <w:p w14:paraId="6235279B">
      <w:pPr>
        <w:keepNext w:val="0"/>
        <w:keepLines w:val="0"/>
        <w:widowControl w:val="0"/>
        <w:numPr>
          <w:ilvl w:val="0"/>
          <w:numId w:val="7"/>
        </w:numPr>
        <w:suppressLineNumbers w:val="0"/>
        <w:spacing w:before="0" w:beforeAutospacing="1" w:after="0" w:afterAutospacing="0" w:line="360" w:lineRule="exact"/>
        <w:ind w:left="735" w:right="0" w:hanging="315"/>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承租方必须按照事故处理应急预案，采取有效措施积极抢救受伤人员。承租方必须负责全部事故善后处理工作。</w:t>
      </w:r>
    </w:p>
    <w:p w14:paraId="51E3DF1F">
      <w:pPr>
        <w:keepNext w:val="0"/>
        <w:keepLines w:val="0"/>
        <w:widowControl w:val="0"/>
        <w:numPr>
          <w:ilvl w:val="0"/>
          <w:numId w:val="7"/>
        </w:numPr>
        <w:suppressLineNumbers w:val="0"/>
        <w:spacing w:before="0" w:beforeAutospacing="1" w:after="0" w:afterAutospacing="0" w:line="360" w:lineRule="exact"/>
        <w:ind w:left="735" w:right="0" w:hanging="315"/>
        <w:jc w:val="both"/>
        <w:rPr>
          <w:rFonts w:hint="eastAsia" w:ascii="楷体" w:hAnsi="楷体" w:eastAsia="楷体" w:cs="楷体"/>
          <w:kern w:val="0"/>
          <w:sz w:val="22"/>
          <w:szCs w:val="22"/>
        </w:rPr>
      </w:pPr>
      <w:r>
        <w:rPr>
          <w:rFonts w:hint="eastAsia" w:ascii="楷体" w:hAnsi="楷体" w:eastAsia="楷体" w:cs="楷体"/>
          <w:kern w:val="0"/>
          <w:sz w:val="22"/>
          <w:szCs w:val="22"/>
          <w:lang w:val="en-US" w:eastAsia="zh-CN" w:bidi="ar"/>
        </w:rPr>
        <w:t>承租方应当迅速通知出租方，告知事故情况。出租方将协助承租方组织抢救和其他事故处理工作。</w:t>
      </w:r>
    </w:p>
    <w:p w14:paraId="13C2A4BC">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781FC212">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5302C403">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2B2BFBB6">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52B684CD">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783A651F">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347BAA6F">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76B922A6">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03F47C3A">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13372D11">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37A2DE1A">
      <w:pPr>
        <w:pStyle w:val="31"/>
        <w:keepNext w:val="0"/>
        <w:keepLines w:val="0"/>
        <w:widowControl w:val="0"/>
        <w:suppressLineNumbers w:val="0"/>
        <w:spacing w:before="0" w:beforeAutospacing="1" w:after="0" w:afterAutospacing="1" w:line="360" w:lineRule="exact"/>
        <w:ind w:left="0" w:right="0"/>
        <w:jc w:val="center"/>
        <w:rPr>
          <w:rFonts w:hint="eastAsia" w:ascii="楷体" w:hAnsi="楷体" w:eastAsia="楷体" w:cs="楷体"/>
          <w:kern w:val="0"/>
          <w:sz w:val="18"/>
          <w:szCs w:val="18"/>
        </w:rPr>
      </w:pPr>
      <w:r>
        <w:rPr>
          <w:rFonts w:hint="eastAsia" w:ascii="楷体" w:hAnsi="楷体" w:eastAsia="楷体" w:cs="楷体"/>
          <w:kern w:val="0"/>
          <w:sz w:val="18"/>
          <w:szCs w:val="18"/>
          <w:lang w:val="en-US" w:eastAsia="zh-CN" w:bidi="ar"/>
        </w:rPr>
        <w:t xml:space="preserve">  </w:t>
      </w:r>
    </w:p>
    <w:p w14:paraId="50CB4D67">
      <w:pPr>
        <w:keepNext w:val="0"/>
        <w:keepLines w:val="0"/>
        <w:widowControl w:val="0"/>
        <w:suppressLineNumbers w:val="0"/>
        <w:spacing w:before="0" w:beforeAutospacing="1" w:after="0" w:afterAutospacing="0" w:line="360" w:lineRule="exact"/>
        <w:ind w:left="0" w:right="0"/>
        <w:jc w:val="center"/>
        <w:rPr>
          <w:rFonts w:hint="eastAsia" w:ascii="楷体" w:hAnsi="楷体" w:eastAsia="楷体" w:cs="楷体"/>
          <w:kern w:val="0"/>
          <w:sz w:val="22"/>
          <w:szCs w:val="22"/>
        </w:rPr>
      </w:pPr>
      <w:r>
        <w:rPr>
          <w:rFonts w:hint="eastAsia" w:ascii="楷体" w:hAnsi="楷体" w:eastAsia="楷体" w:cs="楷体"/>
          <w:kern w:val="0"/>
          <w:sz w:val="18"/>
          <w:szCs w:val="18"/>
          <w:lang w:val="en-US" w:eastAsia="zh-CN" w:bidi="ar"/>
        </w:rPr>
        <w:br w:type="page"/>
      </w:r>
    </w:p>
    <w:p w14:paraId="42984123">
      <w:pPr>
        <w:keepNext w:val="0"/>
        <w:keepLines w:val="0"/>
        <w:widowControl w:val="0"/>
        <w:suppressLineNumbers w:val="0"/>
        <w:spacing w:before="0" w:beforeAutospacing="1" w:after="0" w:afterAutospacing="1" w:line="360" w:lineRule="exact"/>
        <w:ind w:left="0" w:right="0"/>
        <w:jc w:val="left"/>
        <w:rPr>
          <w:rFonts w:hint="eastAsia" w:ascii="楷体" w:hAnsi="楷体" w:eastAsia="楷体" w:cs="楷体"/>
          <w:kern w:val="0"/>
          <w:sz w:val="18"/>
          <w:szCs w:val="18"/>
        </w:rPr>
      </w:pPr>
      <w:bookmarkStart w:id="0" w:name="_GoBack"/>
      <w:r>
        <w:rPr>
          <w:rFonts w:hint="eastAsia" w:ascii="楷体" w:hAnsi="楷体" w:eastAsia="楷体" w:cs="楷体"/>
          <w:kern w:val="0"/>
          <w:sz w:val="18"/>
          <w:szCs w:val="18"/>
          <w:lang w:val="en-US" w:eastAsia="zh-CN" w:bidi="ar"/>
        </w:rPr>
        <w:drawing>
          <wp:anchor distT="0" distB="0" distL="114300" distR="114300" simplePos="0" relativeHeight="251659264" behindDoc="0" locked="0" layoutInCell="1" allowOverlap="1">
            <wp:simplePos x="0" y="0"/>
            <wp:positionH relativeFrom="column">
              <wp:posOffset>-379730</wp:posOffset>
            </wp:positionH>
            <wp:positionV relativeFrom="paragraph">
              <wp:posOffset>335280</wp:posOffset>
            </wp:positionV>
            <wp:extent cx="6219190" cy="8293735"/>
            <wp:effectExtent l="0" t="0" r="10160" b="12065"/>
            <wp:wrapNone/>
            <wp:docPr id="1" name="图片 1" descr="1411470725339712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114707253397124045"/>
                    <pic:cNvPicPr>
                      <a:picLocks noChangeAspect="1"/>
                    </pic:cNvPicPr>
                  </pic:nvPicPr>
                  <pic:blipFill>
                    <a:blip r:embed="rId9"/>
                    <a:stretch>
                      <a:fillRect/>
                    </a:stretch>
                  </pic:blipFill>
                  <pic:spPr>
                    <a:xfrm>
                      <a:off x="0" y="0"/>
                      <a:ext cx="6219190" cy="8293735"/>
                    </a:xfrm>
                    <a:prstGeom prst="rect">
                      <a:avLst/>
                    </a:prstGeom>
                  </pic:spPr>
                </pic:pic>
              </a:graphicData>
            </a:graphic>
          </wp:anchor>
        </w:drawing>
      </w:r>
      <w:bookmarkEnd w:id="0"/>
      <w:r>
        <w:rPr>
          <w:rFonts w:hint="eastAsia" w:ascii="楷体" w:hAnsi="楷体" w:eastAsia="楷体" w:cs="楷体"/>
          <w:kern w:val="0"/>
          <w:sz w:val="18"/>
          <w:szCs w:val="18"/>
          <w:lang w:val="en-US" w:eastAsia="zh-CN" w:bidi="ar"/>
        </w:rPr>
        <w:t xml:space="preserve"> </w:t>
      </w:r>
    </w:p>
    <w:p w14:paraId="47B8912B">
      <w:pPr>
        <w:spacing w:before="100" w:beforeAutospacing="1" w:after="100" w:afterAutospacing="1" w:line="360" w:lineRule="exact"/>
        <w:jc w:val="left"/>
        <w:rPr>
          <w:rFonts w:ascii="Arial Unicode MS" w:hAnsi="Arial Unicode MS" w:eastAsia="楷体"/>
          <w:kern w:val="0"/>
          <w:sz w:val="18"/>
          <w:szCs w:val="18"/>
        </w:rPr>
      </w:pPr>
    </w:p>
    <w:sectPr>
      <w:footerReference r:id="rId6" w:type="first"/>
      <w:headerReference r:id="rId3" w:type="default"/>
      <w:footerReference r:id="rId4" w:type="default"/>
      <w:footerReference r:id="rId5" w:type="even"/>
      <w:pgSz w:w="11906" w:h="16838"/>
      <w:pgMar w:top="1440" w:right="1826" w:bottom="1246" w:left="1620"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MS PGothic">
    <w:panose1 w:val="020B0600070205080204"/>
    <w:charset w:val="80"/>
    <w:family w:val="swiss"/>
    <w:pitch w:val="default"/>
    <w:sig w:usb0="E00002FF" w:usb1="6AC7FDFB" w:usb2="08000012" w:usb3="00000000" w:csb0="4002009F" w:csb1="DFD70000"/>
  </w:font>
  <w:font w:name="Verdana">
    <w:panose1 w:val="020B0604030504040204"/>
    <w:charset w:val="00"/>
    <w:family w:val="swiss"/>
    <w:pitch w:val="default"/>
    <w:sig w:usb0="A00006FF" w:usb1="4000205B" w:usb2="0000001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方正楷体繁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240E">
    <w:pPr>
      <w:pStyle w:val="24"/>
      <w:jc w:val="center"/>
    </w:pPr>
    <w:r>
      <w:fldChar w:fldCharType="begin"/>
    </w:r>
    <w:r>
      <w:instrText xml:space="preserve">PAGE   \* MERGEFORMAT</w:instrText>
    </w:r>
    <w:r>
      <w:fldChar w:fldCharType="separate"/>
    </w:r>
    <w:r>
      <w:rPr>
        <w:lang w:val="zh-CN" w:eastAsia="zh-CN"/>
      </w:rPr>
      <w:t>-</w:t>
    </w:r>
    <w:r>
      <w:rPr>
        <w:lang w:val="en-US" w:eastAsia="zh-CN"/>
      </w:rPr>
      <w:t xml:space="preserve"> 2 -</w:t>
    </w:r>
    <w:r>
      <w:fldChar w:fldCharType="end"/>
    </w:r>
  </w:p>
  <w:p w14:paraId="55314F53">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616BF">
    <w:pPr>
      <w:pStyle w:val="24"/>
      <w:framePr w:wrap="around" w:vAnchor="text" w:hAnchor="margin" w:xAlign="center" w:y="1"/>
      <w:rPr>
        <w:rStyle w:val="36"/>
      </w:rPr>
    </w:pPr>
    <w:r>
      <w:fldChar w:fldCharType="begin"/>
    </w:r>
    <w:r>
      <w:rPr>
        <w:rStyle w:val="36"/>
      </w:rPr>
      <w:instrText xml:space="preserve">PAGE  </w:instrText>
    </w:r>
    <w:r>
      <w:fldChar w:fldCharType="end"/>
    </w:r>
  </w:p>
  <w:p w14:paraId="72C7084C">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E8850">
    <w:pPr>
      <w:pStyle w:val="24"/>
      <w:jc w:val="center"/>
    </w:pPr>
    <w:r>
      <w:fldChar w:fldCharType="begin"/>
    </w:r>
    <w:r>
      <w:instrText xml:space="preserve">PAGE   \* MERGEFORMAT</w:instrText>
    </w:r>
    <w:r>
      <w:fldChar w:fldCharType="separate"/>
    </w:r>
    <w:r>
      <w:rPr>
        <w:lang w:val="zh-CN" w:eastAsia="zh-CN"/>
      </w:rPr>
      <w:t>-</w:t>
    </w:r>
    <w:r>
      <w:rPr>
        <w:lang w:val="en-US" w:eastAsia="zh-CN"/>
      </w:rPr>
      <w:t xml:space="preserve"> 1 -</w:t>
    </w:r>
    <w:r>
      <w:fldChar w:fldCharType="end"/>
    </w:r>
  </w:p>
  <w:p w14:paraId="1F6FBD4D">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E7E6">
    <w:pPr>
      <w:pStyle w:val="26"/>
      <w:rPr>
        <w:rFonts w:hint="eastAsia"/>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FB379"/>
    <w:multiLevelType w:val="multilevel"/>
    <w:tmpl w:val="919FB379"/>
    <w:lvl w:ilvl="0" w:tentative="0">
      <w:start w:val="1"/>
      <w:numFmt w:val="decimal"/>
      <w:lvlText w:val="第%1条、"/>
      <w:lvlJc w:val="left"/>
      <w:pPr>
        <w:tabs>
          <w:tab w:val="left" w:pos="360"/>
        </w:tabs>
        <w:ind w:left="360" w:hanging="360"/>
      </w:pPr>
      <w:rPr>
        <w:rFonts w:hint="default" w:ascii="楷体" w:hAnsi="楷体" w:eastAsia="楷体" w:cs="楷体"/>
      </w:rPr>
    </w:lvl>
    <w:lvl w:ilvl="1" w:tentative="0">
      <w:start w:val="1"/>
      <w:numFmt w:val="decimal"/>
      <w:lvlText w:val="%1-%2."/>
      <w:lvlJc w:val="left"/>
      <w:pPr>
        <w:tabs>
          <w:tab w:val="left" w:pos="454"/>
        </w:tabs>
        <w:ind w:left="907" w:hanging="623"/>
      </w:pPr>
      <w:rPr>
        <w:rFonts w:hint="eastAsia" w:ascii="楷体" w:hAnsi="楷体" w:eastAsia="楷体" w:cs="楷体"/>
        <w:b w:val="0"/>
        <w:sz w:val="22"/>
        <w:szCs w:val="22"/>
      </w:rPr>
    </w:lvl>
    <w:lvl w:ilvl="2" w:tentative="0">
      <w:start w:val="1"/>
      <w:numFmt w:val="decimal"/>
      <w:lvlText w:val="（%3）"/>
      <w:lvlJc w:val="left"/>
      <w:pPr>
        <w:tabs>
          <w:tab w:val="left" w:pos="1260"/>
        </w:tabs>
        <w:ind w:left="1260" w:firstLine="0"/>
      </w:pPr>
      <w:rPr>
        <w:rFonts w:hint="eastAsia" w:ascii="楷体" w:hAnsi="楷体" w:eastAsia="楷体" w:cs="楷体"/>
        <w:b w:val="0"/>
      </w:rPr>
    </w:lvl>
    <w:lvl w:ilvl="3" w:tentative="0">
      <w:start w:val="1"/>
      <w:numFmt w:val="lowerLetter"/>
      <w:lvlText w:val="(%4)"/>
      <w:lvlJc w:val="left"/>
      <w:pPr>
        <w:tabs>
          <w:tab w:val="left" w:pos="0"/>
        </w:tabs>
        <w:ind w:left="2798" w:firstLine="0"/>
      </w:pPr>
      <w:rPr>
        <w:rFonts w:hint="eastAsia" w:ascii="宋体" w:hAnsi="宋体" w:eastAsia="宋体" w:cs="宋体"/>
      </w:rPr>
    </w:lvl>
    <w:lvl w:ilvl="4" w:tentative="0">
      <w:start w:val="1"/>
      <w:numFmt w:val="bullet"/>
      <w:lvlText w:val=""/>
      <w:lvlJc w:val="left"/>
      <w:pPr>
        <w:tabs>
          <w:tab w:val="left" w:pos="0"/>
        </w:tabs>
        <w:ind w:left="2798" w:firstLine="0"/>
      </w:pPr>
      <w:rPr>
        <w:rFonts w:hint="default" w:ascii="Symbol" w:hAnsi="Symbol" w:cs="Symbol"/>
      </w:rPr>
    </w:lvl>
    <w:lvl w:ilvl="5" w:tentative="0">
      <w:start w:val="1"/>
      <w:numFmt w:val="decimal"/>
      <w:lvlText w:val=".%4.%5.%6."/>
      <w:lvlJc w:val="left"/>
      <w:pPr>
        <w:tabs>
          <w:tab w:val="left" w:pos="0"/>
        </w:tabs>
        <w:ind w:left="2798" w:firstLine="0"/>
      </w:pPr>
      <w:rPr>
        <w:rFonts w:hint="eastAsia" w:ascii="宋体" w:hAnsi="宋体" w:eastAsia="宋体" w:cs="宋体"/>
      </w:rPr>
    </w:lvl>
    <w:lvl w:ilvl="6" w:tentative="0">
      <w:start w:val="1"/>
      <w:numFmt w:val="decimal"/>
      <w:lvlText w:val=".%4.%5.%6.%7."/>
      <w:lvlJc w:val="left"/>
      <w:pPr>
        <w:tabs>
          <w:tab w:val="left" w:pos="0"/>
        </w:tabs>
        <w:ind w:left="2798" w:firstLine="0"/>
      </w:pPr>
      <w:rPr>
        <w:rFonts w:hint="eastAsia" w:ascii="宋体" w:hAnsi="宋体" w:eastAsia="宋体" w:cs="宋体"/>
      </w:rPr>
    </w:lvl>
    <w:lvl w:ilvl="7" w:tentative="0">
      <w:start w:val="1"/>
      <w:numFmt w:val="decimal"/>
      <w:lvlText w:val=".%4.%5.%6.%7.%8."/>
      <w:lvlJc w:val="left"/>
      <w:pPr>
        <w:tabs>
          <w:tab w:val="left" w:pos="0"/>
        </w:tabs>
        <w:ind w:left="2798" w:firstLine="0"/>
      </w:pPr>
      <w:rPr>
        <w:rFonts w:hint="eastAsia" w:ascii="宋体" w:hAnsi="宋体" w:eastAsia="宋体" w:cs="宋体"/>
      </w:rPr>
    </w:lvl>
    <w:lvl w:ilvl="8" w:tentative="0">
      <w:start w:val="1"/>
      <w:numFmt w:val="decimal"/>
      <w:lvlText w:val=".%4.%5.%6.%7.%8.%9."/>
      <w:lvlJc w:val="left"/>
      <w:pPr>
        <w:tabs>
          <w:tab w:val="left" w:pos="0"/>
        </w:tabs>
        <w:ind w:left="4357" w:hanging="1559"/>
      </w:pPr>
      <w:rPr>
        <w:rFonts w:hint="eastAsia" w:ascii="宋体" w:hAnsi="宋体" w:eastAsia="宋体" w:cs="宋体"/>
      </w:rPr>
    </w:lvl>
  </w:abstractNum>
  <w:abstractNum w:abstractNumId="1">
    <w:nsid w:val="BF8BF5BC"/>
    <w:multiLevelType w:val="multilevel"/>
    <w:tmpl w:val="BF8BF5BC"/>
    <w:lvl w:ilvl="0" w:tentative="0">
      <w:start w:val="1"/>
      <w:numFmt w:val="decimal"/>
      <w:lvlText w:val="%1、"/>
      <w:lvlJc w:val="left"/>
      <w:pPr>
        <w:tabs>
          <w:tab w:val="left" w:pos="735"/>
        </w:tabs>
        <w:ind w:left="735" w:hanging="315"/>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CF3DF307"/>
    <w:multiLevelType w:val="multilevel"/>
    <w:tmpl w:val="CF3DF307"/>
    <w:lvl w:ilvl="0" w:tentative="0">
      <w:start w:val="1"/>
      <w:numFmt w:val="decimal"/>
      <w:lvlText w:val="%1."/>
      <w:lvlJc w:val="left"/>
      <w:pPr>
        <w:tabs>
          <w:tab w:val="left" w:pos="720"/>
        </w:tabs>
        <w:ind w:left="720" w:hanging="360"/>
      </w:pPr>
      <w:rPr>
        <w:rFonts w:hint="default" w:ascii="Times New Roman" w:hAnsi="Times New Roman" w:cs="Times New Roman"/>
        <w:b w:val="0"/>
        <w:i w:val="0"/>
      </w:rPr>
    </w:lvl>
    <w:lvl w:ilvl="1" w:tentative="0">
      <w:start w:val="1"/>
      <w:numFmt w:val="lowerLetter"/>
      <w:lvlText w:val="%2."/>
      <w:lvlJc w:val="left"/>
      <w:pPr>
        <w:tabs>
          <w:tab w:val="left" w:pos="1440"/>
        </w:tabs>
        <w:ind w:left="1440" w:hanging="360"/>
      </w:pPr>
      <w:rPr>
        <w:rFonts w:hint="default" w:ascii="Times New Roman" w:hAnsi="Times New Roman" w:cs="Times New Roman"/>
      </w:rPr>
    </w:lvl>
    <w:lvl w:ilvl="2" w:tentative="0">
      <w:start w:val="1"/>
      <w:numFmt w:val="lowerRoman"/>
      <w:lvlText w:val="%3."/>
      <w:lvlJc w:val="right"/>
      <w:pPr>
        <w:tabs>
          <w:tab w:val="left" w:pos="2160"/>
        </w:tabs>
        <w:ind w:left="2160" w:hanging="18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lowerLetter"/>
      <w:lvlText w:val="%5."/>
      <w:lvlJc w:val="left"/>
      <w:pPr>
        <w:tabs>
          <w:tab w:val="left" w:pos="3600"/>
        </w:tabs>
        <w:ind w:left="3600" w:hanging="360"/>
      </w:pPr>
      <w:rPr>
        <w:rFonts w:hint="default" w:ascii="Times New Roman" w:hAnsi="Times New Roman" w:cs="Times New Roman"/>
      </w:rPr>
    </w:lvl>
    <w:lvl w:ilvl="5" w:tentative="0">
      <w:start w:val="1"/>
      <w:numFmt w:val="lowerRoman"/>
      <w:lvlText w:val="%6."/>
      <w:lvlJc w:val="right"/>
      <w:pPr>
        <w:tabs>
          <w:tab w:val="left" w:pos="4320"/>
        </w:tabs>
        <w:ind w:left="4320" w:hanging="18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lowerLetter"/>
      <w:lvlText w:val="%8."/>
      <w:lvlJc w:val="left"/>
      <w:pPr>
        <w:tabs>
          <w:tab w:val="left" w:pos="5760"/>
        </w:tabs>
        <w:ind w:left="5760" w:hanging="360"/>
      </w:pPr>
      <w:rPr>
        <w:rFonts w:hint="default" w:ascii="Times New Roman" w:hAnsi="Times New Roman" w:cs="Times New Roman"/>
      </w:rPr>
    </w:lvl>
    <w:lvl w:ilvl="8" w:tentative="0">
      <w:start w:val="1"/>
      <w:numFmt w:val="lowerRoman"/>
      <w:lvlText w:val="%9."/>
      <w:lvlJc w:val="right"/>
      <w:pPr>
        <w:tabs>
          <w:tab w:val="left" w:pos="6480"/>
        </w:tabs>
        <w:ind w:left="6480" w:hanging="180"/>
      </w:pPr>
      <w:rPr>
        <w:rFonts w:hint="default" w:ascii="Times New Roman" w:hAnsi="Times New Roman" w:cs="Times New Roman"/>
      </w:rPr>
    </w:lvl>
  </w:abstractNum>
  <w:abstractNum w:abstractNumId="3">
    <w:nsid w:val="D467473C"/>
    <w:multiLevelType w:val="multilevel"/>
    <w:tmpl w:val="D467473C"/>
    <w:lvl w:ilvl="0" w:tentative="0">
      <w:start w:val="1"/>
      <w:numFmt w:val="decimal"/>
      <w:lvlText w:val="%1、"/>
      <w:lvlJc w:val="left"/>
      <w:pPr>
        <w:tabs>
          <w:tab w:val="left" w:pos="720"/>
        </w:tabs>
        <w:ind w:left="720" w:hanging="30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DF6B27A3"/>
    <w:multiLevelType w:val="multilevel"/>
    <w:tmpl w:val="DF6B27A3"/>
    <w:lvl w:ilvl="0" w:tentative="0">
      <w:start w:val="1"/>
      <w:numFmt w:val="decimal"/>
      <w:lvlText w:val="%1、"/>
      <w:lvlJc w:val="left"/>
      <w:pPr>
        <w:tabs>
          <w:tab w:val="left" w:pos="720"/>
        </w:tabs>
        <w:ind w:left="720" w:hanging="30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F7CF92CA"/>
    <w:multiLevelType w:val="multilevel"/>
    <w:tmpl w:val="F7CF92CA"/>
    <w:lvl w:ilvl="0" w:tentative="0">
      <w:start w:val="1"/>
      <w:numFmt w:val="decimal"/>
      <w:lvlText w:val="%1、"/>
      <w:lvlJc w:val="left"/>
      <w:pPr>
        <w:tabs>
          <w:tab w:val="left" w:pos="735"/>
        </w:tabs>
        <w:ind w:left="735" w:hanging="315"/>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FC5607AB"/>
    <w:multiLevelType w:val="multilevel"/>
    <w:tmpl w:val="FC5607AB"/>
    <w:lvl w:ilvl="0" w:tentative="0">
      <w:start w:val="1"/>
      <w:numFmt w:val="decimal"/>
      <w:lvlText w:val="%1、"/>
      <w:lvlJc w:val="left"/>
      <w:pPr>
        <w:tabs>
          <w:tab w:val="left" w:pos="735"/>
        </w:tabs>
        <w:ind w:left="735" w:hanging="315"/>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 w:numId="2">
    <w:abstractNumId w:val="2"/>
  </w:num>
  <w:num w:numId="3">
    <w:abstractNumId w:val="5"/>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entNum" w:val="13035"/>
    <w:docVar w:name="DocRef" w:val="SH:627973.8"/>
    <w:docVar w:name="MatterNum" w:val="00528"/>
  </w:docVars>
  <w:rsids>
    <w:rsidRoot w:val="00785EB0"/>
    <w:rsid w:val="00004B04"/>
    <w:rsid w:val="000058ED"/>
    <w:rsid w:val="0000774B"/>
    <w:rsid w:val="00011FD5"/>
    <w:rsid w:val="00012200"/>
    <w:rsid w:val="0001280D"/>
    <w:rsid w:val="00015316"/>
    <w:rsid w:val="00015798"/>
    <w:rsid w:val="000171AA"/>
    <w:rsid w:val="00022779"/>
    <w:rsid w:val="00022C78"/>
    <w:rsid w:val="0002338F"/>
    <w:rsid w:val="0002487E"/>
    <w:rsid w:val="00024F0D"/>
    <w:rsid w:val="00026A4A"/>
    <w:rsid w:val="00027347"/>
    <w:rsid w:val="0003140F"/>
    <w:rsid w:val="00031859"/>
    <w:rsid w:val="00031E60"/>
    <w:rsid w:val="00032947"/>
    <w:rsid w:val="00034A99"/>
    <w:rsid w:val="00035F22"/>
    <w:rsid w:val="00036930"/>
    <w:rsid w:val="000375B1"/>
    <w:rsid w:val="00041499"/>
    <w:rsid w:val="000417D9"/>
    <w:rsid w:val="00043C8A"/>
    <w:rsid w:val="000442F9"/>
    <w:rsid w:val="00044720"/>
    <w:rsid w:val="00045BA8"/>
    <w:rsid w:val="00046A00"/>
    <w:rsid w:val="00047FF8"/>
    <w:rsid w:val="0005003A"/>
    <w:rsid w:val="00051374"/>
    <w:rsid w:val="00051AA7"/>
    <w:rsid w:val="000522DC"/>
    <w:rsid w:val="00053538"/>
    <w:rsid w:val="000540B0"/>
    <w:rsid w:val="000557CB"/>
    <w:rsid w:val="00056DB2"/>
    <w:rsid w:val="0006143D"/>
    <w:rsid w:val="00061511"/>
    <w:rsid w:val="00061972"/>
    <w:rsid w:val="00062928"/>
    <w:rsid w:val="00062DC7"/>
    <w:rsid w:val="00064027"/>
    <w:rsid w:val="000649CE"/>
    <w:rsid w:val="00065B64"/>
    <w:rsid w:val="000701D8"/>
    <w:rsid w:val="0007121B"/>
    <w:rsid w:val="000724DA"/>
    <w:rsid w:val="00072B71"/>
    <w:rsid w:val="00073594"/>
    <w:rsid w:val="0007552B"/>
    <w:rsid w:val="000763BA"/>
    <w:rsid w:val="00077E05"/>
    <w:rsid w:val="0008032F"/>
    <w:rsid w:val="0008205C"/>
    <w:rsid w:val="000843BF"/>
    <w:rsid w:val="000870A0"/>
    <w:rsid w:val="00091847"/>
    <w:rsid w:val="000920B6"/>
    <w:rsid w:val="00092D1C"/>
    <w:rsid w:val="00093109"/>
    <w:rsid w:val="00093582"/>
    <w:rsid w:val="000946C6"/>
    <w:rsid w:val="00094BEB"/>
    <w:rsid w:val="000959D6"/>
    <w:rsid w:val="00097377"/>
    <w:rsid w:val="000978D7"/>
    <w:rsid w:val="000A0C95"/>
    <w:rsid w:val="000A1203"/>
    <w:rsid w:val="000A1D1A"/>
    <w:rsid w:val="000A2602"/>
    <w:rsid w:val="000A4108"/>
    <w:rsid w:val="000A4737"/>
    <w:rsid w:val="000A48F1"/>
    <w:rsid w:val="000A4F3B"/>
    <w:rsid w:val="000A6C9C"/>
    <w:rsid w:val="000B03BB"/>
    <w:rsid w:val="000B234F"/>
    <w:rsid w:val="000B31C5"/>
    <w:rsid w:val="000B35DA"/>
    <w:rsid w:val="000B6638"/>
    <w:rsid w:val="000B7226"/>
    <w:rsid w:val="000B78BD"/>
    <w:rsid w:val="000B7A21"/>
    <w:rsid w:val="000C27D0"/>
    <w:rsid w:val="000C41E9"/>
    <w:rsid w:val="000C46B5"/>
    <w:rsid w:val="000C52D4"/>
    <w:rsid w:val="000C5E94"/>
    <w:rsid w:val="000C6384"/>
    <w:rsid w:val="000C6AF4"/>
    <w:rsid w:val="000C6D0F"/>
    <w:rsid w:val="000C75AB"/>
    <w:rsid w:val="000C7F58"/>
    <w:rsid w:val="000D01BA"/>
    <w:rsid w:val="000D0E13"/>
    <w:rsid w:val="000D1034"/>
    <w:rsid w:val="000D13CA"/>
    <w:rsid w:val="000D1A53"/>
    <w:rsid w:val="000D244E"/>
    <w:rsid w:val="000D4633"/>
    <w:rsid w:val="000D5087"/>
    <w:rsid w:val="000D63C7"/>
    <w:rsid w:val="000E0DBE"/>
    <w:rsid w:val="000E1E13"/>
    <w:rsid w:val="000E256C"/>
    <w:rsid w:val="000E2A88"/>
    <w:rsid w:val="000E2F3B"/>
    <w:rsid w:val="000E314B"/>
    <w:rsid w:val="000E5CC5"/>
    <w:rsid w:val="000E6431"/>
    <w:rsid w:val="000E653E"/>
    <w:rsid w:val="000F2C1F"/>
    <w:rsid w:val="000F2C73"/>
    <w:rsid w:val="000F2DDE"/>
    <w:rsid w:val="000F2DE5"/>
    <w:rsid w:val="000F5C96"/>
    <w:rsid w:val="000F6222"/>
    <w:rsid w:val="000F6C64"/>
    <w:rsid w:val="00100DAB"/>
    <w:rsid w:val="00100DE7"/>
    <w:rsid w:val="00101F10"/>
    <w:rsid w:val="001045BA"/>
    <w:rsid w:val="0010475D"/>
    <w:rsid w:val="00105710"/>
    <w:rsid w:val="00105CEC"/>
    <w:rsid w:val="001067B0"/>
    <w:rsid w:val="00106E72"/>
    <w:rsid w:val="001104F1"/>
    <w:rsid w:val="00110527"/>
    <w:rsid w:val="0011053A"/>
    <w:rsid w:val="00110BFE"/>
    <w:rsid w:val="0011292C"/>
    <w:rsid w:val="00112FF2"/>
    <w:rsid w:val="001140BF"/>
    <w:rsid w:val="001142CF"/>
    <w:rsid w:val="001145EB"/>
    <w:rsid w:val="00115530"/>
    <w:rsid w:val="00116397"/>
    <w:rsid w:val="00116792"/>
    <w:rsid w:val="00117937"/>
    <w:rsid w:val="001213B0"/>
    <w:rsid w:val="001230D5"/>
    <w:rsid w:val="0012504C"/>
    <w:rsid w:val="00125875"/>
    <w:rsid w:val="00125BA9"/>
    <w:rsid w:val="00125D65"/>
    <w:rsid w:val="0012744F"/>
    <w:rsid w:val="00127C4B"/>
    <w:rsid w:val="00131830"/>
    <w:rsid w:val="00132B85"/>
    <w:rsid w:val="00132E91"/>
    <w:rsid w:val="00133481"/>
    <w:rsid w:val="00134374"/>
    <w:rsid w:val="00134B34"/>
    <w:rsid w:val="00135385"/>
    <w:rsid w:val="0013702E"/>
    <w:rsid w:val="00137602"/>
    <w:rsid w:val="001406AB"/>
    <w:rsid w:val="00142B5E"/>
    <w:rsid w:val="0014308B"/>
    <w:rsid w:val="00144507"/>
    <w:rsid w:val="00145D3A"/>
    <w:rsid w:val="001464D2"/>
    <w:rsid w:val="001479D2"/>
    <w:rsid w:val="00150ECF"/>
    <w:rsid w:val="001522E3"/>
    <w:rsid w:val="00152914"/>
    <w:rsid w:val="00153109"/>
    <w:rsid w:val="0015349A"/>
    <w:rsid w:val="0015352A"/>
    <w:rsid w:val="001558AD"/>
    <w:rsid w:val="00161541"/>
    <w:rsid w:val="00162653"/>
    <w:rsid w:val="00162C7A"/>
    <w:rsid w:val="001651EE"/>
    <w:rsid w:val="00166557"/>
    <w:rsid w:val="001666D3"/>
    <w:rsid w:val="00166EB9"/>
    <w:rsid w:val="0017008A"/>
    <w:rsid w:val="001700D4"/>
    <w:rsid w:val="001706E6"/>
    <w:rsid w:val="00170DD7"/>
    <w:rsid w:val="00170ED7"/>
    <w:rsid w:val="001712BC"/>
    <w:rsid w:val="00172B85"/>
    <w:rsid w:val="00173C50"/>
    <w:rsid w:val="00174929"/>
    <w:rsid w:val="00175B9B"/>
    <w:rsid w:val="00177219"/>
    <w:rsid w:val="00180153"/>
    <w:rsid w:val="0018019A"/>
    <w:rsid w:val="0018152B"/>
    <w:rsid w:val="00181DD9"/>
    <w:rsid w:val="00181FC8"/>
    <w:rsid w:val="001839DF"/>
    <w:rsid w:val="00184EBE"/>
    <w:rsid w:val="00185328"/>
    <w:rsid w:val="001865B7"/>
    <w:rsid w:val="00186DBE"/>
    <w:rsid w:val="001876DF"/>
    <w:rsid w:val="00187932"/>
    <w:rsid w:val="00190A4F"/>
    <w:rsid w:val="0019110F"/>
    <w:rsid w:val="001914EA"/>
    <w:rsid w:val="0019162A"/>
    <w:rsid w:val="00192710"/>
    <w:rsid w:val="00192BC5"/>
    <w:rsid w:val="00194BD2"/>
    <w:rsid w:val="001958A0"/>
    <w:rsid w:val="001971EF"/>
    <w:rsid w:val="001A0039"/>
    <w:rsid w:val="001A0A12"/>
    <w:rsid w:val="001A19BE"/>
    <w:rsid w:val="001A1B8D"/>
    <w:rsid w:val="001A27B2"/>
    <w:rsid w:val="001A48AF"/>
    <w:rsid w:val="001A55EE"/>
    <w:rsid w:val="001A5F63"/>
    <w:rsid w:val="001A69B3"/>
    <w:rsid w:val="001A71DF"/>
    <w:rsid w:val="001A7B5E"/>
    <w:rsid w:val="001B0037"/>
    <w:rsid w:val="001B05F0"/>
    <w:rsid w:val="001B13A0"/>
    <w:rsid w:val="001B3840"/>
    <w:rsid w:val="001B52EA"/>
    <w:rsid w:val="001B6D8C"/>
    <w:rsid w:val="001C0BE8"/>
    <w:rsid w:val="001C4C35"/>
    <w:rsid w:val="001D0E64"/>
    <w:rsid w:val="001D1861"/>
    <w:rsid w:val="001D3ECA"/>
    <w:rsid w:val="001D408F"/>
    <w:rsid w:val="001D49DA"/>
    <w:rsid w:val="001D4F76"/>
    <w:rsid w:val="001D53FE"/>
    <w:rsid w:val="001D57E0"/>
    <w:rsid w:val="001D5C1F"/>
    <w:rsid w:val="001D63A5"/>
    <w:rsid w:val="001D7932"/>
    <w:rsid w:val="001D7B3E"/>
    <w:rsid w:val="001E46A6"/>
    <w:rsid w:val="001E5968"/>
    <w:rsid w:val="001F0B0D"/>
    <w:rsid w:val="001F141E"/>
    <w:rsid w:val="001F2F5F"/>
    <w:rsid w:val="001F30D8"/>
    <w:rsid w:val="001F5176"/>
    <w:rsid w:val="001F5371"/>
    <w:rsid w:val="001F64EC"/>
    <w:rsid w:val="00201081"/>
    <w:rsid w:val="00201DA5"/>
    <w:rsid w:val="00202740"/>
    <w:rsid w:val="00202C03"/>
    <w:rsid w:val="00203F7F"/>
    <w:rsid w:val="00205282"/>
    <w:rsid w:val="002114CE"/>
    <w:rsid w:val="00212F6B"/>
    <w:rsid w:val="0021454B"/>
    <w:rsid w:val="00214E4A"/>
    <w:rsid w:val="00215235"/>
    <w:rsid w:val="002156CF"/>
    <w:rsid w:val="00215B49"/>
    <w:rsid w:val="00215BF5"/>
    <w:rsid w:val="00216A5E"/>
    <w:rsid w:val="002179C7"/>
    <w:rsid w:val="00217DD1"/>
    <w:rsid w:val="00220B3F"/>
    <w:rsid w:val="00223163"/>
    <w:rsid w:val="00224DA6"/>
    <w:rsid w:val="00227741"/>
    <w:rsid w:val="00227B17"/>
    <w:rsid w:val="002311C7"/>
    <w:rsid w:val="002332BC"/>
    <w:rsid w:val="00233CA8"/>
    <w:rsid w:val="002343F6"/>
    <w:rsid w:val="0023476F"/>
    <w:rsid w:val="00241642"/>
    <w:rsid w:val="002425EE"/>
    <w:rsid w:val="00243CDB"/>
    <w:rsid w:val="002445AA"/>
    <w:rsid w:val="00244EFB"/>
    <w:rsid w:val="00244F5A"/>
    <w:rsid w:val="00245342"/>
    <w:rsid w:val="00251BF7"/>
    <w:rsid w:val="00252CC6"/>
    <w:rsid w:val="00255DD4"/>
    <w:rsid w:val="00255E91"/>
    <w:rsid w:val="0025614F"/>
    <w:rsid w:val="00256F53"/>
    <w:rsid w:val="00260B18"/>
    <w:rsid w:val="00261794"/>
    <w:rsid w:val="00263D37"/>
    <w:rsid w:val="002653D4"/>
    <w:rsid w:val="00265A4B"/>
    <w:rsid w:val="0026628D"/>
    <w:rsid w:val="002672B3"/>
    <w:rsid w:val="002702C7"/>
    <w:rsid w:val="0027045F"/>
    <w:rsid w:val="00270733"/>
    <w:rsid w:val="00271D2E"/>
    <w:rsid w:val="00271E01"/>
    <w:rsid w:val="00271F6E"/>
    <w:rsid w:val="0027222F"/>
    <w:rsid w:val="0027237D"/>
    <w:rsid w:val="0027470B"/>
    <w:rsid w:val="00274FDA"/>
    <w:rsid w:val="002752DB"/>
    <w:rsid w:val="002754AF"/>
    <w:rsid w:val="00275BC3"/>
    <w:rsid w:val="002761A4"/>
    <w:rsid w:val="00276711"/>
    <w:rsid w:val="00277B9D"/>
    <w:rsid w:val="00280231"/>
    <w:rsid w:val="00280AB7"/>
    <w:rsid w:val="00280F54"/>
    <w:rsid w:val="002849D2"/>
    <w:rsid w:val="00285D7F"/>
    <w:rsid w:val="00285FF3"/>
    <w:rsid w:val="0028618B"/>
    <w:rsid w:val="0028671B"/>
    <w:rsid w:val="00291922"/>
    <w:rsid w:val="002924CD"/>
    <w:rsid w:val="00293071"/>
    <w:rsid w:val="002931F3"/>
    <w:rsid w:val="00294322"/>
    <w:rsid w:val="00294DED"/>
    <w:rsid w:val="0029715E"/>
    <w:rsid w:val="00297A2B"/>
    <w:rsid w:val="002A0A28"/>
    <w:rsid w:val="002A1EB8"/>
    <w:rsid w:val="002A332E"/>
    <w:rsid w:val="002A34B1"/>
    <w:rsid w:val="002A4D34"/>
    <w:rsid w:val="002A5345"/>
    <w:rsid w:val="002A598E"/>
    <w:rsid w:val="002A6BE8"/>
    <w:rsid w:val="002A761D"/>
    <w:rsid w:val="002B0364"/>
    <w:rsid w:val="002B2B91"/>
    <w:rsid w:val="002B300E"/>
    <w:rsid w:val="002B39DA"/>
    <w:rsid w:val="002B4649"/>
    <w:rsid w:val="002B6C20"/>
    <w:rsid w:val="002B6CBB"/>
    <w:rsid w:val="002B7C7A"/>
    <w:rsid w:val="002C0932"/>
    <w:rsid w:val="002C210D"/>
    <w:rsid w:val="002C2C45"/>
    <w:rsid w:val="002C30B7"/>
    <w:rsid w:val="002C5742"/>
    <w:rsid w:val="002C673C"/>
    <w:rsid w:val="002D0A84"/>
    <w:rsid w:val="002D153A"/>
    <w:rsid w:val="002D1562"/>
    <w:rsid w:val="002D172D"/>
    <w:rsid w:val="002D3289"/>
    <w:rsid w:val="002D40B1"/>
    <w:rsid w:val="002D6178"/>
    <w:rsid w:val="002D6B5A"/>
    <w:rsid w:val="002E0011"/>
    <w:rsid w:val="002E0C31"/>
    <w:rsid w:val="002E1040"/>
    <w:rsid w:val="002E14C5"/>
    <w:rsid w:val="002E1DF7"/>
    <w:rsid w:val="002E2693"/>
    <w:rsid w:val="002E2B9C"/>
    <w:rsid w:val="002E2E35"/>
    <w:rsid w:val="002E4610"/>
    <w:rsid w:val="002E7978"/>
    <w:rsid w:val="002F00F2"/>
    <w:rsid w:val="002F05AA"/>
    <w:rsid w:val="002F1E06"/>
    <w:rsid w:val="002F2CFE"/>
    <w:rsid w:val="002F368D"/>
    <w:rsid w:val="002F3801"/>
    <w:rsid w:val="002F3AFD"/>
    <w:rsid w:val="002F3DBD"/>
    <w:rsid w:val="002F5605"/>
    <w:rsid w:val="002F7CC9"/>
    <w:rsid w:val="00300A2D"/>
    <w:rsid w:val="00301E47"/>
    <w:rsid w:val="003023C4"/>
    <w:rsid w:val="00303BF5"/>
    <w:rsid w:val="0030445B"/>
    <w:rsid w:val="0030462F"/>
    <w:rsid w:val="0030651D"/>
    <w:rsid w:val="00306757"/>
    <w:rsid w:val="00306811"/>
    <w:rsid w:val="003076B3"/>
    <w:rsid w:val="00307B64"/>
    <w:rsid w:val="003124DE"/>
    <w:rsid w:val="003126CE"/>
    <w:rsid w:val="00315BF1"/>
    <w:rsid w:val="00316218"/>
    <w:rsid w:val="003174B9"/>
    <w:rsid w:val="0031798E"/>
    <w:rsid w:val="00324252"/>
    <w:rsid w:val="00326B32"/>
    <w:rsid w:val="00327129"/>
    <w:rsid w:val="003312A7"/>
    <w:rsid w:val="00332554"/>
    <w:rsid w:val="0033374B"/>
    <w:rsid w:val="00333E29"/>
    <w:rsid w:val="00335901"/>
    <w:rsid w:val="003362D0"/>
    <w:rsid w:val="003377D7"/>
    <w:rsid w:val="00337DC0"/>
    <w:rsid w:val="00337EF0"/>
    <w:rsid w:val="00340337"/>
    <w:rsid w:val="0034085E"/>
    <w:rsid w:val="00341EEE"/>
    <w:rsid w:val="00346C78"/>
    <w:rsid w:val="00347424"/>
    <w:rsid w:val="00351A41"/>
    <w:rsid w:val="003544ED"/>
    <w:rsid w:val="00355F6E"/>
    <w:rsid w:val="003568D2"/>
    <w:rsid w:val="00357574"/>
    <w:rsid w:val="00357B5B"/>
    <w:rsid w:val="0036130E"/>
    <w:rsid w:val="0036238F"/>
    <w:rsid w:val="00362884"/>
    <w:rsid w:val="00363130"/>
    <w:rsid w:val="00364402"/>
    <w:rsid w:val="00365865"/>
    <w:rsid w:val="00365CDF"/>
    <w:rsid w:val="00367E50"/>
    <w:rsid w:val="003710AD"/>
    <w:rsid w:val="00373893"/>
    <w:rsid w:val="00373E48"/>
    <w:rsid w:val="00374CE8"/>
    <w:rsid w:val="00375558"/>
    <w:rsid w:val="00375D77"/>
    <w:rsid w:val="003761C9"/>
    <w:rsid w:val="0037658C"/>
    <w:rsid w:val="00376CCF"/>
    <w:rsid w:val="0037740D"/>
    <w:rsid w:val="00377FC4"/>
    <w:rsid w:val="0038050F"/>
    <w:rsid w:val="0038196B"/>
    <w:rsid w:val="00381EAE"/>
    <w:rsid w:val="003829C6"/>
    <w:rsid w:val="0038355A"/>
    <w:rsid w:val="003846EA"/>
    <w:rsid w:val="003859E3"/>
    <w:rsid w:val="00387156"/>
    <w:rsid w:val="0039361D"/>
    <w:rsid w:val="003A122E"/>
    <w:rsid w:val="003A1E4F"/>
    <w:rsid w:val="003A234E"/>
    <w:rsid w:val="003A25F6"/>
    <w:rsid w:val="003A3BCA"/>
    <w:rsid w:val="003A547E"/>
    <w:rsid w:val="003A652D"/>
    <w:rsid w:val="003A6883"/>
    <w:rsid w:val="003A6A19"/>
    <w:rsid w:val="003A7510"/>
    <w:rsid w:val="003A76BF"/>
    <w:rsid w:val="003B0A08"/>
    <w:rsid w:val="003B3436"/>
    <w:rsid w:val="003B4667"/>
    <w:rsid w:val="003B46B5"/>
    <w:rsid w:val="003B7022"/>
    <w:rsid w:val="003C09BB"/>
    <w:rsid w:val="003C0AA0"/>
    <w:rsid w:val="003C0C97"/>
    <w:rsid w:val="003C582A"/>
    <w:rsid w:val="003C767B"/>
    <w:rsid w:val="003C795F"/>
    <w:rsid w:val="003C7F82"/>
    <w:rsid w:val="003D066C"/>
    <w:rsid w:val="003D1750"/>
    <w:rsid w:val="003D1830"/>
    <w:rsid w:val="003D4511"/>
    <w:rsid w:val="003D5495"/>
    <w:rsid w:val="003E0C52"/>
    <w:rsid w:val="003E1905"/>
    <w:rsid w:val="003E2F1B"/>
    <w:rsid w:val="003E4198"/>
    <w:rsid w:val="003E4603"/>
    <w:rsid w:val="003E478D"/>
    <w:rsid w:val="003E4E8F"/>
    <w:rsid w:val="003E6106"/>
    <w:rsid w:val="003E6522"/>
    <w:rsid w:val="003E6B2C"/>
    <w:rsid w:val="003E703B"/>
    <w:rsid w:val="003E72AE"/>
    <w:rsid w:val="003F0752"/>
    <w:rsid w:val="003F0FBA"/>
    <w:rsid w:val="003F1782"/>
    <w:rsid w:val="003F3253"/>
    <w:rsid w:val="003F4BBF"/>
    <w:rsid w:val="003F65CB"/>
    <w:rsid w:val="003F73FB"/>
    <w:rsid w:val="00402BF1"/>
    <w:rsid w:val="004034BA"/>
    <w:rsid w:val="00405EB1"/>
    <w:rsid w:val="004065A1"/>
    <w:rsid w:val="0041066D"/>
    <w:rsid w:val="00411211"/>
    <w:rsid w:val="00411B68"/>
    <w:rsid w:val="00411DD1"/>
    <w:rsid w:val="00411FB9"/>
    <w:rsid w:val="0041606F"/>
    <w:rsid w:val="004163F3"/>
    <w:rsid w:val="004174EF"/>
    <w:rsid w:val="00417593"/>
    <w:rsid w:val="004177A8"/>
    <w:rsid w:val="0042178B"/>
    <w:rsid w:val="00423A43"/>
    <w:rsid w:val="00424673"/>
    <w:rsid w:val="00424CF8"/>
    <w:rsid w:val="00425002"/>
    <w:rsid w:val="00426F6E"/>
    <w:rsid w:val="00427260"/>
    <w:rsid w:val="004273F9"/>
    <w:rsid w:val="00430362"/>
    <w:rsid w:val="00431124"/>
    <w:rsid w:val="00432DD6"/>
    <w:rsid w:val="00433059"/>
    <w:rsid w:val="004339F7"/>
    <w:rsid w:val="004346C1"/>
    <w:rsid w:val="004346DE"/>
    <w:rsid w:val="00435326"/>
    <w:rsid w:val="004371E0"/>
    <w:rsid w:val="004424D3"/>
    <w:rsid w:val="00443F34"/>
    <w:rsid w:val="00444B6F"/>
    <w:rsid w:val="004455A5"/>
    <w:rsid w:val="004464E5"/>
    <w:rsid w:val="004471D3"/>
    <w:rsid w:val="00447507"/>
    <w:rsid w:val="00447A5C"/>
    <w:rsid w:val="00450744"/>
    <w:rsid w:val="00450A77"/>
    <w:rsid w:val="00450C06"/>
    <w:rsid w:val="00450D93"/>
    <w:rsid w:val="00453965"/>
    <w:rsid w:val="0045631A"/>
    <w:rsid w:val="00456E7F"/>
    <w:rsid w:val="00457F1E"/>
    <w:rsid w:val="004601FA"/>
    <w:rsid w:val="0046152B"/>
    <w:rsid w:val="00462137"/>
    <w:rsid w:val="00462447"/>
    <w:rsid w:val="00463719"/>
    <w:rsid w:val="00463B80"/>
    <w:rsid w:val="00464657"/>
    <w:rsid w:val="00465D12"/>
    <w:rsid w:val="00466B08"/>
    <w:rsid w:val="00467742"/>
    <w:rsid w:val="00467A48"/>
    <w:rsid w:val="00467ECA"/>
    <w:rsid w:val="004702A2"/>
    <w:rsid w:val="004713E6"/>
    <w:rsid w:val="00471807"/>
    <w:rsid w:val="00471853"/>
    <w:rsid w:val="00471E87"/>
    <w:rsid w:val="00472978"/>
    <w:rsid w:val="004746B1"/>
    <w:rsid w:val="0047678D"/>
    <w:rsid w:val="0047710F"/>
    <w:rsid w:val="00477970"/>
    <w:rsid w:val="00477CC7"/>
    <w:rsid w:val="0048048C"/>
    <w:rsid w:val="00480EF5"/>
    <w:rsid w:val="00481FEA"/>
    <w:rsid w:val="00482500"/>
    <w:rsid w:val="004829A8"/>
    <w:rsid w:val="00483875"/>
    <w:rsid w:val="00484F84"/>
    <w:rsid w:val="00485528"/>
    <w:rsid w:val="0048567D"/>
    <w:rsid w:val="00485865"/>
    <w:rsid w:val="00485E4C"/>
    <w:rsid w:val="00486105"/>
    <w:rsid w:val="004875CB"/>
    <w:rsid w:val="00490151"/>
    <w:rsid w:val="00490610"/>
    <w:rsid w:val="004909B7"/>
    <w:rsid w:val="00490B9A"/>
    <w:rsid w:val="00491B10"/>
    <w:rsid w:val="004931BA"/>
    <w:rsid w:val="004944A5"/>
    <w:rsid w:val="004944B9"/>
    <w:rsid w:val="00495CA4"/>
    <w:rsid w:val="004A59A6"/>
    <w:rsid w:val="004A7ACC"/>
    <w:rsid w:val="004B0EBF"/>
    <w:rsid w:val="004B1D3A"/>
    <w:rsid w:val="004B247F"/>
    <w:rsid w:val="004B3E49"/>
    <w:rsid w:val="004B4D75"/>
    <w:rsid w:val="004B57B6"/>
    <w:rsid w:val="004C1F60"/>
    <w:rsid w:val="004C22FF"/>
    <w:rsid w:val="004C2A17"/>
    <w:rsid w:val="004C389F"/>
    <w:rsid w:val="004C4010"/>
    <w:rsid w:val="004C41B8"/>
    <w:rsid w:val="004C42C1"/>
    <w:rsid w:val="004C4983"/>
    <w:rsid w:val="004C5338"/>
    <w:rsid w:val="004C5A30"/>
    <w:rsid w:val="004D1F63"/>
    <w:rsid w:val="004D4549"/>
    <w:rsid w:val="004D47FB"/>
    <w:rsid w:val="004D4CE2"/>
    <w:rsid w:val="004D76C9"/>
    <w:rsid w:val="004E12C0"/>
    <w:rsid w:val="004E3156"/>
    <w:rsid w:val="004E5834"/>
    <w:rsid w:val="004E58B5"/>
    <w:rsid w:val="004E7817"/>
    <w:rsid w:val="004E79A4"/>
    <w:rsid w:val="004F034A"/>
    <w:rsid w:val="004F07F3"/>
    <w:rsid w:val="004F0C70"/>
    <w:rsid w:val="004F2CB9"/>
    <w:rsid w:val="004F462A"/>
    <w:rsid w:val="004F5B3B"/>
    <w:rsid w:val="004F67A2"/>
    <w:rsid w:val="00502E62"/>
    <w:rsid w:val="005037AA"/>
    <w:rsid w:val="00504087"/>
    <w:rsid w:val="0050471C"/>
    <w:rsid w:val="00504970"/>
    <w:rsid w:val="00505AC6"/>
    <w:rsid w:val="00505FF9"/>
    <w:rsid w:val="0050658F"/>
    <w:rsid w:val="005068FF"/>
    <w:rsid w:val="00510FC4"/>
    <w:rsid w:val="00511B5D"/>
    <w:rsid w:val="00513B3D"/>
    <w:rsid w:val="00515422"/>
    <w:rsid w:val="0051549C"/>
    <w:rsid w:val="00515D50"/>
    <w:rsid w:val="005163D0"/>
    <w:rsid w:val="00516B5F"/>
    <w:rsid w:val="005202E1"/>
    <w:rsid w:val="0052054B"/>
    <w:rsid w:val="0052402E"/>
    <w:rsid w:val="00524D1F"/>
    <w:rsid w:val="00526DE4"/>
    <w:rsid w:val="00527733"/>
    <w:rsid w:val="005309DD"/>
    <w:rsid w:val="00531432"/>
    <w:rsid w:val="0053160A"/>
    <w:rsid w:val="00531B3C"/>
    <w:rsid w:val="005326C3"/>
    <w:rsid w:val="00532CE3"/>
    <w:rsid w:val="00532F9C"/>
    <w:rsid w:val="00533DD9"/>
    <w:rsid w:val="00534145"/>
    <w:rsid w:val="005361DD"/>
    <w:rsid w:val="005362A3"/>
    <w:rsid w:val="005368F6"/>
    <w:rsid w:val="00536BBB"/>
    <w:rsid w:val="00537A5C"/>
    <w:rsid w:val="00537C46"/>
    <w:rsid w:val="00541760"/>
    <w:rsid w:val="0054340E"/>
    <w:rsid w:val="00543722"/>
    <w:rsid w:val="005445C2"/>
    <w:rsid w:val="00547288"/>
    <w:rsid w:val="00547396"/>
    <w:rsid w:val="00547D22"/>
    <w:rsid w:val="00550C7A"/>
    <w:rsid w:val="005514CD"/>
    <w:rsid w:val="00551789"/>
    <w:rsid w:val="00551DC2"/>
    <w:rsid w:val="00553540"/>
    <w:rsid w:val="00553B06"/>
    <w:rsid w:val="00554F9A"/>
    <w:rsid w:val="0055556A"/>
    <w:rsid w:val="005556D2"/>
    <w:rsid w:val="005635F2"/>
    <w:rsid w:val="005636C9"/>
    <w:rsid w:val="005646C6"/>
    <w:rsid w:val="00564703"/>
    <w:rsid w:val="00566B22"/>
    <w:rsid w:val="005705CA"/>
    <w:rsid w:val="00570B70"/>
    <w:rsid w:val="00570C3B"/>
    <w:rsid w:val="005715EC"/>
    <w:rsid w:val="00571D96"/>
    <w:rsid w:val="0057266B"/>
    <w:rsid w:val="00572F9B"/>
    <w:rsid w:val="0057325C"/>
    <w:rsid w:val="00573AA1"/>
    <w:rsid w:val="0057446B"/>
    <w:rsid w:val="00574E95"/>
    <w:rsid w:val="00576A64"/>
    <w:rsid w:val="00580900"/>
    <w:rsid w:val="00580921"/>
    <w:rsid w:val="0058489E"/>
    <w:rsid w:val="00585129"/>
    <w:rsid w:val="005861A5"/>
    <w:rsid w:val="00586487"/>
    <w:rsid w:val="005867EF"/>
    <w:rsid w:val="00587A61"/>
    <w:rsid w:val="0059255D"/>
    <w:rsid w:val="00592A3B"/>
    <w:rsid w:val="00593706"/>
    <w:rsid w:val="00596E88"/>
    <w:rsid w:val="005A3633"/>
    <w:rsid w:val="005A39DE"/>
    <w:rsid w:val="005A56B1"/>
    <w:rsid w:val="005A5C38"/>
    <w:rsid w:val="005A7883"/>
    <w:rsid w:val="005B0FEF"/>
    <w:rsid w:val="005B15C0"/>
    <w:rsid w:val="005B2188"/>
    <w:rsid w:val="005B2AC9"/>
    <w:rsid w:val="005B2DC2"/>
    <w:rsid w:val="005B34E6"/>
    <w:rsid w:val="005B3B62"/>
    <w:rsid w:val="005B4E42"/>
    <w:rsid w:val="005B5518"/>
    <w:rsid w:val="005B58CE"/>
    <w:rsid w:val="005B6895"/>
    <w:rsid w:val="005B77E8"/>
    <w:rsid w:val="005B7FCA"/>
    <w:rsid w:val="005C1335"/>
    <w:rsid w:val="005C15D4"/>
    <w:rsid w:val="005C2855"/>
    <w:rsid w:val="005C445E"/>
    <w:rsid w:val="005C4B5C"/>
    <w:rsid w:val="005C4BBA"/>
    <w:rsid w:val="005D02D2"/>
    <w:rsid w:val="005D0C6E"/>
    <w:rsid w:val="005D3984"/>
    <w:rsid w:val="005D4A67"/>
    <w:rsid w:val="005D5C11"/>
    <w:rsid w:val="005E1382"/>
    <w:rsid w:val="005E189A"/>
    <w:rsid w:val="005E341D"/>
    <w:rsid w:val="005E5593"/>
    <w:rsid w:val="005E5901"/>
    <w:rsid w:val="005F0FD9"/>
    <w:rsid w:val="005F12CD"/>
    <w:rsid w:val="005F1B96"/>
    <w:rsid w:val="005F2E16"/>
    <w:rsid w:val="005F30C9"/>
    <w:rsid w:val="005F3649"/>
    <w:rsid w:val="005F3B3D"/>
    <w:rsid w:val="005F547D"/>
    <w:rsid w:val="005F55B5"/>
    <w:rsid w:val="005F579C"/>
    <w:rsid w:val="005F6D94"/>
    <w:rsid w:val="005F7C5F"/>
    <w:rsid w:val="00602848"/>
    <w:rsid w:val="00602F88"/>
    <w:rsid w:val="0060357A"/>
    <w:rsid w:val="00604A4A"/>
    <w:rsid w:val="00604EF0"/>
    <w:rsid w:val="00605180"/>
    <w:rsid w:val="00606FC8"/>
    <w:rsid w:val="00611247"/>
    <w:rsid w:val="0061161F"/>
    <w:rsid w:val="00612475"/>
    <w:rsid w:val="00613947"/>
    <w:rsid w:val="006144DC"/>
    <w:rsid w:val="006150E9"/>
    <w:rsid w:val="00615776"/>
    <w:rsid w:val="006158F9"/>
    <w:rsid w:val="00617887"/>
    <w:rsid w:val="00621B03"/>
    <w:rsid w:val="006236AF"/>
    <w:rsid w:val="0062422E"/>
    <w:rsid w:val="0062461E"/>
    <w:rsid w:val="00627D3F"/>
    <w:rsid w:val="00633888"/>
    <w:rsid w:val="00633E4A"/>
    <w:rsid w:val="00634C6C"/>
    <w:rsid w:val="00635F0F"/>
    <w:rsid w:val="006371D7"/>
    <w:rsid w:val="006372CD"/>
    <w:rsid w:val="00640073"/>
    <w:rsid w:val="006400B0"/>
    <w:rsid w:val="00640E7C"/>
    <w:rsid w:val="0064435E"/>
    <w:rsid w:val="00645DB4"/>
    <w:rsid w:val="0064643A"/>
    <w:rsid w:val="00646FF2"/>
    <w:rsid w:val="0065028A"/>
    <w:rsid w:val="006509F4"/>
    <w:rsid w:val="0065163C"/>
    <w:rsid w:val="006520ED"/>
    <w:rsid w:val="00652FA4"/>
    <w:rsid w:val="006542C1"/>
    <w:rsid w:val="0065566C"/>
    <w:rsid w:val="006571D2"/>
    <w:rsid w:val="006577EA"/>
    <w:rsid w:val="00657D00"/>
    <w:rsid w:val="00657DEA"/>
    <w:rsid w:val="00661AC6"/>
    <w:rsid w:val="006631FB"/>
    <w:rsid w:val="006635B4"/>
    <w:rsid w:val="00663A0E"/>
    <w:rsid w:val="00663C61"/>
    <w:rsid w:val="00663F24"/>
    <w:rsid w:val="00665725"/>
    <w:rsid w:val="00666B0D"/>
    <w:rsid w:val="006706FF"/>
    <w:rsid w:val="00673750"/>
    <w:rsid w:val="006742FC"/>
    <w:rsid w:val="006745DC"/>
    <w:rsid w:val="00674D4E"/>
    <w:rsid w:val="0067641C"/>
    <w:rsid w:val="006772D7"/>
    <w:rsid w:val="00680CC5"/>
    <w:rsid w:val="00680F4F"/>
    <w:rsid w:val="006817C5"/>
    <w:rsid w:val="00681C14"/>
    <w:rsid w:val="00684549"/>
    <w:rsid w:val="00685C66"/>
    <w:rsid w:val="00686865"/>
    <w:rsid w:val="00687691"/>
    <w:rsid w:val="006937B6"/>
    <w:rsid w:val="006939F8"/>
    <w:rsid w:val="00695BBE"/>
    <w:rsid w:val="00696A04"/>
    <w:rsid w:val="00696AD8"/>
    <w:rsid w:val="00696AEE"/>
    <w:rsid w:val="00696B0D"/>
    <w:rsid w:val="006A1FC8"/>
    <w:rsid w:val="006A3218"/>
    <w:rsid w:val="006A5D45"/>
    <w:rsid w:val="006A5F30"/>
    <w:rsid w:val="006A75DF"/>
    <w:rsid w:val="006A771A"/>
    <w:rsid w:val="006A7980"/>
    <w:rsid w:val="006A7C2D"/>
    <w:rsid w:val="006B056C"/>
    <w:rsid w:val="006B1082"/>
    <w:rsid w:val="006B12B2"/>
    <w:rsid w:val="006B13B8"/>
    <w:rsid w:val="006B1C76"/>
    <w:rsid w:val="006B1DF7"/>
    <w:rsid w:val="006B227D"/>
    <w:rsid w:val="006B24C5"/>
    <w:rsid w:val="006B3012"/>
    <w:rsid w:val="006B3FBC"/>
    <w:rsid w:val="006B4291"/>
    <w:rsid w:val="006B5C84"/>
    <w:rsid w:val="006B6D1D"/>
    <w:rsid w:val="006B7918"/>
    <w:rsid w:val="006C2C9C"/>
    <w:rsid w:val="006C2CCC"/>
    <w:rsid w:val="006C42ED"/>
    <w:rsid w:val="006C47A8"/>
    <w:rsid w:val="006C62CF"/>
    <w:rsid w:val="006D0120"/>
    <w:rsid w:val="006D0DD7"/>
    <w:rsid w:val="006D114B"/>
    <w:rsid w:val="006D206F"/>
    <w:rsid w:val="006D506C"/>
    <w:rsid w:val="006D52B0"/>
    <w:rsid w:val="006D62DF"/>
    <w:rsid w:val="006D79C6"/>
    <w:rsid w:val="006E1E90"/>
    <w:rsid w:val="006E3668"/>
    <w:rsid w:val="006E49B4"/>
    <w:rsid w:val="006E5AEF"/>
    <w:rsid w:val="006E6847"/>
    <w:rsid w:val="006E70D2"/>
    <w:rsid w:val="006E7B18"/>
    <w:rsid w:val="006F0D5E"/>
    <w:rsid w:val="006F1972"/>
    <w:rsid w:val="006F209A"/>
    <w:rsid w:val="006F2920"/>
    <w:rsid w:val="006F4826"/>
    <w:rsid w:val="006F496B"/>
    <w:rsid w:val="006F503F"/>
    <w:rsid w:val="006F51FA"/>
    <w:rsid w:val="006F5BEE"/>
    <w:rsid w:val="006F63B1"/>
    <w:rsid w:val="007001F9"/>
    <w:rsid w:val="0070048F"/>
    <w:rsid w:val="0070146A"/>
    <w:rsid w:val="00701E97"/>
    <w:rsid w:val="007025D1"/>
    <w:rsid w:val="007034FF"/>
    <w:rsid w:val="00703E03"/>
    <w:rsid w:val="00704015"/>
    <w:rsid w:val="007048CB"/>
    <w:rsid w:val="00704969"/>
    <w:rsid w:val="00704D57"/>
    <w:rsid w:val="0070541A"/>
    <w:rsid w:val="00705731"/>
    <w:rsid w:val="00705834"/>
    <w:rsid w:val="00706E09"/>
    <w:rsid w:val="00711A0F"/>
    <w:rsid w:val="007135CE"/>
    <w:rsid w:val="00713834"/>
    <w:rsid w:val="0071436E"/>
    <w:rsid w:val="00714AB3"/>
    <w:rsid w:val="00716CCF"/>
    <w:rsid w:val="0072195E"/>
    <w:rsid w:val="0072240B"/>
    <w:rsid w:val="007230A8"/>
    <w:rsid w:val="00723B08"/>
    <w:rsid w:val="00724868"/>
    <w:rsid w:val="00725ED5"/>
    <w:rsid w:val="00727D21"/>
    <w:rsid w:val="007301B0"/>
    <w:rsid w:val="00730C9F"/>
    <w:rsid w:val="00731F25"/>
    <w:rsid w:val="0073290A"/>
    <w:rsid w:val="00732D6D"/>
    <w:rsid w:val="00736E7C"/>
    <w:rsid w:val="0074055E"/>
    <w:rsid w:val="007411AB"/>
    <w:rsid w:val="007447A8"/>
    <w:rsid w:val="00745AA0"/>
    <w:rsid w:val="00746FDE"/>
    <w:rsid w:val="00750500"/>
    <w:rsid w:val="007509EE"/>
    <w:rsid w:val="007526AE"/>
    <w:rsid w:val="00752B65"/>
    <w:rsid w:val="00752E8D"/>
    <w:rsid w:val="0075343C"/>
    <w:rsid w:val="00753C16"/>
    <w:rsid w:val="007545A6"/>
    <w:rsid w:val="00755DC3"/>
    <w:rsid w:val="0075604D"/>
    <w:rsid w:val="007607F3"/>
    <w:rsid w:val="007620F2"/>
    <w:rsid w:val="00762BAE"/>
    <w:rsid w:val="00763A17"/>
    <w:rsid w:val="00764219"/>
    <w:rsid w:val="00764321"/>
    <w:rsid w:val="007648EF"/>
    <w:rsid w:val="00765A56"/>
    <w:rsid w:val="007666EB"/>
    <w:rsid w:val="00766C27"/>
    <w:rsid w:val="007674FB"/>
    <w:rsid w:val="00767919"/>
    <w:rsid w:val="00770A87"/>
    <w:rsid w:val="007714B1"/>
    <w:rsid w:val="007721F8"/>
    <w:rsid w:val="00773D3A"/>
    <w:rsid w:val="00774496"/>
    <w:rsid w:val="007748E9"/>
    <w:rsid w:val="007769D7"/>
    <w:rsid w:val="007772EE"/>
    <w:rsid w:val="00777C06"/>
    <w:rsid w:val="00780E40"/>
    <w:rsid w:val="007818DD"/>
    <w:rsid w:val="00782413"/>
    <w:rsid w:val="0078429C"/>
    <w:rsid w:val="007847EE"/>
    <w:rsid w:val="00784BE9"/>
    <w:rsid w:val="00784CF6"/>
    <w:rsid w:val="0078551B"/>
    <w:rsid w:val="0078572C"/>
    <w:rsid w:val="0078599C"/>
    <w:rsid w:val="00785EB0"/>
    <w:rsid w:val="00786F46"/>
    <w:rsid w:val="0079192F"/>
    <w:rsid w:val="00791F9B"/>
    <w:rsid w:val="00792295"/>
    <w:rsid w:val="0079495E"/>
    <w:rsid w:val="0079566D"/>
    <w:rsid w:val="0079756B"/>
    <w:rsid w:val="00797A11"/>
    <w:rsid w:val="007A065E"/>
    <w:rsid w:val="007A1A38"/>
    <w:rsid w:val="007A2973"/>
    <w:rsid w:val="007A2CC1"/>
    <w:rsid w:val="007A3869"/>
    <w:rsid w:val="007A6F5C"/>
    <w:rsid w:val="007B006F"/>
    <w:rsid w:val="007B0402"/>
    <w:rsid w:val="007B0507"/>
    <w:rsid w:val="007B0714"/>
    <w:rsid w:val="007B1D83"/>
    <w:rsid w:val="007B2260"/>
    <w:rsid w:val="007B5598"/>
    <w:rsid w:val="007B5C52"/>
    <w:rsid w:val="007B7D82"/>
    <w:rsid w:val="007B7F5E"/>
    <w:rsid w:val="007C0DE9"/>
    <w:rsid w:val="007C355F"/>
    <w:rsid w:val="007C3B27"/>
    <w:rsid w:val="007C445A"/>
    <w:rsid w:val="007C504A"/>
    <w:rsid w:val="007C6047"/>
    <w:rsid w:val="007C665A"/>
    <w:rsid w:val="007C7BC7"/>
    <w:rsid w:val="007D06C9"/>
    <w:rsid w:val="007D25AF"/>
    <w:rsid w:val="007D2AA9"/>
    <w:rsid w:val="007D3F51"/>
    <w:rsid w:val="007D4D81"/>
    <w:rsid w:val="007D6DD7"/>
    <w:rsid w:val="007D7B23"/>
    <w:rsid w:val="007E125C"/>
    <w:rsid w:val="007E2A76"/>
    <w:rsid w:val="007E4925"/>
    <w:rsid w:val="007E50D3"/>
    <w:rsid w:val="007F02FE"/>
    <w:rsid w:val="007F4E87"/>
    <w:rsid w:val="007F5382"/>
    <w:rsid w:val="007F54DD"/>
    <w:rsid w:val="007F594D"/>
    <w:rsid w:val="007F5DFC"/>
    <w:rsid w:val="007F6883"/>
    <w:rsid w:val="007F6B6A"/>
    <w:rsid w:val="007F7E42"/>
    <w:rsid w:val="00800216"/>
    <w:rsid w:val="008003ED"/>
    <w:rsid w:val="00801E26"/>
    <w:rsid w:val="008024FF"/>
    <w:rsid w:val="00802CEE"/>
    <w:rsid w:val="0080581F"/>
    <w:rsid w:val="00807620"/>
    <w:rsid w:val="00810478"/>
    <w:rsid w:val="0081195B"/>
    <w:rsid w:val="00812C75"/>
    <w:rsid w:val="00814707"/>
    <w:rsid w:val="008163DA"/>
    <w:rsid w:val="008169E1"/>
    <w:rsid w:val="00817679"/>
    <w:rsid w:val="00822C86"/>
    <w:rsid w:val="00823030"/>
    <w:rsid w:val="008234D9"/>
    <w:rsid w:val="00823816"/>
    <w:rsid w:val="008260D4"/>
    <w:rsid w:val="00827F23"/>
    <w:rsid w:val="008303C5"/>
    <w:rsid w:val="0083062F"/>
    <w:rsid w:val="008309D7"/>
    <w:rsid w:val="0083138E"/>
    <w:rsid w:val="008319C0"/>
    <w:rsid w:val="00831CEC"/>
    <w:rsid w:val="00832502"/>
    <w:rsid w:val="0083405F"/>
    <w:rsid w:val="0083426D"/>
    <w:rsid w:val="00834D85"/>
    <w:rsid w:val="00835C6B"/>
    <w:rsid w:val="00837E35"/>
    <w:rsid w:val="00840DA6"/>
    <w:rsid w:val="008415DE"/>
    <w:rsid w:val="00841C1D"/>
    <w:rsid w:val="008435B1"/>
    <w:rsid w:val="00843F6C"/>
    <w:rsid w:val="0084461A"/>
    <w:rsid w:val="008447E6"/>
    <w:rsid w:val="00845102"/>
    <w:rsid w:val="00846C5A"/>
    <w:rsid w:val="00847083"/>
    <w:rsid w:val="00847906"/>
    <w:rsid w:val="008506DB"/>
    <w:rsid w:val="00851659"/>
    <w:rsid w:val="008531EC"/>
    <w:rsid w:val="0085394B"/>
    <w:rsid w:val="00853F02"/>
    <w:rsid w:val="008549DB"/>
    <w:rsid w:val="008562A3"/>
    <w:rsid w:val="00856A67"/>
    <w:rsid w:val="00856DE9"/>
    <w:rsid w:val="008608D0"/>
    <w:rsid w:val="00860B6E"/>
    <w:rsid w:val="0086200A"/>
    <w:rsid w:val="0086309D"/>
    <w:rsid w:val="00863594"/>
    <w:rsid w:val="008708D8"/>
    <w:rsid w:val="008714B9"/>
    <w:rsid w:val="00871945"/>
    <w:rsid w:val="008762A8"/>
    <w:rsid w:val="0088041D"/>
    <w:rsid w:val="0088093F"/>
    <w:rsid w:val="0088133F"/>
    <w:rsid w:val="008824A7"/>
    <w:rsid w:val="00882782"/>
    <w:rsid w:val="00882E84"/>
    <w:rsid w:val="00883E06"/>
    <w:rsid w:val="0088436D"/>
    <w:rsid w:val="00887042"/>
    <w:rsid w:val="008879F6"/>
    <w:rsid w:val="008921F4"/>
    <w:rsid w:val="00892328"/>
    <w:rsid w:val="008927E0"/>
    <w:rsid w:val="00894515"/>
    <w:rsid w:val="008946D8"/>
    <w:rsid w:val="00895313"/>
    <w:rsid w:val="00895F93"/>
    <w:rsid w:val="0089764D"/>
    <w:rsid w:val="008A0469"/>
    <w:rsid w:val="008A047B"/>
    <w:rsid w:val="008A0D16"/>
    <w:rsid w:val="008A10E8"/>
    <w:rsid w:val="008A112D"/>
    <w:rsid w:val="008A131C"/>
    <w:rsid w:val="008A1E73"/>
    <w:rsid w:val="008A43CD"/>
    <w:rsid w:val="008A4E48"/>
    <w:rsid w:val="008A5F50"/>
    <w:rsid w:val="008A66C8"/>
    <w:rsid w:val="008A66ED"/>
    <w:rsid w:val="008A6DFC"/>
    <w:rsid w:val="008A7846"/>
    <w:rsid w:val="008B080E"/>
    <w:rsid w:val="008B0DEB"/>
    <w:rsid w:val="008B173D"/>
    <w:rsid w:val="008B19C4"/>
    <w:rsid w:val="008B28F1"/>
    <w:rsid w:val="008B44B9"/>
    <w:rsid w:val="008B6899"/>
    <w:rsid w:val="008B6966"/>
    <w:rsid w:val="008C0E53"/>
    <w:rsid w:val="008C1618"/>
    <w:rsid w:val="008C264A"/>
    <w:rsid w:val="008C26FF"/>
    <w:rsid w:val="008C30F4"/>
    <w:rsid w:val="008C3EB7"/>
    <w:rsid w:val="008C638A"/>
    <w:rsid w:val="008C6950"/>
    <w:rsid w:val="008C6A75"/>
    <w:rsid w:val="008C6AA8"/>
    <w:rsid w:val="008C7467"/>
    <w:rsid w:val="008D0CE6"/>
    <w:rsid w:val="008D4A11"/>
    <w:rsid w:val="008D4B38"/>
    <w:rsid w:val="008D4F06"/>
    <w:rsid w:val="008D531C"/>
    <w:rsid w:val="008D578B"/>
    <w:rsid w:val="008D5E04"/>
    <w:rsid w:val="008E000D"/>
    <w:rsid w:val="008E19A8"/>
    <w:rsid w:val="008E23E1"/>
    <w:rsid w:val="008E270D"/>
    <w:rsid w:val="008E4CAE"/>
    <w:rsid w:val="008E4F28"/>
    <w:rsid w:val="008E5846"/>
    <w:rsid w:val="008E5B55"/>
    <w:rsid w:val="008F0584"/>
    <w:rsid w:val="008F1E1C"/>
    <w:rsid w:val="008F3C83"/>
    <w:rsid w:val="008F51EF"/>
    <w:rsid w:val="008F5418"/>
    <w:rsid w:val="008F5B8F"/>
    <w:rsid w:val="008F7F59"/>
    <w:rsid w:val="0090007C"/>
    <w:rsid w:val="009008C4"/>
    <w:rsid w:val="00903BFA"/>
    <w:rsid w:val="00904B55"/>
    <w:rsid w:val="00906740"/>
    <w:rsid w:val="00913C05"/>
    <w:rsid w:val="00915A04"/>
    <w:rsid w:val="00920ACC"/>
    <w:rsid w:val="0092168B"/>
    <w:rsid w:val="009220FC"/>
    <w:rsid w:val="0092267F"/>
    <w:rsid w:val="009235D7"/>
    <w:rsid w:val="00924D87"/>
    <w:rsid w:val="00924FC6"/>
    <w:rsid w:val="00927651"/>
    <w:rsid w:val="00927B48"/>
    <w:rsid w:val="009306BC"/>
    <w:rsid w:val="00930B00"/>
    <w:rsid w:val="009318BF"/>
    <w:rsid w:val="00931B8A"/>
    <w:rsid w:val="009339CC"/>
    <w:rsid w:val="00935C09"/>
    <w:rsid w:val="009368DF"/>
    <w:rsid w:val="0093714E"/>
    <w:rsid w:val="00937165"/>
    <w:rsid w:val="00937437"/>
    <w:rsid w:val="00937936"/>
    <w:rsid w:val="00937B91"/>
    <w:rsid w:val="009401AD"/>
    <w:rsid w:val="009419A2"/>
    <w:rsid w:val="00941AE1"/>
    <w:rsid w:val="00941C36"/>
    <w:rsid w:val="00941F8B"/>
    <w:rsid w:val="009424FF"/>
    <w:rsid w:val="009443C0"/>
    <w:rsid w:val="00944D4E"/>
    <w:rsid w:val="00944F7D"/>
    <w:rsid w:val="009460A5"/>
    <w:rsid w:val="00946C41"/>
    <w:rsid w:val="00947C24"/>
    <w:rsid w:val="00952030"/>
    <w:rsid w:val="0095271D"/>
    <w:rsid w:val="00952A47"/>
    <w:rsid w:val="00952E8B"/>
    <w:rsid w:val="00953A5F"/>
    <w:rsid w:val="00953C34"/>
    <w:rsid w:val="00954F5E"/>
    <w:rsid w:val="00956EC0"/>
    <w:rsid w:val="00961BFE"/>
    <w:rsid w:val="00962973"/>
    <w:rsid w:val="0096418D"/>
    <w:rsid w:val="00964951"/>
    <w:rsid w:val="00965A49"/>
    <w:rsid w:val="00965E1F"/>
    <w:rsid w:val="00966BCE"/>
    <w:rsid w:val="00967D42"/>
    <w:rsid w:val="009708DB"/>
    <w:rsid w:val="009713F7"/>
    <w:rsid w:val="00971501"/>
    <w:rsid w:val="009731F4"/>
    <w:rsid w:val="009760C2"/>
    <w:rsid w:val="00980DBA"/>
    <w:rsid w:val="00981328"/>
    <w:rsid w:val="00981443"/>
    <w:rsid w:val="00982A5A"/>
    <w:rsid w:val="00982CEA"/>
    <w:rsid w:val="00983DC8"/>
    <w:rsid w:val="00983F15"/>
    <w:rsid w:val="00986A61"/>
    <w:rsid w:val="0098729F"/>
    <w:rsid w:val="00987C72"/>
    <w:rsid w:val="00991211"/>
    <w:rsid w:val="00991BD9"/>
    <w:rsid w:val="00992B96"/>
    <w:rsid w:val="009932B8"/>
    <w:rsid w:val="00993520"/>
    <w:rsid w:val="00993897"/>
    <w:rsid w:val="00995D5A"/>
    <w:rsid w:val="009965E0"/>
    <w:rsid w:val="0099690A"/>
    <w:rsid w:val="00996B53"/>
    <w:rsid w:val="00997C5C"/>
    <w:rsid w:val="009A01F7"/>
    <w:rsid w:val="009A5F40"/>
    <w:rsid w:val="009B184A"/>
    <w:rsid w:val="009B2143"/>
    <w:rsid w:val="009B34A8"/>
    <w:rsid w:val="009B429C"/>
    <w:rsid w:val="009B4DE2"/>
    <w:rsid w:val="009B57E8"/>
    <w:rsid w:val="009B6E7D"/>
    <w:rsid w:val="009B7DF0"/>
    <w:rsid w:val="009C2841"/>
    <w:rsid w:val="009C42D5"/>
    <w:rsid w:val="009C6809"/>
    <w:rsid w:val="009C6E44"/>
    <w:rsid w:val="009C7B2F"/>
    <w:rsid w:val="009C7EDD"/>
    <w:rsid w:val="009D1CA4"/>
    <w:rsid w:val="009D24CA"/>
    <w:rsid w:val="009D3BF0"/>
    <w:rsid w:val="009D4BF0"/>
    <w:rsid w:val="009D4E4A"/>
    <w:rsid w:val="009D7660"/>
    <w:rsid w:val="009E2728"/>
    <w:rsid w:val="009E275F"/>
    <w:rsid w:val="009E342E"/>
    <w:rsid w:val="009E3589"/>
    <w:rsid w:val="009E3764"/>
    <w:rsid w:val="009E49CA"/>
    <w:rsid w:val="009E5698"/>
    <w:rsid w:val="009E5C91"/>
    <w:rsid w:val="009E659B"/>
    <w:rsid w:val="009E70C4"/>
    <w:rsid w:val="009F0B03"/>
    <w:rsid w:val="009F40B4"/>
    <w:rsid w:val="009F534C"/>
    <w:rsid w:val="009F543B"/>
    <w:rsid w:val="009F5685"/>
    <w:rsid w:val="009F6664"/>
    <w:rsid w:val="009F6A87"/>
    <w:rsid w:val="009F6B68"/>
    <w:rsid w:val="009F7BBA"/>
    <w:rsid w:val="00A01340"/>
    <w:rsid w:val="00A03180"/>
    <w:rsid w:val="00A04390"/>
    <w:rsid w:val="00A07343"/>
    <w:rsid w:val="00A11DD9"/>
    <w:rsid w:val="00A13281"/>
    <w:rsid w:val="00A13390"/>
    <w:rsid w:val="00A13A0D"/>
    <w:rsid w:val="00A16228"/>
    <w:rsid w:val="00A168CF"/>
    <w:rsid w:val="00A21425"/>
    <w:rsid w:val="00A2196C"/>
    <w:rsid w:val="00A22E98"/>
    <w:rsid w:val="00A258DB"/>
    <w:rsid w:val="00A25BF1"/>
    <w:rsid w:val="00A27653"/>
    <w:rsid w:val="00A27751"/>
    <w:rsid w:val="00A30C7D"/>
    <w:rsid w:val="00A32FDD"/>
    <w:rsid w:val="00A34457"/>
    <w:rsid w:val="00A3447C"/>
    <w:rsid w:val="00A35903"/>
    <w:rsid w:val="00A35F4D"/>
    <w:rsid w:val="00A360F6"/>
    <w:rsid w:val="00A3686A"/>
    <w:rsid w:val="00A36DDD"/>
    <w:rsid w:val="00A37478"/>
    <w:rsid w:val="00A37F56"/>
    <w:rsid w:val="00A40D7D"/>
    <w:rsid w:val="00A4228E"/>
    <w:rsid w:val="00A43827"/>
    <w:rsid w:val="00A43CE9"/>
    <w:rsid w:val="00A44866"/>
    <w:rsid w:val="00A44F81"/>
    <w:rsid w:val="00A451F5"/>
    <w:rsid w:val="00A46B8E"/>
    <w:rsid w:val="00A47AB9"/>
    <w:rsid w:val="00A50931"/>
    <w:rsid w:val="00A513D8"/>
    <w:rsid w:val="00A51E1B"/>
    <w:rsid w:val="00A51E8F"/>
    <w:rsid w:val="00A529EC"/>
    <w:rsid w:val="00A5419C"/>
    <w:rsid w:val="00A54B3E"/>
    <w:rsid w:val="00A54DC5"/>
    <w:rsid w:val="00A54F44"/>
    <w:rsid w:val="00A565A8"/>
    <w:rsid w:val="00A57334"/>
    <w:rsid w:val="00A57F7B"/>
    <w:rsid w:val="00A62C7B"/>
    <w:rsid w:val="00A63189"/>
    <w:rsid w:val="00A63AF0"/>
    <w:rsid w:val="00A64BD1"/>
    <w:rsid w:val="00A662DF"/>
    <w:rsid w:val="00A66314"/>
    <w:rsid w:val="00A66E84"/>
    <w:rsid w:val="00A67069"/>
    <w:rsid w:val="00A71822"/>
    <w:rsid w:val="00A71B2C"/>
    <w:rsid w:val="00A73525"/>
    <w:rsid w:val="00A73BB8"/>
    <w:rsid w:val="00A74321"/>
    <w:rsid w:val="00A744E7"/>
    <w:rsid w:val="00A754FF"/>
    <w:rsid w:val="00A75F26"/>
    <w:rsid w:val="00A77A56"/>
    <w:rsid w:val="00A77B95"/>
    <w:rsid w:val="00A80263"/>
    <w:rsid w:val="00A80750"/>
    <w:rsid w:val="00A81573"/>
    <w:rsid w:val="00A816CB"/>
    <w:rsid w:val="00A81FBB"/>
    <w:rsid w:val="00A83C4C"/>
    <w:rsid w:val="00A843DB"/>
    <w:rsid w:val="00A86C2D"/>
    <w:rsid w:val="00A90C60"/>
    <w:rsid w:val="00A91764"/>
    <w:rsid w:val="00A92E53"/>
    <w:rsid w:val="00A94849"/>
    <w:rsid w:val="00AA05CD"/>
    <w:rsid w:val="00AA0AAD"/>
    <w:rsid w:val="00AA10D9"/>
    <w:rsid w:val="00AA1E83"/>
    <w:rsid w:val="00AA22BC"/>
    <w:rsid w:val="00AA2860"/>
    <w:rsid w:val="00AA2B9C"/>
    <w:rsid w:val="00AA329E"/>
    <w:rsid w:val="00AA3CFE"/>
    <w:rsid w:val="00AA4105"/>
    <w:rsid w:val="00AA44BB"/>
    <w:rsid w:val="00AA5B0E"/>
    <w:rsid w:val="00AA5F5D"/>
    <w:rsid w:val="00AA6A8B"/>
    <w:rsid w:val="00AA6BBD"/>
    <w:rsid w:val="00AA6EBE"/>
    <w:rsid w:val="00AA75D8"/>
    <w:rsid w:val="00AB0275"/>
    <w:rsid w:val="00AB04E8"/>
    <w:rsid w:val="00AB08C1"/>
    <w:rsid w:val="00AB0A66"/>
    <w:rsid w:val="00AB18C9"/>
    <w:rsid w:val="00AB1A3B"/>
    <w:rsid w:val="00AB3446"/>
    <w:rsid w:val="00AB4041"/>
    <w:rsid w:val="00AB44DA"/>
    <w:rsid w:val="00AB49E6"/>
    <w:rsid w:val="00AB5823"/>
    <w:rsid w:val="00AB5F8A"/>
    <w:rsid w:val="00AB62E8"/>
    <w:rsid w:val="00AB664C"/>
    <w:rsid w:val="00AB6C80"/>
    <w:rsid w:val="00AB6E50"/>
    <w:rsid w:val="00AB76ED"/>
    <w:rsid w:val="00AB7852"/>
    <w:rsid w:val="00AC3132"/>
    <w:rsid w:val="00AC3264"/>
    <w:rsid w:val="00AC3960"/>
    <w:rsid w:val="00AC6ADF"/>
    <w:rsid w:val="00AD0A22"/>
    <w:rsid w:val="00AD0EF8"/>
    <w:rsid w:val="00AD0F77"/>
    <w:rsid w:val="00AD4E28"/>
    <w:rsid w:val="00AD7C09"/>
    <w:rsid w:val="00AE077B"/>
    <w:rsid w:val="00AE1ADC"/>
    <w:rsid w:val="00AE2B97"/>
    <w:rsid w:val="00AE2C97"/>
    <w:rsid w:val="00AE2DC6"/>
    <w:rsid w:val="00AE32B6"/>
    <w:rsid w:val="00AE347B"/>
    <w:rsid w:val="00AE682A"/>
    <w:rsid w:val="00AE6C43"/>
    <w:rsid w:val="00AE75EE"/>
    <w:rsid w:val="00AF067E"/>
    <w:rsid w:val="00AF0E60"/>
    <w:rsid w:val="00AF3D7A"/>
    <w:rsid w:val="00AF3E10"/>
    <w:rsid w:val="00AF6305"/>
    <w:rsid w:val="00AF63B8"/>
    <w:rsid w:val="00B0103D"/>
    <w:rsid w:val="00B01ED4"/>
    <w:rsid w:val="00B022B5"/>
    <w:rsid w:val="00B02605"/>
    <w:rsid w:val="00B02E3A"/>
    <w:rsid w:val="00B13996"/>
    <w:rsid w:val="00B141E2"/>
    <w:rsid w:val="00B14503"/>
    <w:rsid w:val="00B146A0"/>
    <w:rsid w:val="00B1503D"/>
    <w:rsid w:val="00B1557E"/>
    <w:rsid w:val="00B16355"/>
    <w:rsid w:val="00B16BDB"/>
    <w:rsid w:val="00B17623"/>
    <w:rsid w:val="00B20536"/>
    <w:rsid w:val="00B22885"/>
    <w:rsid w:val="00B23981"/>
    <w:rsid w:val="00B24FB0"/>
    <w:rsid w:val="00B25C2B"/>
    <w:rsid w:val="00B27467"/>
    <w:rsid w:val="00B27BCB"/>
    <w:rsid w:val="00B30CC8"/>
    <w:rsid w:val="00B31195"/>
    <w:rsid w:val="00B316F3"/>
    <w:rsid w:val="00B36275"/>
    <w:rsid w:val="00B373A7"/>
    <w:rsid w:val="00B37969"/>
    <w:rsid w:val="00B425F5"/>
    <w:rsid w:val="00B42C4B"/>
    <w:rsid w:val="00B42C5A"/>
    <w:rsid w:val="00B433A4"/>
    <w:rsid w:val="00B4415B"/>
    <w:rsid w:val="00B4446D"/>
    <w:rsid w:val="00B44774"/>
    <w:rsid w:val="00B45398"/>
    <w:rsid w:val="00B45664"/>
    <w:rsid w:val="00B465FE"/>
    <w:rsid w:val="00B47927"/>
    <w:rsid w:val="00B479B4"/>
    <w:rsid w:val="00B50A24"/>
    <w:rsid w:val="00B50FDE"/>
    <w:rsid w:val="00B52B3A"/>
    <w:rsid w:val="00B53215"/>
    <w:rsid w:val="00B53D8B"/>
    <w:rsid w:val="00B541CA"/>
    <w:rsid w:val="00B54C5C"/>
    <w:rsid w:val="00B56767"/>
    <w:rsid w:val="00B6724D"/>
    <w:rsid w:val="00B67B54"/>
    <w:rsid w:val="00B70D65"/>
    <w:rsid w:val="00B7170E"/>
    <w:rsid w:val="00B717D1"/>
    <w:rsid w:val="00B7205D"/>
    <w:rsid w:val="00B724BB"/>
    <w:rsid w:val="00B72A37"/>
    <w:rsid w:val="00B72B41"/>
    <w:rsid w:val="00B72D17"/>
    <w:rsid w:val="00B73384"/>
    <w:rsid w:val="00B75556"/>
    <w:rsid w:val="00B77049"/>
    <w:rsid w:val="00B779CC"/>
    <w:rsid w:val="00B849BD"/>
    <w:rsid w:val="00B85278"/>
    <w:rsid w:val="00B86680"/>
    <w:rsid w:val="00B8699E"/>
    <w:rsid w:val="00B87E3E"/>
    <w:rsid w:val="00B933A1"/>
    <w:rsid w:val="00B936A9"/>
    <w:rsid w:val="00B93E14"/>
    <w:rsid w:val="00B9453F"/>
    <w:rsid w:val="00B977C2"/>
    <w:rsid w:val="00B97B5D"/>
    <w:rsid w:val="00BA0CF5"/>
    <w:rsid w:val="00BA196A"/>
    <w:rsid w:val="00BA2D8B"/>
    <w:rsid w:val="00BA2DCE"/>
    <w:rsid w:val="00BA3575"/>
    <w:rsid w:val="00BA40BB"/>
    <w:rsid w:val="00BA413C"/>
    <w:rsid w:val="00BA42AE"/>
    <w:rsid w:val="00BA5B0E"/>
    <w:rsid w:val="00BB23D3"/>
    <w:rsid w:val="00BB2BF5"/>
    <w:rsid w:val="00BB2FF7"/>
    <w:rsid w:val="00BB42C1"/>
    <w:rsid w:val="00BB4A11"/>
    <w:rsid w:val="00BB552E"/>
    <w:rsid w:val="00BB58CB"/>
    <w:rsid w:val="00BB6D88"/>
    <w:rsid w:val="00BB717A"/>
    <w:rsid w:val="00BB73C1"/>
    <w:rsid w:val="00BC02A0"/>
    <w:rsid w:val="00BC10C0"/>
    <w:rsid w:val="00BC1636"/>
    <w:rsid w:val="00BC2B4B"/>
    <w:rsid w:val="00BC2C9F"/>
    <w:rsid w:val="00BC2CB0"/>
    <w:rsid w:val="00BC5453"/>
    <w:rsid w:val="00BC55BF"/>
    <w:rsid w:val="00BC694E"/>
    <w:rsid w:val="00BC793D"/>
    <w:rsid w:val="00BD0096"/>
    <w:rsid w:val="00BD1631"/>
    <w:rsid w:val="00BD1F40"/>
    <w:rsid w:val="00BD3A71"/>
    <w:rsid w:val="00BD4EEE"/>
    <w:rsid w:val="00BD4F62"/>
    <w:rsid w:val="00BD5178"/>
    <w:rsid w:val="00BD6386"/>
    <w:rsid w:val="00BD6CBF"/>
    <w:rsid w:val="00BD7156"/>
    <w:rsid w:val="00BE5E31"/>
    <w:rsid w:val="00BE60FB"/>
    <w:rsid w:val="00BE7526"/>
    <w:rsid w:val="00BF0C22"/>
    <w:rsid w:val="00BF481F"/>
    <w:rsid w:val="00BF5F38"/>
    <w:rsid w:val="00BF670F"/>
    <w:rsid w:val="00BF6874"/>
    <w:rsid w:val="00BF7041"/>
    <w:rsid w:val="00C00430"/>
    <w:rsid w:val="00C00895"/>
    <w:rsid w:val="00C042A2"/>
    <w:rsid w:val="00C047F8"/>
    <w:rsid w:val="00C0617C"/>
    <w:rsid w:val="00C067F3"/>
    <w:rsid w:val="00C072D3"/>
    <w:rsid w:val="00C10652"/>
    <w:rsid w:val="00C107B8"/>
    <w:rsid w:val="00C11151"/>
    <w:rsid w:val="00C11D34"/>
    <w:rsid w:val="00C132F5"/>
    <w:rsid w:val="00C15256"/>
    <w:rsid w:val="00C1534C"/>
    <w:rsid w:val="00C162F7"/>
    <w:rsid w:val="00C1633E"/>
    <w:rsid w:val="00C16635"/>
    <w:rsid w:val="00C17192"/>
    <w:rsid w:val="00C2022F"/>
    <w:rsid w:val="00C21E9B"/>
    <w:rsid w:val="00C22295"/>
    <w:rsid w:val="00C235B5"/>
    <w:rsid w:val="00C24C19"/>
    <w:rsid w:val="00C24D21"/>
    <w:rsid w:val="00C251CD"/>
    <w:rsid w:val="00C25B1C"/>
    <w:rsid w:val="00C25D9B"/>
    <w:rsid w:val="00C26708"/>
    <w:rsid w:val="00C27242"/>
    <w:rsid w:val="00C272C5"/>
    <w:rsid w:val="00C27E10"/>
    <w:rsid w:val="00C3064F"/>
    <w:rsid w:val="00C316B8"/>
    <w:rsid w:val="00C31CE4"/>
    <w:rsid w:val="00C344FB"/>
    <w:rsid w:val="00C36285"/>
    <w:rsid w:val="00C36E71"/>
    <w:rsid w:val="00C37B6F"/>
    <w:rsid w:val="00C40EAE"/>
    <w:rsid w:val="00C41A95"/>
    <w:rsid w:val="00C41BAA"/>
    <w:rsid w:val="00C43BA7"/>
    <w:rsid w:val="00C43D76"/>
    <w:rsid w:val="00C45EDD"/>
    <w:rsid w:val="00C47733"/>
    <w:rsid w:val="00C500F8"/>
    <w:rsid w:val="00C504FA"/>
    <w:rsid w:val="00C5056A"/>
    <w:rsid w:val="00C538A1"/>
    <w:rsid w:val="00C5404A"/>
    <w:rsid w:val="00C56308"/>
    <w:rsid w:val="00C56531"/>
    <w:rsid w:val="00C567C2"/>
    <w:rsid w:val="00C56B1D"/>
    <w:rsid w:val="00C56D06"/>
    <w:rsid w:val="00C5715F"/>
    <w:rsid w:val="00C617F4"/>
    <w:rsid w:val="00C61E4E"/>
    <w:rsid w:val="00C626C3"/>
    <w:rsid w:val="00C62DA0"/>
    <w:rsid w:val="00C6302F"/>
    <w:rsid w:val="00C6361B"/>
    <w:rsid w:val="00C6517D"/>
    <w:rsid w:val="00C654D9"/>
    <w:rsid w:val="00C67267"/>
    <w:rsid w:val="00C6737F"/>
    <w:rsid w:val="00C676AB"/>
    <w:rsid w:val="00C70885"/>
    <w:rsid w:val="00C70DCF"/>
    <w:rsid w:val="00C71743"/>
    <w:rsid w:val="00C72851"/>
    <w:rsid w:val="00C739C0"/>
    <w:rsid w:val="00C75155"/>
    <w:rsid w:val="00C75C8E"/>
    <w:rsid w:val="00C7611D"/>
    <w:rsid w:val="00C76F72"/>
    <w:rsid w:val="00C772C6"/>
    <w:rsid w:val="00C80AE1"/>
    <w:rsid w:val="00C811E5"/>
    <w:rsid w:val="00C81CC4"/>
    <w:rsid w:val="00C82579"/>
    <w:rsid w:val="00C82B2C"/>
    <w:rsid w:val="00C82F04"/>
    <w:rsid w:val="00C8477F"/>
    <w:rsid w:val="00C84B95"/>
    <w:rsid w:val="00C8620B"/>
    <w:rsid w:val="00C86915"/>
    <w:rsid w:val="00C86B93"/>
    <w:rsid w:val="00C86BEF"/>
    <w:rsid w:val="00C86D02"/>
    <w:rsid w:val="00C874F5"/>
    <w:rsid w:val="00C87FFC"/>
    <w:rsid w:val="00C9032C"/>
    <w:rsid w:val="00C939D9"/>
    <w:rsid w:val="00C94E1C"/>
    <w:rsid w:val="00C95BAF"/>
    <w:rsid w:val="00C95F7B"/>
    <w:rsid w:val="00C96E2F"/>
    <w:rsid w:val="00C9782C"/>
    <w:rsid w:val="00CA0F61"/>
    <w:rsid w:val="00CA12E4"/>
    <w:rsid w:val="00CA3ECF"/>
    <w:rsid w:val="00CA45FC"/>
    <w:rsid w:val="00CA55B1"/>
    <w:rsid w:val="00CA5A7D"/>
    <w:rsid w:val="00CA5B3B"/>
    <w:rsid w:val="00CA6CE1"/>
    <w:rsid w:val="00CA7008"/>
    <w:rsid w:val="00CA719F"/>
    <w:rsid w:val="00CB05A8"/>
    <w:rsid w:val="00CB1714"/>
    <w:rsid w:val="00CB5DDA"/>
    <w:rsid w:val="00CB775C"/>
    <w:rsid w:val="00CC0D4F"/>
    <w:rsid w:val="00CC4534"/>
    <w:rsid w:val="00CC59A0"/>
    <w:rsid w:val="00CD1C5F"/>
    <w:rsid w:val="00CD208E"/>
    <w:rsid w:val="00CD26B4"/>
    <w:rsid w:val="00CD360D"/>
    <w:rsid w:val="00CD4917"/>
    <w:rsid w:val="00CD5422"/>
    <w:rsid w:val="00CD5F06"/>
    <w:rsid w:val="00CD6441"/>
    <w:rsid w:val="00CD6B42"/>
    <w:rsid w:val="00CD76F3"/>
    <w:rsid w:val="00CD7AC6"/>
    <w:rsid w:val="00CE2218"/>
    <w:rsid w:val="00CE2733"/>
    <w:rsid w:val="00CE5ACA"/>
    <w:rsid w:val="00CE5E83"/>
    <w:rsid w:val="00CF13BF"/>
    <w:rsid w:val="00CF149A"/>
    <w:rsid w:val="00CF1D16"/>
    <w:rsid w:val="00CF47A2"/>
    <w:rsid w:val="00CF482E"/>
    <w:rsid w:val="00CF57B2"/>
    <w:rsid w:val="00CF681F"/>
    <w:rsid w:val="00CF761E"/>
    <w:rsid w:val="00D019C4"/>
    <w:rsid w:val="00D021A0"/>
    <w:rsid w:val="00D03F6E"/>
    <w:rsid w:val="00D041BE"/>
    <w:rsid w:val="00D04886"/>
    <w:rsid w:val="00D057E3"/>
    <w:rsid w:val="00D06A91"/>
    <w:rsid w:val="00D10A7E"/>
    <w:rsid w:val="00D12AD8"/>
    <w:rsid w:val="00D12E7A"/>
    <w:rsid w:val="00D13CCB"/>
    <w:rsid w:val="00D22DBD"/>
    <w:rsid w:val="00D245F8"/>
    <w:rsid w:val="00D3248C"/>
    <w:rsid w:val="00D32828"/>
    <w:rsid w:val="00D33C48"/>
    <w:rsid w:val="00D343B4"/>
    <w:rsid w:val="00D34622"/>
    <w:rsid w:val="00D34A18"/>
    <w:rsid w:val="00D36A40"/>
    <w:rsid w:val="00D404F2"/>
    <w:rsid w:val="00D40F85"/>
    <w:rsid w:val="00D41AE5"/>
    <w:rsid w:val="00D41BFD"/>
    <w:rsid w:val="00D44A5E"/>
    <w:rsid w:val="00D453D0"/>
    <w:rsid w:val="00D45878"/>
    <w:rsid w:val="00D46A01"/>
    <w:rsid w:val="00D46E42"/>
    <w:rsid w:val="00D46E86"/>
    <w:rsid w:val="00D51703"/>
    <w:rsid w:val="00D52ADF"/>
    <w:rsid w:val="00D53B1F"/>
    <w:rsid w:val="00D53B6C"/>
    <w:rsid w:val="00D54D37"/>
    <w:rsid w:val="00D54F59"/>
    <w:rsid w:val="00D558E1"/>
    <w:rsid w:val="00D612ED"/>
    <w:rsid w:val="00D61AD4"/>
    <w:rsid w:val="00D61B42"/>
    <w:rsid w:val="00D623EE"/>
    <w:rsid w:val="00D6560B"/>
    <w:rsid w:val="00D656D1"/>
    <w:rsid w:val="00D65898"/>
    <w:rsid w:val="00D6614D"/>
    <w:rsid w:val="00D6653A"/>
    <w:rsid w:val="00D66936"/>
    <w:rsid w:val="00D66D82"/>
    <w:rsid w:val="00D66F09"/>
    <w:rsid w:val="00D67525"/>
    <w:rsid w:val="00D67D3E"/>
    <w:rsid w:val="00D7008C"/>
    <w:rsid w:val="00D70B97"/>
    <w:rsid w:val="00D71EB7"/>
    <w:rsid w:val="00D734AE"/>
    <w:rsid w:val="00D7409F"/>
    <w:rsid w:val="00D74734"/>
    <w:rsid w:val="00D76AC0"/>
    <w:rsid w:val="00D76F9F"/>
    <w:rsid w:val="00D807EB"/>
    <w:rsid w:val="00D816B4"/>
    <w:rsid w:val="00D8321A"/>
    <w:rsid w:val="00D857EE"/>
    <w:rsid w:val="00D90188"/>
    <w:rsid w:val="00D90A41"/>
    <w:rsid w:val="00D90AD0"/>
    <w:rsid w:val="00D914E3"/>
    <w:rsid w:val="00D91F7F"/>
    <w:rsid w:val="00D954AD"/>
    <w:rsid w:val="00D958E1"/>
    <w:rsid w:val="00D97EC4"/>
    <w:rsid w:val="00DA0456"/>
    <w:rsid w:val="00DA1725"/>
    <w:rsid w:val="00DA200C"/>
    <w:rsid w:val="00DA2698"/>
    <w:rsid w:val="00DA2890"/>
    <w:rsid w:val="00DA4E17"/>
    <w:rsid w:val="00DA514D"/>
    <w:rsid w:val="00DA7B8C"/>
    <w:rsid w:val="00DB092E"/>
    <w:rsid w:val="00DB31B1"/>
    <w:rsid w:val="00DB3DBB"/>
    <w:rsid w:val="00DB4020"/>
    <w:rsid w:val="00DB41E9"/>
    <w:rsid w:val="00DB4955"/>
    <w:rsid w:val="00DB54D2"/>
    <w:rsid w:val="00DB6433"/>
    <w:rsid w:val="00DB69EB"/>
    <w:rsid w:val="00DB69FA"/>
    <w:rsid w:val="00DB70FD"/>
    <w:rsid w:val="00DB72FE"/>
    <w:rsid w:val="00DC1271"/>
    <w:rsid w:val="00DC259A"/>
    <w:rsid w:val="00DC43EF"/>
    <w:rsid w:val="00DC4548"/>
    <w:rsid w:val="00DC46EA"/>
    <w:rsid w:val="00DC4A25"/>
    <w:rsid w:val="00DC4ABA"/>
    <w:rsid w:val="00DC6320"/>
    <w:rsid w:val="00DC6B92"/>
    <w:rsid w:val="00DC7D18"/>
    <w:rsid w:val="00DD080F"/>
    <w:rsid w:val="00DD0ABD"/>
    <w:rsid w:val="00DD0F7E"/>
    <w:rsid w:val="00DD1FAB"/>
    <w:rsid w:val="00DD2C62"/>
    <w:rsid w:val="00DD6994"/>
    <w:rsid w:val="00DD7344"/>
    <w:rsid w:val="00DD7457"/>
    <w:rsid w:val="00DE0BD3"/>
    <w:rsid w:val="00DE0CC6"/>
    <w:rsid w:val="00DE16E9"/>
    <w:rsid w:val="00DE3314"/>
    <w:rsid w:val="00DE3F41"/>
    <w:rsid w:val="00DE5328"/>
    <w:rsid w:val="00DE5B3C"/>
    <w:rsid w:val="00DE6165"/>
    <w:rsid w:val="00DE6E1E"/>
    <w:rsid w:val="00DF072A"/>
    <w:rsid w:val="00DF4301"/>
    <w:rsid w:val="00DF61A9"/>
    <w:rsid w:val="00DF7439"/>
    <w:rsid w:val="00DF7CEC"/>
    <w:rsid w:val="00DF7F03"/>
    <w:rsid w:val="00E003C3"/>
    <w:rsid w:val="00E00A8B"/>
    <w:rsid w:val="00E03027"/>
    <w:rsid w:val="00E03622"/>
    <w:rsid w:val="00E0366E"/>
    <w:rsid w:val="00E040D9"/>
    <w:rsid w:val="00E04C94"/>
    <w:rsid w:val="00E079B4"/>
    <w:rsid w:val="00E1075E"/>
    <w:rsid w:val="00E139B7"/>
    <w:rsid w:val="00E15135"/>
    <w:rsid w:val="00E151F0"/>
    <w:rsid w:val="00E1678C"/>
    <w:rsid w:val="00E16E16"/>
    <w:rsid w:val="00E218C3"/>
    <w:rsid w:val="00E23A73"/>
    <w:rsid w:val="00E24963"/>
    <w:rsid w:val="00E25A7E"/>
    <w:rsid w:val="00E26DFB"/>
    <w:rsid w:val="00E33393"/>
    <w:rsid w:val="00E33825"/>
    <w:rsid w:val="00E34BD8"/>
    <w:rsid w:val="00E351DA"/>
    <w:rsid w:val="00E35451"/>
    <w:rsid w:val="00E35BC0"/>
    <w:rsid w:val="00E3611E"/>
    <w:rsid w:val="00E37604"/>
    <w:rsid w:val="00E402AB"/>
    <w:rsid w:val="00E407D2"/>
    <w:rsid w:val="00E4124B"/>
    <w:rsid w:val="00E414C8"/>
    <w:rsid w:val="00E41FB4"/>
    <w:rsid w:val="00E42FCD"/>
    <w:rsid w:val="00E4323B"/>
    <w:rsid w:val="00E44073"/>
    <w:rsid w:val="00E45A74"/>
    <w:rsid w:val="00E46A68"/>
    <w:rsid w:val="00E47658"/>
    <w:rsid w:val="00E5010B"/>
    <w:rsid w:val="00E504AB"/>
    <w:rsid w:val="00E50532"/>
    <w:rsid w:val="00E51272"/>
    <w:rsid w:val="00E51A2E"/>
    <w:rsid w:val="00E52EE4"/>
    <w:rsid w:val="00E53138"/>
    <w:rsid w:val="00E54A9C"/>
    <w:rsid w:val="00E555DE"/>
    <w:rsid w:val="00E56345"/>
    <w:rsid w:val="00E564ED"/>
    <w:rsid w:val="00E57B35"/>
    <w:rsid w:val="00E62C74"/>
    <w:rsid w:val="00E63C86"/>
    <w:rsid w:val="00E64048"/>
    <w:rsid w:val="00E64722"/>
    <w:rsid w:val="00E6537C"/>
    <w:rsid w:val="00E653DF"/>
    <w:rsid w:val="00E65FAE"/>
    <w:rsid w:val="00E66B70"/>
    <w:rsid w:val="00E70296"/>
    <w:rsid w:val="00E7207A"/>
    <w:rsid w:val="00E72CD2"/>
    <w:rsid w:val="00E74770"/>
    <w:rsid w:val="00E77613"/>
    <w:rsid w:val="00E77A07"/>
    <w:rsid w:val="00E803ED"/>
    <w:rsid w:val="00E805F9"/>
    <w:rsid w:val="00E817BC"/>
    <w:rsid w:val="00E817EB"/>
    <w:rsid w:val="00E83979"/>
    <w:rsid w:val="00E8534D"/>
    <w:rsid w:val="00E85B7A"/>
    <w:rsid w:val="00E86386"/>
    <w:rsid w:val="00E876D1"/>
    <w:rsid w:val="00E906F8"/>
    <w:rsid w:val="00E907DC"/>
    <w:rsid w:val="00E91107"/>
    <w:rsid w:val="00E91626"/>
    <w:rsid w:val="00E91714"/>
    <w:rsid w:val="00E922ED"/>
    <w:rsid w:val="00E92796"/>
    <w:rsid w:val="00E949A7"/>
    <w:rsid w:val="00E94EA1"/>
    <w:rsid w:val="00E9508D"/>
    <w:rsid w:val="00E956D6"/>
    <w:rsid w:val="00E979C6"/>
    <w:rsid w:val="00EA03C3"/>
    <w:rsid w:val="00EA1182"/>
    <w:rsid w:val="00EA1818"/>
    <w:rsid w:val="00EA1C20"/>
    <w:rsid w:val="00EA1F65"/>
    <w:rsid w:val="00EA237C"/>
    <w:rsid w:val="00EA3D0E"/>
    <w:rsid w:val="00EA3F7F"/>
    <w:rsid w:val="00EA4B30"/>
    <w:rsid w:val="00EA4F1C"/>
    <w:rsid w:val="00EA56B6"/>
    <w:rsid w:val="00EA5E2F"/>
    <w:rsid w:val="00EB1D0C"/>
    <w:rsid w:val="00EB37E3"/>
    <w:rsid w:val="00EB57D2"/>
    <w:rsid w:val="00EB5DB9"/>
    <w:rsid w:val="00EB6053"/>
    <w:rsid w:val="00EB6CB3"/>
    <w:rsid w:val="00EB6E20"/>
    <w:rsid w:val="00EB6EAE"/>
    <w:rsid w:val="00EB7B61"/>
    <w:rsid w:val="00EC20B3"/>
    <w:rsid w:val="00EC309E"/>
    <w:rsid w:val="00EC3ED6"/>
    <w:rsid w:val="00EC7054"/>
    <w:rsid w:val="00ED1587"/>
    <w:rsid w:val="00ED1D3C"/>
    <w:rsid w:val="00ED32CC"/>
    <w:rsid w:val="00ED3679"/>
    <w:rsid w:val="00ED4714"/>
    <w:rsid w:val="00ED5FCC"/>
    <w:rsid w:val="00ED6843"/>
    <w:rsid w:val="00EE069C"/>
    <w:rsid w:val="00EE15A0"/>
    <w:rsid w:val="00EE22C3"/>
    <w:rsid w:val="00EE576D"/>
    <w:rsid w:val="00EF001B"/>
    <w:rsid w:val="00EF08C0"/>
    <w:rsid w:val="00EF1C90"/>
    <w:rsid w:val="00EF414B"/>
    <w:rsid w:val="00EF453D"/>
    <w:rsid w:val="00EF4CA2"/>
    <w:rsid w:val="00EF5034"/>
    <w:rsid w:val="00EF50F4"/>
    <w:rsid w:val="00EF594B"/>
    <w:rsid w:val="00EF72E0"/>
    <w:rsid w:val="00F00718"/>
    <w:rsid w:val="00F00D6D"/>
    <w:rsid w:val="00F0182E"/>
    <w:rsid w:val="00F04509"/>
    <w:rsid w:val="00F057A8"/>
    <w:rsid w:val="00F06795"/>
    <w:rsid w:val="00F10D1E"/>
    <w:rsid w:val="00F11BAE"/>
    <w:rsid w:val="00F12C9A"/>
    <w:rsid w:val="00F12E41"/>
    <w:rsid w:val="00F13BAC"/>
    <w:rsid w:val="00F1400A"/>
    <w:rsid w:val="00F141EC"/>
    <w:rsid w:val="00F14432"/>
    <w:rsid w:val="00F1493F"/>
    <w:rsid w:val="00F14961"/>
    <w:rsid w:val="00F16C20"/>
    <w:rsid w:val="00F20873"/>
    <w:rsid w:val="00F2155A"/>
    <w:rsid w:val="00F24156"/>
    <w:rsid w:val="00F25670"/>
    <w:rsid w:val="00F30B3A"/>
    <w:rsid w:val="00F30C7C"/>
    <w:rsid w:val="00F31FC6"/>
    <w:rsid w:val="00F340F1"/>
    <w:rsid w:val="00F3565D"/>
    <w:rsid w:val="00F3617F"/>
    <w:rsid w:val="00F366CA"/>
    <w:rsid w:val="00F3731F"/>
    <w:rsid w:val="00F37E1E"/>
    <w:rsid w:val="00F41511"/>
    <w:rsid w:val="00F41991"/>
    <w:rsid w:val="00F419E1"/>
    <w:rsid w:val="00F422C9"/>
    <w:rsid w:val="00F4237A"/>
    <w:rsid w:val="00F42AB0"/>
    <w:rsid w:val="00F42CE9"/>
    <w:rsid w:val="00F446DC"/>
    <w:rsid w:val="00F44831"/>
    <w:rsid w:val="00F44BEE"/>
    <w:rsid w:val="00F44FF3"/>
    <w:rsid w:val="00F451D6"/>
    <w:rsid w:val="00F52176"/>
    <w:rsid w:val="00F52781"/>
    <w:rsid w:val="00F528FB"/>
    <w:rsid w:val="00F552EB"/>
    <w:rsid w:val="00F5630B"/>
    <w:rsid w:val="00F64B30"/>
    <w:rsid w:val="00F65471"/>
    <w:rsid w:val="00F65670"/>
    <w:rsid w:val="00F662BD"/>
    <w:rsid w:val="00F67511"/>
    <w:rsid w:val="00F71F2C"/>
    <w:rsid w:val="00F729E1"/>
    <w:rsid w:val="00F73985"/>
    <w:rsid w:val="00F756E7"/>
    <w:rsid w:val="00F7574F"/>
    <w:rsid w:val="00F76470"/>
    <w:rsid w:val="00F77F71"/>
    <w:rsid w:val="00F812BD"/>
    <w:rsid w:val="00F82B51"/>
    <w:rsid w:val="00F836AA"/>
    <w:rsid w:val="00F84901"/>
    <w:rsid w:val="00F84934"/>
    <w:rsid w:val="00F85069"/>
    <w:rsid w:val="00F853CF"/>
    <w:rsid w:val="00F85439"/>
    <w:rsid w:val="00F85A5A"/>
    <w:rsid w:val="00F865C2"/>
    <w:rsid w:val="00F90333"/>
    <w:rsid w:val="00F910CB"/>
    <w:rsid w:val="00F91A95"/>
    <w:rsid w:val="00F93342"/>
    <w:rsid w:val="00F933CF"/>
    <w:rsid w:val="00F9409A"/>
    <w:rsid w:val="00F94C67"/>
    <w:rsid w:val="00FA1BE0"/>
    <w:rsid w:val="00FA2863"/>
    <w:rsid w:val="00FA4361"/>
    <w:rsid w:val="00FA4987"/>
    <w:rsid w:val="00FA6FC8"/>
    <w:rsid w:val="00FA7121"/>
    <w:rsid w:val="00FB0C32"/>
    <w:rsid w:val="00FB2889"/>
    <w:rsid w:val="00FB4806"/>
    <w:rsid w:val="00FB6CB2"/>
    <w:rsid w:val="00FB7CCE"/>
    <w:rsid w:val="00FC3D8C"/>
    <w:rsid w:val="00FD0AD6"/>
    <w:rsid w:val="00FD1A94"/>
    <w:rsid w:val="00FD1CB5"/>
    <w:rsid w:val="00FD21A7"/>
    <w:rsid w:val="00FD2461"/>
    <w:rsid w:val="00FD2C9C"/>
    <w:rsid w:val="00FD38C5"/>
    <w:rsid w:val="00FD44B2"/>
    <w:rsid w:val="00FD7EB5"/>
    <w:rsid w:val="00FE077A"/>
    <w:rsid w:val="00FE102C"/>
    <w:rsid w:val="00FE1AE6"/>
    <w:rsid w:val="00FE27EC"/>
    <w:rsid w:val="00FE362E"/>
    <w:rsid w:val="00FE39A0"/>
    <w:rsid w:val="00FE47C9"/>
    <w:rsid w:val="00FE4B48"/>
    <w:rsid w:val="00FE52CB"/>
    <w:rsid w:val="00FE6153"/>
    <w:rsid w:val="00FE6C48"/>
    <w:rsid w:val="00FE6F4D"/>
    <w:rsid w:val="00FE7FFC"/>
    <w:rsid w:val="00FF01F0"/>
    <w:rsid w:val="00FF2902"/>
    <w:rsid w:val="00FF2FA0"/>
    <w:rsid w:val="00FF307F"/>
    <w:rsid w:val="00FF4013"/>
    <w:rsid w:val="00FF59DD"/>
    <w:rsid w:val="00FF64DB"/>
    <w:rsid w:val="00FF69D4"/>
    <w:rsid w:val="01137ECF"/>
    <w:rsid w:val="048703A4"/>
    <w:rsid w:val="0B723826"/>
    <w:rsid w:val="0CFB229C"/>
    <w:rsid w:val="0F1F7BDB"/>
    <w:rsid w:val="12A461D9"/>
    <w:rsid w:val="12BA3565"/>
    <w:rsid w:val="13CC1508"/>
    <w:rsid w:val="15142B24"/>
    <w:rsid w:val="17692FF8"/>
    <w:rsid w:val="17C36FE9"/>
    <w:rsid w:val="220D1A6D"/>
    <w:rsid w:val="22E01A46"/>
    <w:rsid w:val="2359040B"/>
    <w:rsid w:val="26BA00AA"/>
    <w:rsid w:val="2A3B2408"/>
    <w:rsid w:val="2AAE2955"/>
    <w:rsid w:val="3333067B"/>
    <w:rsid w:val="35F152F2"/>
    <w:rsid w:val="35FD1960"/>
    <w:rsid w:val="36157612"/>
    <w:rsid w:val="3BCF8E64"/>
    <w:rsid w:val="41367B0D"/>
    <w:rsid w:val="445E033A"/>
    <w:rsid w:val="45162151"/>
    <w:rsid w:val="46565EF6"/>
    <w:rsid w:val="46F02871"/>
    <w:rsid w:val="49F70254"/>
    <w:rsid w:val="4BF369F5"/>
    <w:rsid w:val="4C001E3B"/>
    <w:rsid w:val="4E3605C7"/>
    <w:rsid w:val="533E519B"/>
    <w:rsid w:val="567355E1"/>
    <w:rsid w:val="597C3C7C"/>
    <w:rsid w:val="5A705A89"/>
    <w:rsid w:val="5ABD109B"/>
    <w:rsid w:val="5B2549B1"/>
    <w:rsid w:val="5C956A20"/>
    <w:rsid w:val="624F5057"/>
    <w:rsid w:val="65790EB8"/>
    <w:rsid w:val="66FB3677"/>
    <w:rsid w:val="67FF9089"/>
    <w:rsid w:val="6BEFB03B"/>
    <w:rsid w:val="6DB44A54"/>
    <w:rsid w:val="6E0DD4CB"/>
    <w:rsid w:val="6EF56667"/>
    <w:rsid w:val="77BF5464"/>
    <w:rsid w:val="77FE1E14"/>
    <w:rsid w:val="79AF2BB1"/>
    <w:rsid w:val="79D143EB"/>
    <w:rsid w:val="7B3FFB6C"/>
    <w:rsid w:val="7BD7B609"/>
    <w:rsid w:val="7C3A1969"/>
    <w:rsid w:val="7DE90288"/>
    <w:rsid w:val="7E3F668E"/>
    <w:rsid w:val="7EF58C2A"/>
    <w:rsid w:val="7F3FA356"/>
    <w:rsid w:val="7FEF8814"/>
    <w:rsid w:val="88B6518B"/>
    <w:rsid w:val="8EEABF2F"/>
    <w:rsid w:val="8F9D1DC2"/>
    <w:rsid w:val="BFEF535A"/>
    <w:rsid w:val="CBC7D7F7"/>
    <w:rsid w:val="D6BD05F7"/>
    <w:rsid w:val="DBCDC4C9"/>
    <w:rsid w:val="DBFD1A89"/>
    <w:rsid w:val="EEFD987E"/>
    <w:rsid w:val="F49F9350"/>
    <w:rsid w:val="F6FDEA93"/>
    <w:rsid w:val="FDADB670"/>
    <w:rsid w:val="FDFFBDEB"/>
    <w:rsid w:val="FE3E4B07"/>
    <w:rsid w:val="FEDD5090"/>
    <w:rsid w:val="FEEB1D07"/>
    <w:rsid w:val="FF3228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qFormat="1" w:unhideWhenUsed="0" w:uiPriority="0" w:name="toc 3"/>
    <w:lsdException w:qFormat="1" w:unhideWhenUsed="0" w:uiPriority="0" w:name="toc 4"/>
    <w:lsdException w:unhideWhenUsed="0" w:uiPriority="0" w:semiHidden="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6"/>
    <w:qFormat/>
    <w:uiPriority w:val="0"/>
    <w:pPr>
      <w:keepNext/>
      <w:tabs>
        <w:tab w:val="left" w:pos="425"/>
      </w:tabs>
      <w:outlineLvl w:val="0"/>
    </w:pPr>
    <w:rPr>
      <w:b/>
      <w:caps/>
      <w:kern w:val="28"/>
    </w:rPr>
  </w:style>
  <w:style w:type="paragraph" w:styleId="7">
    <w:name w:val="heading 2"/>
    <w:basedOn w:val="3"/>
    <w:next w:val="6"/>
    <w:qFormat/>
    <w:uiPriority w:val="0"/>
    <w:pPr>
      <w:keepNext/>
      <w:tabs>
        <w:tab w:val="left" w:pos="1276"/>
      </w:tabs>
      <w:ind w:left="851"/>
      <w:outlineLvl w:val="1"/>
    </w:pPr>
    <w:rPr>
      <w:b/>
    </w:rPr>
  </w:style>
  <w:style w:type="paragraph" w:styleId="8">
    <w:name w:val="heading 3"/>
    <w:basedOn w:val="3"/>
    <w:next w:val="6"/>
    <w:qFormat/>
    <w:uiPriority w:val="0"/>
    <w:pPr>
      <w:tabs>
        <w:tab w:val="left" w:pos="2126"/>
      </w:tabs>
      <w:ind w:left="1701"/>
      <w:outlineLvl w:val="2"/>
    </w:pPr>
  </w:style>
  <w:style w:type="paragraph" w:styleId="9">
    <w:name w:val="heading 4"/>
    <w:basedOn w:val="3"/>
    <w:next w:val="6"/>
    <w:qFormat/>
    <w:uiPriority w:val="0"/>
    <w:pPr>
      <w:tabs>
        <w:tab w:val="left" w:pos="2976"/>
      </w:tabs>
      <w:ind w:left="2551"/>
      <w:outlineLvl w:val="3"/>
    </w:pPr>
  </w:style>
  <w:style w:type="paragraph" w:styleId="10">
    <w:name w:val="heading 5"/>
    <w:basedOn w:val="3"/>
    <w:next w:val="6"/>
    <w:qFormat/>
    <w:uiPriority w:val="0"/>
    <w:pPr>
      <w:tabs>
        <w:tab w:val="left" w:pos="3827"/>
      </w:tabs>
      <w:ind w:left="3402"/>
      <w:outlineLvl w:val="4"/>
    </w:pPr>
  </w:style>
  <w:style w:type="paragraph" w:styleId="11">
    <w:name w:val="heading 6"/>
    <w:basedOn w:val="3"/>
    <w:next w:val="6"/>
    <w:qFormat/>
    <w:uiPriority w:val="0"/>
    <w:pPr>
      <w:tabs>
        <w:tab w:val="left" w:pos="4677"/>
      </w:tabs>
      <w:ind w:left="4252"/>
      <w:outlineLvl w:val="5"/>
    </w:pPr>
  </w:style>
  <w:style w:type="paragraph" w:styleId="12">
    <w:name w:val="heading 7"/>
    <w:basedOn w:val="3"/>
    <w:next w:val="6"/>
    <w:qFormat/>
    <w:uiPriority w:val="0"/>
    <w:pPr>
      <w:tabs>
        <w:tab w:val="left" w:pos="5528"/>
      </w:tabs>
      <w:ind w:left="5102"/>
      <w:outlineLvl w:val="6"/>
    </w:pPr>
  </w:style>
  <w:style w:type="paragraph" w:styleId="13">
    <w:name w:val="heading 8"/>
    <w:basedOn w:val="3"/>
    <w:next w:val="6"/>
    <w:qFormat/>
    <w:uiPriority w:val="0"/>
    <w:pPr>
      <w:tabs>
        <w:tab w:val="left" w:pos="6378"/>
      </w:tabs>
      <w:ind w:left="5953"/>
      <w:outlineLvl w:val="7"/>
    </w:pPr>
  </w:style>
  <w:style w:type="paragraph" w:styleId="14">
    <w:name w:val="heading 9"/>
    <w:basedOn w:val="3"/>
    <w:next w:val="6"/>
    <w:qFormat/>
    <w:uiPriority w:val="0"/>
    <w:pPr>
      <w:tabs>
        <w:tab w:val="left" w:pos="7228"/>
      </w:tabs>
      <w:ind w:left="6803"/>
      <w:outlineLvl w:val="8"/>
    </w:pPr>
  </w:style>
  <w:style w:type="character" w:default="1" w:styleId="35">
    <w:name w:val="Default Paragraph Font"/>
    <w:semiHidden/>
    <w:qFormat/>
    <w:uiPriority w:val="0"/>
  </w:style>
  <w:style w:type="table" w:default="1" w:styleId="3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3">
    <w:name w:val="AOHeadings"/>
    <w:basedOn w:val="4"/>
    <w:next w:val="6"/>
    <w:qFormat/>
    <w:uiPriority w:val="0"/>
  </w:style>
  <w:style w:type="paragraph" w:customStyle="1" w:styleId="4">
    <w:name w:val="AOBodyTxt"/>
    <w:basedOn w:val="5"/>
    <w:next w:val="6"/>
    <w:qFormat/>
    <w:uiPriority w:val="0"/>
    <w:pPr>
      <w:spacing w:before="240"/>
      <w:jc w:val="both"/>
    </w:pPr>
  </w:style>
  <w:style w:type="paragraph" w:customStyle="1" w:styleId="5">
    <w:name w:val="AONormal"/>
    <w:qFormat/>
    <w:uiPriority w:val="0"/>
    <w:pPr>
      <w:spacing w:line="260" w:lineRule="atLeast"/>
    </w:pPr>
    <w:rPr>
      <w:rFonts w:ascii="Times New Roman" w:hAnsi="Times New Roman" w:eastAsia="宋体" w:cs="Times New Roman"/>
      <w:sz w:val="22"/>
      <w:szCs w:val="22"/>
      <w:lang w:val="en-GB" w:eastAsia="en-US" w:bidi="ar-SA"/>
    </w:rPr>
  </w:style>
  <w:style w:type="paragraph" w:customStyle="1" w:styleId="6">
    <w:name w:val="AODocTxt"/>
    <w:basedOn w:val="4"/>
    <w:qFormat/>
    <w:uiPriority w:val="0"/>
  </w:style>
  <w:style w:type="paragraph" w:styleId="15">
    <w:name w:val="toc 7"/>
    <w:basedOn w:val="16"/>
    <w:next w:val="5"/>
    <w:semiHidden/>
    <w:qFormat/>
    <w:uiPriority w:val="0"/>
    <w:pPr>
      <w:tabs>
        <w:tab w:val="left" w:pos="1800"/>
        <w:tab w:val="right" w:leader="dot" w:pos="9639"/>
      </w:tabs>
      <w:ind w:left="1800" w:right="720" w:hanging="1080"/>
    </w:pPr>
  </w:style>
  <w:style w:type="paragraph" w:customStyle="1" w:styleId="16">
    <w:name w:val="AOTOCs"/>
    <w:basedOn w:val="5"/>
    <w:next w:val="17"/>
    <w:qFormat/>
    <w:uiPriority w:val="0"/>
    <w:pPr>
      <w:tabs>
        <w:tab w:val="right" w:leader="dot" w:pos="9639"/>
      </w:tabs>
      <w:jc w:val="both"/>
    </w:pPr>
  </w:style>
  <w:style w:type="paragraph" w:styleId="17">
    <w:name w:val="toc 1"/>
    <w:basedOn w:val="16"/>
    <w:next w:val="5"/>
    <w:semiHidden/>
    <w:qFormat/>
    <w:uiPriority w:val="0"/>
    <w:pPr>
      <w:tabs>
        <w:tab w:val="left" w:pos="720"/>
      </w:tabs>
      <w:ind w:left="720" w:hanging="720"/>
    </w:pPr>
  </w:style>
  <w:style w:type="paragraph" w:styleId="18">
    <w:name w:val="envelope address"/>
    <w:basedOn w:val="1"/>
    <w:qFormat/>
    <w:uiPriority w:val="0"/>
    <w:pPr>
      <w:framePr w:w="7920" w:h="1980" w:hRule="exact" w:hSpace="180" w:wrap="around" w:vAnchor="margin" w:hAnchor="page" w:xAlign="center" w:yAlign="bottom"/>
      <w:widowControl/>
      <w:ind w:left="2880"/>
      <w:jc w:val="left"/>
    </w:pPr>
    <w:rPr>
      <w:rFonts w:cs="Arial"/>
      <w:kern w:val="0"/>
      <w:sz w:val="22"/>
      <w:szCs w:val="22"/>
      <w:lang w:val="en-GB" w:eastAsia="en-US"/>
    </w:rPr>
  </w:style>
  <w:style w:type="paragraph" w:styleId="19">
    <w:name w:val="annotation text"/>
    <w:basedOn w:val="1"/>
    <w:semiHidden/>
    <w:qFormat/>
    <w:uiPriority w:val="0"/>
    <w:pPr>
      <w:jc w:val="left"/>
    </w:pPr>
  </w:style>
  <w:style w:type="paragraph" w:styleId="20">
    <w:name w:val="Body Text"/>
    <w:basedOn w:val="1"/>
    <w:qFormat/>
    <w:uiPriority w:val="0"/>
    <w:pPr>
      <w:widowControl/>
      <w:spacing w:line="360" w:lineRule="auto"/>
      <w:jc w:val="left"/>
    </w:pPr>
    <w:rPr>
      <w:rFonts w:ascii="Arial" w:hAnsi="Arial" w:cs="Arial"/>
      <w:iCs/>
      <w:color w:val="FF0000"/>
      <w:kern w:val="0"/>
      <w:sz w:val="20"/>
      <w:szCs w:val="20"/>
    </w:rPr>
  </w:style>
  <w:style w:type="paragraph" w:styleId="21">
    <w:name w:val="toc 3"/>
    <w:basedOn w:val="16"/>
    <w:next w:val="5"/>
    <w:semiHidden/>
    <w:qFormat/>
    <w:uiPriority w:val="0"/>
    <w:pPr>
      <w:tabs>
        <w:tab w:val="left" w:pos="720"/>
        <w:tab w:val="clear" w:pos="9639"/>
      </w:tabs>
      <w:ind w:left="720" w:right="720" w:hanging="720"/>
    </w:pPr>
  </w:style>
  <w:style w:type="paragraph" w:styleId="22">
    <w:name w:val="toc 8"/>
    <w:basedOn w:val="16"/>
    <w:next w:val="5"/>
    <w:semiHidden/>
    <w:qFormat/>
    <w:uiPriority w:val="0"/>
    <w:pPr>
      <w:tabs>
        <w:tab w:val="left" w:pos="720"/>
        <w:tab w:val="clear" w:pos="9639"/>
      </w:tabs>
      <w:ind w:left="720" w:right="720" w:hanging="720"/>
    </w:pPr>
  </w:style>
  <w:style w:type="paragraph" w:styleId="23">
    <w:name w:val="Balloon Text"/>
    <w:basedOn w:val="1"/>
    <w:semiHidden/>
    <w:qFormat/>
    <w:uiPriority w:val="0"/>
    <w:rPr>
      <w:rFonts w:ascii="Tahoma" w:hAnsi="Tahoma" w:cs="Tahoma"/>
      <w:sz w:val="16"/>
      <w:szCs w:val="16"/>
    </w:rPr>
  </w:style>
  <w:style w:type="paragraph" w:styleId="24">
    <w:name w:val="footer"/>
    <w:basedOn w:val="1"/>
    <w:link w:val="38"/>
    <w:qFormat/>
    <w:uiPriority w:val="99"/>
    <w:pPr>
      <w:tabs>
        <w:tab w:val="center" w:pos="4153"/>
        <w:tab w:val="right" w:pos="8306"/>
      </w:tabs>
    </w:pPr>
  </w:style>
  <w:style w:type="paragraph" w:styleId="25">
    <w:name w:val="envelope return"/>
    <w:basedOn w:val="1"/>
    <w:qFormat/>
    <w:uiPriority w:val="0"/>
    <w:pPr>
      <w:widowControl/>
      <w:jc w:val="left"/>
    </w:pPr>
    <w:rPr>
      <w:rFonts w:cs="Arial"/>
      <w:kern w:val="0"/>
      <w:sz w:val="20"/>
      <w:szCs w:val="20"/>
      <w:lang w:val="en-GB" w:eastAsia="en-US"/>
    </w:rPr>
  </w:style>
  <w:style w:type="paragraph" w:styleId="26">
    <w:name w:val="header"/>
    <w:basedOn w:val="1"/>
    <w:qFormat/>
    <w:uiPriority w:val="0"/>
    <w:pPr>
      <w:tabs>
        <w:tab w:val="center" w:pos="4153"/>
        <w:tab w:val="right" w:pos="8306"/>
      </w:tabs>
    </w:pPr>
  </w:style>
  <w:style w:type="paragraph" w:styleId="27">
    <w:name w:val="toc 4"/>
    <w:basedOn w:val="16"/>
    <w:next w:val="5"/>
    <w:semiHidden/>
    <w:qFormat/>
    <w:uiPriority w:val="0"/>
    <w:pPr>
      <w:tabs>
        <w:tab w:val="left" w:leader="dot" w:pos="1800"/>
        <w:tab w:val="clear" w:pos="9639"/>
      </w:tabs>
      <w:ind w:left="1800" w:right="720" w:hanging="1080"/>
    </w:pPr>
  </w:style>
  <w:style w:type="paragraph" w:styleId="28">
    <w:name w:val="footnote text"/>
    <w:basedOn w:val="5"/>
    <w:semiHidden/>
    <w:qFormat/>
    <w:uiPriority w:val="0"/>
    <w:pPr>
      <w:spacing w:line="240" w:lineRule="auto"/>
      <w:ind w:left="720" w:hanging="720"/>
      <w:jc w:val="both"/>
    </w:pPr>
    <w:rPr>
      <w:sz w:val="16"/>
    </w:rPr>
  </w:style>
  <w:style w:type="paragraph" w:styleId="29">
    <w:name w:val="toc 6"/>
    <w:basedOn w:val="16"/>
    <w:next w:val="5"/>
    <w:semiHidden/>
    <w:qFormat/>
    <w:uiPriority w:val="0"/>
    <w:pPr>
      <w:tabs>
        <w:tab w:val="left" w:pos="720"/>
        <w:tab w:val="clear" w:pos="9639"/>
      </w:tabs>
      <w:ind w:left="720" w:right="720" w:hanging="720"/>
    </w:pPr>
  </w:style>
  <w:style w:type="paragraph" w:styleId="30">
    <w:name w:val="toc 9"/>
    <w:basedOn w:val="16"/>
    <w:next w:val="5"/>
    <w:semiHidden/>
    <w:qFormat/>
    <w:uiPriority w:val="0"/>
    <w:pPr>
      <w:tabs>
        <w:tab w:val="left" w:pos="1800"/>
        <w:tab w:val="clear" w:pos="9639"/>
      </w:tabs>
      <w:ind w:left="1800" w:right="720" w:hanging="1080"/>
    </w:pPr>
  </w:style>
  <w:style w:type="paragraph" w:styleId="31">
    <w:name w:val="Normal (Web)"/>
    <w:basedOn w:val="1"/>
    <w:qFormat/>
    <w:uiPriority w:val="99"/>
    <w:pPr>
      <w:widowControl/>
      <w:spacing w:before="100" w:beforeAutospacing="1" w:after="100" w:afterAutospacing="1"/>
      <w:jc w:val="left"/>
    </w:pPr>
    <w:rPr>
      <w:rFonts w:ascii="宋体" w:hAnsi="宋体"/>
      <w:kern w:val="0"/>
      <w:sz w:val="24"/>
    </w:rPr>
  </w:style>
  <w:style w:type="paragraph" w:styleId="32">
    <w:name w:val="annotation subject"/>
    <w:basedOn w:val="19"/>
    <w:next w:val="19"/>
    <w:semiHidden/>
    <w:qFormat/>
    <w:uiPriority w:val="0"/>
    <w:rPr>
      <w:b/>
      <w:bCs/>
    </w:rPr>
  </w:style>
  <w:style w:type="table" w:styleId="34">
    <w:name w:val="Table Grid"/>
    <w:basedOn w:val="33"/>
    <w:qFormat/>
    <w:uiPriority w:val="59"/>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qFormat/>
    <w:uiPriority w:val="0"/>
  </w:style>
  <w:style w:type="character" w:styleId="37">
    <w:name w:val="annotation reference"/>
    <w:semiHidden/>
    <w:qFormat/>
    <w:uiPriority w:val="0"/>
    <w:rPr>
      <w:sz w:val="21"/>
      <w:szCs w:val="21"/>
    </w:rPr>
  </w:style>
  <w:style w:type="character" w:customStyle="1" w:styleId="38">
    <w:name w:val="页脚 字符"/>
    <w:link w:val="24"/>
    <w:qFormat/>
    <w:uiPriority w:val="99"/>
    <w:rPr>
      <w:kern w:val="2"/>
      <w:sz w:val="21"/>
      <w:szCs w:val="24"/>
    </w:rPr>
  </w:style>
  <w:style w:type="character" w:customStyle="1" w:styleId="39">
    <w:name w:val="AOHead3 Char"/>
    <w:link w:val="40"/>
    <w:qFormat/>
    <w:uiPriority w:val="0"/>
    <w:rPr>
      <w:sz w:val="22"/>
      <w:szCs w:val="22"/>
      <w:lang w:val="en-GB" w:eastAsia="en-US"/>
    </w:rPr>
  </w:style>
  <w:style w:type="paragraph" w:customStyle="1" w:styleId="40">
    <w:name w:val="AOHead3"/>
    <w:basedOn w:val="3"/>
    <w:next w:val="41"/>
    <w:link w:val="39"/>
    <w:qFormat/>
    <w:uiPriority w:val="0"/>
    <w:pPr>
      <w:tabs>
        <w:tab w:val="left" w:pos="1620"/>
      </w:tabs>
      <w:ind w:left="1620" w:hanging="720"/>
      <w:outlineLvl w:val="2"/>
    </w:pPr>
  </w:style>
  <w:style w:type="paragraph" w:customStyle="1" w:styleId="41">
    <w:name w:val="AODocTxtL2"/>
    <w:basedOn w:val="6"/>
    <w:qFormat/>
    <w:uiPriority w:val="0"/>
    <w:pPr>
      <w:ind w:left="1440"/>
    </w:pPr>
  </w:style>
  <w:style w:type="character" w:customStyle="1" w:styleId="42">
    <w:name w:val="djcn2"/>
    <w:qFormat/>
    <w:uiPriority w:val="0"/>
    <w:rPr>
      <w:rFonts w:hint="default" w:ascii="Arial" w:hAnsi="Arial" w:cs="Arial"/>
      <w:color w:val="666666"/>
      <w:sz w:val="21"/>
      <w:szCs w:val="21"/>
      <w:bdr w:val="single" w:color="AFC4E0" w:sz="6" w:space="0"/>
    </w:rPr>
  </w:style>
  <w:style w:type="character" w:customStyle="1" w:styleId="43">
    <w:name w:val="AOHidden"/>
    <w:qFormat/>
    <w:uiPriority w:val="0"/>
    <w:rPr>
      <w:vanish/>
      <w:color w:val="auto"/>
    </w:rPr>
  </w:style>
  <w:style w:type="character" w:customStyle="1" w:styleId="44">
    <w:name w:val="apple-converted-space"/>
    <w:qFormat/>
    <w:uiPriority w:val="0"/>
  </w:style>
  <w:style w:type="paragraph" w:customStyle="1" w:styleId="45">
    <w:name w:val="AOTitle18"/>
    <w:basedOn w:val="5"/>
    <w:qFormat/>
    <w:uiPriority w:val="0"/>
    <w:rPr>
      <w:b/>
      <w:sz w:val="36"/>
      <w:szCs w:val="36"/>
    </w:rPr>
  </w:style>
  <w:style w:type="paragraph" w:customStyle="1" w:styleId="46">
    <w:name w:val="AOAnxHead"/>
    <w:basedOn w:val="47"/>
    <w:next w:val="48"/>
    <w:qFormat/>
    <w:uiPriority w:val="0"/>
    <w:pPr>
      <w:pageBreakBefore/>
      <w:outlineLvl w:val="0"/>
    </w:pPr>
  </w:style>
  <w:style w:type="paragraph" w:customStyle="1" w:styleId="47">
    <w:name w:val="AOAttachments"/>
    <w:basedOn w:val="4"/>
    <w:next w:val="6"/>
    <w:qFormat/>
    <w:uiPriority w:val="0"/>
    <w:pPr>
      <w:jc w:val="center"/>
    </w:pPr>
    <w:rPr>
      <w:caps/>
    </w:rPr>
  </w:style>
  <w:style w:type="paragraph" w:customStyle="1" w:styleId="48">
    <w:name w:val="AOAnxTitle"/>
    <w:basedOn w:val="47"/>
    <w:next w:val="6"/>
    <w:qFormat/>
    <w:uiPriority w:val="0"/>
    <w:pPr>
      <w:outlineLvl w:val="1"/>
    </w:pPr>
    <w:rPr>
      <w:b/>
    </w:rPr>
  </w:style>
  <w:style w:type="paragraph" w:customStyle="1" w:styleId="49">
    <w:name w:val="AOSchTitle"/>
    <w:basedOn w:val="47"/>
    <w:next w:val="6"/>
    <w:qFormat/>
    <w:uiPriority w:val="0"/>
    <w:pPr>
      <w:outlineLvl w:val="1"/>
    </w:pPr>
    <w:rPr>
      <w:b/>
    </w:rPr>
  </w:style>
  <w:style w:type="paragraph" w:customStyle="1" w:styleId="50">
    <w:name w:val="AOSignatory"/>
    <w:basedOn w:val="4"/>
    <w:next w:val="6"/>
    <w:qFormat/>
    <w:uiPriority w:val="0"/>
    <w:pPr>
      <w:pageBreakBefore/>
      <w:spacing w:after="240"/>
      <w:jc w:val="center"/>
    </w:pPr>
    <w:rPr>
      <w:b/>
      <w:caps/>
    </w:rPr>
  </w:style>
  <w:style w:type="paragraph" w:customStyle="1" w:styleId="51">
    <w:name w:val="AOTOCHeading"/>
    <w:basedOn w:val="3"/>
    <w:next w:val="6"/>
    <w:qFormat/>
    <w:uiPriority w:val="0"/>
    <w:pPr>
      <w:tabs>
        <w:tab w:val="right" w:pos="9611"/>
      </w:tabs>
      <w:spacing w:after="240"/>
    </w:pPr>
    <w:rPr>
      <w:b/>
    </w:rPr>
  </w:style>
  <w:style w:type="paragraph" w:customStyle="1" w:styleId="52">
    <w:name w:val="AOGenNum2"/>
    <w:basedOn w:val="4"/>
    <w:next w:val="53"/>
    <w:qFormat/>
    <w:uiPriority w:val="0"/>
    <w:pPr>
      <w:keepNext/>
      <w:tabs>
        <w:tab w:val="left" w:pos="720"/>
      </w:tabs>
      <w:ind w:left="720" w:hanging="720"/>
    </w:pPr>
    <w:rPr>
      <w:b/>
    </w:rPr>
  </w:style>
  <w:style w:type="paragraph" w:customStyle="1" w:styleId="53">
    <w:name w:val="AOGenNum2Para"/>
    <w:basedOn w:val="52"/>
    <w:next w:val="54"/>
    <w:qFormat/>
    <w:uiPriority w:val="0"/>
    <w:pPr>
      <w:keepNext w:val="0"/>
    </w:pPr>
    <w:rPr>
      <w:b w:val="0"/>
    </w:rPr>
  </w:style>
  <w:style w:type="paragraph" w:customStyle="1" w:styleId="54">
    <w:name w:val="AOGenNum2List"/>
    <w:basedOn w:val="52"/>
    <w:qFormat/>
    <w:uiPriority w:val="0"/>
    <w:pPr>
      <w:keepNext w:val="0"/>
    </w:pPr>
    <w:rPr>
      <w:b w:val="0"/>
    </w:rPr>
  </w:style>
  <w:style w:type="paragraph" w:customStyle="1" w:styleId="55">
    <w:name w:val="AOTOC2"/>
    <w:basedOn w:val="16"/>
    <w:qFormat/>
    <w:uiPriority w:val="0"/>
    <w:pPr>
      <w:tabs>
        <w:tab w:val="left" w:pos="720"/>
        <w:tab w:val="clear" w:pos="9639"/>
      </w:tabs>
    </w:pPr>
  </w:style>
  <w:style w:type="paragraph" w:customStyle="1" w:styleId="56">
    <w:name w:val="AOAppTitle"/>
    <w:basedOn w:val="47"/>
    <w:next w:val="6"/>
    <w:qFormat/>
    <w:uiPriority w:val="0"/>
    <w:pPr>
      <w:outlineLvl w:val="1"/>
    </w:pPr>
    <w:rPr>
      <w:b/>
    </w:rPr>
  </w:style>
  <w:style w:type="paragraph" w:customStyle="1" w:styleId="57">
    <w:name w:val="AOAnxPartHead"/>
    <w:basedOn w:val="46"/>
    <w:next w:val="58"/>
    <w:qFormat/>
    <w:uiPriority w:val="0"/>
    <w:pPr>
      <w:pageBreakBefore w:val="0"/>
    </w:pPr>
  </w:style>
  <w:style w:type="paragraph" w:customStyle="1" w:styleId="58">
    <w:name w:val="AOAnxPartTitle"/>
    <w:basedOn w:val="48"/>
    <w:next w:val="6"/>
    <w:qFormat/>
    <w:uiPriority w:val="0"/>
  </w:style>
  <w:style w:type="paragraph" w:customStyle="1" w:styleId="59">
    <w:name w:val="AOFPCopyright"/>
    <w:basedOn w:val="60"/>
    <w:qFormat/>
    <w:uiPriority w:val="0"/>
    <w:pPr>
      <w:jc w:val="left"/>
    </w:pPr>
    <w:rPr>
      <w:caps/>
    </w:rPr>
  </w:style>
  <w:style w:type="paragraph" w:customStyle="1" w:styleId="60">
    <w:name w:val="AOFPTxt"/>
    <w:basedOn w:val="61"/>
    <w:qFormat/>
    <w:uiPriority w:val="0"/>
    <w:rPr>
      <w:b/>
    </w:rPr>
  </w:style>
  <w:style w:type="paragraph" w:customStyle="1" w:styleId="61">
    <w:name w:val="AOFPBP"/>
    <w:basedOn w:val="5"/>
    <w:next w:val="60"/>
    <w:qFormat/>
    <w:uiPriority w:val="0"/>
    <w:pPr>
      <w:jc w:val="center"/>
    </w:pPr>
  </w:style>
  <w:style w:type="paragraph" w:customStyle="1" w:styleId="62">
    <w:name w:val="AOGenNum1List"/>
    <w:basedOn w:val="63"/>
    <w:qFormat/>
    <w:uiPriority w:val="0"/>
    <w:pPr>
      <w:keepNext w:val="0"/>
      <w:tabs>
        <w:tab w:val="left" w:pos="720"/>
      </w:tabs>
    </w:pPr>
    <w:rPr>
      <w:b w:val="0"/>
      <w:caps w:val="0"/>
    </w:rPr>
  </w:style>
  <w:style w:type="paragraph" w:customStyle="1" w:styleId="63">
    <w:name w:val="AOGenNum1"/>
    <w:basedOn w:val="4"/>
    <w:next w:val="64"/>
    <w:qFormat/>
    <w:uiPriority w:val="0"/>
    <w:pPr>
      <w:keepNext/>
      <w:tabs>
        <w:tab w:val="left" w:pos="720"/>
      </w:tabs>
      <w:ind w:left="720" w:hanging="720"/>
    </w:pPr>
    <w:rPr>
      <w:b/>
      <w:caps/>
    </w:rPr>
  </w:style>
  <w:style w:type="paragraph" w:customStyle="1" w:styleId="64">
    <w:name w:val="AOGenNum1Para"/>
    <w:basedOn w:val="63"/>
    <w:next w:val="62"/>
    <w:qFormat/>
    <w:uiPriority w:val="0"/>
    <w:rPr>
      <w:caps w:val="0"/>
    </w:rPr>
  </w:style>
  <w:style w:type="paragraph" w:customStyle="1" w:styleId="65">
    <w:name w:val="AOFPTxtCaps"/>
    <w:basedOn w:val="60"/>
    <w:qFormat/>
    <w:uiPriority w:val="0"/>
    <w:rPr>
      <w:caps/>
    </w:rPr>
  </w:style>
  <w:style w:type="paragraph" w:customStyle="1" w:styleId="66">
    <w:name w:val="AOHead2"/>
    <w:basedOn w:val="3"/>
    <w:next w:val="67"/>
    <w:qFormat/>
    <w:uiPriority w:val="0"/>
    <w:pPr>
      <w:keepNext/>
      <w:tabs>
        <w:tab w:val="left" w:pos="1080"/>
      </w:tabs>
      <w:ind w:left="1080" w:hanging="720"/>
      <w:outlineLvl w:val="1"/>
    </w:pPr>
    <w:rPr>
      <w:b/>
    </w:rPr>
  </w:style>
  <w:style w:type="paragraph" w:customStyle="1" w:styleId="67">
    <w:name w:val="AODocTxtL1"/>
    <w:basedOn w:val="6"/>
    <w:qFormat/>
    <w:uiPriority w:val="0"/>
    <w:pPr>
      <w:ind w:left="720"/>
    </w:pPr>
  </w:style>
  <w:style w:type="paragraph" w:customStyle="1" w:styleId="68">
    <w:name w:val="AOTitle"/>
    <w:basedOn w:val="3"/>
    <w:next w:val="6"/>
    <w:qFormat/>
    <w:uiPriority w:val="0"/>
    <w:pPr>
      <w:jc w:val="center"/>
    </w:pPr>
    <w:rPr>
      <w:b/>
      <w:caps/>
    </w:rPr>
  </w:style>
  <w:style w:type="paragraph" w:customStyle="1" w:styleId="69">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70">
    <w:name w:val="AONormal6R"/>
    <w:basedOn w:val="71"/>
    <w:qFormat/>
    <w:uiPriority w:val="0"/>
    <w:pPr>
      <w:jc w:val="right"/>
    </w:pPr>
  </w:style>
  <w:style w:type="paragraph" w:customStyle="1" w:styleId="71">
    <w:name w:val="AONormal6L"/>
    <w:basedOn w:val="72"/>
    <w:qFormat/>
    <w:uiPriority w:val="0"/>
    <w:pPr>
      <w:spacing w:line="160" w:lineRule="atLeast"/>
      <w:jc w:val="both"/>
    </w:pPr>
    <w:rPr>
      <w:sz w:val="12"/>
    </w:rPr>
  </w:style>
  <w:style w:type="paragraph" w:customStyle="1" w:styleId="72">
    <w:name w:val="AONormal8L"/>
    <w:basedOn w:val="5"/>
    <w:qFormat/>
    <w:uiPriority w:val="0"/>
    <w:pPr>
      <w:spacing w:line="220" w:lineRule="atLeast"/>
    </w:pPr>
    <w:rPr>
      <w:rFonts w:ascii="Arial" w:hAnsi="Arial" w:eastAsia="MS PGothic"/>
      <w:sz w:val="16"/>
      <w:szCs w:val="16"/>
    </w:rPr>
  </w:style>
  <w:style w:type="paragraph" w:customStyle="1" w:styleId="73">
    <w:name w:val="AOHeading2"/>
    <w:basedOn w:val="3"/>
    <w:next w:val="6"/>
    <w:qFormat/>
    <w:uiPriority w:val="0"/>
    <w:pPr>
      <w:keepNext/>
      <w:outlineLvl w:val="1"/>
    </w:pPr>
    <w:rPr>
      <w:b/>
    </w:rPr>
  </w:style>
  <w:style w:type="paragraph" w:customStyle="1" w:styleId="74">
    <w:name w:val="AOListNumber"/>
    <w:basedOn w:val="4"/>
    <w:qFormat/>
    <w:uiPriority w:val="0"/>
    <w:pPr>
      <w:ind w:left="720" w:hanging="720"/>
    </w:pPr>
  </w:style>
  <w:style w:type="paragraph" w:customStyle="1" w:styleId="75">
    <w:name w:val="AOHead4"/>
    <w:basedOn w:val="3"/>
    <w:next w:val="76"/>
    <w:qFormat/>
    <w:uiPriority w:val="0"/>
    <w:pPr>
      <w:tabs>
        <w:tab w:val="left" w:pos="2160"/>
      </w:tabs>
      <w:ind w:left="2160" w:hanging="720"/>
      <w:outlineLvl w:val="3"/>
    </w:pPr>
  </w:style>
  <w:style w:type="paragraph" w:customStyle="1" w:styleId="76">
    <w:name w:val="AODocTxtL3"/>
    <w:basedOn w:val="6"/>
    <w:qFormat/>
    <w:uiPriority w:val="0"/>
    <w:pPr>
      <w:ind w:left="2160"/>
    </w:pPr>
  </w:style>
  <w:style w:type="paragraph" w:customStyle="1" w:styleId="77">
    <w:name w:val="AOAltHead4"/>
    <w:basedOn w:val="75"/>
    <w:next w:val="41"/>
    <w:qFormat/>
    <w:uiPriority w:val="0"/>
    <w:pPr>
      <w:tabs>
        <w:tab w:val="clear" w:pos="2160"/>
      </w:tabs>
      <w:ind w:left="1440"/>
    </w:pPr>
  </w:style>
  <w:style w:type="paragraph" w:customStyle="1" w:styleId="78">
    <w:name w:val="AOTOCTitle"/>
    <w:basedOn w:val="3"/>
    <w:next w:val="51"/>
    <w:qFormat/>
    <w:uiPriority w:val="0"/>
    <w:pPr>
      <w:jc w:val="center"/>
    </w:pPr>
    <w:rPr>
      <w:b/>
      <w:caps/>
    </w:rPr>
  </w:style>
  <w:style w:type="paragraph" w:customStyle="1" w:styleId="79">
    <w:name w:val="AOGenNum3List"/>
    <w:basedOn w:val="80"/>
    <w:qFormat/>
    <w:uiPriority w:val="0"/>
    <w:pPr>
      <w:tabs>
        <w:tab w:val="left" w:pos="720"/>
      </w:tabs>
    </w:pPr>
  </w:style>
  <w:style w:type="paragraph" w:customStyle="1" w:styleId="80">
    <w:name w:val="AOGenNum3"/>
    <w:basedOn w:val="4"/>
    <w:next w:val="79"/>
    <w:qFormat/>
    <w:uiPriority w:val="0"/>
    <w:pPr>
      <w:tabs>
        <w:tab w:val="left" w:pos="720"/>
      </w:tabs>
      <w:ind w:left="720" w:hanging="720"/>
    </w:pPr>
  </w:style>
  <w:style w:type="paragraph" w:customStyle="1" w:styleId="81">
    <w:name w:val="AOSchPartTitle"/>
    <w:basedOn w:val="49"/>
    <w:next w:val="6"/>
    <w:qFormat/>
    <w:uiPriority w:val="0"/>
  </w:style>
  <w:style w:type="paragraph" w:customStyle="1" w:styleId="82">
    <w:name w:val="AOHeading6"/>
    <w:basedOn w:val="3"/>
    <w:next w:val="6"/>
    <w:qFormat/>
    <w:uiPriority w:val="0"/>
    <w:pPr>
      <w:keepNext/>
      <w:outlineLvl w:val="5"/>
    </w:pPr>
    <w:rPr>
      <w:b/>
      <w:i/>
    </w:rPr>
  </w:style>
  <w:style w:type="paragraph" w:customStyle="1" w:styleId="83">
    <w:name w:val="AODocTxtL8"/>
    <w:basedOn w:val="6"/>
    <w:qFormat/>
    <w:uiPriority w:val="0"/>
    <w:pPr>
      <w:ind w:left="5760"/>
    </w:pPr>
  </w:style>
  <w:style w:type="paragraph" w:customStyle="1" w:styleId="84">
    <w:name w:val="AONormal8R"/>
    <w:basedOn w:val="72"/>
    <w:qFormat/>
    <w:uiPriority w:val="0"/>
    <w:pPr>
      <w:jc w:val="right"/>
    </w:pPr>
  </w:style>
  <w:style w:type="paragraph" w:customStyle="1" w:styleId="85">
    <w:name w:val="AOTOC1"/>
    <w:basedOn w:val="16"/>
    <w:qFormat/>
    <w:uiPriority w:val="0"/>
    <w:pPr>
      <w:tabs>
        <w:tab w:val="left" w:pos="720"/>
        <w:tab w:val="clear" w:pos="9639"/>
      </w:tabs>
    </w:pPr>
    <w:rPr>
      <w:b/>
      <w:caps/>
    </w:rPr>
  </w:style>
  <w:style w:type="paragraph" w:customStyle="1" w:styleId="86">
    <w:name w:val="AODefHead"/>
    <w:basedOn w:val="4"/>
    <w:next w:val="87"/>
    <w:qFormat/>
    <w:uiPriority w:val="0"/>
    <w:pPr>
      <w:ind w:left="720"/>
      <w:outlineLvl w:val="5"/>
    </w:pPr>
  </w:style>
  <w:style w:type="paragraph" w:customStyle="1" w:styleId="87">
    <w:name w:val="AODefPara"/>
    <w:basedOn w:val="86"/>
    <w:qFormat/>
    <w:uiPriority w:val="0"/>
    <w:pPr>
      <w:outlineLvl w:val="6"/>
    </w:pPr>
  </w:style>
  <w:style w:type="paragraph" w:customStyle="1" w:styleId="88">
    <w:name w:val="AOBullet2"/>
    <w:basedOn w:val="89"/>
    <w:qFormat/>
    <w:uiPriority w:val="0"/>
    <w:pPr>
      <w:spacing w:before="120"/>
    </w:pPr>
  </w:style>
  <w:style w:type="paragraph" w:customStyle="1" w:styleId="89">
    <w:name w:val="AOBullet"/>
    <w:basedOn w:val="4"/>
    <w:qFormat/>
    <w:uiPriority w:val="0"/>
    <w:pPr>
      <w:ind w:left="720" w:hanging="720"/>
    </w:pPr>
  </w:style>
  <w:style w:type="paragraph" w:customStyle="1" w:styleId="90">
    <w:name w:val="1"/>
    <w:basedOn w:val="1"/>
    <w:qFormat/>
    <w:uiPriority w:val="0"/>
    <w:pPr>
      <w:widowControl/>
      <w:spacing w:after="160" w:line="240" w:lineRule="exact"/>
      <w:jc w:val="left"/>
    </w:pPr>
    <w:rPr>
      <w:rFonts w:ascii="Verdana" w:hAnsi="Verdana" w:eastAsia="Times New Roman"/>
      <w:kern w:val="0"/>
      <w:sz w:val="20"/>
      <w:szCs w:val="20"/>
      <w:lang w:eastAsia="en-US"/>
    </w:rPr>
  </w:style>
  <w:style w:type="paragraph" w:customStyle="1" w:styleId="91">
    <w:name w:val="AOAltHead3"/>
    <w:basedOn w:val="40"/>
    <w:next w:val="67"/>
    <w:qFormat/>
    <w:uiPriority w:val="0"/>
  </w:style>
  <w:style w:type="paragraph" w:customStyle="1" w:styleId="92">
    <w:name w:val="AOBPTxtR"/>
    <w:basedOn w:val="61"/>
    <w:qFormat/>
    <w:uiPriority w:val="0"/>
    <w:pPr>
      <w:jc w:val="right"/>
    </w:pPr>
  </w:style>
  <w:style w:type="paragraph" w:customStyle="1" w:styleId="93">
    <w:name w:val="AONormal6C"/>
    <w:basedOn w:val="71"/>
    <w:qFormat/>
    <w:uiPriority w:val="0"/>
    <w:pPr>
      <w:jc w:val="center"/>
    </w:pPr>
  </w:style>
  <w:style w:type="paragraph" w:customStyle="1" w:styleId="94">
    <w:name w:val="AODocTxtL6"/>
    <w:basedOn w:val="6"/>
    <w:qFormat/>
    <w:uiPriority w:val="0"/>
    <w:pPr>
      <w:ind w:left="4320"/>
    </w:pPr>
  </w:style>
  <w:style w:type="paragraph" w:customStyle="1" w:styleId="95">
    <w:name w:val="AOAppPartHead"/>
    <w:basedOn w:val="96"/>
    <w:next w:val="97"/>
    <w:qFormat/>
    <w:uiPriority w:val="0"/>
    <w:pPr>
      <w:pageBreakBefore w:val="0"/>
    </w:pPr>
  </w:style>
  <w:style w:type="paragraph" w:customStyle="1" w:styleId="96">
    <w:name w:val="AOAppHead"/>
    <w:basedOn w:val="47"/>
    <w:next w:val="56"/>
    <w:qFormat/>
    <w:uiPriority w:val="0"/>
    <w:pPr>
      <w:pageBreakBefore/>
      <w:outlineLvl w:val="0"/>
    </w:pPr>
  </w:style>
  <w:style w:type="paragraph" w:customStyle="1" w:styleId="97">
    <w:name w:val="AOAppPartTitle"/>
    <w:basedOn w:val="56"/>
    <w:next w:val="6"/>
    <w:qFormat/>
    <w:uiPriority w:val="0"/>
  </w:style>
  <w:style w:type="paragraph" w:customStyle="1" w:styleId="98">
    <w:name w:val="AONormal8LBold"/>
    <w:basedOn w:val="72"/>
    <w:qFormat/>
    <w:uiPriority w:val="0"/>
    <w:rPr>
      <w:b/>
    </w:rPr>
  </w:style>
  <w:style w:type="paragraph" w:customStyle="1" w:styleId="99">
    <w:name w:val="AO(1)"/>
    <w:basedOn w:val="4"/>
    <w:next w:val="6"/>
    <w:qFormat/>
    <w:uiPriority w:val="0"/>
    <w:pPr>
      <w:ind w:left="720" w:hanging="720"/>
    </w:pPr>
  </w:style>
  <w:style w:type="paragraph" w:customStyle="1" w:styleId="100">
    <w:name w:val="AOHeading5"/>
    <w:basedOn w:val="3"/>
    <w:next w:val="67"/>
    <w:qFormat/>
    <w:uiPriority w:val="0"/>
    <w:pPr>
      <w:keepNext/>
      <w:ind w:left="720"/>
      <w:outlineLvl w:val="4"/>
    </w:pPr>
    <w:rPr>
      <w:i/>
    </w:rPr>
  </w:style>
  <w:style w:type="paragraph" w:customStyle="1" w:styleId="101">
    <w:name w:val="AOHead1"/>
    <w:basedOn w:val="3"/>
    <w:next w:val="67"/>
    <w:qFormat/>
    <w:uiPriority w:val="0"/>
    <w:pPr>
      <w:keepNext/>
      <w:tabs>
        <w:tab w:val="left" w:pos="720"/>
      </w:tabs>
      <w:ind w:left="720" w:hanging="720"/>
      <w:outlineLvl w:val="0"/>
    </w:pPr>
    <w:rPr>
      <w:b/>
      <w:caps/>
      <w:kern w:val="28"/>
    </w:rPr>
  </w:style>
  <w:style w:type="paragraph" w:customStyle="1" w:styleId="102">
    <w:name w:val="AO(A)"/>
    <w:basedOn w:val="4"/>
    <w:next w:val="6"/>
    <w:qFormat/>
    <w:uiPriority w:val="0"/>
    <w:pPr>
      <w:ind w:left="720" w:hanging="720"/>
    </w:pPr>
  </w:style>
  <w:style w:type="paragraph" w:customStyle="1" w:styleId="103">
    <w:name w:val="AOFPDate"/>
    <w:basedOn w:val="60"/>
    <w:qFormat/>
    <w:uiPriority w:val="0"/>
    <w:rPr>
      <w:caps/>
    </w:rPr>
  </w:style>
  <w:style w:type="paragraph" w:customStyle="1" w:styleId="104">
    <w:name w:val=" Char Char Char Char"/>
    <w:basedOn w:val="1"/>
    <w:qFormat/>
    <w:uiPriority w:val="0"/>
    <w:pPr>
      <w:widowControl/>
      <w:spacing w:after="160" w:line="240" w:lineRule="exact"/>
      <w:jc w:val="left"/>
    </w:pPr>
    <w:rPr>
      <w:rFonts w:ascii="Verdana" w:hAnsi="Verdana" w:eastAsia="Times New Roman"/>
      <w:kern w:val="0"/>
      <w:sz w:val="20"/>
      <w:szCs w:val="20"/>
      <w:lang w:eastAsia="en-US"/>
    </w:rPr>
  </w:style>
  <w:style w:type="paragraph" w:customStyle="1" w:styleId="105">
    <w:name w:val="AODocTxtL4"/>
    <w:basedOn w:val="6"/>
    <w:qFormat/>
    <w:uiPriority w:val="0"/>
    <w:pPr>
      <w:ind w:left="2880"/>
    </w:pPr>
  </w:style>
  <w:style w:type="paragraph" w:customStyle="1" w:styleId="106">
    <w:name w:val="AOSchHead"/>
    <w:basedOn w:val="47"/>
    <w:next w:val="49"/>
    <w:qFormat/>
    <w:uiPriority w:val="0"/>
    <w:pPr>
      <w:pageBreakBefore/>
      <w:outlineLvl w:val="0"/>
    </w:pPr>
  </w:style>
  <w:style w:type="paragraph" w:customStyle="1" w:styleId="107">
    <w:name w:val="AOBPTxtL"/>
    <w:basedOn w:val="61"/>
    <w:qFormat/>
    <w:uiPriority w:val="0"/>
    <w:pPr>
      <w:jc w:val="left"/>
    </w:pPr>
  </w:style>
  <w:style w:type="paragraph" w:customStyle="1" w:styleId="108">
    <w:name w:val="AOFPTitle"/>
    <w:basedOn w:val="60"/>
    <w:qFormat/>
    <w:uiPriority w:val="0"/>
    <w:rPr>
      <w:caps/>
      <w:sz w:val="32"/>
    </w:rPr>
  </w:style>
  <w:style w:type="paragraph" w:customStyle="1" w:styleId="109">
    <w:name w:val="AOHeading3"/>
    <w:basedOn w:val="3"/>
    <w:next w:val="67"/>
    <w:qFormat/>
    <w:uiPriority w:val="0"/>
    <w:pPr>
      <w:keepNext/>
      <w:ind w:left="720"/>
      <w:outlineLvl w:val="2"/>
    </w:pPr>
    <w:rPr>
      <w:b/>
    </w:rPr>
  </w:style>
  <w:style w:type="paragraph" w:customStyle="1" w:styleId="110">
    <w:name w:val="Margin Text"/>
    <w:basedOn w:val="20"/>
    <w:qFormat/>
    <w:uiPriority w:val="0"/>
    <w:pPr>
      <w:overflowPunct w:val="0"/>
      <w:autoSpaceDE w:val="0"/>
      <w:autoSpaceDN w:val="0"/>
      <w:adjustRightInd w:val="0"/>
      <w:spacing w:after="240"/>
      <w:jc w:val="both"/>
      <w:textAlignment w:val="baseline"/>
    </w:pPr>
    <w:rPr>
      <w:rFonts w:ascii="Times New Roman" w:hAnsi="Times New Roman" w:cs="Times New Roman"/>
      <w:iCs w:val="0"/>
      <w:color w:val="auto"/>
      <w:sz w:val="22"/>
      <w:lang w:val="en-GB"/>
    </w:rPr>
  </w:style>
  <w:style w:type="paragraph" w:customStyle="1" w:styleId="111">
    <w:name w:val="AOHead6"/>
    <w:basedOn w:val="3"/>
    <w:next w:val="112"/>
    <w:qFormat/>
    <w:uiPriority w:val="0"/>
    <w:pPr>
      <w:tabs>
        <w:tab w:val="left" w:pos="3600"/>
      </w:tabs>
      <w:ind w:left="3600" w:hanging="720"/>
      <w:outlineLvl w:val="5"/>
    </w:pPr>
  </w:style>
  <w:style w:type="paragraph" w:customStyle="1" w:styleId="112">
    <w:name w:val="AODocTxtL5"/>
    <w:basedOn w:val="6"/>
    <w:qFormat/>
    <w:uiPriority w:val="0"/>
    <w:pPr>
      <w:ind w:left="3600"/>
    </w:pPr>
  </w:style>
  <w:style w:type="paragraph" w:customStyle="1" w:styleId="113">
    <w:name w:val="Normal"/>
    <w:qFormat/>
    <w:uiPriority w:val="0"/>
    <w:pPr>
      <w:widowControl w:val="0"/>
      <w:adjustRightInd w:val="0"/>
      <w:spacing w:line="360" w:lineRule="atLeast"/>
      <w:textAlignment w:val="baseline"/>
    </w:pPr>
    <w:rPr>
      <w:rFonts w:ascii="MingLiU" w:hAnsi="Times New Roman" w:eastAsia="MingLiU" w:cs="Times New Roman"/>
      <w:sz w:val="24"/>
      <w:lang w:val="en-US" w:eastAsia="zh-TW" w:bidi="ar-SA"/>
    </w:rPr>
  </w:style>
  <w:style w:type="paragraph" w:customStyle="1" w:styleId="114">
    <w:name w:val="xl44"/>
    <w:basedOn w:val="1"/>
    <w:qFormat/>
    <w:uiPriority w:val="0"/>
    <w:pPr>
      <w:widowControl/>
      <w:pBdr>
        <w:bottom w:val="single" w:color="auto" w:sz="4" w:space="0"/>
      </w:pBdr>
      <w:spacing w:before="100" w:beforeAutospacing="1" w:after="100" w:afterAutospacing="1"/>
      <w:jc w:val="center"/>
    </w:pPr>
    <w:rPr>
      <w:rFonts w:hint="eastAsia" w:ascii="方正楷体繁体" w:hAnsi="宋体" w:eastAsia="方正楷体繁体"/>
      <w:kern w:val="0"/>
      <w:sz w:val="24"/>
    </w:rPr>
  </w:style>
  <w:style w:type="paragraph" w:styleId="115">
    <w:name w:val="List Paragraph"/>
    <w:basedOn w:val="1"/>
    <w:qFormat/>
    <w:uiPriority w:val="34"/>
    <w:pPr>
      <w:ind w:firstLine="420" w:firstLineChars="200"/>
    </w:pPr>
    <w:rPr>
      <w:rFonts w:ascii="Calibri" w:hAnsi="Calibri"/>
      <w:szCs w:val="22"/>
    </w:rPr>
  </w:style>
  <w:style w:type="paragraph" w:customStyle="1" w:styleId="116">
    <w:name w:val="AOLocation"/>
    <w:basedOn w:val="61"/>
    <w:qFormat/>
    <w:uiPriority w:val="0"/>
    <w:pPr>
      <w:spacing w:before="160"/>
    </w:pPr>
    <w:rPr>
      <w:b/>
      <w:caps/>
    </w:rPr>
  </w:style>
  <w:style w:type="paragraph" w:customStyle="1" w:styleId="117">
    <w:name w:val="AOSchPartHead"/>
    <w:basedOn w:val="106"/>
    <w:next w:val="81"/>
    <w:qFormat/>
    <w:uiPriority w:val="0"/>
    <w:pPr>
      <w:pageBreakBefore w:val="0"/>
      <w:ind w:left="720"/>
    </w:pPr>
  </w:style>
  <w:style w:type="paragraph" w:customStyle="1" w:styleId="118">
    <w:name w:val="AOTOC4"/>
    <w:basedOn w:val="16"/>
    <w:qFormat/>
    <w:uiPriority w:val="0"/>
    <w:pPr>
      <w:ind w:left="720"/>
    </w:pPr>
  </w:style>
  <w:style w:type="paragraph" w:customStyle="1" w:styleId="119">
    <w:name w:val="AODocTxtL7"/>
    <w:basedOn w:val="6"/>
    <w:qFormat/>
    <w:uiPriority w:val="0"/>
    <w:pPr>
      <w:ind w:left="5040"/>
    </w:pPr>
  </w:style>
  <w:style w:type="paragraph" w:customStyle="1" w:styleId="120">
    <w:name w:val="AOTOC5"/>
    <w:basedOn w:val="16"/>
    <w:qFormat/>
    <w:uiPriority w:val="0"/>
    <w:pPr>
      <w:ind w:left="720"/>
    </w:pPr>
    <w:rPr>
      <w:i/>
    </w:rPr>
  </w:style>
  <w:style w:type="paragraph" w:customStyle="1" w:styleId="121">
    <w:name w:val="AOAltHead1"/>
    <w:basedOn w:val="101"/>
    <w:next w:val="67"/>
    <w:qFormat/>
    <w:uiPriority w:val="0"/>
    <w:pPr>
      <w:keepNext w:val="0"/>
      <w:tabs>
        <w:tab w:val="clear" w:pos="720"/>
      </w:tabs>
    </w:pPr>
    <w:rPr>
      <w:b w:val="0"/>
      <w:caps w:val="0"/>
    </w:rPr>
  </w:style>
  <w:style w:type="paragraph" w:customStyle="1" w:styleId="122">
    <w:name w:val="AOHeading1"/>
    <w:basedOn w:val="3"/>
    <w:next w:val="6"/>
    <w:qFormat/>
    <w:uiPriority w:val="0"/>
    <w:pPr>
      <w:keepNext/>
      <w:outlineLvl w:val="0"/>
    </w:pPr>
    <w:rPr>
      <w:b/>
      <w:caps/>
      <w:kern w:val="28"/>
    </w:rPr>
  </w:style>
  <w:style w:type="paragraph" w:customStyle="1" w:styleId="123">
    <w:name w:val="AOBPTitle"/>
    <w:basedOn w:val="61"/>
    <w:qFormat/>
    <w:uiPriority w:val="0"/>
    <w:rPr>
      <w:b/>
      <w:caps/>
    </w:rPr>
  </w:style>
  <w:style w:type="paragraph" w:customStyle="1" w:styleId="124">
    <w:name w:val="AOHead5"/>
    <w:basedOn w:val="3"/>
    <w:next w:val="105"/>
    <w:qFormat/>
    <w:uiPriority w:val="0"/>
    <w:pPr>
      <w:tabs>
        <w:tab w:val="left" w:pos="2880"/>
      </w:tabs>
      <w:ind w:left="2880" w:hanging="720"/>
      <w:outlineLvl w:val="4"/>
    </w:pPr>
  </w:style>
  <w:style w:type="paragraph" w:customStyle="1" w:styleId="125">
    <w:name w:val="AOAltHead2"/>
    <w:basedOn w:val="66"/>
    <w:next w:val="67"/>
    <w:qFormat/>
    <w:uiPriority w:val="0"/>
    <w:pPr>
      <w:keepNext w:val="0"/>
    </w:pPr>
    <w:rPr>
      <w:b w:val="0"/>
    </w:rPr>
  </w:style>
  <w:style w:type="paragraph" w:customStyle="1" w:styleId="126">
    <w:name w:val="AOAltHead5"/>
    <w:basedOn w:val="124"/>
    <w:next w:val="76"/>
    <w:qFormat/>
    <w:uiPriority w:val="0"/>
    <w:pPr>
      <w:tabs>
        <w:tab w:val="clear" w:pos="2880"/>
      </w:tabs>
      <w:ind w:left="2160"/>
    </w:pPr>
  </w:style>
  <w:style w:type="paragraph" w:customStyle="1" w:styleId="127">
    <w:name w:val="AOAltHead6"/>
    <w:basedOn w:val="111"/>
    <w:next w:val="105"/>
    <w:qFormat/>
    <w:uiPriority w:val="0"/>
    <w:pPr>
      <w:tabs>
        <w:tab w:val="clear" w:pos="3600"/>
      </w:tabs>
      <w:ind w:left="2880"/>
    </w:pPr>
  </w:style>
  <w:style w:type="paragraph" w:customStyle="1" w:styleId="128">
    <w:name w:val="AOHeading4"/>
    <w:basedOn w:val="3"/>
    <w:next w:val="6"/>
    <w:qFormat/>
    <w:uiPriority w:val="0"/>
    <w:pPr>
      <w:keepNext/>
      <w:outlineLvl w:val="3"/>
    </w:pPr>
    <w:rPr>
      <w:i/>
    </w:rPr>
  </w:style>
  <w:style w:type="paragraph" w:customStyle="1" w:styleId="129">
    <w:name w:val=" Char Char Char Char Char Char Char Char"/>
    <w:basedOn w:val="1"/>
    <w:qFormat/>
    <w:uiPriority w:val="0"/>
    <w:pPr>
      <w:widowControl/>
      <w:spacing w:after="160" w:line="240" w:lineRule="exact"/>
      <w:jc w:val="left"/>
    </w:pPr>
    <w:rPr>
      <w:rFonts w:ascii="Verdana" w:hAnsi="Verdana" w:eastAsia="Times New Roman"/>
      <w:kern w:val="0"/>
      <w:sz w:val="20"/>
      <w:szCs w:val="20"/>
      <w:lang w:eastAsia="en-US"/>
    </w:rPr>
  </w:style>
  <w:style w:type="paragraph" w:customStyle="1" w:styleId="130">
    <w:name w:val="AOHeading7"/>
    <w:basedOn w:val="3"/>
    <w:next w:val="67"/>
    <w:qFormat/>
    <w:uiPriority w:val="0"/>
    <w:pPr>
      <w:keepNext/>
      <w:ind w:left="720"/>
      <w:outlineLvl w:val="6"/>
    </w:pPr>
    <w:rPr>
      <w:b/>
      <w:i/>
    </w:rPr>
  </w:style>
  <w:style w:type="paragraph" w:customStyle="1" w:styleId="131">
    <w:name w:val="AONormal10"/>
    <w:basedOn w:val="5"/>
    <w:qFormat/>
    <w:uiPriority w:val="0"/>
    <w:rPr>
      <w:sz w:val="20"/>
    </w:rPr>
  </w:style>
  <w:style w:type="paragraph" w:customStyle="1" w:styleId="132">
    <w:name w:val="AONormal8C"/>
    <w:basedOn w:val="72"/>
    <w:qFormat/>
    <w:uiPriority w:val="0"/>
    <w:pPr>
      <w:jc w:val="center"/>
    </w:pPr>
  </w:style>
  <w:style w:type="paragraph" w:customStyle="1" w:styleId="133">
    <w:name w:val="AOBullet3"/>
    <w:basedOn w:val="4"/>
    <w:qFormat/>
    <w:uiPriority w:val="0"/>
    <w:pPr>
      <w:spacing w:before="120"/>
      <w:ind w:left="720" w:hanging="720"/>
    </w:pPr>
  </w:style>
  <w:style w:type="paragraph" w:customStyle="1" w:styleId="134">
    <w:name w:val="AOltHead1"/>
    <w:basedOn w:val="101"/>
    <w:qFormat/>
    <w:uiPriority w:val="0"/>
    <w:rPr>
      <w:b w:val="0"/>
      <w:lang w:eastAsia="zh-CN"/>
    </w:rPr>
  </w:style>
  <w:style w:type="paragraph" w:customStyle="1" w:styleId="135">
    <w:name w:val="AOBullet4"/>
    <w:basedOn w:val="4"/>
    <w:qFormat/>
    <w:uiPriority w:val="0"/>
    <w:pPr>
      <w:tabs>
        <w:tab w:val="left" w:pos="720"/>
      </w:tabs>
      <w:spacing w:before="120"/>
      <w:ind w:left="720" w:hanging="720"/>
    </w:pPr>
  </w:style>
  <w:style w:type="paragraph" w:customStyle="1" w:styleId="136">
    <w:name w:val="AONormalBold"/>
    <w:basedOn w:val="5"/>
    <w:qFormat/>
    <w:uiPriority w:val="0"/>
    <w:rPr>
      <w:b/>
    </w:rPr>
  </w:style>
  <w:style w:type="paragraph" w:customStyle="1" w:styleId="137">
    <w:name w:val="AOTOC3"/>
    <w:basedOn w:val="16"/>
    <w:qFormat/>
    <w:uiPriority w:val="0"/>
    <w:pPr>
      <w:ind w:left="720"/>
    </w:pPr>
    <w:rPr>
      <w:b/>
    </w:rPr>
  </w:style>
  <w:style w:type="paragraph" w:customStyle="1" w:styleId="138">
    <w:name w:val="AOBPTxtC"/>
    <w:basedOn w:val="61"/>
    <w:qFormat/>
    <w:uiPriority w:val="0"/>
  </w:style>
  <w:style w:type="table" w:customStyle="1" w:styleId="139">
    <w:name w:val="网格型1"/>
    <w:basedOn w:val="33"/>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0">
    <w:name w:val="10"/>
    <w:basedOn w:val="35"/>
    <w:qFormat/>
    <w:uiPriority w:val="0"/>
    <w:rPr>
      <w:rFonts w:hint="default" w:ascii="Times New Roman" w:hAnsi="Times New Roman" w:cs="Times New Roman"/>
    </w:rPr>
  </w:style>
  <w:style w:type="character" w:customStyle="1" w:styleId="141">
    <w:name w:val="15"/>
    <w:basedOn w:val="35"/>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Company>Hewlett-Packard</Company>
  <Pages>27</Pages>
  <Words>18184</Words>
  <Characters>18732</Characters>
  <Lines>1</Lines>
  <Paragraphs>1</Paragraphs>
  <TotalTime>22</TotalTime>
  <ScaleCrop>false</ScaleCrop>
  <LinksUpToDate>false</LinksUpToDate>
  <CharactersWithSpaces>18965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2026-03-25T02:22:00Z</dcterms:created>
  <dc:creator>NIN</dc:creator>
  <cp:keywords> </cp:keywords>
  <cp:lastModifiedBy>cuilei</cp:lastModifiedBy>
  <cp:lastPrinted>2014-12-07T22:09:00Z</cp:lastPrinted>
  <dcterms:modified xsi:type="dcterms:W3CDTF">2026-04-16T01:36:07Z</dcterms:modified>
  <dc:subject> </dc:subject>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pClientMatter">
    <vt:lpwstr>13035-00528</vt:lpwstr>
  </property>
  <property fmtid="{D5CDD505-2E9C-101B-9397-08002B2CF9AE}" pid="3" name="cpCombinedRef">
    <vt:lpwstr>13035-00528 SH:627973.8</vt:lpwstr>
  </property>
  <property fmtid="{D5CDD505-2E9C-101B-9397-08002B2CF9AE}" pid="4" name="cpDocRef">
    <vt:lpwstr>SH:627973.8</vt:lpwstr>
  </property>
  <property fmtid="{D5CDD505-2E9C-101B-9397-08002B2CF9AE}" pid="5" name="KSOProductBuildVer">
    <vt:lpwstr>2052-12.1.0.20305</vt:lpwstr>
  </property>
  <property fmtid="{D5CDD505-2E9C-101B-9397-08002B2CF9AE}" pid="6" name="KSOTemplateDocerSaveRecord">
    <vt:lpwstr>eyJoZGlkIjoiODc1MTMzNmE2MzFhNTgxZDk0OThiNDYxYWVkNDRkYzkifQ==</vt:lpwstr>
  </property>
  <property fmtid="{D5CDD505-2E9C-101B-9397-08002B2CF9AE}" pid="7" name="ICV">
    <vt:lpwstr>69729ABBB3C544F69D200584E68A7153_13</vt:lpwstr>
  </property>
</Properties>
</file>