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2025年第二批服务器及配套资源采购项目-包7</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064GSH2026022</w:t>
      </w:r>
      <w:r>
        <w:br/>
      </w:r>
      <w:r>
        <w:br/>
      </w:r>
      <w:r>
        <w:br/>
      </w:r>
    </w:p>
    <w:p>
      <w:pPr>
        <w:pStyle w:val="null3"/>
        <w:jc w:val="center"/>
      </w:pPr>
      <w:r>
        <w:rPr/>
        <w:t>中国人民银行集中采购中心</w:t>
      </w:r>
    </w:p>
    <w:p>
      <w:pPr>
        <w:pStyle w:val="null3"/>
        <w:jc w:val="center"/>
      </w:pPr>
      <w:r>
        <w:rPr/>
        <w:t>2026年03月11日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2025年第二批服务器及配套资源采购项目-包7</w:t>
      </w:r>
      <w:r>
        <w:rPr/>
        <w:t xml:space="preserve"> ”（项目编号： </w:t>
      </w:r>
      <w:r>
        <w:rPr/>
        <w:t>064GSH2026022</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2,240,000.00</w:t>
      </w:r>
    </w:p>
    <w:p>
      <w:pPr>
        <w:pStyle w:val="null3"/>
        <w:jc w:val="left"/>
      </w:pPr>
      <w:r>
        <w:rPr/>
        <w:t>采购包最高限价（元）: 2,240,000.00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AI深度计算型服务器（含7年维保服务）</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3.00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2,240,000.00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网联清算有限公司</w:t>
      </w:r>
    </w:p>
    <w:p>
      <w:pPr>
        <w:pStyle w:val="null3"/>
        <w:jc w:val="left"/>
      </w:pPr>
      <w:r>
        <w:rPr/>
        <w:t xml:space="preserve"> 地址： </w:t>
      </w:r>
      <w:r>
        <w:rPr/>
        <w:t>北京市西城区月坛金融街中心7号楼10层</w:t>
      </w:r>
    </w:p>
    <w:p>
      <w:pPr>
        <w:pStyle w:val="null3"/>
        <w:jc w:val="left"/>
      </w:pPr>
      <w:r>
        <w:rPr/>
        <w:t xml:space="preserve"> 邮编： </w:t>
      </w:r>
      <w:r>
        <w:rPr/>
        <w:t>100045</w:t>
      </w:r>
    </w:p>
    <w:p>
      <w:pPr>
        <w:pStyle w:val="null3"/>
        <w:jc w:val="left"/>
      </w:pPr>
      <w:r>
        <w:rPr/>
        <w:t xml:space="preserve"> 联系人： </w:t>
      </w:r>
      <w:r>
        <w:rPr/>
        <w:t>王先生</w:t>
      </w:r>
    </w:p>
    <w:p>
      <w:pPr>
        <w:pStyle w:val="null3"/>
        <w:jc w:val="left"/>
      </w:pPr>
      <w:r>
        <w:rPr/>
        <w:t xml:space="preserve"> 联系电话： </w:t>
      </w:r>
      <w:r>
        <w:rPr/>
        <w:t>010-68148953</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 xml:space="preserve"> 010-66195317</w:t>
      </w:r>
    </w:p>
    <w:p>
      <w:pPr>
        <w:pStyle w:val="null3"/>
        <w:jc w:val="left"/>
      </w:pPr>
      <w:r>
        <w:rPr/>
        <w:t xml:space="preserve"> 联系人（开、评标咨询）： </w:t>
      </w:r>
      <w:r>
        <w:rPr/>
        <w:t>赵女士</w:t>
      </w:r>
    </w:p>
    <w:p>
      <w:pPr>
        <w:pStyle w:val="null3"/>
        <w:jc w:val="left"/>
      </w:pPr>
      <w:r>
        <w:rPr/>
        <w:t xml:space="preserve"> 联系电话（开、评标咨询）： </w:t>
      </w:r>
      <w:r>
        <w:rPr/>
        <w:t>010- 66195465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根据相关项目建设需求，开展2025年第二批服务器及配套资源采购项目-包7采购。</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1.本项目采购预算已审批通过，预算编号：XMYS-2024-0114。 2.本项目前置决策情况如下：本项目对应的信息化项目已于2025年11月25日完成信息化立项，并于2025年12月26日完成采购立项。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通过3台AI深度计算型服务器，以支持在应用研发运维数字化转型过程中拓宽应用场景、提质增效。</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AI深度计算型服务器3台（含7年维保服务）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支撑机器学习、深度学习模型训练及推理</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落实公司2025年度信息化项目建设规划部署，推进人工智能技术应用。</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前期项目名称：2024年深度计算型服务器项目 前期项目合同签订时间：2025年9月30日 与前期项目的关系：与上次采购内容类似。</w:t>
            </w:r>
          </w:p>
        </w:tc>
      </w:tr>
    </w:tbl>
    <w:p>
      <w:pPr>
        <w:pStyle w:val="null3"/>
        <w:jc w:val="left"/>
        <w:outlineLvl w:val="2"/>
      </w:pPr>
      <w:r>
        <w:rPr>
          <w:sz w:val="28"/>
          <w:b/>
        </w:rPr>
        <w:t>3.2 技术及商务要求</w:t>
      </w:r>
    </w:p>
    <w:p>
      <w:pPr>
        <w:pStyle w:val="null3"/>
        <w:jc w:val="both"/>
      </w:pPr>
      <w:r>
        <w:rPr/>
        <w:t>本技术要求共有“★”指标98个，”#”指标3个，“▲”指标88个。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供应商给出CPU信息，包含CPU型号、物理核心数、主频、末级缓存容量、线程数、热设计功耗及支持内存的最高速率、通道数和位宽</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和内存的型号数量</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a) 高度大于 44.45mm 双路或以上服务器 PCIe 插槽或接口应不少于 5 个； b)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a) 服务器机箱内主板可根据用户实际使用需求支持安装多功能导入装置板卡，机箱内需预留多功能导入装置板卡安装位置，容量不小于55mm×45mm×15mm（长×宽×高，单位毫米）； b)服务器主板可根据用户实际使用需求预留满足 USB2.0 或 USB3.0 数据传输规范的接口，工作电压 5V，采用 USB2.0 时，最大过电流应不小于 0.5A，采用 USB3.0 时，最大过电流应不小于 1A</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若支持板载网络接口应不少于 1 个1GE 网口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服务器产品至少要配备一款存储设备 a) 若配备硬磁盘，服务器提供的实配硬磁盘可用容量应不小于 600GB b) 若配备固态盘，实配固态盘单盘可用容量不小于 480GB，NVMe SSD容量不小于 960GB</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a) 若配备硬磁盘，应提供SAS 3.0或SATA 3.0 及以上接口； b) 若配备固态盘，应提供至少 1 种类型固态盘接口，如 UFS、SATA、PCIe等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 若配备硬磁盘，服务器提供的实配硬磁盘数量应不小于 2 块，可实现互为备份； b) 若配备固态盘，实配盘数应不小于 1 块</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 2.5 英寸、3.5 英寸硬磁盘； b) 机箱高度为 88.9mm 的服务器可支持的硬盘数量应不少于 8 块，机箱高度为 44.45mm 的服务器可支持的硬盘数量应不少于 4 块。 c) 存储型服务器可支持硬盘数量应不少于 24 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 机械硬盘准备时间应不大于 30s；侧面固定螺丝孔数量可为 4 孔或 6 孔；工作状态环境温度应满足 5℃~55℃，其它参数应符合 GB/T 12628的相关规定； b) 若服务器支持固态盘，固态盘符合SJ/T 11654 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SAS直通卡规格(若支持SAS直通卡)</w:t>
            </w:r>
          </w:p>
        </w:tc>
        <w:tc>
          <w:tcPr>
            <w:tcW w:type="dxa" w:w="1038"/>
          </w:tcPr>
          <w:p>
            <w:pPr>
              <w:pStyle w:val="null3"/>
            </w:pPr>
            <w:r>
              <w:rPr/>
              <w:t>SAS直通卡SAS接口数量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配备网口数量不少于 1 个，且网口速率不少于 1GE</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若配备独立网卡，独立网卡网口数量≥0</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显示接口类型应不少于 1 种，如： VGA、DP、HDMI 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特殊接口及孔位</w:t>
            </w:r>
          </w:p>
        </w:tc>
        <w:tc>
          <w:tcPr>
            <w:tcW w:type="dxa" w:w="1038"/>
          </w:tcPr>
          <w:p>
            <w:pPr>
              <w:pStyle w:val="null3"/>
            </w:pPr>
            <w:r>
              <w:rPr/>
              <w:t>特殊接口及孔位</w:t>
            </w:r>
          </w:p>
        </w:tc>
        <w:tc>
          <w:tcPr>
            <w:tcW w:type="dxa" w:w="1038"/>
          </w:tcPr>
          <w:p>
            <w:pPr>
              <w:pStyle w:val="null3"/>
            </w:pPr>
            <w:r>
              <w:rPr/>
              <w:t>前面板预留 1 个专用USB 母座接口孔位</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w:t>
            </w:r>
          </w:p>
        </w:tc>
        <w:tc>
          <w:tcPr>
            <w:tcW w:type="dxa" w:w="1038"/>
          </w:tcPr>
          <w:p>
            <w:pPr>
              <w:pStyle w:val="null3"/>
            </w:pPr>
            <w:r>
              <w:rPr/>
              <w:t>▲</w:t>
            </w:r>
          </w:p>
        </w:tc>
        <w:tc>
          <w:tcPr>
            <w:tcW w:type="dxa" w:w="1038"/>
          </w:tcPr>
          <w:p>
            <w:pPr>
              <w:pStyle w:val="null3"/>
            </w:pPr>
            <w:r>
              <w:rPr/>
              <w:t>其他接口</w:t>
            </w:r>
          </w:p>
        </w:tc>
        <w:tc>
          <w:tcPr>
            <w:tcW w:type="dxa" w:w="1038"/>
          </w:tcPr>
          <w:p>
            <w:pPr>
              <w:pStyle w:val="null3"/>
            </w:pPr>
            <w:r>
              <w:rPr/>
              <w:t>其他接口</w:t>
            </w:r>
          </w:p>
        </w:tc>
        <w:tc>
          <w:tcPr>
            <w:tcW w:type="dxa" w:w="1038"/>
          </w:tcPr>
          <w:p>
            <w:pPr>
              <w:pStyle w:val="null3"/>
            </w:pPr>
            <w:r>
              <w:rPr/>
              <w:t>a) 串口数量不少于 1 个，并可实现 GB/T 6107 或 GB/T 26803.2 的相关功能； b) 服务器主机前面板可根据用户实际使用需求预留 1 个专用USB 母座接口孔位</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 服务器的零部件应紧固无松动，可插拔部件应可靠连接，开关、按钮和其它控制部件应灵活可靠，布局应方便使用； b) 产品表面不应有明显的凹痕、划伤、裂缝、变形和污染等。表面涂层均匀，不应起泡、龟裂、脱落和磨损，金属零部件无锈蚀及其它机械损伤； c) 产品表面说明功能的文字、符号和标志应清晰、端正且牢固； d) 应在服务器的显著位置提供运行状态的指示功能，并在随机文件中明确具体含义； e) 机架、机箱的尺寸应符合通用机柜的安装要求，插入总线插座的电路板接口外形尺寸应符合有关总线标准的规定，将机箱固定在机柜上，机箱底面最大下垂变形不得干涉相邻机体； f)高密度服务器应给出CPU 个数与机柜高度； g)服务器尺寸具体要求在随机文件中明确。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*尺寸（高×宽×深）</w:t>
            </w:r>
          </w:p>
        </w:tc>
        <w:tc>
          <w:tcPr>
            <w:tcW w:type="dxa" w:w="1038"/>
          </w:tcPr>
          <w:p>
            <w:pPr>
              <w:pStyle w:val="null3"/>
            </w:pPr>
            <w:r>
              <w:rPr/>
              <w:t>供应商给出产品尺寸；设计应遵循标准化、系列化的要求；机箱的内部结构符合通用部件的安装需要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服务器导轨</w:t>
            </w:r>
          </w:p>
        </w:tc>
        <w:tc>
          <w:tcPr>
            <w:tcW w:type="dxa" w:w="1038"/>
          </w:tcPr>
          <w:p>
            <w:pPr>
              <w:pStyle w:val="null3"/>
            </w:pPr>
            <w:r>
              <w:rPr/>
              <w:t>供应商给出导轨尺寸、安装方式等信息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w:t>
            </w:r>
          </w:p>
        </w:tc>
        <w:tc>
          <w:tcPr>
            <w:tcW w:type="dxa" w:w="1038"/>
          </w:tcPr>
          <w:p/>
        </w:tc>
        <w:tc>
          <w:tcPr>
            <w:tcW w:type="dxa" w:w="1038"/>
          </w:tcPr>
          <w:p>
            <w:pPr>
              <w:pStyle w:val="null3"/>
            </w:pPr>
            <w:r>
              <w:rPr/>
              <w:t>——</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特殊机型环境适应性</w:t>
            </w:r>
          </w:p>
        </w:tc>
        <w:tc>
          <w:tcPr>
            <w:tcW w:type="dxa" w:w="1038"/>
          </w:tcPr>
          <w:p>
            <w:pPr>
              <w:pStyle w:val="null3"/>
            </w:pPr>
            <w:r>
              <w:rPr/>
              <w:t>边缘应用服务器，工作环境温度宜为 0～45℃，短期工作可承受环境温度宜为-5～55℃，液冷服务器贮存运输温度宜为-30～55℃</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若配备 AI 计算单元应符合如下要求： a)具备人工智能加速处理器，计算精度至少支持 FP16、BF16、FP32、FP64、INT8 和 INT16 等中的 1 种； b)单推理卡或模块，具备视频解析、文本识别、语音分析等推理能力；在视觉场景下配备可直接调用的接口实现视觉计算加速，路数不小于 64（1080P 30FPS）</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若服务器配备AI计算单元，提供训练脚本迁移工具</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实现至少一种扩展功能，如存储功能卡、显示功能卡、运算加速功能卡及网络功能卡等扩展功能</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若配备光驱，应提供光驱的安装形式（如内置、外置）、光驱读写类型（如只读、可刻录等）、光盘类型的兼容列表（如CD-ROM、CD-RW、 DVD±RW 等）</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散热方式</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a) 支持关键部件冗余（包括电源、风扇等）； b) 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 支持DHCP 设置网络功能； 2) 支持静态IP 设置网络功能； 3) 支持设备日志记录，包括但不限于登录日志、操作日志和报警日志等功能； 4) 支持日志信息导出和记录删除功能； 5) 支持通过管理接口向外输出准确的报警信息功能； 6) 设备的BMC 管理软件应能够按报警的严重程度进行区分； 7) 支持IPMI2.0、SNMP 或Redfish等接口功能； 8) 支持键盘、鼠标和视频的重定向、文本控制台的重定向、远程虚拟媒体、高可靠的硬件监控和管理功能； 9)支持基于网络开启、关闭和重启设备的功能，并查询当前设备开机运行状态； 10) 支持故障提示功能，并可通过接口读取服务器故障信息； 11) 支持基于网络的固件更新功能，包括BMC 和BIOS 等； 12) 支持基于网络安装操作系统的功能，并可通过网络控制台访问设备； 13) 支持通过本地的硬盘或光驱等存储设备，基于网络完成设备的操作系统安装功能； 14) 支持通过浏览器打开管理界面并登录功能； 15) 支持设置口令策略功能； 16) 支持访问权限设置功能，并通过日志记录访问事件； 17) 支持对出厂默认的用户名及口令进行安全保护功能，并提供默认口令修改提示； 18) 支持读取设备主板的工作环境温度功能； 19) 支持读取服务器CPU 等核心器件的温度功能； 20) 支持通过外部管理工具进行 BMC 参数设置的功能，并可基于网络通过外部管理工具对BMC 进行管理； 21)应支持固件版本查询、固件升级 22) 支持基于网络实现开关机和复位控制的功能； 23) BMC 启动时间应不超过 180s，实现功能包括网络、IPMI、散热、传感器服务可用； 24)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a） 网络控制、安装提供图形访问界面网络； b） 设备的BMC 管理软件界面显示报警信息，且能够按报警的严重程度进行区分； c） Web GUI 采用 BMC 端口直连，平均响应时间为不大于 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a） 支持查看固件版本、内存信息、主板信息、处理器信息和系统时间信息功能； b） 支持上电初始化界面显示 CPU 信息、内存信息、固件版本和部分快捷键信息功能； c） 支持设置界面中英文显示切换功能； d） 支持查看 PCIe 设备信息，SATA设备信息功能； e） 支持操作系统安装和引导功能，应并向操作系统提供计算机主板信息和服务接口； f） 支持设置启动顺序，并按照设置的启动顺序启动功能； g） 支持安全启动功能； h） 支持设置口令、修改口令、验证口令功能； i） 支持板载显示控制或独立显卡的显示控制功能； j） 支持 RAID 识别和启动功能； k）支持串口重定向功能； l） 支持固件更新功能； m） 支持 BIOS 固件设置的恢复出厂功能； n） 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 支持访问控制、安全审计、网络接入鉴别等功能； b)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故障检测</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 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a) 嵌入物理可信根，实现设备的信任链构建； b) 支持可信平台控制模块(TPCM)； c) 支持在固件系统（BMC、BIOS）启动前实现对固件度量的功能，支持物理可信根对BMC 固件或BIOS 固件进行完整性检测、更新和恢复； d) 支持对 CPU、网络控制器等关键处理器进行身份识别与度量的功能； e) 支持基于处理器或可信计算模块度量的功能； f)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≥1.8GHz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安装的硬磁盘转速不小于 7200rpm</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若配备RAID 卡且 RAID 卡有缓存容量，容量不少于 1GB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若配备FC HBA 卡，单端口最大的连接速率不少于 8Gb/s</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FC HBA 应适配两种或以上厂商产品</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 提供电话、电子邮件、远程连接等多种形式服务； b) 提供同城 4h、异地 12h 技术响应服务，2 个工作日解决问题，对于未能解决的问题和故障应提供可行的升级方案，并提供周转设备； c) 建立全国技术服务体系和服务 团体，符合专业服务体系标准要求，提供原厂中文服务； 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 服务器产品免费服务周期（含换件和维修）应为7年； b) 设备停产后继续提供质量保障服务（含备品备件），服务器设备服务终止时间与最后一批设备交付时间间隔不低于 7 年； c) 产品停止服务时间应提前 1 年告知客户； d) 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a) 本地的数据备份和还原功能； b) 网络的数据备份和还原功能； c) 服务器操作系统的自动安装功能； d)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随服务器打包提供开机箱工具</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供应商提供从其他CPU 架构到当前服务器CPU 架构的软件迁移工具产品，支持软件包迁移评估，对满足产品重构要求的软件包，能重构为当前服务器CPU 架构的软件包。提供源码迁移功能，检查分析 C/C++/Fortran/Go/解释型语言/汇编等源码文件，基于产品功能给出迁移指导</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供应商提供支持当前服务器CPU 架构的性能分析工具产品，支持系统性能分析、Java 性能分析和系统诊断，可分析系统或应用在 CPU、内存、 IO、网络等方面的性能，并给出优化建议</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跨架构平台应用兼容</w:t>
            </w:r>
          </w:p>
        </w:tc>
        <w:tc>
          <w:tcPr>
            <w:tcW w:type="dxa" w:w="1038"/>
          </w:tcPr>
          <w:p>
            <w:pPr>
              <w:pStyle w:val="null3"/>
            </w:pPr>
            <w:r>
              <w:rPr/>
              <w:t>跨CPU 架构平台应用兼容工具，可兼容一种或者一种以上不同架构平台的应用</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供应商有偿提供远程技术支持、软件授权服务、备件更换服务、现场支承服务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供应商具备提供上门服务的能力(可收费)</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须保证，采购人在使用其提供的产品或服务时，不存在任何已知的不合法的情形，也不存在任何已知的与第三方专利权、著作权、商标权或工业设计权相关的任何争议。如果有任何因采购人使用供应商提供的货物或服务而提起的侵权指控，供应商须依法承担全部责任</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承诺并确保设备及配件可以稳定供货，提供供应商列表材料，确保供应链安全稳定。供应商需承诺，如在供货期间供应商对供货产品进行更新或供应链市场困难，经采购人同意后可使用替换产品供货。替换产品的技术配置指标及性能不得低于此次采购的产品（需提供设备和配件原厂商同等性能证明材料）、价格不得高于中标价格、相关服务配套内容不得低于中标时的承诺。若逾期供货或不能供货，除正常处罚外，采购人有权保留将该品牌服务器列入采购人采购供应商黑名单的权利，且采购人将按照合同相关违约规定决定是否与逾期供货或不能供货的供应商解除合同。</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148</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必须针对技术需求提出的技术指标，就符合要求的设备按其配置要求提供设备品牌、型号、规格、配置及价格。供应商投标时可提供与本项目技术指标和规格要求不尽完全相同、但满足或优于本项目技术指标和规格要求的设备，并说明设备的具体配置。</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投标人应提供所投产品停产计划表。</w:t>
            </w:r>
          </w:p>
        </w:tc>
        <w:tc>
          <w:tcPr>
            <w:tcW w:type="dxa" w:w="1038"/>
          </w:tcPr>
          <w:p>
            <w:pPr>
              <w:pStyle w:val="null3"/>
            </w:pPr>
            <w:r>
              <w:rPr/>
              <w:t>是</w:t>
            </w:r>
          </w:p>
        </w:tc>
        <w:tc>
          <w:tcPr>
            <w:tcW w:type="dxa" w:w="1038"/>
          </w:tcPr>
          <w:p>
            <w:pPr>
              <w:pStyle w:val="null3"/>
            </w:pPr>
            <w:r>
              <w:rPr/>
              <w:t>提供所投产品计划停产时间。</w:t>
            </w:r>
          </w:p>
        </w:tc>
      </w:tr>
      <w:tr>
        <w:tc>
          <w:tcPr>
            <w:tcW w:type="dxa" w:w="1038"/>
          </w:tcPr>
          <w:p>
            <w:pPr>
              <w:pStyle w:val="null3"/>
            </w:pPr>
            <w:r>
              <w:rPr/>
              <w:t>154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供应商需保证所投服务器的备品备件支持期从产品终验通过次日开始不少于7年。</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供应商所投产品及配件须符合国家网络安全相关要求。</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供应商所投产品使用的CPU芯片通过安全可靠测评。</w:t>
            </w:r>
          </w:p>
        </w:tc>
        <w:tc>
          <w:tcPr>
            <w:tcW w:type="dxa" w:w="1038"/>
          </w:tcPr>
          <w:p>
            <w:pPr>
              <w:pStyle w:val="null3"/>
            </w:pPr>
            <w:r>
              <w:rPr/>
              <w:t>是</w:t>
            </w:r>
          </w:p>
        </w:tc>
        <w:tc>
          <w:tcPr>
            <w:tcW w:type="dxa" w:w="1038"/>
          </w:tcPr>
          <w:p>
            <w:pPr>
              <w:pStyle w:val="null3"/>
            </w:pPr>
            <w:r>
              <w:rPr/>
              <w:t>提供所投产品使用CPU芯片的安全可靠测评结果公告网站截图。</w:t>
            </w:r>
          </w:p>
        </w:tc>
      </w:tr>
      <w:tr>
        <w:tc>
          <w:tcPr>
            <w:tcW w:type="dxa" w:w="1038"/>
          </w:tcPr>
          <w:p>
            <w:pPr>
              <w:pStyle w:val="null3"/>
            </w:pPr>
            <w:r>
              <w:rPr/>
              <w:t>157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本次项目采购范围除设备供货外，还包括工程实施、设备集成服务、联调测试（包含不限于内实施准备、设备到货、设备上架、设备安装、系统调试、相关线缆提供及综合布线、与配套设备的联合调试和试运行技术支持等内容）、售后服务（售后服务方案内容应包含但不限于服务团队结构与数量、服务水平说明、应急预案、保修期内服务计划及培训计划等内容），供应商投标时需提供相应的工程实施、设备集成服务方案及售后服务方案。供应商应充分理解采购人的技术要求、配置要求及与现有系统兼容的要求，确保整个系统的完整性和可靠性，提供保证系统正常有效运行所需的所有设备及服务，包括但不限于采购人提出的设备要求及服务要求。</w:t>
            </w:r>
          </w:p>
        </w:tc>
        <w:tc>
          <w:tcPr>
            <w:tcW w:type="dxa" w:w="1038"/>
          </w:tcPr>
          <w:p>
            <w:pPr>
              <w:pStyle w:val="null3"/>
            </w:pPr>
            <w:r>
              <w:rPr/>
              <w:t>是</w:t>
            </w:r>
          </w:p>
        </w:tc>
        <w:tc>
          <w:tcPr>
            <w:tcW w:type="dxa" w:w="1038"/>
          </w:tcPr>
          <w:p>
            <w:pPr>
              <w:pStyle w:val="null3"/>
            </w:pPr>
            <w:r>
              <w:rPr/>
              <w:t>提供工程实施、设备集成服务方案及售后服务方案</w:t>
            </w:r>
          </w:p>
        </w:tc>
      </w:tr>
      <w:tr>
        <w:tc>
          <w:tcPr>
            <w:tcW w:type="dxa" w:w="1038"/>
          </w:tcPr>
          <w:p>
            <w:pPr>
              <w:pStyle w:val="null3"/>
            </w:pPr>
            <w:r>
              <w:rPr/>
              <w:t>158</w:t>
            </w:r>
          </w:p>
        </w:tc>
        <w:tc>
          <w:tcPr>
            <w:tcW w:type="dxa" w:w="1038"/>
          </w:tcPr>
          <w:p>
            <w:pPr>
              <w:pStyle w:val="null3"/>
            </w:pPr>
            <w:r>
              <w:rPr/>
              <w:t>采购内容</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AI深度计算型服务器3台（含7年维保服务）</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CPU数量</w:t>
            </w:r>
          </w:p>
        </w:tc>
        <w:tc>
          <w:tcPr>
            <w:tcW w:type="dxa" w:w="1038"/>
          </w:tcPr>
          <w:p>
            <w:pPr>
              <w:pStyle w:val="null3"/>
            </w:pPr>
            <w:r>
              <w:rPr/>
              <w:t>配置2颗国产X86芯片物理CPU，单颗不小于48核，基础频率不小于2.6GHz，单颗线程数不小于96；单颗CPU支持不小于8个内存通道；CPU满足等保2.0以及可信计算3.0的相关要求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具备AI计算单元，计算精度至少支持FP16、BF16、FP32、 FP64、INT8 和 INT16 等中的 1 种</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AI 计算单元数量</w:t>
            </w:r>
          </w:p>
        </w:tc>
        <w:tc>
          <w:tcPr>
            <w:tcW w:type="dxa" w:w="1038"/>
          </w:tcPr>
          <w:p>
            <w:pPr>
              <w:pStyle w:val="null3"/>
            </w:pPr>
            <w:r>
              <w:rPr/>
              <w:t>配置至少８颗国产AI计算单元</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非板载内存的可扩展插槽数量应不少于32个</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a)高度大于44.45mm双路或以上服务器PCIe插槽或接口应不少于5个； b)支持12块或以上2.5"硬盘盘笼 c)高度4U服务器PCIe插槽或接口数量不少于12个</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≥8；内存条总数为偶数</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不低于DDR5，整机内存总容量不低于768GB</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a）系统盘实配960GB SATA SSD硬盘2块 b）数据盘实配3.84TB SATA SSD硬盘4块</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a）系统盘的实配盘数不小于 2 块 b）数据盘的实配盘数不小于 4 块</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a)供应商应给出配置的硬盘尺寸，如2.5英寸、3.5英寸硬磁盘； b)机箱高度为88.9mm的服务器可支持的硬盘数量应不少于8块。 c)机箱高度为4U服务器，2.5 英寸或3.5 英寸硬盘，硬盘槽位数不少于8块</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a)配置不少于2块双端口10GE光口网卡（含配套光模块） b)配置不少于2个千兆电口</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整机高度</w:t>
            </w:r>
          </w:p>
        </w:tc>
        <w:tc>
          <w:tcPr>
            <w:tcW w:type="dxa" w:w="1038"/>
          </w:tcPr>
          <w:p>
            <w:pPr>
              <w:pStyle w:val="null3"/>
            </w:pPr>
            <w:r>
              <w:rPr/>
              <w:t>整机高度不高于4U</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线材</w:t>
            </w:r>
          </w:p>
        </w:tc>
        <w:tc>
          <w:tcPr>
            <w:tcW w:type="dxa" w:w="1038"/>
          </w:tcPr>
          <w:p>
            <w:pPr>
              <w:pStyle w:val="null3"/>
            </w:pPr>
            <w:r>
              <w:rPr/>
              <w:t>a)提供配套1.5至2.5米电源线，规格以采购人机房实际环境为准，在供货时由采购人指定; b)提供配套2至15米品牌原装LC-LC双工多模万兆OM3成品光纤或2至15米品牌原装六类非屏蔽成品网线。</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安装套件</w:t>
            </w:r>
          </w:p>
        </w:tc>
        <w:tc>
          <w:tcPr>
            <w:tcW w:type="dxa" w:w="1038"/>
          </w:tcPr>
          <w:p>
            <w:pPr>
              <w:pStyle w:val="null3"/>
            </w:pPr>
            <w:r>
              <w:rPr/>
              <w:t>1套安装套件</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 CPU核数</w:t>
            </w:r>
          </w:p>
        </w:tc>
        <w:tc>
          <w:tcPr>
            <w:tcW w:type="dxa" w:w="1038"/>
          </w:tcPr>
          <w:p>
            <w:pPr>
              <w:pStyle w:val="null3"/>
            </w:pPr>
            <w:r>
              <w:rPr/>
              <w:t>≥48核心，≥96线程</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单CPU末级缓存容量</w:t>
            </w:r>
          </w:p>
        </w:tc>
        <w:tc>
          <w:tcPr>
            <w:tcW w:type="dxa" w:w="1038"/>
          </w:tcPr>
          <w:p>
            <w:pPr>
              <w:pStyle w:val="null3"/>
            </w:pPr>
            <w:r>
              <w:rPr/>
              <w:t>≥256MB</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≥3200MT/s</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若配备硬磁盘，转速不小15000rpm</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硬盘速率</w:t>
            </w:r>
          </w:p>
        </w:tc>
        <w:tc>
          <w:tcPr>
            <w:tcW w:type="dxa" w:w="1038"/>
          </w:tcPr>
          <w:p>
            <w:pPr>
              <w:pStyle w:val="null3"/>
            </w:pPr>
            <w:r>
              <w:rPr/>
              <w:t>若配备固态硬盘，4k随机读iops≥4万，4k随机写iops≥3万</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配备RAID卡且RAID卡有缓存容量，容量不少于2GB</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光纤网卡 ≥10GE</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光纤网卡 ≥10GE</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AI计算单元性能</w:t>
            </w:r>
          </w:p>
        </w:tc>
        <w:tc>
          <w:tcPr>
            <w:tcW w:type="dxa" w:w="1038"/>
          </w:tcPr>
          <w:p>
            <w:pPr>
              <w:pStyle w:val="null3"/>
            </w:pPr>
            <w:r>
              <w:rPr/>
              <w:t>单AI计算单元显存</w:t>
            </w:r>
          </w:p>
        </w:tc>
        <w:tc>
          <w:tcPr>
            <w:tcW w:type="dxa" w:w="1038"/>
          </w:tcPr>
          <w:p>
            <w:pPr>
              <w:pStyle w:val="null3"/>
            </w:pPr>
            <w:r>
              <w:rPr/>
              <w:t>单AI计算单元显存容量≥64GB</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AI计算单元性能</w:t>
            </w:r>
          </w:p>
        </w:tc>
        <w:tc>
          <w:tcPr>
            <w:tcW w:type="dxa" w:w="1038"/>
          </w:tcPr>
          <w:p>
            <w:pPr>
              <w:pStyle w:val="null3"/>
            </w:pPr>
            <w:r>
              <w:rPr/>
              <w:t>单AI计算单元功率</w:t>
            </w:r>
          </w:p>
        </w:tc>
        <w:tc>
          <w:tcPr>
            <w:tcW w:type="dxa" w:w="1038"/>
          </w:tcPr>
          <w:p>
            <w:pPr>
              <w:pStyle w:val="null3"/>
            </w:pPr>
            <w:r>
              <w:rPr/>
              <w:t>单AI计算单元TDP≤400W</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AI计算单元性能</w:t>
            </w:r>
          </w:p>
        </w:tc>
        <w:tc>
          <w:tcPr>
            <w:tcW w:type="dxa" w:w="1038"/>
          </w:tcPr>
          <w:p>
            <w:pPr>
              <w:pStyle w:val="null3"/>
            </w:pPr>
            <w:r>
              <w:rPr/>
              <w:t>单AI计算单元算力</w:t>
            </w:r>
          </w:p>
        </w:tc>
        <w:tc>
          <w:tcPr>
            <w:tcW w:type="dxa" w:w="1038"/>
          </w:tcPr>
          <w:p>
            <w:pPr>
              <w:pStyle w:val="null3"/>
            </w:pPr>
            <w:r>
              <w:rPr/>
              <w:t>单AI计算单元FP32矢量非Tensor算力≥24TFLOPS</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AI计算单元性能</w:t>
            </w:r>
          </w:p>
        </w:tc>
        <w:tc>
          <w:tcPr>
            <w:tcW w:type="dxa" w:w="1038"/>
          </w:tcPr>
          <w:p>
            <w:pPr>
              <w:pStyle w:val="null3"/>
            </w:pPr>
            <w:r>
              <w:rPr/>
              <w:t>单AI计算单元算力</w:t>
            </w:r>
          </w:p>
        </w:tc>
        <w:tc>
          <w:tcPr>
            <w:tcW w:type="dxa" w:w="1038"/>
          </w:tcPr>
          <w:p>
            <w:pPr>
              <w:pStyle w:val="null3"/>
            </w:pPr>
            <w:r>
              <w:rPr/>
              <w:t>单AI计算单元FP16算力≥100TFLOPS</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AI计算单元性能</w:t>
            </w:r>
          </w:p>
        </w:tc>
        <w:tc>
          <w:tcPr>
            <w:tcW w:type="dxa" w:w="1038"/>
          </w:tcPr>
          <w:p>
            <w:pPr>
              <w:pStyle w:val="null3"/>
            </w:pPr>
            <w:r>
              <w:rPr/>
              <w:t>单AI计算单元算力</w:t>
            </w:r>
          </w:p>
        </w:tc>
        <w:tc>
          <w:tcPr>
            <w:tcW w:type="dxa" w:w="1038"/>
          </w:tcPr>
          <w:p>
            <w:pPr>
              <w:pStyle w:val="null3"/>
            </w:pPr>
            <w:r>
              <w:rPr/>
              <w:t>单AI计算单元INT8算力≥100TOPS</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AI计算单元性能</w:t>
            </w:r>
          </w:p>
        </w:tc>
        <w:tc>
          <w:tcPr>
            <w:tcW w:type="dxa" w:w="1038"/>
          </w:tcPr>
          <w:p>
            <w:pPr>
              <w:pStyle w:val="null3"/>
            </w:pPr>
            <w:r>
              <w:rPr/>
              <w:t>单AI计算单元显存带宽</w:t>
            </w:r>
          </w:p>
        </w:tc>
        <w:tc>
          <w:tcPr>
            <w:tcW w:type="dxa" w:w="1038"/>
          </w:tcPr>
          <w:p>
            <w:pPr>
              <w:pStyle w:val="null3"/>
            </w:pPr>
            <w:r>
              <w:rPr/>
              <w:t>单AI计算单元显存带宽≥896GB/s</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AI计算单元架构</w:t>
            </w:r>
          </w:p>
        </w:tc>
        <w:tc>
          <w:tcPr>
            <w:tcW w:type="dxa" w:w="1038"/>
          </w:tcPr>
          <w:p>
            <w:pPr>
              <w:pStyle w:val="null3"/>
            </w:pPr>
            <w:r>
              <w:rPr/>
              <w:t>AI计算单元架构</w:t>
            </w:r>
          </w:p>
        </w:tc>
        <w:tc>
          <w:tcPr>
            <w:tcW w:type="dxa" w:w="1038"/>
          </w:tcPr>
          <w:p>
            <w:pPr>
              <w:pStyle w:val="null3"/>
            </w:pPr>
            <w:r>
              <w:rPr/>
              <w:t>所配AI计算单元为GPGPU异构加速卡，非NPU/DSA架构，单卡单芯片架构设计，双宽全高全长PCIe插卡式，接口类型PCIe4.0 ×16</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网卡模块热备和冗余</w:t>
            </w:r>
          </w:p>
        </w:tc>
        <w:tc>
          <w:tcPr>
            <w:tcW w:type="dxa" w:w="1038"/>
          </w:tcPr>
          <w:p>
            <w:pPr>
              <w:pStyle w:val="null3"/>
            </w:pPr>
            <w:r>
              <w:rPr/>
              <w:t>网卡支持多bond模式</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AI计算单元功能</w:t>
            </w:r>
          </w:p>
        </w:tc>
        <w:tc>
          <w:tcPr>
            <w:tcW w:type="dxa" w:w="1038"/>
          </w:tcPr>
          <w:p>
            <w:pPr>
              <w:pStyle w:val="null3"/>
            </w:pPr>
            <w:r>
              <w:rPr/>
              <w:t>框架支持</w:t>
            </w:r>
          </w:p>
        </w:tc>
        <w:tc>
          <w:tcPr>
            <w:tcW w:type="dxa" w:w="1038"/>
          </w:tcPr>
          <w:p>
            <w:pPr>
              <w:pStyle w:val="null3"/>
            </w:pPr>
            <w:r>
              <w:rPr/>
              <w:t>兼容TensorFlow、Pytorch、PaddlePaddle等主流AI框架；支持JAX、Fastertransformer、LMDeploy、vLLM、TGI等开源大模型优化工具； 兼容大模型训练框架DeepSpeed、Megatron和推理框架VLLM、LMdeploy等，可支持大模型预训练和模型微调功能；</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RAID卡功能（若支持RAID卡）</w:t>
            </w:r>
          </w:p>
        </w:tc>
        <w:tc>
          <w:tcPr>
            <w:tcW w:type="dxa" w:w="1038"/>
          </w:tcPr>
          <w:p>
            <w:pPr>
              <w:pStyle w:val="null3"/>
            </w:pPr>
            <w:r>
              <w:rPr/>
              <w:t>RAID卡RAID级别支持</w:t>
            </w:r>
          </w:p>
        </w:tc>
        <w:tc>
          <w:tcPr>
            <w:tcW w:type="dxa" w:w="1038"/>
          </w:tcPr>
          <w:p>
            <w:pPr>
              <w:pStyle w:val="null3"/>
            </w:pPr>
            <w:r>
              <w:rPr/>
              <w:t>RAID模式支持RAID 0/1/10/5</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w:t>
            </w:r>
          </w:p>
        </w:tc>
        <w:tc>
          <w:tcPr>
            <w:tcW w:type="dxa" w:w="1038"/>
          </w:tcPr>
          <w:p>
            <w:pPr>
              <w:pStyle w:val="null3"/>
            </w:pPr>
            <w:r>
              <w:rPr/>
              <w:t>功能检测同时支持： 1）内存、CPU和硬件健康度检查；2）配置电源策略；3）pxe网络配置</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远程管理卡，提供独立千兆管理口，支持远程监控图形界面, 可实现与操作系统无关的远程对服务器的完全控制，包括远程的开机、关机、重启、安装操作系统、更新固件、虚拟KVM、虚拟光驱等操作。支持远程管理接口BMC（HTTPS）或Redfish，获取服务器关键信息（包括主机、CPU、内存、磁盘、阵列卡、网卡等）、执行管理任务（如开关机、重启服务器、配置BIOS设置等）。</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远程管理</w:t>
            </w:r>
          </w:p>
        </w:tc>
        <w:tc>
          <w:tcPr>
            <w:tcW w:type="dxa" w:w="1038"/>
          </w:tcPr>
          <w:p>
            <w:pPr>
              <w:pStyle w:val="null3"/>
            </w:pPr>
            <w:r>
              <w:rPr/>
              <w:t>console多用户登录：支持同时登录多个用户 虚拟光驱使用正常：支持挂载iso安装系统 syslog日志发送：支持将服务器硬件日志发送到syslog服务器上 ntp同步：支持ntp时间同步</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对于技术要求指标项1-145项，除明确要求提供证明材料的，其余均在采购人要求时提供</w:t>
            </w:r>
          </w:p>
        </w:tc>
        <w:tc>
          <w:tcPr>
            <w:tcW w:type="dxa" w:w="1038"/>
          </w:tcPr>
          <w:p>
            <w:pPr>
              <w:pStyle w:val="null3"/>
            </w:pPr>
            <w:r>
              <w:rPr/>
              <w:t>否</w:t>
            </w:r>
          </w:p>
        </w:tc>
        <w:tc>
          <w:tcPr>
            <w:tcW w:type="dxa" w:w="1038"/>
          </w:tcPr>
          <w:p/>
        </w:tc>
      </w:tr>
    </w:tbl>
    <w:p>
      <w:pPr>
        <w:pStyle w:val="null3"/>
        <w:jc w:val="both"/>
      </w:pPr>
      <w:r>
        <w:rPr/>
        <w:t>本商务要求共有“★”指标39个，”#”指标2个，“▲”指标11个。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交付地点</w:t>
            </w:r>
          </w:p>
        </w:tc>
        <w:tc>
          <w:tcPr>
            <w:tcW w:type="dxa" w:w="1038"/>
          </w:tcPr>
          <w:p>
            <w:pPr>
              <w:pStyle w:val="null3"/>
            </w:pPr>
            <w:r>
              <w:rPr/>
              <w:t>交付地点为北京、上海、深圳，具体位置以采购人指定位置为准。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交付时长</w:t>
            </w:r>
          </w:p>
        </w:tc>
        <w:tc>
          <w:tcPr>
            <w:tcW w:type="dxa" w:w="1038"/>
          </w:tcPr>
          <w:p>
            <w:pPr>
              <w:pStyle w:val="null3"/>
            </w:pPr>
            <w:r>
              <w:rPr/>
              <w:t>供应商应在合同签订并收到采购人供货通知后30个日历日内将供货通知内供货通知中要求的货物送至采购人指定地点。</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交付货物</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供货要求</w:t>
            </w:r>
          </w:p>
        </w:tc>
        <w:tc>
          <w:tcPr>
            <w:tcW w:type="dxa" w:w="1038"/>
          </w:tcPr>
          <w:p>
            <w:pPr>
              <w:pStyle w:val="null3"/>
            </w:pPr>
            <w:r>
              <w:rPr/>
              <w:t>供货前，应按照采购人要求，提前准备好相关供货材料和信息（包括设备型号、规格、数量、序列号等），配合采购人完成到货清点、入库、拆箱检查、到货验收，以及资产扫描和入账等工作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检查货物</w:t>
            </w:r>
          </w:p>
        </w:tc>
        <w:tc>
          <w:tcPr>
            <w:tcW w:type="dxa" w:w="1038"/>
          </w:tcPr>
          <w:p>
            <w:pPr>
              <w:pStyle w:val="null3"/>
            </w:pPr>
            <w:r>
              <w:rPr/>
              <w:t>供应商负责开箱验货，检查产品到货情况</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安装调试时长</w:t>
            </w:r>
          </w:p>
        </w:tc>
        <w:tc>
          <w:tcPr>
            <w:tcW w:type="dxa" w:w="1038"/>
          </w:tcPr>
          <w:p>
            <w:pPr>
              <w:pStyle w:val="null3"/>
            </w:pPr>
            <w:r>
              <w:rPr/>
              <w:t>设备到货后，根据采购人项目实施计划，在接到采购人通知后30个工作日内（如遇特殊情况，以双方协商时间为准），按照采购人要求完成所有安装调试工作。</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复核安装调试</w:t>
            </w:r>
          </w:p>
        </w:tc>
        <w:tc>
          <w:tcPr>
            <w:tcW w:type="dxa" w:w="1038"/>
          </w:tcPr>
          <w:p>
            <w:pPr>
              <w:pStyle w:val="null3"/>
            </w:pPr>
            <w:r>
              <w:rPr/>
              <w:t>供应商在采购人相关技术人员的复核下进行安装、检测和排除故障。供应商不得在现场安装未经采购人批准的任何设备</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设备损坏担责</w:t>
            </w:r>
          </w:p>
        </w:tc>
        <w:tc>
          <w:tcPr>
            <w:tcW w:type="dxa" w:w="1038"/>
          </w:tcPr>
          <w:p>
            <w:pPr>
              <w:pStyle w:val="null3"/>
            </w:pPr>
            <w:r>
              <w:rPr/>
              <w:t>在供应商安装、调试过程中造成的设备损坏，一切责任由供应商承担</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故障处理</w:t>
            </w:r>
          </w:p>
        </w:tc>
        <w:tc>
          <w:tcPr>
            <w:tcW w:type="dxa" w:w="1038"/>
          </w:tcPr>
          <w:p>
            <w:pPr>
              <w:pStyle w:val="null3"/>
            </w:pPr>
            <w:r>
              <w:rPr/>
              <w:t>项目实施过程中，如出现技术障碍、运行故障等问题，供应商有义务和责任组织、协调相关各方对问题进行快速解决</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平台和软件调试</w:t>
            </w:r>
          </w:p>
        </w:tc>
        <w:tc>
          <w:tcPr>
            <w:tcW w:type="dxa" w:w="1038"/>
          </w:tcPr>
          <w:p>
            <w:pPr>
              <w:pStyle w:val="null3"/>
            </w:pPr>
            <w:r>
              <w:rPr/>
              <w:t>供应商应根据采购人安排完成本次采购产品与配套设备的联合调试。同时，还应配合数据库软件、应用服务软件等进行相关的配置和系统优化调试</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联调测试</w:t>
            </w:r>
          </w:p>
        </w:tc>
        <w:tc>
          <w:tcPr>
            <w:tcW w:type="dxa" w:w="1038"/>
          </w:tcPr>
          <w:p>
            <w:pPr>
              <w:pStyle w:val="null3"/>
            </w:pPr>
            <w:r>
              <w:rPr/>
              <w:t>供应商应根据采购人安排完成本次采购产品与云平台、业务系统的联调测试，确保云平台，业务系统顺利上线，完成相关优化、测试、调试等相关工作</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维保期限</w:t>
            </w:r>
          </w:p>
        </w:tc>
        <w:tc>
          <w:tcPr>
            <w:tcW w:type="dxa" w:w="1038"/>
          </w:tcPr>
          <w:p>
            <w:pPr>
              <w:pStyle w:val="null3"/>
            </w:pPr>
            <w:r>
              <w:rPr/>
              <w:t>本项目所购设备终验合格后，即进入维保服务期，服务器从终验合格之次日起提供7年维保服务。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维保承诺书</w:t>
            </w:r>
          </w:p>
        </w:tc>
        <w:tc>
          <w:tcPr>
            <w:tcW w:type="dxa" w:w="1038"/>
          </w:tcPr>
          <w:p>
            <w:pPr>
              <w:pStyle w:val="null3"/>
            </w:pPr>
            <w:r>
              <w:rPr/>
              <w:t>若为制造商维保，针对维保服务开始时间，投标时供应商需提供承诺书，承诺制造商同意设备在终验合格之次日起计算。 若为第三方维保，针对维保服务开始时间，投标时供应商需提供承诺书，承诺维保厂商同意设备在终验合格之次日起计算。</w:t>
            </w:r>
          </w:p>
        </w:tc>
        <w:tc>
          <w:tcPr>
            <w:tcW w:type="dxa" w:w="1038"/>
          </w:tcPr>
          <w:p>
            <w:pPr>
              <w:pStyle w:val="null3"/>
            </w:pPr>
            <w:r>
              <w:rPr/>
              <w:t>是</w:t>
            </w:r>
          </w:p>
        </w:tc>
        <w:tc>
          <w:tcPr>
            <w:tcW w:type="dxa" w:w="1038"/>
          </w:tcPr>
          <w:p>
            <w:pPr>
              <w:pStyle w:val="null3"/>
            </w:pPr>
            <w:r>
              <w:rPr/>
              <w:t>需提供承诺书。 1)若为制造商维保，承诺书内容包括“制造商同意在终验合格之次日起计算维保服务开始时间”。 2)若第三方维保，承诺书内容包括“维保服务商同意在终验合格之次日起计算维保服务开始时间”。</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续保价格</w:t>
            </w:r>
          </w:p>
        </w:tc>
        <w:tc>
          <w:tcPr>
            <w:tcW w:type="dxa" w:w="1038"/>
          </w:tcPr>
          <w:p>
            <w:pPr>
              <w:pStyle w:val="null3"/>
            </w:pPr>
            <w:r>
              <w:rPr/>
              <w:t>维保期后，供应商所报的每年维保服务费（不含税）不超过设备报价（不含税）的10%</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紧急情况服务</w:t>
            </w:r>
          </w:p>
        </w:tc>
        <w:tc>
          <w:tcPr>
            <w:tcW w:type="dxa" w:w="1038"/>
          </w:tcPr>
          <w:p>
            <w:pPr>
              <w:pStyle w:val="null3"/>
            </w:pPr>
            <w:r>
              <w:rPr/>
              <w:t>供应商应保障不同场景下故障解决时效，具体情况如下： 1.在一级故障发生时，供应商承诺自报障时间起5分钟内电话响应；自采购人确认需要进行现场支持起2小时内到现场；并保证在人员到场且采购人设备运维人员允许实施故障排除操作后2小时内恢复运行，排除故障。 2.在二级故障发生时，供应商承诺自报障时间起5分钟内电话响应；自采购人确认需要进行现场支持起2小时内到现场；不涉及调用备件的情况下在人员到场且采购人设备运维人员允许实施故障排除操作后4小时内恢复运行，排除故障；有涉及备件的情况下，在备件和人员到场且采购人设备运维人员允许实施故障排除操作后4小时内恢复运行，排除故障。 3.在三级故障发生时，供应商承诺自报障时间起5分钟内电话响应；自采购人确认需要进行现场支持起2小时内到现场；不涉及调用备件的情况下在人员到场且采购人设备运维人员允许实施故障排除操作后6小时内恢复运行，排除故障；有涉及备件的情况下，在备件和人员到场且采购人设备运维人员允许实施故障排除操作后6小时内恢复运行，排除故障。 如果无法在规定的时间解决故障问题时，应采取其他可能的方式为采购人解决问题，并承担相关费用。</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服务启动要求</w:t>
            </w:r>
          </w:p>
        </w:tc>
        <w:tc>
          <w:tcPr>
            <w:tcW w:type="dxa" w:w="1038"/>
          </w:tcPr>
          <w:p>
            <w:pPr>
              <w:pStyle w:val="null3"/>
            </w:pPr>
            <w:r>
              <w:rPr/>
              <w:t>供应商需提供与合同约定的服务范围、服务周期一致的维保启动函。</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重要保障服务</w:t>
            </w:r>
          </w:p>
        </w:tc>
        <w:tc>
          <w:tcPr>
            <w:tcW w:type="dxa" w:w="1038"/>
          </w:tcPr>
          <w:p>
            <w:pPr>
              <w:pStyle w:val="null3"/>
            </w:pPr>
            <w:r>
              <w:rPr/>
              <w:t>1、重要通讯保障期间，采购人根据需要向供应商提出重要通讯保障服务请求，供应商与采购人共同制定重要通讯保障期间的设备系统保障方案。 2、重要通讯保障期间包括政治活动、重大节假日、重大变更、“双十一”、“春节”红包等。在重点通讯保障期间，如有必要，采购人可要求供应商提供技术支持工程师到现场完成通讯保障服务及巡检服务，同时应安排7*24原厂二线技术支持在线提供保障服务。</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技术支持服务</w:t>
            </w:r>
          </w:p>
        </w:tc>
        <w:tc>
          <w:tcPr>
            <w:tcW w:type="dxa" w:w="1038"/>
          </w:tcPr>
          <w:p>
            <w:pPr>
              <w:pStyle w:val="null3"/>
            </w:pPr>
            <w:r>
              <w:rPr/>
              <w:t>供应商应设立7*24小时的技术支持热线，保证采购人获得设备日常维护的技术支持，保证采购人关于设备的技术性问题得到及时、有效的解答。供应商保证技术支持热线电话接通时间小于30秒；当供应商需要查阅相关资料再对采购人的问题进行回复时，应确保在30分钟内回复。</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维修服务</w:t>
            </w:r>
          </w:p>
        </w:tc>
        <w:tc>
          <w:tcPr>
            <w:tcW w:type="dxa" w:w="1038"/>
          </w:tcPr>
          <w:p>
            <w:pPr>
              <w:pStyle w:val="null3"/>
            </w:pPr>
            <w:r>
              <w:rPr/>
              <w:t>1、电话响应要求：供应商设立7*24小时的值班响应电话。当设备出现故障时，采购人可通过供应商指定的值班响应电话进行报障。 2、现场支持要求：供应商在接到采购人现场支持要求后，按照采购人要求的时间，在采购人设备运维人员允许实施故障排除操作后分析故障原因，并排除故障。 3、如需更换设备配件，供应商要按照本需求书中规定的时限内把完好的配件送达采购人设备现场，并由供应商维修人员更换。 4、如需到采购人现场处置，需遵守采购人机房管理、安全管理等要求。</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备件服务</w:t>
            </w:r>
          </w:p>
        </w:tc>
        <w:tc>
          <w:tcPr>
            <w:tcW w:type="dxa" w:w="1038"/>
          </w:tcPr>
          <w:p>
            <w:pPr>
              <w:pStyle w:val="null3"/>
            </w:pPr>
            <w:r>
              <w:rPr/>
              <w:t>供应商须全天候的响应采购人的备件需求，及时提供备品、备件服务，保障采购人系统的稳定运行。 1、供应商在北京、上海、深圳3地均具有备件库房，在备件库里储备针对本项目专门的备品。 2、供应商须7*24小时响应采购人的备品、备件需求、备件。当采购人有备品、备件需求时，供应商要按照本需求书中规定的时限内把完好的备品、备件送达采购人设备现场。 3、如特定配件故障率较高、或在重保时段，采购人有权要求 服务商应在甲方机房内存放指定的备件。</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存储介质要求</w:t>
            </w:r>
          </w:p>
        </w:tc>
        <w:tc>
          <w:tcPr>
            <w:tcW w:type="dxa" w:w="1038"/>
          </w:tcPr>
          <w:p>
            <w:pPr>
              <w:pStyle w:val="null3"/>
            </w:pPr>
            <w:r>
              <w:rPr/>
              <w:t>本项目内所有存储介质不予以返还。</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服务总结报告</w:t>
            </w:r>
          </w:p>
        </w:tc>
        <w:tc>
          <w:tcPr>
            <w:tcW w:type="dxa" w:w="1038"/>
          </w:tcPr>
          <w:p>
            <w:pPr>
              <w:pStyle w:val="null3"/>
            </w:pPr>
            <w:r>
              <w:rPr/>
              <w:t>供应商须按照采购人验收要求提交维保服务总结报告。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客户经理服务</w:t>
            </w:r>
          </w:p>
        </w:tc>
        <w:tc>
          <w:tcPr>
            <w:tcW w:type="dxa" w:w="1038"/>
          </w:tcPr>
          <w:p>
            <w:pPr>
              <w:pStyle w:val="null3"/>
            </w:pPr>
            <w:r>
              <w:rPr/>
              <w:t>维保期内供应商指定1名客户经理，协调相关资源，及时对采购人提供服务、保证故障的及时解决，7×24小时接听采购人电话。</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安全服务</w:t>
            </w:r>
          </w:p>
        </w:tc>
        <w:tc>
          <w:tcPr>
            <w:tcW w:type="dxa" w:w="1038"/>
          </w:tcPr>
          <w:p>
            <w:pPr>
              <w:pStyle w:val="null3"/>
            </w:pPr>
            <w:r>
              <w:rPr/>
              <w:t>供应商应主动报告其提供产品或服务是否受中高危漏洞影响。当发现提供的产品或服务存在漏洞时，有义务及时书面报告（书面发函、电子邮件）采购人，并尽快采取适当措施修正或减轻发现的威胁，不得隐瞒漏洞、不得设置后门或恶意程序。遇到紧急高危漏洞，应及时进行报告（不限于电话、邮件或其它约定方式）并出具解决方案，保障采购人提供的产品或服务安全、稳定运行。 供应商在收到采购人反馈其提供的产品或服务存在风险信息后，应立即核查确认，及时给出临时处置建议，确认受影响后应立即启动应急预案，安排专业工程师现场进行影响情况分析，同时二线专家全程进行技术的技术支持，并技术出具事件处置报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软件支持服务</w:t>
            </w:r>
          </w:p>
        </w:tc>
        <w:tc>
          <w:tcPr>
            <w:tcW w:type="dxa" w:w="1038"/>
          </w:tcPr>
          <w:p>
            <w:pPr>
              <w:pStyle w:val="null3"/>
            </w:pPr>
            <w:r>
              <w:rPr/>
              <w:t>1.供应商每年至少提供一次设备的软件版本评估（其中服务器主要为BIOS和BMC），并依据评估情况出具评估报告，向采购人通报所采用软件产品的升级情况及升级建议，提供补丁或升级软件版本的介质。 2.对于可能会对有关系统、应用或业务造成影响的缺陷、隐患等问题，供应商需尽早且主动通知采购人，并提供解决方案建议书或补丁/微码安装建议书，提供补丁或升级软件版本的介质。上述情况经过采购人评估同意后，由技术服务商负责进行安装、测试和实施，并保证期间系统正常运行，不会对采购人生产系统造成不良影响；如遇疑难问题，能够根据问题分析结果发布新的软件补丁以保障系统稳定运行会。</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26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安全法规要求</w:t>
            </w:r>
          </w:p>
        </w:tc>
        <w:tc>
          <w:tcPr>
            <w:tcW w:type="dxa" w:w="1038"/>
          </w:tcPr>
          <w:p>
            <w:pPr>
              <w:pStyle w:val="null3"/>
            </w:pPr>
            <w:r>
              <w:rPr/>
              <w:t>根据《中华人民共和国网络安全法》，供应商向采购人提供的产品和服务必须遵守《中华人民共和国网络安全法》的相关规定。</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配合安全审查</w:t>
            </w: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雇员信息提供</w:t>
            </w: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保密协议</w:t>
            </w:r>
          </w:p>
        </w:tc>
        <w:tc>
          <w:tcPr>
            <w:tcW w:type="dxa" w:w="1038"/>
          </w:tcPr>
          <w:p>
            <w:pPr>
              <w:pStyle w:val="null3"/>
            </w:pPr>
            <w:r>
              <w:rPr/>
              <w:t>采购人可根据需要与供应商为其提供服务的雇员（或代理人）单独签署保密协议</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安全保护培训</w:t>
            </w:r>
          </w:p>
        </w:tc>
        <w:tc>
          <w:tcPr>
            <w:tcW w:type="dxa" w:w="1038"/>
          </w:tcPr>
          <w:p>
            <w:pPr>
              <w:pStyle w:val="null3"/>
            </w:pPr>
            <w:r>
              <w:rPr/>
              <w:t>如采购人要求，供应商需为采购人提供服务的雇员（或代理人）须接受安全保护培训</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安全风险策略</w:t>
            </w:r>
          </w:p>
        </w:tc>
        <w:tc>
          <w:tcPr>
            <w:tcW w:type="dxa" w:w="1038"/>
          </w:tcPr>
          <w:p>
            <w:pPr>
              <w:pStyle w:val="null3"/>
            </w:pPr>
            <w:r>
              <w:rPr/>
              <w:t>供应商应在设计、开发、生产、交付等环节加强安全管理，应识别安全风险，供应商需采取适当的措施保障安全并制定安全策略</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软件安全保护</w:t>
            </w:r>
          </w:p>
        </w:tc>
        <w:tc>
          <w:tcPr>
            <w:tcW w:type="dxa" w:w="1038"/>
          </w:tcPr>
          <w:p>
            <w:pPr>
              <w:pStyle w:val="null3"/>
            </w:pPr>
            <w:r>
              <w:rPr/>
              <w:t>供应商提供的软件开发和外包服务必须位于中国境内</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漏洞扫描和渗透测试</w:t>
            </w:r>
          </w:p>
        </w:tc>
        <w:tc>
          <w:tcPr>
            <w:tcW w:type="dxa" w:w="1038"/>
          </w:tcPr>
          <w:p>
            <w:pPr>
              <w:pStyle w:val="null3"/>
            </w:pPr>
            <w:r>
              <w:rPr/>
              <w:t>采购人有权根据项目实际情况，要求乙方对提供的产品，供应商对提供的产品定期进行安全漏洞扫描和安全渗透测试或进行安全认证。供应商在发现其产品存在安全缺陷和漏洞时，有义务及时书面告知采购人同步并积极配合处置，并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网络安全审查要求</w:t>
            </w:r>
          </w:p>
        </w:tc>
        <w:tc>
          <w:tcPr>
            <w:tcW w:type="dxa" w:w="1038"/>
          </w:tcPr>
          <w:p>
            <w:pPr>
              <w:pStyle w:val="null3"/>
            </w:pPr>
            <w:r>
              <w:rPr/>
              <w:t>供应商提供的产品或服务须符合网络安全审查要求。如供应商提供产品或服务需进行网络安全审查的，则此项目合同须在产品或服务通过网络安全审查后方可生效；如未通过安全审查，供应商同意采购人可以此解除本项目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技术资料</w:t>
            </w:r>
          </w:p>
        </w:tc>
        <w:tc>
          <w:tcPr>
            <w:tcW w:type="dxa" w:w="1038"/>
          </w:tcPr>
          <w:p>
            <w:pPr>
              <w:pStyle w:val="null3"/>
            </w:pPr>
            <w:r>
              <w:rPr/>
              <w:t>采购人有权利根据项目的实际情况，要求供应商提供产品或服务的中文版运行维护、二次开发等技术资料</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其他安全要求</w:t>
            </w:r>
          </w:p>
        </w:tc>
        <w:tc>
          <w:tcPr>
            <w:tcW w:type="dxa" w:w="1038"/>
          </w:tcPr>
          <w:p>
            <w:pPr>
              <w:pStyle w:val="null3"/>
            </w:pPr>
            <w:r>
              <w:rPr/>
              <w:t>（1）供应商有义务严守采购人及采购人的商业秘密、国家秘密、内部资料和信息，不以任何的形式将采购人及采购人数据资料带出工作现场。 （2）供应商在服务过程中如果对供应商运行正常的硬件或软件因误操作造成损坏，供应商应负责修复或更换，确保采购人的正常使用并赔偿采购人的损失。</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验收主体</w:t>
            </w:r>
          </w:p>
        </w:tc>
        <w:tc>
          <w:tcPr>
            <w:tcW w:type="dxa" w:w="1038"/>
          </w:tcPr>
          <w:p>
            <w:pPr>
              <w:pStyle w:val="null3"/>
            </w:pPr>
            <w:r>
              <w:rPr/>
              <w:t>——</w:t>
            </w:r>
          </w:p>
        </w:tc>
        <w:tc>
          <w:tcPr>
            <w:tcW w:type="dxa" w:w="1038"/>
          </w:tcPr>
          <w:p>
            <w:pPr>
              <w:pStyle w:val="null3"/>
            </w:pPr>
            <w:r>
              <w:rPr/>
              <w:t>采购人内部需求部门。 拟邀请：采购人内部相关部门以及验收规定的其他部门组成验收小组。 （□本项目供应商 □第三方专业机构 □专家 □服务对象 ☑相关部门）</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验收时间</w:t>
            </w:r>
          </w:p>
        </w:tc>
        <w:tc>
          <w:tcPr>
            <w:tcW w:type="dxa" w:w="1038"/>
          </w:tcPr>
          <w:p>
            <w:pPr>
              <w:pStyle w:val="null3"/>
            </w:pPr>
            <w:r>
              <w:rPr/>
              <w:t>——</w:t>
            </w:r>
          </w:p>
        </w:tc>
        <w:tc>
          <w:tcPr>
            <w:tcW w:type="dxa" w:w="1038"/>
          </w:tcPr>
          <w:p>
            <w:pPr>
              <w:pStyle w:val="null3"/>
            </w:pPr>
            <w:r>
              <w:rPr/>
              <w:t>到货验收：设备到货且收到乙方纸质或邮件的验收申请后20个工作日内双方完成到货验收。 初步验收：产品完成安装调试且收到乙方纸质或邮件的验收申请后20个工作日内双方完成初步验收，其中无需安装设备在经过加电测试验证设备正常后，视为初步验收通过。 最终验收：产品试运行期三个月后（自初步验收完成次日起计算），且收到乙方纸质或邮件的验收申请后20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 维保验收：在维保服务期结束后，且收到乙方纸质或邮件的验收申请后20个工作日内采购人对当期的服务质量完成验收。</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验收地点</w:t>
            </w:r>
          </w:p>
        </w:tc>
        <w:tc>
          <w:tcPr>
            <w:tcW w:type="dxa" w:w="1038"/>
          </w:tcPr>
          <w:p>
            <w:pPr>
              <w:pStyle w:val="null3"/>
            </w:pPr>
            <w:r>
              <w:rPr/>
              <w:t>——</w:t>
            </w:r>
          </w:p>
        </w:tc>
        <w:tc>
          <w:tcPr>
            <w:tcW w:type="dxa" w:w="1038"/>
          </w:tcPr>
          <w:p>
            <w:pPr>
              <w:pStyle w:val="null3"/>
            </w:pPr>
            <w:r>
              <w:rPr/>
              <w:t>北京、上海、深圳，具体位置以采购人通知为准</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验收方式</w:t>
            </w:r>
          </w:p>
        </w:tc>
        <w:tc>
          <w:tcPr>
            <w:tcW w:type="dxa" w:w="1038"/>
          </w:tcPr>
          <w:p>
            <w:pPr>
              <w:pStyle w:val="null3"/>
            </w:pPr>
            <w:r>
              <w:rPr/>
              <w:t>——</w:t>
            </w:r>
          </w:p>
        </w:tc>
        <w:tc>
          <w:tcPr>
            <w:tcW w:type="dxa" w:w="1038"/>
          </w:tcPr>
          <w:p>
            <w:pPr>
              <w:pStyle w:val="null3"/>
            </w:pPr>
            <w:r>
              <w:rPr/>
              <w:t>分段验收</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验收方法</w:t>
            </w:r>
          </w:p>
        </w:tc>
        <w:tc>
          <w:tcPr>
            <w:tcW w:type="dxa" w:w="1038"/>
          </w:tcPr>
          <w:p>
            <w:pPr>
              <w:pStyle w:val="null3"/>
            </w:pPr>
            <w:r>
              <w:rPr/>
              <w:t>——</w:t>
            </w:r>
          </w:p>
        </w:tc>
        <w:tc>
          <w:tcPr>
            <w:tcW w:type="dxa" w:w="1038"/>
          </w:tcPr>
          <w:p>
            <w:pPr>
              <w:pStyle w:val="null3"/>
            </w:pPr>
            <w:r>
              <w:rPr/>
              <w:t>采购人发起部门组织验收小组进行验收</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验收内容</w:t>
            </w:r>
          </w:p>
        </w:tc>
        <w:tc>
          <w:tcPr>
            <w:tcW w:type="dxa" w:w="1038"/>
          </w:tcPr>
          <w:p>
            <w:pPr>
              <w:pStyle w:val="null3"/>
            </w:pPr>
            <w:r>
              <w:rPr/>
              <w:t>——</w:t>
            </w:r>
          </w:p>
        </w:tc>
        <w:tc>
          <w:tcPr>
            <w:tcW w:type="dxa" w:w="1038"/>
          </w:tcPr>
          <w:p>
            <w:pPr>
              <w:pStyle w:val="null3"/>
            </w:pPr>
            <w:r>
              <w:rPr/>
              <w:t>采购需求条款的每一项技术要求和商务要求，以及供应商响应、承诺的相关内容，但不得超出采购合同约定。</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验收标准</w:t>
            </w:r>
          </w:p>
        </w:tc>
        <w:tc>
          <w:tcPr>
            <w:tcW w:type="dxa" w:w="1038"/>
          </w:tcPr>
          <w:p>
            <w:pPr>
              <w:pStyle w:val="null3"/>
            </w:pPr>
            <w:r>
              <w:rPr/>
              <w:t>——</w:t>
            </w:r>
          </w:p>
        </w:tc>
        <w:tc>
          <w:tcPr>
            <w:tcW w:type="dxa" w:w="1038"/>
          </w:tcPr>
          <w:p>
            <w:pPr>
              <w:pStyle w:val="null3"/>
            </w:pPr>
            <w:r>
              <w:rPr/>
              <w:t>供应商提供的产品技术指标是否符合采购需求中对应的技术要求，服务内容是否符合采购需求中对应的服务要求，并按照列入采购合同的供应商响应、承诺内容完成所有服务。</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其他事项1</w:t>
            </w:r>
          </w:p>
        </w:tc>
        <w:tc>
          <w:tcPr>
            <w:tcW w:type="dxa" w:w="1038"/>
          </w:tcPr>
          <w:p>
            <w:pPr>
              <w:pStyle w:val="null3"/>
            </w:pPr>
            <w:r>
              <w:rPr/>
              <w:t>——</w:t>
            </w:r>
          </w:p>
        </w:tc>
        <w:tc>
          <w:tcPr>
            <w:tcW w:type="dxa" w:w="1038"/>
          </w:tcPr>
          <w:p>
            <w:pPr>
              <w:pStyle w:val="null3"/>
            </w:pPr>
            <w:r>
              <w:rPr/>
              <w:t>每次验收结束后，20个工作日内验收小组出具验收报告（格式详见附件），并应由供应商书面认定。供应商应按规定时间进行书面认定，供应商迟延或拒绝书面认定验收报告的，视为同意。</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其他事项2</w:t>
            </w:r>
          </w:p>
        </w:tc>
        <w:tc>
          <w:tcPr>
            <w:tcW w:type="dxa" w:w="1038"/>
          </w:tcPr>
          <w:p>
            <w:pPr>
              <w:pStyle w:val="null3"/>
            </w:pPr>
            <w:r>
              <w:rPr/>
              <w:t>——</w:t>
            </w:r>
          </w:p>
        </w:tc>
        <w:tc>
          <w:tcPr>
            <w:tcW w:type="dxa" w:w="1038"/>
          </w:tcPr>
          <w:p>
            <w:pPr>
              <w:pStyle w:val="null3"/>
            </w:pPr>
            <w:r>
              <w:rPr/>
              <w:t>如验收中出现质量问题或由于验收失败而影响采购人项目的进度，采购人保留索赔的权利。</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其他事项3</w:t>
            </w:r>
          </w:p>
        </w:tc>
        <w:tc>
          <w:tcPr>
            <w:tcW w:type="dxa" w:w="1038"/>
          </w:tcPr>
          <w:p>
            <w:pPr>
              <w:pStyle w:val="null3"/>
            </w:pPr>
            <w:r>
              <w:rPr/>
              <w:t>——</w:t>
            </w:r>
          </w:p>
        </w:tc>
        <w:tc>
          <w:tcPr>
            <w:tcW w:type="dxa" w:w="1038"/>
          </w:tcPr>
          <w:p>
            <w:pPr>
              <w:pStyle w:val="null3"/>
            </w:pPr>
            <w:r>
              <w:rPr/>
              <w:t>本次采购设备，如运行过程中两周内出现两次未知原因宕机，则原厂商须按采购人要求实施整机替换。</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违约处置</w:t>
            </w:r>
          </w:p>
        </w:tc>
        <w:tc>
          <w:tcPr>
            <w:tcW w:type="dxa" w:w="1038"/>
          </w:tcPr>
          <w:p>
            <w:pPr>
              <w:pStyle w:val="null3"/>
            </w:pPr>
            <w:r>
              <w:rPr/>
              <w:t>——</w:t>
            </w:r>
          </w:p>
        </w:tc>
        <w:tc>
          <w:tcPr>
            <w:tcW w:type="dxa" w:w="1038"/>
          </w:tcPr>
          <w:p>
            <w:pPr>
              <w:pStyle w:val="null3"/>
            </w:pPr>
            <w:r>
              <w:rPr/>
              <w:t>a）如乙方提供的【产品不满足采购需求中的“技术要求”】等导致履约异常事件，每发生一次，乙方应按照该批次货物（以供货通知为准）总金额的1‰且不低于5000元人民币的比例向甲方支付违约金。 同时甲方有权要求乙方整改或重新供货，如乙方未在甲方规定的期限内完成整改、支付的违约金累计达到该批次货物总金额的5%，则甲方有权解除合同。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 计算方法1：如合同中明确提供了该项服务的报价、且价格不为0零，则扣除该服务异常的验收周期、该项服务的服务费作为违约金。 计算方法2：按照该批次货物（以供货通知为准）、该服务异常的验收周期应支付总金额的1‰且不低于5000元人民币的比例向甲方支付违约金。 同时甲方有权要求乙方整改，如乙方未在甲方规定的期限内完成整改或支付的违约金累计达到该批次货物总金额的5%，则甲方有权解除合同。</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履约验收交付文档</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一、到货阶段提供： 《安装部署实施方案》 《应急处理方案》 二、初步验收提供： 《安装部署实施报告》 三、最终验收提供： 《终验服务总结报告》 四、维保服务阶段提供： 《维保启动函》 《维保实施方案》 《服务总结报告》 《微码/固件审计评估报告》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节能环保要求</w:t>
            </w:r>
          </w:p>
        </w:tc>
        <w:tc>
          <w:tcPr>
            <w:tcW w:type="dxa" w:w="1038"/>
          </w:tcPr>
          <w:p>
            <w:pPr>
              <w:pStyle w:val="null3"/>
            </w:pPr>
            <w:r>
              <w:rPr/>
              <w:t>#</w:t>
            </w:r>
          </w:p>
        </w:tc>
        <w:tc>
          <w:tcPr>
            <w:tcW w:type="dxa" w:w="1038"/>
          </w:tcPr>
          <w:p>
            <w:pPr>
              <w:pStyle w:val="null3"/>
            </w:pPr>
            <w:r>
              <w:rPr/>
              <w:t>节能环保要求</w:t>
            </w:r>
          </w:p>
        </w:tc>
        <w:tc>
          <w:tcPr>
            <w:tcW w:type="dxa" w:w="1038"/>
          </w:tcPr>
          <w:p>
            <w:pPr>
              <w:pStyle w:val="null3"/>
            </w:pPr>
            <w:r>
              <w:rPr/>
              <w:t>节能环保要求</w:t>
            </w:r>
          </w:p>
        </w:tc>
        <w:tc>
          <w:tcPr>
            <w:tcW w:type="dxa" w:w="1038"/>
          </w:tcPr>
          <w:p>
            <w:pPr>
              <w:pStyle w:val="null3"/>
            </w:pPr>
            <w:r>
              <w:rPr/>
              <w:t>服务器产品属于政府采购环境标志产品实施品目清单范围,投标人所有所投产品均需提供具有国家指定的认证机构出具的、有效的环境标志产品认证证书。</w:t>
            </w:r>
          </w:p>
        </w:tc>
        <w:tc>
          <w:tcPr>
            <w:tcW w:type="dxa" w:w="1038"/>
          </w:tcPr>
          <w:p>
            <w:pPr>
              <w:pStyle w:val="null3"/>
            </w:pPr>
            <w:r>
              <w:rPr/>
              <w:t>是</w:t>
            </w:r>
          </w:p>
        </w:tc>
        <w:tc>
          <w:tcPr>
            <w:tcW w:type="dxa" w:w="1038"/>
          </w:tcPr>
          <w:p>
            <w:pPr>
              <w:pStyle w:val="null3"/>
            </w:pPr>
            <w:r>
              <w:rPr/>
              <w:t>提供国家指定的认证机构出具的、处于有效期内的环境标志产品认证证书复印件。</w:t>
            </w:r>
          </w:p>
        </w:tc>
      </w:tr>
      <w:tr>
        <w:tc>
          <w:tcPr>
            <w:tcW w:type="dxa" w:w="1038"/>
          </w:tcPr>
          <w:p>
            <w:pPr>
              <w:pStyle w:val="null3"/>
            </w:pPr>
            <w:r>
              <w:rPr/>
              <w:t>50</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供应商或产品制造商需具备本项目标的同类型、同等规模（3台）及以上项目案例，证明其服务或产品的成熟度</w:t>
            </w:r>
          </w:p>
        </w:tc>
        <w:tc>
          <w:tcPr>
            <w:tcW w:type="dxa" w:w="1038"/>
          </w:tcPr>
          <w:p>
            <w:pPr>
              <w:pStyle w:val="null3"/>
            </w:pPr>
            <w:r>
              <w:rPr/>
              <w:t>是</w:t>
            </w:r>
          </w:p>
        </w:tc>
        <w:tc>
          <w:tcPr>
            <w:tcW w:type="dxa" w:w="1038"/>
          </w:tcPr>
          <w:p>
            <w:pPr>
              <w:pStyle w:val="null3"/>
            </w:pPr>
            <w:r>
              <w:rPr/>
              <w:t>需提供销售合同案例证明</w:t>
            </w:r>
          </w:p>
        </w:tc>
      </w:tr>
      <w:tr>
        <w:tc>
          <w:tcPr>
            <w:tcW w:type="dxa" w:w="1038"/>
          </w:tcPr>
          <w:p>
            <w:pPr>
              <w:pStyle w:val="null3"/>
            </w:pPr>
            <w:r>
              <w:rPr/>
              <w:t>51</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供应商完全认可采购人商务条款及合同模板所有条款，并按要求提供响应文件。</w:t>
            </w:r>
          </w:p>
        </w:tc>
        <w:tc>
          <w:tcPr>
            <w:tcW w:type="dxa" w:w="1038"/>
          </w:tcPr>
          <w:p>
            <w:pPr>
              <w:pStyle w:val="null3"/>
            </w:pPr>
            <w:r>
              <w:rPr/>
              <w:t>是</w:t>
            </w:r>
          </w:p>
        </w:tc>
        <w:tc>
          <w:tcPr>
            <w:tcW w:type="dxa" w:w="1038"/>
          </w:tcPr>
          <w:p>
            <w:pPr>
              <w:pStyle w:val="null3"/>
            </w:pPr>
            <w:r>
              <w:rPr/>
              <w:t>需提供商务条款及合同模版应答表</w:t>
            </w:r>
          </w:p>
        </w:tc>
      </w:tr>
      <w:tr>
        <w:tc>
          <w:tcPr>
            <w:tcW w:type="dxa" w:w="1038"/>
          </w:tcPr>
          <w:p>
            <w:pPr>
              <w:pStyle w:val="null3"/>
            </w:pPr>
            <w:r>
              <w:rPr/>
              <w:t>52</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单台设备配置明细清单</w:t>
            </w:r>
          </w:p>
        </w:tc>
        <w:tc>
          <w:tcPr>
            <w:tcW w:type="dxa" w:w="1038"/>
          </w:tcPr>
          <w:p>
            <w:pPr>
              <w:pStyle w:val="null3"/>
            </w:pPr>
            <w:r>
              <w:rPr/>
              <w:t>是</w:t>
            </w:r>
          </w:p>
        </w:tc>
        <w:tc>
          <w:tcPr>
            <w:tcW w:type="dxa" w:w="1038"/>
          </w:tcPr>
          <w:p>
            <w:pPr>
              <w:pStyle w:val="null3"/>
            </w:pPr>
            <w:r>
              <w:rPr/>
              <w:t>按照附件模板提供清单</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w:t>
            </w:r>
          </w:p>
        </w:tc>
        <w:tc>
          <w:tcPr>
            <w:tcW w:type="dxa" w:w="1384"/>
          </w:tcPr>
          <w:p>
            <w:pPr>
              <w:pStyle w:val="null3"/>
              <w:jc w:val="left"/>
            </w:pPr>
            <w:r>
              <w:rPr/>
              <w:t>到货验收经采购人验收通过，出具生效的验收材料等单据，收到供应商提供的当期批次货物总金额的增值税专用发票，且付款材料经审核齐备后10个工作日内</w:t>
            </w:r>
          </w:p>
        </w:tc>
        <w:tc>
          <w:tcPr>
            <w:tcW w:type="dxa" w:w="1384"/>
          </w:tcPr>
          <w:p>
            <w:pPr>
              <w:pStyle w:val="null3"/>
              <w:jc w:val="left"/>
            </w:pPr>
            <w:r>
              <w:rPr/>
              <w:t>70.00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最终验收</w:t>
            </w:r>
          </w:p>
        </w:tc>
        <w:tc>
          <w:tcPr>
            <w:tcW w:type="dxa" w:w="1384"/>
          </w:tcPr>
          <w:p>
            <w:pPr>
              <w:pStyle w:val="null3"/>
              <w:jc w:val="left"/>
            </w:pPr>
            <w:r>
              <w:rPr/>
              <w:t>最终验收经采购人验收通过，出具生效的验收材料等单据，且付款材料经审核齐备后10个工作日内</w:t>
            </w:r>
          </w:p>
        </w:tc>
        <w:tc>
          <w:tcPr>
            <w:tcW w:type="dxa" w:w="1384"/>
          </w:tcPr>
          <w:p>
            <w:pPr>
              <w:pStyle w:val="null3"/>
              <w:jc w:val="left"/>
            </w:pPr>
            <w:r>
              <w:rPr/>
              <w:t>28.00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尾款</w:t>
            </w:r>
          </w:p>
        </w:tc>
        <w:tc>
          <w:tcPr>
            <w:tcW w:type="dxa" w:w="1384"/>
          </w:tcPr>
          <w:p>
            <w:pPr>
              <w:pStyle w:val="null3"/>
              <w:jc w:val="left"/>
            </w:pPr>
            <w:r>
              <w:rPr/>
              <w:t>全部维保服务结束后经采购人验收通过，出具生效的验收材料等单据，且付款材料经审核齐备后10个工作日内</w:t>
            </w:r>
          </w:p>
        </w:tc>
        <w:tc>
          <w:tcPr>
            <w:tcW w:type="dxa" w:w="1384"/>
          </w:tcPr>
          <w:p>
            <w:pPr>
              <w:pStyle w:val="null3"/>
              <w:jc w:val="left"/>
            </w:pPr>
            <w:r>
              <w:rPr/>
              <w:t>2.00</w:t>
            </w:r>
            <w:r>
              <w:rPr/>
              <w:t>%</w:t>
            </w:r>
          </w:p>
        </w:tc>
        <w:tc>
          <w:tcPr>
            <w:tcW w:type="dxa" w:w="1384"/>
          </w:tcPr>
          <w:p>
            <w:pPr>
              <w:pStyle w:val="null3"/>
              <w:jc w:val="left"/>
            </w:pPr>
            <w:r>
              <w:rPr/>
              <w:t>电汇</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基础设施部</w:t>
      </w:r>
    </w:p>
    <w:p>
      <w:pPr>
        <w:pStyle w:val="null3"/>
      </w:pPr>
      <w:r>
        <w:rPr/>
        <w:t>采购人（需求部门）拟邀请（</w:t>
      </w:r>
      <w:r>
        <w:rPr/>
        <w:t>）</w:t>
      </w:r>
    </w:p>
    <w:p>
      <w:pPr>
        <w:pStyle w:val="null3"/>
      </w:pPr>
      <w:r>
        <w:rPr/>
        <w:t>（2）验收时间</w:t>
      </w:r>
      <w:r>
        <w:rPr>
          <w:u w:val="single"/>
        </w:rPr>
        <w:t>到货验收时间：设备到货且收到乙方书面或邮件形式的验收申请后20个工作日内双方完成到货验收。 初步验收时间：产品完成安装调试且收到乙方书面或邮件形式的验收申请后20个工作日内双方完成初步验收。 最终验收时间：自初步验收完成次日起计算，产品试运行期三个月后，收到乙方书面或邮件形式的验收申请后20个工作日内双方完成最终验收。 维保验收时间：在维保服务期结束后，且收到乙方书面或邮件形式的验收申请后20个工作日内对维保服务质量完成验收。 因项目实际客观情况，在甲乙方协商一致后，可对验收时间进行调整。</w:t>
      </w:r>
    </w:p>
    <w:p>
      <w:pPr>
        <w:pStyle w:val="null3"/>
      </w:pPr>
      <w:r>
        <w:rPr/>
        <w:t>（3）验收方式</w:t>
      </w:r>
      <w:r>
        <w:rPr>
          <w:u w:val="single"/>
        </w:rPr>
        <w:t>分阶段验收。采购人需求部门发起成立跨部门联合验收小组，采用远程加现场方式进行验收。</w:t>
      </w:r>
    </w:p>
    <w:p>
      <w:pPr>
        <w:pStyle w:val="null3"/>
      </w:pPr>
      <w:r>
        <w:rPr/>
        <w:t>（4）验收程序</w:t>
      </w:r>
      <w:r>
        <w:rPr>
          <w:u w:val="single"/>
        </w:rPr>
        <w:t>验收小组按照合同要求对供应商提供的设备进行到货验收、初步验收、最终验收、服务验收。</w:t>
      </w:r>
    </w:p>
    <w:p>
      <w:pPr>
        <w:pStyle w:val="null3"/>
      </w:pPr>
      <w:r>
        <w:rPr/>
        <w:t>（5）验收内容</w:t>
      </w:r>
      <w:r>
        <w:rPr>
          <w:u w:val="single"/>
        </w:rPr>
        <w:t>采购需求条款的每一项技术要求和商务要求，以及供应商响应、承诺的相关内容，但不得超出采购合同约定。</w:t>
      </w:r>
    </w:p>
    <w:p>
      <w:pPr>
        <w:pStyle w:val="null3"/>
      </w:pPr>
      <w:r>
        <w:rPr/>
        <w:t>（6）验收标准</w:t>
      </w:r>
      <w:r>
        <w:rPr>
          <w:u w:val="single"/>
        </w:rPr>
        <w:t>供应商提供的产品及服务是否符合采购需求中对应的技术商务要求以及列入采购合同的供应商响应、承诺内容。</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rFonts w:ascii="黑体" w:hAnsi="黑体" w:cs="黑体" w:eastAsia="黑体"/>
          <w:sz w:val="32"/>
          <w:shd w:fill="FFFFFF" w:val="clear"/>
        </w:rPr>
        <w:t>附件：</w:t>
      </w:r>
      <w:r>
        <w:rPr>
          <w:rFonts w:ascii="黑体" w:hAnsi="黑体" w:cs="黑体" w:eastAsia="黑体"/>
          <w:sz w:val="32"/>
          <w:shd w:fill="FFFFFF" w:val="clear"/>
        </w:rPr>
        <w:t>验收单据</w:t>
      </w:r>
      <w:r>
        <w:rPr>
          <w:rFonts w:ascii="黑体" w:hAnsi="黑体" w:cs="黑体" w:eastAsia="黑体"/>
          <w:sz w:val="32"/>
          <w:shd w:fill="FFFFFF" w:val="clear"/>
        </w:rPr>
        <w:t>及配置明细清单（以采购人最终要求的格式为准）</w:t>
      </w:r>
    </w:p>
    <w:p>
      <w:pPr>
        <w:pStyle w:val="null3"/>
        <w:jc w:val="left"/>
      </w:pPr>
      <w:r>
        <w:rPr>
          <w:rFonts w:ascii="黑体" w:hAnsi="黑体" w:cs="黑体" w:eastAsia="黑体"/>
          <w:sz w:val="32"/>
          <w:color w:val="000000"/>
        </w:rPr>
        <w:t>1.</w:t>
      </w:r>
      <w:r>
        <w:rPr>
          <w:rFonts w:ascii="黑体" w:hAnsi="黑体" w:cs="黑体" w:eastAsia="黑体"/>
          <w:sz w:val="32"/>
          <w:color w:val="000000"/>
        </w:rPr>
        <w:t>验收</w:t>
      </w:r>
      <w:r>
        <w:rPr>
          <w:rFonts w:ascii="黑体" w:hAnsi="黑体" w:cs="黑体" w:eastAsia="黑体"/>
          <w:sz w:val="32"/>
          <w:color w:val="000000"/>
        </w:rPr>
        <w:t>清单</w:t>
      </w:r>
      <w:r>
        <w:rPr>
          <w:rFonts w:ascii="黑体" w:hAnsi="黑体" w:cs="黑体" w:eastAsia="黑体"/>
          <w:sz w:val="32"/>
          <w:color w:val="000000"/>
        </w:rPr>
        <w:t>模板</w:t>
      </w:r>
    </w:p>
    <w:p>
      <w:pPr>
        <w:pStyle w:val="null3"/>
        <w:jc w:val="center"/>
      </w:pPr>
      <w:r>
        <w:rPr>
          <w:rFonts w:ascii="仿宋_gb2312" w:hAnsi="仿宋_gb2312" w:cs="仿宋_gb2312" w:eastAsia="仿宋_gb2312"/>
          <w:sz w:val="32"/>
          <w:b/>
        </w:rPr>
        <w:t>验收</w:t>
      </w:r>
      <w:r>
        <w:rPr>
          <w:rFonts w:ascii="仿宋_gb2312" w:hAnsi="仿宋_gb2312" w:cs="仿宋_gb2312" w:eastAsia="仿宋_gb2312"/>
          <w:sz w:val="32"/>
          <w:b/>
        </w:rPr>
        <w:t>清单</w:t>
      </w:r>
    </w:p>
    <w:tbl>
      <w:tblPr>
        <w:tblW w:w="0" w:type="auto"/>
        <w:tblBorders>
          <w:top w:val="none" w:color="000000" w:sz="4"/>
          <w:left w:val="none" w:color="000000" w:sz="4"/>
          <w:bottom w:val="none" w:color="000000" w:sz="4"/>
          <w:right w:val="none" w:color="000000" w:sz="4"/>
          <w:insideH w:val="none"/>
          <w:insideV w:val="none"/>
        </w:tblBorders>
      </w:tblPr>
      <w:tblGrid>
        <w:gridCol w:w="4092"/>
        <w:gridCol w:w="6279"/>
      </w:tblGrid>
      <w:tr>
        <w:tc>
          <w:tcPr>
            <w:tcW w:type="dxa" w:w="4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采购</w:t>
            </w:r>
            <w:r>
              <w:rPr>
                <w:rFonts w:ascii="仿宋_gb2312" w:hAnsi="仿宋_gb2312" w:cs="仿宋_gb2312" w:eastAsia="仿宋_gb2312"/>
                <w:sz w:val="28"/>
              </w:rPr>
              <w:t>合同</w:t>
            </w:r>
            <w:r>
              <w:rPr>
                <w:rFonts w:ascii="仿宋_gb2312" w:hAnsi="仿宋_gb2312" w:cs="仿宋_gb2312" w:eastAsia="仿宋_gb2312"/>
                <w:sz w:val="28"/>
              </w:rPr>
              <w:t>基本信息</w:t>
            </w:r>
          </w:p>
        </w:tc>
        <w:tc>
          <w:tcPr>
            <w:tcW w:type="dxa" w:w="6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合同编号、合同名称</w:t>
            </w:r>
            <w:r>
              <w:rPr>
                <w:rFonts w:ascii="仿宋_gb2312" w:hAnsi="仿宋_gb2312" w:cs="仿宋_gb2312" w:eastAsia="仿宋_gb2312"/>
                <w:sz w:val="24"/>
              </w:rPr>
              <w:t>）</w:t>
            </w: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w:t>
            </w:r>
            <w:r>
              <w:rPr>
                <w:rFonts w:ascii="仿宋_gb2312" w:hAnsi="仿宋_gb2312" w:cs="仿宋_gb2312" w:eastAsia="仿宋_gb2312"/>
                <w:sz w:val="28"/>
              </w:rPr>
              <w:t>小组成员</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left"/>
      </w:pPr>
      <w:r>
        <w:rPr>
          <w:rFonts w:ascii="黑体" w:hAnsi="黑体" w:cs="黑体" w:eastAsia="黑体"/>
          <w:sz w:val="32"/>
        </w:rPr>
        <w:t>2.验收实施计划</w:t>
      </w:r>
      <w:r>
        <w:rPr>
          <w:rFonts w:ascii="黑体" w:hAnsi="黑体" w:cs="黑体" w:eastAsia="黑体"/>
          <w:sz w:val="32"/>
        </w:rPr>
        <w:t>模板</w:t>
      </w:r>
    </w:p>
    <w:p>
      <w:pPr>
        <w:pStyle w:val="null3"/>
        <w:jc w:val="center"/>
      </w:pPr>
      <w:r>
        <w:rPr>
          <w:rFonts w:ascii="仿宋_gb2312" w:hAnsi="仿宋_gb2312" w:cs="仿宋_gb2312" w:eastAsia="仿宋_gb2312"/>
          <w:sz w:val="32"/>
          <w:b/>
        </w:rPr>
        <w:t>验收实施计划</w:t>
      </w:r>
    </w:p>
    <w:p>
      <w:pPr>
        <w:pStyle w:val="null3"/>
        <w:jc w:val="both"/>
      </w:pPr>
      <w:r>
        <w:rPr>
          <w:rFonts w:ascii="仿宋_gb2312" w:hAnsi="仿宋_gb2312" w:cs="仿宋_gb2312" w:eastAsia="仿宋_gb2312"/>
          <w:sz w:val="24"/>
        </w:rPr>
        <w:t>【使用说明】根据《网联清算有限公司采购合同履约工作规范（试行）》第十六条</w:t>
      </w:r>
      <w:r>
        <w:rPr>
          <w:rFonts w:ascii="仿宋_gb2312" w:hAnsi="仿宋_gb2312" w:cs="仿宋_gb2312" w:eastAsia="仿宋_gb2312"/>
          <w:sz w:val="24"/>
        </w:rPr>
        <w:t>“......对于合同金额大于等于500万的采购项目，验收小组还应在每阶段验收前制定验收实施计划。”要求，此验收实施计划模版在合同签订阶段根据实际成交金额判断是否需要提供。</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在每次验收前均应根据履约验收方案及有关条款，制定验收实施计划。验收实施计划应列明：该次验收的阶段、时间、地点、方法、内容、标准、验收小组人员构成等。</w:t>
      </w:r>
    </w:p>
    <w:p>
      <w:pPr>
        <w:pStyle w:val="null3"/>
        <w:numPr>
          <w:ilvl w:val="0"/>
          <w:numId w:val="1"/>
        </w:numPr>
        <w:jc w:val="both"/>
      </w:pPr>
      <w:r>
        <w:rPr>
          <w:rFonts w:ascii="仿宋_gb2312" w:hAnsi="仿宋_gb2312" w:cs="仿宋_gb2312" w:eastAsia="仿宋_gb2312"/>
          <w:sz w:val="32"/>
          <w:color w:val="000000"/>
        </w:rPr>
        <w:t>采购合同信息</w:t>
      </w:r>
      <w:r>
        <w:rPr>
          <w:rFonts w:ascii="等线" w:hAnsi="等线" w:cs="等线" w:eastAsia="等线"/>
          <w:sz w:val="21"/>
          <w:u w:val="single"/>
        </w:rPr>
        <w:t xml:space="preserve">            </w:t>
      </w:r>
    </w:p>
    <w:p>
      <w:pPr>
        <w:pStyle w:val="null3"/>
        <w:ind w:firstLine="420"/>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合同名称、合同编号等内容。</w:t>
      </w:r>
    </w:p>
    <w:p>
      <w:pPr>
        <w:pStyle w:val="null3"/>
        <w:numPr>
          <w:ilvl w:val="0"/>
          <w:numId w:val="1"/>
        </w:numPr>
        <w:jc w:val="both"/>
      </w:pPr>
      <w:r>
        <w:rPr>
          <w:rFonts w:ascii="仿宋" w:hAnsi="仿宋" w:cs="仿宋" w:eastAsia="仿宋"/>
          <w:sz w:val="32"/>
          <w:color w:val="000000"/>
        </w:rPr>
        <w:t>验收阶段（期）</w:t>
      </w:r>
      <w:r>
        <w:rPr>
          <w:rFonts w:ascii="等线" w:hAnsi="等线" w:cs="等线" w:eastAsia="等线"/>
          <w:sz w:val="21"/>
          <w:u w:val="single"/>
        </w:rPr>
        <w:t xml:space="preserve">            </w:t>
      </w:r>
      <w:r>
        <w:rPr>
          <w:rFonts w:ascii="仿宋_gb2312" w:hAnsi="仿宋_gb2312" w:cs="仿宋_gb2312" w:eastAsia="仿宋_gb2312"/>
          <w:sz w:val="31"/>
          <w:color w:val="000000"/>
        </w:rPr>
        <w:t>，第</w:t>
      </w:r>
      <w:r>
        <w:rPr>
          <w:rFonts w:ascii="等线" w:hAnsi="等线" w:cs="等线" w:eastAsia="等线"/>
          <w:sz w:val="21"/>
          <w:u w:val="single"/>
        </w:rPr>
        <w:t xml:space="preserve">  </w:t>
      </w:r>
      <w:r>
        <w:rPr>
          <w:rFonts w:ascii="仿宋_gb2312" w:hAnsi="仿宋_gb2312" w:cs="仿宋_gb2312" w:eastAsia="仿宋_gb2312"/>
          <w:sz w:val="31"/>
          <w:color w:val="000000"/>
        </w:rPr>
        <w:t>次验收</w:t>
      </w:r>
      <w:r>
        <w:rPr>
          <w:rFonts w:ascii="仿宋_gb2312" w:hAnsi="仿宋_gb2312" w:cs="仿宋_gb2312" w:eastAsia="仿宋_gb2312"/>
          <w:sz w:val="31"/>
          <w:color w:val="000000"/>
        </w:rPr>
        <w:t>，</w:t>
      </w:r>
      <w:r>
        <w:rPr>
          <w:rFonts w:ascii="仿宋_gb2312" w:hAnsi="仿宋_gb2312" w:cs="仿宋_gb2312" w:eastAsia="仿宋_gb2312"/>
          <w:sz w:val="31"/>
          <w:color w:val="000000"/>
        </w:rPr>
        <w:t>本次验收对应付款金额</w:t>
      </w:r>
      <w:r>
        <w:rPr>
          <w:rFonts w:ascii="仿宋_gb2312" w:hAnsi="仿宋_gb2312" w:cs="仿宋_gb2312" w:eastAsia="仿宋_gb2312"/>
          <w:sz w:val="31"/>
          <w:color w:val="000000"/>
          <w:u w:val="single"/>
        </w:rPr>
        <w:t xml:space="preserve">       </w:t>
      </w:r>
      <w:r>
        <w:rPr>
          <w:rFonts w:ascii="仿宋_gb2312" w:hAnsi="仿宋_gb2312" w:cs="仿宋_gb2312" w:eastAsia="仿宋_gb2312"/>
          <w:sz w:val="31"/>
          <w:color w:val="000000"/>
          <w:u w:val="single"/>
        </w:rPr>
        <w:t>万元</w:t>
      </w:r>
      <w:r>
        <w:rPr>
          <w:rFonts w:ascii="仿宋_gb2312" w:hAnsi="仿宋_gb2312" w:cs="仿宋_gb2312" w:eastAsia="仿宋_gb2312"/>
          <w:sz w:val="31"/>
          <w:color w:val="000000"/>
        </w:rPr>
        <w:t>。</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即本次验收属于履约验收方案中哪一阶段（期），不得减少验收频次。以货物类分段验收方式为例，可以填交货验收</w:t>
      </w:r>
      <w:r>
        <w:rPr>
          <w:rFonts w:ascii="仿宋_gb2312" w:hAnsi="仿宋_gb2312" w:cs="仿宋_gb2312" w:eastAsia="仿宋_gb2312"/>
          <w:sz w:val="24"/>
        </w:rPr>
        <w:t>/初验/终验等。该阶段（期）第一次验收不合格的，如重新组织第二次验收，应另行出具验收实施计划。</w:t>
      </w:r>
    </w:p>
    <w:p>
      <w:pPr>
        <w:pStyle w:val="null3"/>
        <w:numPr>
          <w:ilvl w:val="0"/>
          <w:numId w:val="1"/>
        </w:numPr>
        <w:jc w:val="both"/>
      </w:pPr>
      <w:r>
        <w:rPr>
          <w:rFonts w:ascii="仿宋" w:hAnsi="仿宋" w:cs="仿宋" w:eastAsia="仿宋"/>
          <w:sz w:val="32"/>
          <w:color w:val="000000"/>
        </w:rPr>
        <w:t>验收时间</w:t>
      </w:r>
      <w:r>
        <w:rPr>
          <w:rFonts w:ascii="等线" w:hAnsi="等线" w:cs="等线" w:eastAsia="等线"/>
          <w:sz w:val="21"/>
          <w:u w:val="single"/>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在履约验收方案约定的验收时间段之内，填具体验收的时间点，即</w:t>
      </w:r>
      <w:r>
        <w:rPr>
          <w:rFonts w:ascii="仿宋_gb2312" w:hAnsi="仿宋_gb2312" w:cs="仿宋_gb2312" w:eastAsia="仿宋_gb2312"/>
          <w:sz w:val="24"/>
        </w:rPr>
        <w:t>XX年XX月XX日，不得超出履约验收方案放宽验收时间。</w:t>
      </w:r>
    </w:p>
    <w:p>
      <w:pPr>
        <w:pStyle w:val="null3"/>
        <w:numPr>
          <w:ilvl w:val="0"/>
          <w:numId w:val="1"/>
        </w:numPr>
        <w:jc w:val="both"/>
      </w:pPr>
      <w:r>
        <w:rPr>
          <w:rFonts w:ascii="仿宋" w:hAnsi="仿宋" w:cs="仿宋" w:eastAsia="仿宋"/>
          <w:sz w:val="32"/>
          <w:color w:val="000000"/>
        </w:rPr>
        <w:t>验收地点</w:t>
      </w:r>
      <w:r>
        <w:rPr>
          <w:rFonts w:ascii="等线" w:hAnsi="等线" w:cs="等线" w:eastAsia="等线"/>
          <w:sz w:val="21"/>
          <w:u w:val="single"/>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与履约验收方案约定的地点一致，可以进行细化。</w:t>
      </w:r>
    </w:p>
    <w:p>
      <w:pPr>
        <w:pStyle w:val="null3"/>
        <w:numPr>
          <w:ilvl w:val="0"/>
          <w:numId w:val="1"/>
        </w:numPr>
        <w:jc w:val="both"/>
      </w:pPr>
      <w:r>
        <w:rPr>
          <w:rFonts w:ascii="仿宋" w:hAnsi="仿宋" w:cs="仿宋" w:eastAsia="仿宋"/>
          <w:sz w:val="32"/>
          <w:color w:val="000000"/>
        </w:rPr>
        <w:t>验收方法</w:t>
      </w:r>
      <w:r>
        <w:rPr>
          <w:rFonts w:ascii="仿宋" w:hAnsi="仿宋" w:cs="仿宋" w:eastAsia="仿宋"/>
          <w:sz w:val="32"/>
          <w:color w:val="000000"/>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与履约验收方案约定的一致，可以进行细化。</w:t>
      </w:r>
    </w:p>
    <w:p>
      <w:pPr>
        <w:pStyle w:val="null3"/>
        <w:numPr>
          <w:ilvl w:val="0"/>
          <w:numId w:val="1"/>
        </w:numPr>
        <w:jc w:val="both"/>
      </w:pPr>
      <w:r>
        <w:rPr>
          <w:rFonts w:ascii="仿宋" w:hAnsi="仿宋" w:cs="仿宋" w:eastAsia="仿宋"/>
          <w:sz w:val="32"/>
          <w:color w:val="000000"/>
        </w:rPr>
        <w:t>验收内容</w:t>
      </w:r>
      <w:r>
        <w:rPr>
          <w:rFonts w:ascii="仿宋" w:hAnsi="仿宋" w:cs="仿宋" w:eastAsia="仿宋"/>
          <w:sz w:val="32"/>
          <w:color w:val="000000"/>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验收实施计划内容既包括采购文件中的技术需求，也包括供应商响应、承诺的相关内容，但不得超出采购合同约定。</w:t>
      </w:r>
    </w:p>
    <w:p>
      <w:pPr>
        <w:pStyle w:val="null3"/>
        <w:numPr>
          <w:ilvl w:val="0"/>
          <w:numId w:val="1"/>
        </w:numPr>
        <w:jc w:val="both"/>
      </w:pPr>
      <w:r>
        <w:rPr>
          <w:rFonts w:ascii="仿宋" w:hAnsi="仿宋" w:cs="仿宋" w:eastAsia="仿宋"/>
          <w:sz w:val="32"/>
          <w:color w:val="000000"/>
        </w:rPr>
        <w:t>验收标准</w:t>
      </w:r>
      <w:r>
        <w:rPr>
          <w:rFonts w:ascii="仿宋" w:hAnsi="仿宋" w:cs="仿宋" w:eastAsia="仿宋"/>
          <w:sz w:val="32"/>
          <w:color w:val="000000"/>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与履约验收方案约定的标准一致，可以进行细化。</w:t>
      </w:r>
    </w:p>
    <w:p>
      <w:pPr>
        <w:pStyle w:val="null3"/>
        <w:numPr>
          <w:ilvl w:val="0"/>
          <w:numId w:val="1"/>
        </w:numPr>
        <w:jc w:val="both"/>
      </w:pPr>
      <w:r>
        <w:rPr>
          <w:rFonts w:ascii="仿宋" w:hAnsi="仿宋" w:cs="仿宋" w:eastAsia="仿宋"/>
          <w:sz w:val="32"/>
          <w:color w:val="000000"/>
        </w:rPr>
        <w:t>验收小组成员</w:t>
      </w:r>
      <w:r>
        <w:rPr>
          <w:rFonts w:ascii="仿宋" w:hAnsi="仿宋" w:cs="仿宋" w:eastAsia="仿宋"/>
          <w:sz w:val="32"/>
          <w:color w:val="000000"/>
        </w:rPr>
        <w:t xml:space="preserve">              </w:t>
      </w:r>
    </w:p>
    <w:p>
      <w:pPr>
        <w:pStyle w:val="null3"/>
        <w:jc w:val="both"/>
      </w:pPr>
      <w:r>
        <w:rPr>
          <w:rFonts w:ascii="等线" w:hAnsi="等线" w:cs="等线" w:eastAsia="等线"/>
          <w:sz w:val="21"/>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验收小组成员由履约执行人员（部门）牵头组成，并明确主要负责人员。验收小组至少由</w:t>
      </w:r>
      <w:r>
        <w:rPr>
          <w:rFonts w:ascii="仿宋_gb2312" w:hAnsi="仿宋_gb2312" w:cs="仿宋_gb2312" w:eastAsia="仿宋_gb2312"/>
          <w:sz w:val="24"/>
        </w:rPr>
        <w:t>3人（含）以上单数人员组成，相关专业人员人数不得少于验收小组人员总数的三分之二。验收小组成员不得与供应商存在利害关系。</w:t>
      </w:r>
    </w:p>
    <w:p>
      <w:pPr>
        <w:pStyle w:val="null3"/>
        <w:jc w:val="both"/>
      </w:pPr>
      <w:r>
        <w:rPr/>
        <w:t xml:space="preserve"> </w:t>
      </w:r>
    </w:p>
    <w:p>
      <w:pPr>
        <w:pStyle w:val="null3"/>
        <w:jc w:val="left"/>
      </w:pPr>
      <w:r>
        <w:rPr>
          <w:rFonts w:ascii="黑体" w:hAnsi="黑体" w:cs="黑体" w:eastAsia="黑体"/>
          <w:sz w:val="32"/>
        </w:rPr>
        <w:t>3.</w:t>
      </w:r>
      <w:r>
        <w:rPr>
          <w:rFonts w:ascii="黑体" w:hAnsi="黑体" w:cs="黑体" w:eastAsia="黑体"/>
          <w:sz w:val="32"/>
        </w:rPr>
        <w:t>验收报告模板</w:t>
      </w:r>
    </w:p>
    <w:p>
      <w:pPr>
        <w:pStyle w:val="null3"/>
        <w:jc w:val="center"/>
      </w:pPr>
      <w:r>
        <w:rPr>
          <w:rFonts w:ascii="仿宋_gb2312" w:hAnsi="仿宋_gb2312" w:cs="仿宋_gb2312" w:eastAsia="仿宋_gb2312"/>
          <w:sz w:val="32"/>
          <w:b/>
        </w:rPr>
        <w:t>验收报告</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401"/>
        <w:gridCol w:w="7957"/>
      </w:tblGrid>
      <w:tr>
        <w:tc>
          <w:tcPr>
            <w:tcW w:type="dxa" w:w="2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7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（合同名称、合同编号等内容）</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验收小组成员</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本次验收对应付款金额</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240"/>
              <w:jc w:val="both"/>
            </w:pPr>
            <w:r>
              <w:rPr>
                <w:rFonts w:ascii="等线" w:hAnsi="等线" w:cs="等线" w:eastAsia="等线"/>
                <w:sz w:val="21"/>
                <w:u w:val="single"/>
              </w:rPr>
              <w:t xml:space="preserve">    </w:t>
            </w:r>
            <w:r>
              <w:rPr>
                <w:rFonts w:ascii="仿宋_gb2312" w:hAnsi="仿宋_gb2312" w:cs="仿宋_gb2312" w:eastAsia="仿宋_gb2312"/>
                <w:sz w:val="28"/>
              </w:rPr>
              <w:t>万</w:t>
            </w:r>
            <w:r>
              <w:rPr>
                <w:rFonts w:ascii="仿宋_gb2312" w:hAnsi="仿宋_gb2312" w:cs="仿宋_gb2312" w:eastAsia="仿宋_gb2312"/>
                <w:sz w:val="28"/>
              </w:rPr>
              <w:t>元</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验收结果</w:t>
            </w:r>
          </w:p>
        </w:tc>
        <w:tc>
          <w:tcPr>
            <w:tcW w:type="dxa" w:w="7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125"/>
              <w:jc w:val="both"/>
            </w:pPr>
            <w:r>
              <w:rPr>
                <w:rFonts w:ascii="仿宋_gb2312" w:hAnsi="仿宋_gb2312" w:cs="仿宋_gb2312" w:eastAsia="仿宋_gb2312"/>
                <w:sz w:val="28"/>
              </w:rPr>
              <w:t>合格</w:t>
            </w:r>
            <w:r>
              <w:rPr>
                <w:rFonts w:ascii="仿宋_gb2312" w:hAnsi="仿宋_gb2312" w:cs="仿宋_gb2312" w:eastAsia="仿宋_gb2312"/>
                <w:sz w:val="28"/>
              </w:rPr>
              <w:t>或</w:t>
            </w:r>
            <w:r>
              <w:rPr>
                <w:rFonts w:ascii="仿宋_gb2312" w:hAnsi="仿宋_gb2312" w:cs="仿宋_gb2312" w:eastAsia="仿宋_gb2312"/>
                <w:sz w:val="28"/>
              </w:rPr>
              <w:t>不合格</w:t>
            </w:r>
          </w:p>
          <w:p>
            <w:pPr>
              <w:pStyle w:val="null3"/>
              <w:jc w:val="center"/>
            </w:pPr>
            <w:r>
              <w:rPr>
                <w:rFonts w:ascii="仿宋_gb2312" w:hAnsi="仿宋_gb2312" w:cs="仿宋_gb2312" w:eastAsia="仿宋_gb2312"/>
                <w:sz w:val="28"/>
              </w:rPr>
              <w:t>验收小组成员签字：</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供应商</w:t>
            </w:r>
            <w:r>
              <w:rPr>
                <w:rFonts w:ascii="仿宋_gb2312" w:hAnsi="仿宋_gb2312" w:cs="仿宋_gb2312" w:eastAsia="仿宋_gb2312"/>
                <w:sz w:val="28"/>
              </w:rPr>
              <w:t>认定意见</w:t>
            </w:r>
          </w:p>
        </w:tc>
        <w:tc>
          <w:tcPr>
            <w:tcW w:type="dxa" w:w="7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认定意见：同意</w:t>
            </w:r>
            <w:r>
              <w:rPr>
                <w:rFonts w:ascii="仿宋_gb2312" w:hAnsi="仿宋_gb2312" w:cs="仿宋_gb2312" w:eastAsia="仿宋_gb2312"/>
                <w:sz w:val="28"/>
              </w:rPr>
              <w:t>或</w:t>
            </w:r>
            <w:r>
              <w:rPr>
                <w:rFonts w:ascii="仿宋_gb2312" w:hAnsi="仿宋_gb2312" w:cs="仿宋_gb2312" w:eastAsia="仿宋_gb2312"/>
                <w:sz w:val="28"/>
              </w:rPr>
              <w:t>不同意</w:t>
            </w:r>
          </w:p>
          <w:p>
            <w:pPr>
              <w:pStyle w:val="null3"/>
              <w:ind w:right="-105"/>
              <w:jc w:val="center"/>
            </w:pPr>
            <w:r>
              <w:rPr>
                <w:rFonts w:ascii="仿宋_gb2312" w:hAnsi="仿宋_gb2312" w:cs="仿宋_gb2312" w:eastAsia="仿宋_gb2312"/>
                <w:sz w:val="28"/>
              </w:rPr>
              <w:t>法定代表人或其授权代表签字或</w:t>
            </w:r>
            <w:r>
              <w:rPr>
                <w:rFonts w:ascii="仿宋_gb2312" w:hAnsi="仿宋_gb2312" w:cs="仿宋_gb2312" w:eastAsia="仿宋_gb2312"/>
                <w:sz w:val="28"/>
              </w:rPr>
              <w:t>加盖公章或验收专用章：</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无论验收结果是否合格，供应商均应</w:t>
            </w:r>
            <w:r>
              <w:rPr>
                <w:rFonts w:ascii="仿宋_gb2312" w:hAnsi="仿宋_gb2312" w:cs="仿宋_gb2312" w:eastAsia="仿宋_gb2312"/>
                <w:sz w:val="24"/>
              </w:rPr>
              <w:t>签字或盖章认定。供应商签字确认的，</w:t>
            </w:r>
            <w:r>
              <w:rPr>
                <w:rFonts w:ascii="仿宋_gb2312" w:hAnsi="仿宋_gb2312" w:cs="仿宋_gb2312" w:eastAsia="仿宋_gb2312"/>
                <w:sz w:val="24"/>
              </w:rPr>
              <w:t>应要求其提供法定代表人授权书并签字认定，授权书作为本报告附件留存。如供应商拒绝认定，则视为同意，并由验收小组备注说明。</w:t>
            </w:r>
            <w:r>
              <w:rPr>
                <w:rFonts w:ascii="仿宋_gb2312" w:hAnsi="仿宋_gb2312" w:cs="仿宋_gb2312" w:eastAsia="仿宋_gb2312"/>
                <w:sz w:val="24"/>
              </w:rPr>
              <w:t>）</w:t>
            </w:r>
          </w:p>
          <w:p>
            <w:pPr>
              <w:pStyle w:val="null3"/>
              <w:ind w:firstLine="420"/>
              <w:jc w:val="right"/>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jc w:val="left"/>
      </w:pPr>
      <w:r>
        <w:rPr/>
        <w:t xml:space="preserve"> </w:t>
      </w:r>
    </w:p>
    <w:p>
      <w:pPr>
        <w:pStyle w:val="null3"/>
        <w:jc w:val="left"/>
      </w:pPr>
      <w:r>
        <w:rPr>
          <w:rFonts w:ascii="黑体" w:hAnsi="黑体" w:cs="黑体" w:eastAsia="黑体"/>
          <w:sz w:val="32"/>
        </w:rPr>
        <w:t>4.</w:t>
      </w:r>
      <w:r>
        <w:rPr>
          <w:rFonts w:ascii="黑体" w:hAnsi="黑体" w:cs="黑体" w:eastAsia="黑体"/>
          <w:sz w:val="32"/>
        </w:rPr>
        <w:t>验收</w:t>
      </w:r>
      <w:r>
        <w:rPr>
          <w:rFonts w:ascii="黑体" w:hAnsi="黑体" w:cs="黑体" w:eastAsia="黑体"/>
          <w:sz w:val="32"/>
        </w:rPr>
        <w:t>结论</w:t>
      </w:r>
      <w:r>
        <w:rPr>
          <w:rFonts w:ascii="黑体" w:hAnsi="黑体" w:cs="黑体" w:eastAsia="黑体"/>
          <w:sz w:val="32"/>
        </w:rPr>
        <w:t>模板</w:t>
      </w:r>
    </w:p>
    <w:p>
      <w:pPr>
        <w:pStyle w:val="null3"/>
        <w:jc w:val="center"/>
      </w:pPr>
      <w:r>
        <w:rPr>
          <w:rFonts w:ascii="仿宋_gb2312" w:hAnsi="仿宋_gb2312" w:cs="仿宋_gb2312" w:eastAsia="仿宋_gb2312"/>
          <w:sz w:val="32"/>
          <w:b/>
        </w:rPr>
        <w:t>验收结论</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643"/>
        <w:gridCol w:w="7715"/>
      </w:tblGrid>
      <w:tr>
        <w:tc>
          <w:tcPr>
            <w:tcW w:type="dxa" w:w="2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7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w:t>
            </w:r>
            <w:r>
              <w:rPr>
                <w:rFonts w:ascii="仿宋_gb2312" w:hAnsi="仿宋_gb2312" w:cs="仿宋_gb2312" w:eastAsia="仿宋_gb2312"/>
                <w:sz w:val="24"/>
              </w:rPr>
              <w:t>合同名称、合同编号等内容</w:t>
            </w:r>
            <w:r>
              <w:rPr>
                <w:rFonts w:ascii="仿宋_gb2312" w:hAnsi="仿宋_gb2312" w:cs="仿宋_gb2312" w:eastAsia="仿宋_gb2312"/>
                <w:sz w:val="28"/>
              </w:rPr>
              <w:t>）</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验收报告信息</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履约执行</w:t>
            </w:r>
            <w:r>
              <w:rPr>
                <w:rFonts w:ascii="仿宋_gb2312" w:hAnsi="仿宋_gb2312" w:cs="仿宋_gb2312" w:eastAsia="仿宋_gb2312"/>
                <w:sz w:val="28"/>
              </w:rPr>
              <w:t>部门（人员）</w:t>
            </w:r>
            <w:r>
              <w:rPr>
                <w:rFonts w:ascii="仿宋_gb2312" w:hAnsi="仿宋_gb2312" w:cs="仿宋_gb2312" w:eastAsia="仿宋_gb2312"/>
                <w:sz w:val="28"/>
              </w:rPr>
              <w:t>认定意见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480"/>
              <w:jc w:val="left"/>
            </w:pPr>
            <w:r>
              <w:rPr>
                <w:rFonts w:ascii="仿宋_gb2312" w:hAnsi="仿宋_gb2312" w:cs="仿宋_gb2312" w:eastAsia="仿宋_gb2312"/>
                <w:sz w:val="28"/>
              </w:rPr>
              <w:t>验收结论：验收合格</w:t>
            </w:r>
            <w:r>
              <w:rPr>
                <w:rFonts w:ascii="仿宋_gb2312" w:hAnsi="仿宋_gb2312" w:cs="仿宋_gb2312" w:eastAsia="仿宋_gb2312"/>
                <w:sz w:val="28"/>
              </w:rPr>
              <w:t>或</w:t>
            </w:r>
            <w:r>
              <w:rPr>
                <w:rFonts w:ascii="仿宋_gb2312" w:hAnsi="仿宋_gb2312" w:cs="仿宋_gb2312" w:eastAsia="仿宋_gb2312"/>
                <w:sz w:val="28"/>
              </w:rPr>
              <w:t>验收不合格</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部门负责人签字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jc w:val="center"/>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履约监督</w:t>
            </w:r>
            <w:r>
              <w:rPr>
                <w:rFonts w:ascii="仿宋_gb2312" w:hAnsi="仿宋_gb2312" w:cs="仿宋_gb2312" w:eastAsia="仿宋_gb2312"/>
                <w:sz w:val="28"/>
              </w:rPr>
              <w:t>部门（人员）</w:t>
            </w:r>
            <w:r>
              <w:rPr>
                <w:rFonts w:ascii="仿宋_gb2312" w:hAnsi="仿宋_gb2312" w:cs="仿宋_gb2312" w:eastAsia="仿宋_gb2312"/>
                <w:sz w:val="28"/>
              </w:rPr>
              <w:t>复核意见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签字</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履约执行部门分管领导审批意见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1400"/>
              <w:jc w:val="both"/>
            </w:pPr>
            <w:r>
              <w:rPr>
                <w:rFonts w:ascii="等线" w:hAnsi="等线" w:cs="等线" w:eastAsia="等线"/>
                <w:sz w:val="21"/>
              </w:rPr>
              <w:t xml:space="preserve">                    </w:t>
            </w:r>
          </w:p>
          <w:p>
            <w:pPr>
              <w:pStyle w:val="null3"/>
              <w:ind w:firstLine="2800"/>
              <w:jc w:val="both"/>
            </w:pPr>
            <w:r>
              <w:rPr>
                <w:rFonts w:ascii="仿宋_gb2312" w:hAnsi="仿宋_gb2312" w:cs="仿宋_gb2312" w:eastAsia="仿宋_gb2312"/>
                <w:sz w:val="28"/>
              </w:rPr>
              <w:t>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总裁签批</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360"/>
              <w:jc w:val="both"/>
            </w:pPr>
            <w:r>
              <w:rPr>
                <w:rFonts w:ascii="仿宋_gb2312" w:hAnsi="仿宋_gb2312" w:cs="仿宋_gb2312" w:eastAsia="仿宋_gb2312"/>
                <w:sz w:val="24"/>
              </w:rPr>
              <w:t>（涉及单次支付金额超过</w:t>
            </w:r>
            <w:r>
              <w:rPr>
                <w:rFonts w:ascii="仿宋_gb2312" w:hAnsi="仿宋_gb2312" w:cs="仿宋_gb2312" w:eastAsia="仿宋_gb2312"/>
                <w:sz w:val="24"/>
              </w:rPr>
              <w:t>1,000万元的采购验收结论需公司总裁</w:t>
            </w:r>
          </w:p>
          <w:p>
            <w:pPr>
              <w:pStyle w:val="null3"/>
              <w:ind w:left="3360"/>
              <w:jc w:val="both"/>
            </w:pPr>
            <w:r>
              <w:rPr>
                <w:rFonts w:ascii="仿宋_gb2312" w:hAnsi="仿宋_gb2312" w:cs="仿宋_gb2312" w:eastAsia="仿宋_gb2312"/>
                <w:sz w:val="24"/>
              </w:rPr>
              <w:t>审批，如不涉及请删除此栏）</w:t>
            </w:r>
            <w:r>
              <w:rPr>
                <w:rFonts w:ascii="等线" w:hAnsi="等线" w:cs="等线" w:eastAsia="等线"/>
                <w:sz w:val="21"/>
              </w:rPr>
              <w:t xml:space="preserve">                    </w:t>
            </w:r>
          </w:p>
          <w:p>
            <w:pPr>
              <w:pStyle w:val="null3"/>
              <w:ind w:left="3360"/>
              <w:jc w:val="both"/>
            </w:pPr>
            <w:r>
              <w:rPr>
                <w:rFonts w:ascii="仿宋_gb2312" w:hAnsi="仿宋_gb2312" w:cs="仿宋_gb2312" w:eastAsia="仿宋_gb2312"/>
                <w:sz w:val="28"/>
              </w:rPr>
              <w:t>签字：</w:t>
            </w:r>
            <w:r>
              <w:rPr>
                <w:rFonts w:ascii="仿宋_gb2312" w:hAnsi="仿宋_gb2312" w:cs="仿宋_gb2312" w:eastAsia="仿宋_gb2312"/>
                <w:sz w:val="28"/>
              </w:rPr>
              <w:t xml:space="preserve">         </w:t>
            </w:r>
          </w:p>
          <w:p>
            <w:pPr>
              <w:pStyle w:val="null3"/>
              <w:ind w:left="3360"/>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bl>
    <w:p>
      <w:pPr>
        <w:pStyle w:val="null3"/>
        <w:jc w:val="left"/>
      </w:pPr>
      <w:r>
        <w:rPr/>
        <w:t xml:space="preserve"> </w:t>
      </w:r>
    </w:p>
    <w:p>
      <w:pPr>
        <w:pStyle w:val="null3"/>
        <w:numPr>
          <w:ilvl w:val="0"/>
          <w:numId w:val="1"/>
        </w:numPr>
        <w:jc w:val="left"/>
      </w:pPr>
      <w:r>
        <w:rPr>
          <w:rFonts w:ascii="黑体" w:hAnsi="黑体" w:cs="黑体" w:eastAsia="黑体"/>
          <w:sz w:val="32"/>
        </w:rPr>
        <w:t>设备配置明细清单</w:t>
      </w:r>
    </w:p>
    <w:p>
      <w:pPr>
        <w:pStyle w:val="null3"/>
        <w:jc w:val="center"/>
      </w:pPr>
      <w:r>
        <w:rPr>
          <w:rFonts w:ascii="宋体" w:hAnsi="宋体" w:cs="宋体" w:eastAsia="宋体"/>
          <w:sz w:val="28"/>
          <w:b/>
        </w:rPr>
        <w:t>配置明细清单</w:t>
      </w:r>
      <w:r>
        <w:rPr>
          <w:rFonts w:ascii="宋体" w:hAnsi="宋体" w:cs="宋体" w:eastAsia="宋体"/>
          <w:sz w:val="28"/>
          <w:b/>
        </w:rPr>
        <w:t>-</w:t>
      </w:r>
      <w:r>
        <w:rPr>
          <w:rFonts w:ascii="宋体" w:hAnsi="宋体" w:cs="宋体" w:eastAsia="宋体"/>
          <w:sz w:val="28"/>
          <w:b/>
        </w:rPr>
        <w:t>x</w:t>
      </w:r>
      <w:r>
        <w:rPr>
          <w:rFonts w:ascii="宋体" w:hAnsi="宋体" w:cs="宋体" w:eastAsia="宋体"/>
          <w:sz w:val="28"/>
          <w:b/>
        </w:rPr>
        <w:t>（</w:t>
      </w:r>
      <w:r>
        <w:rPr>
          <w:rFonts w:ascii="宋体" w:hAnsi="宋体" w:cs="宋体" w:eastAsia="宋体"/>
          <w:sz w:val="28"/>
          <w:b/>
        </w:rPr>
        <w:t>xx</w:t>
      </w:r>
      <w:r>
        <w:rPr>
          <w:rFonts w:ascii="宋体" w:hAnsi="宋体" w:cs="宋体" w:eastAsia="宋体"/>
          <w:sz w:val="28"/>
          <w:b/>
        </w:rPr>
        <w:t>型服务器）</w:t>
      </w:r>
    </w:p>
    <w:tbl>
      <w:tblPr>
        <w:tblW w:w="0" w:type="auto"/>
        <w:tblBorders>
          <w:top w:val="none" w:color="000000" w:sz="4"/>
          <w:left w:val="none" w:color="000000" w:sz="4"/>
          <w:bottom w:val="none" w:color="000000" w:sz="4"/>
          <w:right w:val="none" w:color="000000" w:sz="4"/>
          <w:insideH w:val="none"/>
          <w:insideV w:val="none"/>
        </w:tblBorders>
      </w:tblPr>
      <w:tblGrid>
        <w:gridCol w:w="381"/>
        <w:gridCol w:w="637"/>
        <w:gridCol w:w="492"/>
        <w:gridCol w:w="600"/>
        <w:gridCol w:w="792"/>
        <w:gridCol w:w="2273"/>
        <w:gridCol w:w="424"/>
        <w:gridCol w:w="617"/>
        <w:gridCol w:w="783"/>
        <w:gridCol w:w="610"/>
        <w:gridCol w:w="69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序号</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设备名称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分类</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构成组件</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细项产品号</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配置及性能描述（中文）</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数量</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列表价</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折扣后单价</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增值税</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税后小计</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c>
          <w:tcPr>
            <w:tcW w:type="dxa" w:w="6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xx</w:t>
            </w:r>
            <w:r>
              <w:rPr>
                <w:rFonts w:ascii="宋体" w:hAnsi="宋体" w:cs="宋体" w:eastAsia="宋体"/>
                <w:sz w:val="18"/>
                <w:color w:val="000000"/>
              </w:rPr>
              <w:t>服务器</w:t>
            </w:r>
          </w:p>
        </w:tc>
        <w:tc>
          <w:tcPr>
            <w:tcW w:type="dxa" w:w="49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机框</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2</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AI计算单元（GPU）</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3</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CPU</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4</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内存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5</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6</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7</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RAID</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8</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电源</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9</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千兆网卡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10</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万兆网卡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11</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合计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技术部分40.00分</w:t>
            </w:r>
          </w:p>
          <w:p>
            <w:pPr>
              <w:pStyle w:val="null3"/>
            </w:pPr>
            <w:r>
              <w:rPr/>
              <w:t>商务部分10.00分</w:t>
            </w:r>
          </w:p>
          <w:p>
            <w:pPr>
              <w:pStyle w:val="null3"/>
            </w:pPr>
            <w:r>
              <w:rPr/>
              <w:t>报价得分50.00分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总体技术方案1</w:t>
            </w:r>
          </w:p>
        </w:tc>
        <w:tc>
          <w:tcPr>
            <w:tcW w:type="dxa" w:w="2769"/>
          </w:tcPr>
          <w:p>
            <w:pPr>
              <w:pStyle w:val="null3"/>
            </w:pPr>
            <w:r>
              <w:rPr/>
              <w:t>投标人针对本项目提交工程实施、设备集成服务方案，内容应包括：实施准备及设备到货、设备上架安装、系统调试与配套网络设备的联合调试、相关线缆提供及综合布线、试运行技术支持内容。 方案要素（实施准备及设备到货、设备上架安装、系统调试与配套网络设备的联合调试、相关线缆提供及综合布线、试运行技术支持5部分）齐全无缺失得3分，缺失一项得1.5分，缺失两项及以上不得分。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总体技术方案1.1</w:t>
            </w:r>
          </w:p>
        </w:tc>
        <w:tc>
          <w:tcPr>
            <w:tcW w:type="dxa" w:w="2769"/>
          </w:tcPr>
          <w:p>
            <w:pPr>
              <w:pStyle w:val="null3"/>
            </w:pPr>
            <w:r>
              <w:rPr/>
              <w:t>投标人能提供具有可行性、高效的实施准备及设备到货方案得1分，否则不得分。</w:t>
            </w:r>
          </w:p>
        </w:tc>
        <w:tc>
          <w:tcPr>
            <w:tcW w:type="dxa" w:w="692"/>
          </w:tcPr>
          <w:p>
            <w:pPr>
              <w:pStyle w:val="null3"/>
              <w:jc w:val="right"/>
            </w:pPr>
            <w:r>
              <w:rPr/>
              <w:t>1.00</w:t>
            </w:r>
          </w:p>
        </w:tc>
        <w:tc>
          <w:tcPr>
            <w:tcW w:type="dxa" w:w="692"/>
          </w:tcPr>
          <w:p>
            <w:pPr>
              <w:pStyle w:val="null3"/>
            </w:pPr>
            <w:r>
              <w:rPr/>
              <w:t>主观</w:t>
            </w:r>
          </w:p>
        </w:tc>
      </w:tr>
      <w:tr>
        <w:tc>
          <w:tcPr>
            <w:tcW w:type="dxa" w:w="692"/>
            <w:vMerge/>
          </w:tcPr>
          <w:p/>
        </w:tc>
        <w:tc>
          <w:tcPr>
            <w:tcW w:type="dxa" w:w="2076"/>
          </w:tcPr>
          <w:p>
            <w:pPr>
              <w:pStyle w:val="null3"/>
            </w:pPr>
            <w:r>
              <w:rPr/>
              <w:t>总体技术方案1.2</w:t>
            </w:r>
          </w:p>
        </w:tc>
        <w:tc>
          <w:tcPr>
            <w:tcW w:type="dxa" w:w="2769"/>
          </w:tcPr>
          <w:p>
            <w:pPr>
              <w:pStyle w:val="null3"/>
            </w:pPr>
            <w:r>
              <w:rPr/>
              <w:t>投标人能提供具有可行性、高效的设备上架安装实施方案得2分，否则不得分。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总体技术方案1.3</w:t>
            </w:r>
          </w:p>
        </w:tc>
        <w:tc>
          <w:tcPr>
            <w:tcW w:type="dxa" w:w="2769"/>
          </w:tcPr>
          <w:p>
            <w:pPr>
              <w:pStyle w:val="null3"/>
            </w:pPr>
            <w:r>
              <w:rPr/>
              <w:t>投标人能提供具有可行性、高效的的系统调试及与配套网络设备的联合调试方案得2分，否则不得分。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总体技术方案1.4</w:t>
            </w:r>
          </w:p>
        </w:tc>
        <w:tc>
          <w:tcPr>
            <w:tcW w:type="dxa" w:w="2769"/>
          </w:tcPr>
          <w:p>
            <w:pPr>
              <w:pStyle w:val="null3"/>
            </w:pPr>
            <w:r>
              <w:rPr/>
              <w:t>投标人能提供具有可行性、高效的的综合布线实施方案得2分，否则不得分。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总体技术方案1.5</w:t>
            </w:r>
          </w:p>
        </w:tc>
        <w:tc>
          <w:tcPr>
            <w:tcW w:type="dxa" w:w="2769"/>
          </w:tcPr>
          <w:p>
            <w:pPr>
              <w:pStyle w:val="null3"/>
            </w:pPr>
            <w:r>
              <w:rPr/>
              <w:t>投标人能提供具有可行性、高效的试运行技术支持方案得2分，否则不得分。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w:t>
            </w:r>
          </w:p>
        </w:tc>
        <w:tc>
          <w:tcPr>
            <w:tcW w:type="dxa" w:w="2769"/>
          </w:tcPr>
          <w:p>
            <w:pPr>
              <w:pStyle w:val="null3"/>
            </w:pPr>
            <w:r>
              <w:rPr/>
              <w:t>投标人针对本项目提供售后服务方案，内容包括服务团队结构与数量、服务水平说明、服务级别、应急预案、技术支持力量、备品备件、响应时长及故障解决时长、保修期内服务计划、培训计划等内容。 方案要素（服务团队结构与数量、服务水平说明（含服务级别、技术支持力量）、应急预案（含备品备件、响应时长及故障解决时长）、保修期内服务计划及培训计划4部分）齐全无缺失得2分，缺失一项得1分，缺失两项及以上不得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总体技术方案2.1</w:t>
            </w:r>
          </w:p>
        </w:tc>
        <w:tc>
          <w:tcPr>
            <w:tcW w:type="dxa" w:w="2769"/>
          </w:tcPr>
          <w:p>
            <w:pPr>
              <w:pStyle w:val="null3"/>
            </w:pPr>
            <w:r>
              <w:rPr/>
              <w:t>投标人能提供可行的服务团队结构与数量的组成方案得2分，否则不得分。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总体技术方案2.2</w:t>
            </w:r>
          </w:p>
        </w:tc>
        <w:tc>
          <w:tcPr>
            <w:tcW w:type="dxa" w:w="2769"/>
          </w:tcPr>
          <w:p>
            <w:pPr>
              <w:pStyle w:val="null3"/>
            </w:pPr>
            <w:r>
              <w:rPr/>
              <w:t>投标人能提供可行的服务水平说明得2分，否则不得分。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总体技术方案2.3</w:t>
            </w:r>
          </w:p>
        </w:tc>
        <w:tc>
          <w:tcPr>
            <w:tcW w:type="dxa" w:w="2769"/>
          </w:tcPr>
          <w:p>
            <w:pPr>
              <w:pStyle w:val="null3"/>
            </w:pPr>
            <w:r>
              <w:rPr/>
              <w:t>投标人能提供可行的应急预案得3分，否则不得分。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总体技术方案2.4</w:t>
            </w:r>
          </w:p>
        </w:tc>
        <w:tc>
          <w:tcPr>
            <w:tcW w:type="dxa" w:w="2769"/>
          </w:tcPr>
          <w:p>
            <w:pPr>
              <w:pStyle w:val="null3"/>
            </w:pPr>
            <w:r>
              <w:rPr/>
              <w:t>投标人能提供可行的保修期内服务计划、培训计划方案得2分，否则不得分。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需求响应情况</w:t>
            </w:r>
          </w:p>
        </w:tc>
        <w:tc>
          <w:tcPr>
            <w:tcW w:type="dxa" w:w="2769"/>
          </w:tcPr>
          <w:p>
            <w:pPr>
              <w:pStyle w:val="null3"/>
            </w:pPr>
            <w:r>
              <w:rPr/>
              <w:t>根据投标人针对招标文件“采购需求”的应答情况进行评分，除★指标、采购需求技术要求中的序号157条、商务要求中的序号49条、序号50条的其余可作为评分因素的条款全部满足且无负偏离的，得15分，不满足的条款数在5项以下（含5项），其余项全部满足且无负偏离的，得7.5分，否则不得分；</w:t>
            </w:r>
          </w:p>
        </w:tc>
        <w:tc>
          <w:tcPr>
            <w:tcW w:type="dxa" w:w="692"/>
          </w:tcPr>
          <w:p>
            <w:pPr>
              <w:pStyle w:val="null3"/>
              <w:jc w:val="right"/>
            </w:pPr>
            <w:r>
              <w:rPr/>
              <w:t>15.00</w:t>
            </w:r>
          </w:p>
        </w:tc>
        <w:tc>
          <w:tcPr>
            <w:tcW w:type="dxa" w:w="692"/>
          </w:tcPr>
          <w:p>
            <w:pPr>
              <w:pStyle w:val="null3"/>
            </w:pPr>
            <w:r>
              <w:rPr/>
              <w:t>客观</w:t>
            </w:r>
          </w:p>
        </w:tc>
      </w:tr>
      <w:tr>
        <w:tc>
          <w:tcPr>
            <w:tcW w:type="dxa" w:w="692"/>
            <w:vMerge/>
          </w:tcPr>
          <w:p/>
        </w:tc>
        <w:tc>
          <w:tcPr>
            <w:tcW w:type="dxa" w:w="2076"/>
          </w:tcPr>
          <w:p>
            <w:pPr>
              <w:pStyle w:val="null3"/>
            </w:pPr>
            <w:r>
              <w:rPr/>
              <w:t>节能环保要求</w:t>
            </w:r>
          </w:p>
        </w:tc>
        <w:tc>
          <w:tcPr>
            <w:tcW w:type="dxa" w:w="2769"/>
          </w:tcPr>
          <w:p>
            <w:pPr>
              <w:pStyle w:val="null3"/>
            </w:pPr>
            <w:r>
              <w:rPr/>
              <w:t>获得相关环保认证，除政府强制采购的节能产品外： 环保产品:根据财库[2019]9号、18号文，国家市场监督管理总局公告16号文要求，服务器产品属于政府采购环境标志产品实施品目清单范围，投标人所投所有服务器产品应有指定认证机构出具的、有效的环境标志产品认证证书，得2分；否则0分。 投标人需提供认证证书复印件，否则不予承认。 关于节能产品、环境标志产品的相关规定请参见: 《财政部发展改革委生态环境部市场监管总局关于调整优化节能产品环境标志产品政府采购执行机制的通知》（财库〔2019〕9号） 《关于印发环境标志产品政府采购品目清单的通知》（财库〔2019〕18号） 《市场监管总局关于发布参与实施政府采购节能产品、环境标志产品认证机构名录的公告》（2019年第16号）</w:t>
            </w:r>
          </w:p>
        </w:tc>
        <w:tc>
          <w:tcPr>
            <w:tcW w:type="dxa" w:w="692"/>
          </w:tcPr>
          <w:p>
            <w:pPr>
              <w:pStyle w:val="null3"/>
              <w:jc w:val="right"/>
            </w:pPr>
            <w:r>
              <w:rPr/>
              <w:t>2.00</w:t>
            </w:r>
          </w:p>
        </w:tc>
        <w:tc>
          <w:tcPr>
            <w:tcW w:type="dxa" w:w="692"/>
          </w:tcPr>
          <w:p>
            <w:pPr>
              <w:pStyle w:val="null3"/>
            </w:pPr>
            <w:r>
              <w:rPr/>
              <w:t>客观</w:t>
            </w:r>
          </w:p>
        </w:tc>
      </w:tr>
      <w:tr>
        <w:tc>
          <w:tcPr>
            <w:tcW w:type="dxa" w:w="692"/>
          </w:tcPr>
          <w:p>
            <w:pPr>
              <w:pStyle w:val="null3"/>
            </w:pPr>
            <w:r>
              <w:rPr/>
              <w:t>商务评审</w:t>
            </w:r>
          </w:p>
        </w:tc>
        <w:tc>
          <w:tcPr>
            <w:tcW w:type="dxa" w:w="2076"/>
          </w:tcPr>
          <w:p>
            <w:pPr>
              <w:pStyle w:val="null3"/>
            </w:pPr>
            <w:r>
              <w:rPr/>
              <w:t>销售使用情况</w:t>
            </w:r>
          </w:p>
        </w:tc>
        <w:tc>
          <w:tcPr>
            <w:tcW w:type="dxa" w:w="2769"/>
          </w:tcPr>
          <w:p>
            <w:pPr>
              <w:pStyle w:val="null3"/>
            </w:pPr>
            <w:r>
              <w:rPr/>
              <w:t>供应商自2023年1月1日至递交投标文件截止日（以合同签订时间为准），每提供一个所投服务器产品或其同系列服务器产品（服务器品牌相同、CPU芯片品牌相同、AI计算单元品牌相同），在国内的同等规模（3台或以上）销售案例得2分，最高得10分。 案例要求： 1. 投标人需提供案例证明文件，至少包含合同名称页、采购内容和金额页/数量页（或提供可体现产品采购清单）、签字盖章页等合同主要页的复印件。证明材料不全无法确定为相关业绩的，不予认可。合同原件备查；仅提供案例列表的不得分； 2.使用同系列产品案例的须由投标人出具产品系列表，以证明业绩案例中的服务器产品与所投服务器产品为同系列产品，评审现场仅通过产品系列表确认业绩案例中的服务器产品与所投服务器产品为同系列产品，未提供产品系列表或产品系列表中无法证明为同系列产品的该同系列产品案例不得分； 3.所投产品或同系列产品销售案例合同乙方不限定必须为投标人； 4.针对同一采购人及其全资子公司、控股子公司、分公司的不同销售案例按一个案例计算，销售数量不累加计算；</w:t>
            </w:r>
          </w:p>
        </w:tc>
        <w:tc>
          <w:tcPr>
            <w:tcW w:type="dxa" w:w="692"/>
          </w:tcPr>
          <w:p>
            <w:pPr>
              <w:pStyle w:val="null3"/>
              <w:jc w:val="right"/>
            </w:pPr>
            <w:r>
              <w:rPr/>
              <w:t>10.00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 本项目中价格权值=50%</w:t>
            </w:r>
          </w:p>
        </w:tc>
        <w:tc>
          <w:tcPr>
            <w:tcW w:type="dxa" w:w="692"/>
          </w:tcPr>
          <w:p>
            <w:pPr>
              <w:pStyle w:val="null3"/>
              <w:jc w:val="right"/>
            </w:pPr>
            <w:r>
              <w:rPr/>
              <w:t>50.00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详见附件：技术条款第96条证明文件</w:t>
      </w:r>
    </w:p>
    <w:p>
      <w:pPr>
        <w:pStyle w:val="null3"/>
        <w:ind w:firstLine="960"/>
      </w:pPr>
      <w:r>
        <w:rPr/>
        <w:t>详见附件：技术条款第97条证明文件</w:t>
      </w:r>
    </w:p>
    <w:p>
      <w:pPr>
        <w:pStyle w:val="null3"/>
        <w:ind w:firstLine="960"/>
      </w:pPr>
      <w:r>
        <w:rPr/>
        <w:t>详见附件：技术条款第145条证明文件</w:t>
      </w:r>
    </w:p>
    <w:p>
      <w:pPr>
        <w:pStyle w:val="null3"/>
        <w:ind w:firstLine="960"/>
      </w:pPr>
      <w:r>
        <w:rPr/>
        <w:t>详见附件：技术条款第147条证明文件</w:t>
      </w:r>
    </w:p>
    <w:p>
      <w:pPr>
        <w:pStyle w:val="null3"/>
        <w:ind w:firstLine="960"/>
      </w:pPr>
      <w:r>
        <w:rPr/>
        <w:t>详见附件：技术条款第153条证明文件</w:t>
      </w:r>
    </w:p>
    <w:p>
      <w:pPr>
        <w:pStyle w:val="null3"/>
        <w:ind w:firstLine="960"/>
      </w:pPr>
      <w:r>
        <w:rPr/>
        <w:t>详见附件：技术条款第156条证明文件</w:t>
      </w:r>
    </w:p>
    <w:p>
      <w:pPr>
        <w:pStyle w:val="null3"/>
        <w:ind w:firstLine="960"/>
      </w:pPr>
      <w:r>
        <w:rPr/>
        <w:t>详见附件：技术条款第157条证明文件</w:t>
      </w:r>
    </w:p>
    <w:p>
      <w:pPr>
        <w:pStyle w:val="null3"/>
        <w:ind w:firstLine="960"/>
      </w:pPr>
      <w:r>
        <w:rPr/>
        <w:t>详见附件：商务条款第13条证明文件</w:t>
      </w:r>
    </w:p>
    <w:p>
      <w:pPr>
        <w:pStyle w:val="null3"/>
        <w:ind w:firstLine="960"/>
      </w:pPr>
      <w:r>
        <w:rPr/>
        <w:t>详见附件：商务条款第25条证明文件</w:t>
      </w:r>
    </w:p>
    <w:p>
      <w:pPr>
        <w:pStyle w:val="null3"/>
        <w:ind w:firstLine="960"/>
      </w:pPr>
      <w:r>
        <w:rPr/>
        <w:t>详见附件：商务条款第49条证明文件</w:t>
      </w:r>
    </w:p>
    <w:p>
      <w:pPr>
        <w:pStyle w:val="null3"/>
        <w:ind w:firstLine="960"/>
      </w:pPr>
      <w:r>
        <w:rPr/>
        <w:t>详见附件：商务条款第50条证明文件</w:t>
      </w:r>
    </w:p>
    <w:p>
      <w:pPr>
        <w:pStyle w:val="null3"/>
        <w:ind w:firstLine="960"/>
      </w:pPr>
      <w:r>
        <w:rPr/>
        <w:t>详见附件：商务条款第51条证明文件</w:t>
      </w:r>
    </w:p>
    <w:p>
      <w:pPr>
        <w:pStyle w:val="null3"/>
        <w:ind w:firstLine="960"/>
      </w:pPr>
      <w:r>
        <w:rPr/>
        <w:t>详见附件：商务条款第52条证明文件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宋体" w:hAnsi="宋体" w:cs="宋体" w:eastAsia="宋体"/>
          <w:sz w:val="52"/>
          <w:b/>
        </w:rPr>
        <w:t>【】</w:t>
      </w:r>
      <w:r>
        <w:rPr>
          <w:rFonts w:ascii="宋体" w:hAnsi="宋体" w:cs="宋体" w:eastAsia="宋体"/>
          <w:sz w:val="52"/>
          <w:b/>
        </w:rPr>
        <w:t>项目</w:t>
      </w:r>
    </w:p>
    <w:p>
      <w:pPr>
        <w:pStyle w:val="null3"/>
        <w:jc w:val="center"/>
      </w:pPr>
      <w:r>
        <w:rPr>
          <w:rFonts w:ascii="宋体" w:hAnsi="宋体" w:cs="宋体" w:eastAsia="宋体"/>
          <w:sz w:val="52"/>
          <w:b/>
        </w:rPr>
        <w:t>采购合同</w:t>
      </w:r>
    </w:p>
    <w:p>
      <w:pPr>
        <w:pStyle w:val="null3"/>
        <w:ind w:left="105" w:right="-15"/>
        <w:jc w:val="both"/>
      </w:pPr>
      <w:r>
        <w:rPr>
          <w:rFonts w:ascii="宋体" w:hAnsi="宋体" w:cs="宋体" w:eastAsia="宋体"/>
          <w:sz w:val="24"/>
        </w:rPr>
        <w:t>合同编号：</w:t>
      </w:r>
      <w:r>
        <w:rPr>
          <w:rFonts w:ascii="宋体" w:hAnsi="宋体" w:cs="宋体" w:eastAsia="宋体"/>
          <w:sz w:val="24"/>
          <w:b/>
        </w:rPr>
        <w:t>【】</w:t>
      </w:r>
    </w:p>
    <w:p>
      <w:pPr>
        <w:pStyle w:val="null3"/>
        <w:ind w:left="105" w:right="-15"/>
        <w:jc w:val="both"/>
      </w:pPr>
      <w:r>
        <w:rPr>
          <w:rFonts w:ascii="宋体" w:hAnsi="宋体" w:cs="宋体" w:eastAsia="宋体"/>
          <w:sz w:val="24"/>
          <w:b/>
        </w:rPr>
        <w:t>甲</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r>
        <w:rPr>
          <w:rFonts w:ascii="宋体" w:hAnsi="宋体" w:cs="宋体" w:eastAsia="宋体"/>
          <w:sz w:val="24"/>
          <w:b/>
        </w:rPr>
        <w:t>网联清算有限公司</w:t>
      </w:r>
    </w:p>
    <w:p>
      <w:pPr>
        <w:pStyle w:val="null3"/>
        <w:ind w:left="105" w:right="-15"/>
        <w:jc w:val="both"/>
      </w:pPr>
      <w:r>
        <w:rPr>
          <w:rFonts w:ascii="宋体" w:hAnsi="宋体" w:cs="宋体" w:eastAsia="宋体"/>
          <w:sz w:val="24"/>
        </w:rPr>
        <w:t>法定代表人：</w:t>
      </w:r>
      <w:r>
        <w:rPr>
          <w:rFonts w:ascii="宋体" w:hAnsi="宋体" w:cs="宋体" w:eastAsia="宋体"/>
          <w:sz w:val="24"/>
        </w:rPr>
        <w:t>罗延枫</w:t>
      </w:r>
    </w:p>
    <w:p>
      <w:pPr>
        <w:pStyle w:val="null3"/>
        <w:ind w:left="105" w:right="-15"/>
        <w:jc w:val="both"/>
      </w:pPr>
      <w:r>
        <w:rPr>
          <w:rFonts w:ascii="宋体" w:hAnsi="宋体" w:cs="宋体" w:eastAsia="宋体"/>
          <w:sz w:val="24"/>
        </w:rPr>
        <w:t>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left="105" w:right="-15"/>
        <w:jc w:val="both"/>
      </w:pPr>
      <w:r>
        <w:rPr>
          <w:rFonts w:ascii="宋体" w:hAnsi="宋体" w:cs="宋体" w:eastAsia="宋体"/>
          <w:sz w:val="24"/>
        </w:rPr>
        <w:t>邮政编码：</w:t>
      </w:r>
      <w:r>
        <w:rPr>
          <w:rFonts w:ascii="calibri" w:hAnsi="calibri" w:cs="calibri" w:eastAsia="calibri"/>
          <w:sz w:val="24"/>
        </w:rPr>
        <w:t>100088</w:t>
      </w:r>
    </w:p>
    <w:p>
      <w:pPr>
        <w:pStyle w:val="null3"/>
        <w:ind w:left="420"/>
        <w:jc w:val="left"/>
      </w:pPr>
      <w:r>
        <w:rPr>
          <w:rFonts w:ascii="宋体" w:hAnsi="宋体" w:cs="宋体" w:eastAsia="宋体"/>
          <w:sz w:val="24"/>
          <w:b/>
        </w:rPr>
        <w:t>乙</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p>
    <w:p>
      <w:pPr>
        <w:pStyle w:val="null3"/>
        <w:ind w:left="105" w:right="-15"/>
        <w:jc w:val="both"/>
      </w:pPr>
      <w:r>
        <w:rPr>
          <w:rFonts w:ascii="宋体" w:hAnsi="宋体" w:cs="宋体" w:eastAsia="宋体"/>
          <w:sz w:val="24"/>
        </w:rPr>
        <w:t>法定代表人：</w:t>
      </w:r>
      <w:r>
        <w:rPr>
          <w:rFonts w:ascii="宋体" w:hAnsi="宋体" w:cs="宋体" w:eastAsia="宋体"/>
          <w:sz w:val="24"/>
        </w:rPr>
        <w:t>【】</w:t>
      </w:r>
    </w:p>
    <w:p>
      <w:pPr>
        <w:pStyle w:val="null3"/>
        <w:ind w:left="105" w:right="-15"/>
        <w:jc w:val="both"/>
      </w:pPr>
      <w:r>
        <w:rPr>
          <w:rFonts w:ascii="宋体" w:hAnsi="宋体" w:cs="宋体" w:eastAsia="宋体"/>
          <w:sz w:val="24"/>
        </w:rPr>
        <w:t>地址：</w:t>
      </w:r>
      <w:r>
        <w:rPr>
          <w:rFonts w:ascii="宋体" w:hAnsi="宋体" w:cs="宋体" w:eastAsia="宋体"/>
          <w:sz w:val="24"/>
          <w:b/>
        </w:rPr>
        <w:t>【】</w:t>
      </w:r>
    </w:p>
    <w:p>
      <w:pPr>
        <w:pStyle w:val="null3"/>
        <w:ind w:left="105" w:right="-15"/>
        <w:jc w:val="both"/>
      </w:pPr>
      <w:r>
        <w:rPr>
          <w:rFonts w:ascii="宋体" w:hAnsi="宋体" w:cs="宋体" w:eastAsia="宋体"/>
          <w:sz w:val="24"/>
        </w:rPr>
        <w:t>邮政编码：</w:t>
      </w:r>
      <w:r>
        <w:rPr>
          <w:rFonts w:ascii="宋体" w:hAnsi="宋体" w:cs="宋体" w:eastAsia="宋体"/>
          <w:sz w:val="24"/>
          <w:b/>
        </w:rPr>
        <w:t>【】</w:t>
      </w:r>
    </w:p>
    <w:p>
      <w:pPr>
        <w:pStyle w:val="null3"/>
      </w:pPr>
      <w:r>
        <w:rPr>
          <w:rFonts w:ascii="宋体" w:hAnsi="宋体" w:cs="宋体" w:eastAsia="宋体"/>
          <w:sz w:val="24"/>
        </w:rPr>
        <w:t>根据</w:t>
      </w:r>
      <w:r>
        <w:rPr>
          <w:rFonts w:ascii="宋体" w:hAnsi="宋体" w:cs="宋体" w:eastAsia="宋体"/>
          <w:sz w:val="24"/>
        </w:rPr>
        <w:t>【</w:t>
      </w:r>
      <w:r>
        <w:rPr>
          <w:rFonts w:ascii="calibri" w:hAnsi="calibri" w:cs="calibri" w:eastAsia="calibri"/>
          <w:sz w:val="24"/>
        </w:rPr>
        <w:t>2025</w:t>
      </w:r>
      <w:r>
        <w:rPr>
          <w:rFonts w:ascii="宋体" w:hAnsi="宋体" w:cs="宋体" w:eastAsia="宋体"/>
          <w:sz w:val="24"/>
        </w:rPr>
        <w:t>年第二批服务器采购】</w:t>
      </w:r>
      <w:r>
        <w:rPr>
          <w:rFonts w:ascii="宋体" w:hAnsi="宋体" w:cs="宋体" w:eastAsia="宋体"/>
          <w:sz w:val="24"/>
        </w:rPr>
        <w:t>项目</w:t>
      </w:r>
      <w:r>
        <w:rPr>
          <w:rFonts w:ascii="宋体" w:hAnsi="宋体" w:cs="宋体" w:eastAsia="宋体"/>
          <w:sz w:val="24"/>
        </w:rPr>
        <w:t>的采购结果，</w:t>
      </w:r>
      <w:r>
        <w:rPr>
          <w:rFonts w:ascii="宋体" w:hAnsi="宋体" w:cs="宋体" w:eastAsia="宋体"/>
          <w:sz w:val="24"/>
        </w:rPr>
        <w:t>甲方与乙方经过充分协商，本着自愿、平等、互利、诚实信用的原则，签署</w:t>
      </w:r>
      <w:r>
        <w:rPr>
          <w:rFonts w:ascii="宋体" w:hAnsi="宋体" w:cs="宋体" w:eastAsia="宋体"/>
          <w:sz w:val="24"/>
        </w:rPr>
        <w:t>本采购合同</w:t>
      </w:r>
      <w:r>
        <w:rPr>
          <w:rFonts w:ascii="宋体" w:hAnsi="宋体" w:cs="宋体" w:eastAsia="宋体"/>
          <w:sz w:val="24"/>
        </w:rPr>
        <w:t>具体</w:t>
      </w:r>
      <w:r>
        <w:rPr>
          <w:rFonts w:ascii="宋体" w:hAnsi="宋体" w:cs="宋体" w:eastAsia="宋体"/>
          <w:sz w:val="24"/>
        </w:rPr>
        <w:t>如下</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合同的组成</w:t>
      </w:r>
    </w:p>
    <w:p>
      <w:pPr>
        <w:pStyle w:val="null3"/>
        <w:ind w:right="-15" w:firstLine="480"/>
        <w:jc w:val="both"/>
      </w:pPr>
      <w:r>
        <w:rPr>
          <w:rFonts w:ascii="calibri" w:hAnsi="calibri" w:cs="calibri" w:eastAsia="calibri"/>
          <w:sz w:val="24"/>
        </w:rPr>
        <w:t xml:space="preserve">1.1 </w:t>
      </w:r>
      <w:r>
        <w:rPr>
          <w:rFonts w:ascii="宋体" w:hAnsi="宋体" w:cs="宋体" w:eastAsia="宋体"/>
          <w:sz w:val="24"/>
        </w:rPr>
        <w:t>本合同包括合同正文、合同附件、双方与履行本合同相关的盖章函件（如有）、补充条款（如有）</w:t>
      </w:r>
      <w:r>
        <w:rPr>
          <w:rFonts w:ascii="宋体" w:hAnsi="宋体" w:cs="宋体" w:eastAsia="宋体"/>
          <w:sz w:val="24"/>
        </w:rPr>
        <w:t>等，</w:t>
      </w:r>
      <w:r>
        <w:rPr>
          <w:rFonts w:ascii="宋体" w:hAnsi="宋体" w:cs="宋体" w:eastAsia="宋体"/>
          <w:sz w:val="24"/>
        </w:rPr>
        <w:t>前述文件均</w:t>
      </w:r>
      <w:r>
        <w:rPr>
          <w:rFonts w:ascii="宋体" w:hAnsi="宋体" w:cs="宋体" w:eastAsia="宋体"/>
          <w:sz w:val="24"/>
        </w:rPr>
        <w:t>为本合同有效组成部分。</w:t>
      </w:r>
    </w:p>
    <w:p>
      <w:pPr>
        <w:pStyle w:val="null3"/>
        <w:ind w:right="-15" w:firstLine="480"/>
        <w:jc w:val="both"/>
      </w:pPr>
      <w:r>
        <w:rPr>
          <w:rFonts w:ascii="calibri" w:hAnsi="calibri" w:cs="calibri" w:eastAsia="calibri"/>
          <w:sz w:val="24"/>
        </w:rPr>
        <w:t xml:space="preserve">1.2 </w:t>
      </w:r>
      <w:r>
        <w:rPr>
          <w:rFonts w:ascii="宋体" w:hAnsi="宋体" w:cs="宋体" w:eastAsia="宋体"/>
          <w:sz w:val="24"/>
        </w:rPr>
        <w:t>若</w:t>
      </w:r>
      <w:r>
        <w:rPr>
          <w:rFonts w:ascii="宋体" w:hAnsi="宋体" w:cs="宋体" w:eastAsia="宋体"/>
          <w:sz w:val="24"/>
        </w:rPr>
        <w:t>合同</w:t>
      </w:r>
      <w:r>
        <w:rPr>
          <w:rFonts w:ascii="宋体" w:hAnsi="宋体" w:cs="宋体" w:eastAsia="宋体"/>
          <w:sz w:val="24"/>
        </w:rPr>
        <w:t>正文</w:t>
      </w:r>
      <w:r>
        <w:rPr>
          <w:rFonts w:ascii="宋体" w:hAnsi="宋体" w:cs="宋体" w:eastAsia="宋体"/>
          <w:sz w:val="24"/>
        </w:rPr>
        <w:t>、附件、</w:t>
      </w:r>
      <w:r>
        <w:rPr>
          <w:rFonts w:ascii="宋体" w:hAnsi="宋体" w:cs="宋体" w:eastAsia="宋体"/>
          <w:sz w:val="24"/>
        </w:rPr>
        <w:t>函件、补充条款</w:t>
      </w:r>
      <w:r>
        <w:rPr>
          <w:rFonts w:ascii="宋体" w:hAnsi="宋体" w:cs="宋体" w:eastAsia="宋体"/>
          <w:sz w:val="24"/>
        </w:rPr>
        <w:t>等</w:t>
      </w:r>
      <w:r>
        <w:rPr>
          <w:rFonts w:ascii="宋体" w:hAnsi="宋体" w:cs="宋体" w:eastAsia="宋体"/>
          <w:sz w:val="24"/>
        </w:rPr>
        <w:t>之间</w:t>
      </w:r>
      <w:r>
        <w:rPr>
          <w:rFonts w:ascii="宋体" w:hAnsi="宋体" w:cs="宋体" w:eastAsia="宋体"/>
          <w:sz w:val="24"/>
        </w:rPr>
        <w:t>有矛盾之处，</w:t>
      </w:r>
      <w:r>
        <w:rPr>
          <w:rFonts w:ascii="宋体" w:hAnsi="宋体" w:cs="宋体" w:eastAsia="宋体"/>
          <w:sz w:val="24"/>
        </w:rPr>
        <w:t>以有利于甲方的内容为准。</w:t>
      </w:r>
    </w:p>
    <w:p>
      <w:pPr>
        <w:pStyle w:val="null3"/>
        <w:ind w:right="-15" w:firstLine="480"/>
        <w:jc w:val="both"/>
      </w:pPr>
      <w:r>
        <w:rPr>
          <w:rFonts w:ascii="calibri" w:hAnsi="calibri" w:cs="calibri" w:eastAsia="calibri"/>
          <w:sz w:val="24"/>
        </w:rPr>
        <w:t xml:space="preserve">1.3 </w:t>
      </w:r>
      <w:r>
        <w:rPr>
          <w:rFonts w:ascii="宋体" w:hAnsi="宋体" w:cs="宋体" w:eastAsia="宋体"/>
          <w:sz w:val="24"/>
        </w:rPr>
        <w:t>双方一致同意：就同一事项，如果乙方提供的产品标准、技术标准、服务标准、服务水平等承诺内容与甲方要求的标准不一致的，乙方应以较高标准要求履行相应的义务。</w:t>
      </w:r>
    </w:p>
    <w:p>
      <w:pPr>
        <w:pStyle w:val="null3"/>
        <w:numPr>
          <w:ilvl w:val="0"/>
          <w:numId w:val="2"/>
        </w:numPr>
        <w:jc w:val="both"/>
      </w:pPr>
      <w:r>
        <w:rPr>
          <w:rFonts w:ascii="宋体" w:hAnsi="宋体" w:cs="宋体" w:eastAsia="宋体"/>
          <w:sz w:val="24"/>
          <w:b/>
        </w:rPr>
        <w:t>合同标的</w:t>
      </w:r>
    </w:p>
    <w:p>
      <w:pPr>
        <w:pStyle w:val="null3"/>
        <w:ind w:firstLine="480"/>
        <w:jc w:val="both"/>
      </w:pPr>
      <w:r>
        <w:rPr>
          <w:rFonts w:ascii="calibri" w:hAnsi="calibri" w:cs="calibri" w:eastAsia="calibri"/>
          <w:sz w:val="24"/>
        </w:rPr>
        <w:t xml:space="preserve">2.1 </w:t>
      </w:r>
      <w:r>
        <w:rPr>
          <w:rFonts w:ascii="宋体" w:hAnsi="宋体" w:cs="宋体" w:eastAsia="宋体"/>
          <w:sz w:val="24"/>
        </w:rPr>
        <w:t>本合同项下的价格标准详见</w:t>
      </w:r>
      <w:r>
        <w:rPr>
          <w:rFonts w:ascii="宋体" w:hAnsi="宋体" w:cs="宋体" w:eastAsia="宋体"/>
          <w:sz w:val="24"/>
        </w:rPr>
        <w:t>附件</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价格清单</w:t>
      </w:r>
      <w:r>
        <w:rPr>
          <w:rFonts w:ascii="宋体" w:hAnsi="宋体" w:cs="宋体" w:eastAsia="宋体"/>
          <w:sz w:val="24"/>
        </w:rPr>
        <w:t>》。</w:t>
      </w:r>
    </w:p>
    <w:p>
      <w:pPr>
        <w:pStyle w:val="null3"/>
        <w:ind w:firstLine="480"/>
        <w:jc w:val="both"/>
      </w:pPr>
      <w:r>
        <w:rPr>
          <w:rFonts w:ascii="calibri" w:hAnsi="calibri" w:cs="calibri" w:eastAsia="calibri"/>
          <w:sz w:val="24"/>
        </w:rPr>
        <w:t xml:space="preserve">2.2 </w:t>
      </w:r>
      <w:r>
        <w:rPr>
          <w:rFonts w:ascii="宋体" w:hAnsi="宋体" w:cs="宋体" w:eastAsia="宋体"/>
          <w:sz w:val="24"/>
        </w:rPr>
        <w:t>乙方保证设备配置完整、全新未曾使用且满足</w:t>
      </w:r>
      <w:r>
        <w:rPr>
          <w:rFonts w:ascii="宋体" w:hAnsi="宋体" w:cs="宋体" w:eastAsia="宋体"/>
          <w:sz w:val="24"/>
        </w:rPr>
        <w:t>本</w:t>
      </w:r>
      <w:r>
        <w:rPr>
          <w:rFonts w:ascii="宋体" w:hAnsi="宋体" w:cs="宋体" w:eastAsia="宋体"/>
          <w:sz w:val="24"/>
        </w:rPr>
        <w:t>合同约定，有关产品的详细情况</w:t>
      </w:r>
      <w:r>
        <w:rPr>
          <w:rFonts w:ascii="宋体" w:hAnsi="宋体" w:cs="宋体" w:eastAsia="宋体"/>
          <w:sz w:val="24"/>
        </w:rPr>
        <w:t>（如名称、配置、规格、型号、数量等）</w:t>
      </w:r>
      <w:r>
        <w:rPr>
          <w:rFonts w:ascii="宋体" w:hAnsi="宋体" w:cs="宋体" w:eastAsia="宋体"/>
          <w:sz w:val="24"/>
        </w:rPr>
        <w:t>见附件</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甲方采购需求书</w:t>
      </w:r>
      <w:r>
        <w:rPr>
          <w:rFonts w:ascii="宋体" w:hAnsi="宋体" w:cs="宋体" w:eastAsia="宋体"/>
          <w:sz w:val="24"/>
        </w:rPr>
        <w:t>》。</w:t>
      </w:r>
    </w:p>
    <w:p>
      <w:pPr>
        <w:pStyle w:val="null3"/>
        <w:ind w:firstLine="480"/>
        <w:jc w:val="both"/>
      </w:pPr>
      <w:r>
        <w:rPr>
          <w:rFonts w:ascii="calibri" w:hAnsi="calibri" w:cs="calibri" w:eastAsia="calibri"/>
          <w:sz w:val="24"/>
        </w:rPr>
        <w:t xml:space="preserve">2.3 </w:t>
      </w:r>
      <w:r>
        <w:rPr>
          <w:rFonts w:ascii="宋体" w:hAnsi="宋体" w:cs="宋体" w:eastAsia="宋体"/>
          <w:sz w:val="24"/>
        </w:rPr>
        <w:t>本合同项下乙方向甲方销售的产品</w:t>
      </w:r>
      <w:r>
        <w:rPr>
          <w:rFonts w:ascii="宋体" w:hAnsi="宋体" w:cs="宋体" w:eastAsia="宋体"/>
          <w:sz w:val="24"/>
        </w:rPr>
        <w:t>原产地：</w:t>
      </w:r>
      <w:r>
        <w:rPr>
          <w:rFonts w:ascii="宋体" w:hAnsi="宋体" w:cs="宋体" w:eastAsia="宋体"/>
          <w:sz w:val="24"/>
        </w:rPr>
        <w:t>【】，</w:t>
      </w:r>
      <w:r>
        <w:rPr>
          <w:rFonts w:ascii="宋体" w:hAnsi="宋体" w:cs="宋体" w:eastAsia="宋体"/>
          <w:sz w:val="24"/>
        </w:rPr>
        <w:t>产品制造商：</w:t>
      </w:r>
      <w:r>
        <w:rPr>
          <w:rFonts w:ascii="宋体" w:hAnsi="宋体" w:cs="宋体" w:eastAsia="宋体"/>
          <w:sz w:val="24"/>
        </w:rPr>
        <w:t>【】。</w:t>
      </w:r>
    </w:p>
    <w:p>
      <w:pPr>
        <w:pStyle w:val="null3"/>
        <w:numPr>
          <w:ilvl w:val="0"/>
          <w:numId w:val="2"/>
        </w:numPr>
        <w:ind w:firstLine="480"/>
        <w:jc w:val="both"/>
      </w:pPr>
      <w:r>
        <w:rPr>
          <w:rFonts w:ascii="宋体" w:hAnsi="宋体" w:cs="宋体" w:eastAsia="宋体"/>
          <w:sz w:val="24"/>
          <w:b/>
        </w:rPr>
        <w:t>交货</w:t>
      </w:r>
    </w:p>
    <w:p>
      <w:pPr>
        <w:pStyle w:val="null3"/>
        <w:ind w:firstLine="480"/>
        <w:jc w:val="both"/>
      </w:pPr>
      <w:r>
        <w:rPr>
          <w:rFonts w:ascii="calibri" w:hAnsi="calibri" w:cs="calibri" w:eastAsia="calibri"/>
          <w:sz w:val="24"/>
        </w:rPr>
        <w:t xml:space="preserve">3.1 </w:t>
      </w:r>
      <w:r>
        <w:rPr>
          <w:rFonts w:ascii="宋体" w:hAnsi="宋体" w:cs="宋体" w:eastAsia="宋体"/>
          <w:sz w:val="24"/>
        </w:rPr>
        <w:t>交货地点：</w:t>
      </w:r>
      <w:r>
        <w:rPr>
          <w:rFonts w:ascii="宋体" w:hAnsi="宋体" w:cs="宋体" w:eastAsia="宋体"/>
          <w:sz w:val="24"/>
        </w:rPr>
        <w:t>【</w:t>
      </w:r>
      <w:r>
        <w:rPr>
          <w:rFonts w:ascii="宋体" w:hAnsi="宋体" w:cs="宋体" w:eastAsia="宋体"/>
          <w:sz w:val="24"/>
        </w:rPr>
        <w:t>北京、上海、深圳，具体位置以</w:t>
      </w:r>
      <w:r>
        <w:rPr>
          <w:rFonts w:ascii="宋体" w:hAnsi="宋体" w:cs="宋体" w:eastAsia="宋体"/>
          <w:sz w:val="24"/>
        </w:rPr>
        <w:t>甲方</w:t>
      </w:r>
      <w:r>
        <w:rPr>
          <w:rFonts w:ascii="宋体" w:hAnsi="宋体" w:cs="宋体" w:eastAsia="宋体"/>
          <w:sz w:val="24"/>
        </w:rPr>
        <w:t>指定位置为准</w:t>
      </w:r>
      <w:r>
        <w:rPr>
          <w:rFonts w:ascii="宋体" w:hAnsi="宋体" w:cs="宋体" w:eastAsia="宋体"/>
          <w:sz w:val="24"/>
        </w:rPr>
        <w:t>】</w:t>
      </w:r>
      <w:r>
        <w:rPr>
          <w:rFonts w:ascii="宋体" w:hAnsi="宋体" w:cs="宋体" w:eastAsia="宋体"/>
          <w:sz w:val="24"/>
        </w:rPr>
        <w:t>。</w:t>
      </w:r>
      <w:r>
        <w:rPr>
          <w:rFonts w:ascii="宋体" w:hAnsi="宋体" w:cs="宋体" w:eastAsia="宋体"/>
          <w:sz w:val="24"/>
        </w:rPr>
        <w:t>如甲方变更交货地点，需按第十</w:t>
      </w:r>
      <w:r>
        <w:rPr>
          <w:rFonts w:ascii="宋体" w:hAnsi="宋体" w:cs="宋体" w:eastAsia="宋体"/>
          <w:sz w:val="24"/>
        </w:rPr>
        <w:t>五</w:t>
      </w:r>
      <w:r>
        <w:rPr>
          <w:rFonts w:ascii="宋体" w:hAnsi="宋体" w:cs="宋体" w:eastAsia="宋体"/>
          <w:sz w:val="24"/>
        </w:rPr>
        <w:t>条的约定通知乙方</w:t>
      </w:r>
      <w:r>
        <w:rPr>
          <w:rFonts w:ascii="宋体" w:hAnsi="宋体" w:cs="宋体" w:eastAsia="宋体"/>
          <w:sz w:val="24"/>
        </w:rPr>
        <w:t>。</w:t>
      </w:r>
    </w:p>
    <w:p>
      <w:pPr>
        <w:pStyle w:val="null3"/>
        <w:ind w:firstLine="480"/>
        <w:jc w:val="both"/>
      </w:pPr>
      <w:r>
        <w:rPr>
          <w:rFonts w:ascii="calibri" w:hAnsi="calibri" w:cs="calibri" w:eastAsia="calibri"/>
          <w:sz w:val="24"/>
        </w:rPr>
        <w:t xml:space="preserve">3.2 </w:t>
      </w:r>
      <w:r>
        <w:rPr>
          <w:rFonts w:ascii="宋体" w:hAnsi="宋体" w:cs="宋体" w:eastAsia="宋体"/>
          <w:sz w:val="24"/>
        </w:rPr>
        <w:t>交货期：【</w:t>
      </w:r>
      <w:r>
        <w:rPr>
          <w:rFonts w:ascii="宋体" w:hAnsi="宋体" w:cs="宋体" w:eastAsia="宋体"/>
          <w:sz w:val="24"/>
        </w:rPr>
        <w:t>乙方</w:t>
      </w:r>
      <w:r>
        <w:rPr>
          <w:rFonts w:ascii="宋体" w:hAnsi="宋体" w:cs="宋体" w:eastAsia="宋体"/>
          <w:sz w:val="24"/>
        </w:rPr>
        <w:t>应在合同签订并收到</w:t>
      </w:r>
      <w:r>
        <w:rPr>
          <w:rFonts w:ascii="宋体" w:hAnsi="宋体" w:cs="宋体" w:eastAsia="宋体"/>
          <w:sz w:val="24"/>
        </w:rPr>
        <w:t>甲方</w:t>
      </w:r>
      <w:r>
        <w:rPr>
          <w:rFonts w:ascii="宋体" w:hAnsi="宋体" w:cs="宋体" w:eastAsia="宋体"/>
          <w:sz w:val="24"/>
        </w:rPr>
        <w:t>供货通知后，</w:t>
      </w:r>
      <w:r>
        <w:rPr>
          <w:rFonts w:ascii="calibri" w:hAnsi="calibri" w:cs="calibri" w:eastAsia="calibri"/>
          <w:sz w:val="24"/>
        </w:rPr>
        <w:t>30</w:t>
      </w:r>
      <w:r>
        <w:rPr>
          <w:rFonts w:ascii="宋体" w:hAnsi="宋体" w:cs="宋体" w:eastAsia="宋体"/>
          <w:sz w:val="24"/>
        </w:rPr>
        <w:t>个日历日内将</w:t>
      </w:r>
      <w:r>
        <w:rPr>
          <w:rFonts w:ascii="宋体" w:hAnsi="宋体" w:cs="宋体" w:eastAsia="宋体"/>
          <w:sz w:val="24"/>
        </w:rPr>
        <w:t>供货通知内</w:t>
      </w:r>
      <w:r>
        <w:rPr>
          <w:rFonts w:ascii="宋体" w:hAnsi="宋体" w:cs="宋体" w:eastAsia="宋体"/>
          <w:sz w:val="24"/>
        </w:rPr>
        <w:t>所有货物送至</w:t>
      </w:r>
      <w:r>
        <w:rPr>
          <w:rFonts w:ascii="宋体" w:hAnsi="宋体" w:cs="宋体" w:eastAsia="宋体"/>
          <w:sz w:val="24"/>
        </w:rPr>
        <w:t>甲方</w:t>
      </w:r>
      <w:r>
        <w:rPr>
          <w:rFonts w:ascii="宋体" w:hAnsi="宋体" w:cs="宋体" w:eastAsia="宋体"/>
          <w:sz w:val="24"/>
        </w:rPr>
        <w:t>指定地点</w:t>
      </w:r>
      <w:r>
        <w:rPr>
          <w:rFonts w:ascii="宋体" w:hAnsi="宋体" w:cs="宋体" w:eastAsia="宋体"/>
          <w:sz w:val="24"/>
        </w:rPr>
        <w:t>】。</w:t>
      </w:r>
    </w:p>
    <w:p>
      <w:pPr>
        <w:pStyle w:val="null3"/>
        <w:ind w:firstLine="480"/>
        <w:jc w:val="both"/>
      </w:pPr>
      <w:r>
        <w:rPr>
          <w:rFonts w:ascii="calibri" w:hAnsi="calibri" w:cs="calibri" w:eastAsia="calibri"/>
          <w:sz w:val="24"/>
        </w:rPr>
        <w:t xml:space="preserve">3.3 </w:t>
      </w:r>
      <w:r>
        <w:rPr>
          <w:rFonts w:ascii="宋体" w:hAnsi="宋体" w:cs="宋体" w:eastAsia="宋体"/>
          <w:sz w:val="24"/>
        </w:rPr>
        <w:t>乙方在交货期内将产品运送至交货地点，并通知甲方接收。甲方接收产品并核实无误后出具【</w:t>
      </w:r>
      <w:r>
        <w:rPr>
          <w:rFonts w:ascii="宋体" w:hAnsi="宋体" w:cs="宋体" w:eastAsia="宋体"/>
          <w:sz w:val="24"/>
        </w:rPr>
        <w:t>验收报告</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之后，产品所有权转移至甲方，产品毁损</w:t>
      </w:r>
      <w:r>
        <w:rPr>
          <w:rFonts w:ascii="宋体" w:hAnsi="宋体" w:cs="宋体" w:eastAsia="宋体"/>
          <w:sz w:val="24"/>
        </w:rPr>
        <w:t>、</w:t>
      </w:r>
      <w:r>
        <w:rPr>
          <w:rFonts w:ascii="宋体" w:hAnsi="宋体" w:cs="宋体" w:eastAsia="宋体"/>
          <w:sz w:val="24"/>
        </w:rPr>
        <w:t>灭失的风险转移至甲方承担。</w:t>
      </w:r>
    </w:p>
    <w:p>
      <w:pPr>
        <w:pStyle w:val="null3"/>
        <w:ind w:firstLine="480"/>
        <w:jc w:val="both"/>
      </w:pPr>
      <w:r>
        <w:rPr>
          <w:rFonts w:ascii="calibri" w:hAnsi="calibri" w:cs="calibri" w:eastAsia="calibri"/>
          <w:sz w:val="24"/>
        </w:rPr>
        <w:t xml:space="preserve">3.4 </w:t>
      </w:r>
      <w:r>
        <w:rPr>
          <w:rFonts w:ascii="宋体" w:hAnsi="宋体" w:cs="宋体" w:eastAsia="宋体"/>
          <w:sz w:val="24"/>
        </w:rPr>
        <w:t>乙方应根据产品的属性，采用合理的包装及运输方式，因不当包装、运输问题等造成的损失由乙方承担。乙方将产品运输至交货地点的运费、</w:t>
      </w:r>
      <w:r>
        <w:rPr>
          <w:rFonts w:ascii="宋体" w:hAnsi="宋体" w:cs="宋体" w:eastAsia="宋体"/>
          <w:sz w:val="24"/>
        </w:rPr>
        <w:t>包装费、</w:t>
      </w:r>
      <w:r>
        <w:rPr>
          <w:rFonts w:ascii="宋体" w:hAnsi="宋体" w:cs="宋体" w:eastAsia="宋体"/>
          <w:sz w:val="24"/>
        </w:rPr>
        <w:t>保险、运输风险等由乙方承担。</w:t>
      </w:r>
    </w:p>
    <w:p>
      <w:pPr>
        <w:pStyle w:val="null3"/>
        <w:numPr>
          <w:ilvl w:val="0"/>
          <w:numId w:val="2"/>
        </w:numPr>
        <w:ind w:left="420"/>
        <w:jc w:val="left"/>
      </w:pPr>
      <w:r>
        <w:rPr>
          <w:rFonts w:ascii="宋体" w:hAnsi="宋体" w:cs="宋体" w:eastAsia="宋体"/>
          <w:sz w:val="24"/>
          <w:b/>
        </w:rPr>
        <w:t>验收</w:t>
      </w:r>
    </w:p>
    <w:p>
      <w:pPr>
        <w:pStyle w:val="null3"/>
        <w:ind w:firstLine="480"/>
        <w:jc w:val="both"/>
      </w:pPr>
      <w:r>
        <w:rPr>
          <w:rFonts w:ascii="calibri" w:hAnsi="calibri" w:cs="calibri" w:eastAsia="calibri"/>
          <w:sz w:val="24"/>
        </w:rPr>
        <w:t xml:space="preserve">4.1 </w:t>
      </w:r>
      <w:r>
        <w:rPr>
          <w:rFonts w:ascii="宋体" w:hAnsi="宋体" w:cs="宋体" w:eastAsia="宋体"/>
          <w:sz w:val="24"/>
        </w:rPr>
        <w:t>满足验收条件后，</w:t>
      </w:r>
      <w:r>
        <w:rPr>
          <w:rFonts w:ascii="宋体" w:hAnsi="宋体" w:cs="宋体" w:eastAsia="宋体"/>
          <w:sz w:val="24"/>
        </w:rPr>
        <w:t>甲方对产品进行验收</w:t>
      </w:r>
      <w:r>
        <w:rPr>
          <w:rFonts w:ascii="宋体" w:hAnsi="宋体" w:cs="宋体" w:eastAsia="宋体"/>
          <w:sz w:val="24"/>
        </w:rPr>
        <w:t>，</w:t>
      </w:r>
      <w:r>
        <w:rPr>
          <w:rFonts w:ascii="宋体" w:hAnsi="宋体" w:cs="宋体" w:eastAsia="宋体"/>
          <w:sz w:val="24"/>
        </w:rPr>
        <w:t>乙方配合验收。验收结果以甲方</w:t>
      </w:r>
      <w:r>
        <w:rPr>
          <w:rFonts w:ascii="宋体" w:hAnsi="宋体" w:cs="宋体" w:eastAsia="宋体"/>
          <w:sz w:val="24"/>
        </w:rPr>
        <w:t>意见</w:t>
      </w:r>
      <w:r>
        <w:rPr>
          <w:rFonts w:ascii="宋体" w:hAnsi="宋体" w:cs="宋体" w:eastAsia="宋体"/>
          <w:sz w:val="24"/>
        </w:rPr>
        <w:t>为准</w:t>
      </w:r>
      <w:r>
        <w:rPr>
          <w:rFonts w:ascii="宋体" w:hAnsi="宋体" w:cs="宋体" w:eastAsia="宋体"/>
          <w:sz w:val="24"/>
        </w:rPr>
        <w:t>。</w:t>
      </w:r>
      <w:r>
        <w:rPr>
          <w:rFonts w:ascii="宋体" w:hAnsi="宋体" w:cs="宋体" w:eastAsia="宋体"/>
          <w:sz w:val="24"/>
        </w:rPr>
        <w:t>甲方有权根据验收结果出具【验收报告】，乙方应在【</w:t>
      </w:r>
      <w:r>
        <w:rPr>
          <w:rFonts w:ascii="calibri" w:hAnsi="calibri" w:cs="calibri" w:eastAsia="calibri"/>
          <w:sz w:val="24"/>
        </w:rPr>
        <w:t>3</w:t>
      </w:r>
      <w:r>
        <w:rPr>
          <w:rFonts w:ascii="宋体" w:hAnsi="宋体" w:cs="宋体" w:eastAsia="宋体"/>
          <w:sz w:val="24"/>
        </w:rPr>
        <w:t>】个工作日内进行书面</w:t>
      </w:r>
      <w:r>
        <w:rPr>
          <w:rFonts w:ascii="宋体" w:hAnsi="宋体" w:cs="宋体" w:eastAsia="宋体"/>
          <w:sz w:val="24"/>
        </w:rPr>
        <w:t>认定</w:t>
      </w:r>
      <w:r>
        <w:rPr>
          <w:rFonts w:ascii="宋体" w:hAnsi="宋体" w:cs="宋体" w:eastAsia="宋体"/>
          <w:sz w:val="24"/>
        </w:rPr>
        <w:t>，乙方迟延或拒绝书面</w:t>
      </w:r>
      <w:r>
        <w:rPr>
          <w:rFonts w:ascii="宋体" w:hAnsi="宋体" w:cs="宋体" w:eastAsia="宋体"/>
          <w:sz w:val="24"/>
        </w:rPr>
        <w:t>认定</w:t>
      </w:r>
      <w:r>
        <w:rPr>
          <w:rFonts w:ascii="宋体" w:hAnsi="宋体" w:cs="宋体" w:eastAsia="宋体"/>
          <w:sz w:val="24"/>
        </w:rPr>
        <w:t>的，视为同意</w:t>
      </w:r>
      <w:r>
        <w:rPr>
          <w:rFonts w:ascii="宋体" w:hAnsi="宋体" w:cs="宋体" w:eastAsia="宋体"/>
          <w:sz w:val="24"/>
        </w:rPr>
        <w:t>。</w:t>
      </w:r>
    </w:p>
    <w:p>
      <w:pPr>
        <w:pStyle w:val="null3"/>
        <w:ind w:firstLine="480"/>
        <w:jc w:val="both"/>
      </w:pPr>
      <w:r>
        <w:rPr>
          <w:rFonts w:ascii="calibri" w:hAnsi="calibri" w:cs="calibri" w:eastAsia="calibri"/>
          <w:sz w:val="24"/>
        </w:rPr>
        <w:t xml:space="preserve">4.2 </w:t>
      </w:r>
      <w:r>
        <w:rPr>
          <w:rFonts w:ascii="宋体" w:hAnsi="宋体" w:cs="宋体" w:eastAsia="宋体"/>
          <w:sz w:val="24"/>
        </w:rPr>
        <w:t>本合同项下的验收包括：</w:t>
      </w:r>
    </w:p>
    <w:p>
      <w:pPr>
        <w:pStyle w:val="null3"/>
        <w:numPr>
          <w:ilvl w:val="0"/>
          <w:numId w:val="1"/>
        </w:numPr>
        <w:jc w:val="both"/>
      </w:pPr>
      <w:r>
        <w:rPr>
          <w:rFonts w:ascii="宋体" w:hAnsi="宋体" w:cs="宋体" w:eastAsia="宋体"/>
          <w:sz w:val="24"/>
        </w:rPr>
        <w:t>【</w:t>
      </w:r>
      <w:r>
        <w:rPr>
          <w:rFonts w:ascii="宋体" w:hAnsi="宋体" w:cs="宋体" w:eastAsia="宋体"/>
          <w:sz w:val="24"/>
        </w:rPr>
        <w:t>到货</w:t>
      </w:r>
      <w:r>
        <w:rPr>
          <w:rFonts w:ascii="宋体" w:hAnsi="宋体" w:cs="宋体" w:eastAsia="宋体"/>
          <w:sz w:val="24"/>
        </w:rPr>
        <w:t>】验收：【</w:t>
      </w:r>
      <w:r>
        <w:rPr>
          <w:rFonts w:ascii="宋体" w:hAnsi="宋体" w:cs="宋体" w:eastAsia="宋体"/>
          <w:sz w:val="24"/>
        </w:rPr>
        <w:t>设备到货且收到乙方纸质或邮件的验收申请后</w:t>
      </w:r>
      <w:r>
        <w:rPr>
          <w:rFonts w:ascii="calibri" w:hAnsi="calibri" w:cs="calibri" w:eastAsia="calibri"/>
          <w:sz w:val="24"/>
        </w:rPr>
        <w:t>20</w:t>
      </w:r>
      <w:r>
        <w:rPr>
          <w:rFonts w:ascii="宋体" w:hAnsi="宋体" w:cs="宋体" w:eastAsia="宋体"/>
          <w:sz w:val="24"/>
        </w:rPr>
        <w:t>个工作日内双方完成到货验收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乙方应提供如下验收证明材料：【《安装部署实施方案》、《应急处理方案》</w:t>
      </w:r>
      <w:r>
        <w:rPr>
          <w:rFonts w:ascii="宋体" w:hAnsi="宋体" w:cs="宋体" w:eastAsia="宋体"/>
          <w:sz w:val="24"/>
        </w:rPr>
        <w:t>】</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初验</w:t>
      </w:r>
      <w:r>
        <w:rPr>
          <w:rFonts w:ascii="宋体" w:hAnsi="宋体" w:cs="宋体" w:eastAsia="宋体"/>
          <w:sz w:val="24"/>
        </w:rPr>
        <w:t>】验收：【</w:t>
      </w:r>
      <w:r>
        <w:rPr>
          <w:rFonts w:ascii="宋体" w:hAnsi="宋体" w:cs="宋体" w:eastAsia="宋体"/>
          <w:sz w:val="24"/>
        </w:rPr>
        <w:t>产品完成安装调试且收到乙方纸质或邮件的验收申请后</w:t>
      </w:r>
      <w:r>
        <w:rPr>
          <w:rFonts w:ascii="calibri" w:hAnsi="calibri" w:cs="calibri" w:eastAsia="calibri"/>
          <w:sz w:val="24"/>
        </w:rPr>
        <w:t>20</w:t>
      </w:r>
      <w:r>
        <w:rPr>
          <w:rFonts w:ascii="宋体" w:hAnsi="宋体" w:cs="宋体" w:eastAsia="宋体"/>
          <w:sz w:val="24"/>
        </w:rPr>
        <w:t>个工作日内双方完成初步验收，其中无需安装设备在经过加电测试验证设备正常后，视为初步验收通过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终验</w:t>
      </w:r>
      <w:r>
        <w:rPr>
          <w:rFonts w:ascii="宋体" w:hAnsi="宋体" w:cs="宋体" w:eastAsia="宋体"/>
          <w:sz w:val="24"/>
        </w:rPr>
        <w:t>】验</w:t>
      </w:r>
      <w:r>
        <w:rPr>
          <w:rFonts w:ascii="宋体" w:hAnsi="宋体" w:cs="宋体" w:eastAsia="宋体"/>
          <w:sz w:val="24"/>
        </w:rPr>
        <w:t>收：【产品试运行期三个月后（自初步验收完成次日起计算），且收到乙方纸质或邮件的验收申请后</w:t>
      </w:r>
      <w:r>
        <w:rPr>
          <w:rFonts w:ascii="calibri" w:hAnsi="calibri" w:cs="calibri" w:eastAsia="calibri"/>
          <w:sz w:val="24"/>
        </w:rPr>
        <w:t>20</w:t>
      </w:r>
      <w:r>
        <w:rPr>
          <w:rFonts w:ascii="宋体" w:hAnsi="宋体" w:cs="宋体" w:eastAsia="宋体"/>
          <w:sz w:val="24"/>
        </w:rPr>
        <w:t>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乙方应提供如下验收证明材料：【《终验服务总结报告》】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维保</w:t>
      </w:r>
      <w:r>
        <w:rPr>
          <w:rFonts w:ascii="宋体" w:hAnsi="宋体" w:cs="宋体" w:eastAsia="宋体"/>
          <w:sz w:val="24"/>
        </w:rPr>
        <w:t>】验</w:t>
      </w:r>
      <w:r>
        <w:rPr>
          <w:rFonts w:ascii="宋体" w:hAnsi="宋体" w:cs="宋体" w:eastAsia="宋体"/>
          <w:sz w:val="24"/>
        </w:rPr>
        <w:t>收：【在维保服务期结束后，且收到乙方纸质或邮件的验收申请后</w:t>
      </w:r>
      <w:r>
        <w:rPr>
          <w:rFonts w:ascii="calibri" w:hAnsi="calibri" w:cs="calibri" w:eastAsia="calibri"/>
          <w:sz w:val="24"/>
        </w:rPr>
        <w:t>20</w:t>
      </w:r>
      <w:r>
        <w:rPr>
          <w:rFonts w:ascii="宋体" w:hAnsi="宋体" w:cs="宋体" w:eastAsia="宋体"/>
          <w:sz w:val="24"/>
        </w:rPr>
        <w:t>个工作日内采购人对当期的服务质量完成验收】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乙方应提供如下验收证明材料：【《维保启动函》、《维保实施方案》、《服务总结报告》、《微码</w:t>
      </w:r>
      <w:r>
        <w:rPr>
          <w:rFonts w:ascii="calibri" w:hAnsi="calibri" w:cs="calibri" w:eastAsia="calibri"/>
          <w:sz w:val="24"/>
        </w:rPr>
        <w:t>/</w:t>
      </w:r>
      <w:r>
        <w:rPr>
          <w:rFonts w:ascii="宋体" w:hAnsi="宋体" w:cs="宋体" w:eastAsia="宋体"/>
          <w:sz w:val="24"/>
        </w:rPr>
        <w:t>固件审计评估报告》】</w:t>
      </w:r>
      <w:r>
        <w:rPr>
          <w:rFonts w:ascii="宋体" w:hAnsi="宋体" w:cs="宋体" w:eastAsia="宋体"/>
          <w:sz w:val="24"/>
        </w:rPr>
        <w:t>。</w:t>
      </w:r>
    </w:p>
    <w:p>
      <w:pPr>
        <w:pStyle w:val="null3"/>
        <w:ind w:right="-15" w:firstLine="420"/>
        <w:jc w:val="both"/>
      </w:pPr>
      <w:r>
        <w:rPr>
          <w:rFonts w:ascii="calibri" w:hAnsi="calibri" w:cs="calibri" w:eastAsia="calibri"/>
          <w:sz w:val="24"/>
        </w:rPr>
        <w:t xml:space="preserve">4.3 </w:t>
      </w:r>
      <w:r>
        <w:rPr>
          <w:rFonts w:ascii="宋体" w:hAnsi="宋体" w:cs="宋体" w:eastAsia="宋体"/>
          <w:sz w:val="24"/>
        </w:rPr>
        <w:t>如果产品中的任何部分不能满足本合同约定而不能通过</w:t>
      </w:r>
      <w:r>
        <w:rPr>
          <w:rFonts w:ascii="宋体" w:hAnsi="宋体" w:cs="宋体" w:eastAsia="宋体"/>
          <w:sz w:val="24"/>
        </w:rPr>
        <w:t>相应的验收</w:t>
      </w:r>
      <w:r>
        <w:rPr>
          <w:rFonts w:ascii="宋体" w:hAnsi="宋体" w:cs="宋体" w:eastAsia="宋体"/>
          <w:sz w:val="24"/>
        </w:rPr>
        <w:t>，乙方将采取一切补救措施以使验收能够在甲方</w:t>
      </w:r>
      <w:r>
        <w:rPr>
          <w:rFonts w:ascii="宋体" w:hAnsi="宋体" w:cs="宋体" w:eastAsia="宋体"/>
          <w:sz w:val="24"/>
        </w:rPr>
        <w:t>指定</w:t>
      </w:r>
      <w:r>
        <w:rPr>
          <w:rFonts w:ascii="宋体" w:hAnsi="宋体" w:cs="宋体" w:eastAsia="宋体"/>
          <w:sz w:val="24"/>
        </w:rPr>
        <w:t>的期限内</w:t>
      </w:r>
      <w:r>
        <w:rPr>
          <w:rFonts w:ascii="宋体" w:hAnsi="宋体" w:cs="宋体" w:eastAsia="宋体"/>
          <w:sz w:val="24"/>
        </w:rPr>
        <w:t>完成</w:t>
      </w:r>
      <w:r>
        <w:rPr>
          <w:rFonts w:ascii="宋体" w:hAnsi="宋体" w:cs="宋体" w:eastAsia="宋体"/>
          <w:sz w:val="24"/>
        </w:rPr>
        <w:t>，</w:t>
      </w:r>
      <w:r>
        <w:rPr>
          <w:rFonts w:ascii="宋体" w:hAnsi="宋体" w:cs="宋体" w:eastAsia="宋体"/>
          <w:sz w:val="24"/>
        </w:rPr>
        <w:t>因此而产生的费用（如产品的更换、运输、</w:t>
      </w:r>
      <w:r>
        <w:rPr>
          <w:rFonts w:ascii="宋体" w:hAnsi="宋体" w:cs="宋体" w:eastAsia="宋体"/>
          <w:sz w:val="24"/>
        </w:rPr>
        <w:t>再次验收</w:t>
      </w:r>
      <w:r>
        <w:rPr>
          <w:rFonts w:ascii="宋体" w:hAnsi="宋体" w:cs="宋体" w:eastAsia="宋体"/>
          <w:sz w:val="24"/>
        </w:rPr>
        <w:t>费用等）</w:t>
      </w:r>
      <w:r>
        <w:rPr>
          <w:rFonts w:ascii="宋体" w:hAnsi="宋体" w:cs="宋体" w:eastAsia="宋体"/>
          <w:sz w:val="24"/>
        </w:rPr>
        <w:t>由乙方</w:t>
      </w:r>
      <w:r>
        <w:rPr>
          <w:rFonts w:ascii="宋体" w:hAnsi="宋体" w:cs="宋体" w:eastAsia="宋体"/>
          <w:sz w:val="24"/>
        </w:rPr>
        <w:t>承担</w:t>
      </w:r>
      <w:r>
        <w:rPr>
          <w:rFonts w:ascii="宋体" w:hAnsi="宋体" w:cs="宋体" w:eastAsia="宋体"/>
          <w:sz w:val="24"/>
        </w:rPr>
        <w:t>。</w:t>
      </w:r>
    </w:p>
    <w:p>
      <w:pPr>
        <w:pStyle w:val="null3"/>
        <w:ind w:firstLine="480"/>
        <w:jc w:val="both"/>
      </w:pPr>
      <w:r>
        <w:rPr>
          <w:rFonts w:ascii="calibri" w:hAnsi="calibri" w:cs="calibri" w:eastAsia="calibri"/>
          <w:sz w:val="24"/>
        </w:rPr>
        <w:t xml:space="preserve">4.4 </w:t>
      </w:r>
      <w:r>
        <w:rPr>
          <w:rFonts w:ascii="宋体" w:hAnsi="宋体" w:cs="宋体" w:eastAsia="宋体"/>
          <w:sz w:val="24"/>
        </w:rPr>
        <w:t>验收合格并不免除乙方的责任，即</w:t>
      </w:r>
      <w:r>
        <w:rPr>
          <w:rFonts w:ascii="宋体" w:hAnsi="宋体" w:cs="宋体" w:eastAsia="宋体"/>
          <w:sz w:val="24"/>
        </w:rPr>
        <w:t>若乙方提供的产品或服务不符合合同约定</w:t>
      </w:r>
      <w:r>
        <w:rPr>
          <w:rFonts w:ascii="宋体" w:hAnsi="宋体" w:cs="宋体" w:eastAsia="宋体"/>
          <w:sz w:val="24"/>
        </w:rPr>
        <w:t>，甲方仍可以根据合同</w:t>
      </w:r>
      <w:r>
        <w:rPr>
          <w:rFonts w:ascii="宋体" w:hAnsi="宋体" w:cs="宋体" w:eastAsia="宋体"/>
          <w:sz w:val="24"/>
        </w:rPr>
        <w:t>要求乙方承担违约责任</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付款</w:t>
      </w:r>
    </w:p>
    <w:p>
      <w:pPr>
        <w:pStyle w:val="null3"/>
        <w:ind w:firstLine="480"/>
        <w:jc w:val="both"/>
      </w:pPr>
      <w:r>
        <w:rPr>
          <w:rFonts w:ascii="calibri" w:hAnsi="calibri" w:cs="calibri" w:eastAsia="calibri"/>
          <w:sz w:val="24"/>
        </w:rPr>
        <w:t>5</w:t>
      </w:r>
      <w:r>
        <w:rPr>
          <w:rFonts w:ascii="calibri" w:hAnsi="calibri" w:cs="calibri" w:eastAsia="calibri"/>
          <w:sz w:val="24"/>
        </w:rPr>
        <w:t xml:space="preserve">.1 </w:t>
      </w:r>
      <w:r>
        <w:rPr>
          <w:rFonts w:ascii="宋体" w:hAnsi="宋体" w:cs="宋体" w:eastAsia="宋体"/>
          <w:sz w:val="24"/>
        </w:rPr>
        <w:t>甲方按以下方式付款：</w:t>
      </w:r>
    </w:p>
    <w:p>
      <w:pPr>
        <w:pStyle w:val="null3"/>
        <w:ind w:firstLine="420"/>
        <w:jc w:val="both"/>
      </w:pPr>
      <w:r>
        <w:rPr>
          <w:rFonts w:ascii="宋体" w:hAnsi="宋体" w:cs="宋体" w:eastAsia="宋体"/>
          <w:sz w:val="24"/>
        </w:rPr>
        <w:t>合同总金额为人民币【】元</w:t>
      </w:r>
      <w:r>
        <w:rPr>
          <w:rFonts w:ascii="宋体" w:hAnsi="宋体" w:cs="宋体" w:eastAsia="宋体"/>
          <w:sz w:val="24"/>
        </w:rPr>
        <w:t>整</w:t>
      </w:r>
      <w:r>
        <w:rPr>
          <w:rFonts w:ascii="宋体" w:hAnsi="宋体" w:cs="宋体" w:eastAsia="宋体"/>
          <w:sz w:val="24"/>
        </w:rPr>
        <w:t>（</w:t>
      </w:r>
      <w:r>
        <w:rPr>
          <w:rFonts w:ascii="宋体" w:hAnsi="宋体" w:cs="宋体" w:eastAsia="宋体"/>
          <w:sz w:val="24"/>
        </w:rPr>
        <w:t>含税</w:t>
      </w:r>
      <w:r>
        <w:rPr>
          <w:rFonts w:ascii="宋体" w:hAnsi="宋体" w:cs="宋体" w:eastAsia="宋体"/>
          <w:sz w:val="24"/>
        </w:rPr>
        <w:t>），</w:t>
      </w:r>
      <w:r>
        <w:rPr>
          <w:rFonts w:ascii="宋体" w:hAnsi="宋体" w:cs="宋体" w:eastAsia="宋体"/>
          <w:sz w:val="24"/>
        </w:rPr>
        <w:t>大写</w:t>
      </w:r>
      <w:r>
        <w:rPr>
          <w:rFonts w:ascii="宋体" w:hAnsi="宋体" w:cs="宋体" w:eastAsia="宋体"/>
          <w:sz w:val="24"/>
        </w:rPr>
        <w:t>【】</w:t>
      </w:r>
      <w:r>
        <w:rPr>
          <w:rFonts w:ascii="宋体" w:hAnsi="宋体" w:cs="宋体" w:eastAsia="宋体"/>
          <w:sz w:val="24"/>
        </w:rPr>
        <w:t>。</w:t>
      </w:r>
      <w:r>
        <w:rPr>
          <w:rFonts w:ascii="宋体" w:hAnsi="宋体" w:cs="宋体" w:eastAsia="宋体"/>
          <w:sz w:val="24"/>
        </w:rPr>
        <w:t>不含税总金额【】</w:t>
      </w:r>
      <w:r>
        <w:rPr>
          <w:rFonts w:ascii="宋体" w:hAnsi="宋体" w:cs="宋体" w:eastAsia="宋体"/>
          <w:sz w:val="24"/>
        </w:rPr>
        <w:t>元</w:t>
      </w:r>
      <w:r>
        <w:rPr>
          <w:rFonts w:ascii="宋体" w:hAnsi="宋体" w:cs="宋体" w:eastAsia="宋体"/>
          <w:sz w:val="24"/>
        </w:rPr>
        <w:t>，税额【】</w:t>
      </w:r>
      <w:r>
        <w:rPr>
          <w:rFonts w:ascii="宋体" w:hAnsi="宋体" w:cs="宋体" w:eastAsia="宋体"/>
          <w:sz w:val="24"/>
        </w:rPr>
        <w:t>元。</w:t>
      </w:r>
      <w:r>
        <w:rPr>
          <w:rFonts w:ascii="宋体" w:hAnsi="宋体" w:cs="宋体" w:eastAsia="宋体"/>
          <w:sz w:val="24"/>
        </w:rPr>
        <w:t>甲方按下述比例支付：</w:t>
      </w:r>
    </w:p>
    <w:p>
      <w:pPr>
        <w:pStyle w:val="null3"/>
        <w:ind w:firstLine="480"/>
        <w:jc w:val="both"/>
      </w:pPr>
      <w:r>
        <w:rPr>
          <w:rFonts w:ascii="calibri" w:hAnsi="calibri" w:cs="calibri" w:eastAsia="calibri"/>
          <w:sz w:val="24"/>
        </w:rPr>
        <w:t>①</w:t>
      </w:r>
      <w:r>
        <w:rPr>
          <w:rFonts w:ascii="宋体" w:hAnsi="宋体" w:cs="宋体" w:eastAsia="宋体"/>
          <w:sz w:val="24"/>
        </w:rPr>
        <w:t>第一期，甲方向乙方</w:t>
      </w:r>
      <w:r>
        <w:rPr>
          <w:rFonts w:ascii="宋体" w:hAnsi="宋体" w:cs="宋体" w:eastAsia="宋体"/>
          <w:sz w:val="24"/>
        </w:rPr>
        <w:t>支付当期批次货物合同金额的【</w:t>
      </w:r>
      <w:r>
        <w:rPr>
          <w:rFonts w:ascii="calibri" w:hAnsi="calibri" w:cs="calibri" w:eastAsia="calibri"/>
          <w:sz w:val="24"/>
        </w:rPr>
        <w:t>70</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到货验收经采购人验收通过，出具生效的</w:t>
      </w:r>
      <w:r>
        <w:rPr>
          <w:rFonts w:ascii="宋体" w:hAnsi="宋体" w:cs="宋体" w:eastAsia="宋体"/>
          <w:sz w:val="24"/>
        </w:rPr>
        <w:t>验收报告</w:t>
      </w:r>
      <w:r>
        <w:rPr>
          <w:rFonts w:ascii="宋体" w:hAnsi="宋体" w:cs="宋体" w:eastAsia="宋体"/>
          <w:sz w:val="24"/>
        </w:rPr>
        <w:t>，收到供应商提供的当期批次货物总金额的增值税专用发票，且付款材料经审核齐备后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80"/>
        <w:jc w:val="both"/>
      </w:pPr>
      <w:r>
        <w:rPr>
          <w:rFonts w:ascii="calibri" w:hAnsi="calibri" w:cs="calibri" w:eastAsia="calibri"/>
          <w:sz w:val="24"/>
        </w:rPr>
        <w:t>②</w:t>
      </w:r>
      <w:r>
        <w:rPr>
          <w:rFonts w:ascii="宋体" w:hAnsi="宋体" w:cs="宋体" w:eastAsia="宋体"/>
          <w:sz w:val="24"/>
        </w:rPr>
        <w:t>第二期，甲方向乙方</w:t>
      </w:r>
      <w:r>
        <w:rPr>
          <w:rFonts w:ascii="宋体" w:hAnsi="宋体" w:cs="宋体" w:eastAsia="宋体"/>
          <w:sz w:val="24"/>
        </w:rPr>
        <w:t>支付当期批次货物合同金额的【</w:t>
      </w:r>
      <w:r>
        <w:rPr>
          <w:rFonts w:ascii="calibri" w:hAnsi="calibri" w:cs="calibri" w:eastAsia="calibri"/>
          <w:sz w:val="24"/>
        </w:rPr>
        <w:t>28</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条件：【最终验收经采购人验收通过，出具生效的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20"/>
        <w:jc w:val="both"/>
      </w:pPr>
      <w:r>
        <w:rPr>
          <w:rFonts w:ascii="calibri" w:hAnsi="calibri" w:cs="calibri" w:eastAsia="calibri"/>
          <w:sz w:val="24"/>
        </w:rPr>
        <w:t>③</w:t>
      </w:r>
      <w:r>
        <w:rPr>
          <w:rFonts w:ascii="宋体" w:hAnsi="宋体" w:cs="宋体" w:eastAsia="宋体"/>
          <w:sz w:val="24"/>
        </w:rPr>
        <w:t>第三期，</w:t>
      </w:r>
      <w:r>
        <w:rPr>
          <w:rFonts w:ascii="宋体" w:hAnsi="宋体" w:cs="宋体" w:eastAsia="宋体"/>
          <w:sz w:val="24"/>
        </w:rPr>
        <w:t>甲方向乙方</w:t>
      </w:r>
      <w:r>
        <w:rPr>
          <w:rFonts w:ascii="宋体" w:hAnsi="宋体" w:cs="宋体" w:eastAsia="宋体"/>
          <w:sz w:val="24"/>
        </w:rPr>
        <w:t>支付当期批次货物合同金额的【</w:t>
      </w:r>
      <w:r>
        <w:rPr>
          <w:rFonts w:ascii="calibri" w:hAnsi="calibri" w:cs="calibri" w:eastAsia="calibri"/>
          <w:sz w:val="24"/>
        </w:rPr>
        <w:t>2</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全部</w:t>
      </w:r>
      <w:r>
        <w:rPr>
          <w:rFonts w:ascii="宋体" w:hAnsi="宋体" w:cs="宋体" w:eastAsia="宋体"/>
          <w:sz w:val="24"/>
        </w:rPr>
        <w:t>维保服务</w:t>
      </w:r>
      <w:r>
        <w:rPr>
          <w:rFonts w:ascii="宋体" w:hAnsi="宋体" w:cs="宋体" w:eastAsia="宋体"/>
          <w:sz w:val="24"/>
        </w:rPr>
        <w:t>结束</w:t>
      </w:r>
      <w:r>
        <w:rPr>
          <w:rFonts w:ascii="宋体" w:hAnsi="宋体" w:cs="宋体" w:eastAsia="宋体"/>
          <w:sz w:val="24"/>
        </w:rPr>
        <w:t>后</w:t>
      </w:r>
      <w:r>
        <w:rPr>
          <w:rFonts w:ascii="宋体" w:hAnsi="宋体" w:cs="宋体" w:eastAsia="宋体"/>
          <w:sz w:val="24"/>
        </w:rPr>
        <w:t>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20"/>
        <w:jc w:val="both"/>
      </w:pPr>
      <w:r>
        <w:rPr>
          <w:rFonts w:ascii="calibri" w:hAnsi="calibri" w:cs="calibri" w:eastAsia="calibri"/>
          <w:sz w:val="24"/>
        </w:rPr>
        <w:t xml:space="preserve">5.2 </w:t>
      </w:r>
      <w:r>
        <w:rPr>
          <w:rFonts w:ascii="宋体" w:hAnsi="宋体" w:cs="宋体" w:eastAsia="宋体"/>
          <w:sz w:val="24"/>
        </w:rPr>
        <w:t>除双方约定的价款外，甲方无需向乙方再支付其他任何款项，乙方不得以任何理由再要求甲方支付任何款项。</w:t>
      </w:r>
    </w:p>
    <w:p>
      <w:pPr>
        <w:pStyle w:val="null3"/>
        <w:ind w:firstLine="420"/>
        <w:jc w:val="both"/>
      </w:pPr>
      <w:r>
        <w:rPr>
          <w:rFonts w:ascii="calibri" w:hAnsi="calibri" w:cs="calibri" w:eastAsia="calibri"/>
          <w:sz w:val="24"/>
        </w:rPr>
        <w:t xml:space="preserve">5.3 </w:t>
      </w:r>
      <w:r>
        <w:rPr>
          <w:rFonts w:ascii="宋体" w:hAnsi="宋体" w:cs="宋体" w:eastAsia="宋体"/>
          <w:sz w:val="24"/>
        </w:rPr>
        <w:t>甲方发票</w:t>
      </w:r>
      <w:r>
        <w:rPr>
          <w:rFonts w:ascii="宋体" w:hAnsi="宋体" w:cs="宋体" w:eastAsia="宋体"/>
          <w:sz w:val="24"/>
        </w:rPr>
        <w:t>信息：</w:t>
      </w:r>
    </w:p>
    <w:p>
      <w:pPr>
        <w:pStyle w:val="null3"/>
        <w:ind w:firstLine="420"/>
        <w:jc w:val="both"/>
      </w:pPr>
      <w:r>
        <w:rPr>
          <w:rFonts w:ascii="宋体" w:hAnsi="宋体" w:cs="宋体" w:eastAsia="宋体"/>
          <w:sz w:val="24"/>
        </w:rPr>
        <w:t>开票</w:t>
      </w:r>
      <w:r>
        <w:rPr>
          <w:rFonts w:ascii="宋体" w:hAnsi="宋体" w:cs="宋体" w:eastAsia="宋体"/>
          <w:sz w:val="24"/>
        </w:rPr>
        <w:t>名称：网联清算有限公司</w:t>
      </w:r>
    </w:p>
    <w:p>
      <w:pPr>
        <w:pStyle w:val="null3"/>
        <w:ind w:firstLine="420"/>
        <w:jc w:val="both"/>
      </w:pPr>
      <w:r>
        <w:rPr>
          <w:rFonts w:ascii="宋体" w:hAnsi="宋体" w:cs="宋体" w:eastAsia="宋体"/>
          <w:sz w:val="24"/>
        </w:rPr>
        <w:t>税号：</w:t>
      </w:r>
      <w:r>
        <w:rPr>
          <w:rFonts w:ascii="calibri" w:hAnsi="calibri" w:cs="calibri" w:eastAsia="calibri"/>
          <w:sz w:val="24"/>
        </w:rPr>
        <w:t>91110102MA0179UA3A</w:t>
      </w:r>
    </w:p>
    <w:p>
      <w:pPr>
        <w:pStyle w:val="null3"/>
        <w:ind w:firstLine="420"/>
        <w:jc w:val="both"/>
      </w:pPr>
      <w:r>
        <w:rPr>
          <w:rFonts w:ascii="宋体" w:hAnsi="宋体" w:cs="宋体" w:eastAsia="宋体"/>
          <w:sz w:val="24"/>
        </w:rPr>
        <w:t>注册地址：北京市西城区北三环中路甲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firstLine="420"/>
        <w:jc w:val="both"/>
      </w:pPr>
      <w:r>
        <w:rPr>
          <w:rFonts w:ascii="宋体" w:hAnsi="宋体" w:cs="宋体" w:eastAsia="宋体"/>
          <w:sz w:val="24"/>
        </w:rPr>
        <w:t>办公电话：</w:t>
      </w:r>
      <w:r>
        <w:rPr>
          <w:rFonts w:ascii="&quot;times new roman&quot;" w:hAnsi="&quot;times new roman&quot;" w:cs="&quot;times new roman&quot;" w:eastAsia="&quot;times new roman&quot;"/>
          <w:sz w:val="24"/>
        </w:rPr>
        <w:t>010-68148881</w:t>
      </w:r>
    </w:p>
    <w:p>
      <w:pPr>
        <w:pStyle w:val="null3"/>
        <w:ind w:firstLine="420"/>
        <w:jc w:val="both"/>
      </w:pPr>
      <w:r>
        <w:rPr>
          <w:rFonts w:ascii="宋体" w:hAnsi="宋体" w:cs="宋体" w:eastAsia="宋体"/>
          <w:sz w:val="24"/>
        </w:rPr>
        <w:t>开户银行：招商银行股份有限公司北京金融街支行</w:t>
      </w:r>
    </w:p>
    <w:p>
      <w:pPr>
        <w:pStyle w:val="null3"/>
        <w:ind w:firstLine="420"/>
        <w:jc w:val="both"/>
      </w:pPr>
      <w:r>
        <w:rPr>
          <w:rFonts w:ascii="宋体" w:hAnsi="宋体" w:cs="宋体" w:eastAsia="宋体"/>
          <w:sz w:val="24"/>
        </w:rPr>
        <w:t>银行账户：</w:t>
      </w:r>
      <w:r>
        <w:rPr>
          <w:rFonts w:ascii="calibri" w:hAnsi="calibri" w:cs="calibri" w:eastAsia="calibri"/>
          <w:sz w:val="24"/>
        </w:rPr>
        <w:t>110929723810801</w:t>
      </w:r>
    </w:p>
    <w:p>
      <w:pPr>
        <w:pStyle w:val="null3"/>
        <w:ind w:firstLine="420"/>
        <w:jc w:val="both"/>
      </w:pPr>
      <w:r>
        <w:rPr>
          <w:rFonts w:ascii="calibri" w:hAnsi="calibri" w:cs="calibri" w:eastAsia="calibri"/>
          <w:sz w:val="24"/>
        </w:rPr>
        <w:t xml:space="preserve">5.4 </w:t>
      </w:r>
      <w:r>
        <w:rPr>
          <w:rFonts w:ascii="宋体" w:hAnsi="宋体" w:cs="宋体" w:eastAsia="宋体"/>
          <w:sz w:val="24"/>
        </w:rPr>
        <w:t>乙方收款信息：</w:t>
      </w:r>
    </w:p>
    <w:p>
      <w:pPr>
        <w:pStyle w:val="null3"/>
        <w:ind w:firstLine="420"/>
        <w:jc w:val="both"/>
      </w:pPr>
      <w:r>
        <w:rPr>
          <w:rFonts w:ascii="宋体" w:hAnsi="宋体" w:cs="宋体" w:eastAsia="宋体"/>
          <w:sz w:val="24"/>
        </w:rPr>
        <w:t>账</w:t>
      </w:r>
      <w:r>
        <w:rPr>
          <w:rFonts w:ascii="宋体" w:hAnsi="宋体" w:cs="宋体" w:eastAsia="宋体"/>
          <w:sz w:val="24"/>
        </w:rPr>
        <w:t>户名：</w:t>
      </w:r>
      <w:r>
        <w:rPr>
          <w:rFonts w:ascii="宋体" w:hAnsi="宋体" w:cs="宋体" w:eastAsia="宋体"/>
          <w:sz w:val="24"/>
        </w:rPr>
        <w:t>【】</w:t>
      </w:r>
    </w:p>
    <w:p>
      <w:pPr>
        <w:pStyle w:val="null3"/>
        <w:ind w:firstLine="420"/>
        <w:jc w:val="both"/>
      </w:pPr>
      <w:r>
        <w:rPr>
          <w:rFonts w:ascii="宋体" w:hAnsi="宋体" w:cs="宋体" w:eastAsia="宋体"/>
          <w:sz w:val="24"/>
        </w:rPr>
        <w:t>开户银行：</w:t>
      </w:r>
      <w:r>
        <w:rPr>
          <w:rFonts w:ascii="宋体" w:hAnsi="宋体" w:cs="宋体" w:eastAsia="宋体"/>
          <w:sz w:val="24"/>
        </w:rPr>
        <w:t>【】（</w:t>
      </w:r>
      <w:r>
        <w:rPr>
          <w:rFonts w:ascii="宋体" w:hAnsi="宋体" w:cs="宋体" w:eastAsia="宋体"/>
          <w:sz w:val="24"/>
        </w:rPr>
        <w:t>详细至支行</w:t>
      </w:r>
      <w:r>
        <w:rPr>
          <w:rFonts w:ascii="宋体" w:hAnsi="宋体" w:cs="宋体" w:eastAsia="宋体"/>
          <w:sz w:val="24"/>
        </w:rPr>
        <w:t>）</w:t>
      </w:r>
    </w:p>
    <w:p>
      <w:pPr>
        <w:pStyle w:val="null3"/>
        <w:ind w:firstLine="420"/>
        <w:jc w:val="both"/>
      </w:pPr>
      <w:r>
        <w:rPr>
          <w:rFonts w:ascii="宋体" w:hAnsi="宋体" w:cs="宋体" w:eastAsia="宋体"/>
          <w:sz w:val="24"/>
        </w:rPr>
        <w:t>开户银行地址：</w:t>
      </w:r>
      <w:r>
        <w:rPr>
          <w:rFonts w:ascii="宋体" w:hAnsi="宋体" w:cs="宋体" w:eastAsia="宋体"/>
          <w:sz w:val="24"/>
        </w:rPr>
        <w:t>【】</w:t>
      </w:r>
    </w:p>
    <w:p>
      <w:pPr>
        <w:pStyle w:val="null3"/>
        <w:ind w:firstLine="420"/>
        <w:jc w:val="both"/>
      </w:pPr>
      <w:r>
        <w:rPr>
          <w:rFonts w:ascii="宋体" w:hAnsi="宋体" w:cs="宋体" w:eastAsia="宋体"/>
          <w:sz w:val="24"/>
        </w:rPr>
        <w:t>银行帐号：</w:t>
      </w:r>
      <w:r>
        <w:rPr>
          <w:rFonts w:ascii="宋体" w:hAnsi="宋体" w:cs="宋体" w:eastAsia="宋体"/>
          <w:sz w:val="24"/>
        </w:rPr>
        <w:t>【】</w:t>
      </w:r>
    </w:p>
    <w:p>
      <w:pPr>
        <w:pStyle w:val="null3"/>
        <w:ind w:firstLine="420"/>
        <w:jc w:val="both"/>
      </w:pPr>
      <w:r>
        <w:rPr>
          <w:rFonts w:ascii="宋体" w:hAnsi="宋体" w:cs="宋体" w:eastAsia="宋体"/>
          <w:sz w:val="24"/>
        </w:rPr>
        <w:t>税号：</w:t>
      </w:r>
      <w:r>
        <w:rPr>
          <w:rFonts w:ascii="宋体" w:hAnsi="宋体" w:cs="宋体" w:eastAsia="宋体"/>
          <w:sz w:val="24"/>
        </w:rPr>
        <w:t>【】</w:t>
      </w:r>
    </w:p>
    <w:p>
      <w:pPr>
        <w:pStyle w:val="null3"/>
        <w:ind w:firstLine="420"/>
        <w:jc w:val="both"/>
      </w:pPr>
      <w:r>
        <w:rPr>
          <w:rFonts w:ascii="calibri" w:hAnsi="calibri" w:cs="calibri" w:eastAsia="calibri"/>
          <w:sz w:val="24"/>
        </w:rPr>
        <w:t xml:space="preserve">5.5 </w:t>
      </w:r>
      <w:r>
        <w:rPr>
          <w:rFonts w:ascii="宋体" w:hAnsi="宋体" w:cs="宋体" w:eastAsia="宋体"/>
          <w:sz w:val="24"/>
        </w:rPr>
        <w:t>乙方应</w:t>
      </w:r>
      <w:r>
        <w:rPr>
          <w:rFonts w:ascii="宋体" w:hAnsi="宋体" w:cs="宋体" w:eastAsia="宋体"/>
          <w:sz w:val="24"/>
        </w:rPr>
        <w:t>按照合同约定</w:t>
      </w:r>
      <w:r>
        <w:rPr>
          <w:rFonts w:ascii="宋体" w:hAnsi="宋体" w:cs="宋体" w:eastAsia="宋体"/>
          <w:sz w:val="24"/>
        </w:rPr>
        <w:t>向甲方开具足额合法的增值税发票。如发票认证不成功，甲方有权延迟付款并要求乙方重新开具发票</w:t>
      </w:r>
      <w:r>
        <w:rPr>
          <w:rFonts w:ascii="宋体" w:hAnsi="宋体" w:cs="宋体" w:eastAsia="宋体"/>
          <w:sz w:val="24"/>
        </w:rPr>
        <w:t>，如对甲方造成损失</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应承担赔偿责任</w:t>
      </w:r>
      <w:r>
        <w:rPr>
          <w:rFonts w:ascii="宋体" w:hAnsi="宋体" w:cs="宋体" w:eastAsia="宋体"/>
          <w:sz w:val="24"/>
        </w:rPr>
        <w:t>。</w:t>
      </w:r>
    </w:p>
    <w:p>
      <w:pPr>
        <w:pStyle w:val="null3"/>
        <w:ind w:firstLine="420"/>
        <w:jc w:val="both"/>
      </w:pPr>
      <w:r>
        <w:rPr>
          <w:rFonts w:ascii="calibri" w:hAnsi="calibri" w:cs="calibri" w:eastAsia="calibri"/>
          <w:sz w:val="24"/>
        </w:rPr>
        <w:t xml:space="preserve">5.6 </w:t>
      </w:r>
      <w:r>
        <w:rPr>
          <w:rFonts w:ascii="宋体" w:hAnsi="宋体" w:cs="宋体" w:eastAsia="宋体"/>
          <w:sz w:val="24"/>
        </w:rPr>
        <w:t>甲乙双方应自行承担各自所有与履行本合同相关的税费。本合同履行期间如遇国家税率调整致使本合同约定的税率不适用的，则含税价格以本合同及附件约定的不含税价格及调整后的税率进行确定。</w:t>
      </w:r>
    </w:p>
    <w:p>
      <w:pPr>
        <w:pStyle w:val="null3"/>
        <w:ind w:firstLine="420"/>
        <w:jc w:val="both"/>
      </w:pPr>
      <w:r>
        <w:rPr>
          <w:rFonts w:ascii="calibri" w:hAnsi="calibri" w:cs="calibri" w:eastAsia="calibri"/>
          <w:sz w:val="24"/>
        </w:rPr>
        <w:t xml:space="preserve">5.7 </w:t>
      </w:r>
      <w:r>
        <w:rPr>
          <w:rFonts w:ascii="宋体" w:hAnsi="宋体" w:cs="宋体" w:eastAsia="宋体"/>
          <w:sz w:val="24"/>
        </w:rPr>
        <w:t>如任何一方修改发票信息、收款信息等，需按第十五条的方式提前通知对方。</w:t>
      </w:r>
    </w:p>
    <w:p>
      <w:pPr>
        <w:pStyle w:val="null3"/>
        <w:numPr>
          <w:ilvl w:val="0"/>
          <w:numId w:val="2"/>
        </w:numPr>
        <w:ind w:left="420"/>
        <w:jc w:val="left"/>
      </w:pPr>
      <w:r>
        <w:rPr>
          <w:rFonts w:ascii="宋体" w:hAnsi="宋体" w:cs="宋体" w:eastAsia="宋体"/>
          <w:sz w:val="24"/>
          <w:b/>
        </w:rPr>
        <w:t>安装</w:t>
      </w:r>
      <w:r>
        <w:rPr>
          <w:rFonts w:ascii="宋体" w:hAnsi="宋体" w:cs="宋体" w:eastAsia="宋体"/>
          <w:sz w:val="24"/>
          <w:b/>
        </w:rPr>
        <w:t>、</w:t>
      </w:r>
      <w:r>
        <w:rPr>
          <w:rFonts w:ascii="宋体" w:hAnsi="宋体" w:cs="宋体" w:eastAsia="宋体"/>
          <w:sz w:val="24"/>
          <w:b/>
        </w:rPr>
        <w:t>测试</w:t>
      </w:r>
      <w:r>
        <w:rPr>
          <w:rFonts w:ascii="宋体" w:hAnsi="宋体" w:cs="宋体" w:eastAsia="宋体"/>
          <w:sz w:val="24"/>
          <w:b/>
        </w:rPr>
        <w:t>和</w:t>
      </w:r>
      <w:r>
        <w:rPr>
          <w:rFonts w:ascii="宋体" w:hAnsi="宋体" w:cs="宋体" w:eastAsia="宋体"/>
          <w:sz w:val="24"/>
          <w:b/>
        </w:rPr>
        <w:t>维保</w:t>
      </w:r>
    </w:p>
    <w:p>
      <w:pPr>
        <w:pStyle w:val="null3"/>
        <w:ind w:firstLine="36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4"/>
        </w:rPr>
        <w:t xml:space="preserve"> </w:t>
      </w:r>
      <w:r>
        <w:rPr>
          <w:rFonts w:ascii="宋体" w:hAnsi="宋体" w:cs="宋体" w:eastAsia="宋体"/>
          <w:sz w:val="24"/>
        </w:rPr>
        <w:t>产品运到交货场地</w:t>
      </w:r>
      <w:r>
        <w:rPr>
          <w:rFonts w:ascii="宋体" w:hAnsi="宋体" w:cs="宋体" w:eastAsia="宋体"/>
          <w:sz w:val="24"/>
        </w:rPr>
        <w:t>后</w:t>
      </w:r>
      <w:r>
        <w:rPr>
          <w:rFonts w:ascii="宋体" w:hAnsi="宋体" w:cs="宋体" w:eastAsia="宋体"/>
          <w:sz w:val="24"/>
        </w:rPr>
        <w:t>，乙方</w:t>
      </w:r>
      <w:r>
        <w:rPr>
          <w:rFonts w:ascii="宋体" w:hAnsi="宋体" w:cs="宋体" w:eastAsia="宋体"/>
          <w:sz w:val="24"/>
        </w:rPr>
        <w:t>应按甲方要求</w:t>
      </w:r>
      <w:r>
        <w:rPr>
          <w:rFonts w:ascii="宋体" w:hAnsi="宋体" w:cs="宋体" w:eastAsia="宋体"/>
          <w:sz w:val="24"/>
        </w:rPr>
        <w:t>开箱验机、进行系统测试，按产品制造商的技术标准进行系统安装调试。有关安装</w:t>
      </w:r>
      <w:r>
        <w:rPr>
          <w:rFonts w:ascii="宋体" w:hAnsi="宋体" w:cs="宋体" w:eastAsia="宋体"/>
          <w:sz w:val="24"/>
        </w:rPr>
        <w:t>及测试</w:t>
      </w:r>
      <w:r>
        <w:rPr>
          <w:rFonts w:ascii="宋体" w:hAnsi="宋体" w:cs="宋体" w:eastAsia="宋体"/>
          <w:sz w:val="24"/>
        </w:rPr>
        <w:t>费用由乙方承担。</w:t>
      </w:r>
    </w:p>
    <w:p>
      <w:pPr>
        <w:pStyle w:val="null3"/>
        <w:ind w:firstLine="48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4"/>
        </w:rPr>
        <w:t xml:space="preserve"> </w:t>
      </w:r>
      <w:r>
        <w:rPr>
          <w:rFonts w:ascii="宋体" w:hAnsi="宋体" w:cs="宋体" w:eastAsia="宋体"/>
          <w:sz w:val="24"/>
        </w:rPr>
        <w:t>自</w:t>
      </w:r>
      <w:r>
        <w:rPr>
          <w:rFonts w:ascii="宋体" w:hAnsi="宋体" w:cs="宋体" w:eastAsia="宋体"/>
          <w:sz w:val="24"/>
        </w:rPr>
        <w:t>【</w:t>
      </w:r>
      <w:r>
        <w:rPr>
          <w:rFonts w:ascii="宋体" w:hAnsi="宋体" w:cs="宋体" w:eastAsia="宋体"/>
          <w:sz w:val="21"/>
        </w:rPr>
        <w:t>终验合格之次日</w:t>
      </w:r>
      <w:r>
        <w:rPr>
          <w:rFonts w:ascii="宋体" w:hAnsi="宋体" w:cs="宋体" w:eastAsia="宋体"/>
          <w:sz w:val="24"/>
        </w:rPr>
        <w:t>】</w:t>
      </w:r>
      <w:r>
        <w:rPr>
          <w:rFonts w:ascii="宋体" w:hAnsi="宋体" w:cs="宋体" w:eastAsia="宋体"/>
          <w:sz w:val="24"/>
        </w:rPr>
        <w:t>起，乙方提供为期</w:t>
      </w:r>
      <w:r>
        <w:rPr>
          <w:rFonts w:ascii="宋体" w:hAnsi="宋体" w:cs="宋体" w:eastAsia="宋体"/>
          <w:sz w:val="24"/>
        </w:rPr>
        <w:t>【</w:t>
      </w:r>
      <w:r>
        <w:rPr>
          <w:rFonts w:ascii="宋体" w:hAnsi="宋体" w:cs="宋体" w:eastAsia="宋体"/>
          <w:sz w:val="21"/>
        </w:rPr>
        <w:t>84</w:t>
      </w:r>
      <w:r>
        <w:rPr>
          <w:rFonts w:ascii="宋体" w:hAnsi="宋体" w:cs="宋体" w:eastAsia="宋体"/>
          <w:sz w:val="24"/>
        </w:rPr>
        <w:t>】</w:t>
      </w:r>
      <w:r>
        <w:rPr>
          <w:rFonts w:ascii="宋体" w:hAnsi="宋体" w:cs="宋体" w:eastAsia="宋体"/>
          <w:sz w:val="24"/>
        </w:rPr>
        <w:t>个月的产品</w:t>
      </w:r>
      <w:r>
        <w:rPr>
          <w:rFonts w:ascii="宋体" w:hAnsi="宋体" w:cs="宋体" w:eastAsia="宋体"/>
          <w:sz w:val="24"/>
        </w:rPr>
        <w:t>【】</w:t>
      </w:r>
      <w:r>
        <w:rPr>
          <w:rFonts w:ascii="宋体" w:hAnsi="宋体" w:cs="宋体" w:eastAsia="宋体"/>
          <w:sz w:val="24"/>
        </w:rPr>
        <w:t>维保</w:t>
      </w:r>
      <w:r>
        <w:rPr>
          <w:rFonts w:ascii="宋体" w:hAnsi="宋体" w:cs="宋体" w:eastAsia="宋体"/>
          <w:sz w:val="24"/>
        </w:rPr>
        <w:t>，</w:t>
      </w:r>
      <w:r>
        <w:rPr>
          <w:rFonts w:ascii="宋体" w:hAnsi="宋体" w:cs="宋体" w:eastAsia="宋体"/>
          <w:sz w:val="24"/>
        </w:rPr>
        <w:t>在此期间甲方无需支付任何费用。在上述</w:t>
      </w:r>
      <w:r>
        <w:rPr>
          <w:rFonts w:ascii="宋体" w:hAnsi="宋体" w:cs="宋体" w:eastAsia="宋体"/>
          <w:sz w:val="24"/>
        </w:rPr>
        <w:t>产品</w:t>
      </w:r>
      <w:r>
        <w:rPr>
          <w:rFonts w:ascii="宋体" w:hAnsi="宋体" w:cs="宋体" w:eastAsia="宋体"/>
          <w:sz w:val="24"/>
        </w:rPr>
        <w:t>制造商</w:t>
      </w:r>
      <w:r>
        <w:rPr>
          <w:rFonts w:ascii="宋体" w:hAnsi="宋体" w:cs="宋体" w:eastAsia="宋体"/>
          <w:sz w:val="24"/>
        </w:rPr>
        <w:t>维保</w:t>
      </w:r>
      <w:r>
        <w:rPr>
          <w:rFonts w:ascii="宋体" w:hAnsi="宋体" w:cs="宋体" w:eastAsia="宋体"/>
          <w:sz w:val="24"/>
        </w:rPr>
        <w:t>结束后，如甲方产品需乙方</w:t>
      </w:r>
      <w:r>
        <w:rPr>
          <w:rFonts w:ascii="宋体" w:hAnsi="宋体" w:cs="宋体" w:eastAsia="宋体"/>
          <w:sz w:val="24"/>
        </w:rPr>
        <w:t>继续</w:t>
      </w:r>
      <w:r>
        <w:rPr>
          <w:rFonts w:ascii="宋体" w:hAnsi="宋体" w:cs="宋体" w:eastAsia="宋体"/>
          <w:sz w:val="24"/>
        </w:rPr>
        <w:t>提供</w:t>
      </w:r>
      <w:r>
        <w:rPr>
          <w:rFonts w:ascii="宋体" w:hAnsi="宋体" w:cs="宋体" w:eastAsia="宋体"/>
          <w:sz w:val="24"/>
        </w:rPr>
        <w:t>维保</w:t>
      </w:r>
      <w:r>
        <w:rPr>
          <w:rFonts w:ascii="宋体" w:hAnsi="宋体" w:cs="宋体" w:eastAsia="宋体"/>
          <w:sz w:val="24"/>
        </w:rPr>
        <w:t>服务，双方协商确定具体维保费用标准</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承诺维保</w:t>
      </w:r>
      <w:r>
        <w:rPr>
          <w:rFonts w:ascii="宋体" w:hAnsi="宋体" w:cs="宋体" w:eastAsia="宋体"/>
          <w:sz w:val="24"/>
        </w:rPr>
        <w:t>价格不高于</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安全条款</w:t>
      </w:r>
    </w:p>
    <w:p>
      <w:pPr>
        <w:pStyle w:val="null3"/>
        <w:ind w:firstLine="480"/>
        <w:jc w:val="both"/>
      </w:pPr>
      <w:r>
        <w:rPr>
          <w:rFonts w:ascii="宋体" w:hAnsi="宋体" w:cs="宋体" w:eastAsia="宋体"/>
          <w:sz w:val="24"/>
        </w:rPr>
        <w:t>根据《中华人民共和国网络安全法》</w:t>
      </w:r>
      <w:r>
        <w:rPr>
          <w:rFonts w:ascii="宋体" w:hAnsi="宋体" w:cs="宋体" w:eastAsia="宋体"/>
          <w:sz w:val="24"/>
        </w:rPr>
        <w:t>等法律法规</w:t>
      </w:r>
      <w:r>
        <w:rPr>
          <w:rFonts w:ascii="宋体" w:hAnsi="宋体" w:cs="宋体" w:eastAsia="宋体"/>
          <w:sz w:val="24"/>
        </w:rPr>
        <w:t>，乙方与甲方签订产品或服务供应合同必须遵守《中华人民共和国网络安全法》</w:t>
      </w:r>
      <w:r>
        <w:rPr>
          <w:rFonts w:ascii="宋体" w:hAnsi="宋体" w:cs="宋体" w:eastAsia="宋体"/>
          <w:sz w:val="24"/>
        </w:rPr>
        <w:t>等法律法规</w:t>
      </w:r>
      <w:r>
        <w:rPr>
          <w:rFonts w:ascii="宋体" w:hAnsi="宋体" w:cs="宋体" w:eastAsia="宋体"/>
          <w:sz w:val="24"/>
        </w:rPr>
        <w:t>的相关规定，包括但不限于：</w:t>
      </w:r>
    </w:p>
    <w:p>
      <w:pPr>
        <w:pStyle w:val="null3"/>
        <w:ind w:firstLine="480"/>
        <w:jc w:val="both"/>
      </w:pPr>
      <w:r>
        <w:rPr>
          <w:rFonts w:ascii="&quot;times new roman&quot;" w:hAnsi="&quot;times new roman&quot;" w:cs="&quot;times new roman&quot;" w:eastAsia="&quot;times new roman&quot;"/>
          <w:sz w:val="24"/>
        </w:rPr>
        <w:t xml:space="preserve">7.1 </w:t>
      </w:r>
      <w:r>
        <w:rPr>
          <w:rFonts w:ascii="宋体" w:hAnsi="宋体" w:cs="宋体" w:eastAsia="宋体"/>
          <w:sz w:val="24"/>
        </w:rPr>
        <w:t>乙方为甲方提供服务的雇员（或代理人）须经过审查，包括人员身份验证、工作技能、教育背景等。甲方认为必要时，乙方还应审查其为甲方提供服务的雇员（或代理人）是否无犯罪记录等。</w:t>
      </w:r>
    </w:p>
    <w:p>
      <w:pPr>
        <w:pStyle w:val="null3"/>
        <w:ind w:firstLine="480"/>
        <w:jc w:val="both"/>
      </w:pPr>
      <w:r>
        <w:rPr>
          <w:rFonts w:ascii="&quot;times new roman&quot;" w:hAnsi="&quot;times new roman&quot;" w:cs="&quot;times new roman&quot;" w:eastAsia="&quot;times new roman&quot;"/>
          <w:sz w:val="24"/>
        </w:rPr>
        <w:t xml:space="preserve">7.2 </w:t>
      </w:r>
      <w:r>
        <w:rPr>
          <w:rFonts w:ascii="宋体" w:hAnsi="宋体" w:cs="宋体" w:eastAsia="宋体"/>
          <w:sz w:val="24"/>
        </w:rPr>
        <w:t>如</w:t>
      </w:r>
      <w:r>
        <w:rPr>
          <w:rFonts w:ascii="宋体" w:hAnsi="宋体" w:cs="宋体" w:eastAsia="宋体"/>
          <w:sz w:val="24"/>
        </w:rPr>
        <w:t>乙方提供软件开发和外包服务</w:t>
      </w:r>
      <w:r>
        <w:rPr>
          <w:rFonts w:ascii="宋体" w:hAnsi="宋体" w:cs="宋体" w:eastAsia="宋体"/>
          <w:sz w:val="24"/>
        </w:rPr>
        <w:t>，</w:t>
      </w:r>
      <w:r>
        <w:rPr>
          <w:rFonts w:ascii="宋体" w:hAnsi="宋体" w:cs="宋体" w:eastAsia="宋体"/>
          <w:sz w:val="24"/>
        </w:rPr>
        <w:t>必须位于中国境内。</w:t>
      </w:r>
    </w:p>
    <w:p>
      <w:pPr>
        <w:pStyle w:val="null3"/>
        <w:ind w:firstLine="480"/>
        <w:jc w:val="both"/>
      </w:pPr>
      <w:r>
        <w:rPr>
          <w:rFonts w:ascii="&quot;times new roman&quot;" w:hAnsi="&quot;times new roman&quot;" w:cs="&quot;times new roman&quot;" w:eastAsia="&quot;times new roman&quot;"/>
          <w:sz w:val="24"/>
        </w:rPr>
        <w:t xml:space="preserve">7.3 </w:t>
      </w:r>
      <w:r>
        <w:rPr>
          <w:rFonts w:ascii="宋体" w:hAnsi="宋体" w:cs="宋体" w:eastAsia="宋体"/>
          <w:sz w:val="24"/>
        </w:rPr>
        <w:t>乙方应在设计、开发、生产、交付等环节加强安全管理，识别安全风险，制定安全策略，采取适当的措施保障安全，建立应对安全缺陷和漏洞的响应机制。</w:t>
      </w:r>
      <w:r>
        <w:rPr>
          <w:rFonts w:ascii="calibri" w:hAnsi="calibri" w:cs="calibri" w:eastAsia="calibri"/>
          <w:sz w:val="21"/>
        </w:rPr>
        <w:t xml:space="preserve"> </w:t>
      </w:r>
    </w:p>
    <w:p>
      <w:pPr>
        <w:pStyle w:val="null3"/>
        <w:ind w:firstLine="480"/>
        <w:jc w:val="both"/>
      </w:pPr>
      <w:r>
        <w:rPr>
          <w:rFonts w:ascii="&quot;times new roman&quot;" w:hAnsi="&quot;times new roman&quot;" w:cs="&quot;times new roman&quot;" w:eastAsia="&quot;times new roman&quot;"/>
          <w:sz w:val="24"/>
        </w:rPr>
        <w:t xml:space="preserve">7.4 </w:t>
      </w:r>
      <w:r>
        <w:rPr>
          <w:rFonts w:ascii="宋体" w:hAnsi="宋体" w:cs="宋体" w:eastAsia="宋体"/>
          <w:sz w:val="24"/>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pPr>
        <w:pStyle w:val="null3"/>
        <w:ind w:firstLine="480"/>
        <w:jc w:val="both"/>
      </w:pPr>
      <w:r>
        <w:rPr>
          <w:rFonts w:ascii="&quot;times new roman&quot;" w:hAnsi="&quot;times new roman&quot;" w:cs="&quot;times new roman&quot;" w:eastAsia="&quot;times new roman&quot;"/>
          <w:sz w:val="24"/>
        </w:rPr>
        <w:t xml:space="preserve">7.5 </w:t>
      </w:r>
      <w:r>
        <w:rPr>
          <w:rFonts w:ascii="宋体" w:hAnsi="宋体" w:cs="宋体" w:eastAsia="宋体"/>
          <w:sz w:val="24"/>
        </w:rPr>
        <w:t>甲方有权根据项目实际情况，要求乙方提供网络产品或服务的中文版运行维护、二次开发等技术资料。若相应的产品或服务涉及源代码，甲方有权根据实际情况自行或委托第三方网络安全服务机构对定制开发的软件进行源代码安全检测，或由乙方提供第三方网络安全服务机构出具的代码安全检测报告。</w:t>
      </w:r>
    </w:p>
    <w:p>
      <w:pPr>
        <w:pStyle w:val="null3"/>
        <w:ind w:firstLine="480"/>
        <w:jc w:val="both"/>
      </w:pPr>
      <w:r>
        <w:rPr>
          <w:rFonts w:ascii="&quot;times new roman&quot;" w:hAnsi="&quot;times new roman&quot;" w:cs="&quot;times new roman&quot;" w:eastAsia="&quot;times new roman&quot;"/>
          <w:sz w:val="24"/>
        </w:rPr>
        <w:t xml:space="preserve">7.6 </w:t>
      </w:r>
      <w:r>
        <w:rPr>
          <w:rFonts w:ascii="宋体" w:hAnsi="宋体" w:cs="宋体" w:eastAsia="宋体"/>
          <w:sz w:val="24"/>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作出不予通过网络安全审查结论的，甲方有权拒绝其响应或解除采购合同、不予采购，且甲方不需要承担任何违约或者赔偿责任。</w:t>
      </w:r>
    </w:p>
    <w:p>
      <w:pPr>
        <w:pStyle w:val="null3"/>
        <w:ind w:right="-15" w:firstLine="480"/>
        <w:jc w:val="both"/>
      </w:pPr>
      <w:r>
        <w:rPr>
          <w:rFonts w:ascii="&quot;times new roman&quot;" w:hAnsi="&quot;times new roman&quot;" w:cs="&quot;times new roman&quot;" w:eastAsia="&quot;times new roman&quot;"/>
          <w:sz w:val="24"/>
        </w:rPr>
        <w:t xml:space="preserve">7.7 </w:t>
      </w:r>
      <w:r>
        <w:rPr>
          <w:rFonts w:ascii="宋体" w:hAnsi="宋体" w:cs="宋体" w:eastAsia="宋体"/>
          <w:sz w:val="24"/>
        </w:rPr>
        <w:t>乙方应根据甲方需要提供产品完整准确的组件成分清单和暴露应用接口清单，严禁使用不安全的外部组件并关闭非必要暴露的应用接口。</w:t>
      </w:r>
    </w:p>
    <w:p>
      <w:pPr>
        <w:pStyle w:val="null3"/>
        <w:ind w:right="-15" w:firstLine="480"/>
        <w:jc w:val="both"/>
      </w:pPr>
      <w:r>
        <w:rPr>
          <w:rFonts w:ascii="&quot;times new roman&quot;" w:hAnsi="&quot;times new roman&quot;" w:cs="&quot;times new roman&quot;" w:eastAsia="&quot;times new roman&quot;"/>
          <w:sz w:val="24"/>
        </w:rPr>
        <w:t xml:space="preserve">7.8 </w:t>
      </w:r>
      <w:r>
        <w:rPr>
          <w:rFonts w:ascii="宋体" w:hAnsi="宋体" w:cs="宋体" w:eastAsia="宋体"/>
          <w:sz w:val="24"/>
        </w:rPr>
        <w:t>乙方供应产品应确保产品质量和安全性，避免存在安全隐患。乙方仓储设施的消防设施、环境安全、入库人员管理、人员安全培训等均需满足</w:t>
      </w:r>
      <w:r>
        <w:rPr>
          <w:rFonts w:ascii="宋体" w:hAnsi="宋体" w:cs="宋体" w:eastAsia="宋体"/>
          <w:sz w:val="24"/>
        </w:rPr>
        <w:t>甲方</w:t>
      </w:r>
      <w:r>
        <w:rPr>
          <w:rFonts w:ascii="宋体" w:hAnsi="宋体" w:cs="宋体" w:eastAsia="宋体"/>
          <w:sz w:val="24"/>
        </w:rPr>
        <w:t>的安全要求，保证仓储设施的良好运行，在包装、运输和安装过程都需要严格遵守各项要求，确保产品供应满足甲方需要。</w:t>
      </w:r>
    </w:p>
    <w:p>
      <w:pPr>
        <w:pStyle w:val="null3"/>
        <w:ind w:right="-15" w:firstLine="480"/>
        <w:jc w:val="both"/>
      </w:pPr>
      <w:r>
        <w:rPr>
          <w:rFonts w:ascii="&quot;times new roman&quot;" w:hAnsi="&quot;times new roman&quot;" w:cs="&quot;times new roman&quot;" w:eastAsia="&quot;times new roman&quot;"/>
          <w:sz w:val="24"/>
        </w:rPr>
        <w:t xml:space="preserve">7.9 </w:t>
      </w:r>
      <w:r>
        <w:rPr>
          <w:rFonts w:ascii="宋体" w:hAnsi="宋体" w:cs="宋体" w:eastAsia="宋体"/>
          <w:sz w:val="24"/>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不瞒报、不谎报、不拖延。根据甲方要求，乙方积极参与网络安全事件处置、调查等工作，保证提供的产品和服务在面临非法控制、干扰或中断风险时，具备启动应急处置预案的能力。</w:t>
      </w:r>
    </w:p>
    <w:p>
      <w:pPr>
        <w:pStyle w:val="null3"/>
        <w:ind w:right="-30" w:firstLine="480"/>
        <w:jc w:val="both"/>
      </w:pPr>
      <w:r>
        <w:rPr>
          <w:rFonts w:ascii="&quot;times new roman&quot;" w:hAnsi="&quot;times new roman&quot;" w:cs="&quot;times new roman&quot;" w:eastAsia="&quot;times new roman&quot;"/>
          <w:sz w:val="24"/>
        </w:rPr>
        <w:t xml:space="preserve">7.10 </w:t>
      </w:r>
      <w:r>
        <w:rPr>
          <w:rFonts w:ascii="宋体" w:hAnsi="宋体" w:cs="宋体" w:eastAsia="宋体"/>
          <w:sz w:val="24"/>
        </w:rPr>
        <w:t>乙方为甲方提供的服务资源至少与第三方相互逻辑隔离，且仅甲方具有对业务系统和数据的最高访问权限。</w:t>
      </w:r>
    </w:p>
    <w:p>
      <w:pPr>
        <w:pStyle w:val="null3"/>
        <w:ind w:right="-30" w:firstLine="480"/>
        <w:jc w:val="both"/>
      </w:pPr>
      <w:r>
        <w:rPr>
          <w:rFonts w:ascii="&quot;times new roman&quot;" w:hAnsi="&quot;times new roman&quot;" w:cs="&quot;times new roman&quot;" w:eastAsia="&quot;times new roman&quot;"/>
          <w:sz w:val="24"/>
        </w:rPr>
        <w:t xml:space="preserve">7.11 </w:t>
      </w:r>
      <w:r>
        <w:rPr>
          <w:rFonts w:ascii="宋体" w:hAnsi="宋体" w:cs="宋体" w:eastAsia="宋体"/>
          <w:sz w:val="24"/>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cs="宋体" w:eastAsia="宋体"/>
          <w:sz w:val="24"/>
        </w:rPr>
        <w:t>如涉及定制化开发，</w:t>
      </w:r>
      <w:r>
        <w:rPr>
          <w:rFonts w:ascii="宋体" w:hAnsi="宋体" w:cs="宋体" w:eastAsia="宋体"/>
          <w:sz w:val="24"/>
        </w:rPr>
        <w:t>未经甲方授权</w:t>
      </w:r>
      <w:r>
        <w:rPr>
          <w:rFonts w:ascii="宋体" w:hAnsi="宋体" w:cs="宋体" w:eastAsia="宋体"/>
          <w:sz w:val="24"/>
        </w:rPr>
        <w:t>，</w:t>
      </w:r>
      <w:r>
        <w:rPr>
          <w:rFonts w:ascii="宋体" w:hAnsi="宋体" w:cs="宋体" w:eastAsia="宋体"/>
          <w:sz w:val="24"/>
        </w:rPr>
        <w:t>乙方不得</w:t>
      </w:r>
      <w:r>
        <w:rPr>
          <w:rFonts w:ascii="宋体" w:hAnsi="宋体" w:cs="宋体" w:eastAsia="宋体"/>
          <w:sz w:val="24"/>
        </w:rPr>
        <w:t>留存源代码，不得将</w:t>
      </w:r>
      <w:r>
        <w:rPr>
          <w:rFonts w:ascii="宋体" w:hAnsi="宋体" w:cs="宋体" w:eastAsia="宋体"/>
          <w:sz w:val="24"/>
        </w:rPr>
        <w:t>产品</w:t>
      </w:r>
      <w:r>
        <w:rPr>
          <w:rFonts w:ascii="宋体" w:hAnsi="宋体" w:cs="宋体" w:eastAsia="宋体"/>
          <w:sz w:val="24"/>
        </w:rPr>
        <w:t>所涉及的源代码在互联网进行托管、测试，并应审核其在服务中所使用开源代码、软件等的来源合法性、安全检测情况和加固情况。</w:t>
      </w:r>
    </w:p>
    <w:p>
      <w:pPr>
        <w:pStyle w:val="null3"/>
        <w:numPr>
          <w:ilvl w:val="0"/>
          <w:numId w:val="2"/>
        </w:numPr>
        <w:jc w:val="left"/>
      </w:pPr>
      <w:r>
        <w:rPr>
          <w:rFonts w:ascii="宋体" w:hAnsi="宋体" w:cs="宋体" w:eastAsia="宋体"/>
          <w:sz w:val="24"/>
          <w:b/>
        </w:rPr>
        <w:t>知识产权</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.1 </w:t>
      </w:r>
      <w:r>
        <w:rPr>
          <w:rFonts w:ascii="宋体" w:hAnsi="宋体" w:cs="宋体" w:eastAsia="宋体"/>
          <w:sz w:val="24"/>
        </w:rPr>
        <w:t>本合同生效时已经存在并为各方合法拥有或使用的所有技术或资料、信息的知识产权和所有权，仍应属于其各自的原权利人所有或享有。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.2 </w:t>
      </w:r>
      <w:r>
        <w:rPr>
          <w:rFonts w:ascii="宋体" w:hAnsi="宋体" w:cs="宋体" w:eastAsia="宋体"/>
          <w:sz w:val="24"/>
        </w:rPr>
        <w:t>乙方保证</w:t>
      </w:r>
      <w:r>
        <w:rPr>
          <w:rFonts w:ascii="宋体" w:hAnsi="宋体" w:cs="宋体" w:eastAsia="宋体"/>
          <w:sz w:val="24"/>
        </w:rPr>
        <w:t>：</w:t>
      </w:r>
      <w:r>
        <w:rPr>
          <w:rFonts w:ascii="宋体" w:hAnsi="宋体" w:cs="宋体" w:eastAsia="宋体"/>
          <w:sz w:val="24"/>
        </w:rPr>
        <w:t>对</w:t>
      </w:r>
      <w:r>
        <w:rPr>
          <w:rFonts w:ascii="宋体" w:hAnsi="宋体" w:cs="宋体" w:eastAsia="宋体"/>
          <w:sz w:val="24"/>
        </w:rPr>
        <w:t>向甲方提供的</w:t>
      </w:r>
      <w:r>
        <w:rPr>
          <w:rFonts w:ascii="宋体" w:hAnsi="宋体" w:cs="宋体" w:eastAsia="宋体"/>
          <w:sz w:val="24"/>
        </w:rPr>
        <w:t>产品</w:t>
      </w:r>
      <w:r>
        <w:rPr>
          <w:rFonts w:ascii="宋体" w:hAnsi="宋体" w:cs="宋体" w:eastAsia="宋体"/>
          <w:sz w:val="24"/>
        </w:rPr>
        <w:t>拥有合法知识产权，</w:t>
      </w:r>
      <w:r>
        <w:rPr>
          <w:rFonts w:ascii="宋体" w:hAnsi="宋体" w:cs="宋体" w:eastAsia="宋体"/>
          <w:sz w:val="24"/>
        </w:rPr>
        <w:t>甲方使用本合同项下的产品将不会侵害任何第三方的权利。若有第三方提出侵权指控，乙方负责与第三方交涉</w:t>
      </w:r>
      <w:r>
        <w:rPr>
          <w:rFonts w:ascii="宋体" w:hAnsi="宋体" w:cs="宋体" w:eastAsia="宋体"/>
          <w:sz w:val="24"/>
        </w:rPr>
        <w:t>、</w:t>
      </w:r>
      <w:r>
        <w:rPr>
          <w:rFonts w:ascii="宋体" w:hAnsi="宋体" w:cs="宋体" w:eastAsia="宋体"/>
          <w:sz w:val="24"/>
        </w:rPr>
        <w:t>处理</w:t>
      </w:r>
      <w:r>
        <w:rPr>
          <w:rFonts w:ascii="宋体" w:hAnsi="宋体" w:cs="宋体" w:eastAsia="宋体"/>
          <w:sz w:val="24"/>
        </w:rPr>
        <w:t>，并由乙方承担可能发生的一切法律责任并承担甲方因此而</w:t>
      </w:r>
      <w:r>
        <w:rPr>
          <w:rFonts w:ascii="宋体" w:hAnsi="宋体" w:cs="宋体" w:eastAsia="宋体"/>
          <w:sz w:val="24"/>
        </w:rPr>
        <w:t>受到的</w:t>
      </w:r>
      <w:r>
        <w:rPr>
          <w:rFonts w:ascii="宋体" w:hAnsi="宋体" w:cs="宋体" w:eastAsia="宋体"/>
          <w:sz w:val="24"/>
        </w:rPr>
        <w:t>损失，包括索赔、罚款、诉讼费、保全费、律师费、执行费等。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.3 </w:t>
      </w:r>
      <w:r>
        <w:rPr>
          <w:rFonts w:ascii="宋体" w:hAnsi="宋体" w:cs="宋体" w:eastAsia="宋体"/>
          <w:sz w:val="24"/>
        </w:rPr>
        <w:t>乙方应全力防止因上述侵权给甲方带来任何损失，包括但不限于提供甲方继续使用本合同项下的产品而需取得的第三方授权、提供功能符合</w:t>
      </w:r>
      <w:r>
        <w:rPr>
          <w:rFonts w:ascii="宋体" w:hAnsi="宋体" w:cs="宋体" w:eastAsia="宋体"/>
          <w:sz w:val="24"/>
        </w:rPr>
        <w:t>本</w:t>
      </w:r>
      <w:r>
        <w:rPr>
          <w:rFonts w:ascii="宋体" w:hAnsi="宋体" w:cs="宋体" w:eastAsia="宋体"/>
          <w:sz w:val="24"/>
        </w:rPr>
        <w:t>合同目的的产品等，并承担因此而产生的所有费用。</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.4 </w:t>
      </w:r>
      <w:r>
        <w:rPr>
          <w:rFonts w:ascii="宋体" w:hAnsi="宋体" w:cs="宋体" w:eastAsia="宋体"/>
          <w:sz w:val="24"/>
        </w:rPr>
        <w:t>乙方为甲方二次开发产生的软件、源代码及实施过程中所产生的所有技术文件，甲方拥有</w:t>
      </w:r>
      <w:r>
        <w:rPr>
          <w:rFonts w:ascii="宋体" w:hAnsi="宋体" w:cs="宋体" w:eastAsia="宋体"/>
          <w:sz w:val="24"/>
        </w:rPr>
        <w:t>全部权利</w:t>
      </w:r>
      <w:r>
        <w:rPr>
          <w:rFonts w:ascii="宋体" w:hAnsi="宋体" w:cs="宋体" w:eastAsia="宋体"/>
          <w:sz w:val="24"/>
        </w:rPr>
        <w:t>，包括</w:t>
      </w:r>
      <w:r>
        <w:rPr>
          <w:rFonts w:ascii="宋体" w:hAnsi="宋体" w:cs="宋体" w:eastAsia="宋体"/>
          <w:sz w:val="24"/>
        </w:rPr>
        <w:t>但不限于</w:t>
      </w:r>
      <w:r>
        <w:rPr>
          <w:rFonts w:ascii="宋体" w:hAnsi="宋体" w:cs="宋体" w:eastAsia="宋体"/>
          <w:sz w:val="24"/>
        </w:rPr>
        <w:t>知识产权、所有权及相应的利益。乙方不对</w:t>
      </w:r>
      <w:r>
        <w:rPr>
          <w:rFonts w:ascii="宋体" w:hAnsi="宋体" w:cs="宋体" w:eastAsia="宋体"/>
          <w:sz w:val="24"/>
        </w:rPr>
        <w:t>本</w:t>
      </w:r>
      <w:r>
        <w:rPr>
          <w:rFonts w:ascii="宋体" w:hAnsi="宋体" w:cs="宋体" w:eastAsia="宋体"/>
          <w:sz w:val="24"/>
        </w:rPr>
        <w:t>合同项下的成果具有任何知识产权和申请知识产权的权利，甲方享有署名权在内的全部知识产权及申请知识产权的权利。</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.5 </w:t>
      </w:r>
      <w:r>
        <w:rPr>
          <w:rFonts w:ascii="宋体" w:hAnsi="宋体" w:cs="宋体" w:eastAsia="宋体"/>
          <w:sz w:val="24"/>
        </w:rPr>
        <w:t>乙方</w:t>
      </w:r>
      <w:r>
        <w:rPr>
          <w:rFonts w:ascii="宋体" w:hAnsi="宋体" w:cs="宋体" w:eastAsia="宋体"/>
          <w:sz w:val="24"/>
        </w:rPr>
        <w:t>不因本合同协商、签订</w:t>
      </w:r>
      <w:r>
        <w:rPr>
          <w:rFonts w:ascii="宋体" w:hAnsi="宋体" w:cs="宋体" w:eastAsia="宋体"/>
          <w:sz w:val="24"/>
        </w:rPr>
        <w:t>、</w:t>
      </w:r>
      <w:r>
        <w:rPr>
          <w:rFonts w:ascii="宋体" w:hAnsi="宋体" w:cs="宋体" w:eastAsia="宋体"/>
          <w:sz w:val="24"/>
        </w:rPr>
        <w:t>履行而获得明示或暗示的使用</w:t>
      </w:r>
      <w:r>
        <w:rPr>
          <w:rFonts w:ascii="宋体" w:hAnsi="宋体" w:cs="宋体" w:eastAsia="宋体"/>
          <w:sz w:val="24"/>
        </w:rPr>
        <w:t>甲方</w:t>
      </w:r>
      <w:r>
        <w:rPr>
          <w:rFonts w:ascii="宋体" w:hAnsi="宋体" w:cs="宋体" w:eastAsia="宋体"/>
          <w:sz w:val="24"/>
        </w:rPr>
        <w:t>（包括</w:t>
      </w:r>
      <w:r>
        <w:rPr>
          <w:rFonts w:ascii="宋体" w:hAnsi="宋体" w:cs="宋体" w:eastAsia="宋体"/>
          <w:sz w:val="24"/>
        </w:rPr>
        <w:t>甲方分、</w:t>
      </w:r>
      <w:r>
        <w:rPr>
          <w:rFonts w:ascii="宋体" w:hAnsi="宋体" w:cs="宋体" w:eastAsia="宋体"/>
          <w:sz w:val="24"/>
        </w:rPr>
        <w:t>子公司）的</w:t>
      </w:r>
      <w:r>
        <w:rPr>
          <w:rFonts w:ascii="宋体" w:hAnsi="宋体" w:cs="宋体" w:eastAsia="宋体"/>
          <w:sz w:val="24"/>
        </w:rPr>
        <w:t>名称、</w:t>
      </w:r>
      <w:r>
        <w:rPr>
          <w:rFonts w:ascii="宋体" w:hAnsi="宋体" w:cs="宋体" w:eastAsia="宋体"/>
          <w:sz w:val="24"/>
        </w:rPr>
        <w:t>商标、商号、标识、标志</w:t>
      </w:r>
      <w:r>
        <w:rPr>
          <w:rFonts w:ascii="宋体" w:hAnsi="宋体" w:cs="宋体" w:eastAsia="宋体"/>
          <w:sz w:val="24"/>
        </w:rPr>
        <w:t>、</w:t>
      </w:r>
      <w:r>
        <w:rPr>
          <w:rFonts w:ascii="宋体" w:hAnsi="宋体" w:cs="宋体" w:eastAsia="宋体"/>
          <w:sz w:val="24"/>
        </w:rPr>
        <w:t>技术</w:t>
      </w:r>
      <w:r>
        <w:rPr>
          <w:rFonts w:ascii="宋体" w:hAnsi="宋体" w:cs="宋体" w:eastAsia="宋体"/>
          <w:sz w:val="24"/>
        </w:rPr>
        <w:t>资料、</w:t>
      </w:r>
      <w:r>
        <w:rPr>
          <w:rFonts w:ascii="宋体" w:hAnsi="宋体" w:cs="宋体" w:eastAsia="宋体"/>
          <w:sz w:val="24"/>
        </w:rPr>
        <w:t>业务资料</w:t>
      </w:r>
      <w:r>
        <w:rPr>
          <w:rFonts w:ascii="宋体" w:hAnsi="宋体" w:cs="宋体" w:eastAsia="宋体"/>
          <w:sz w:val="24"/>
        </w:rPr>
        <w:t>等</w:t>
      </w:r>
      <w:r>
        <w:rPr>
          <w:rFonts w:ascii="宋体" w:hAnsi="宋体" w:cs="宋体" w:eastAsia="宋体"/>
          <w:sz w:val="24"/>
        </w:rPr>
        <w:t>的权利</w:t>
      </w:r>
      <w:r>
        <w:rPr>
          <w:rFonts w:ascii="宋体" w:hAnsi="宋体" w:cs="宋体" w:eastAsia="宋体"/>
          <w:sz w:val="24"/>
        </w:rPr>
        <w:t>。</w:t>
      </w:r>
      <w:r>
        <w:rPr>
          <w:rFonts w:ascii="宋体" w:hAnsi="宋体" w:cs="宋体" w:eastAsia="宋体"/>
          <w:sz w:val="24"/>
        </w:rPr>
        <w:t>未经甲方书面</w:t>
      </w:r>
      <w:r>
        <w:rPr>
          <w:rFonts w:ascii="宋体" w:hAnsi="宋体" w:cs="宋体" w:eastAsia="宋体"/>
          <w:sz w:val="24"/>
        </w:rPr>
        <w:t>授权</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不得</w:t>
      </w:r>
      <w:r>
        <w:rPr>
          <w:rFonts w:ascii="宋体" w:hAnsi="宋体" w:cs="宋体" w:eastAsia="宋体"/>
          <w:sz w:val="24"/>
        </w:rPr>
        <w:t>将甲方的名称、商号、商标、标记</w:t>
      </w:r>
      <w:r>
        <w:rPr>
          <w:rFonts w:ascii="宋体" w:hAnsi="宋体" w:cs="宋体" w:eastAsia="宋体"/>
          <w:sz w:val="24"/>
        </w:rPr>
        <w:t>等</w:t>
      </w:r>
      <w:r>
        <w:rPr>
          <w:rFonts w:ascii="宋体" w:hAnsi="宋体" w:cs="宋体" w:eastAsia="宋体"/>
          <w:sz w:val="24"/>
        </w:rPr>
        <w:t>用作广告宣传或</w:t>
      </w:r>
      <w:r>
        <w:rPr>
          <w:rFonts w:ascii="宋体" w:hAnsi="宋体" w:cs="宋体" w:eastAsia="宋体"/>
          <w:sz w:val="24"/>
        </w:rPr>
        <w:t>任何其他与履行本合同无关的用途</w:t>
      </w:r>
      <w:r>
        <w:rPr>
          <w:rFonts w:ascii="宋体" w:hAnsi="宋体" w:cs="宋体" w:eastAsia="宋体"/>
          <w:sz w:val="24"/>
        </w:rPr>
        <w:t>。</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.6 </w:t>
      </w:r>
      <w:r>
        <w:rPr>
          <w:rFonts w:ascii="宋体" w:hAnsi="宋体" w:cs="宋体" w:eastAsia="宋体"/>
          <w:sz w:val="24"/>
        </w:rPr>
        <w:t>本</w:t>
      </w:r>
      <w:r>
        <w:rPr>
          <w:rFonts w:ascii="宋体" w:hAnsi="宋体" w:cs="宋体" w:eastAsia="宋体"/>
          <w:sz w:val="24"/>
        </w:rPr>
        <w:t>合同知识产权</w:t>
      </w:r>
      <w:r>
        <w:rPr>
          <w:rFonts w:ascii="宋体" w:hAnsi="宋体" w:cs="宋体" w:eastAsia="宋体"/>
          <w:sz w:val="24"/>
        </w:rPr>
        <w:t>条款持续有效</w:t>
      </w:r>
      <w:r>
        <w:rPr>
          <w:rFonts w:ascii="宋体" w:hAnsi="宋体" w:cs="宋体" w:eastAsia="宋体"/>
          <w:sz w:val="24"/>
        </w:rPr>
        <w:t>，</w:t>
      </w:r>
      <w:r>
        <w:rPr>
          <w:rFonts w:ascii="宋体" w:hAnsi="宋体" w:cs="宋体" w:eastAsia="宋体"/>
          <w:sz w:val="24"/>
        </w:rPr>
        <w:t>不因</w:t>
      </w:r>
      <w:r>
        <w:rPr>
          <w:rFonts w:ascii="宋体" w:hAnsi="宋体" w:cs="宋体" w:eastAsia="宋体"/>
          <w:sz w:val="24"/>
        </w:rPr>
        <w:t>合同</w:t>
      </w:r>
      <w:r>
        <w:rPr>
          <w:rFonts w:ascii="宋体" w:hAnsi="宋体" w:cs="宋体" w:eastAsia="宋体"/>
          <w:sz w:val="24"/>
        </w:rPr>
        <w:t>的</w:t>
      </w:r>
      <w:r>
        <w:rPr>
          <w:rFonts w:ascii="宋体" w:hAnsi="宋体" w:cs="宋体" w:eastAsia="宋体"/>
          <w:sz w:val="24"/>
        </w:rPr>
        <w:t>解除或终止</w:t>
      </w:r>
      <w:r>
        <w:rPr>
          <w:rFonts w:ascii="宋体" w:hAnsi="宋体" w:cs="宋体" w:eastAsia="宋体"/>
          <w:sz w:val="24"/>
        </w:rPr>
        <w:t>而终止</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违约责任</w:t>
      </w:r>
    </w:p>
    <w:p>
      <w:pPr>
        <w:pStyle w:val="null3"/>
        <w:ind w:firstLine="480"/>
        <w:jc w:val="both"/>
      </w:pPr>
      <w:r>
        <w:rPr>
          <w:rFonts w:ascii="calibri" w:hAnsi="calibri" w:cs="calibri" w:eastAsia="calibri"/>
          <w:sz w:val="24"/>
        </w:rPr>
        <w:t xml:space="preserve">9.1 </w:t>
      </w:r>
      <w:r>
        <w:rPr>
          <w:rFonts w:ascii="宋体" w:hAnsi="宋体" w:cs="宋体" w:eastAsia="宋体"/>
          <w:sz w:val="24"/>
        </w:rPr>
        <w:t>任何一方未按本合同的约定履行义务均构成违约。任何一方的违约行为给对方造成损失的，应予以赔偿；任何一方的违约行为致使本合同目的不能实现的，守约方有权解除本合同，要求违约方</w:t>
      </w:r>
      <w:r>
        <w:rPr>
          <w:rFonts w:ascii="宋体" w:hAnsi="宋体" w:cs="宋体" w:eastAsia="宋体"/>
          <w:sz w:val="24"/>
        </w:rPr>
        <w:t>赔偿全部损失</w:t>
      </w:r>
      <w:r>
        <w:rPr>
          <w:rFonts w:ascii="宋体" w:hAnsi="宋体" w:cs="宋体" w:eastAsia="宋体"/>
          <w:sz w:val="24"/>
        </w:rPr>
        <w:t>，</w:t>
      </w:r>
      <w:r>
        <w:rPr>
          <w:rFonts w:ascii="宋体" w:hAnsi="宋体" w:cs="宋体" w:eastAsia="宋体"/>
          <w:sz w:val="24"/>
        </w:rPr>
        <w:t>同时</w:t>
      </w:r>
      <w:r>
        <w:rPr>
          <w:rFonts w:ascii="宋体" w:hAnsi="宋体" w:cs="宋体" w:eastAsia="宋体"/>
          <w:sz w:val="24"/>
        </w:rPr>
        <w:t>违约方应向守约方</w:t>
      </w:r>
      <w:r>
        <w:rPr>
          <w:rFonts w:ascii="宋体" w:hAnsi="宋体" w:cs="宋体" w:eastAsia="宋体"/>
          <w:sz w:val="24"/>
        </w:rPr>
        <w:t>支付</w:t>
      </w:r>
      <w:r>
        <w:rPr>
          <w:rFonts w:ascii="宋体" w:hAnsi="宋体" w:cs="宋体" w:eastAsia="宋体"/>
          <w:sz w:val="24"/>
        </w:rPr>
        <w:t>合同总金额</w:t>
      </w:r>
      <w:r>
        <w:rPr>
          <w:rFonts w:ascii="calibri" w:hAnsi="calibri" w:cs="calibri" w:eastAsia="calibri"/>
          <w:sz w:val="24"/>
        </w:rPr>
        <w:t>1</w:t>
      </w:r>
      <w:r>
        <w:rPr>
          <w:rFonts w:ascii="calibri" w:hAnsi="calibri" w:cs="calibri" w:eastAsia="calibri"/>
          <w:sz w:val="24"/>
        </w:rPr>
        <w:t>0%</w:t>
      </w:r>
      <w:r>
        <w:rPr>
          <w:rFonts w:ascii="宋体" w:hAnsi="宋体" w:cs="宋体" w:eastAsia="宋体"/>
          <w:sz w:val="24"/>
        </w:rPr>
        <w:t>的违约金</w:t>
      </w:r>
      <w:r>
        <w:rPr>
          <w:rFonts w:ascii="宋体" w:hAnsi="宋体" w:cs="宋体" w:eastAsia="宋体"/>
          <w:sz w:val="24"/>
        </w:rPr>
        <w:t>。本条或本合同其他条款另有约定的，从其约定。</w:t>
      </w:r>
    </w:p>
    <w:p>
      <w:pPr>
        <w:pStyle w:val="null3"/>
        <w:ind w:firstLine="480"/>
        <w:jc w:val="left"/>
      </w:pPr>
      <w:r>
        <w:rPr>
          <w:rFonts w:ascii="&quot;times new roman&quot;" w:hAnsi="&quot;times new roman&quot;" w:cs="&quot;times new roman&quot;" w:eastAsia="&quot;times new roman&quot;"/>
          <w:sz w:val="24"/>
          <w:i/>
        </w:rPr>
        <w:t xml:space="preserve">9.2 </w:t>
      </w:r>
      <w:r>
        <w:rPr>
          <w:rFonts w:ascii="宋体" w:hAnsi="宋体" w:cs="宋体" w:eastAsia="宋体"/>
          <w:sz w:val="24"/>
          <w:i/>
        </w:rPr>
        <w:t>乙方未按本合同的约定向甲方提供产品、技术服务，或提供的产品、技术服务不合格的，甲方有权要求乙方在甲方规定的时间内进行整改。乙方未整改或整改后仍不符合甲方要求的，则从乙方未整改或整改仍不符合要求之日起，甲方有权要求乙方每日按合同总金</w:t>
      </w:r>
      <w:r>
        <w:rPr>
          <w:rFonts w:ascii="宋体" w:hAnsi="宋体" w:cs="宋体" w:eastAsia="宋体"/>
          <w:sz w:val="24"/>
          <w:i/>
        </w:rPr>
        <w:t>额</w:t>
      </w:r>
      <w:r>
        <w:rPr>
          <w:rFonts w:ascii="&quot;times new roman&quot;" w:hAnsi="&quot;times new roman&quot;" w:cs="&quot;times new roman&quot;" w:eastAsia="&quot;times new roman&quot;"/>
          <w:sz w:val="24"/>
          <w:i/>
        </w:rPr>
        <w:t>1.5‰</w:t>
      </w:r>
      <w:r>
        <w:rPr>
          <w:rFonts w:ascii="宋体" w:hAnsi="宋体" w:cs="宋体" w:eastAsia="宋体"/>
          <w:sz w:val="24"/>
          <w:i/>
        </w:rPr>
        <w:t>支付违约金。当乙方需支付的违约金累计达到合同总金额的</w:t>
      </w:r>
      <w:r>
        <w:rPr>
          <w:rFonts w:ascii="&quot;times new roman&quot;" w:hAnsi="&quot;times new roman&quot;" w:cs="&quot;times new roman&quot;" w:eastAsia="&quot;times new roman&quot;"/>
          <w:sz w:val="24"/>
          <w:i/>
        </w:rPr>
        <w:t>5%</w:t>
      </w:r>
      <w:r>
        <w:rPr>
          <w:rFonts w:ascii="宋体" w:hAnsi="宋体" w:cs="宋体" w:eastAsia="宋体"/>
          <w:sz w:val="24"/>
          <w:i/>
        </w:rPr>
        <w:t>时，甲方有权选择单方解除本合同</w:t>
      </w:r>
      <w:r>
        <w:rPr>
          <w:rFonts w:ascii="宋体" w:hAnsi="宋体" w:cs="宋体" w:eastAsia="宋体"/>
          <w:sz w:val="24"/>
          <w:i/>
        </w:rPr>
        <w:t>并</w:t>
      </w:r>
      <w:r>
        <w:rPr>
          <w:rFonts w:ascii="宋体" w:hAnsi="宋体" w:cs="宋体" w:eastAsia="宋体"/>
          <w:sz w:val="24"/>
          <w:i/>
        </w:rPr>
        <w:t>要求乙方按合同总金额的</w:t>
      </w:r>
      <w:r>
        <w:rPr>
          <w:rFonts w:ascii="&quot;times new roman&quot;" w:hAnsi="&quot;times new roman&quot;" w:cs="&quot;times new roman&quot;" w:eastAsia="&quot;times new roman&quot;"/>
          <w:sz w:val="24"/>
          <w:i/>
        </w:rPr>
        <w:t>10%</w:t>
      </w:r>
      <w:r>
        <w:rPr>
          <w:rFonts w:ascii="宋体" w:hAnsi="宋体" w:cs="宋体" w:eastAsia="宋体"/>
          <w:sz w:val="24"/>
          <w:i/>
        </w:rPr>
        <w:t>向甲方支付违约金。甲方因此受到损失的，乙方赔偿甲方的损失。本条或本合同其他条款另有约定的，从其约定。</w:t>
      </w:r>
    </w:p>
    <w:p>
      <w:pPr>
        <w:pStyle w:val="null3"/>
        <w:ind w:right="-15" w:firstLine="448"/>
        <w:jc w:val="both"/>
      </w:pPr>
      <w:r>
        <w:rPr>
          <w:rFonts w:ascii="calibri" w:hAnsi="calibri" w:cs="calibri" w:eastAsia="calibri"/>
          <w:sz w:val="24"/>
        </w:rPr>
        <w:t xml:space="preserve">9.3 </w:t>
      </w:r>
      <w:r>
        <w:rPr>
          <w:rFonts w:ascii="宋体" w:hAnsi="宋体" w:cs="宋体" w:eastAsia="宋体"/>
          <w:sz w:val="24"/>
        </w:rPr>
        <w:t>乙方未在合同约定的期限内履行安装、调试、维保、培训等任何一项义务的，甲方有权要求乙方在甲方规定的时间内</w:t>
      </w:r>
      <w:r>
        <w:rPr>
          <w:rFonts w:ascii="宋体" w:hAnsi="宋体" w:cs="宋体" w:eastAsia="宋体"/>
          <w:sz w:val="24"/>
        </w:rPr>
        <w:t>整改</w:t>
      </w:r>
      <w:r>
        <w:rPr>
          <w:rFonts w:ascii="宋体" w:hAnsi="宋体" w:cs="宋体" w:eastAsia="宋体"/>
          <w:sz w:val="24"/>
        </w:rPr>
        <w:t>。乙方未</w:t>
      </w:r>
      <w:r>
        <w:rPr>
          <w:rFonts w:ascii="宋体" w:hAnsi="宋体" w:cs="宋体" w:eastAsia="宋体"/>
          <w:sz w:val="24"/>
        </w:rPr>
        <w:t>整改</w:t>
      </w:r>
      <w:r>
        <w:rPr>
          <w:rFonts w:ascii="宋体" w:hAnsi="宋体" w:cs="宋体" w:eastAsia="宋体"/>
          <w:sz w:val="24"/>
        </w:rPr>
        <w:t>或经</w:t>
      </w:r>
      <w:r>
        <w:rPr>
          <w:rFonts w:ascii="宋体" w:hAnsi="宋体" w:cs="宋体" w:eastAsia="宋体"/>
          <w:sz w:val="24"/>
        </w:rPr>
        <w:t>整改后</w:t>
      </w:r>
      <w:r>
        <w:rPr>
          <w:rFonts w:ascii="宋体" w:hAnsi="宋体" w:cs="宋体" w:eastAsia="宋体"/>
          <w:sz w:val="24"/>
        </w:rPr>
        <w:t>仍不符合甲方要求的，则从乙方未整改或经整改仍不符合要求之日起，甲方有权要求乙方每日按合同总金额</w:t>
      </w:r>
      <w:r>
        <w:rPr>
          <w:rFonts w:ascii="calibri" w:hAnsi="calibri" w:cs="calibri" w:eastAsia="calibri"/>
          <w:sz w:val="24"/>
        </w:rPr>
        <w:t>1.5‰</w:t>
      </w:r>
      <w:r>
        <w:rPr>
          <w:rFonts w:ascii="宋体" w:hAnsi="宋体" w:cs="宋体" w:eastAsia="宋体"/>
          <w:sz w:val="24"/>
        </w:rPr>
        <w:t>支付违约</w:t>
      </w:r>
      <w:r>
        <w:rPr>
          <w:rFonts w:ascii="宋体" w:hAnsi="宋体" w:cs="宋体" w:eastAsia="宋体"/>
          <w:sz w:val="24"/>
        </w:rPr>
        <w:t>金。当乙方需支付的违约金累计达到合同总金额的</w:t>
      </w:r>
      <w:r>
        <w:rPr>
          <w:rFonts w:ascii="calibri" w:hAnsi="calibri" w:cs="calibri" w:eastAsia="calibri"/>
          <w:sz w:val="24"/>
        </w:rPr>
        <w:t>5%</w:t>
      </w:r>
      <w:r>
        <w:rPr>
          <w:rFonts w:ascii="宋体" w:hAnsi="宋体" w:cs="宋体" w:eastAsia="宋体"/>
          <w:sz w:val="24"/>
        </w:rPr>
        <w:t>时，甲方有权选择单方解除本合同</w:t>
      </w:r>
      <w:r>
        <w:rPr>
          <w:rFonts w:ascii="宋体" w:hAnsi="宋体" w:cs="宋体" w:eastAsia="宋体"/>
          <w:sz w:val="24"/>
        </w:rPr>
        <w:t>并</w:t>
      </w:r>
      <w:r>
        <w:rPr>
          <w:rFonts w:ascii="宋体" w:hAnsi="宋体" w:cs="宋体" w:eastAsia="宋体"/>
          <w:sz w:val="24"/>
        </w:rPr>
        <w:t>要求乙方按合同总金额的</w:t>
      </w:r>
      <w:r>
        <w:rPr>
          <w:rFonts w:ascii="calibri" w:hAnsi="calibri" w:cs="calibri" w:eastAsia="calibri"/>
          <w:sz w:val="24"/>
        </w:rPr>
        <w:t>10%</w:t>
      </w:r>
      <w:r>
        <w:rPr>
          <w:rFonts w:ascii="宋体" w:hAnsi="宋体" w:cs="宋体" w:eastAsia="宋体"/>
          <w:sz w:val="24"/>
        </w:rPr>
        <w:t>向甲方支付违约金。甲方因此受到损失的，乙方赔偿甲方的损失</w:t>
      </w:r>
      <w:r>
        <w:rPr>
          <w:rFonts w:ascii="宋体" w:hAnsi="宋体" w:cs="宋体" w:eastAsia="宋体"/>
          <w:sz w:val="24"/>
        </w:rPr>
        <w:t>。本条或本合同其他条款另有约定的，从其约定</w:t>
      </w:r>
      <w:r>
        <w:rPr>
          <w:rFonts w:ascii="宋体" w:hAnsi="宋体" w:cs="宋体" w:eastAsia="宋体"/>
          <w:sz w:val="24"/>
        </w:rPr>
        <w:t>。</w:t>
      </w:r>
    </w:p>
    <w:p>
      <w:pPr>
        <w:pStyle w:val="null3"/>
        <w:ind w:firstLine="480"/>
        <w:jc w:val="both"/>
      </w:pPr>
      <w:r>
        <w:rPr>
          <w:rFonts w:ascii="calibri" w:hAnsi="calibri" w:cs="calibri" w:eastAsia="calibri"/>
          <w:sz w:val="24"/>
        </w:rPr>
        <w:t xml:space="preserve">9.4 </w:t>
      </w:r>
      <w:r>
        <w:rPr>
          <w:rFonts w:ascii="宋体" w:hAnsi="宋体" w:cs="宋体" w:eastAsia="宋体"/>
          <w:sz w:val="24"/>
        </w:rPr>
        <w:t>如</w:t>
      </w:r>
      <w:r>
        <w:rPr>
          <w:rFonts w:ascii="宋体" w:hAnsi="宋体" w:cs="宋体" w:eastAsia="宋体"/>
          <w:sz w:val="24"/>
        </w:rPr>
        <w:t>乙方提供的产品</w:t>
      </w:r>
      <w:r>
        <w:rPr>
          <w:rFonts w:ascii="宋体" w:hAnsi="宋体" w:cs="宋体" w:eastAsia="宋体"/>
          <w:sz w:val="24"/>
        </w:rPr>
        <w:t>或</w:t>
      </w:r>
      <w:r>
        <w:rPr>
          <w:rFonts w:ascii="宋体" w:hAnsi="宋体" w:cs="宋体" w:eastAsia="宋体"/>
          <w:sz w:val="24"/>
        </w:rPr>
        <w:t>技术服务侵犯甲方或任何第三方的</w:t>
      </w:r>
      <w:r>
        <w:rPr>
          <w:rFonts w:ascii="宋体" w:hAnsi="宋体" w:cs="宋体" w:eastAsia="宋体"/>
          <w:sz w:val="24"/>
        </w:rPr>
        <w:t>合法权益</w:t>
      </w:r>
      <w:r>
        <w:rPr>
          <w:rFonts w:ascii="宋体" w:hAnsi="宋体" w:cs="宋体" w:eastAsia="宋体"/>
          <w:sz w:val="24"/>
        </w:rPr>
        <w:t>，乙方</w:t>
      </w:r>
      <w:r>
        <w:rPr>
          <w:rFonts w:ascii="宋体" w:hAnsi="宋体" w:cs="宋体" w:eastAsia="宋体"/>
          <w:sz w:val="24"/>
        </w:rPr>
        <w:t>应负责</w:t>
      </w:r>
      <w:r>
        <w:rPr>
          <w:rFonts w:ascii="宋体" w:hAnsi="宋体" w:cs="宋体" w:eastAsia="宋体"/>
          <w:sz w:val="24"/>
        </w:rPr>
        <w:t>相关争议事项的处理并承担全部费用。如乙方未在甲方</w:t>
      </w:r>
      <w:r>
        <w:rPr>
          <w:rFonts w:ascii="宋体" w:hAnsi="宋体" w:cs="宋体" w:eastAsia="宋体"/>
          <w:sz w:val="24"/>
        </w:rPr>
        <w:t>规定的期限内妥善处理、</w:t>
      </w:r>
      <w:r>
        <w:rPr>
          <w:rFonts w:ascii="宋体" w:hAnsi="宋体" w:cs="宋体" w:eastAsia="宋体"/>
          <w:sz w:val="24"/>
        </w:rPr>
        <w:t>消除影响</w:t>
      </w:r>
      <w:r>
        <w:rPr>
          <w:rFonts w:ascii="宋体" w:hAnsi="宋体" w:cs="宋体" w:eastAsia="宋体"/>
          <w:sz w:val="24"/>
        </w:rPr>
        <w:t>并</w:t>
      </w:r>
      <w:r>
        <w:rPr>
          <w:rFonts w:ascii="宋体" w:hAnsi="宋体" w:cs="宋体" w:eastAsia="宋体"/>
          <w:sz w:val="24"/>
        </w:rPr>
        <w:t>完成整改，</w:t>
      </w:r>
      <w:r>
        <w:rPr>
          <w:rFonts w:ascii="宋体" w:hAnsi="宋体" w:cs="宋体" w:eastAsia="宋体"/>
          <w:sz w:val="24"/>
        </w:rPr>
        <w:t>甲方有权解除合同，要求乙方</w:t>
      </w:r>
      <w:r>
        <w:rPr>
          <w:rFonts w:ascii="宋体" w:hAnsi="宋体" w:cs="宋体" w:eastAsia="宋体"/>
          <w:sz w:val="24"/>
        </w:rPr>
        <w:t>支付合同总金额</w:t>
      </w:r>
      <w:r>
        <w:rPr>
          <w:rFonts w:ascii="calibri" w:hAnsi="calibri" w:cs="calibri" w:eastAsia="calibri"/>
          <w:sz w:val="24"/>
        </w:rPr>
        <w:t>10%</w:t>
      </w:r>
      <w:r>
        <w:rPr>
          <w:rFonts w:ascii="宋体" w:hAnsi="宋体" w:cs="宋体" w:eastAsia="宋体"/>
          <w:sz w:val="24"/>
        </w:rPr>
        <w:t>的违约金。</w:t>
      </w:r>
      <w:r>
        <w:rPr>
          <w:rFonts w:ascii="宋体" w:hAnsi="宋体" w:cs="宋体" w:eastAsia="宋体"/>
          <w:sz w:val="24"/>
        </w:rPr>
        <w:t>甲方因此受到损失的，乙方赔偿甲方</w:t>
      </w:r>
      <w:r>
        <w:rPr>
          <w:rFonts w:ascii="宋体" w:hAnsi="宋体" w:cs="宋体" w:eastAsia="宋体"/>
          <w:sz w:val="24"/>
        </w:rPr>
        <w:t>的全部损失。</w:t>
      </w:r>
    </w:p>
    <w:p>
      <w:pPr>
        <w:pStyle w:val="null3"/>
        <w:ind w:right="-15" w:firstLine="448"/>
        <w:jc w:val="both"/>
      </w:pPr>
      <w:r>
        <w:rPr>
          <w:rFonts w:ascii="calibri" w:hAnsi="calibri" w:cs="calibri" w:eastAsia="calibri"/>
          <w:sz w:val="24"/>
        </w:rPr>
        <w:t xml:space="preserve">9.5 </w:t>
      </w:r>
      <w:r>
        <w:rPr>
          <w:rFonts w:ascii="宋体" w:hAnsi="宋体" w:cs="宋体" w:eastAsia="宋体"/>
          <w:sz w:val="24"/>
        </w:rPr>
        <w:t>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w:t>
      </w:r>
      <w:r>
        <w:rPr>
          <w:rFonts w:ascii="calibri" w:hAnsi="calibri" w:cs="calibri" w:eastAsia="calibri"/>
          <w:sz w:val="24"/>
        </w:rPr>
        <w:t>10%</w:t>
      </w:r>
      <w:r>
        <w:rPr>
          <w:rFonts w:ascii="宋体" w:hAnsi="宋体" w:cs="宋体" w:eastAsia="宋体"/>
          <w:sz w:val="24"/>
        </w:rPr>
        <w:t>的违约金。甲方因此遭受损失的，乙方应予以赔偿。</w:t>
      </w:r>
    </w:p>
    <w:p>
      <w:pPr>
        <w:pStyle w:val="null3"/>
        <w:ind w:right="-15" w:firstLine="448"/>
        <w:jc w:val="both"/>
      </w:pPr>
      <w:r>
        <w:rPr>
          <w:rFonts w:ascii="calibri" w:hAnsi="calibri" w:cs="calibri" w:eastAsia="calibri"/>
          <w:sz w:val="24"/>
        </w:rPr>
        <w:t xml:space="preserve">9.6 </w:t>
      </w:r>
      <w:r>
        <w:rPr>
          <w:rFonts w:ascii="宋体" w:hAnsi="宋体" w:cs="宋体" w:eastAsia="宋体"/>
          <w:sz w:val="24"/>
        </w:rPr>
        <w:t>乙方擅自将本合同项下的权利义务转包或分包给第三方，甲方有权解除合同，并要求乙方赔偿甲方因此遭受的全部损失，同时有权主张乙方支付甲方合同总金额</w:t>
      </w:r>
      <w:r>
        <w:rPr>
          <w:rFonts w:ascii="calibri" w:hAnsi="calibri" w:cs="calibri" w:eastAsia="calibri"/>
          <w:sz w:val="24"/>
        </w:rPr>
        <w:t>10%</w:t>
      </w:r>
      <w:r>
        <w:rPr>
          <w:rFonts w:ascii="宋体" w:hAnsi="宋体" w:cs="宋体" w:eastAsia="宋体"/>
          <w:sz w:val="24"/>
        </w:rPr>
        <w:t>的违约金。同时，乙方转包、分包部分的费用</w:t>
      </w:r>
      <w:r>
        <w:rPr>
          <w:rFonts w:ascii="宋体" w:hAnsi="宋体" w:cs="宋体" w:eastAsia="宋体"/>
          <w:sz w:val="24"/>
        </w:rPr>
        <w:t>由乙方承担</w:t>
      </w:r>
      <w:r>
        <w:rPr>
          <w:rFonts w:ascii="宋体" w:hAnsi="宋体" w:cs="宋体" w:eastAsia="宋体"/>
          <w:sz w:val="24"/>
        </w:rPr>
        <w:t>。</w:t>
      </w:r>
    </w:p>
    <w:p>
      <w:pPr>
        <w:pStyle w:val="null3"/>
        <w:ind w:right="-15" w:firstLine="448"/>
        <w:jc w:val="both"/>
      </w:pPr>
      <w:r>
        <w:rPr>
          <w:rFonts w:ascii="calibri" w:hAnsi="calibri" w:cs="calibri" w:eastAsia="calibri"/>
          <w:sz w:val="24"/>
        </w:rPr>
        <w:t>9.</w:t>
      </w:r>
      <w:r>
        <w:rPr>
          <w:rFonts w:ascii="calibri" w:hAnsi="calibri" w:cs="calibri" w:eastAsia="calibri"/>
          <w:sz w:val="24"/>
        </w:rPr>
        <w:t>7</w:t>
      </w:r>
      <w:r>
        <w:rPr>
          <w:rFonts w:ascii="calibri" w:hAnsi="calibri" w:cs="calibri" w:eastAsia="calibri"/>
          <w:sz w:val="24"/>
        </w:rPr>
        <w:t xml:space="preserve"> </w:t>
      </w:r>
      <w:r>
        <w:rPr>
          <w:rFonts w:ascii="宋体" w:hAnsi="宋体" w:cs="宋体" w:eastAsia="宋体"/>
          <w:sz w:val="24"/>
        </w:rPr>
        <w:t>乙方提供的产品部分合格的，甲方有权按照</w:t>
      </w:r>
      <w:r>
        <w:rPr>
          <w:rFonts w:ascii="宋体" w:hAnsi="宋体" w:cs="宋体" w:eastAsia="宋体"/>
          <w:sz w:val="24"/>
        </w:rPr>
        <w:t>乙方</w:t>
      </w:r>
      <w:r>
        <w:rPr>
          <w:rFonts w:ascii="宋体" w:hAnsi="宋体" w:cs="宋体" w:eastAsia="宋体"/>
          <w:sz w:val="24"/>
        </w:rPr>
        <w:t>实际提供</w:t>
      </w:r>
      <w:r>
        <w:rPr>
          <w:rFonts w:ascii="宋体" w:hAnsi="宋体" w:cs="宋体" w:eastAsia="宋体"/>
          <w:sz w:val="24"/>
        </w:rPr>
        <w:t>合格</w:t>
      </w:r>
      <w:r>
        <w:rPr>
          <w:rFonts w:ascii="宋体" w:hAnsi="宋体" w:cs="宋体" w:eastAsia="宋体"/>
          <w:sz w:val="24"/>
        </w:rPr>
        <w:t>产品的比例进行付款。</w:t>
      </w:r>
    </w:p>
    <w:p>
      <w:pPr>
        <w:pStyle w:val="null3"/>
        <w:ind w:right="-15" w:firstLine="448"/>
        <w:jc w:val="both"/>
      </w:pPr>
      <w:r>
        <w:rPr>
          <w:rFonts w:ascii="calibri" w:hAnsi="calibri" w:cs="calibri" w:eastAsia="calibri"/>
          <w:sz w:val="24"/>
        </w:rPr>
        <w:t>9.</w:t>
      </w:r>
      <w:r>
        <w:rPr>
          <w:rFonts w:ascii="calibri" w:hAnsi="calibri" w:cs="calibri" w:eastAsia="calibri"/>
          <w:sz w:val="24"/>
        </w:rPr>
        <w:t>8</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承担违约责任并不影响双方继续履行合同未履行的部分。</w:t>
      </w:r>
    </w:p>
    <w:p>
      <w:pPr>
        <w:pStyle w:val="null3"/>
        <w:ind w:right="-15" w:firstLine="448"/>
        <w:jc w:val="both"/>
      </w:pPr>
      <w:r>
        <w:rPr>
          <w:rFonts w:ascii="calibri" w:hAnsi="calibri" w:cs="calibri" w:eastAsia="calibri"/>
          <w:sz w:val="24"/>
        </w:rPr>
        <w:t>9.</w:t>
      </w:r>
      <w:r>
        <w:rPr>
          <w:rFonts w:ascii="calibri" w:hAnsi="calibri" w:cs="calibri" w:eastAsia="calibri"/>
          <w:sz w:val="24"/>
        </w:rPr>
        <w:t>9</w:t>
      </w:r>
      <w:r>
        <w:rPr>
          <w:rFonts w:ascii="calibri" w:hAnsi="calibri" w:cs="calibri" w:eastAsia="calibri"/>
          <w:sz w:val="21"/>
        </w:rPr>
        <w:t xml:space="preserve"> </w:t>
      </w:r>
      <w:r>
        <w:rPr>
          <w:rFonts w:ascii="宋体" w:hAnsi="宋体" w:cs="宋体" w:eastAsia="宋体"/>
          <w:sz w:val="24"/>
        </w:rPr>
        <w:t>如果乙方在收到甲方关于违约金额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的书面通知</w:t>
      </w:r>
      <w:r>
        <w:rPr>
          <w:rFonts w:ascii="宋体" w:hAnsi="宋体" w:cs="宋体" w:eastAsia="宋体"/>
          <w:sz w:val="24"/>
        </w:rPr>
        <w:t>（</w:t>
      </w:r>
      <w:r>
        <w:rPr>
          <w:rFonts w:ascii="宋体" w:hAnsi="宋体" w:cs="宋体" w:eastAsia="宋体"/>
          <w:sz w:val="24"/>
        </w:rPr>
        <w:t>含电子邮件）</w:t>
      </w:r>
      <w:r>
        <w:rPr>
          <w:rFonts w:ascii="宋体" w:hAnsi="宋体" w:cs="宋体" w:eastAsia="宋体"/>
          <w:sz w:val="24"/>
        </w:rPr>
        <w:t>后十个日历日内没有书面答复，则视为乙方对甲方提出的违约金额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无异议。其后乙方不得以任何原因对该金额提出抗辩。</w:t>
      </w:r>
      <w:r>
        <w:rPr>
          <w:rFonts w:ascii="宋体" w:hAnsi="宋体" w:cs="宋体" w:eastAsia="宋体"/>
          <w:sz w:val="24"/>
        </w:rPr>
        <w:t>乙方根据本合同约定须向甲方支付的违约金或赔偿款，甲方有权在其应付</w:t>
      </w:r>
      <w:r>
        <w:rPr>
          <w:rFonts w:ascii="宋体" w:hAnsi="宋体" w:cs="宋体" w:eastAsia="宋体"/>
          <w:sz w:val="24"/>
        </w:rPr>
        <w:t>乙方</w:t>
      </w:r>
      <w:r>
        <w:rPr>
          <w:rFonts w:ascii="宋体" w:hAnsi="宋体" w:cs="宋体" w:eastAsia="宋体"/>
          <w:sz w:val="24"/>
        </w:rPr>
        <w:t>的</w:t>
      </w:r>
      <w:r>
        <w:rPr>
          <w:rFonts w:ascii="宋体" w:hAnsi="宋体" w:cs="宋体" w:eastAsia="宋体"/>
          <w:sz w:val="24"/>
        </w:rPr>
        <w:t>款项</w:t>
      </w:r>
      <w:r>
        <w:rPr>
          <w:rFonts w:ascii="宋体" w:hAnsi="宋体" w:cs="宋体" w:eastAsia="宋体"/>
          <w:sz w:val="24"/>
        </w:rPr>
        <w:t>中予以直接扣除。</w:t>
      </w:r>
    </w:p>
    <w:p>
      <w:pPr>
        <w:pStyle w:val="null3"/>
        <w:ind w:right="-15" w:firstLine="448"/>
        <w:jc w:val="both"/>
      </w:pPr>
      <w:r>
        <w:rPr>
          <w:rFonts w:ascii="calibri" w:hAnsi="calibri" w:cs="calibri" w:eastAsia="calibri"/>
          <w:sz w:val="24"/>
        </w:rPr>
        <w:t xml:space="preserve">9.10 </w:t>
      </w:r>
      <w:r>
        <w:rPr>
          <w:rFonts w:ascii="宋体" w:hAnsi="宋体" w:cs="宋体" w:eastAsia="宋体"/>
          <w:sz w:val="24"/>
        </w:rPr>
        <w:t>如乙方有本条中的违约情形，甲方有暂停或者在一定期限内取消乙方供应商准入资格的权利。</w:t>
      </w:r>
      <w:r>
        <w:rPr>
          <w:rFonts w:ascii="calibri" w:hAnsi="calibri" w:cs="calibri" w:eastAsia="calibri"/>
          <w:sz w:val="21"/>
        </w:rPr>
        <w:t xml:space="preserve"> </w:t>
      </w:r>
    </w:p>
    <w:p>
      <w:pPr>
        <w:pStyle w:val="null3"/>
        <w:ind w:right="-15" w:firstLine="480"/>
        <w:jc w:val="both"/>
      </w:pPr>
      <w:r>
        <w:rPr>
          <w:rFonts w:ascii="宋体" w:hAnsi="宋体" w:cs="宋体" w:eastAsia="宋体"/>
          <w:sz w:val="24"/>
        </w:rPr>
        <w:t>9.11 如本合同无固定总金额，则以双方当期</w:t>
      </w:r>
      <w:r>
        <w:rPr>
          <w:rFonts w:ascii="宋体" w:hAnsi="宋体" w:cs="宋体" w:eastAsia="宋体"/>
          <w:sz w:val="24"/>
        </w:rPr>
        <w:t>应</w:t>
      </w:r>
      <w:r>
        <w:rPr>
          <w:rFonts w:ascii="宋体" w:hAnsi="宋体" w:cs="宋体" w:eastAsia="宋体"/>
          <w:sz w:val="24"/>
        </w:rPr>
        <w:t>结算金额为基数计算违约金。</w:t>
      </w:r>
    </w:p>
    <w:p>
      <w:pPr>
        <w:pStyle w:val="null3"/>
        <w:ind w:right="-15" w:firstLine="448"/>
        <w:jc w:val="both"/>
      </w:pPr>
      <w:r>
        <w:rPr>
          <w:rFonts w:ascii="宋体" w:hAnsi="宋体" w:cs="宋体" w:eastAsia="宋体"/>
          <w:sz w:val="24"/>
        </w:rPr>
        <w:t>9.12 a）如乙方提供的【产品不满足采购需求中的“技术要求”】等导致履约异常事件，每发生一次，乙方应按照该批次货物（以供货通知为准）总金额的1‰且不低于5000元人民币的比例向甲方支付违约金。</w:t>
      </w:r>
    </w:p>
    <w:p>
      <w:pPr>
        <w:pStyle w:val="null3"/>
        <w:ind w:right="-15" w:firstLine="448"/>
        <w:jc w:val="both"/>
      </w:pPr>
      <w:r>
        <w:rPr>
          <w:rFonts w:ascii="宋体" w:hAnsi="宋体" w:cs="宋体" w:eastAsia="宋体"/>
          <w:sz w:val="24"/>
        </w:rPr>
        <w:t>同时甲方有权要求乙方整改或重新供货，如乙方未在甲方规定的期限内完成整改、支付的违约金累计达到该批次货物总金额的</w:t>
      </w:r>
      <w:r>
        <w:rPr>
          <w:rFonts w:ascii="宋体" w:hAnsi="宋体" w:cs="宋体" w:eastAsia="宋体"/>
          <w:sz w:val="24"/>
        </w:rPr>
        <w:t>5%，则甲方有权解除合同。</w:t>
      </w:r>
    </w:p>
    <w:p>
      <w:pPr>
        <w:pStyle w:val="null3"/>
        <w:ind w:right="-15" w:firstLine="448"/>
        <w:jc w:val="both"/>
      </w:pPr>
      <w:r>
        <w:rPr>
          <w:rFonts w:ascii="宋体" w:hAnsi="宋体" w:cs="宋体" w:eastAsia="宋体"/>
          <w:sz w:val="24"/>
        </w:rPr>
        <w:t>9.12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w:t>
      </w:r>
    </w:p>
    <w:p>
      <w:pPr>
        <w:pStyle w:val="null3"/>
        <w:ind w:right="-15" w:firstLine="448"/>
        <w:jc w:val="both"/>
      </w:pPr>
      <w:r>
        <w:rPr>
          <w:rFonts w:ascii="宋体" w:hAnsi="宋体" w:cs="宋体" w:eastAsia="宋体"/>
          <w:sz w:val="24"/>
        </w:rPr>
        <w:t>计算方法</w:t>
      </w:r>
      <w:r>
        <w:rPr>
          <w:rFonts w:ascii="宋体" w:hAnsi="宋体" w:cs="宋体" w:eastAsia="宋体"/>
          <w:sz w:val="24"/>
        </w:rPr>
        <w:t>1：如合同中明确提供了该项服务的报价、且价格不为0零，则扣除该服务异常的验收周期、该项服务的服务费作为违约金。</w:t>
      </w:r>
    </w:p>
    <w:p>
      <w:pPr>
        <w:pStyle w:val="null3"/>
        <w:ind w:right="-15" w:firstLine="448"/>
        <w:jc w:val="both"/>
      </w:pPr>
      <w:r>
        <w:rPr>
          <w:rFonts w:ascii="宋体" w:hAnsi="宋体" w:cs="宋体" w:eastAsia="宋体"/>
          <w:sz w:val="24"/>
        </w:rPr>
        <w:t>计算方法</w:t>
      </w:r>
      <w:r>
        <w:rPr>
          <w:rFonts w:ascii="宋体" w:hAnsi="宋体" w:cs="宋体" w:eastAsia="宋体"/>
          <w:sz w:val="24"/>
        </w:rPr>
        <w:t>2：按照该批次货物（以供货通知为准）、该服务异常的验收周期应支付总金额的1‰且不低于5000元人民币的比例向甲方支付违约金。</w:t>
      </w:r>
    </w:p>
    <w:p>
      <w:pPr>
        <w:pStyle w:val="null3"/>
        <w:ind w:right="-15" w:firstLine="448"/>
        <w:jc w:val="both"/>
      </w:pPr>
      <w:r>
        <w:rPr>
          <w:rFonts w:ascii="宋体" w:hAnsi="宋体" w:cs="宋体" w:eastAsia="宋体"/>
          <w:sz w:val="24"/>
        </w:rPr>
        <w:t>同时甲方有权要求乙方整改，如乙方未在甲方规定的期限内完成整改或支付的违约金累计达到该批次货物总金额的</w:t>
      </w:r>
      <w:r>
        <w:rPr>
          <w:rFonts w:ascii="宋体" w:hAnsi="宋体" w:cs="宋体" w:eastAsia="宋体"/>
          <w:sz w:val="24"/>
        </w:rPr>
        <w:t>5%，则甲方有权解除合同</w:t>
      </w:r>
    </w:p>
    <w:p>
      <w:pPr>
        <w:pStyle w:val="null3"/>
        <w:numPr>
          <w:ilvl w:val="0"/>
          <w:numId w:val="2"/>
        </w:numPr>
        <w:ind w:left="420"/>
        <w:jc w:val="left"/>
      </w:pPr>
      <w:r>
        <w:rPr>
          <w:rFonts w:ascii="宋体" w:hAnsi="宋体" w:cs="宋体" w:eastAsia="宋体"/>
          <w:sz w:val="24"/>
          <w:b/>
        </w:rPr>
        <w:t>不可抗力</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1"/>
        </w:rPr>
        <w:t xml:space="preserve"> </w:t>
      </w:r>
      <w:r>
        <w:rPr>
          <w:rFonts w:ascii="宋体" w:hAnsi="宋体" w:cs="宋体" w:eastAsia="宋体"/>
          <w:sz w:val="24"/>
        </w:rPr>
        <w:t>本合同所称不可抗力，是指</w:t>
      </w:r>
      <w:r>
        <w:rPr>
          <w:rFonts w:ascii="宋体" w:hAnsi="宋体" w:cs="宋体" w:eastAsia="宋体"/>
          <w:sz w:val="24"/>
        </w:rPr>
        <w:t>重大</w:t>
      </w:r>
      <w:r>
        <w:rPr>
          <w:rFonts w:ascii="宋体" w:hAnsi="宋体" w:cs="宋体" w:eastAsia="宋体"/>
          <w:sz w:val="24"/>
        </w:rPr>
        <w:t>地震、台风、水灾、火灾、战争、传染病以及其他不能预见</w:t>
      </w:r>
      <w:r>
        <w:rPr>
          <w:rFonts w:ascii="宋体" w:hAnsi="宋体" w:cs="宋体" w:eastAsia="宋体"/>
          <w:sz w:val="24"/>
        </w:rPr>
        <w:t>、</w:t>
      </w:r>
      <w:r>
        <w:rPr>
          <w:rFonts w:ascii="宋体" w:hAnsi="宋体" w:cs="宋体" w:eastAsia="宋体"/>
          <w:sz w:val="24"/>
        </w:rPr>
        <w:t>不能避免</w:t>
      </w:r>
      <w:r>
        <w:rPr>
          <w:rFonts w:ascii="宋体" w:hAnsi="宋体" w:cs="宋体" w:eastAsia="宋体"/>
          <w:sz w:val="24"/>
        </w:rPr>
        <w:t>且</w:t>
      </w:r>
      <w:r>
        <w:rPr>
          <w:rFonts w:ascii="宋体" w:hAnsi="宋体" w:cs="宋体" w:eastAsia="宋体"/>
          <w:sz w:val="24"/>
        </w:rPr>
        <w:t>不能克服的客观情况。</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因</w:t>
      </w:r>
      <w:r>
        <w:rPr>
          <w:rFonts w:ascii="宋体" w:hAnsi="宋体" w:cs="宋体" w:eastAsia="宋体"/>
          <w:sz w:val="24"/>
        </w:rPr>
        <w:t>不可抗力</w:t>
      </w:r>
      <w:r>
        <w:rPr>
          <w:rFonts w:ascii="宋体" w:hAnsi="宋体" w:cs="宋体" w:eastAsia="宋体"/>
          <w:sz w:val="24"/>
        </w:rPr>
        <w:t>事件而</w:t>
      </w:r>
      <w:r>
        <w:rPr>
          <w:rFonts w:ascii="宋体" w:hAnsi="宋体" w:cs="宋体" w:eastAsia="宋体"/>
          <w:sz w:val="24"/>
        </w:rPr>
        <w:t>不能履行合同时，应及时向对方通报不能履行或不能完全履行的原因，与对方协商是否延期履行、部分履行或者不履行本合同，</w:t>
      </w:r>
      <w:r>
        <w:rPr>
          <w:rFonts w:ascii="宋体" w:hAnsi="宋体" w:cs="宋体" w:eastAsia="宋体"/>
          <w:sz w:val="24"/>
        </w:rPr>
        <w:t>并对此</w:t>
      </w:r>
      <w:r>
        <w:rPr>
          <w:rFonts w:ascii="宋体" w:hAnsi="宋体" w:cs="宋体" w:eastAsia="宋体"/>
          <w:sz w:val="24"/>
        </w:rPr>
        <w:t>不承担违约责任。</w:t>
      </w:r>
      <w:r>
        <w:rPr>
          <w:rFonts w:ascii="宋体" w:hAnsi="宋体" w:cs="宋体" w:eastAsia="宋体"/>
          <w:sz w:val="24"/>
        </w:rPr>
        <w:t>但</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一方有责任尽可能及时采取措施</w:t>
      </w:r>
      <w:r>
        <w:rPr>
          <w:rFonts w:ascii="宋体" w:hAnsi="宋体" w:cs="宋体" w:eastAsia="宋体"/>
          <w:sz w:val="24"/>
        </w:rPr>
        <w:t>以</w:t>
      </w:r>
      <w:r>
        <w:rPr>
          <w:rFonts w:ascii="宋体" w:hAnsi="宋体" w:cs="宋体" w:eastAsia="宋体"/>
          <w:sz w:val="24"/>
        </w:rPr>
        <w:t>减少</w:t>
      </w:r>
      <w:r>
        <w:rPr>
          <w:rFonts w:ascii="宋体" w:hAnsi="宋体" w:cs="宋体" w:eastAsia="宋体"/>
          <w:sz w:val="24"/>
        </w:rPr>
        <w:t>对方的损失、</w:t>
      </w:r>
      <w:r>
        <w:rPr>
          <w:rFonts w:ascii="宋体" w:hAnsi="宋体" w:cs="宋体" w:eastAsia="宋体"/>
          <w:sz w:val="24"/>
        </w:rPr>
        <w:t>消除不可抗力</w:t>
      </w:r>
      <w:r>
        <w:rPr>
          <w:rFonts w:ascii="宋体" w:hAnsi="宋体" w:cs="宋体" w:eastAsia="宋体"/>
          <w:sz w:val="24"/>
        </w:rPr>
        <w:t>事件</w:t>
      </w:r>
      <w:r>
        <w:rPr>
          <w:rFonts w:ascii="宋体" w:hAnsi="宋体" w:cs="宋体" w:eastAsia="宋体"/>
          <w:sz w:val="24"/>
        </w:rPr>
        <w:t>的影响</w:t>
      </w:r>
      <w:r>
        <w:rPr>
          <w:rFonts w:ascii="宋体" w:hAnsi="宋体" w:cs="宋体" w:eastAsia="宋体"/>
          <w:sz w:val="24"/>
        </w:rPr>
        <w:t>，</w:t>
      </w:r>
      <w:r>
        <w:rPr>
          <w:rFonts w:ascii="宋体" w:hAnsi="宋体" w:cs="宋体" w:eastAsia="宋体"/>
          <w:sz w:val="24"/>
        </w:rPr>
        <w:t>否则对</w:t>
      </w:r>
      <w:r>
        <w:rPr>
          <w:rFonts w:ascii="宋体" w:hAnsi="宋体" w:cs="宋体" w:eastAsia="宋体"/>
          <w:sz w:val="24"/>
        </w:rPr>
        <w:t>未尽本项义务而</w:t>
      </w:r>
      <w:r>
        <w:rPr>
          <w:rFonts w:ascii="宋体" w:hAnsi="宋体" w:cs="宋体" w:eastAsia="宋体"/>
          <w:sz w:val="24"/>
        </w:rPr>
        <w:t>导致</w:t>
      </w:r>
      <w:r>
        <w:rPr>
          <w:rFonts w:ascii="宋体" w:hAnsi="宋体" w:cs="宋体" w:eastAsia="宋体"/>
          <w:sz w:val="24"/>
        </w:rPr>
        <w:t>的损失承担赔偿责任。</w:t>
      </w:r>
    </w:p>
    <w:p>
      <w:pPr>
        <w:pStyle w:val="null3"/>
        <w:ind w:firstLine="480"/>
        <w:jc w:val="both"/>
      </w:pPr>
      <w:r>
        <w:rPr>
          <w:rFonts w:ascii="calibri" w:hAnsi="calibri" w:cs="calibri" w:eastAsia="calibri"/>
          <w:sz w:val="24"/>
        </w:rPr>
        <w:t xml:space="preserve">10.3 </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w:t>
      </w:r>
      <w:r>
        <w:rPr>
          <w:rFonts w:ascii="宋体" w:hAnsi="宋体" w:cs="宋体" w:eastAsia="宋体"/>
          <w:sz w:val="24"/>
        </w:rPr>
        <w:t>应尽力</w:t>
      </w:r>
      <w:r>
        <w:rPr>
          <w:rFonts w:ascii="宋体" w:hAnsi="宋体" w:cs="宋体" w:eastAsia="宋体"/>
          <w:sz w:val="24"/>
        </w:rPr>
        <w:t>在</w:t>
      </w:r>
      <w:r>
        <w:rPr>
          <w:rFonts w:ascii="宋体" w:hAnsi="宋体" w:cs="宋体" w:eastAsia="宋体"/>
          <w:sz w:val="24"/>
        </w:rPr>
        <w:t>不可抗力事件</w:t>
      </w:r>
      <w:r>
        <w:rPr>
          <w:rFonts w:ascii="宋体" w:hAnsi="宋体" w:cs="宋体" w:eastAsia="宋体"/>
          <w:sz w:val="24"/>
        </w:rPr>
        <w:t>发生后十（</w:t>
      </w:r>
      <w:r>
        <w:rPr>
          <w:rFonts w:ascii="calibri" w:hAnsi="calibri" w:cs="calibri" w:eastAsia="calibri"/>
          <w:sz w:val="24"/>
        </w:rPr>
        <w:t>10</w:t>
      </w:r>
      <w:r>
        <w:rPr>
          <w:rFonts w:ascii="宋体" w:hAnsi="宋体" w:cs="宋体" w:eastAsia="宋体"/>
          <w:sz w:val="24"/>
        </w:rPr>
        <w:t>）个日历日内取得</w:t>
      </w:r>
      <w:r>
        <w:rPr>
          <w:rFonts w:ascii="宋体" w:hAnsi="宋体" w:cs="宋体" w:eastAsia="宋体"/>
          <w:sz w:val="24"/>
        </w:rPr>
        <w:t>有关部门的</w:t>
      </w:r>
      <w:r>
        <w:rPr>
          <w:rFonts w:ascii="宋体" w:hAnsi="宋体" w:cs="宋体" w:eastAsia="宋体"/>
          <w:sz w:val="24"/>
        </w:rPr>
        <w:t>证明，</w:t>
      </w:r>
      <w:r>
        <w:rPr>
          <w:rFonts w:ascii="宋体" w:hAnsi="宋体" w:cs="宋体" w:eastAsia="宋体"/>
          <w:sz w:val="24"/>
        </w:rPr>
        <w:t>并</w:t>
      </w:r>
      <w:r>
        <w:rPr>
          <w:rFonts w:ascii="宋体" w:hAnsi="宋体" w:cs="宋体" w:eastAsia="宋体"/>
          <w:sz w:val="24"/>
        </w:rPr>
        <w:t>将有关部门出具的证明文件</w:t>
      </w:r>
      <w:r>
        <w:rPr>
          <w:rFonts w:ascii="宋体" w:hAnsi="宋体" w:cs="宋体" w:eastAsia="宋体"/>
          <w:sz w:val="24"/>
        </w:rPr>
        <w:t>以及</w:t>
      </w:r>
      <w:r>
        <w:rPr>
          <w:rFonts w:ascii="宋体" w:hAnsi="宋体" w:cs="宋体" w:eastAsia="宋体"/>
          <w:sz w:val="24"/>
        </w:rPr>
        <w:t>详细情况报告、不可抗力</w:t>
      </w:r>
      <w:r>
        <w:rPr>
          <w:rFonts w:ascii="宋体" w:hAnsi="宋体" w:cs="宋体" w:eastAsia="宋体"/>
          <w:sz w:val="24"/>
        </w:rPr>
        <w:t>事件</w:t>
      </w:r>
      <w:r>
        <w:rPr>
          <w:rFonts w:ascii="宋体" w:hAnsi="宋体" w:cs="宋体" w:eastAsia="宋体"/>
          <w:sz w:val="24"/>
        </w:rPr>
        <w:t>对合同影响的说明用特快专递</w:t>
      </w:r>
      <w:r>
        <w:rPr>
          <w:rFonts w:ascii="宋体" w:hAnsi="宋体" w:cs="宋体" w:eastAsia="宋体"/>
          <w:sz w:val="24"/>
        </w:rPr>
        <w:t>或</w:t>
      </w:r>
      <w:r>
        <w:rPr>
          <w:rFonts w:ascii="宋体" w:hAnsi="宋体" w:cs="宋体" w:eastAsia="宋体"/>
          <w:sz w:val="24"/>
        </w:rPr>
        <w:t>挂号信形式寄给另一方。</w:t>
      </w:r>
    </w:p>
    <w:p>
      <w:pPr>
        <w:pStyle w:val="null3"/>
        <w:ind w:firstLine="480"/>
        <w:jc w:val="both"/>
      </w:pPr>
      <w:r>
        <w:rPr>
          <w:rFonts w:ascii="calibri" w:hAnsi="calibri" w:cs="calibri" w:eastAsia="calibri"/>
          <w:sz w:val="24"/>
        </w:rPr>
        <w:t xml:space="preserve">10.4 </w:t>
      </w:r>
      <w:r>
        <w:rPr>
          <w:rFonts w:ascii="宋体" w:hAnsi="宋体" w:cs="宋体" w:eastAsia="宋体"/>
          <w:sz w:val="24"/>
        </w:rPr>
        <w:t>任何一方延迟履行合同后发生不可抗力</w:t>
      </w:r>
      <w:r>
        <w:rPr>
          <w:rFonts w:ascii="宋体" w:hAnsi="宋体" w:cs="宋体" w:eastAsia="宋体"/>
          <w:sz w:val="24"/>
        </w:rPr>
        <w:t>事件</w:t>
      </w:r>
      <w:r>
        <w:rPr>
          <w:rFonts w:ascii="宋体" w:hAnsi="宋体" w:cs="宋体" w:eastAsia="宋体"/>
          <w:sz w:val="24"/>
        </w:rPr>
        <w:t>的，不能免除因</w:t>
      </w:r>
      <w:r>
        <w:rPr>
          <w:rFonts w:ascii="宋体" w:hAnsi="宋体" w:cs="宋体" w:eastAsia="宋体"/>
          <w:sz w:val="24"/>
        </w:rPr>
        <w:t>延迟履行产生的违约</w:t>
      </w:r>
      <w:r>
        <w:rPr>
          <w:rFonts w:ascii="宋体" w:hAnsi="宋体" w:cs="宋体" w:eastAsia="宋体"/>
          <w:sz w:val="24"/>
        </w:rPr>
        <w:t>责任。</w:t>
      </w:r>
    </w:p>
    <w:p>
      <w:pPr>
        <w:pStyle w:val="null3"/>
        <w:numPr>
          <w:ilvl w:val="0"/>
          <w:numId w:val="2"/>
        </w:numPr>
        <w:ind w:left="420"/>
        <w:jc w:val="left"/>
      </w:pPr>
      <w:r>
        <w:rPr>
          <w:rFonts w:ascii="宋体" w:hAnsi="宋体" w:cs="宋体" w:eastAsia="宋体"/>
          <w:sz w:val="24"/>
          <w:b/>
        </w:rPr>
        <w:t>情势变更</w:t>
      </w:r>
    </w:p>
    <w:p>
      <w:pPr>
        <w:pStyle w:val="null3"/>
        <w:ind w:firstLine="480"/>
        <w:jc w:val="both"/>
      </w:pPr>
      <w:r>
        <w:rPr>
          <w:rFonts w:ascii="calibri" w:hAnsi="calibri" w:cs="calibri" w:eastAsia="calibri"/>
          <w:sz w:val="24"/>
        </w:rPr>
        <w:t xml:space="preserve">11.1 </w:t>
      </w:r>
      <w:r>
        <w:rPr>
          <w:rFonts w:ascii="宋体" w:hAnsi="宋体" w:cs="宋体" w:eastAsia="宋体"/>
          <w:sz w:val="24"/>
        </w:rPr>
        <w:t>本合同所称情势变更指合同成立后，合同的基础条件发生了甲乙双方在合同订立时无法预见的、不属于商业风险的</w:t>
      </w:r>
      <w:r>
        <w:rPr>
          <w:rFonts w:ascii="宋体" w:hAnsi="宋体" w:cs="宋体" w:eastAsia="宋体"/>
          <w:sz w:val="24"/>
        </w:rPr>
        <w:t>重</w:t>
      </w:r>
      <w:r>
        <w:rPr>
          <w:rFonts w:ascii="宋体" w:hAnsi="宋体" w:cs="宋体" w:eastAsia="宋体"/>
          <w:sz w:val="24"/>
        </w:rPr>
        <w:t>大变化，继续履行合同对其中一方明显不公平，则受不利影响的一方可以与对方重新协商，双方根据公平原则变更或解除合同。</w:t>
      </w:r>
    </w:p>
    <w:p>
      <w:pPr>
        <w:pStyle w:val="null3"/>
        <w:ind w:firstLine="480"/>
        <w:jc w:val="both"/>
      </w:pPr>
      <w:r>
        <w:rPr>
          <w:rFonts w:ascii="calibri" w:hAnsi="calibri" w:cs="calibri" w:eastAsia="calibri"/>
          <w:sz w:val="24"/>
        </w:rPr>
        <w:t xml:space="preserve">11.2 </w:t>
      </w:r>
      <w:r>
        <w:rPr>
          <w:rFonts w:ascii="宋体" w:hAnsi="宋体" w:cs="宋体" w:eastAsia="宋体"/>
          <w:sz w:val="24"/>
        </w:rPr>
        <w:t>双方协商不成的，可根据本合同争议解决条款请求有管辖权的人民法院变更或</w:t>
      </w:r>
      <w:r>
        <w:rPr>
          <w:rFonts w:ascii="宋体" w:hAnsi="宋体" w:cs="宋体" w:eastAsia="宋体"/>
          <w:sz w:val="24"/>
        </w:rPr>
        <w:t>解除</w:t>
      </w:r>
      <w:r>
        <w:rPr>
          <w:rFonts w:ascii="宋体" w:hAnsi="宋体" w:cs="宋体" w:eastAsia="宋体"/>
          <w:sz w:val="24"/>
        </w:rPr>
        <w:t>合同。</w:t>
      </w:r>
    </w:p>
    <w:p>
      <w:pPr>
        <w:pStyle w:val="null3"/>
        <w:numPr>
          <w:ilvl w:val="0"/>
          <w:numId w:val="2"/>
        </w:numPr>
        <w:ind w:left="420"/>
        <w:jc w:val="left"/>
      </w:pPr>
      <w:r>
        <w:rPr>
          <w:rFonts w:ascii="宋体" w:hAnsi="宋体" w:cs="宋体" w:eastAsia="宋体"/>
          <w:sz w:val="24"/>
          <w:b/>
        </w:rPr>
        <w:t>保密</w:t>
      </w:r>
    </w:p>
    <w:p>
      <w:pPr>
        <w:pStyle w:val="null3"/>
        <w:ind w:firstLine="480"/>
        <w:jc w:val="both"/>
      </w:pPr>
      <w:r>
        <w:rPr>
          <w:rFonts w:ascii="宋体" w:hAnsi="宋体" w:cs="宋体" w:eastAsia="宋体"/>
          <w:sz w:val="24"/>
        </w:rPr>
        <w:t>见附件《安全保密</w:t>
      </w:r>
      <w:r>
        <w:rPr>
          <w:rFonts w:ascii="宋体" w:hAnsi="宋体" w:cs="宋体" w:eastAsia="宋体"/>
          <w:sz w:val="24"/>
        </w:rPr>
        <w:t>协议</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合同的转让</w:t>
      </w:r>
    </w:p>
    <w:p>
      <w:pPr>
        <w:pStyle w:val="null3"/>
        <w:ind w:right="-15" w:firstLine="480"/>
        <w:jc w:val="both"/>
      </w:pPr>
      <w:r>
        <w:rPr>
          <w:rFonts w:ascii="宋体" w:hAnsi="宋体" w:cs="宋体" w:eastAsia="宋体"/>
          <w:sz w:val="2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p>
    <w:p>
      <w:pPr>
        <w:pStyle w:val="null3"/>
        <w:numPr>
          <w:ilvl w:val="0"/>
          <w:numId w:val="2"/>
        </w:numPr>
        <w:ind w:right="-15"/>
        <w:jc w:val="both"/>
      </w:pPr>
      <w:r>
        <w:rPr>
          <w:rFonts w:ascii="宋体" w:hAnsi="宋体" w:cs="宋体" w:eastAsia="宋体"/>
          <w:sz w:val="24"/>
          <w:b/>
        </w:rPr>
        <w:t>合同的终止与解除</w:t>
      </w:r>
    </w:p>
    <w:p>
      <w:pPr>
        <w:pStyle w:val="null3"/>
        <w:ind w:firstLine="480"/>
        <w:jc w:val="both"/>
      </w:pPr>
      <w:r>
        <w:rPr>
          <w:rFonts w:ascii="calibri" w:hAnsi="calibri" w:cs="calibri" w:eastAsia="calibri"/>
          <w:sz w:val="24"/>
        </w:rPr>
        <w:t>14</w:t>
      </w:r>
      <w:r>
        <w:rPr>
          <w:rFonts w:ascii="calibri" w:hAnsi="calibri" w:cs="calibri" w:eastAsia="calibri"/>
          <w:sz w:val="24"/>
        </w:rPr>
        <w:t xml:space="preserve">.1 </w:t>
      </w:r>
      <w:r>
        <w:rPr>
          <w:rFonts w:ascii="宋体" w:hAnsi="宋体" w:cs="宋体" w:eastAsia="宋体"/>
          <w:sz w:val="24"/>
        </w:rPr>
        <w:t>除本合同另有约定外，任何一方</w:t>
      </w:r>
      <w:r>
        <w:rPr>
          <w:rFonts w:ascii="宋体" w:hAnsi="宋体" w:cs="宋体" w:eastAsia="宋体"/>
          <w:sz w:val="24"/>
        </w:rPr>
        <w:t>均不得单方随意</w:t>
      </w:r>
      <w:r>
        <w:rPr>
          <w:rFonts w:ascii="宋体" w:hAnsi="宋体" w:cs="宋体" w:eastAsia="宋体"/>
          <w:sz w:val="24"/>
        </w:rPr>
        <w:t>终止</w:t>
      </w:r>
      <w:r>
        <w:rPr>
          <w:rFonts w:ascii="宋体" w:hAnsi="宋体" w:cs="宋体" w:eastAsia="宋体"/>
          <w:sz w:val="24"/>
        </w:rPr>
        <w:t>或解除合同。</w:t>
      </w:r>
      <w:r>
        <w:rPr>
          <w:rFonts w:ascii="宋体" w:hAnsi="宋体" w:cs="宋体" w:eastAsia="宋体"/>
          <w:sz w:val="24"/>
        </w:rPr>
        <w:t>但出现如下情形时，合同终止或解除：</w:t>
      </w:r>
    </w:p>
    <w:p>
      <w:pPr>
        <w:pStyle w:val="null3"/>
        <w:ind w:left="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本合同正常履行完毕；</w:t>
      </w:r>
    </w:p>
    <w:p>
      <w:pPr>
        <w:pStyle w:val="null3"/>
        <w:ind w:left="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不可抗力</w:t>
      </w:r>
      <w:r>
        <w:rPr>
          <w:rFonts w:ascii="宋体" w:hAnsi="宋体" w:cs="宋体" w:eastAsia="宋体"/>
          <w:sz w:val="24"/>
        </w:rPr>
        <w:t>或情势变更事件</w:t>
      </w:r>
      <w:r>
        <w:rPr>
          <w:rFonts w:ascii="宋体" w:hAnsi="宋体" w:cs="宋体" w:eastAsia="宋体"/>
          <w:sz w:val="24"/>
        </w:rPr>
        <w:t>导致本合同无法履行或不必要履行时；</w:t>
      </w:r>
    </w:p>
    <w:p>
      <w:pPr>
        <w:pStyle w:val="null3"/>
        <w:ind w:left="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双方协商一致</w:t>
      </w:r>
      <w:r>
        <w:rPr>
          <w:rFonts w:ascii="宋体" w:hAnsi="宋体" w:cs="宋体" w:eastAsia="宋体"/>
          <w:sz w:val="24"/>
        </w:rPr>
        <w:t>终止或</w:t>
      </w:r>
      <w:r>
        <w:rPr>
          <w:rFonts w:ascii="宋体" w:hAnsi="宋体" w:cs="宋体" w:eastAsia="宋体"/>
          <w:sz w:val="24"/>
        </w:rPr>
        <w:t>解除；</w:t>
      </w:r>
    </w:p>
    <w:p>
      <w:pPr>
        <w:pStyle w:val="null3"/>
        <w:ind w:left="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本合同约定解除</w:t>
      </w:r>
      <w:r>
        <w:rPr>
          <w:rFonts w:ascii="宋体" w:hAnsi="宋体" w:cs="宋体" w:eastAsia="宋体"/>
          <w:sz w:val="24"/>
        </w:rPr>
        <w:t>或终止</w:t>
      </w:r>
      <w:r>
        <w:rPr>
          <w:rFonts w:ascii="宋体" w:hAnsi="宋体" w:cs="宋体" w:eastAsia="宋体"/>
          <w:sz w:val="24"/>
        </w:rPr>
        <w:t>的情形满足时。</w:t>
      </w:r>
    </w:p>
    <w:p>
      <w:pPr>
        <w:pStyle w:val="null3"/>
        <w:ind w:firstLine="480"/>
        <w:jc w:val="both"/>
      </w:pPr>
      <w:r>
        <w:rPr>
          <w:rFonts w:ascii="calibri" w:hAnsi="calibri" w:cs="calibri" w:eastAsia="calibri"/>
          <w:sz w:val="24"/>
        </w:rPr>
        <w:t>14.2</w:t>
      </w:r>
      <w:r>
        <w:rPr>
          <w:rFonts w:ascii="calibri" w:hAnsi="calibri" w:cs="calibri" w:eastAsia="calibri"/>
          <w:sz w:val="24"/>
        </w:rPr>
        <w:t xml:space="preserve"> </w:t>
      </w:r>
      <w:r>
        <w:rPr>
          <w:rFonts w:ascii="宋体" w:hAnsi="宋体" w:cs="宋体" w:eastAsia="宋体"/>
          <w:sz w:val="24"/>
        </w:rPr>
        <w:t>除本合同另有约定外，在下列情况下，甲方可向乙方发出书面通知解除部分或全部合同</w:t>
      </w:r>
      <w:r>
        <w:rPr>
          <w:rFonts w:ascii="宋体" w:hAnsi="宋体" w:cs="宋体" w:eastAsia="宋体"/>
          <w:sz w:val="24"/>
        </w:rPr>
        <w:t>，</w:t>
      </w:r>
      <w:r>
        <w:rPr>
          <w:rFonts w:ascii="宋体" w:hAnsi="宋体" w:cs="宋体" w:eastAsia="宋体"/>
          <w:sz w:val="24"/>
        </w:rPr>
        <w:t>要求乙方支付合同总金额</w:t>
      </w:r>
      <w:r>
        <w:rPr>
          <w:rFonts w:ascii="calibri" w:hAnsi="calibri" w:cs="calibri" w:eastAsia="calibri"/>
          <w:sz w:val="24"/>
        </w:rPr>
        <w:t>10%</w:t>
      </w:r>
      <w:r>
        <w:rPr>
          <w:rFonts w:ascii="宋体" w:hAnsi="宋体" w:cs="宋体" w:eastAsia="宋体"/>
          <w:sz w:val="24"/>
        </w:rPr>
        <w:t>的违约金，并赔偿甲方的全部损失。</w:t>
      </w:r>
      <w:r>
        <w:rPr>
          <w:rFonts w:ascii="宋体" w:hAnsi="宋体" w:cs="宋体" w:eastAsia="宋体"/>
          <w:sz w:val="24"/>
        </w:rPr>
        <w:t>解除合同行为不影响甲方采取其他补救措施，也不免除乙方的损害赔偿责任，对于由此给乙方造成的损失</w:t>
      </w:r>
      <w:r>
        <w:rPr>
          <w:rFonts w:ascii="宋体" w:hAnsi="宋体" w:cs="宋体" w:eastAsia="宋体"/>
          <w:sz w:val="24"/>
        </w:rPr>
        <w:t>，</w:t>
      </w:r>
      <w:r>
        <w:rPr>
          <w:rFonts w:ascii="宋体" w:hAnsi="宋体" w:cs="宋体" w:eastAsia="宋体"/>
          <w:sz w:val="24"/>
        </w:rPr>
        <w:t>甲方不承担赔偿责任：</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经营状况、声誉等恶化导致其履行本合同困难或不再具备履行本合同所需的资质；</w:t>
      </w:r>
    </w:p>
    <w:p>
      <w:pPr>
        <w:pStyle w:val="null3"/>
        <w:ind w:firstLine="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乙方拒绝接受或不配合甲方</w:t>
      </w:r>
      <w:r>
        <w:rPr>
          <w:rFonts w:ascii="宋体" w:hAnsi="宋体" w:cs="宋体" w:eastAsia="宋体"/>
          <w:sz w:val="24"/>
        </w:rPr>
        <w:t>、</w:t>
      </w:r>
      <w:r>
        <w:rPr>
          <w:rFonts w:ascii="宋体" w:hAnsi="宋体" w:cs="宋体" w:eastAsia="宋体"/>
          <w:sz w:val="24"/>
        </w:rPr>
        <w:t>金融业监督管理机构对</w:t>
      </w:r>
      <w:r>
        <w:rPr>
          <w:rFonts w:ascii="宋体" w:hAnsi="宋体" w:cs="宋体" w:eastAsia="宋体"/>
          <w:sz w:val="24"/>
        </w:rPr>
        <w:t>合同</w:t>
      </w:r>
      <w:r>
        <w:rPr>
          <w:rFonts w:ascii="宋体" w:hAnsi="宋体" w:cs="宋体" w:eastAsia="宋体"/>
          <w:sz w:val="24"/>
        </w:rPr>
        <w:t>履行情况的检查和审计；</w:t>
      </w:r>
    </w:p>
    <w:p>
      <w:pPr>
        <w:pStyle w:val="null3"/>
        <w:ind w:firstLine="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乙方或其工作人员发生刺探</w:t>
      </w:r>
      <w:r>
        <w:rPr>
          <w:rFonts w:ascii="宋体" w:hAnsi="宋体" w:cs="宋体" w:eastAsia="宋体"/>
          <w:sz w:val="24"/>
        </w:rPr>
        <w:t>或</w:t>
      </w:r>
      <w:r>
        <w:rPr>
          <w:rFonts w:ascii="宋体" w:hAnsi="宋体" w:cs="宋体" w:eastAsia="宋体"/>
          <w:sz w:val="24"/>
        </w:rPr>
        <w:t>泄露国家秘密、以甲方名义对外开展活动</w:t>
      </w:r>
      <w:r>
        <w:rPr>
          <w:rFonts w:ascii="宋体" w:hAnsi="宋体" w:cs="宋体" w:eastAsia="宋体"/>
          <w:sz w:val="24"/>
        </w:rPr>
        <w:t>、</w:t>
      </w:r>
      <w:r>
        <w:rPr>
          <w:rFonts w:ascii="宋体" w:hAnsi="宋体" w:cs="宋体" w:eastAsia="宋体"/>
          <w:sz w:val="24"/>
        </w:rPr>
        <w:t>恶意破坏金融信息系统</w:t>
      </w:r>
      <w:r>
        <w:rPr>
          <w:rFonts w:ascii="宋体" w:hAnsi="宋体" w:cs="宋体" w:eastAsia="宋体"/>
          <w:sz w:val="24"/>
        </w:rPr>
        <w:t>或关键</w:t>
      </w:r>
      <w:r>
        <w:rPr>
          <w:rFonts w:ascii="宋体" w:hAnsi="宋体" w:cs="宋体" w:eastAsia="宋体"/>
          <w:sz w:val="24"/>
        </w:rPr>
        <w:t>信息基础设施等情形；</w:t>
      </w:r>
    </w:p>
    <w:p>
      <w:pPr>
        <w:pStyle w:val="null3"/>
        <w:ind w:firstLine="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乙方发生造成甲方声誉</w:t>
      </w:r>
      <w:r>
        <w:rPr>
          <w:rFonts w:ascii="宋体" w:hAnsi="宋体" w:cs="宋体" w:eastAsia="宋体"/>
          <w:sz w:val="24"/>
        </w:rPr>
        <w:t>损失、</w:t>
      </w:r>
      <w:r>
        <w:rPr>
          <w:rFonts w:ascii="宋体" w:hAnsi="宋体" w:cs="宋体" w:eastAsia="宋体"/>
          <w:sz w:val="24"/>
        </w:rPr>
        <w:t>经济损失或损害甲方利益</w:t>
      </w:r>
      <w:r>
        <w:rPr>
          <w:rFonts w:ascii="宋体" w:hAnsi="宋体" w:cs="宋体" w:eastAsia="宋体"/>
          <w:sz w:val="24"/>
        </w:rPr>
        <w:t>的</w:t>
      </w:r>
      <w:r>
        <w:rPr>
          <w:rFonts w:ascii="宋体" w:hAnsi="宋体" w:cs="宋体" w:eastAsia="宋体"/>
          <w:sz w:val="24"/>
        </w:rPr>
        <w:t>行为</w:t>
      </w:r>
      <w:r>
        <w:rPr>
          <w:rFonts w:ascii="宋体" w:hAnsi="宋体" w:cs="宋体" w:eastAsia="宋体"/>
          <w:sz w:val="24"/>
        </w:rPr>
        <w:t>；</w:t>
      </w:r>
    </w:p>
    <w:p>
      <w:pPr>
        <w:pStyle w:val="null3"/>
        <w:ind w:firstLine="4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的行为</w:t>
      </w:r>
      <w:r>
        <w:rPr>
          <w:rFonts w:ascii="宋体" w:hAnsi="宋体" w:cs="宋体" w:eastAsia="宋体"/>
          <w:sz w:val="24"/>
        </w:rPr>
        <w:t>导致</w:t>
      </w:r>
      <w:r>
        <w:rPr>
          <w:rFonts w:ascii="宋体" w:hAnsi="宋体" w:cs="宋体" w:eastAsia="宋体"/>
          <w:sz w:val="24"/>
        </w:rPr>
        <w:t>本</w:t>
      </w:r>
      <w:r>
        <w:rPr>
          <w:rFonts w:ascii="宋体" w:hAnsi="宋体" w:cs="宋体" w:eastAsia="宋体"/>
          <w:sz w:val="24"/>
        </w:rPr>
        <w:t>合同实质无法履行。</w:t>
      </w:r>
    </w:p>
    <w:p>
      <w:pPr>
        <w:pStyle w:val="null3"/>
        <w:numPr>
          <w:ilvl w:val="0"/>
          <w:numId w:val="2"/>
        </w:numPr>
        <w:jc w:val="both"/>
      </w:pPr>
      <w:r>
        <w:rPr>
          <w:rFonts w:ascii="宋体" w:hAnsi="宋体" w:cs="宋体" w:eastAsia="宋体"/>
          <w:sz w:val="24"/>
          <w:b/>
        </w:rPr>
        <w:t>通知与送达</w:t>
      </w:r>
    </w:p>
    <w:p>
      <w:pPr>
        <w:pStyle w:val="null3"/>
        <w:ind w:firstLine="480"/>
        <w:jc w:val="both"/>
      </w:pPr>
      <w:r>
        <w:rPr>
          <w:rFonts w:ascii="calibri" w:hAnsi="calibri" w:cs="calibri" w:eastAsia="calibri"/>
          <w:sz w:val="24"/>
        </w:rPr>
        <w:t xml:space="preserve">15.1 </w:t>
      </w:r>
      <w:r>
        <w:rPr>
          <w:rFonts w:ascii="宋体" w:hAnsi="宋体" w:cs="宋体" w:eastAsia="宋体"/>
          <w:sz w:val="24"/>
        </w:rPr>
        <w:t>各方发出与本合同有关的通知或回复，应以专人送递</w:t>
      </w:r>
      <w:r>
        <w:rPr>
          <w:rFonts w:ascii="宋体" w:hAnsi="宋体" w:cs="宋体" w:eastAsia="宋体"/>
          <w:sz w:val="24"/>
        </w:rPr>
        <w:t>、</w:t>
      </w:r>
      <w:r>
        <w:rPr>
          <w:rFonts w:ascii="宋体" w:hAnsi="宋体" w:cs="宋体" w:eastAsia="宋体"/>
          <w:sz w:val="24"/>
        </w:rPr>
        <w:t>特快专递、电子邮件等方式送至指定联系人。</w:t>
      </w:r>
      <w:r>
        <w:rPr>
          <w:rFonts w:ascii="宋体" w:hAnsi="宋体" w:cs="宋体" w:eastAsia="宋体"/>
          <w:sz w:val="24"/>
        </w:rPr>
        <w:t>前述送达方式具有同等法律效力。</w:t>
      </w:r>
      <w:r>
        <w:rPr>
          <w:rFonts w:ascii="宋体" w:hAnsi="宋体" w:cs="宋体" w:eastAsia="宋体"/>
          <w:sz w:val="24"/>
        </w:rPr>
        <w:t>如果以专人送递或特快专递发送，以送达至</w:t>
      </w:r>
      <w:r>
        <w:rPr>
          <w:rFonts w:ascii="宋体" w:hAnsi="宋体" w:cs="宋体" w:eastAsia="宋体"/>
          <w:sz w:val="24"/>
        </w:rPr>
        <w:t>以下</w:t>
      </w:r>
      <w:r>
        <w:rPr>
          <w:rFonts w:ascii="宋体" w:hAnsi="宋体" w:cs="宋体" w:eastAsia="宋体"/>
          <w:sz w:val="24"/>
        </w:rPr>
        <w:t>约定地点或双方指定的其他地址</w:t>
      </w:r>
      <w:r>
        <w:rPr>
          <w:rFonts w:ascii="宋体" w:hAnsi="宋体" w:cs="宋体" w:eastAsia="宋体"/>
          <w:sz w:val="24"/>
        </w:rPr>
        <w:t>并</w:t>
      </w:r>
      <w:r>
        <w:rPr>
          <w:rFonts w:ascii="宋体" w:hAnsi="宋体" w:cs="宋体" w:eastAsia="宋体"/>
          <w:sz w:val="24"/>
        </w:rPr>
        <w:t>经对方签收视为送达（但对方故意不签收时，送达至前述地址即视为送达）；以电子邮件发出的，以电子邮件进入对方邮件系统时视为送达。双方指定</w:t>
      </w:r>
      <w:r>
        <w:rPr>
          <w:rFonts w:ascii="宋体" w:hAnsi="宋体" w:cs="宋体" w:eastAsia="宋体"/>
          <w:sz w:val="24"/>
        </w:rPr>
        <w:t>联系人和</w:t>
      </w:r>
      <w:r>
        <w:rPr>
          <w:rFonts w:ascii="宋体" w:hAnsi="宋体" w:cs="宋体" w:eastAsia="宋体"/>
          <w:sz w:val="24"/>
        </w:rPr>
        <w:t>联系方式</w:t>
      </w:r>
      <w:r>
        <w:rPr>
          <w:rFonts w:ascii="宋体" w:hAnsi="宋体" w:cs="宋体" w:eastAsia="宋体"/>
          <w:sz w:val="24"/>
        </w:rPr>
        <w:t>如下：</w:t>
      </w:r>
    </w:p>
    <w:p>
      <w:pPr>
        <w:pStyle w:val="null3"/>
        <w:ind w:firstLine="480"/>
        <w:jc w:val="both"/>
      </w:pPr>
      <w:r>
        <w:rPr>
          <w:rFonts w:ascii="宋体" w:hAnsi="宋体" w:cs="宋体" w:eastAsia="宋体"/>
          <w:sz w:val="24"/>
        </w:rPr>
        <w:t>甲方指定联系人：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宋体" w:hAnsi="宋体" w:cs="宋体" w:eastAsia="宋体"/>
          <w:sz w:val="24"/>
        </w:rPr>
        <w:t>乙</w:t>
      </w:r>
      <w:r>
        <w:rPr>
          <w:rFonts w:ascii="宋体" w:hAnsi="宋体" w:cs="宋体" w:eastAsia="宋体"/>
          <w:sz w:val="24"/>
        </w:rPr>
        <w:t>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calibri" w:hAnsi="calibri" w:cs="calibri" w:eastAsia="calibri"/>
          <w:sz w:val="24"/>
        </w:rPr>
        <w:t xml:space="preserve">15.2 </w:t>
      </w:r>
      <w:r>
        <w:rPr>
          <w:rFonts w:ascii="宋体" w:hAnsi="宋体" w:cs="宋体" w:eastAsia="宋体"/>
          <w:sz w:val="24"/>
        </w:rPr>
        <w:t>一方指定联系人</w:t>
      </w:r>
      <w:r>
        <w:rPr>
          <w:rFonts w:ascii="宋体" w:hAnsi="宋体" w:cs="宋体" w:eastAsia="宋体"/>
          <w:sz w:val="24"/>
        </w:rPr>
        <w:t>或联系方式</w:t>
      </w:r>
      <w:r>
        <w:rPr>
          <w:rFonts w:ascii="宋体" w:hAnsi="宋体" w:cs="宋体" w:eastAsia="宋体"/>
          <w:sz w:val="24"/>
        </w:rPr>
        <w:t>变更的，应提前三个工作日书面通知对方。</w:t>
      </w:r>
    </w:p>
    <w:p>
      <w:pPr>
        <w:pStyle w:val="null3"/>
        <w:numPr>
          <w:ilvl w:val="0"/>
          <w:numId w:val="2"/>
        </w:numPr>
        <w:ind w:right="-15"/>
        <w:jc w:val="both"/>
      </w:pPr>
      <w:r>
        <w:rPr>
          <w:rFonts w:ascii="宋体" w:hAnsi="宋体" w:cs="宋体" w:eastAsia="宋体"/>
          <w:sz w:val="24"/>
          <w:b/>
        </w:rPr>
        <w:t>法律适用及争议解决</w:t>
      </w:r>
    </w:p>
    <w:p>
      <w:pPr>
        <w:pStyle w:val="null3"/>
        <w:ind w:firstLine="480"/>
        <w:jc w:val="both"/>
      </w:pPr>
      <w:r>
        <w:rPr>
          <w:rFonts w:ascii="calibri" w:hAnsi="calibri" w:cs="calibri" w:eastAsia="calibri"/>
          <w:sz w:val="24"/>
        </w:rPr>
        <w:t xml:space="preserve">16.1 </w:t>
      </w:r>
      <w:r>
        <w:rPr>
          <w:rFonts w:ascii="宋体" w:hAnsi="宋体" w:cs="宋体" w:eastAsia="宋体"/>
          <w:sz w:val="24"/>
        </w:rPr>
        <w:t>本合同的订立、效力、履行、解释、争议解决等适用中华人民共和国法律法规。</w:t>
      </w:r>
    </w:p>
    <w:p>
      <w:pPr>
        <w:pStyle w:val="null3"/>
        <w:ind w:firstLine="480"/>
        <w:jc w:val="both"/>
      </w:pPr>
      <w:r>
        <w:rPr>
          <w:rFonts w:ascii="calibri" w:hAnsi="calibri" w:cs="calibri" w:eastAsia="calibri"/>
          <w:sz w:val="24"/>
        </w:rPr>
        <w:t xml:space="preserve">16.2 </w:t>
      </w:r>
      <w:r>
        <w:rPr>
          <w:rFonts w:ascii="宋体" w:hAnsi="宋体" w:cs="宋体" w:eastAsia="宋体"/>
          <w:sz w:val="24"/>
        </w:rPr>
        <w:t>凡因本</w:t>
      </w:r>
      <w:r>
        <w:rPr>
          <w:rFonts w:ascii="宋体" w:hAnsi="宋体" w:cs="宋体" w:eastAsia="宋体"/>
          <w:sz w:val="24"/>
        </w:rPr>
        <w:t>合同</w:t>
      </w:r>
      <w:r>
        <w:rPr>
          <w:rFonts w:ascii="宋体" w:hAnsi="宋体" w:cs="宋体" w:eastAsia="宋体"/>
          <w:sz w:val="24"/>
        </w:rPr>
        <w:t>引起的或与本</w:t>
      </w:r>
      <w:r>
        <w:rPr>
          <w:rFonts w:ascii="宋体" w:hAnsi="宋体" w:cs="宋体" w:eastAsia="宋体"/>
          <w:sz w:val="24"/>
        </w:rPr>
        <w:t>合同</w:t>
      </w:r>
      <w:r>
        <w:rPr>
          <w:rFonts w:ascii="宋体" w:hAnsi="宋体" w:cs="宋体" w:eastAsia="宋体"/>
          <w:sz w:val="24"/>
        </w:rPr>
        <w:t>有关的任何争议，双方均应友好协商解决。</w:t>
      </w:r>
      <w:r>
        <w:rPr>
          <w:rFonts w:ascii="宋体" w:hAnsi="宋体" w:cs="宋体" w:eastAsia="宋体"/>
          <w:sz w:val="24"/>
        </w:rPr>
        <w:t>经</w:t>
      </w:r>
      <w:r>
        <w:rPr>
          <w:rFonts w:ascii="宋体" w:hAnsi="宋体" w:cs="宋体" w:eastAsia="宋体"/>
          <w:sz w:val="24"/>
        </w:rPr>
        <w:t>友好协商不能达成一致意见时，双方同意</w:t>
      </w:r>
      <w:r>
        <w:rPr>
          <w:rFonts w:ascii="宋体" w:hAnsi="宋体" w:cs="宋体" w:eastAsia="宋体"/>
          <w:sz w:val="24"/>
        </w:rPr>
        <w:t>提交</w:t>
      </w:r>
      <w:r>
        <w:rPr>
          <w:rFonts w:ascii="宋体" w:hAnsi="宋体" w:cs="宋体" w:eastAsia="宋体"/>
          <w:sz w:val="24"/>
        </w:rPr>
        <w:t>至</w:t>
      </w:r>
      <w:r>
        <w:rPr>
          <w:rFonts w:ascii="宋体" w:hAnsi="宋体" w:cs="宋体" w:eastAsia="宋体"/>
          <w:sz w:val="24"/>
        </w:rPr>
        <w:t>甲方住所地有管辖权的人民法院诉讼解决。</w:t>
      </w:r>
    </w:p>
    <w:p>
      <w:pPr>
        <w:pStyle w:val="null3"/>
        <w:ind w:firstLine="480"/>
        <w:jc w:val="both"/>
      </w:pPr>
      <w:r>
        <w:rPr>
          <w:rFonts w:ascii="calibri" w:hAnsi="calibri" w:cs="calibri" w:eastAsia="calibri"/>
          <w:sz w:val="24"/>
        </w:rPr>
        <w:t xml:space="preserve">16.3 </w:t>
      </w:r>
      <w:r>
        <w:rPr>
          <w:rFonts w:ascii="宋体" w:hAnsi="宋体" w:cs="宋体" w:eastAsia="宋体"/>
          <w:sz w:val="24"/>
        </w:rPr>
        <w:t>在协商</w:t>
      </w:r>
      <w:r>
        <w:rPr>
          <w:rFonts w:ascii="宋体" w:hAnsi="宋体" w:cs="宋体" w:eastAsia="宋体"/>
          <w:sz w:val="24"/>
        </w:rPr>
        <w:t>或</w:t>
      </w:r>
      <w:r>
        <w:rPr>
          <w:rFonts w:ascii="宋体" w:hAnsi="宋体" w:cs="宋体" w:eastAsia="宋体"/>
          <w:sz w:val="24"/>
        </w:rPr>
        <w:t>诉讼期间，本</w:t>
      </w:r>
      <w:r>
        <w:rPr>
          <w:rFonts w:ascii="宋体" w:hAnsi="宋体" w:cs="宋体" w:eastAsia="宋体"/>
          <w:sz w:val="24"/>
        </w:rPr>
        <w:t>合同</w:t>
      </w:r>
      <w:r>
        <w:rPr>
          <w:rFonts w:ascii="宋体" w:hAnsi="宋体" w:cs="宋体" w:eastAsia="宋体"/>
          <w:sz w:val="24"/>
        </w:rPr>
        <w:t>不涉及争议的条款仍须履行。</w:t>
      </w:r>
    </w:p>
    <w:p>
      <w:pPr>
        <w:pStyle w:val="null3"/>
        <w:numPr>
          <w:ilvl w:val="0"/>
          <w:numId w:val="2"/>
        </w:numPr>
        <w:jc w:val="both"/>
      </w:pPr>
      <w:r>
        <w:rPr>
          <w:rFonts w:ascii="宋体" w:hAnsi="宋体" w:cs="宋体" w:eastAsia="宋体"/>
          <w:sz w:val="24"/>
          <w:b/>
        </w:rPr>
        <w:t>权利的保留</w:t>
      </w:r>
    </w:p>
    <w:p>
      <w:pPr>
        <w:pStyle w:val="null3"/>
        <w:ind w:firstLine="480"/>
        <w:jc w:val="both"/>
      </w:pPr>
      <w:r>
        <w:rPr>
          <w:rFonts w:ascii="calibri" w:hAnsi="calibri" w:cs="calibri" w:eastAsia="calibri"/>
          <w:sz w:val="24"/>
        </w:rPr>
        <w:t>17</w:t>
      </w:r>
      <w:r>
        <w:rPr>
          <w:rFonts w:ascii="calibri" w:hAnsi="calibri" w:cs="calibri" w:eastAsia="calibri"/>
          <w:sz w:val="24"/>
        </w:rPr>
        <w:t xml:space="preserve">.1 </w:t>
      </w:r>
      <w:r>
        <w:rPr>
          <w:rFonts w:ascii="宋体" w:hAnsi="宋体" w:cs="宋体" w:eastAsia="宋体"/>
          <w:sz w:val="24"/>
        </w:rPr>
        <w:t>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pPr>
        <w:pStyle w:val="null3"/>
        <w:ind w:firstLine="480"/>
        <w:jc w:val="both"/>
      </w:pPr>
      <w:r>
        <w:rPr>
          <w:rFonts w:ascii="calibri" w:hAnsi="calibri" w:cs="calibri" w:eastAsia="calibri"/>
          <w:sz w:val="24"/>
        </w:rPr>
        <w:t xml:space="preserve">17.2 </w:t>
      </w:r>
      <w:r>
        <w:rPr>
          <w:rFonts w:ascii="宋体" w:hAnsi="宋体" w:cs="宋体" w:eastAsia="宋体"/>
          <w:sz w:val="24"/>
        </w:rPr>
        <w:t>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pPr>
        <w:pStyle w:val="null3"/>
        <w:ind w:firstLine="480"/>
        <w:jc w:val="both"/>
      </w:pPr>
      <w:r>
        <w:rPr>
          <w:rFonts w:ascii="calibri" w:hAnsi="calibri" w:cs="calibri" w:eastAsia="calibri"/>
          <w:sz w:val="24"/>
        </w:rPr>
        <w:t>17</w:t>
      </w:r>
      <w:r>
        <w:rPr>
          <w:rFonts w:ascii="calibri" w:hAnsi="calibri" w:cs="calibri" w:eastAsia="calibri"/>
          <w:sz w:val="24"/>
        </w:rPr>
        <w:t xml:space="preserve">.3 </w:t>
      </w:r>
      <w:r>
        <w:rPr>
          <w:rFonts w:ascii="宋体" w:hAnsi="宋体" w:cs="宋体" w:eastAsia="宋体"/>
          <w:sz w:val="24"/>
        </w:rPr>
        <w:t>在本合同履行期间，因中国法律法规的变化致使本合同部分条款相冲突、无效时，双方应协商尽快修改</w:t>
      </w:r>
      <w:r>
        <w:rPr>
          <w:rFonts w:ascii="宋体" w:hAnsi="宋体" w:cs="宋体" w:eastAsia="宋体"/>
          <w:sz w:val="24"/>
        </w:rPr>
        <w:t>相关</w:t>
      </w:r>
      <w:r>
        <w:rPr>
          <w:rFonts w:ascii="宋体" w:hAnsi="宋体" w:cs="宋体" w:eastAsia="宋体"/>
          <w:sz w:val="24"/>
        </w:rPr>
        <w:t>条款。</w:t>
      </w:r>
    </w:p>
    <w:p>
      <w:pPr>
        <w:pStyle w:val="null3"/>
        <w:numPr>
          <w:ilvl w:val="0"/>
          <w:numId w:val="2"/>
        </w:numPr>
        <w:ind w:left="420"/>
        <w:jc w:val="left"/>
      </w:pPr>
      <w:r>
        <w:rPr>
          <w:rFonts w:ascii="宋体" w:hAnsi="宋体" w:cs="宋体" w:eastAsia="宋体"/>
          <w:sz w:val="24"/>
          <w:b/>
        </w:rPr>
        <w:t>其他</w:t>
      </w:r>
    </w:p>
    <w:p>
      <w:pPr>
        <w:pStyle w:val="null3"/>
        <w:ind w:firstLine="480"/>
        <w:jc w:val="both"/>
      </w:pPr>
      <w:r>
        <w:rPr>
          <w:rFonts w:ascii="calibri" w:hAnsi="calibri" w:cs="calibri" w:eastAsia="calibri"/>
          <w:sz w:val="24"/>
        </w:rPr>
        <w:t>18</w:t>
      </w:r>
      <w:r>
        <w:rPr>
          <w:rFonts w:ascii="calibri" w:hAnsi="calibri" w:cs="calibri" w:eastAsia="calibri"/>
          <w:sz w:val="24"/>
        </w:rPr>
        <w:t xml:space="preserve">.1 </w:t>
      </w:r>
      <w:r>
        <w:rPr>
          <w:rFonts w:ascii="宋体" w:hAnsi="宋体" w:cs="宋体" w:eastAsia="宋体"/>
          <w:sz w:val="24"/>
        </w:rPr>
        <w:t>本合同自</w:t>
      </w:r>
      <w:r>
        <w:rPr>
          <w:rFonts w:ascii="宋体" w:hAnsi="宋体" w:cs="宋体" w:eastAsia="宋体"/>
          <w:sz w:val="24"/>
        </w:rPr>
        <w:t>甲乙双方</w:t>
      </w:r>
      <w:r>
        <w:rPr>
          <w:rFonts w:ascii="宋体" w:hAnsi="宋体" w:cs="宋体" w:eastAsia="宋体"/>
          <w:sz w:val="24"/>
        </w:rPr>
        <w:t>加盖公章或合同专用章后生效，合同将保持有效至双方履行</w:t>
      </w:r>
      <w:r>
        <w:rPr>
          <w:rFonts w:ascii="宋体" w:hAnsi="宋体" w:cs="宋体" w:eastAsia="宋体"/>
          <w:sz w:val="24"/>
        </w:rPr>
        <w:t>完毕</w:t>
      </w:r>
      <w:r>
        <w:rPr>
          <w:rFonts w:ascii="宋体" w:hAnsi="宋体" w:cs="宋体" w:eastAsia="宋体"/>
          <w:sz w:val="24"/>
        </w:rPr>
        <w:t>合同项下的所有义务，合同款项和索赔已结清。</w:t>
      </w:r>
      <w:r>
        <w:rPr>
          <w:rFonts w:ascii="宋体" w:hAnsi="宋体" w:cs="宋体" w:eastAsia="宋体"/>
          <w:sz w:val="24"/>
        </w:rPr>
        <w:t>需持续或长久有效的条款，以该条款的约定为准。</w:t>
      </w:r>
    </w:p>
    <w:p>
      <w:pPr>
        <w:pStyle w:val="null3"/>
        <w:ind w:firstLine="480"/>
        <w:jc w:val="both"/>
      </w:pPr>
      <w:r>
        <w:rPr>
          <w:rFonts w:ascii="calibri" w:hAnsi="calibri" w:cs="calibri" w:eastAsia="calibri"/>
          <w:sz w:val="24"/>
        </w:rPr>
        <w:t>18</w:t>
      </w:r>
      <w:r>
        <w:rPr>
          <w:rFonts w:ascii="calibri" w:hAnsi="calibri" w:cs="calibri" w:eastAsia="calibri"/>
          <w:sz w:val="24"/>
        </w:rPr>
        <w:t xml:space="preserve">.2 </w:t>
      </w:r>
      <w:r>
        <w:rPr>
          <w:rFonts w:ascii="宋体" w:hAnsi="宋体" w:cs="宋体" w:eastAsia="宋体"/>
          <w:sz w:val="24"/>
        </w:rPr>
        <w:t>本合同一式肆份，双方各</w:t>
      </w:r>
      <w:r>
        <w:rPr>
          <w:rFonts w:ascii="宋体" w:hAnsi="宋体" w:cs="宋体" w:eastAsia="宋体"/>
          <w:sz w:val="24"/>
        </w:rPr>
        <w:t>持</w:t>
      </w:r>
      <w:r>
        <w:rPr>
          <w:rFonts w:ascii="宋体" w:hAnsi="宋体" w:cs="宋体" w:eastAsia="宋体"/>
          <w:sz w:val="24"/>
        </w:rPr>
        <w:t>贰份，具有</w:t>
      </w:r>
      <w:r>
        <w:rPr>
          <w:rFonts w:ascii="宋体" w:hAnsi="宋体" w:cs="宋体" w:eastAsia="宋体"/>
          <w:sz w:val="24"/>
        </w:rPr>
        <w:t>同等</w:t>
      </w:r>
      <w:r>
        <w:rPr>
          <w:rFonts w:ascii="宋体" w:hAnsi="宋体" w:cs="宋体" w:eastAsia="宋体"/>
          <w:sz w:val="24"/>
        </w:rPr>
        <w:t>法律效力。</w:t>
      </w:r>
    </w:p>
    <w:p>
      <w:pPr>
        <w:pStyle w:val="null3"/>
        <w:ind w:firstLine="480"/>
        <w:jc w:val="both"/>
      </w:pPr>
      <w:r>
        <w:rPr>
          <w:rFonts w:ascii="calibri" w:hAnsi="calibri" w:cs="calibri" w:eastAsia="calibri"/>
          <w:sz w:val="24"/>
        </w:rPr>
        <w:t>18</w:t>
      </w:r>
      <w:r>
        <w:rPr>
          <w:rFonts w:ascii="calibri" w:hAnsi="calibri" w:cs="calibri" w:eastAsia="calibri"/>
          <w:sz w:val="24"/>
        </w:rPr>
        <w:t xml:space="preserve">.3 </w:t>
      </w:r>
      <w:r>
        <w:rPr>
          <w:rFonts w:ascii="宋体" w:hAnsi="宋体" w:cs="宋体" w:eastAsia="宋体"/>
          <w:sz w:val="24"/>
        </w:rPr>
        <w:t>本合同生效后，除本合同另有约定外，双方均不得随意变更或解除合同。如有未尽事宜，双方可签署补充协议或用其他书面方式进行约定。</w:t>
      </w:r>
    </w:p>
    <w:p>
      <w:pPr>
        <w:pStyle w:val="null3"/>
        <w:ind w:firstLine="480"/>
        <w:jc w:val="both"/>
      </w:pPr>
      <w:r>
        <w:rPr>
          <w:rFonts w:ascii="calibri" w:hAnsi="calibri" w:cs="calibri" w:eastAsia="calibri"/>
          <w:sz w:val="24"/>
        </w:rPr>
        <w:t>18.</w:t>
      </w:r>
      <w:r>
        <w:rPr>
          <w:rFonts w:ascii="calibri" w:hAnsi="calibri" w:cs="calibri" w:eastAsia="calibri"/>
          <w:sz w:val="24"/>
        </w:rPr>
        <w:t xml:space="preserve">4 </w:t>
      </w:r>
      <w:r>
        <w:rPr>
          <w:rFonts w:ascii="宋体" w:hAnsi="宋体" w:cs="宋体" w:eastAsia="宋体"/>
          <w:sz w:val="24"/>
        </w:rPr>
        <w:t>本</w:t>
      </w:r>
      <w:r>
        <w:rPr>
          <w:rFonts w:ascii="宋体" w:hAnsi="宋体" w:cs="宋体" w:eastAsia="宋体"/>
          <w:sz w:val="24"/>
        </w:rPr>
        <w:t>合同</w:t>
      </w:r>
      <w:r>
        <w:rPr>
          <w:rFonts w:ascii="宋体" w:hAnsi="宋体" w:cs="宋体" w:eastAsia="宋体"/>
          <w:sz w:val="24"/>
        </w:rPr>
        <w:t>附件包括：</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1</w:t>
      </w:r>
      <w:r>
        <w:rPr>
          <w:rFonts w:ascii="宋体" w:hAnsi="宋体" w:cs="宋体" w:eastAsia="宋体"/>
          <w:sz w:val="24"/>
        </w:rPr>
        <w:t>《价格清单》</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2</w:t>
      </w:r>
      <w:r>
        <w:rPr>
          <w:rFonts w:ascii="宋体" w:hAnsi="宋体" w:cs="宋体" w:eastAsia="宋体"/>
          <w:sz w:val="24"/>
        </w:rPr>
        <w:t>《甲方采购需求书》</w:t>
      </w:r>
    </w:p>
    <w:p>
      <w:pPr>
        <w:pStyle w:val="null3"/>
        <w:ind w:firstLine="480"/>
        <w:jc w:val="both"/>
      </w:pPr>
      <w:r>
        <w:rPr>
          <w:rFonts w:ascii="宋体" w:hAnsi="宋体" w:cs="宋体" w:eastAsia="宋体"/>
          <w:sz w:val="24"/>
        </w:rPr>
        <w:t>附件</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乙方服务承诺</w:t>
      </w:r>
      <w:r>
        <w:rPr>
          <w:rFonts w:ascii="宋体" w:hAnsi="宋体" w:cs="宋体" w:eastAsia="宋体"/>
          <w:sz w:val="24"/>
        </w:rPr>
        <w:t>》</w:t>
      </w:r>
    </w:p>
    <w:p>
      <w:pPr>
        <w:pStyle w:val="null3"/>
        <w:ind w:firstLine="480"/>
        <w:jc w:val="both"/>
      </w:pPr>
      <w:r>
        <w:rPr>
          <w:rFonts w:ascii="宋体" w:hAnsi="宋体" w:cs="宋体" w:eastAsia="宋体"/>
          <w:sz w:val="24"/>
        </w:rPr>
        <w:t>附件</w:t>
      </w:r>
      <w:r>
        <w:rPr>
          <w:rFonts w:ascii="calibri" w:hAnsi="calibri" w:cs="calibri" w:eastAsia="calibri"/>
          <w:sz w:val="24"/>
        </w:rPr>
        <w:t>4</w:t>
      </w:r>
      <w:r>
        <w:rPr>
          <w:rFonts w:ascii="宋体" w:hAnsi="宋体" w:cs="宋体" w:eastAsia="宋体"/>
          <w:sz w:val="24"/>
        </w:rPr>
        <w:t>《验收相关单据》</w:t>
      </w:r>
    </w:p>
    <w:p>
      <w:pPr>
        <w:pStyle w:val="null3"/>
        <w:ind w:firstLine="480"/>
        <w:jc w:val="both"/>
      </w:pPr>
      <w:r>
        <w:rPr>
          <w:rFonts w:ascii="宋体" w:hAnsi="宋体" w:cs="宋体" w:eastAsia="宋体"/>
          <w:sz w:val="24"/>
        </w:rPr>
        <w:t>附件</w:t>
      </w:r>
      <w:r>
        <w:rPr>
          <w:rFonts w:ascii="宋体" w:hAnsi="宋体" w:cs="宋体" w:eastAsia="宋体"/>
          <w:sz w:val="24"/>
        </w:rPr>
        <w:t>5</w:t>
      </w:r>
      <w:r>
        <w:rPr>
          <w:rFonts w:ascii="宋体" w:hAnsi="宋体" w:cs="宋体" w:eastAsia="宋体"/>
          <w:sz w:val="24"/>
        </w:rPr>
        <w:t>《其他补充条款》</w:t>
      </w:r>
    </w:p>
    <w:p>
      <w:pPr>
        <w:pStyle w:val="null3"/>
        <w:ind w:firstLine="480"/>
        <w:jc w:val="both"/>
      </w:pPr>
      <w:r>
        <w:rPr>
          <w:rFonts w:ascii="宋体" w:hAnsi="宋体" w:cs="宋体" w:eastAsia="宋体"/>
          <w:sz w:val="24"/>
        </w:rPr>
        <w:t>附件</w:t>
      </w:r>
      <w:r>
        <w:rPr>
          <w:rFonts w:ascii="宋体" w:hAnsi="宋体" w:cs="宋体" w:eastAsia="宋体"/>
          <w:sz w:val="24"/>
        </w:rPr>
        <w:t>6</w:t>
      </w:r>
      <w:r>
        <w:rPr>
          <w:rFonts w:ascii="宋体" w:hAnsi="宋体" w:cs="宋体" w:eastAsia="宋体"/>
          <w:sz w:val="24"/>
        </w:rPr>
        <w:t>《安全保密协议》</w:t>
      </w:r>
    </w:p>
    <w:p>
      <w:pPr>
        <w:pStyle w:val="null3"/>
        <w:jc w:val="both"/>
      </w:pPr>
      <w:r>
        <w:rPr>
          <w:rFonts w:ascii="宋体" w:hAnsi="宋体" w:cs="宋体" w:eastAsia="宋体"/>
          <w:sz w:val="24"/>
        </w:rPr>
        <w:t>（以下无正文）</w:t>
      </w:r>
    </w:p>
    <w:p>
      <w:pPr>
        <w:pStyle w:val="null3"/>
        <w:jc w:val="left"/>
      </w:pPr>
      <w:r>
        <w:rPr>
          <w:rFonts w:ascii="宋体" w:hAnsi="宋体" w:cs="宋体" w:eastAsia="宋体"/>
          <w:sz w:val="24"/>
          <w:b/>
          <w:i/>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甲方</w:t>
            </w:r>
            <w:r>
              <w:rPr>
                <w:rFonts w:ascii="宋体" w:hAnsi="宋体" w:cs="宋体" w:eastAsia="宋体"/>
                <w:sz w:val="24"/>
                <w:b/>
              </w:rPr>
              <w:t>：</w:t>
            </w:r>
            <w:r>
              <w:rPr>
                <w:rFonts w:ascii="宋体" w:hAnsi="宋体" w:cs="宋体" w:eastAsia="宋体"/>
                <w:sz w:val="24"/>
                <w:b/>
              </w:rPr>
              <w:t>网联清算有限公司</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w:t>
            </w:r>
            <w:r>
              <w:rPr>
                <w:rFonts w:ascii="宋体" w:hAnsi="宋体" w:cs="宋体" w:eastAsia="宋体"/>
                <w:sz w:val="24"/>
              </w:rPr>
              <w:t>日</w:t>
            </w:r>
            <w:r>
              <w:rPr>
                <w:rFonts w:ascii="宋体" w:hAnsi="宋体" w:cs="宋体" w:eastAsia="宋体"/>
                <w:sz w:val="24"/>
              </w:rPr>
              <w:t>期</w:t>
            </w:r>
            <w:r>
              <w:rPr>
                <w:rFonts w:ascii="宋体" w:hAnsi="宋体" w:cs="宋体" w:eastAsia="宋体"/>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乙方</w:t>
            </w:r>
            <w:r>
              <w:rPr>
                <w:rFonts w:ascii="宋体" w:hAnsi="宋体" w:cs="宋体" w:eastAsia="宋体"/>
                <w:sz w:val="24"/>
                <w:b/>
              </w:rPr>
              <w:t>：</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r>
    </w:tbl>
    <w:p>
      <w:pPr>
        <w:pStyle w:val="null3"/>
        <w:jc w:val="both"/>
      </w:pPr>
      <w:r>
        <w:rPr>
          <w:rFonts w:ascii="宋体" w:hAnsi="宋体" w:cs="宋体" w:eastAsia="宋体"/>
          <w:sz w:val="24"/>
          <w:b/>
        </w:rPr>
        <w:t>附件【</w:t>
      </w:r>
      <w:r>
        <w:rPr>
          <w:b/>
        </w:rPr>
        <w:t xml:space="preserve"> </w:t>
      </w:r>
      <w:r>
        <w:rPr>
          <w:rFonts w:ascii="宋体" w:hAnsi="宋体" w:cs="宋体" w:eastAsia="宋体"/>
          <w:sz w:val="24"/>
          <w:b/>
        </w:rPr>
        <w:t>】：其他补充条款</w:t>
      </w:r>
    </w:p>
    <w:p>
      <w:pPr>
        <w:pStyle w:val="null3"/>
      </w:pPr>
      <w:r>
        <w:rPr/>
        <w:t xml:space="preserve"> </w:t>
      </w:r>
    </w:p>
    <w:p>
      <w:pPr>
        <w:pStyle w:val="null3"/>
        <w:ind w:firstLine="480"/>
        <w:jc w:val="both"/>
      </w:pPr>
      <w:r>
        <w:rPr>
          <w:rFonts w:ascii="宋体" w:hAnsi="宋体" w:cs="宋体" w:eastAsia="宋体"/>
          <w:sz w:val="24"/>
        </w:rPr>
        <w:t>双方一致同意，乙方还应根据项目实际情况履行如下义务：</w:t>
      </w:r>
    </w:p>
    <w:p>
      <w:pPr>
        <w:pStyle w:val="null3"/>
        <w:ind w:firstLine="480"/>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乙方必须自行完成本合同要求的项目工作，不得将项目相关工作转包或变相转包、分包给其他任何第三方进行。</w:t>
      </w:r>
    </w:p>
    <w:p>
      <w:pPr>
        <w:pStyle w:val="null3"/>
        <w:ind w:firstLine="480"/>
        <w:jc w:val="both"/>
      </w:pPr>
      <w:r>
        <w:rPr>
          <w:rFonts w:ascii="宋体" w:hAnsi="宋体" w:cs="宋体" w:eastAsia="宋体"/>
          <w:sz w:val="24"/>
        </w:rPr>
        <w:t>2</w:t>
      </w:r>
      <w:r>
        <w:rPr>
          <w:rFonts w:ascii="宋体" w:hAnsi="宋体" w:cs="宋体" w:eastAsia="宋体"/>
          <w:sz w:val="24"/>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pPr>
        <w:pStyle w:val="null3"/>
        <w:ind w:firstLine="480"/>
        <w:jc w:val="both"/>
      </w:pPr>
      <w:r>
        <w:rPr>
          <w:rFonts w:ascii="宋体" w:hAnsi="宋体" w:cs="宋体" w:eastAsia="宋体"/>
          <w:sz w:val="24"/>
        </w:rPr>
        <w:t>3</w:t>
      </w:r>
      <w:r>
        <w:rPr>
          <w:rFonts w:ascii="宋体" w:hAnsi="宋体" w:cs="宋体" w:eastAsia="宋体"/>
          <w:sz w:val="24"/>
        </w:rPr>
        <w:t>、乙方应按照甲方风险评估要求，聘请或者委托独立第三方机构开展风险评估，如实披露相关信息，并为甲方的后续核实工作提供必要的协助。</w:t>
      </w:r>
    </w:p>
    <w:p>
      <w:pPr>
        <w:pStyle w:val="null3"/>
        <w:ind w:firstLine="480"/>
        <w:jc w:val="both"/>
      </w:pPr>
      <w:r>
        <w:rPr>
          <w:rFonts w:ascii="宋体" w:hAnsi="宋体" w:cs="宋体" w:eastAsia="宋体"/>
          <w:sz w:val="24"/>
        </w:rPr>
        <w:t>4</w:t>
      </w:r>
      <w:r>
        <w:rPr>
          <w:rFonts w:ascii="宋体" w:hAnsi="宋体" w:cs="宋体" w:eastAsia="宋体"/>
          <w:sz w:val="24"/>
        </w:rPr>
        <w:t>、甲方有权根据项目实际情况要求乙方提供相关的产品、服务或技术培训。</w:t>
      </w:r>
    </w:p>
    <w:p>
      <w:pPr>
        <w:pStyle w:val="null3"/>
        <w:ind w:firstLine="480"/>
        <w:jc w:val="both"/>
      </w:pPr>
      <w:r>
        <w:rPr>
          <w:rFonts w:ascii="宋体" w:hAnsi="宋体" w:cs="宋体" w:eastAsia="宋体"/>
          <w:sz w:val="24"/>
        </w:rPr>
        <w:t>5</w:t>
      </w:r>
      <w:r>
        <w:rPr>
          <w:rFonts w:ascii="宋体" w:hAnsi="宋体" w:cs="宋体" w:eastAsia="宋体"/>
          <w:sz w:val="24"/>
        </w:rPr>
        <w:t>、乙方应配合甲方接受甲方或金融业监督管理机构对项目的风险监测和检查，并接受甲方指定人员或机构对项目进行的审计。</w:t>
      </w:r>
    </w:p>
    <w:p>
      <w:pPr>
        <w:pStyle w:val="null3"/>
        <w:ind w:firstLine="480"/>
        <w:jc w:val="both"/>
      </w:pPr>
      <w:r>
        <w:rPr>
          <w:rFonts w:ascii="宋体" w:hAnsi="宋体" w:cs="宋体" w:eastAsia="宋体"/>
          <w:sz w:val="24"/>
        </w:rPr>
        <w:t>6</w:t>
      </w:r>
      <w:r>
        <w:rPr>
          <w:rFonts w:ascii="宋体" w:hAnsi="宋体" w:cs="宋体" w:eastAsia="宋体"/>
          <w:sz w:val="24"/>
        </w:rPr>
        <w:t>、乙方应当采取必要的内控及风险管理措施，使乙方履行本合同符合法律法规及甲方项目管理制度的要求。</w:t>
      </w:r>
    </w:p>
    <w:p>
      <w:pPr>
        <w:pStyle w:val="null3"/>
        <w:ind w:firstLine="480"/>
        <w:jc w:val="both"/>
      </w:pPr>
      <w:r>
        <w:rPr>
          <w:rFonts w:ascii="宋体" w:hAnsi="宋体" w:cs="宋体" w:eastAsia="宋体"/>
          <w:sz w:val="24"/>
        </w:rPr>
        <w:t>7</w:t>
      </w:r>
      <w:r>
        <w:rPr>
          <w:rFonts w:ascii="宋体" w:hAnsi="宋体" w:cs="宋体" w:eastAsia="宋体"/>
          <w:sz w:val="24"/>
        </w:rPr>
        <w:t>、在本合同的变更或终止的过程中，乙方应配合甲方做好过渡期间的相关服务，包括但不限于服务文档、服务信息、数据资料和设施的交接处置等。</w:t>
      </w:r>
    </w:p>
    <w:p>
      <w:pPr>
        <w:pStyle w:val="null3"/>
        <w:ind w:firstLine="480"/>
        <w:jc w:val="both"/>
      </w:pPr>
      <w:r>
        <w:rPr>
          <w:rFonts w:ascii="宋体" w:hAnsi="宋体" w:cs="宋体" w:eastAsia="宋体"/>
          <w:sz w:val="24"/>
        </w:rPr>
        <w:t>8</w:t>
      </w:r>
      <w:r>
        <w:rPr>
          <w:rFonts w:ascii="宋体" w:hAnsi="宋体" w:cs="宋体" w:eastAsia="宋体"/>
          <w:sz w:val="24"/>
        </w:rPr>
        <w:t>、乙方保证不以甲方的名义对外开展任何活动。</w:t>
      </w:r>
    </w:p>
    <w:p>
      <w:pPr>
        <w:pStyle w:val="null3"/>
        <w:ind w:firstLine="480"/>
        <w:jc w:val="both"/>
      </w:pPr>
      <w:r>
        <w:rPr>
          <w:rFonts w:ascii="宋体" w:hAnsi="宋体" w:cs="宋体" w:eastAsia="宋体"/>
          <w:sz w:val="24"/>
        </w:rPr>
        <w:t>9</w:t>
      </w:r>
      <w:r>
        <w:rPr>
          <w:rFonts w:ascii="宋体" w:hAnsi="宋体" w:cs="宋体" w:eastAsia="宋体"/>
          <w:sz w:val="24"/>
        </w:rPr>
        <w:t>、乙方保证为履行本合同设立服务连续性管理目标，保证提前准备并维护好实现该服务连续性目标所需的各种资源。乙方同意甲方对其服务连续性管理进行监控和评价。</w:t>
      </w:r>
    </w:p>
    <w:p>
      <w:pPr>
        <w:pStyle w:val="null3"/>
        <w:ind w:firstLine="480"/>
        <w:jc w:val="both"/>
      </w:pPr>
      <w:r>
        <w:rPr>
          <w:rFonts w:ascii="宋体" w:hAnsi="宋体" w:cs="宋体" w:eastAsia="宋体"/>
          <w:sz w:val="24"/>
        </w:rPr>
        <w:t>10</w:t>
      </w:r>
      <w:r>
        <w:rPr>
          <w:rFonts w:ascii="宋体" w:hAnsi="宋体" w:cs="宋体" w:eastAsia="宋体"/>
          <w:sz w:val="24"/>
        </w:rPr>
        <w:t>、甲方有权根据项目情况要求乙方为甲方配备适用于履行本合同的独立或专用的资源，包括但不限于服务团队、场地、系统、设备、设施等，并同意接受甲方对履行资源的检查。</w:t>
      </w:r>
    </w:p>
    <w:p>
      <w:pPr>
        <w:pStyle w:val="null3"/>
        <w:ind w:firstLine="480"/>
        <w:jc w:val="both"/>
      </w:pPr>
      <w:r>
        <w:rPr>
          <w:rFonts w:ascii="宋体" w:hAnsi="宋体" w:cs="宋体" w:eastAsia="宋体"/>
          <w:sz w:val="24"/>
        </w:rPr>
        <w:t>11</w:t>
      </w:r>
      <w:r>
        <w:rPr>
          <w:rFonts w:ascii="宋体" w:hAnsi="宋体" w:cs="宋体" w:eastAsia="宋体"/>
          <w:sz w:val="24"/>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pPr>
        <w:pStyle w:val="null3"/>
        <w:ind w:firstLine="480"/>
        <w:jc w:val="both"/>
      </w:pPr>
      <w:r>
        <w:rPr>
          <w:rFonts w:ascii="宋体" w:hAnsi="宋体" w:cs="宋体" w:eastAsia="宋体"/>
          <w:sz w:val="24"/>
        </w:rPr>
        <w:t>12</w:t>
      </w:r>
      <w:r>
        <w:rPr>
          <w:rFonts w:ascii="宋体" w:hAnsi="宋体" w:cs="宋体" w:eastAsia="宋体"/>
          <w:sz w:val="24"/>
        </w:rPr>
        <w:t>、乙方同意甲方对其内部控制、质量管理、信息安全的有效性进行评估，对于评估结果为高风险的，应按照甲方的要求进行限期整改，对于逾期未整改的，甲方有权中止或终止合同。</w:t>
      </w:r>
    </w:p>
    <w:p>
      <w:pPr>
        <w:pStyle w:val="null3"/>
        <w:ind w:firstLine="480"/>
        <w:jc w:val="both"/>
      </w:pPr>
      <w:r>
        <w:rPr>
          <w:rFonts w:ascii="宋体" w:hAnsi="宋体" w:cs="宋体" w:eastAsia="宋体"/>
          <w:sz w:val="24"/>
        </w:rPr>
        <w:t>13</w:t>
      </w:r>
      <w:r>
        <w:rPr>
          <w:rFonts w:ascii="宋体" w:hAnsi="宋体" w:cs="宋体" w:eastAsia="宋体"/>
          <w:sz w:val="24"/>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pPr>
        <w:pStyle w:val="null3"/>
        <w:ind w:firstLine="480"/>
        <w:jc w:val="both"/>
      </w:pPr>
      <w:r>
        <w:rPr>
          <w:rFonts w:ascii="宋体" w:hAnsi="宋体" w:cs="宋体" w:eastAsia="宋体"/>
          <w:sz w:val="24"/>
        </w:rPr>
        <w:t>14</w:t>
      </w:r>
      <w:r>
        <w:rPr>
          <w:rFonts w:ascii="宋体" w:hAnsi="宋体" w:cs="宋体" w:eastAsia="宋体"/>
          <w:sz w:val="24"/>
        </w:rPr>
        <w:t>、乙方应配合开展风险评估、配合提供工商信息变更、企业股权变动、管理人员变动、财务经营、涉诉纠纷等经营监测信息要求。乙方根据甲方要求配合接受服务质量评价、合同履行情况现场评估等。</w:t>
      </w:r>
    </w:p>
    <w:p>
      <w:pPr>
        <w:pStyle w:val="null3"/>
        <w:ind w:firstLine="480"/>
        <w:jc w:val="both"/>
      </w:pPr>
      <w:r>
        <w:rPr>
          <w:rFonts w:ascii="宋体" w:hAnsi="宋体" w:cs="宋体" w:eastAsia="宋体"/>
          <w:sz w:val="24"/>
        </w:rPr>
        <w:t>15</w:t>
      </w:r>
      <w:r>
        <w:rPr>
          <w:rFonts w:ascii="宋体" w:hAnsi="宋体" w:cs="宋体" w:eastAsia="宋体"/>
          <w:sz w:val="24"/>
        </w:rPr>
        <w:t>、在发生可能引发系统性、区域性甲方平台信息科技风险类突发事件时，乙方应及时向甲方报告，包括但不限于事件的影响以及处置和纠正措施。</w:t>
      </w:r>
    </w:p>
    <w:p>
      <w:pPr>
        <w:pStyle w:val="null3"/>
        <w:ind w:firstLine="480"/>
        <w:jc w:val="both"/>
      </w:pPr>
      <w:r>
        <w:rPr>
          <w:rFonts w:ascii="宋体" w:hAnsi="宋体" w:cs="宋体" w:eastAsia="宋体"/>
          <w:sz w:val="24"/>
        </w:rPr>
        <w:t>16</w:t>
      </w:r>
      <w:r>
        <w:rPr>
          <w:rFonts w:ascii="宋体" w:hAnsi="宋体" w:cs="宋体" w:eastAsia="宋体"/>
          <w:sz w:val="24"/>
        </w:rPr>
        <w:t>、商业廉洁。甲乙双方都清楚并愿意严格遵守中华人民共和国反商业贿赂的法律规定，双方都清楚任何形式的贿赂和贪渎行为都将触犯法律，并将受到法律的严惩。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pStyle w:val="null3"/>
        <w:jc w:val="left"/>
      </w:pPr>
      <w:r>
        <w:rPr>
          <w:rFonts w:ascii="宋体" w:hAnsi="宋体" w:cs="宋体" w:eastAsia="宋体"/>
          <w:sz w:val="24"/>
          <w:b/>
        </w:rPr>
        <w:t>附件【</w:t>
      </w:r>
      <w:r>
        <w:rPr>
          <w:rFonts w:ascii="宋体" w:hAnsi="宋体" w:cs="宋体" w:eastAsia="宋体"/>
          <w:sz w:val="24"/>
          <w:b/>
        </w:rPr>
        <w:t>】：安全保密协议</w:t>
      </w:r>
    </w:p>
    <w:p>
      <w:pPr>
        <w:pStyle w:val="null3"/>
      </w:pPr>
      <w:r>
        <w:rPr/>
        <w:t xml:space="preserve"> </w:t>
      </w:r>
    </w:p>
    <w:p>
      <w:pPr>
        <w:pStyle w:val="null3"/>
        <w:jc w:val="left"/>
      </w:pPr>
      <w:r>
        <w:rPr>
          <w:rFonts w:ascii="宋体" w:hAnsi="宋体" w:cs="宋体" w:eastAsia="宋体"/>
          <w:sz w:val="24"/>
        </w:rPr>
        <w:t>安全保密协议</w:t>
      </w:r>
    </w:p>
    <w:p>
      <w:pPr>
        <w:pStyle w:val="null3"/>
        <w:ind w:left="480"/>
        <w:jc w:val="center"/>
      </w:pPr>
      <w:r>
        <w:rPr>
          <w:rFonts w:ascii="宋体" w:hAnsi="宋体" w:cs="宋体" w:eastAsia="宋体"/>
          <w:sz w:val="24"/>
        </w:rPr>
        <w:t>甲方：网联清算有限公司</w:t>
      </w:r>
    </w:p>
    <w:p>
      <w:pPr>
        <w:pStyle w:val="null3"/>
        <w:jc w:val="both"/>
      </w:pPr>
      <w:r>
        <w:rPr>
          <w:rFonts w:ascii="宋体" w:hAnsi="宋体" w:cs="宋体" w:eastAsia="宋体"/>
          <w:sz w:val="24"/>
        </w:rPr>
        <w:t>乙方：【</w:t>
      </w:r>
      <w:r>
        <w:rPr>
          <w:rFonts w:ascii="calibri" w:hAnsi="calibri" w:cs="calibri" w:eastAsia="calibri"/>
          <w:sz w:val="21"/>
        </w:rPr>
        <w:t xml:space="preserve"> </w:t>
      </w:r>
      <w:r>
        <w:rPr>
          <w:rFonts w:ascii="宋体" w:hAnsi="宋体" w:cs="宋体" w:eastAsia="宋体"/>
          <w:sz w:val="24"/>
        </w:rPr>
        <w:t>】</w:t>
      </w:r>
    </w:p>
    <w:p>
      <w:pPr>
        <w:pStyle w:val="null3"/>
        <w:ind w:left="840"/>
        <w:jc w:val="center"/>
      </w:pPr>
      <w:r>
        <w:rPr>
          <w:rFonts w:ascii="宋体" w:hAnsi="宋体" w:cs="宋体" w:eastAsia="宋体"/>
          <w:sz w:val="24"/>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pPr>
        <w:pStyle w:val="null3"/>
        <w:ind w:firstLine="480"/>
        <w:jc w:val="both"/>
      </w:pPr>
      <w:r>
        <w:rPr>
          <w:rFonts w:ascii="宋体" w:hAnsi="宋体" w:cs="宋体" w:eastAsia="宋体"/>
          <w:sz w:val="24"/>
        </w:rPr>
        <w:t>一、保密责任与义务</w:t>
      </w:r>
    </w:p>
    <w:p>
      <w:pPr>
        <w:pStyle w:val="null3"/>
        <w:ind w:firstLine="480"/>
        <w:jc w:val="both"/>
      </w:pPr>
      <w:r>
        <w:rPr>
          <w:rFonts w:ascii="宋体" w:hAnsi="宋体" w:cs="宋体" w:eastAsia="宋体"/>
          <w:sz w:val="24"/>
        </w:rPr>
        <w:t>1、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pPr>
        <w:pStyle w:val="null3"/>
        <w:ind w:firstLine="480"/>
        <w:jc w:val="both"/>
      </w:pPr>
      <w:r>
        <w:rPr>
          <w:rFonts w:ascii="宋体" w:hAnsi="宋体" w:cs="宋体" w:eastAsia="宋体"/>
          <w:sz w:val="24"/>
        </w:rPr>
        <w:t>2、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pPr>
        <w:pStyle w:val="null3"/>
        <w:ind w:firstLine="480"/>
        <w:jc w:val="both"/>
      </w:pPr>
      <w:r>
        <w:rPr>
          <w:rFonts w:ascii="宋体" w:hAnsi="宋体" w:cs="宋体" w:eastAsia="宋体"/>
          <w:sz w:val="24"/>
        </w:rPr>
        <w:t>3、乙方保证：如为本合同目的确实需要向第三方披露甲方的保密信息，需事先得到甲方的书面许可，并与该第三方签订保密合同。</w:t>
      </w:r>
    </w:p>
    <w:p>
      <w:pPr>
        <w:pStyle w:val="null3"/>
        <w:ind w:firstLine="480"/>
        <w:jc w:val="both"/>
      </w:pPr>
      <w:r>
        <w:rPr>
          <w:rFonts w:ascii="宋体" w:hAnsi="宋体" w:cs="宋体" w:eastAsia="宋体"/>
          <w:sz w:val="24"/>
        </w:rPr>
        <w:t>4、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pPr>
        <w:pStyle w:val="null3"/>
        <w:ind w:firstLine="480"/>
        <w:jc w:val="both"/>
      </w:pPr>
      <w:r>
        <w:rPr>
          <w:rFonts w:ascii="宋体" w:hAnsi="宋体" w:cs="宋体" w:eastAsia="宋体"/>
          <w:sz w:val="24"/>
        </w:rPr>
        <w:t>5、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pPr>
        <w:pStyle w:val="null3"/>
        <w:ind w:firstLine="480"/>
        <w:jc w:val="both"/>
      </w:pPr>
      <w:r>
        <w:rPr>
          <w:rFonts w:ascii="宋体" w:hAnsi="宋体" w:cs="宋体" w:eastAsia="宋体"/>
          <w:sz w:val="24"/>
        </w:rPr>
        <w:t>6、乙方同意：除非甲方特别声明，乙方的保密义务为无限期保密，直至甲方宣布解密或者甲方保密信息实际上已经完全公开为止。</w:t>
      </w:r>
    </w:p>
    <w:p>
      <w:pPr>
        <w:pStyle w:val="null3"/>
        <w:ind w:firstLine="480"/>
        <w:jc w:val="both"/>
      </w:pPr>
      <w:r>
        <w:rPr>
          <w:rFonts w:ascii="宋体" w:hAnsi="宋体" w:cs="宋体" w:eastAsia="宋体"/>
          <w:sz w:val="24"/>
        </w:rPr>
        <w:t>7、乙方同意：如发生任何保密信息、敏感信息泄露事件，包括但不限于因乙方原因导致的泄露事件或者因第三方非法获取和使用而造成的泄露事件，乙方均应立即通知甲方，并采取有效措施防止泄密进一步扩大。</w:t>
      </w:r>
    </w:p>
    <w:p>
      <w:pPr>
        <w:pStyle w:val="null3"/>
        <w:ind w:firstLine="480"/>
        <w:jc w:val="both"/>
      </w:pPr>
      <w:r>
        <w:rPr>
          <w:rFonts w:ascii="宋体" w:hAnsi="宋体" w:cs="宋体" w:eastAsia="宋体"/>
          <w:sz w:val="24"/>
        </w:rPr>
        <w:t>二、网络安全责任与义务</w:t>
      </w:r>
    </w:p>
    <w:p>
      <w:pPr>
        <w:pStyle w:val="null3"/>
        <w:ind w:firstLine="480"/>
        <w:jc w:val="both"/>
      </w:pPr>
      <w:r>
        <w:rPr>
          <w:rFonts w:ascii="宋体" w:hAnsi="宋体" w:cs="宋体" w:eastAsia="宋体"/>
          <w:sz w:val="24"/>
        </w:rPr>
        <w:t>1、乙方保证：严格遵守甲方各项网络安全制度和管理要求，确保责任期内不发生网络安全事件。合作项目涉及分包时，乙方负责相应分包商的网络安全管理，承担外包服务过程中的总体网络安全责任。</w:t>
      </w:r>
    </w:p>
    <w:p>
      <w:pPr>
        <w:pStyle w:val="null3"/>
        <w:ind w:firstLine="480"/>
        <w:jc w:val="both"/>
      </w:pPr>
      <w:r>
        <w:rPr>
          <w:rFonts w:ascii="宋体" w:hAnsi="宋体" w:cs="宋体" w:eastAsia="宋体"/>
          <w:sz w:val="24"/>
        </w:rPr>
        <w:t>2、乙方保证：加强派遣人员管理，负责对派遣到甲方的人员进行网络安全培训，明确其网络安全责任，按甲方需要签署保密合同。</w:t>
      </w:r>
    </w:p>
    <w:p>
      <w:pPr>
        <w:pStyle w:val="null3"/>
        <w:ind w:firstLine="480"/>
        <w:jc w:val="both"/>
      </w:pPr>
      <w:r>
        <w:rPr>
          <w:rFonts w:ascii="宋体" w:hAnsi="宋体" w:cs="宋体" w:eastAsia="宋体"/>
          <w:sz w:val="24"/>
        </w:rPr>
        <w:t>3、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pPr>
        <w:pStyle w:val="null3"/>
        <w:ind w:firstLine="480"/>
        <w:jc w:val="both"/>
      </w:pPr>
      <w:r>
        <w:rPr>
          <w:rFonts w:ascii="宋体" w:hAnsi="宋体" w:cs="宋体" w:eastAsia="宋体"/>
          <w:sz w:val="24"/>
        </w:rPr>
        <w:t>4、乙方保证：发生或发现网络安全事件时，及时向甲方信息科技外包使用方和信息科技外包归口管理部门报告，做到不瞒报、不谎报、不拖延；根据甲方要求，积极参与网络安全事件处置、调查等工作；对相关责任人，按照甲方要求和乙方有关规定给予处理。</w:t>
      </w:r>
    </w:p>
    <w:p>
      <w:pPr>
        <w:pStyle w:val="null3"/>
        <w:ind w:firstLine="480"/>
        <w:jc w:val="both"/>
      </w:pPr>
      <w:r>
        <w:rPr>
          <w:rFonts w:ascii="宋体" w:hAnsi="宋体" w:cs="宋体" w:eastAsia="宋体"/>
          <w:sz w:val="24"/>
        </w:rPr>
        <w:t>5、乙方保证：提供的产品和服务在面临非法控制、干扰或中断风险时，具备启动应急处置预案的能力。</w:t>
      </w:r>
    </w:p>
    <w:p>
      <w:pPr>
        <w:pStyle w:val="null3"/>
        <w:ind w:firstLine="480"/>
        <w:jc w:val="both"/>
      </w:pPr>
      <w:r>
        <w:rPr>
          <w:rFonts w:ascii="宋体" w:hAnsi="宋体" w:cs="宋体" w:eastAsia="宋体"/>
          <w:sz w:val="24"/>
        </w:rPr>
        <w:t xml:space="preserve">6、乙方保证：根据项目实际情况仅在甲方书面授权许可范围内采集和处理为甲方提供服务所必需的数据，不超范围采集和处理数据。  </w:t>
      </w:r>
    </w:p>
    <w:p>
      <w:pPr>
        <w:pStyle w:val="null3"/>
        <w:ind w:firstLine="480"/>
        <w:jc w:val="both"/>
      </w:pPr>
      <w:r>
        <w:rPr>
          <w:rFonts w:ascii="宋体" w:hAnsi="宋体" w:cs="宋体" w:eastAsia="宋体"/>
          <w:sz w:val="24"/>
        </w:rPr>
        <w:t>7、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pPr>
        <w:pStyle w:val="null3"/>
        <w:ind w:firstLine="480"/>
        <w:jc w:val="both"/>
      </w:pPr>
      <w:r>
        <w:rPr>
          <w:rFonts w:ascii="宋体" w:hAnsi="宋体" w:cs="宋体" w:eastAsia="宋体"/>
          <w:sz w:val="24"/>
        </w:rPr>
        <w:t>三、违约责任</w:t>
      </w:r>
    </w:p>
    <w:p>
      <w:pPr>
        <w:pStyle w:val="null3"/>
        <w:ind w:firstLine="480"/>
        <w:jc w:val="both"/>
      </w:pPr>
      <w:r>
        <w:rPr>
          <w:rFonts w:ascii="宋体" w:hAnsi="宋体" w:cs="宋体" w:eastAsia="宋体"/>
          <w:sz w:val="24"/>
        </w:rPr>
        <w:t>如乙方违反安全或保密承诺，按主合同（即合同正文，下同）违约责任条款执行。</w:t>
      </w:r>
    </w:p>
    <w:p>
      <w:pPr>
        <w:pStyle w:val="null3"/>
        <w:ind w:firstLine="480"/>
        <w:jc w:val="both"/>
      </w:pPr>
      <w:r>
        <w:rPr>
          <w:rFonts w:ascii="宋体" w:hAnsi="宋体" w:cs="宋体" w:eastAsia="宋体"/>
          <w:sz w:val="24"/>
        </w:rPr>
        <w:t>四、其他</w:t>
      </w:r>
    </w:p>
    <w:p>
      <w:pPr>
        <w:pStyle w:val="null3"/>
        <w:ind w:firstLine="540"/>
        <w:jc w:val="both"/>
      </w:pPr>
      <w:r>
        <w:rPr>
          <w:rFonts w:ascii="宋体" w:hAnsi="宋体" w:cs="宋体" w:eastAsia="宋体"/>
          <w:sz w:val="24"/>
        </w:rPr>
        <w:t>1、本《安全保密协议》未尽事宜，按国家有关法律法规、主合同的约定执行。</w:t>
      </w:r>
    </w:p>
    <w:p>
      <w:pPr>
        <w:pStyle w:val="null3"/>
        <w:ind w:firstLine="540"/>
        <w:jc w:val="both"/>
      </w:pPr>
      <w:r>
        <w:rPr>
          <w:rFonts w:ascii="宋体" w:hAnsi="宋体" w:cs="宋体" w:eastAsia="宋体"/>
          <w:sz w:val="24"/>
        </w:rPr>
        <w:t>2、本《安全保密协议》与主合同约定不一致的，以有利于甲方的约定为准。</w:t>
      </w:r>
    </w:p>
    <w:p>
      <w:pPr>
        <w:pStyle w:val="null3"/>
        <w:ind w:firstLine="540"/>
        <w:jc w:val="both"/>
      </w:pPr>
      <w:r>
        <w:rPr>
          <w:rFonts w:ascii="宋体" w:hAnsi="宋体" w:cs="宋体" w:eastAsia="宋体"/>
          <w:sz w:val="24"/>
        </w:rPr>
        <w:t>3、本《安全保密协议》自双方盖章后生效。</w:t>
      </w:r>
    </w:p>
    <w:p>
      <w:pPr>
        <w:pStyle w:val="null3"/>
        <w:jc w:val="both"/>
      </w:pPr>
      <w:r>
        <w:rPr>
          <w:rFonts w:ascii="宋体" w:hAnsi="宋体" w:cs="宋体" w:eastAsia="宋体"/>
          <w:sz w:val="24"/>
        </w:rPr>
        <w:t>（以下无正文）</w:t>
      </w:r>
    </w:p>
    <w:p>
      <w:pPr>
        <w:pStyle w:val="null3"/>
        <w:ind w:left="840"/>
        <w:jc w:val="center"/>
      </w:pPr>
      <w:r>
        <w:rPr>
          <w:rFonts w:ascii="宋体" w:hAnsi="宋体" w:cs="宋体" w:eastAsia="宋体"/>
          <w:sz w:val="24"/>
          <w:b/>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甲方：网联清算有限公司（盖章）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日期：</w:t>
            </w:r>
          </w:p>
        </w:tc>
      </w:tr>
    </w:tbl>
    <w:p>
      <w:pPr>
        <w:pStyle w:val="null3"/>
        <w:jc w:val="both"/>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