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outlineLvl w:val="0"/>
        <w:rPr>
          <w:rFonts w:hint="eastAsia" w:ascii="宋体" w:hAnsi="宋体" w:eastAsia="宋体" w:cs="宋体"/>
          <w:color w:val="auto"/>
          <w:sz w:val="36"/>
          <w:szCs w:val="36"/>
          <w:highlight w:val="none"/>
        </w:rPr>
      </w:pPr>
      <w:bookmarkStart w:id="2" w:name="_GoBack"/>
      <w:bookmarkEnd w:id="2"/>
      <w:bookmarkStart w:id="0" w:name="_Toc13967"/>
      <w:r>
        <w:rPr>
          <w:rFonts w:hint="eastAsia" w:ascii="宋体" w:hAnsi="宋体" w:eastAsia="宋体" w:cs="宋体"/>
          <w:b/>
          <w:sz w:val="36"/>
          <w:szCs w:val="36"/>
        </w:rPr>
        <w:t>中国银联2026年运营商通讯线路采购项目</w:t>
      </w:r>
      <w:r>
        <w:rPr>
          <w:rFonts w:hint="eastAsia" w:ascii="宋体" w:hAnsi="宋体" w:eastAsia="宋体" w:cs="宋体"/>
          <w:color w:val="auto"/>
          <w:sz w:val="36"/>
          <w:szCs w:val="36"/>
          <w:highlight w:val="none"/>
        </w:rPr>
        <w:t>采购需求</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outlineLvl w:val="0"/>
        <w:rPr>
          <w:rFonts w:hint="eastAsia" w:ascii="宋体" w:hAnsi="宋体" w:eastAsia="宋体" w:cs="宋体"/>
          <w:color w:val="auto"/>
          <w:sz w:val="36"/>
          <w:szCs w:val="36"/>
          <w:highlight w:val="none"/>
        </w:rPr>
      </w:pPr>
    </w:p>
    <w:p>
      <w:pPr>
        <w:numPr>
          <w:ilvl w:val="0"/>
          <w:numId w:val="2"/>
        </w:numPr>
        <w:snapToGrid/>
        <w:spacing w:line="360" w:lineRule="auto"/>
        <w:ind w:firstLine="643" w:firstLineChars="200"/>
        <w:jc w:val="left"/>
        <w:outlineLvl w:val="1"/>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项目基本信息</w:t>
      </w:r>
    </w:p>
    <w:p>
      <w:pPr>
        <w:numPr>
          <w:ilvl w:val="-1"/>
          <w:numId w:val="0"/>
        </w:numPr>
        <w:snapToGrid/>
        <w:spacing w:line="360" w:lineRule="auto"/>
        <w:ind w:firstLine="600" w:firstLineChars="200"/>
        <w:jc w:val="left"/>
        <w:outlineLvl w:val="1"/>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本项目为非政府采购项目，采购标的类型为服务。本次拟采购的线路用于银联黄山数据中心，根据招标人市场调研情况，</w:t>
      </w:r>
      <w:r>
        <w:rPr>
          <w:rFonts w:hint="eastAsia" w:ascii="仿宋_GB2312" w:hAnsi="仿宋_GB2312" w:eastAsia="仿宋_GB2312" w:cs="仿宋_GB2312"/>
          <w:color w:val="auto"/>
          <w:sz w:val="30"/>
          <w:szCs w:val="30"/>
          <w:highlight w:val="none"/>
          <w:u w:val="none"/>
          <w:vertAlign w:val="baseline"/>
          <w:lang w:val="en-US" w:eastAsia="zh-CN"/>
        </w:rPr>
        <w:t>根据黄山高新区的资规局、住建局、交管部门及城管部门批复</w:t>
      </w:r>
      <w:r>
        <w:rPr>
          <w:rFonts w:hint="eastAsia" w:ascii="仿宋_GB2312" w:hAnsi="仿宋_GB2312" w:eastAsia="仿宋_GB2312" w:cs="仿宋_GB2312"/>
          <w:sz w:val="30"/>
          <w:szCs w:val="30"/>
          <w:highlight w:val="none"/>
          <w:u w:val="none"/>
          <w:vertAlign w:val="baseline"/>
          <w:lang w:val="en-US" w:eastAsia="zh-CN"/>
        </w:rPr>
        <w:t>文件</w:t>
      </w:r>
      <w:r>
        <w:rPr>
          <w:rFonts w:hint="eastAsia" w:ascii="仿宋_GB2312" w:hAnsi="仿宋_GB2312" w:eastAsia="仿宋_GB2312" w:cs="仿宋_GB2312"/>
          <w:color w:val="auto"/>
          <w:sz w:val="30"/>
          <w:szCs w:val="30"/>
          <w:highlight w:val="none"/>
          <w:u w:val="none"/>
          <w:vertAlign w:val="baseline"/>
          <w:lang w:val="en-US" w:eastAsia="zh-CN"/>
        </w:rPr>
        <w:t>，获得黄山政府部门同意新建通讯管道规划和建设的运营商仅有电信、联通、移动3家，</w:t>
      </w:r>
      <w:r>
        <w:rPr>
          <w:rFonts w:hint="eastAsia" w:ascii="仿宋_GB2312" w:hAnsi="仿宋_GB2312" w:eastAsia="仿宋_GB2312" w:cs="仿宋_GB2312"/>
          <w:sz w:val="30"/>
          <w:szCs w:val="30"/>
          <w:highlight w:val="none"/>
          <w:vertAlign w:val="baseline"/>
          <w:lang w:val="en-US" w:eastAsia="zh-CN"/>
        </w:rPr>
        <w:t>即满足需求的供应商仅有电信、联通、移动3家，本次</w:t>
      </w:r>
      <w:r>
        <w:rPr>
          <w:rFonts w:hint="eastAsia" w:ascii="仿宋_GB2312" w:hAnsi="仿宋_GB2312" w:eastAsia="仿宋_GB2312" w:cs="仿宋_GB2312"/>
          <w:sz w:val="30"/>
          <w:szCs w:val="30"/>
          <w:highlight w:val="none"/>
          <w:lang w:val="en-US" w:eastAsia="zh-CN"/>
        </w:rPr>
        <w:t>拟采用邀请招标方式采购。</w:t>
      </w:r>
    </w:p>
    <w:p>
      <w:pPr>
        <w:numPr>
          <w:ilvl w:val="0"/>
          <w:numId w:val="3"/>
        </w:numPr>
        <w:snapToGrid w:val="0"/>
        <w:spacing w:line="360" w:lineRule="auto"/>
        <w:ind w:firstLine="600" w:firstLineChars="2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包件划分</w:t>
      </w:r>
    </w:p>
    <w:p>
      <w:pPr>
        <w:numPr>
          <w:ilvl w:val="-1"/>
          <w:numId w:val="0"/>
        </w:numPr>
        <w:snapToGrid w:val="0"/>
        <w:spacing w:line="360" w:lineRule="auto"/>
        <w:ind w:firstLine="600" w:firstLineChars="2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本项目拟分为5个包件，具体如下：</w:t>
      </w:r>
    </w:p>
    <w:bookmarkEnd w:id="0"/>
    <w:tbl>
      <w:tblPr>
        <w:tblStyle w:val="14"/>
        <w:tblW w:w="94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0"/>
        <w:gridCol w:w="2177"/>
        <w:gridCol w:w="1938"/>
        <w:gridCol w:w="2811"/>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包件号</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A端地址</w:t>
            </w:r>
          </w:p>
        </w:tc>
        <w:tc>
          <w:tcPr>
            <w:tcW w:w="1938" w:type="dxa"/>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运营商要求</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特殊业务需求</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rPr>
                <w:rFonts w:hint="eastAsia" w:ascii="宋体" w:hAnsi="宋体" w:eastAsia="宋体" w:cs="宋体"/>
                <w:b/>
                <w:bCs/>
                <w:i w:val="0"/>
                <w:iCs w:val="0"/>
                <w:color w:val="000000"/>
                <w:sz w:val="24"/>
                <w:szCs w:val="24"/>
                <w:highlight w:val="none"/>
                <w:u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rPr>
                <w:rFonts w:hint="eastAsia" w:ascii="宋体" w:hAnsi="宋体" w:eastAsia="宋体" w:cs="宋体"/>
                <w:b/>
                <w:bCs/>
                <w:i w:val="0"/>
                <w:iCs w:val="0"/>
                <w:color w:val="000000"/>
                <w:sz w:val="24"/>
                <w:szCs w:val="24"/>
                <w:highlight w:val="none"/>
                <w:u w:val="none"/>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rPr>
                <w:rFonts w:hint="eastAsia" w:ascii="宋体" w:hAnsi="宋体" w:eastAsia="宋体" w:cs="宋体"/>
                <w:b/>
                <w:bCs/>
                <w:i w:val="0"/>
                <w:iCs w:val="0"/>
                <w:color w:val="000000"/>
                <w:sz w:val="24"/>
                <w:szCs w:val="24"/>
                <w:highlight w:val="none"/>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rPr>
                <w:rFonts w:hint="eastAsia" w:ascii="宋体" w:hAnsi="宋体" w:eastAsia="宋体" w:cs="宋体"/>
                <w:b/>
                <w:bCs/>
                <w:i w:val="0"/>
                <w:iCs w:val="0"/>
                <w:color w:val="000000"/>
                <w:sz w:val="24"/>
                <w:szCs w:val="24"/>
                <w:highlight w:val="none"/>
                <w:u w:val="none"/>
              </w:rPr>
            </w:pPr>
          </w:p>
        </w:tc>
        <w:tc>
          <w:tcPr>
            <w:tcW w:w="1518" w:type="dxa"/>
            <w:vMerge w:val="continue"/>
            <w:tcBorders>
              <w:top w:val="single" w:color="000000" w:sz="4" w:space="0"/>
              <w:left w:val="single" w:color="000000" w:sz="4" w:space="0"/>
              <w:bottom w:val="single" w:color="auto" w:sz="4" w:space="0"/>
              <w:right w:val="single" w:color="000000" w:sz="4" w:space="0"/>
            </w:tcBorders>
            <w:shd w:val="clear" w:color="auto" w:fill="D7D7D7" w:themeFill="background1" w:themeFillShade="D8"/>
            <w:vAlign w:val="center"/>
          </w:tcPr>
          <w:p>
            <w:pPr>
              <w:jc w:val="center"/>
              <w:rPr>
                <w:rFonts w:hint="eastAsia" w:ascii="宋体" w:hAnsi="宋体" w:eastAsia="宋体" w:cs="宋体"/>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包件1</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上海、北京、黄山</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无</w:t>
            </w:r>
          </w:p>
        </w:tc>
        <w:tc>
          <w:tcPr>
            <w:tcW w:w="281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专线异构包件组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包件2</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上海、北京、黄山</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与包件1为异构运营商</w:t>
            </w:r>
          </w:p>
        </w:tc>
        <w:tc>
          <w:tcPr>
            <w:tcW w:w="281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w:t>
            </w: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包件3</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上海、北京、黄山</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无</w:t>
            </w:r>
          </w:p>
        </w:tc>
        <w:tc>
          <w:tcPr>
            <w:tcW w:w="281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w:t>
            </w: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包件4</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黄山</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无</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提供至少6个/24位IPv4地址段及6个/56位IPv6地址段及配套DDOS服务。</w:t>
            </w:r>
          </w:p>
        </w:tc>
        <w:tc>
          <w:tcPr>
            <w:tcW w:w="1518"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互联网线路异构包件组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包件5</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黄山</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与包件4为异构运营商</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提供至少6个/24位IPv4地址段及6个/56位IPv6地址段及配套DDOS服务。</w:t>
            </w:r>
          </w:p>
        </w:tc>
        <w:tc>
          <w:tcPr>
            <w:tcW w:w="151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bl>
    <w:p>
      <w:pPr>
        <w:numPr>
          <w:ilvl w:val="0"/>
          <w:numId w:val="0"/>
        </w:numPr>
        <w:snapToGrid w:val="0"/>
        <w:spacing w:afterLines="0" w:line="360" w:lineRule="auto"/>
        <w:ind w:firstLine="600" w:firstLineChars="20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注：线路异构定义：系指提供服务的运营商应具备不同的中华人民共和国基础电信业务经营许可证。</w:t>
      </w:r>
    </w:p>
    <w:p>
      <w:pPr>
        <w:spacing w:afterLines="0" w:line="360" w:lineRule="auto"/>
        <w:ind w:firstLine="0"/>
        <w:rPr>
          <w:rFonts w:hint="eastAsia" w:ascii="仿宋_GB2312" w:hAnsi="仿宋_GB2312" w:eastAsia="仿宋_GB2312" w:cs="仿宋_GB2312"/>
          <w:color w:val="auto"/>
          <w:sz w:val="30"/>
          <w:szCs w:val="30"/>
          <w:highlight w:val="none"/>
          <w:lang w:val="en-US" w:eastAsia="zh-CN"/>
        </w:rPr>
      </w:pPr>
    </w:p>
    <w:p>
      <w:pPr>
        <w:snapToGrid w:val="0"/>
        <w:spacing w:afterLines="0" w:line="360" w:lineRule="auto"/>
        <w:ind w:firstLine="600" w:firstLineChars="2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（二）供应商资格条件（适用于所有包件）</w:t>
      </w:r>
    </w:p>
    <w:p>
      <w:pPr>
        <w:snapToGrid w:val="0"/>
        <w:spacing w:afterLines="0" w:line="360" w:lineRule="auto"/>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lang w:val="zh-CN"/>
        </w:rPr>
        <w:t>信用核查</w:t>
      </w:r>
    </w:p>
    <w:p>
      <w:pPr>
        <w:snapToGrid w:val="0"/>
        <w:spacing w:afterLines="0" w:line="360" w:lineRule="auto"/>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zh-CN"/>
        </w:rPr>
        <w:t>必须为未被列入信用中国网站</w:t>
      </w:r>
      <w:r>
        <w:rPr>
          <w:rFonts w:hint="eastAsia" w:ascii="仿宋_GB2312" w:hAnsi="仿宋_GB2312" w:eastAsia="仿宋_GB2312" w:cs="仿宋_GB2312"/>
          <w:sz w:val="30"/>
          <w:szCs w:val="30"/>
          <w:highlight w:val="none"/>
        </w:rPr>
        <w:t>(www.creditchina.gov.cn)</w:t>
      </w:r>
      <w:r>
        <w:rPr>
          <w:rFonts w:hint="eastAsia" w:ascii="仿宋_GB2312" w:hAnsi="仿宋_GB2312" w:eastAsia="仿宋_GB2312" w:cs="仿宋_GB2312"/>
          <w:sz w:val="30"/>
          <w:szCs w:val="30"/>
          <w:highlight w:val="none"/>
          <w:lang w:val="zh-CN"/>
        </w:rPr>
        <w:t>、中国政府采购网</w:t>
      </w:r>
      <w:r>
        <w:rPr>
          <w:rFonts w:hint="eastAsia" w:ascii="仿宋_GB2312" w:hAnsi="仿宋_GB2312" w:eastAsia="仿宋_GB2312" w:cs="仿宋_GB2312"/>
          <w:sz w:val="30"/>
          <w:szCs w:val="30"/>
          <w:highlight w:val="none"/>
        </w:rPr>
        <w:t>(www.ccgp.gov.cn)</w:t>
      </w:r>
      <w:r>
        <w:rPr>
          <w:rFonts w:hint="eastAsia" w:ascii="仿宋_GB2312" w:hAnsi="仿宋_GB2312" w:eastAsia="仿宋_GB2312" w:cs="仿宋_GB2312"/>
          <w:sz w:val="30"/>
          <w:szCs w:val="30"/>
          <w:highlight w:val="none"/>
          <w:lang w:val="zh-CN"/>
        </w:rPr>
        <w:t>渠道信用记录失信被执行人、</w:t>
      </w:r>
      <w:r>
        <w:rPr>
          <w:rFonts w:hint="eastAsia" w:ascii="仿宋_GB2312" w:hAnsi="仿宋_GB2312" w:eastAsia="仿宋_GB2312" w:cs="仿宋_GB2312"/>
          <w:b w:val="0"/>
          <w:bCs w:val="0"/>
          <w:color w:val="auto"/>
          <w:sz w:val="30"/>
          <w:szCs w:val="30"/>
          <w:highlight w:val="none"/>
          <w:u w:val="none"/>
          <w:lang w:val="zh-CN" w:eastAsia="zh-CN"/>
        </w:rPr>
        <w:t>重大税收违法失信主体名单</w:t>
      </w:r>
      <w:r>
        <w:rPr>
          <w:rFonts w:hint="eastAsia" w:ascii="仿宋_GB2312" w:hAnsi="仿宋_GB2312" w:eastAsia="仿宋_GB2312" w:cs="仿宋_GB2312"/>
          <w:sz w:val="30"/>
          <w:szCs w:val="30"/>
          <w:highlight w:val="none"/>
          <w:lang w:val="zh-CN"/>
        </w:rPr>
        <w:t>、政府采购严重违法失信行为记录名单的投标人</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zh-CN"/>
        </w:rPr>
        <w:t>否则其投标将被拒绝。</w:t>
      </w:r>
    </w:p>
    <w:p>
      <w:pPr>
        <w:snapToGrid w:val="0"/>
        <w:spacing w:afterLines="0" w:line="360" w:lineRule="auto"/>
        <w:ind w:firstLine="600" w:firstLineChars="200"/>
        <w:jc w:val="both"/>
        <w:rPr>
          <w:rFonts w:hint="eastAsia"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val="zh-CN"/>
        </w:rPr>
        <w:t>符合《中华人民共和国政府采购法》第二十二条的规定,投标人必须在投标文件中提供下述资格证明文件，否则按无效投标处理：</w:t>
      </w:r>
    </w:p>
    <w:p>
      <w:pPr>
        <w:numPr>
          <w:ilvl w:val="-1"/>
          <w:numId w:val="0"/>
        </w:numPr>
        <w:snapToGrid w:val="0"/>
        <w:spacing w:afterLines="0" w:line="360" w:lineRule="auto"/>
        <w:ind w:left="0" w:leftChars="0" w:firstLine="600" w:firstLineChars="200"/>
        <w:jc w:val="both"/>
        <w:rPr>
          <w:rFonts w:hint="eastAsia"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lang w:val="zh-CN"/>
        </w:rPr>
        <w:t>）法人或者其他组织的营业执照等证明文件，自然人的身份证明；</w:t>
      </w:r>
    </w:p>
    <w:p>
      <w:pPr>
        <w:numPr>
          <w:ilvl w:val="-1"/>
          <w:numId w:val="0"/>
        </w:numPr>
        <w:snapToGrid w:val="0"/>
        <w:spacing w:afterLines="0" w:line="360" w:lineRule="auto"/>
        <w:ind w:left="0" w:leftChars="0" w:firstLine="600" w:firstLineChars="200"/>
        <w:jc w:val="both"/>
        <w:rPr>
          <w:rFonts w:hint="eastAsia"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val="zh-CN"/>
        </w:rPr>
        <w:t>）财务状况报告，依法缴纳税收和社会保障资金的相关材料；(供应商应提供书面承诺)</w:t>
      </w:r>
    </w:p>
    <w:p>
      <w:pPr>
        <w:numPr>
          <w:ilvl w:val="-1"/>
          <w:numId w:val="0"/>
        </w:numPr>
        <w:snapToGrid w:val="0"/>
        <w:spacing w:afterLines="0" w:line="360" w:lineRule="auto"/>
        <w:ind w:left="0" w:leftChars="0" w:firstLine="600" w:firstLineChars="200"/>
        <w:jc w:val="both"/>
        <w:rPr>
          <w:rFonts w:hint="eastAsia"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lang w:val="zh-CN"/>
        </w:rPr>
        <w:t>）具备履行合同所必需的设备和专业技术能力的证明材料；(供应商应提供书面承诺)</w:t>
      </w:r>
    </w:p>
    <w:p>
      <w:pPr>
        <w:numPr>
          <w:ilvl w:val="-1"/>
          <w:numId w:val="0"/>
        </w:numPr>
        <w:snapToGrid w:val="0"/>
        <w:spacing w:afterLines="0" w:line="360" w:lineRule="auto"/>
        <w:ind w:left="0" w:leftChars="0" w:firstLine="600" w:firstLineChars="200"/>
        <w:jc w:val="both"/>
        <w:rPr>
          <w:rFonts w:hint="eastAsia"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w:t>
      </w: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lang w:val="zh-CN"/>
        </w:rPr>
        <w:t>）参加政府采购活动前3年内在经营活动中没有重大违法记录的书面声明；(供应商应提供书面承诺)</w:t>
      </w:r>
    </w:p>
    <w:p>
      <w:pPr>
        <w:numPr>
          <w:ilvl w:val="-1"/>
          <w:numId w:val="0"/>
        </w:numPr>
        <w:snapToGrid w:val="0"/>
        <w:spacing w:afterLines="0" w:line="360" w:lineRule="auto"/>
        <w:ind w:left="0" w:leftChars="0" w:firstLine="600" w:firstLineChars="200"/>
        <w:jc w:val="both"/>
        <w:rPr>
          <w:rFonts w:hint="eastAsia"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w:t>
      </w: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lang w:val="zh-CN"/>
        </w:rPr>
        <w:t>）具备法律、行政法规规定的其他条件的证明材料。</w:t>
      </w:r>
    </w:p>
    <w:p>
      <w:pPr>
        <w:snapToGrid w:val="0"/>
        <w:spacing w:afterLines="0" w:line="360" w:lineRule="auto"/>
        <w:ind w:firstLine="600" w:firstLineChars="200"/>
        <w:jc w:val="both"/>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zh-CN"/>
        </w:rPr>
        <w:t>（以上均为《中华人民共和国政府采购法实施条例》第十七条之规定）”。</w:t>
      </w:r>
    </w:p>
    <w:p>
      <w:pPr>
        <w:spacing w:afterLines="0" w:line="360" w:lineRule="auto"/>
        <w:ind w:firstLine="0" w:firstLineChars="0"/>
        <w:rPr>
          <w:rFonts w:hint="eastAsia" w:ascii="仿宋_GB2312" w:hAnsi="仿宋_GB2312" w:eastAsia="仿宋_GB2312" w:cs="仿宋_GB2312"/>
          <w:b/>
          <w:bCs/>
          <w:color w:val="auto"/>
          <w:sz w:val="30"/>
          <w:szCs w:val="30"/>
          <w:highlight w:val="none"/>
          <w:lang w:val="en-US" w:eastAsia="zh-CN"/>
        </w:rPr>
      </w:pPr>
    </w:p>
    <w:p>
      <w:pPr>
        <w:numPr>
          <w:ilvl w:val="0"/>
          <w:numId w:val="2"/>
        </w:numPr>
        <w:spacing w:after="0" w:afterLines="-2147483648" w:line="360" w:lineRule="auto"/>
        <w:ind w:firstLine="643" w:firstLineChars="200"/>
        <w:jc w:val="left"/>
        <w:outlineLvl w:val="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技术</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服务及</w:t>
      </w:r>
      <w:r>
        <w:rPr>
          <w:rFonts w:hint="eastAsia" w:ascii="仿宋_GB2312" w:hAnsi="仿宋_GB2312" w:eastAsia="仿宋_GB2312" w:cs="仿宋_GB2312"/>
          <w:b/>
          <w:bCs/>
          <w:color w:val="auto"/>
          <w:sz w:val="32"/>
          <w:szCs w:val="32"/>
          <w:highlight w:val="none"/>
        </w:rPr>
        <w:t>商务要求</w:t>
      </w:r>
    </w:p>
    <w:p>
      <w:pPr>
        <w:keepNext w:val="0"/>
        <w:keepLines w:val="0"/>
        <w:pageBreakBefore w:val="0"/>
        <w:widowControl/>
        <w:kinsoku/>
        <w:wordWrap/>
        <w:overflowPunct/>
        <w:topLinePunct w:val="0"/>
        <w:autoSpaceDE/>
        <w:autoSpaceDN/>
        <w:bidi w:val="0"/>
        <w:adjustRightInd/>
        <w:snapToGrid/>
        <w:spacing w:afterLines="0"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技术、</w:t>
      </w:r>
      <w:r>
        <w:rPr>
          <w:rFonts w:hint="eastAsia" w:ascii="仿宋_GB2312" w:hAnsi="仿宋_GB2312" w:eastAsia="仿宋_GB2312" w:cs="仿宋_GB2312"/>
          <w:color w:val="auto"/>
          <w:sz w:val="30"/>
          <w:szCs w:val="30"/>
          <w:highlight w:val="none"/>
          <w:lang w:val="en-US" w:eastAsia="zh-CN"/>
        </w:rPr>
        <w:t>服务及</w:t>
      </w:r>
      <w:r>
        <w:rPr>
          <w:rFonts w:hint="eastAsia" w:ascii="仿宋_GB2312" w:hAnsi="仿宋_GB2312" w:eastAsia="仿宋_GB2312" w:cs="仿宋_GB2312"/>
          <w:color w:val="auto"/>
          <w:sz w:val="30"/>
          <w:szCs w:val="30"/>
          <w:highlight w:val="none"/>
        </w:rPr>
        <w:t>商务</w:t>
      </w:r>
      <w:r>
        <w:rPr>
          <w:rFonts w:hint="eastAsia" w:ascii="仿宋_GB2312" w:hAnsi="仿宋_GB2312" w:eastAsia="仿宋_GB2312" w:cs="仿宋_GB2312"/>
          <w:color w:val="auto"/>
          <w:sz w:val="30"/>
          <w:szCs w:val="30"/>
          <w:highlight w:val="none"/>
          <w:lang w:val="en-US" w:eastAsia="zh-CN"/>
        </w:rPr>
        <w:t>要求</w:t>
      </w:r>
      <w:r>
        <w:rPr>
          <w:rFonts w:hint="eastAsia" w:ascii="仿宋_GB2312" w:hAnsi="仿宋_GB2312" w:eastAsia="仿宋_GB2312" w:cs="仿宋_GB2312"/>
          <w:color w:val="auto"/>
          <w:sz w:val="30"/>
          <w:szCs w:val="30"/>
          <w:highlight w:val="none"/>
        </w:rPr>
        <w:t>按重要性分为“★”、“#”和“△”指标。“★”代表最“★”代表最关键指标，不满足该指标项将导致投标被拒绝；“#”代表重要指标，“△”代表一般指标项。“#”和“△”指标</w:t>
      </w:r>
      <w:r>
        <w:rPr>
          <w:rFonts w:hint="eastAsia" w:ascii="仿宋_GB2312" w:hAnsi="仿宋_GB2312" w:eastAsia="仿宋_GB2312" w:cs="仿宋_GB2312"/>
          <w:color w:val="auto"/>
          <w:sz w:val="30"/>
          <w:szCs w:val="30"/>
          <w:highlight w:val="none"/>
          <w:lang w:val="en-US" w:eastAsia="zh-CN"/>
        </w:rPr>
        <w:t>可作为</w:t>
      </w:r>
      <w:r>
        <w:rPr>
          <w:rFonts w:hint="eastAsia" w:ascii="仿宋_GB2312" w:hAnsi="仿宋_GB2312" w:eastAsia="仿宋_GB2312" w:cs="仿宋_GB2312"/>
          <w:color w:val="auto"/>
          <w:sz w:val="30"/>
          <w:szCs w:val="30"/>
          <w:highlight w:val="none"/>
        </w:rPr>
        <w:t>比较性评价指标。</w:t>
      </w:r>
    </w:p>
    <w:p>
      <w:pPr>
        <w:pStyle w:val="3"/>
        <w:numPr>
          <w:ilvl w:val="0"/>
          <w:numId w:val="4"/>
        </w:numPr>
        <w:autoSpaceDE/>
        <w:autoSpaceDN/>
        <w:bidi w:val="0"/>
        <w:spacing w:before="0" w:after="0" w:afterLines="0" w:line="360" w:lineRule="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技术</w:t>
      </w:r>
      <w:r>
        <w:rPr>
          <w:rFonts w:hint="eastAsia" w:ascii="仿宋_GB2312" w:hAnsi="仿宋_GB2312" w:eastAsia="仿宋_GB2312" w:cs="仿宋_GB2312"/>
          <w:b w:val="0"/>
          <w:bCs w:val="0"/>
          <w:sz w:val="30"/>
          <w:szCs w:val="30"/>
        </w:rPr>
        <w:t>要求</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适用包1、2、3</w:t>
      </w:r>
      <w:r>
        <w:rPr>
          <w:rFonts w:hint="eastAsia" w:ascii="仿宋_GB2312" w:hAnsi="仿宋_GB2312" w:eastAsia="仿宋_GB2312" w:cs="仿宋_GB2312"/>
          <w:b w:val="0"/>
          <w:bCs w:val="0"/>
          <w:sz w:val="30"/>
          <w:szCs w:val="30"/>
          <w:lang w:eastAsia="zh-CN"/>
        </w:rPr>
        <w:t>）</w:t>
      </w:r>
    </w:p>
    <w:p>
      <w:pPr>
        <w:bidi w:val="0"/>
        <w:spacing w:afterLines="0" w:line="360" w:lineRule="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本</w:t>
      </w:r>
      <w:r>
        <w:rPr>
          <w:rFonts w:hint="eastAsia" w:ascii="仿宋_GB2312" w:hAnsi="仿宋_GB2312" w:eastAsia="仿宋_GB2312" w:cs="仿宋_GB2312"/>
          <w:b w:val="0"/>
          <w:bCs/>
          <w:sz w:val="30"/>
          <w:szCs w:val="30"/>
          <w:lang w:val="en-US" w:eastAsia="zh-CN"/>
        </w:rPr>
        <w:t>技术</w:t>
      </w:r>
      <w:r>
        <w:rPr>
          <w:rFonts w:hint="eastAsia" w:ascii="仿宋_GB2312" w:hAnsi="仿宋_GB2312" w:eastAsia="仿宋_GB2312" w:cs="仿宋_GB2312"/>
          <w:b w:val="0"/>
          <w:bCs/>
          <w:sz w:val="30"/>
          <w:szCs w:val="30"/>
        </w:rPr>
        <w:t xml:space="preserve">要求共有“★”指标 </w:t>
      </w:r>
      <w:r>
        <w:rPr>
          <w:rFonts w:hint="eastAsia" w:ascii="仿宋_GB2312" w:hAnsi="仿宋_GB2312" w:eastAsia="仿宋_GB2312" w:cs="仿宋_GB2312"/>
          <w:b w:val="0"/>
          <w:bCs/>
          <w:sz w:val="30"/>
          <w:szCs w:val="30"/>
          <w:u w:val="single"/>
          <w:lang w:val="en-US" w:eastAsia="zh-CN"/>
        </w:rPr>
        <w:t>17</w:t>
      </w:r>
      <w:r>
        <w:rPr>
          <w:rFonts w:hint="eastAsia" w:ascii="仿宋_GB2312" w:hAnsi="仿宋_GB2312" w:eastAsia="仿宋_GB2312" w:cs="仿宋_GB2312"/>
          <w:b w:val="0"/>
          <w:bCs/>
          <w:sz w:val="30"/>
          <w:szCs w:val="30"/>
          <w:u w:val="single"/>
        </w:rPr>
        <w:t xml:space="preserve"> </w:t>
      </w:r>
      <w:r>
        <w:rPr>
          <w:rFonts w:hint="eastAsia" w:ascii="仿宋_GB2312" w:hAnsi="仿宋_GB2312" w:eastAsia="仿宋_GB2312" w:cs="仿宋_GB2312"/>
          <w:b w:val="0"/>
          <w:bCs/>
          <w:sz w:val="30"/>
          <w:szCs w:val="30"/>
        </w:rPr>
        <w:t>项，“#”指标</w:t>
      </w:r>
      <w:r>
        <w:rPr>
          <w:rFonts w:hint="eastAsia" w:ascii="仿宋_GB2312" w:hAnsi="仿宋_GB2312" w:eastAsia="仿宋_GB2312" w:cs="仿宋_GB2312"/>
          <w:b w:val="0"/>
          <w:bCs/>
          <w:sz w:val="30"/>
          <w:szCs w:val="30"/>
          <w:u w:val="single"/>
        </w:rPr>
        <w:t xml:space="preserve"> </w:t>
      </w:r>
      <w:r>
        <w:rPr>
          <w:rFonts w:hint="eastAsia" w:ascii="仿宋_GB2312" w:hAnsi="仿宋_GB2312" w:eastAsia="仿宋_GB2312" w:cs="仿宋_GB2312"/>
          <w:b w:val="0"/>
          <w:bCs/>
          <w:sz w:val="30"/>
          <w:szCs w:val="30"/>
          <w:u w:val="single"/>
          <w:lang w:val="en-US" w:eastAsia="zh-CN"/>
        </w:rPr>
        <w:t>6</w:t>
      </w:r>
      <w:r>
        <w:rPr>
          <w:rFonts w:hint="eastAsia" w:ascii="仿宋_GB2312" w:hAnsi="仿宋_GB2312" w:eastAsia="仿宋_GB2312" w:cs="仿宋_GB2312"/>
          <w:b w:val="0"/>
          <w:bCs/>
          <w:sz w:val="30"/>
          <w:szCs w:val="30"/>
          <w:u w:val="single"/>
        </w:rPr>
        <w:t xml:space="preserve"> </w:t>
      </w:r>
      <w:r>
        <w:rPr>
          <w:rFonts w:hint="eastAsia" w:ascii="仿宋_GB2312" w:hAnsi="仿宋_GB2312" w:eastAsia="仿宋_GB2312" w:cs="仿宋_GB2312"/>
          <w:b w:val="0"/>
          <w:bCs/>
          <w:sz w:val="30"/>
          <w:szCs w:val="30"/>
        </w:rPr>
        <w:t>项，“△”指标</w:t>
      </w:r>
      <w:r>
        <w:rPr>
          <w:rFonts w:hint="eastAsia" w:ascii="仿宋_GB2312" w:hAnsi="仿宋_GB2312" w:eastAsia="仿宋_GB2312" w:cs="仿宋_GB2312"/>
          <w:b w:val="0"/>
          <w:bCs/>
          <w:sz w:val="30"/>
          <w:szCs w:val="30"/>
          <w:u w:val="single"/>
        </w:rPr>
        <w:t xml:space="preserve">  </w:t>
      </w:r>
      <w:r>
        <w:rPr>
          <w:rFonts w:hint="eastAsia" w:ascii="仿宋_GB2312" w:hAnsi="仿宋_GB2312" w:eastAsia="仿宋_GB2312" w:cs="仿宋_GB2312"/>
          <w:b w:val="0"/>
          <w:bCs/>
          <w:sz w:val="30"/>
          <w:szCs w:val="30"/>
          <w:u w:val="single"/>
          <w:lang w:val="en-US" w:eastAsia="zh-CN"/>
        </w:rPr>
        <w:t>0</w:t>
      </w:r>
      <w:r>
        <w:rPr>
          <w:rFonts w:hint="eastAsia" w:ascii="仿宋_GB2312" w:hAnsi="仿宋_GB2312" w:eastAsia="仿宋_GB2312" w:cs="仿宋_GB2312"/>
          <w:b w:val="0"/>
          <w:bCs/>
          <w:sz w:val="30"/>
          <w:szCs w:val="30"/>
          <w:u w:val="single"/>
        </w:rPr>
        <w:t xml:space="preserve">  </w:t>
      </w:r>
      <w:r>
        <w:rPr>
          <w:rFonts w:hint="eastAsia" w:ascii="仿宋_GB2312" w:hAnsi="仿宋_GB2312" w:eastAsia="仿宋_GB2312" w:cs="仿宋_GB2312"/>
          <w:b w:val="0"/>
          <w:bCs/>
          <w:sz w:val="30"/>
          <w:szCs w:val="30"/>
        </w:rPr>
        <w:t>项</w:t>
      </w:r>
    </w:p>
    <w:p>
      <w:pPr>
        <w:pStyle w:val="4"/>
        <w:numPr>
          <w:ilvl w:val="-1"/>
          <w:numId w:val="0"/>
        </w:numPr>
        <w:bidi w:val="0"/>
        <w:spacing w:before="0" w:afterLines="0" w:line="360" w:lineRule="auto"/>
        <w:ind w:left="0" w:leftChars="0" w:firstLine="0" w:firstLineChars="0"/>
        <w:rPr>
          <w:rFonts w:hint="eastAsia" w:asciiTheme="minorEastAsia" w:hAnsiTheme="minorEastAsia" w:eastAsiaTheme="minorEastAsia" w:cstheme="minorEastAsia"/>
          <w:b w:val="0"/>
          <w:bCs w:val="0"/>
          <w:sz w:val="28"/>
          <w:szCs w:val="28"/>
          <w:lang w:val="en-US" w:eastAsia="zh-CN"/>
        </w:rPr>
      </w:pPr>
      <w:r>
        <w:rPr>
          <w:rFonts w:hint="eastAsia" w:ascii="仿宋_GB2312" w:hAnsi="仿宋_GB2312" w:eastAsia="仿宋_GB2312" w:cs="仿宋_GB2312"/>
          <w:b w:val="0"/>
          <w:bCs w:val="0"/>
          <w:sz w:val="30"/>
          <w:szCs w:val="30"/>
          <w:lang w:val="en-US" w:eastAsia="zh-CN"/>
        </w:rPr>
        <w:t>1.1数据电路技术要求（OTN线路）</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68"/>
        <w:gridCol w:w="1764"/>
        <w:gridCol w:w="33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序号</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重要性</w:t>
            </w:r>
          </w:p>
        </w:tc>
        <w:tc>
          <w:tcPr>
            <w:tcW w:w="1764"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指标项</w:t>
            </w:r>
          </w:p>
        </w:tc>
        <w:tc>
          <w:tcPr>
            <w:tcW w:w="33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指标要求</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传输资源要求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数据电路所使用的全程传输资源和光缆资源必须为供应商的自有产权资源，不得为外部租用或者合用资源。</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线路部署要求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供应商需在信息总中心机房和对端用户机房部署传输资源及传输设备。数据电路需在用户机房的供应商传输设备落地，再接入用户设备。供应商需负责将尾纤布放至用户设备。</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3</w:t>
            </w:r>
          </w:p>
        </w:tc>
        <w:tc>
          <w:tcPr>
            <w:tcW w:w="968"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w:t>
            </w:r>
          </w:p>
        </w:tc>
        <w:tc>
          <w:tcPr>
            <w:tcW w:w="1764" w:type="dxa"/>
            <w:shd w:val="clear" w:color="auto" w:fill="auto"/>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线路部署要求</w:t>
            </w:r>
          </w:p>
        </w:tc>
        <w:tc>
          <w:tcPr>
            <w:tcW w:w="3305" w:type="dxa"/>
            <w:shd w:val="clear" w:color="auto" w:fill="auto"/>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供应商在信息总中心机房部署的传输设备需直接上联至一干传输节点。</w:t>
            </w:r>
          </w:p>
        </w:tc>
        <w:tc>
          <w:tcPr>
            <w:tcW w:w="1705"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4</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线路部署要求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每台传输具备双电源且分别接两路PDU，传输设备具备双上联光路；且双上联光路需从不同管道、不同管井连接至上联局点，全程无耦合；双上联光路需具备高可用切换能力。</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5</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线路部署要求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传输设备双上联光路需满足上联双局点组网要求。</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6</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线路部署要求</w:t>
            </w:r>
          </w:p>
        </w:tc>
        <w:tc>
          <w:tcPr>
            <w:tcW w:w="3305"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both"/>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数据电路传输资源全程需具备双环路保护高可用切换能力。</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7</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线路配置要求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线路开通及扩容后带宽必须达到银联要求的带宽值，供应商需从线路两端挂表测试全程线路带宽。</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8</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线路配置要求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线路接入设备端口按银联要求配置为百/千/万兆全双工。</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9</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线路质量要求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线路两端端口发光光功率在银联指定范围内。</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10</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线路质量要求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OTN线路时延RTT不超过25ms/1000km。使用端到端设备接口地址ping进行测试，ping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default"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11</w:t>
            </w:r>
          </w:p>
        </w:tc>
        <w:tc>
          <w:tcPr>
            <w:tcW w:w="968"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w:t>
            </w:r>
          </w:p>
        </w:tc>
        <w:tc>
          <w:tcPr>
            <w:tcW w:w="1764" w:type="dxa"/>
            <w:shd w:val="clear" w:color="auto" w:fill="auto"/>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线路质量要求</w:t>
            </w:r>
          </w:p>
        </w:tc>
        <w:tc>
          <w:tcPr>
            <w:tcW w:w="3305" w:type="dxa"/>
            <w:shd w:val="clear" w:color="auto" w:fill="auto"/>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黄山到上海线路端到端时延RTT不超过10ms，黄山到北京线路端到端时延RTT不超过25ms，上海到北京线路端到端时延RTT不超过25ms。使用端到端设备接口地址ping进行测试，ping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tc>
        <w:tc>
          <w:tcPr>
            <w:tcW w:w="1705"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12</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线路质量要求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线路丢包率不得大于0.01%，比特误码率不得大于0.00001%，不得有错包。</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top"/>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lang w:val="en-US" w:eastAsia="zh-CN" w:bidi="ar-SA"/>
              </w:rPr>
            </w:pPr>
            <w:r>
              <w:rPr>
                <w:rFonts w:hint="default" w:ascii="宋体" w:hAnsi="宋体" w:eastAsia="宋体" w:cs="宋体"/>
                <w:b w:val="0"/>
                <w:bCs/>
                <w:sz w:val="24"/>
                <w:szCs w:val="24"/>
                <w:lang w:val="en-US" w:eastAsia="zh-CN" w:bidi="ar-SA"/>
              </w:rPr>
              <w:t>1</w:t>
            </w:r>
            <w:r>
              <w:rPr>
                <w:rFonts w:hint="eastAsia" w:ascii="宋体" w:hAnsi="宋体" w:eastAsia="宋体" w:cs="宋体"/>
                <w:b w:val="0"/>
                <w:bCs/>
                <w:sz w:val="24"/>
                <w:szCs w:val="24"/>
                <w:lang w:val="en-US" w:eastAsia="zh-CN" w:bidi="ar-SA"/>
              </w:rPr>
              <w:t>3</w:t>
            </w:r>
          </w:p>
        </w:tc>
        <w:tc>
          <w:tcPr>
            <w:tcW w:w="968"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线路配置要求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线路MTU值以甲方书面要求为准。</w:t>
            </w:r>
          </w:p>
        </w:tc>
        <w:tc>
          <w:tcPr>
            <w:tcW w:w="17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14</w:t>
            </w:r>
          </w:p>
        </w:tc>
        <w:tc>
          <w:tcPr>
            <w:tcW w:w="968"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线路配置要求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线路需按照甲方要求放通ICMP、OSPF、EIGRP、BGP、LLDP等协议。</w:t>
            </w:r>
          </w:p>
        </w:tc>
        <w:tc>
          <w:tcPr>
            <w:tcW w:w="17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15</w:t>
            </w:r>
          </w:p>
        </w:tc>
        <w:tc>
          <w:tcPr>
            <w:tcW w:w="968"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线路运维要求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上述技术参数要求，供应商均需自查通过，并在供应商提供的线路完工证明及测试报告中体现。</w:t>
            </w:r>
          </w:p>
        </w:tc>
        <w:tc>
          <w:tcPr>
            <w:tcW w:w="17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16</w:t>
            </w:r>
          </w:p>
        </w:tc>
        <w:tc>
          <w:tcPr>
            <w:tcW w:w="968"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线路运维要求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提供故障报告和运行报告，线路中断触发罚则，供应商需在24小时内出具故障报告，说明故障原因。</w:t>
            </w:r>
          </w:p>
        </w:tc>
        <w:tc>
          <w:tcPr>
            <w:tcW w:w="17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17</w:t>
            </w:r>
          </w:p>
        </w:tc>
        <w:tc>
          <w:tcPr>
            <w:tcW w:w="968"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线路运维要求</w:t>
            </w:r>
          </w:p>
        </w:tc>
        <w:tc>
          <w:tcPr>
            <w:tcW w:w="3305"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供应商需要负责将线路的末端布放至两端用户侧机房指定位置，如涉及到末端园区内的线缆布放协调问题，需要供应商负责解决。</w:t>
            </w:r>
          </w:p>
        </w:tc>
        <w:tc>
          <w:tcPr>
            <w:tcW w:w="17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18</w:t>
            </w:r>
          </w:p>
        </w:tc>
        <w:tc>
          <w:tcPr>
            <w:tcW w:w="968"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764"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线路运维要求</w:t>
            </w:r>
          </w:p>
        </w:tc>
        <w:tc>
          <w:tcPr>
            <w:tcW w:w="3305" w:type="dxa"/>
          </w:tcPr>
          <w:p>
            <w:pPr>
              <w:pStyle w:val="4"/>
              <w:keepNext/>
              <w:keepLines/>
              <w:pageBreakBefore w:val="0"/>
              <w:widowControl/>
              <w:numPr>
                <w:ilvl w:val="0"/>
                <w:numId w:val="0"/>
              </w:numPr>
              <w:kinsoku/>
              <w:wordWrap/>
              <w:overflowPunct/>
              <w:topLinePunct w:val="0"/>
              <w:autoSpaceDE/>
              <w:autoSpaceDN/>
              <w:bidi w:val="0"/>
              <w:adjustRightInd w:val="0"/>
              <w:snapToGrid w:val="0"/>
              <w:spacing w:before="0"/>
              <w:jc w:val="both"/>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在资源具备时，供应商应在收到中国银联升降速需求后5个工作日内将线路升速或者降速至目标带宽；在资源不具备时，应在收到中国银联升降速需求后20个工作日内将线路升速或者降速至目标带宽。</w:t>
            </w:r>
          </w:p>
        </w:tc>
        <w:tc>
          <w:tcPr>
            <w:tcW w:w="17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bl>
    <w:p>
      <w:pPr>
        <w:pStyle w:val="4"/>
        <w:numPr>
          <w:ilvl w:val="-1"/>
          <w:numId w:val="0"/>
        </w:numPr>
        <w:bidi w:val="0"/>
        <w:spacing w:before="0" w:afterLines="0" w:line="360" w:lineRule="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1.2其他技术要求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010"/>
        <w:gridCol w:w="1779"/>
        <w:gridCol w:w="324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序号</w:t>
            </w:r>
          </w:p>
        </w:tc>
        <w:tc>
          <w:tcPr>
            <w:tcW w:w="101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重要性</w:t>
            </w:r>
          </w:p>
        </w:tc>
        <w:tc>
          <w:tcPr>
            <w:tcW w:w="177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指标项</w:t>
            </w:r>
          </w:p>
        </w:tc>
        <w:tc>
          <w:tcPr>
            <w:tcW w:w="324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指标要求</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1</w:t>
            </w:r>
          </w:p>
        </w:tc>
        <w:tc>
          <w:tcPr>
            <w:tcW w:w="1010" w:type="dxa"/>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779" w:type="dxa"/>
            <w:vAlign w:val="top"/>
          </w:tcPr>
          <w:p>
            <w:pPr>
              <w:pStyle w:val="4"/>
              <w:widowControl w:val="0"/>
              <w:numPr>
                <w:ilvl w:val="0"/>
                <w:numId w:val="0"/>
              </w:numPr>
              <w:bidi w:val="0"/>
              <w:spacing w:before="0" w:line="240" w:lineRule="auto"/>
              <w:ind w:left="0" w:leftChars="0" w:firstLine="0" w:firstLineChars="0"/>
              <w:jc w:val="both"/>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案例业绩</w:t>
            </w:r>
          </w:p>
        </w:tc>
        <w:tc>
          <w:tcPr>
            <w:tcW w:w="3248" w:type="dxa"/>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投标人应针对本项目提供2023年1月1日至递交投标文件截止日签订的类似租用网络通讯线路项目案例（需附合同首页、签字盖章页及可证明线路类型的合同文本复印件）。</w:t>
            </w:r>
          </w:p>
        </w:tc>
        <w:tc>
          <w:tcPr>
            <w:tcW w:w="1705" w:type="dxa"/>
            <w:vAlign w:val="center"/>
          </w:tcPr>
          <w:p>
            <w:pPr>
              <w:widowControl w:val="0"/>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widowControl w:val="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提供案例业绩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w:t>
            </w:r>
          </w:p>
        </w:tc>
        <w:tc>
          <w:tcPr>
            <w:tcW w:w="1010" w:type="dxa"/>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779" w:type="dxa"/>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总体技术方案</w:t>
            </w:r>
          </w:p>
        </w:tc>
        <w:tc>
          <w:tcPr>
            <w:tcW w:w="3248" w:type="dxa"/>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投标人应针对本项目提供总体技术方案，应至少包含线路部署方案、线路质量控制、线路配置方案。</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widowControl w:val="0"/>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提供总体技术方案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3</w:t>
            </w:r>
          </w:p>
        </w:tc>
        <w:tc>
          <w:tcPr>
            <w:tcW w:w="101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77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技术支持服务方案</w:t>
            </w:r>
          </w:p>
        </w:tc>
        <w:tc>
          <w:tcPr>
            <w:tcW w:w="3248"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供应商应提供技术支持服务方案，包括售后服务保障制度、运维服务体系、设备及备品备件管理、应急故障相应及修复、重要通讯保障等。</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widowControl w:val="0"/>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提供技术支持服务方案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4</w:t>
            </w:r>
          </w:p>
        </w:tc>
        <w:tc>
          <w:tcPr>
            <w:tcW w:w="101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77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网络通信服务经验</w:t>
            </w:r>
          </w:p>
        </w:tc>
        <w:tc>
          <w:tcPr>
            <w:tcW w:w="3248" w:type="dxa"/>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供应商应以承诺函的形式说明线路一端为上海或北京或黄山的跨省级行政区域组网通信服务经验年限。</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widowControl w:val="0"/>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提供网络通信业务的服务经验承诺函。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5</w:t>
            </w:r>
          </w:p>
        </w:tc>
        <w:tc>
          <w:tcPr>
            <w:tcW w:w="101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77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网络通信业务覆盖范围</w:t>
            </w:r>
          </w:p>
        </w:tc>
        <w:tc>
          <w:tcPr>
            <w:tcW w:w="3248"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供应商应以承诺函的形式列出专线网络通信业务的覆盖范围，包括专线网络通信业务能覆盖到的省级行政区（不含港澳台）名称、数量及其中能覆盖到的地级行政区名称、数量。</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widowControl w:val="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提供专线网络通信业务的覆盖范围承诺函</w:t>
            </w:r>
          </w:p>
        </w:tc>
      </w:tr>
    </w:tbl>
    <w:p>
      <w:pPr>
        <w:pStyle w:val="3"/>
        <w:numPr>
          <w:ilvl w:val="0"/>
          <w:numId w:val="4"/>
        </w:numPr>
        <w:bidi w:val="0"/>
        <w:spacing w:before="0" w:after="0" w:line="360" w:lineRule="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技术</w:t>
      </w:r>
      <w:r>
        <w:rPr>
          <w:rFonts w:hint="eastAsia" w:ascii="仿宋_GB2312" w:hAnsi="仿宋_GB2312" w:eastAsia="仿宋_GB2312" w:cs="仿宋_GB2312"/>
          <w:b w:val="0"/>
          <w:bCs w:val="0"/>
          <w:sz w:val="30"/>
          <w:szCs w:val="30"/>
        </w:rPr>
        <w:t>要求</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适用包4、5</w:t>
      </w:r>
      <w:r>
        <w:rPr>
          <w:rFonts w:hint="eastAsia" w:ascii="仿宋_GB2312" w:hAnsi="仿宋_GB2312" w:eastAsia="仿宋_GB2312" w:cs="仿宋_GB2312"/>
          <w:b w:val="0"/>
          <w:bCs w:val="0"/>
          <w:sz w:val="30"/>
          <w:szCs w:val="30"/>
          <w:lang w:eastAsia="zh-CN"/>
        </w:rPr>
        <w:t>）</w:t>
      </w:r>
    </w:p>
    <w:p>
      <w:pPr>
        <w:bidi w:val="0"/>
        <w:spacing w:line="360" w:lineRule="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本</w:t>
      </w:r>
      <w:r>
        <w:rPr>
          <w:rFonts w:hint="eastAsia" w:ascii="仿宋_GB2312" w:hAnsi="仿宋_GB2312" w:eastAsia="仿宋_GB2312" w:cs="仿宋_GB2312"/>
          <w:b w:val="0"/>
          <w:bCs/>
          <w:sz w:val="30"/>
          <w:szCs w:val="30"/>
          <w:lang w:val="en-US" w:eastAsia="zh-CN"/>
        </w:rPr>
        <w:t>技术</w:t>
      </w:r>
      <w:r>
        <w:rPr>
          <w:rFonts w:hint="eastAsia" w:ascii="仿宋_GB2312" w:hAnsi="仿宋_GB2312" w:eastAsia="仿宋_GB2312" w:cs="仿宋_GB2312"/>
          <w:b w:val="0"/>
          <w:bCs/>
          <w:sz w:val="30"/>
          <w:szCs w:val="30"/>
        </w:rPr>
        <w:t xml:space="preserve">要求共有“★”指标 </w:t>
      </w:r>
      <w:r>
        <w:rPr>
          <w:rFonts w:hint="eastAsia" w:ascii="仿宋_GB2312" w:hAnsi="仿宋_GB2312" w:eastAsia="仿宋_GB2312" w:cs="仿宋_GB2312"/>
          <w:b w:val="0"/>
          <w:bCs/>
          <w:sz w:val="30"/>
          <w:szCs w:val="30"/>
          <w:u w:val="single"/>
          <w:lang w:val="en-US" w:eastAsia="zh-CN"/>
        </w:rPr>
        <w:t>22</w:t>
      </w:r>
      <w:r>
        <w:rPr>
          <w:rFonts w:hint="eastAsia" w:ascii="仿宋_GB2312" w:hAnsi="仿宋_GB2312" w:eastAsia="仿宋_GB2312" w:cs="仿宋_GB2312"/>
          <w:b w:val="0"/>
          <w:bCs/>
          <w:sz w:val="30"/>
          <w:szCs w:val="30"/>
          <w:u w:val="single"/>
        </w:rPr>
        <w:t xml:space="preserve"> </w:t>
      </w:r>
      <w:r>
        <w:rPr>
          <w:rFonts w:hint="eastAsia" w:ascii="仿宋_GB2312" w:hAnsi="仿宋_GB2312" w:eastAsia="仿宋_GB2312" w:cs="仿宋_GB2312"/>
          <w:b w:val="0"/>
          <w:bCs/>
          <w:sz w:val="30"/>
          <w:szCs w:val="30"/>
        </w:rPr>
        <w:t>项，“#”指标</w:t>
      </w:r>
      <w:r>
        <w:rPr>
          <w:rFonts w:hint="eastAsia" w:ascii="仿宋_GB2312" w:hAnsi="仿宋_GB2312" w:eastAsia="仿宋_GB2312" w:cs="仿宋_GB2312"/>
          <w:b w:val="0"/>
          <w:bCs/>
          <w:sz w:val="30"/>
          <w:szCs w:val="30"/>
          <w:u w:val="single"/>
        </w:rPr>
        <w:t xml:space="preserve"> </w:t>
      </w:r>
      <w:r>
        <w:rPr>
          <w:rFonts w:hint="eastAsia" w:ascii="仿宋_GB2312" w:hAnsi="仿宋_GB2312" w:eastAsia="仿宋_GB2312" w:cs="仿宋_GB2312"/>
          <w:b w:val="0"/>
          <w:bCs/>
          <w:sz w:val="30"/>
          <w:szCs w:val="30"/>
          <w:u w:val="single"/>
          <w:lang w:val="en-US" w:eastAsia="zh-CN"/>
        </w:rPr>
        <w:t>7</w:t>
      </w:r>
      <w:r>
        <w:rPr>
          <w:rFonts w:hint="eastAsia" w:ascii="仿宋_GB2312" w:hAnsi="仿宋_GB2312" w:eastAsia="仿宋_GB2312" w:cs="仿宋_GB2312"/>
          <w:b w:val="0"/>
          <w:bCs/>
          <w:sz w:val="30"/>
          <w:szCs w:val="30"/>
          <w:u w:val="single"/>
        </w:rPr>
        <w:t xml:space="preserve"> </w:t>
      </w:r>
      <w:r>
        <w:rPr>
          <w:rFonts w:hint="eastAsia" w:ascii="仿宋_GB2312" w:hAnsi="仿宋_GB2312" w:eastAsia="仿宋_GB2312" w:cs="仿宋_GB2312"/>
          <w:b w:val="0"/>
          <w:bCs/>
          <w:sz w:val="30"/>
          <w:szCs w:val="30"/>
        </w:rPr>
        <w:t>项，“△”指标</w:t>
      </w:r>
      <w:r>
        <w:rPr>
          <w:rFonts w:hint="eastAsia" w:ascii="仿宋_GB2312" w:hAnsi="仿宋_GB2312" w:eastAsia="仿宋_GB2312" w:cs="仿宋_GB2312"/>
          <w:b w:val="0"/>
          <w:bCs/>
          <w:sz w:val="30"/>
          <w:szCs w:val="30"/>
          <w:u w:val="single"/>
        </w:rPr>
        <w:t xml:space="preserve">  </w:t>
      </w:r>
      <w:r>
        <w:rPr>
          <w:rFonts w:hint="eastAsia" w:ascii="仿宋_GB2312" w:hAnsi="仿宋_GB2312" w:eastAsia="仿宋_GB2312" w:cs="仿宋_GB2312"/>
          <w:b w:val="0"/>
          <w:bCs/>
          <w:sz w:val="30"/>
          <w:szCs w:val="30"/>
          <w:u w:val="single"/>
          <w:lang w:val="en-US" w:eastAsia="zh-CN"/>
        </w:rPr>
        <w:t>0</w:t>
      </w:r>
      <w:r>
        <w:rPr>
          <w:rFonts w:hint="eastAsia" w:ascii="仿宋_GB2312" w:hAnsi="仿宋_GB2312" w:eastAsia="仿宋_GB2312" w:cs="仿宋_GB2312"/>
          <w:b w:val="0"/>
          <w:bCs/>
          <w:sz w:val="30"/>
          <w:szCs w:val="30"/>
          <w:u w:val="single"/>
        </w:rPr>
        <w:t xml:space="preserve">  </w:t>
      </w:r>
      <w:r>
        <w:rPr>
          <w:rFonts w:hint="eastAsia" w:ascii="仿宋_GB2312" w:hAnsi="仿宋_GB2312" w:eastAsia="仿宋_GB2312" w:cs="仿宋_GB2312"/>
          <w:b w:val="0"/>
          <w:bCs/>
          <w:sz w:val="30"/>
          <w:szCs w:val="30"/>
        </w:rPr>
        <w:t>项</w:t>
      </w:r>
    </w:p>
    <w:p>
      <w:pPr>
        <w:pStyle w:val="4"/>
        <w:numPr>
          <w:ilvl w:val="-1"/>
          <w:numId w:val="0"/>
        </w:numPr>
        <w:bidi w:val="0"/>
        <w:spacing w:before="0" w:line="360" w:lineRule="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2.1互联网线路技术要求</w:t>
      </w:r>
    </w:p>
    <w:p>
      <w:pPr>
        <w:bidi w:val="0"/>
        <w:spacing w:line="360" w:lineRule="auto"/>
        <w:rPr>
          <w:rFonts w:hint="eastAsia" w:ascii="仿宋_GB2312" w:hAnsi="仿宋_GB2312" w:eastAsia="仿宋_GB2312" w:cs="仿宋_GB2312"/>
          <w:b w:val="0"/>
          <w:bCs/>
          <w:sz w:val="30"/>
          <w:szCs w:val="30"/>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68"/>
        <w:gridCol w:w="1680"/>
        <w:gridCol w:w="338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序号</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重要性</w:t>
            </w:r>
          </w:p>
        </w:tc>
        <w:tc>
          <w:tcPr>
            <w:tcW w:w="16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指标项</w:t>
            </w:r>
          </w:p>
        </w:tc>
        <w:tc>
          <w:tcPr>
            <w:tcW w:w="33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指标要求</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线路资源要求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互联网线路所使用的全程传输资源和光缆资源必须为供应商的自有产权资源，不得为外部租用或者合用资源。</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线路部署要求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互联网线路需在用户机房的供应商传输设备落地，再接入用户设备。供应商需在信息总中心机房和对端用户机房部署传输设备。</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3</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线路部署要求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每台传输具备双电源且分别接两路PDU，传输设备具备双上联光路；且双上联光路需从不同管道、不同管井连接至上联局点，全程无耦合；双上联光路需具备高可用切换能力。</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4</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线路部署要求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传输设备双上联光路需满足上联双局点组网要求。</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5</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线路部署要求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互联网线路传输资源全程需具备双环路保护高可用切换能力。</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6</w:t>
            </w:r>
          </w:p>
        </w:tc>
        <w:tc>
          <w:tcPr>
            <w:tcW w:w="968"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w:t>
            </w:r>
          </w:p>
        </w:tc>
        <w:tc>
          <w:tcPr>
            <w:tcW w:w="1680" w:type="dxa"/>
            <w:shd w:val="clear" w:color="auto" w:fill="auto"/>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线路部署要求</w:t>
            </w:r>
          </w:p>
        </w:tc>
        <w:tc>
          <w:tcPr>
            <w:tcW w:w="3389" w:type="dxa"/>
            <w:shd w:val="clear" w:color="auto" w:fill="auto"/>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互联网线路从银联网络设备起到供应商骨干层网络设备，中间网络跳数小于等于2跳（不包含银联网络设备）。</w:t>
            </w:r>
          </w:p>
        </w:tc>
        <w:tc>
          <w:tcPr>
            <w:tcW w:w="1705"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7</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线路部署要求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承载银联同一类业务的同城同供应商多条互联网线路从接入到骨干在传输层和网络层均无耦合点。</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8</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线路质量要求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线路开通及扩容后带宽必须达到银联要求的带宽值，供应商需从线路两端挂表测试全程线路带宽。</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9</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线路配置要求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线路接入设备端口按银联要求配置为百/千/万兆全双工。</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10</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线路质量要求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线路两端端口发光光功率在银联指定范围内。</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11</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线路质量要求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线路直连地址互ping不大于10ms。使用端到端设备接口地址ping进行测试，ping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12</w:t>
            </w:r>
          </w:p>
        </w:tc>
        <w:tc>
          <w:tcPr>
            <w:tcW w:w="96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线路质量要求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线路丢包率不得大于0.01%，比特误码率不得大于0.00001%，不得有错包。</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13</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线路配置要求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线路MTU值以甲方书面要求为准。</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14</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线路配置要求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线路需按照银联要求放通ICMP、OSPF、EIGRP、BGP、LLDP等协议。</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15</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线路配置要求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供应商需按银联要求完成IP地址分配，且需保证分配给银联的IP地址可用，同时也不能将非银联的IP地址指向银联互联网线路。</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16</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线路配置要求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供应商需配合银联完成IP地址备案并开放80、443、8080端口。供应商配合银联完成IP地址备案并开放80、443、8080端口，且银联验证通过后，线路才具备开通验收条件。</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17</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线路运维要求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上述技术参数要求，供应商均需自查通过，并在供应商提供的线路完工证明及测试报告中体现。</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18</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线路运维要求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提供故障报告和运行报告，线路中断触发罚则，供应商需在24小时内出具故障报告，说明故障原因。</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19</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线路运维要求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供应商需要负责将线路的末端布放至两端用户侧机房指定位置，如涉及到末端园区内的线缆布放协调问题，需要供应商负责解决。</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20</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线路运维要求</w:t>
            </w:r>
          </w:p>
        </w:tc>
        <w:tc>
          <w:tcPr>
            <w:tcW w:w="3389" w:type="dxa"/>
          </w:tcPr>
          <w:p>
            <w:pPr>
              <w:pStyle w:val="4"/>
              <w:keepNext/>
              <w:keepLines/>
              <w:pageBreakBefore w:val="0"/>
              <w:widowControl/>
              <w:numPr>
                <w:ilvl w:val="0"/>
                <w:numId w:val="0"/>
              </w:numPr>
              <w:kinsoku/>
              <w:wordWrap/>
              <w:overflowPunct/>
              <w:topLinePunct w:val="0"/>
              <w:autoSpaceDE/>
              <w:autoSpaceDN/>
              <w:bidi w:val="0"/>
              <w:adjustRightInd w:val="0"/>
              <w:snapToGrid w:val="0"/>
              <w:spacing w:before="0"/>
              <w:jc w:val="both"/>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在资源具备时，供应商应在收到中国银联升降速需求后5个工作日内将线路升速或者降速至目标带宽；在资源不具备时，应在收到中国银联升降速需求后15个工作日内将线路升速或者降速至目标带宽。</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21</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线路配置要求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供应商需对银联的所有IP地址提供DDOS防护能力。</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22</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线路运维要求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供应商需向银联提供DDOS清洗告障快捷流程，在收到银联DDOS清洗要求后一分钟内开始实施清洗，且需具备自动DDOS清洗能力。</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23</w:t>
            </w:r>
          </w:p>
        </w:tc>
        <w:tc>
          <w:tcPr>
            <w:tcW w:w="96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680"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线路运维要求</w:t>
            </w:r>
          </w:p>
        </w:tc>
        <w:tc>
          <w:tcPr>
            <w:tcW w:w="338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供应商提供DDOS清洗API接口，并配合银联DDOS清洗自动化对接。</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24</w:t>
            </w:r>
          </w:p>
        </w:tc>
        <w:tc>
          <w:tcPr>
            <w:tcW w:w="968" w:type="dxa"/>
            <w:shd w:val="clear" w:color="auto" w:fill="auto"/>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w:t>
            </w:r>
          </w:p>
        </w:tc>
        <w:tc>
          <w:tcPr>
            <w:tcW w:w="1680" w:type="dxa"/>
            <w:shd w:val="clear" w:color="auto" w:fill="auto"/>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线路配置要求</w:t>
            </w:r>
          </w:p>
        </w:tc>
        <w:tc>
          <w:tcPr>
            <w:tcW w:w="3389" w:type="dxa"/>
            <w:shd w:val="clear" w:color="auto" w:fill="auto"/>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供应商提供的互联网线路上需提供国际精品网IP地址。</w:t>
            </w:r>
          </w:p>
        </w:tc>
        <w:tc>
          <w:tcPr>
            <w:tcW w:w="1705" w:type="dxa"/>
            <w:shd w:val="clear" w:color="auto" w:fill="auto"/>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否</w:t>
            </w:r>
          </w:p>
        </w:tc>
      </w:tr>
    </w:tbl>
    <w:p>
      <w:pPr>
        <w:pStyle w:val="4"/>
        <w:numPr>
          <w:ilvl w:val="-1"/>
          <w:numId w:val="0"/>
        </w:numPr>
        <w:bidi w:val="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2.2</w:t>
      </w:r>
      <w:r>
        <w:rPr>
          <w:rFonts w:hint="eastAsia" w:ascii="仿宋_GB2312" w:hAnsi="仿宋_GB2312" w:eastAsia="仿宋_GB2312" w:cs="仿宋_GB2312"/>
          <w:b w:val="0"/>
          <w:bCs w:val="0"/>
          <w:sz w:val="30"/>
          <w:szCs w:val="30"/>
          <w:highlight w:val="none"/>
          <w:lang w:val="en-US" w:eastAsia="zh-CN"/>
        </w:rPr>
        <w:t>其他技术要求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010"/>
        <w:gridCol w:w="1779"/>
        <w:gridCol w:w="324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序号</w:t>
            </w:r>
          </w:p>
        </w:tc>
        <w:tc>
          <w:tcPr>
            <w:tcW w:w="101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重要性</w:t>
            </w:r>
          </w:p>
        </w:tc>
        <w:tc>
          <w:tcPr>
            <w:tcW w:w="177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指标项</w:t>
            </w:r>
          </w:p>
        </w:tc>
        <w:tc>
          <w:tcPr>
            <w:tcW w:w="3248"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指标要求</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1</w:t>
            </w:r>
          </w:p>
        </w:tc>
        <w:tc>
          <w:tcPr>
            <w:tcW w:w="1010" w:type="dxa"/>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779" w:type="dxa"/>
            <w:vAlign w:val="top"/>
          </w:tcPr>
          <w:p>
            <w:pPr>
              <w:pStyle w:val="4"/>
              <w:widowControl w:val="0"/>
              <w:numPr>
                <w:ilvl w:val="0"/>
                <w:numId w:val="0"/>
              </w:numPr>
              <w:bidi w:val="0"/>
              <w:spacing w:before="0" w:line="240" w:lineRule="auto"/>
              <w:ind w:left="0" w:leftChars="0" w:firstLine="0" w:firstLineChars="0"/>
              <w:jc w:val="both"/>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案例业绩</w:t>
            </w:r>
          </w:p>
        </w:tc>
        <w:tc>
          <w:tcPr>
            <w:tcW w:w="3248" w:type="dxa"/>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投标人应针对本项目提供2023年1月1日至递交投标文件截止日签订的类似租用网络通讯线路项目案例（需附合同首页、签字盖章页及可证明线路类型的合同文本复印件）。</w:t>
            </w:r>
          </w:p>
        </w:tc>
        <w:tc>
          <w:tcPr>
            <w:tcW w:w="1705" w:type="dxa"/>
            <w:vAlign w:val="center"/>
          </w:tcPr>
          <w:p>
            <w:pPr>
              <w:widowControl w:val="0"/>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widowControl w:val="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提供案例业绩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w:t>
            </w:r>
          </w:p>
        </w:tc>
        <w:tc>
          <w:tcPr>
            <w:tcW w:w="1010" w:type="dxa"/>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779" w:type="dxa"/>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总体技术方案</w:t>
            </w:r>
          </w:p>
        </w:tc>
        <w:tc>
          <w:tcPr>
            <w:tcW w:w="3248" w:type="dxa"/>
            <w:vAlign w:val="top"/>
          </w:tcPr>
          <w:p>
            <w:pPr>
              <w:pStyle w:val="4"/>
              <w:widowControl w:val="0"/>
              <w:numPr>
                <w:ilvl w:val="0"/>
                <w:numId w:val="0"/>
              </w:numPr>
              <w:bidi w:val="0"/>
              <w:spacing w:before="0" w:line="240" w:lineRule="auto"/>
              <w:ind w:left="0" w:leftChars="0" w:firstLine="0" w:firstLineChars="0"/>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投标人应针对本项目提供总体技术方案，应至少包含线路部署方案、线路质量控制、线路配置方案。</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widowControl w:val="0"/>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提供总体技术方案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3</w:t>
            </w:r>
          </w:p>
        </w:tc>
        <w:tc>
          <w:tcPr>
            <w:tcW w:w="101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77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技术支持服务方案</w:t>
            </w:r>
          </w:p>
        </w:tc>
        <w:tc>
          <w:tcPr>
            <w:tcW w:w="3248"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供应商应提供技术支持服务方案，包括售后服务保障制度、运维服务体系、设备及备品备件管理、应急故障相应及修复、重要通讯保障等。</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widowControl w:val="0"/>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提供技术支持服务方案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4</w:t>
            </w:r>
          </w:p>
        </w:tc>
        <w:tc>
          <w:tcPr>
            <w:tcW w:w="101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77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网络通信服务经验</w:t>
            </w:r>
          </w:p>
        </w:tc>
        <w:tc>
          <w:tcPr>
            <w:tcW w:w="3248"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供应商应以承诺函的形式说明线路一端为上海或北京或黄山的跨省级行政区域组网通信服务经验年限。</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widowControl w:val="0"/>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提供网络通信业务的服务经验承诺函。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5</w:t>
            </w:r>
          </w:p>
        </w:tc>
        <w:tc>
          <w:tcPr>
            <w:tcW w:w="101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779"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网络通信业务覆盖范围</w:t>
            </w:r>
          </w:p>
        </w:tc>
        <w:tc>
          <w:tcPr>
            <w:tcW w:w="3248" w:type="dxa"/>
          </w:tcPr>
          <w:p>
            <w:pPr>
              <w:pStyle w:val="4"/>
              <w:widowControl w:val="0"/>
              <w:numPr>
                <w:ilvl w:val="0"/>
                <w:numId w:val="0"/>
              </w:numPr>
              <w:bidi w:val="0"/>
              <w:spacing w:before="0" w:line="240" w:lineRule="auto"/>
              <w:jc w:val="both"/>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供应商应以承诺函的形式列出专线网络通信业务的覆盖范围，包括专线网络通信业务能覆盖到的省级行政区（不含港澳台）名称、数量及其中能覆盖到的地级行政区名称、数量。</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widowControl w:val="0"/>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提供专线网络通信业务的覆盖范围承诺函</w:t>
            </w:r>
          </w:p>
        </w:tc>
      </w:tr>
    </w:tbl>
    <w:p>
      <w:pPr>
        <w:pStyle w:val="3"/>
        <w:numPr>
          <w:ilvl w:val="0"/>
          <w:numId w:val="4"/>
        </w:numPr>
        <w:bidi w:val="0"/>
        <w:spacing w:before="0" w:after="0" w:line="360" w:lineRule="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服务要求（适用所有包件）</w:t>
      </w:r>
    </w:p>
    <w:p>
      <w:pPr>
        <w:bidi w:val="0"/>
        <w:spacing w:line="360" w:lineRule="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服务</w:t>
      </w:r>
      <w:r>
        <w:rPr>
          <w:rFonts w:hint="eastAsia" w:ascii="仿宋_GB2312" w:hAnsi="仿宋_GB2312" w:eastAsia="仿宋_GB2312" w:cs="仿宋_GB2312"/>
          <w:sz w:val="30"/>
          <w:szCs w:val="30"/>
        </w:rPr>
        <w:t>要求共有“★”指标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34</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项，“#”指标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4</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项，“△”指标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w:t>
      </w:r>
    </w:p>
    <w:p>
      <w:pPr>
        <w:pStyle w:val="4"/>
        <w:numPr>
          <w:ilvl w:val="0"/>
          <w:numId w:val="0"/>
        </w:numPr>
        <w:bidi w:val="0"/>
        <w:spacing w:before="0" w:line="360" w:lineRule="auto"/>
        <w:ind w:leftChars="0" w:firstLine="0" w:firstLineChars="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3.1采购线路服务总体要求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024"/>
        <w:gridCol w:w="1666"/>
        <w:gridCol w:w="3347"/>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序号</w:t>
            </w:r>
          </w:p>
        </w:tc>
        <w:tc>
          <w:tcPr>
            <w:tcW w:w="1024"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重要性</w:t>
            </w:r>
          </w:p>
        </w:tc>
        <w:tc>
          <w:tcPr>
            <w:tcW w:w="1666"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指标项</w:t>
            </w:r>
          </w:p>
        </w:tc>
        <w:tc>
          <w:tcPr>
            <w:tcW w:w="3347"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指标要求</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w:t>
            </w:r>
          </w:p>
        </w:tc>
        <w:tc>
          <w:tcPr>
            <w:tcW w:w="1024"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66"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合同要求</w:t>
            </w:r>
          </w:p>
        </w:tc>
        <w:tc>
          <w:tcPr>
            <w:tcW w:w="3347"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合同总价：为各线路基准带宽对应租赁服务的费用之和（互联网线路应含IP地址、DDOS防护服务费用；），甲方可以按需对线路实施升降速及接入地调整等，并在合同总价范围内据实结算。</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w:t>
            </w:r>
          </w:p>
        </w:tc>
        <w:tc>
          <w:tcPr>
            <w:tcW w:w="1024"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66"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合同要求</w:t>
            </w:r>
          </w:p>
        </w:tc>
        <w:tc>
          <w:tcPr>
            <w:tcW w:w="3347"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合同期限：自合同签订之日起</w:t>
            </w:r>
            <w:r>
              <w:rPr>
                <w:rFonts w:hint="eastAsia" w:ascii="宋体" w:hAnsi="宋体" w:eastAsia="宋体" w:cs="宋体"/>
                <w:b w:val="0"/>
                <w:bCs/>
                <w:sz w:val="24"/>
                <w:szCs w:val="24"/>
                <w:shd w:val="clear" w:fill="auto"/>
                <w:lang w:val="en-US" w:eastAsia="zh-CN" w:bidi="ar-SA"/>
              </w:rPr>
              <w:t>，</w:t>
            </w:r>
            <w:r>
              <w:rPr>
                <w:rFonts w:hint="eastAsia" w:ascii="宋体" w:hAnsi="宋体" w:eastAsia="宋体" w:cs="宋体"/>
                <w:b w:val="0"/>
                <w:bCs/>
                <w:sz w:val="24"/>
                <w:szCs w:val="24"/>
                <w:lang w:val="en-US" w:eastAsia="zh-CN" w:bidi="ar-SA"/>
              </w:rPr>
              <w:t>至合同内每条线路开通使用满36个月。</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3</w:t>
            </w:r>
          </w:p>
        </w:tc>
        <w:tc>
          <w:tcPr>
            <w:tcW w:w="1024"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666"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合同服务要求</w:t>
            </w:r>
          </w:p>
        </w:tc>
        <w:tc>
          <w:tcPr>
            <w:tcW w:w="3347"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在履约期内，如市场价格相比本次采购的价格标准下调或乙方自愿提供更优惠价格，则乙方在已有合同的基础上签订补充协议下调价格标准。</w:t>
            </w:r>
          </w:p>
        </w:tc>
        <w:tc>
          <w:tcPr>
            <w:tcW w:w="17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bl>
    <w:p>
      <w:pPr>
        <w:pStyle w:val="4"/>
        <w:numPr>
          <w:ilvl w:val="0"/>
          <w:numId w:val="0"/>
        </w:numPr>
        <w:bidi w:val="0"/>
        <w:spacing w:before="0" w:beforeLines="0" w:line="360" w:lineRule="auto"/>
        <w:jc w:val="both"/>
        <w:rPr>
          <w:rFonts w:hint="eastAsia" w:ascii="仿宋_GB2312" w:hAnsi="仿宋_GB2312" w:eastAsia="仿宋_GB2312" w:cs="仿宋_GB2312"/>
          <w:b w:val="0"/>
          <w:bCs/>
          <w:sz w:val="30"/>
          <w:szCs w:val="30"/>
          <w:lang w:val="en-US" w:eastAsia="zh-CN" w:bidi="ar-SA"/>
        </w:rPr>
      </w:pPr>
      <w:r>
        <w:rPr>
          <w:rFonts w:hint="eastAsia" w:ascii="仿宋_GB2312" w:hAnsi="仿宋_GB2312" w:eastAsia="仿宋_GB2312" w:cs="仿宋_GB2312"/>
          <w:b w:val="0"/>
          <w:bCs/>
          <w:sz w:val="30"/>
          <w:szCs w:val="30"/>
          <w:lang w:val="en-US" w:eastAsia="zh-CN" w:bidi="ar-SA"/>
        </w:rPr>
        <w:t>3.2乙方权利及义务约束</w:t>
      </w:r>
    </w:p>
    <w:tbl>
      <w:tblPr>
        <w:tblStyle w:val="15"/>
        <w:tblpPr w:leftFromText="180" w:rightFromText="180" w:vertAnchor="text" w:horzAnchor="page" w:tblpX="905" w:tblpY="369"/>
        <w:tblOverlap w:val="never"/>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631"/>
        <w:gridCol w:w="1229"/>
        <w:gridCol w:w="4972"/>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序号</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重要性</w:t>
            </w:r>
          </w:p>
        </w:tc>
        <w:tc>
          <w:tcPr>
            <w:tcW w:w="122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指标项</w:t>
            </w:r>
          </w:p>
        </w:tc>
        <w:tc>
          <w:tcPr>
            <w:tcW w:w="4972"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指标要求</w:t>
            </w:r>
          </w:p>
        </w:tc>
        <w:tc>
          <w:tcPr>
            <w:tcW w:w="23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乙方需具备有效期内中华人民共和国基础电信业务经营许可证资质，提供有效期内中华人民共和国基础电信业务经营许可证资质复印件加盖公章。</w:t>
            </w:r>
          </w:p>
        </w:tc>
        <w:tc>
          <w:tcPr>
            <w:tcW w:w="23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是。</w:t>
            </w:r>
          </w:p>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有效期内中华人民共和国基础电信业务经营许可证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供应商服务要求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乙方视甲方为重要客户，按照合同约定提供端到端的综合性服务，保证优先处理甲方的业务受理、业务开通和故障修复等各项需求，同时免费为甲方提供各类电信业务的咨询、组网建议等服务。</w:t>
            </w:r>
          </w:p>
        </w:tc>
        <w:tc>
          <w:tcPr>
            <w:tcW w:w="23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3</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供应商资源要求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承诺具备充足的冗余电路资源,能为甲方提供高可用性的电路，所有设备都是乙方同类设备中的优质资源，为甲方提供的线路的接入局、接入光纤、接入设备、线路管孔、长途光纤资源等是乙方独立的自有资源。如是租用其他乙方或单位的资源需经甲方书面同意。</w:t>
            </w:r>
          </w:p>
        </w:tc>
        <w:tc>
          <w:tcPr>
            <w:tcW w:w="23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4</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highlight w:val="none"/>
                <w:lang w:val="en-US" w:eastAsia="zh-CN" w:bidi="ar-SA"/>
              </w:rPr>
              <w:t>供应商资源要求</w:t>
            </w:r>
          </w:p>
        </w:tc>
        <w:tc>
          <w:tcPr>
            <w:tcW w:w="4972" w:type="dxa"/>
          </w:tcPr>
          <w:p>
            <w:pPr>
              <w:keepNext w:val="0"/>
              <w:keepLines w:val="0"/>
              <w:widowControl/>
              <w:bidi w:val="0"/>
              <w:spacing w:before="0" w:line="240" w:lineRule="auto"/>
              <w:jc w:val="left"/>
              <w:rPr>
                <w:rFonts w:hint="eastAsia" w:ascii="宋体" w:hAnsi="宋体" w:eastAsia="宋体" w:cs="宋体"/>
                <w:b w:val="0"/>
                <w:bCs/>
                <w:sz w:val="24"/>
                <w:szCs w:val="24"/>
                <w:highlight w:val="none"/>
                <w:lang w:val="en-US" w:eastAsia="zh-CN" w:bidi="ar-SA"/>
              </w:rPr>
            </w:pPr>
            <w:r>
              <w:rPr>
                <w:rFonts w:hint="eastAsia" w:ascii="宋体" w:hAnsi="宋体" w:eastAsia="宋体" w:cs="宋体"/>
                <w:bCs/>
                <w:i w:val="0"/>
                <w:iCs w:val="0"/>
                <w:caps w:val="0"/>
                <w:color w:val="000000"/>
                <w:spacing w:val="0"/>
                <w:kern w:val="2"/>
                <w:sz w:val="24"/>
                <w:szCs w:val="24"/>
                <w:highlight w:val="none"/>
                <w:lang w:val="en-US" w:eastAsia="zh-CN" w:bidi="ar-SA"/>
              </w:rPr>
              <w:t>接入银联黄山中心园区的通信管道应完成新建</w:t>
            </w:r>
            <w:r>
              <w:rPr>
                <w:rFonts w:hint="eastAsia" w:ascii="宋体" w:hAnsi="宋体" w:eastAsia="宋体" w:cs="宋体"/>
                <w:b w:val="0"/>
                <w:bCs/>
                <w:sz w:val="24"/>
                <w:szCs w:val="24"/>
                <w:highlight w:val="none"/>
                <w:lang w:val="en-US" w:eastAsia="zh-CN" w:bidi="ar-SA"/>
              </w:rPr>
              <w:t>。合同签署前，中标供应商应</w:t>
            </w:r>
            <w:r>
              <w:rPr>
                <w:rFonts w:hint="eastAsia" w:ascii="宋体" w:hAnsi="宋体" w:eastAsia="宋体" w:cs="宋体"/>
                <w:bCs/>
                <w:i w:val="0"/>
                <w:iCs w:val="0"/>
                <w:caps w:val="0"/>
                <w:color w:val="auto"/>
                <w:spacing w:val="0"/>
                <w:kern w:val="2"/>
                <w:sz w:val="24"/>
                <w:szCs w:val="24"/>
                <w:highlight w:val="none"/>
                <w:lang w:val="en-US" w:eastAsia="zh-CN" w:bidi="ar-SA"/>
              </w:rPr>
              <w:t>提供《黄山高新区占用公共设施申请表》并已通过资规局、住建局、交管部门及城管部门审批的证明并</w:t>
            </w:r>
            <w:r>
              <w:rPr>
                <w:rFonts w:hint="eastAsia" w:ascii="宋体" w:hAnsi="宋体" w:eastAsia="宋体" w:cs="宋体"/>
                <w:b w:val="0"/>
                <w:bCs/>
                <w:sz w:val="24"/>
                <w:szCs w:val="24"/>
                <w:highlight w:val="none"/>
                <w:lang w:val="en-US" w:eastAsia="zh-CN" w:bidi="ar-SA"/>
              </w:rPr>
              <w:t>接受招标人的查验</w:t>
            </w:r>
            <w:r>
              <w:rPr>
                <w:rFonts w:hint="eastAsia" w:ascii="宋体" w:hAnsi="宋体" w:eastAsia="宋体" w:cs="宋体"/>
                <w:bCs/>
                <w:i w:val="0"/>
                <w:iCs w:val="0"/>
                <w:caps w:val="0"/>
                <w:color w:val="auto"/>
                <w:spacing w:val="0"/>
                <w:kern w:val="2"/>
                <w:sz w:val="24"/>
                <w:szCs w:val="24"/>
                <w:highlight w:val="none"/>
                <w:lang w:val="en-US" w:eastAsia="zh-CN" w:bidi="ar-SA"/>
              </w:rPr>
              <w:t>，查验通过后方能签署合同。</w:t>
            </w:r>
          </w:p>
        </w:tc>
        <w:tc>
          <w:tcPr>
            <w:tcW w:w="2305" w:type="dxa"/>
            <w:vAlign w:val="center"/>
          </w:tcPr>
          <w:p>
            <w:pPr>
              <w:pStyle w:val="4"/>
              <w:widowControl w:val="0"/>
              <w:numPr>
                <w:ilvl w:val="-1"/>
                <w:numId w:val="0"/>
              </w:numPr>
              <w:bidi w:val="0"/>
              <w:spacing w:before="0" w:line="240" w:lineRule="auto"/>
              <w:ind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ind w:left="0" w:leftChars="0" w:firstLine="0" w:firstLineChars="0"/>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highlight w:val="none"/>
                <w:lang w:val="en-US" w:eastAsia="zh-CN" w:bidi="ar-SA"/>
              </w:rPr>
              <w:t>5</w:t>
            </w:r>
          </w:p>
        </w:tc>
        <w:tc>
          <w:tcPr>
            <w:tcW w:w="631" w:type="dxa"/>
            <w:vAlign w:val="center"/>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highlight w:val="none"/>
                <w:lang w:val="en-US" w:eastAsia="zh-CN" w:bidi="ar-SA"/>
              </w:rPr>
              <w:t>#</w:t>
            </w:r>
          </w:p>
        </w:tc>
        <w:tc>
          <w:tcPr>
            <w:tcW w:w="1229" w:type="dxa"/>
            <w:vAlign w:val="top"/>
          </w:tcPr>
          <w:p>
            <w:pPr>
              <w:pStyle w:val="4"/>
              <w:widowControl w:val="0"/>
              <w:numPr>
                <w:ilvl w:val="0"/>
                <w:numId w:val="0"/>
              </w:numPr>
              <w:bidi w:val="0"/>
              <w:spacing w:before="0" w:line="240" w:lineRule="auto"/>
              <w:ind w:left="0" w:leftChars="0" w:firstLine="0" w:firstLineChars="0"/>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highlight w:val="none"/>
                <w:lang w:val="en-US" w:eastAsia="zh-CN" w:bidi="ar-SA"/>
              </w:rPr>
              <w:t>供应商资源要求</w:t>
            </w:r>
          </w:p>
        </w:tc>
        <w:tc>
          <w:tcPr>
            <w:tcW w:w="4972" w:type="dxa"/>
            <w:vAlign w:val="top"/>
          </w:tcPr>
          <w:p>
            <w:pPr>
              <w:keepNext w:val="0"/>
              <w:keepLines w:val="0"/>
              <w:widowControl/>
              <w:suppressLineNumbers w:val="0"/>
              <w:ind w:left="0" w:firstLine="0"/>
              <w:jc w:val="left"/>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合同签署前，中标供应商应提供线路开通的资源具备情况的相关材料，应包含</w:t>
            </w:r>
            <w:r>
              <w:rPr>
                <w:rFonts w:hint="eastAsia" w:ascii="宋体" w:hAnsi="宋体" w:eastAsia="宋体" w:cs="宋体"/>
                <w:bCs/>
                <w:i w:val="0"/>
                <w:iCs w:val="0"/>
                <w:caps w:val="0"/>
                <w:color w:val="000000"/>
                <w:spacing w:val="0"/>
                <w:kern w:val="2"/>
                <w:sz w:val="24"/>
                <w:szCs w:val="24"/>
                <w:highlight w:val="none"/>
                <w:lang w:val="en-US" w:eastAsia="zh-CN" w:bidi="ar-SA"/>
              </w:rPr>
              <w:t>新建管道情况、光缆建设情况、OTN传输网全国一干节点部署情况。具体</w:t>
            </w:r>
            <w:r>
              <w:rPr>
                <w:rFonts w:hint="eastAsia" w:ascii="宋体" w:hAnsi="宋体" w:eastAsia="宋体" w:cs="宋体"/>
                <w:b w:val="0"/>
                <w:bCs/>
                <w:sz w:val="24"/>
                <w:szCs w:val="24"/>
                <w:highlight w:val="none"/>
                <w:lang w:val="en-US" w:eastAsia="zh-CN" w:bidi="ar-SA"/>
              </w:rPr>
              <w:t>包括：</w:t>
            </w:r>
          </w:p>
          <w:p>
            <w:pPr>
              <w:keepNext w:val="0"/>
              <w:keepLines w:val="0"/>
              <w:widowControl/>
              <w:suppressLineNumbers w:val="0"/>
              <w:ind w:left="0" w:firstLine="0"/>
              <w:jc w:val="left"/>
              <w:rPr>
                <w:rFonts w:hint="eastAsia" w:ascii="宋体" w:hAnsi="宋体" w:eastAsia="宋体" w:cs="宋体"/>
                <w:bCs/>
                <w:i w:val="0"/>
                <w:iCs w:val="0"/>
                <w:caps w:val="0"/>
                <w:color w:val="auto"/>
                <w:spacing w:val="0"/>
                <w:sz w:val="24"/>
                <w:szCs w:val="24"/>
                <w:highlight w:val="none"/>
              </w:rPr>
            </w:pPr>
            <w:r>
              <w:rPr>
                <w:rFonts w:hint="eastAsia" w:ascii="宋体" w:hAnsi="宋体" w:eastAsia="宋体" w:cs="宋体"/>
                <w:b w:val="0"/>
                <w:bCs/>
                <w:sz w:val="24"/>
                <w:szCs w:val="24"/>
                <w:highlight w:val="none"/>
                <w:lang w:val="en-US" w:eastAsia="zh-CN" w:bidi="ar-SA"/>
              </w:rPr>
              <w:t>1、</w:t>
            </w:r>
            <w:r>
              <w:rPr>
                <w:rFonts w:hint="eastAsia" w:ascii="宋体" w:hAnsi="宋体" w:eastAsia="宋体" w:cs="宋体"/>
                <w:bCs/>
                <w:i w:val="0"/>
                <w:iCs w:val="0"/>
                <w:caps w:val="0"/>
                <w:color w:val="auto"/>
                <w:spacing w:val="0"/>
                <w:kern w:val="2"/>
                <w:sz w:val="24"/>
                <w:szCs w:val="24"/>
                <w:highlight w:val="none"/>
                <w:lang w:val="en-US" w:eastAsia="zh-CN" w:bidi="ar-SA"/>
              </w:rPr>
              <w:t>接入银联黄山中心园区的新建管道规划建设方案、管道建设后的现场照片。</w:t>
            </w:r>
          </w:p>
          <w:p>
            <w:pPr>
              <w:keepNext w:val="0"/>
              <w:keepLines w:val="0"/>
              <w:widowControl/>
              <w:suppressLineNumbers w:val="0"/>
              <w:ind w:left="0" w:firstLine="0"/>
              <w:jc w:val="left"/>
              <w:rPr>
                <w:rFonts w:hint="eastAsia" w:ascii="宋体" w:hAnsi="宋体" w:eastAsia="宋体" w:cs="宋体"/>
                <w:bCs/>
                <w:i w:val="0"/>
                <w:iCs w:val="0"/>
                <w:caps w:val="0"/>
                <w:color w:val="auto"/>
                <w:spacing w:val="0"/>
                <w:sz w:val="24"/>
                <w:szCs w:val="24"/>
                <w:highlight w:val="none"/>
              </w:rPr>
            </w:pPr>
            <w:r>
              <w:rPr>
                <w:rFonts w:hint="eastAsia" w:ascii="宋体" w:hAnsi="宋体" w:eastAsia="宋体" w:cs="宋体"/>
                <w:bCs/>
                <w:i w:val="0"/>
                <w:iCs w:val="0"/>
                <w:caps w:val="0"/>
                <w:color w:val="auto"/>
                <w:spacing w:val="0"/>
                <w:kern w:val="2"/>
                <w:sz w:val="24"/>
                <w:szCs w:val="24"/>
                <w:highlight w:val="none"/>
                <w:lang w:val="en-US" w:eastAsia="zh-CN" w:bidi="ar-SA"/>
              </w:rPr>
              <w:t>2、接入银联黄山中心园区的光缆建设项目内部立项、批复文件、光缆规划示意图、光缆铺设后的现场照片。</w:t>
            </w:r>
          </w:p>
          <w:p>
            <w:pPr>
              <w:keepNext w:val="0"/>
              <w:keepLines w:val="0"/>
              <w:widowControl/>
              <w:jc w:val="left"/>
              <w:rPr>
                <w:rFonts w:hint="eastAsia" w:ascii="宋体" w:hAnsi="宋体" w:eastAsia="宋体" w:cs="宋体"/>
                <w:bCs/>
                <w:i w:val="0"/>
                <w:iCs w:val="0"/>
                <w:caps w:val="0"/>
                <w:color w:val="000000"/>
                <w:spacing w:val="0"/>
                <w:kern w:val="2"/>
                <w:sz w:val="24"/>
                <w:szCs w:val="24"/>
                <w:highlight w:val="none"/>
                <w:lang w:val="en-US" w:eastAsia="zh-CN" w:bidi="ar-SA"/>
              </w:rPr>
            </w:pPr>
            <w:r>
              <w:rPr>
                <w:rFonts w:hint="eastAsia" w:ascii="宋体" w:hAnsi="宋体" w:eastAsia="宋体" w:cs="宋体"/>
                <w:bCs/>
                <w:i w:val="0"/>
                <w:iCs w:val="0"/>
                <w:caps w:val="0"/>
                <w:color w:val="auto"/>
                <w:spacing w:val="0"/>
                <w:kern w:val="2"/>
                <w:sz w:val="24"/>
                <w:szCs w:val="24"/>
                <w:highlight w:val="none"/>
                <w:lang w:val="en-US" w:eastAsia="zh-CN" w:bidi="ar-SA"/>
              </w:rPr>
              <w:t>3、黄山本地部署的OTN传输网全国一干节点具备说明和网管图。</w:t>
            </w:r>
          </w:p>
          <w:p>
            <w:pPr>
              <w:keepNext w:val="0"/>
              <w:keepLines w:val="0"/>
              <w:widowControl/>
              <w:jc w:val="left"/>
              <w:rPr>
                <w:rFonts w:hint="eastAsia" w:ascii="宋体" w:hAnsi="宋体" w:eastAsia="宋体" w:cs="宋体"/>
                <w:b w:val="0"/>
                <w:bCs/>
                <w:sz w:val="24"/>
                <w:szCs w:val="24"/>
                <w:highlight w:val="none"/>
                <w:lang w:val="en-US" w:eastAsia="zh-CN" w:bidi="ar-SA"/>
              </w:rPr>
            </w:pPr>
            <w:r>
              <w:rPr>
                <w:rFonts w:hint="eastAsia" w:ascii="宋体" w:hAnsi="宋体" w:eastAsia="宋体" w:cs="宋体"/>
                <w:bCs/>
                <w:i w:val="0"/>
                <w:iCs w:val="0"/>
                <w:caps w:val="0"/>
                <w:spacing w:val="0"/>
                <w:kern w:val="2"/>
                <w:sz w:val="24"/>
                <w:szCs w:val="24"/>
                <w:highlight w:val="none"/>
                <w:lang w:val="en-US" w:eastAsia="zh-CN" w:bidi="ar-SA"/>
              </w:rPr>
              <w:t>中标供应商在合同签署前要接受招标人的查验，查验通过后方可签署合同。</w:t>
            </w:r>
          </w:p>
        </w:tc>
        <w:tc>
          <w:tcPr>
            <w:tcW w:w="2305" w:type="dxa"/>
            <w:vAlign w:val="top"/>
          </w:tcPr>
          <w:p>
            <w:pPr>
              <w:keepNext w:val="0"/>
              <w:keepLines w:val="0"/>
              <w:widowControl/>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6</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供应商服务要求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应依据相关规程和规范对出租的电路及安装在甲方机房的乙方设备进行维护和支持服务。该设备的安装、验收包含在线路开通服务中，应保证在线路开通时间内完成并正常运行。该设备灭失、损坏的风险由乙方承担。</w:t>
            </w:r>
          </w:p>
        </w:tc>
        <w:tc>
          <w:tcPr>
            <w:tcW w:w="2305"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7</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供应商服务要求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乙方负责电路全程连接、调通，并承诺电路供甲方专用。</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8</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供应商故障处理要求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乙方负责全程处理甲方在接入和使用租用电路业务过程中出现的线路故障。</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9</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供应商服务团队要求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为保障甲方线路的高可用性及各项服务的高效、顺利地开展，乙方须为甲方指定服务团队（或专员），协调其全国各地分公司并督促其严格按照合同条款要求执行。</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10</w:t>
            </w:r>
          </w:p>
        </w:tc>
        <w:tc>
          <w:tcPr>
            <w:tcW w:w="631"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供应商服务团队要求</w:t>
            </w:r>
          </w:p>
        </w:tc>
        <w:tc>
          <w:tcPr>
            <w:tcW w:w="4972" w:type="dxa"/>
          </w:tcPr>
          <w:p>
            <w:pPr>
              <w:keepNext w:val="0"/>
              <w:keepLines w:val="0"/>
              <w:widowControl/>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乙方须为甲方提供指定服务团队，</w:t>
            </w:r>
            <w:r>
              <w:rPr>
                <w:rFonts w:hint="eastAsia" w:ascii="宋体" w:hAnsi="宋体" w:eastAsia="宋体" w:cs="宋体"/>
                <w:bCs/>
                <w:i w:val="0"/>
                <w:iCs w:val="0"/>
                <w:caps w:val="0"/>
                <w:color w:val="auto"/>
                <w:spacing w:val="0"/>
                <w:kern w:val="2"/>
                <w:sz w:val="24"/>
                <w:szCs w:val="24"/>
                <w:lang w:val="en-US" w:eastAsia="zh-CN" w:bidi="ar-SA"/>
              </w:rPr>
              <w:t>包含集团、省公司、市公司各层级、各专业相关人员组成的保障团队。</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是。提供服务团队方案。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11</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供应商割接要求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乙方对于可以预见的网络维护升级，或非不可抗力等可能会造成的电路中断的情况，应至少提前3个工作日通知甲方，并与甲方协商做好应对措施。</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12</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供应商运维要求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乙方对于任何已知可能导致线路中断的隐患均需立即告知银联（包括传输硬件故障、商务纠纷等）。</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13</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供应商服务要求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承担因乙方原因造成的电路迟延开通的责任。如未按照甲方要求时间节点开通电路，按罚则执行。</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14</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供应商服务要求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乙方承诺在本合同效期内，向甲方提供不低于同行业同等条件下其他客户的优惠待遇。</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15</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供应商服务要求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乙方须保证其提供给甲方使用的线路可用率符合甲方可用率要求。线路可用率=线路畅通时间/线路连线时间×100%，线路可用率计算周期与付款周期相对应，线路可用率为逐条计算。</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16</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供应商报告要求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须每月向甲方提供一次定期运行报告，主要包括线路及其它电信业务使用和运行情况、相关分析及维护经验总结等。在线路质量严重下降(如时延持续增大、闪断频繁、中断次数较多)等情形时，须立即通知甲方，并说明原因，出具故障报告。</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17</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供应商服务要求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收到甲方提供的开通、变更线路等需求申请单后，乙方进行开通、变更线路等服务。乙方受理甲方需求部门信息总中心加盖部门章的需求申请单。</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18</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供应商服务团队要求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乙方应有明确的运维服务团队，每个供应商不少于4人，实行A、B角负责制，负责与用户扎口沟通并有权限能协调调动内部资源，能满足7X24电话受理，5分钟内响应。</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19</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供应商重保要求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特殊时段（春节、劳动节、国庆节、年终、中国银联重大系统投产等），乙方须按照用户要求提供重点保障服务，重保期间不能对银联租用线路涉及设备及资源做任何变更动作，且安排专人值班重点关注银联租用线路运营情况，有故障优先处理。</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20</w:t>
            </w:r>
          </w:p>
        </w:tc>
        <w:tc>
          <w:tcPr>
            <w:tcW w:w="63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229"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供应商服务要求</w:t>
            </w:r>
          </w:p>
        </w:tc>
        <w:tc>
          <w:tcPr>
            <w:tcW w:w="497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乙方可根据各自实际情况提供增值服务列表，并对可提供的其他个性化服务按每项分项提供报价。</w:t>
            </w:r>
          </w:p>
        </w:tc>
        <w:tc>
          <w:tcPr>
            <w:tcW w:w="2305"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提供增值服务列表及报价</w:t>
            </w:r>
          </w:p>
        </w:tc>
      </w:tr>
    </w:tbl>
    <w:p>
      <w:pPr>
        <w:pStyle w:val="4"/>
        <w:numPr>
          <w:ilvl w:val="0"/>
          <w:numId w:val="0"/>
        </w:numPr>
        <w:bidi w:val="0"/>
        <w:spacing w:before="0" w:line="360" w:lineRule="auto"/>
        <w:jc w:val="both"/>
        <w:rPr>
          <w:rFonts w:hint="eastAsia" w:ascii="仿宋_GB2312" w:hAnsi="仿宋_GB2312" w:eastAsia="仿宋_GB2312" w:cs="仿宋_GB2312"/>
          <w:b w:val="0"/>
          <w:bCs/>
          <w:sz w:val="30"/>
          <w:szCs w:val="30"/>
          <w:lang w:val="en-US" w:eastAsia="zh-CN" w:bidi="ar-SA"/>
        </w:rPr>
      </w:pPr>
      <w:r>
        <w:rPr>
          <w:rFonts w:hint="eastAsia" w:ascii="仿宋_GB2312" w:hAnsi="仿宋_GB2312" w:eastAsia="仿宋_GB2312" w:cs="仿宋_GB2312"/>
          <w:b w:val="0"/>
          <w:bCs/>
          <w:sz w:val="30"/>
          <w:szCs w:val="30"/>
          <w:lang w:val="en-US" w:eastAsia="zh-CN" w:bidi="ar-SA"/>
        </w:rPr>
        <w:t>3.3线路及相关服务开通要求</w:t>
      </w:r>
    </w:p>
    <w:tbl>
      <w:tblPr>
        <w:tblStyle w:val="1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689"/>
        <w:gridCol w:w="1021"/>
        <w:gridCol w:w="5162"/>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序号</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重要性</w:t>
            </w:r>
          </w:p>
        </w:tc>
        <w:tc>
          <w:tcPr>
            <w:tcW w:w="10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指标项</w:t>
            </w:r>
          </w:p>
        </w:tc>
        <w:tc>
          <w:tcPr>
            <w:tcW w:w="5162"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指标要求</w:t>
            </w:r>
          </w:p>
        </w:tc>
        <w:tc>
          <w:tcPr>
            <w:tcW w:w="1366"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线路开通端口要求</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电路开通是指甲乙双方商定的接口点外侧间的电路全程测通，并以最晚一端开通为准。对于互联网线路，除电路测通外，还应以开通互联网IP地址的80及8080、443端口，并按照工信部规定完成互联网网站备案为准。每次施工前，须根据甲方各项目要求提供施工方案，在经甲方确认后方可进行。线路开通时供应商负责按照银联开通时间要求将线路接入对端机房。</w:t>
            </w:r>
          </w:p>
        </w:tc>
        <w:tc>
          <w:tcPr>
            <w:tcW w:w="1366"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勘查要求</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应标时供应商需要提前勘察对端接入资源情况，确认对端具备对应供应商接入条件。</w:t>
            </w:r>
          </w:p>
        </w:tc>
        <w:tc>
          <w:tcPr>
            <w:tcW w:w="1366"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3</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线路据实分批开通要求</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合同签署后，供应商需根据甲方业务需要据实分批开通线路（因甲方业务原因无需开通使用的线路除外）。</w:t>
            </w:r>
          </w:p>
        </w:tc>
        <w:tc>
          <w:tcPr>
            <w:tcW w:w="1366"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4</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线路开通工期要求</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供应商需在收到甲方线路开通通知之日起尽快完成线路开通（包括开通前的准备工作及线路开通工作）。在资源具备时，应在接到甲方通知后</w:t>
            </w:r>
            <w:r>
              <w:rPr>
                <w:rFonts w:hint="default" w:ascii="宋体" w:hAnsi="宋体" w:eastAsia="宋体" w:cs="宋体"/>
                <w:b w:val="0"/>
                <w:bCs/>
                <w:sz w:val="24"/>
                <w:szCs w:val="24"/>
                <w:lang w:val="en-US" w:eastAsia="zh-CN" w:bidi="ar-SA"/>
              </w:rPr>
              <w:t>15</w:t>
            </w:r>
            <w:r>
              <w:rPr>
                <w:rFonts w:hint="eastAsia" w:ascii="宋体" w:hAnsi="宋体" w:eastAsia="宋体" w:cs="宋体"/>
                <w:b w:val="0"/>
                <w:bCs/>
                <w:sz w:val="24"/>
                <w:szCs w:val="24"/>
                <w:lang w:val="en-US" w:eastAsia="zh-CN" w:bidi="ar-SA"/>
              </w:rPr>
              <w:t>个工作日内完成专线开通；资源不具备时，30个工作日内完成专线开通。</w:t>
            </w:r>
          </w:p>
        </w:tc>
        <w:tc>
          <w:tcPr>
            <w:tcW w:w="1366"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5</w:t>
            </w:r>
          </w:p>
        </w:tc>
        <w:tc>
          <w:tcPr>
            <w:tcW w:w="689"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线路开通要求</w:t>
            </w:r>
          </w:p>
        </w:tc>
        <w:tc>
          <w:tcPr>
            <w:tcW w:w="5162" w:type="dxa"/>
          </w:tcPr>
          <w:p>
            <w:pPr>
              <w:pStyle w:val="4"/>
              <w:numPr>
                <w:ilvl w:val="0"/>
                <w:numId w:val="0"/>
              </w:numPr>
              <w:jc w:val="left"/>
              <w:rPr>
                <w:rFonts w:hint="eastAsia"/>
                <w:lang w:val="en-US" w:eastAsia="zh-CN"/>
              </w:rPr>
            </w:pPr>
            <w:r>
              <w:rPr>
                <w:rFonts w:hint="eastAsia" w:ascii="宋体" w:hAnsi="宋体" w:eastAsia="宋体" w:cs="宋体"/>
                <w:b w:val="0"/>
                <w:bCs/>
                <w:sz w:val="24"/>
                <w:szCs w:val="24"/>
                <w:highlight w:val="none"/>
                <w:lang w:val="en-US" w:eastAsia="zh-CN" w:bidi="ar-SA"/>
              </w:rPr>
              <w:t>供应商应提供线路开通实施方案，</w:t>
            </w:r>
            <w:r>
              <w:rPr>
                <w:rFonts w:hint="eastAsia" w:ascii="宋体" w:hAnsi="宋体" w:eastAsia="宋体" w:cs="宋体"/>
                <w:i w:val="0"/>
                <w:iCs w:val="0"/>
                <w:snapToGrid/>
                <w:color w:val="auto"/>
                <w:kern w:val="2"/>
                <w:sz w:val="24"/>
                <w:szCs w:val="24"/>
                <w:highlight w:val="none"/>
                <w:u w:val="none"/>
                <w:lang w:val="en-US" w:eastAsia="zh-CN" w:bidi="ar-SA"/>
              </w:rPr>
              <w:t>方案</w:t>
            </w:r>
            <w:r>
              <w:rPr>
                <w:rFonts w:hint="eastAsia" w:ascii="宋体" w:hAnsi="宋体" w:eastAsia="宋体" w:cs="宋体"/>
                <w:i w:val="0"/>
                <w:iCs w:val="0"/>
                <w:snapToGrid/>
                <w:kern w:val="2"/>
                <w:sz w:val="24"/>
                <w:szCs w:val="24"/>
                <w:highlight w:val="none"/>
                <w:u w:val="none"/>
                <w:lang w:val="en-US" w:eastAsia="zh-CN" w:bidi="ar-SA"/>
              </w:rPr>
              <w:t>中应</w:t>
            </w:r>
            <w:r>
              <w:rPr>
                <w:rFonts w:hint="eastAsia" w:ascii="宋体" w:hAnsi="宋体" w:eastAsia="宋体" w:cs="宋体"/>
                <w:i w:val="0"/>
                <w:iCs w:val="0"/>
                <w:snapToGrid/>
                <w:color w:val="auto"/>
                <w:kern w:val="2"/>
                <w:sz w:val="24"/>
                <w:szCs w:val="24"/>
                <w:highlight w:val="none"/>
                <w:u w:val="none"/>
                <w:lang w:val="en-US" w:eastAsia="zh-CN" w:bidi="ar-SA"/>
              </w:rPr>
              <w:t>包含资源准备调度、实施流程及工期计划、人员安排、线路调测方案、现状分析、保障措施等，并</w:t>
            </w:r>
            <w:r>
              <w:rPr>
                <w:rFonts w:hint="eastAsia" w:ascii="宋体" w:hAnsi="宋体" w:eastAsia="宋体" w:cs="宋体"/>
                <w:b w:val="0"/>
                <w:bCs/>
                <w:snapToGrid/>
                <w:kern w:val="2"/>
                <w:sz w:val="24"/>
                <w:szCs w:val="24"/>
                <w:highlight w:val="none"/>
                <w:u w:val="none"/>
                <w:lang w:val="en-US" w:eastAsia="zh-CN" w:bidi="ar-SA"/>
              </w:rPr>
              <w:t>提供</w:t>
            </w:r>
            <w:r>
              <w:rPr>
                <w:rFonts w:hint="eastAsia" w:ascii="宋体" w:hAnsi="宋体" w:eastAsia="宋体" w:cs="宋体"/>
                <w:b w:val="0"/>
                <w:bCs/>
                <w:sz w:val="24"/>
                <w:szCs w:val="24"/>
                <w:highlight w:val="none"/>
                <w:lang w:val="en-US" w:eastAsia="zh-CN" w:bidi="ar-SA"/>
              </w:rPr>
              <w:t>实施工期承诺函，承诺函中明确线路开通所需时间。</w:t>
            </w:r>
          </w:p>
        </w:tc>
        <w:tc>
          <w:tcPr>
            <w:tcW w:w="1366"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是。</w:t>
            </w:r>
          </w:p>
          <w:p>
            <w:pPr>
              <w:pStyle w:val="4"/>
              <w:widowControl w:val="0"/>
              <w:numPr>
                <w:ilvl w:val="0"/>
                <w:numId w:val="0"/>
              </w:numPr>
              <w:bidi w:val="0"/>
              <w:spacing w:before="0" w:line="240" w:lineRule="auto"/>
              <w:jc w:val="center"/>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提供线路开通实施方案及工期承诺函</w:t>
            </w:r>
          </w:p>
        </w:tc>
      </w:tr>
    </w:tbl>
    <w:p>
      <w:pPr>
        <w:pStyle w:val="4"/>
        <w:numPr>
          <w:ilvl w:val="0"/>
          <w:numId w:val="0"/>
        </w:numPr>
        <w:bidi w:val="0"/>
        <w:spacing w:before="0" w:beforeLines="0" w:line="360" w:lineRule="auto"/>
        <w:jc w:val="both"/>
        <w:rPr>
          <w:rFonts w:hint="eastAsia" w:ascii="仿宋_GB2312" w:hAnsi="仿宋_GB2312" w:eastAsia="仿宋_GB2312" w:cs="仿宋_GB2312"/>
          <w:b w:val="0"/>
          <w:bCs/>
          <w:sz w:val="30"/>
          <w:szCs w:val="30"/>
          <w:lang w:val="en-US" w:eastAsia="zh-CN" w:bidi="ar-SA"/>
        </w:rPr>
      </w:pPr>
      <w:r>
        <w:rPr>
          <w:rFonts w:hint="eastAsia" w:ascii="仿宋_GB2312" w:hAnsi="仿宋_GB2312" w:eastAsia="仿宋_GB2312" w:cs="仿宋_GB2312"/>
          <w:b w:val="0"/>
          <w:bCs/>
          <w:sz w:val="30"/>
          <w:szCs w:val="30"/>
          <w:lang w:val="en-US" w:eastAsia="zh-CN" w:bidi="ar-SA"/>
        </w:rPr>
        <w:t>3.4终止服务</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689"/>
        <w:gridCol w:w="1021"/>
        <w:gridCol w:w="5162"/>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序号</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重要性</w:t>
            </w:r>
          </w:p>
        </w:tc>
        <w:tc>
          <w:tcPr>
            <w:tcW w:w="10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指标项</w:t>
            </w:r>
          </w:p>
        </w:tc>
        <w:tc>
          <w:tcPr>
            <w:tcW w:w="5162"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指标要求</w:t>
            </w:r>
          </w:p>
        </w:tc>
        <w:tc>
          <w:tcPr>
            <w:tcW w:w="102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线路终止要求</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甲方可根据自身业务需要随时终止电路租用及其它服务。甲方退租租用电路或终止其它服务时，应至少提前10个工作日以书面形式通知乙方。乙方应按照甲方要求的时间关闭电路（或终止服务），并停止计费。</w:t>
            </w:r>
          </w:p>
        </w:tc>
        <w:tc>
          <w:tcPr>
            <w:tcW w:w="102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线路终止要求</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线路合同履约期内，非经甲方书面同意，乙方不得单方终止租赁。</w:t>
            </w:r>
          </w:p>
        </w:tc>
        <w:tc>
          <w:tcPr>
            <w:tcW w:w="102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bl>
    <w:p>
      <w:pPr>
        <w:pStyle w:val="4"/>
        <w:numPr>
          <w:ilvl w:val="0"/>
          <w:numId w:val="0"/>
        </w:numPr>
        <w:bidi w:val="0"/>
        <w:spacing w:before="0" w:beforeLines="0" w:line="360" w:lineRule="auto"/>
        <w:jc w:val="both"/>
        <w:rPr>
          <w:rFonts w:hint="eastAsia" w:ascii="仿宋_GB2312" w:hAnsi="仿宋_GB2312" w:eastAsia="仿宋_GB2312" w:cs="仿宋_GB2312"/>
          <w:b w:val="0"/>
          <w:bCs/>
          <w:sz w:val="30"/>
          <w:szCs w:val="30"/>
          <w:lang w:val="en-US" w:eastAsia="zh-CN" w:bidi="ar-SA"/>
        </w:rPr>
      </w:pPr>
      <w:r>
        <w:rPr>
          <w:rFonts w:hint="eastAsia" w:ascii="仿宋_GB2312" w:hAnsi="仿宋_GB2312" w:eastAsia="仿宋_GB2312" w:cs="仿宋_GB2312"/>
          <w:b w:val="0"/>
          <w:bCs/>
          <w:sz w:val="30"/>
          <w:szCs w:val="30"/>
          <w:lang w:val="en-US" w:eastAsia="zh-CN" w:bidi="ar-SA"/>
        </w:rPr>
        <w:t>3.5违约责任</w:t>
      </w:r>
    </w:p>
    <w:tbl>
      <w:tblPr>
        <w:tblStyle w:val="1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689"/>
        <w:gridCol w:w="1021"/>
        <w:gridCol w:w="5162"/>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序号</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重要性</w:t>
            </w:r>
          </w:p>
        </w:tc>
        <w:tc>
          <w:tcPr>
            <w:tcW w:w="10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指标项</w:t>
            </w:r>
          </w:p>
        </w:tc>
        <w:tc>
          <w:tcPr>
            <w:tcW w:w="5162"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指标要求</w:t>
            </w:r>
          </w:p>
        </w:tc>
        <w:tc>
          <w:tcPr>
            <w:tcW w:w="1223"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违约罚则</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任何一方未履行本合同项下的义务均被视为违约。违约方应承担因违约给对方造成的损失。如乙方授权其分公司提供相关服务的，乙方分公司违约视同乙方违约，乙方须承担违约责任。</w:t>
            </w:r>
          </w:p>
        </w:tc>
        <w:tc>
          <w:tcPr>
            <w:tcW w:w="1223"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违约罚则</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如因乙方原因逾期开通，乙方以最终开通日期为起算时间向甲方收取第一个收费月的月服务费，同时每延误1日应向甲方支付该电路或服务月服务费（适用通常月的月服务费）的1%作为违约金，乙方延误超过50日的，甲方有权选择终止该合同，并追究乙方的违约责任。</w:t>
            </w:r>
          </w:p>
        </w:tc>
        <w:tc>
          <w:tcPr>
            <w:tcW w:w="1223"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3</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违约罚则</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要求线路可用率≥99.95%，如线路可用率未达到规定时，乙方按以下《线路可用率罚则表》比例对甲方进行赔付：</w:t>
            </w:r>
          </w:p>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（1）可用率在99.95％（不含）－99.9％之间，赔付故障线路月服务费的5％</w:t>
            </w:r>
          </w:p>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（2）可用率在99.9％（含）－99％之间，赔付故障线路月服务费的10％</w:t>
            </w:r>
          </w:p>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（3）可用率在99％（含）－97％之间，赔付故障线路月服务费的15％</w:t>
            </w:r>
          </w:p>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（4）可用率在97％（含）－95％之间，赔付故障线路月服务费的20％</w:t>
            </w:r>
          </w:p>
        </w:tc>
        <w:tc>
          <w:tcPr>
            <w:tcW w:w="1223"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4</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违约罚则</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在一个付费周期内，同一条或多条线路重复发生同类故障（包括中断、丢包、瞬断、误码等）3次及以上，故障涉及线路按《线路可用率罚则表》提高一档处罚，并有权要求乙方新开通线路替换原有线路。</w:t>
            </w:r>
          </w:p>
        </w:tc>
        <w:tc>
          <w:tcPr>
            <w:tcW w:w="1223"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5</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违约罚则</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线路可用率低于95%（含）时，甲方有权单方面终止该合同。</w:t>
            </w:r>
          </w:p>
        </w:tc>
        <w:tc>
          <w:tcPr>
            <w:tcW w:w="1223"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6</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违约罚则</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如乙方违反本合同约定的技术、服务和商务条款，并对专线质量产生影响，除本合同另有违约罚则约定外，每发生一次，乙方应按照涉及专线月租费5％的比例支付违约金，并应在本合同约定的时间内（如无约定，以甲方指定的时间为准）纠正该违约行为。</w:t>
            </w:r>
          </w:p>
        </w:tc>
        <w:tc>
          <w:tcPr>
            <w:tcW w:w="1223"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7</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vAlign w:val="top"/>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违约罚则</w:t>
            </w:r>
          </w:p>
        </w:tc>
        <w:tc>
          <w:tcPr>
            <w:tcW w:w="5162" w:type="dxa"/>
            <w:vAlign w:val="top"/>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在一次事件合同罚则执行中，按照违约金罚则中最大者执行，不重复执行罚则。</w:t>
            </w:r>
          </w:p>
        </w:tc>
        <w:tc>
          <w:tcPr>
            <w:tcW w:w="1223"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4"/>
              <w:widowControl w:val="0"/>
              <w:numPr>
                <w:ilvl w:val="0"/>
                <w:numId w:val="0"/>
              </w:numPr>
              <w:bidi w:val="0"/>
              <w:spacing w:before="0" w:line="240" w:lineRule="auto"/>
              <w:jc w:val="center"/>
              <w:rPr>
                <w:rFonts w:hint="default"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8</w:t>
            </w:r>
          </w:p>
        </w:tc>
        <w:tc>
          <w:tcPr>
            <w:tcW w:w="689"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w:t>
            </w:r>
          </w:p>
        </w:tc>
        <w:tc>
          <w:tcPr>
            <w:tcW w:w="1021" w:type="dxa"/>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违约罚则</w:t>
            </w:r>
          </w:p>
        </w:tc>
        <w:tc>
          <w:tcPr>
            <w:tcW w:w="5162" w:type="dxa"/>
          </w:tcPr>
          <w:p>
            <w:pPr>
              <w:pStyle w:val="4"/>
              <w:widowControl w:val="0"/>
              <w:numPr>
                <w:ilvl w:val="0"/>
                <w:numId w:val="0"/>
              </w:numPr>
              <w:bidi w:val="0"/>
              <w:spacing w:before="0" w:line="24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乙方违反其他义务性约定的，在甲方提出书面意见15天后仍未能予以纠正的，甲方有权单方解除合同，且乙方应赔偿甲方的直接经济损失。</w:t>
            </w:r>
          </w:p>
        </w:tc>
        <w:tc>
          <w:tcPr>
            <w:tcW w:w="1223" w:type="dxa"/>
            <w:vAlign w:val="center"/>
          </w:tcPr>
          <w:p>
            <w:pPr>
              <w:pStyle w:val="4"/>
              <w:widowControl w:val="0"/>
              <w:numPr>
                <w:ilvl w:val="0"/>
                <w:numId w:val="0"/>
              </w:numPr>
              <w:bidi w:val="0"/>
              <w:spacing w:before="0" w:line="24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否</w:t>
            </w:r>
          </w:p>
        </w:tc>
      </w:tr>
    </w:tbl>
    <w:p>
      <w:pPr>
        <w:rPr>
          <w:rFonts w:hint="default"/>
          <w:lang w:val="en-US" w:eastAsia="zh-CN"/>
        </w:rPr>
      </w:pPr>
    </w:p>
    <w:p>
      <w:pPr>
        <w:pStyle w:val="3"/>
        <w:numPr>
          <w:ilvl w:val="0"/>
          <w:numId w:val="4"/>
        </w:numPr>
        <w:bidi w:val="0"/>
        <w:spacing w:before="0" w:after="0" w:line="360" w:lineRule="auto"/>
        <w:rPr>
          <w:rFonts w:hint="eastAsia" w:ascii="仿宋_GB2312" w:hAnsi="仿宋_GB2312" w:eastAsia="仿宋_GB2312" w:cs="仿宋_GB2312"/>
          <w:b w:val="0"/>
          <w:sz w:val="30"/>
          <w:szCs w:val="30"/>
          <w:lang w:val="en-US" w:eastAsia="zh-CN"/>
        </w:rPr>
      </w:pPr>
      <w:bookmarkStart w:id="1" w:name="_Toc5607"/>
      <w:r>
        <w:rPr>
          <w:rFonts w:hint="eastAsia" w:ascii="仿宋_GB2312" w:hAnsi="仿宋_GB2312" w:eastAsia="仿宋_GB2312" w:cs="仿宋_GB2312"/>
          <w:b w:val="0"/>
          <w:sz w:val="30"/>
          <w:szCs w:val="30"/>
          <w:lang w:val="en-US" w:eastAsia="zh-CN"/>
        </w:rPr>
        <w:t>商务要求（适用包件1、2、3）</w:t>
      </w:r>
      <w:bookmarkEnd w:id="1"/>
    </w:p>
    <w:p>
      <w:pPr>
        <w:pStyle w:val="2"/>
        <w:bidi w:val="0"/>
        <w:spacing w:after="0" w:line="360" w:lineRule="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highlight w:val="none"/>
        </w:rPr>
        <w:t>本</w:t>
      </w:r>
      <w:r>
        <w:rPr>
          <w:rFonts w:hint="eastAsia" w:ascii="仿宋_GB2312" w:hAnsi="仿宋_GB2312" w:eastAsia="仿宋_GB2312" w:cs="仿宋_GB2312"/>
          <w:sz w:val="30"/>
          <w:szCs w:val="30"/>
          <w:highlight w:val="none"/>
          <w:lang w:val="en-US" w:eastAsia="zh-CN"/>
        </w:rPr>
        <w:t>商务</w:t>
      </w:r>
      <w:r>
        <w:rPr>
          <w:rFonts w:hint="eastAsia" w:ascii="仿宋_GB2312" w:hAnsi="仿宋_GB2312" w:eastAsia="仿宋_GB2312" w:cs="仿宋_GB2312"/>
          <w:sz w:val="30"/>
          <w:szCs w:val="30"/>
          <w:highlight w:val="none"/>
        </w:rPr>
        <w:t>要求共有“★”指标</w:t>
      </w:r>
      <w:r>
        <w:rPr>
          <w:rFonts w:hint="eastAsia" w:ascii="仿宋_GB2312" w:hAnsi="仿宋_GB2312" w:eastAsia="仿宋_GB2312" w:cs="仿宋_GB2312"/>
          <w:sz w:val="30"/>
          <w:szCs w:val="30"/>
          <w:highlight w:val="none"/>
          <w:u w:val="none"/>
        </w:rPr>
        <w:t xml:space="preserve"> </w:t>
      </w:r>
      <w:r>
        <w:rPr>
          <w:rFonts w:hint="eastAsia" w:ascii="仿宋_GB2312" w:hAnsi="仿宋_GB2312" w:eastAsia="仿宋_GB2312" w:cs="仿宋_GB2312"/>
          <w:sz w:val="30"/>
          <w:szCs w:val="30"/>
          <w:highlight w:val="none"/>
          <w:u w:val="none"/>
          <w:lang w:val="en-US" w:eastAsia="zh-CN"/>
        </w:rPr>
        <w:t xml:space="preserve">7 </w:t>
      </w:r>
      <w:r>
        <w:rPr>
          <w:rFonts w:hint="eastAsia" w:ascii="仿宋_GB2312" w:hAnsi="仿宋_GB2312" w:eastAsia="仿宋_GB2312" w:cs="仿宋_GB2312"/>
          <w:sz w:val="30"/>
          <w:szCs w:val="30"/>
          <w:highlight w:val="none"/>
        </w:rPr>
        <w:t>项，“#”指标</w:t>
      </w:r>
      <w:r>
        <w:rPr>
          <w:rFonts w:hint="eastAsia" w:ascii="仿宋_GB2312" w:hAnsi="仿宋_GB2312" w:eastAsia="仿宋_GB2312" w:cs="仿宋_GB2312"/>
          <w:sz w:val="30"/>
          <w:szCs w:val="30"/>
          <w:highlight w:val="none"/>
          <w:u w:val="none"/>
        </w:rPr>
        <w:t xml:space="preserve"> </w:t>
      </w:r>
      <w:r>
        <w:rPr>
          <w:rFonts w:hint="eastAsia" w:ascii="仿宋_GB2312" w:hAnsi="仿宋_GB2312" w:eastAsia="仿宋_GB2312" w:cs="仿宋_GB2312"/>
          <w:sz w:val="30"/>
          <w:szCs w:val="30"/>
          <w:highlight w:val="none"/>
          <w:u w:val="none"/>
          <w:lang w:val="en-US" w:eastAsia="zh-CN"/>
        </w:rPr>
        <w:t>2</w:t>
      </w:r>
      <w:r>
        <w:rPr>
          <w:rFonts w:hint="eastAsia" w:ascii="仿宋_GB2312" w:hAnsi="仿宋_GB2312" w:eastAsia="仿宋_GB2312" w:cs="仿宋_GB2312"/>
          <w:sz w:val="30"/>
          <w:szCs w:val="30"/>
          <w:highlight w:val="none"/>
          <w:u w:val="none"/>
        </w:rPr>
        <w:t xml:space="preserve"> </w:t>
      </w:r>
      <w:r>
        <w:rPr>
          <w:rFonts w:hint="eastAsia" w:ascii="仿宋_GB2312" w:hAnsi="仿宋_GB2312" w:eastAsia="仿宋_GB2312" w:cs="仿宋_GB2312"/>
          <w:sz w:val="30"/>
          <w:szCs w:val="30"/>
          <w:highlight w:val="none"/>
        </w:rPr>
        <w:t>项</w:t>
      </w:r>
      <w:r>
        <w:rPr>
          <w:rFonts w:hint="eastAsia" w:ascii="仿宋_GB2312" w:hAnsi="仿宋_GB2312" w:eastAsia="仿宋_GB2312" w:cs="仿宋_GB2312"/>
          <w:sz w:val="30"/>
          <w:szCs w:val="30"/>
        </w:rPr>
        <w:t xml:space="preserve">，“△”指标 </w:t>
      </w:r>
      <w:r>
        <w:rPr>
          <w:rFonts w:hint="eastAsia" w:ascii="仿宋_GB2312" w:hAnsi="仿宋_GB2312" w:eastAsia="仿宋_GB2312" w:cs="仿宋_GB2312"/>
          <w:sz w:val="30"/>
          <w:szCs w:val="30"/>
          <w:u w:val="none"/>
        </w:rPr>
        <w:t xml:space="preserve"> </w:t>
      </w:r>
      <w:r>
        <w:rPr>
          <w:rFonts w:hint="eastAsia" w:ascii="仿宋_GB2312" w:hAnsi="仿宋_GB2312" w:eastAsia="仿宋_GB2312" w:cs="仿宋_GB2312"/>
          <w:sz w:val="30"/>
          <w:szCs w:val="30"/>
          <w:u w:val="none"/>
          <w:lang w:val="en-US" w:eastAsia="zh-CN"/>
        </w:rPr>
        <w:t>0</w:t>
      </w:r>
      <w:r>
        <w:rPr>
          <w:rFonts w:hint="eastAsia" w:ascii="仿宋_GB2312" w:hAnsi="仿宋_GB2312" w:eastAsia="仿宋_GB2312" w:cs="仿宋_GB2312"/>
          <w:sz w:val="30"/>
          <w:szCs w:val="30"/>
          <w:u w:val="none"/>
        </w:rPr>
        <w:t xml:space="preserve">  </w:t>
      </w:r>
      <w:r>
        <w:rPr>
          <w:rFonts w:hint="eastAsia" w:ascii="仿宋_GB2312" w:hAnsi="仿宋_GB2312" w:eastAsia="仿宋_GB2312" w:cs="仿宋_GB2312"/>
          <w:sz w:val="30"/>
          <w:szCs w:val="30"/>
        </w:rPr>
        <w:t>项</w:t>
      </w:r>
    </w:p>
    <w:p>
      <w:pPr>
        <w:spacing w:line="360" w:lineRule="auto"/>
        <w:ind w:firstLine="301" w:firstLineChars="100"/>
        <w:jc w:val="left"/>
        <w:outlineLvl w:val="3"/>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4.1.计费及付款方式</w:t>
      </w: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3873"/>
        <w:gridCol w:w="151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4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8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重要性</w:t>
            </w:r>
          </w:p>
        </w:tc>
        <w:tc>
          <w:tcPr>
            <w:tcW w:w="38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151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服务要求标准</w:t>
            </w:r>
          </w:p>
        </w:tc>
        <w:tc>
          <w:tcPr>
            <w:tcW w:w="13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w:t>
            </w:r>
          </w:p>
        </w:tc>
        <w:tc>
          <w:tcPr>
            <w:tcW w:w="118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线路月租费按照银联要求配置带宽根据阶梯报价据实结算。</w:t>
            </w:r>
          </w:p>
        </w:tc>
        <w:tc>
          <w:tcPr>
            <w:tcW w:w="1511"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2</w:t>
            </w:r>
          </w:p>
        </w:tc>
        <w:tc>
          <w:tcPr>
            <w:tcW w:w="118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服务月服务费按自然月计（当月1日～当月最后一日），不足一个月的部分，每天按(月服务费×12)/365收取（或按照月租/当月实际天数*当月使用天数计算），不足24小时的按一天计算。</w:t>
            </w:r>
          </w:p>
        </w:tc>
        <w:tc>
          <w:tcPr>
            <w:tcW w:w="1511"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3</w:t>
            </w:r>
          </w:p>
        </w:tc>
        <w:tc>
          <w:tcPr>
            <w:tcW w:w="118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在本合同有效期内，若政府部门进行资费标准调整，双方按新资费标准执行，其中，如调整后新资费标准高于现行标准，按本次报价执行；如调整后新资费标准低于现行标准，按本合同约定的折扣率*新资费标准执行。如今后乙方有权自主定价，双方可另行协商确定资费标准优惠事宜。</w:t>
            </w:r>
          </w:p>
        </w:tc>
        <w:tc>
          <w:tcPr>
            <w:tcW w:w="1511"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p>
        </w:tc>
        <w:tc>
          <w:tcPr>
            <w:tcW w:w="1181" w:type="dxa"/>
            <w:vAlign w:val="center"/>
          </w:tcPr>
          <w:p>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合同签订且线路验收通过后，每满一个月，经甲方阶段验收合格，乙方于每自然月前</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个工作日内向甲方提供上月结算对账单，甲方在收到对账单后5个工作日内以书面形式对上月结算对账单进行核对，甲方核对无误后向乙方据实支付月服务费。乙方收款后5工作日内向甲方开具等额合法的增值税专用发票。如经甲方核对结算对账单与实际不符，甲方有权要求乙方重新开具。</w:t>
            </w:r>
          </w:p>
        </w:tc>
        <w:tc>
          <w:tcPr>
            <w:tcW w:w="1511"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r>
    </w:tbl>
    <w:p>
      <w:pPr>
        <w:spacing w:line="360" w:lineRule="auto"/>
        <w:ind w:firstLine="301" w:firstLineChars="100"/>
        <w:jc w:val="left"/>
        <w:outlineLvl w:val="3"/>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4.2.★履约验收方案</w:t>
      </w:r>
    </w:p>
    <w:tbl>
      <w:tblPr>
        <w:tblStyle w:val="14"/>
        <w:tblW w:w="5085" w:type="pct"/>
        <w:tblInd w:w="0" w:type="dxa"/>
        <w:tblLayout w:type="autofit"/>
        <w:tblCellMar>
          <w:top w:w="0" w:type="dxa"/>
          <w:left w:w="108" w:type="dxa"/>
          <w:bottom w:w="0" w:type="dxa"/>
          <w:right w:w="108" w:type="dxa"/>
        </w:tblCellMar>
      </w:tblPr>
      <w:tblGrid>
        <w:gridCol w:w="1250"/>
        <w:gridCol w:w="7417"/>
      </w:tblGrid>
      <w:tr>
        <w:tblPrEx>
          <w:tblCellMar>
            <w:top w:w="0" w:type="dxa"/>
            <w:left w:w="108" w:type="dxa"/>
            <w:bottom w:w="0" w:type="dxa"/>
            <w:right w:w="108" w:type="dxa"/>
          </w:tblCellMar>
        </w:tblPrEx>
        <w:trPr>
          <w:trHeight w:val="480" w:hRule="atLeast"/>
        </w:trPr>
        <w:tc>
          <w:tcPr>
            <w:tcW w:w="50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履约验收方案</w:t>
            </w:r>
          </w:p>
        </w:tc>
      </w:tr>
      <w:tr>
        <w:tblPrEx>
          <w:tblCellMar>
            <w:top w:w="0" w:type="dxa"/>
            <w:left w:w="108" w:type="dxa"/>
            <w:bottom w:w="0" w:type="dxa"/>
            <w:right w:w="108" w:type="dxa"/>
          </w:tblCellMar>
        </w:tblPrEx>
        <w:trPr>
          <w:trHeight w:val="312" w:hRule="atLeast"/>
        </w:trPr>
        <w:tc>
          <w:tcPr>
            <w:tcW w:w="50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Theme="minorEastAsia" w:hAnsiTheme="minorEastAsia" w:eastAsiaTheme="minorEastAsia" w:cstheme="minorEastAsia"/>
                <w:b/>
                <w:bCs/>
                <w:color w:val="000000"/>
                <w:sz w:val="24"/>
                <w:szCs w:val="24"/>
              </w:rPr>
            </w:pPr>
          </w:p>
        </w:tc>
      </w:tr>
      <w:tr>
        <w:tblPrEx>
          <w:tblCellMar>
            <w:top w:w="0" w:type="dxa"/>
            <w:left w:w="108" w:type="dxa"/>
            <w:bottom w:w="0" w:type="dxa"/>
            <w:right w:w="108" w:type="dxa"/>
          </w:tblCellMar>
        </w:tblPrEx>
        <w:trPr>
          <w:trHeight w:val="448"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验收主体</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甲方</w:t>
            </w:r>
          </w:p>
        </w:tc>
      </w:tr>
      <w:tr>
        <w:tblPrEx>
          <w:tblCellMar>
            <w:top w:w="0" w:type="dxa"/>
            <w:left w:w="108" w:type="dxa"/>
            <w:bottom w:w="0" w:type="dxa"/>
            <w:right w:w="108" w:type="dxa"/>
          </w:tblCellMar>
        </w:tblPrEx>
        <w:trPr>
          <w:trHeight w:val="50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验收方式</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分阶段验收</w:t>
            </w:r>
          </w:p>
        </w:tc>
      </w:tr>
      <w:tr>
        <w:tblPrEx>
          <w:tblCellMar>
            <w:top w:w="0" w:type="dxa"/>
            <w:left w:w="108" w:type="dxa"/>
            <w:bottom w:w="0" w:type="dxa"/>
            <w:right w:w="108" w:type="dxa"/>
          </w:tblCellMar>
        </w:tblPrEx>
        <w:trPr>
          <w:trHeight w:val="184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验收方法</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线路开通</w:t>
            </w:r>
            <w:r>
              <w:rPr>
                <w:rFonts w:hint="eastAsia" w:asciiTheme="minorEastAsia" w:hAnsiTheme="minorEastAsia" w:eastAsiaTheme="minorEastAsia" w:cstheme="minorEastAsia"/>
                <w:sz w:val="24"/>
                <w:szCs w:val="24"/>
              </w:rPr>
              <w:t>验收:乙方线路开通施工完成后5个工作日内，乙方提供线路的完工证明及测试报告。甲方核实线路的完工情况和测试报告，如符合订单技术要求和国家有关电信业务规定，双方签署线路验收报告。线路验收报告签署之日作为实际线路开通之日。</w:t>
            </w:r>
          </w:p>
          <w:p>
            <w:pPr>
              <w:widowControl/>
              <w:shd w:val="clear"/>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阶段验收：</w:t>
            </w:r>
            <w:r>
              <w:rPr>
                <w:rFonts w:hint="eastAsia" w:asciiTheme="minorEastAsia" w:hAnsiTheme="minorEastAsia" w:eastAsiaTheme="minorEastAsia" w:cstheme="minorEastAsia"/>
                <w:sz w:val="24"/>
                <w:szCs w:val="24"/>
              </w:rPr>
              <w:t>实际线路开通</w:t>
            </w:r>
            <w:r>
              <w:rPr>
                <w:rFonts w:hint="eastAsia" w:asciiTheme="minorEastAsia" w:hAnsiTheme="minorEastAsia" w:eastAsiaTheme="minorEastAsia" w:cstheme="minorEastAsia"/>
                <w:sz w:val="24"/>
                <w:szCs w:val="24"/>
                <w:lang w:val="en-US" w:eastAsia="zh-CN"/>
              </w:rPr>
              <w:t>后，</w:t>
            </w:r>
            <w:r>
              <w:rPr>
                <w:rFonts w:hint="eastAsia" w:asciiTheme="minorEastAsia" w:hAnsiTheme="minorEastAsia" w:eastAsiaTheme="minorEastAsia" w:cstheme="minorEastAsia"/>
                <w:bCs/>
                <w:sz w:val="24"/>
                <w:szCs w:val="24"/>
                <w:lang w:val="en-US" w:eastAsia="zh-CN"/>
              </w:rPr>
              <w:t>乙方需保证其提供给甲方使用的线路可用率符合甲方订单要求，并每月向甲方提供线路</w:t>
            </w:r>
            <w:r>
              <w:rPr>
                <w:rFonts w:hint="eastAsia" w:asciiTheme="minorEastAsia" w:hAnsiTheme="minorEastAsia" w:eastAsiaTheme="minorEastAsia" w:cstheme="minorEastAsia"/>
                <w:bCs/>
                <w:sz w:val="24"/>
                <w:szCs w:val="24"/>
              </w:rPr>
              <w:t>运行分析报告、结算内容</w:t>
            </w:r>
            <w:r>
              <w:rPr>
                <w:rFonts w:hint="eastAsia" w:asciiTheme="minorEastAsia" w:hAnsiTheme="minorEastAsia" w:eastAsiaTheme="minorEastAsia" w:cstheme="minorEastAsia"/>
                <w:bCs/>
                <w:sz w:val="24"/>
                <w:szCs w:val="24"/>
                <w:lang w:val="en-US" w:eastAsia="zh-CN"/>
              </w:rPr>
              <w:t>等，</w:t>
            </w:r>
            <w:r>
              <w:rPr>
                <w:rFonts w:hint="eastAsia" w:asciiTheme="minorEastAsia" w:hAnsiTheme="minorEastAsia" w:eastAsiaTheme="minorEastAsia" w:cstheme="minorEastAsia"/>
                <w:sz w:val="24"/>
                <w:szCs w:val="24"/>
                <w:lang w:val="en-US" w:eastAsia="zh-CN"/>
              </w:rPr>
              <w:t>甲方确认线路运行正常，</w:t>
            </w:r>
            <w:r>
              <w:rPr>
                <w:rFonts w:hint="eastAsia" w:asciiTheme="minorEastAsia" w:hAnsiTheme="minorEastAsia" w:eastAsiaTheme="minorEastAsia" w:cstheme="minorEastAsia"/>
                <w:color w:val="000000"/>
                <w:kern w:val="0"/>
                <w:sz w:val="24"/>
                <w:szCs w:val="24"/>
                <w:lang w:bidi="ar"/>
              </w:rPr>
              <w:t>服务符合甲方要求</w:t>
            </w:r>
            <w:r>
              <w:rPr>
                <w:rFonts w:hint="eastAsia" w:asciiTheme="minorEastAsia" w:hAnsiTheme="minorEastAsia" w:eastAsiaTheme="minorEastAsia" w:cstheme="minorEastAsia"/>
                <w:color w:val="000000"/>
                <w:kern w:val="0"/>
                <w:sz w:val="24"/>
                <w:szCs w:val="24"/>
                <w:lang w:val="en-US" w:eastAsia="zh-CN" w:bidi="ar"/>
              </w:rPr>
              <w:t>经验收通过后据实支付款项。</w:t>
            </w:r>
          </w:p>
        </w:tc>
      </w:tr>
      <w:tr>
        <w:tblPrEx>
          <w:tblCellMar>
            <w:top w:w="0" w:type="dxa"/>
            <w:left w:w="108" w:type="dxa"/>
            <w:bottom w:w="0" w:type="dxa"/>
            <w:right w:w="108" w:type="dxa"/>
          </w:tblCellMar>
        </w:tblPrEx>
        <w:trPr>
          <w:trHeight w:val="35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验收时间</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线路</w:t>
            </w:r>
            <w:r>
              <w:rPr>
                <w:rFonts w:hint="eastAsia" w:asciiTheme="minorEastAsia" w:hAnsiTheme="minorEastAsia" w:eastAsiaTheme="minorEastAsia" w:cstheme="minorEastAsia"/>
                <w:sz w:val="24"/>
                <w:szCs w:val="24"/>
                <w:lang w:val="en-US" w:eastAsia="zh-CN"/>
              </w:rPr>
              <w:t>开通</w:t>
            </w:r>
            <w:r>
              <w:rPr>
                <w:rFonts w:hint="eastAsia" w:asciiTheme="minorEastAsia" w:hAnsiTheme="minorEastAsia" w:eastAsiaTheme="minorEastAsia" w:cstheme="minorEastAsia"/>
                <w:sz w:val="24"/>
                <w:szCs w:val="24"/>
              </w:rPr>
              <w:t>验收:线路开通施工完成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甲方在线路开通工作单上签字或甲方对线路质量提出异议且协商整改完成后的10</w:t>
            </w:r>
            <w:r>
              <w:rPr>
                <w:rFonts w:hint="eastAsia" w:asciiTheme="minorEastAsia" w:hAnsiTheme="minorEastAsia" w:eastAsiaTheme="minorEastAsia" w:cstheme="minorEastAsia"/>
                <w:sz w:val="24"/>
                <w:szCs w:val="24"/>
              </w:rPr>
              <w:t>个工作日内</w:t>
            </w:r>
            <w:r>
              <w:rPr>
                <w:rFonts w:hint="eastAsia" w:asciiTheme="minorEastAsia" w:hAnsiTheme="minorEastAsia" w:eastAsiaTheme="minorEastAsia" w:cstheme="minorEastAsia"/>
                <w:sz w:val="24"/>
                <w:szCs w:val="24"/>
                <w:lang w:eastAsia="zh-CN"/>
              </w:rPr>
              <w:t>。</w:t>
            </w:r>
          </w:p>
          <w:p>
            <w:pPr>
              <w:widowControl/>
              <w:shd w:val="clear"/>
              <w:jc w:val="both"/>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阶段验收：</w:t>
            </w:r>
            <w:r>
              <w:rPr>
                <w:rFonts w:hint="eastAsia" w:asciiTheme="minorEastAsia" w:hAnsiTheme="minorEastAsia" w:eastAsiaTheme="minorEastAsia" w:cstheme="minorEastAsia"/>
                <w:sz w:val="24"/>
                <w:szCs w:val="24"/>
              </w:rPr>
              <w:t>实际线路开通</w:t>
            </w:r>
            <w:r>
              <w:rPr>
                <w:rFonts w:hint="eastAsia" w:asciiTheme="minorEastAsia" w:hAnsiTheme="minorEastAsia" w:eastAsiaTheme="minorEastAsia" w:cstheme="minorEastAsia"/>
                <w:sz w:val="24"/>
                <w:szCs w:val="24"/>
                <w:lang w:val="en-US" w:eastAsia="zh-CN"/>
              </w:rPr>
              <w:t>后，每经过一个月的10</w:t>
            </w:r>
            <w:r>
              <w:rPr>
                <w:rFonts w:hint="eastAsia" w:asciiTheme="minorEastAsia" w:hAnsiTheme="minorEastAsia" w:eastAsiaTheme="minorEastAsia" w:cstheme="minorEastAsia"/>
                <w:sz w:val="24"/>
                <w:szCs w:val="24"/>
              </w:rPr>
              <w:t>个工作日内</w:t>
            </w:r>
            <w:r>
              <w:rPr>
                <w:rFonts w:hint="eastAsia" w:asciiTheme="minorEastAsia" w:hAnsiTheme="minorEastAsia" w:eastAsiaTheme="minorEastAsia" w:cstheme="minorEastAsia"/>
                <w:sz w:val="24"/>
                <w:szCs w:val="24"/>
                <w:lang w:eastAsia="zh-CN"/>
              </w:rPr>
              <w:t>。</w:t>
            </w:r>
          </w:p>
        </w:tc>
      </w:tr>
      <w:tr>
        <w:tblPrEx>
          <w:tblCellMar>
            <w:top w:w="0" w:type="dxa"/>
            <w:left w:w="108" w:type="dxa"/>
            <w:bottom w:w="0" w:type="dxa"/>
            <w:right w:w="108" w:type="dxa"/>
          </w:tblCellMar>
        </w:tblPrEx>
        <w:trPr>
          <w:trHeight w:val="58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验收地点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中国银联信息总中心：</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上海地址1：上海市浦东新区顾唐路1699号2号楼</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上海地址2：上海市浦东新区日阪路91号</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上海地址3：上海市闵行区浦星公路699号</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北京地址1：北京市海淀区东北旺西路8号中关村软件园22号楼</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北京地址2：北京市海淀区丰慧中路11号安泰科技园C区B128楼</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黄山地址：安徽省黄山市屯溪区新潭镇银蝶湖南路中国银联黄山中心</w:t>
            </w:r>
          </w:p>
        </w:tc>
      </w:tr>
      <w:tr>
        <w:tblPrEx>
          <w:tblCellMar>
            <w:top w:w="0" w:type="dxa"/>
            <w:left w:w="108" w:type="dxa"/>
            <w:bottom w:w="0" w:type="dxa"/>
            <w:right w:w="108" w:type="dxa"/>
          </w:tblCellMar>
        </w:tblPrEx>
        <w:trPr>
          <w:trHeight w:val="535"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验收内容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hd w:val="clear"/>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线路的完工情况</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测试报告，符合</w:t>
            </w:r>
            <w:r>
              <w:rPr>
                <w:rFonts w:hint="eastAsia" w:asciiTheme="minorEastAsia" w:hAnsiTheme="minorEastAsia" w:eastAsiaTheme="minorEastAsia" w:cstheme="minorEastAsia"/>
                <w:sz w:val="24"/>
                <w:szCs w:val="24"/>
                <w:lang w:val="en-US" w:eastAsia="zh-CN"/>
              </w:rPr>
              <w:t>合同约定的</w:t>
            </w:r>
            <w:r>
              <w:rPr>
                <w:rFonts w:hint="eastAsia" w:asciiTheme="minorEastAsia" w:hAnsiTheme="minorEastAsia" w:eastAsiaTheme="minorEastAsia" w:cstheme="minorEastAsia"/>
                <w:sz w:val="24"/>
                <w:szCs w:val="24"/>
              </w:rPr>
              <w:t>技术要求和国家有关电信业务规定。</w:t>
            </w:r>
          </w:p>
          <w:p>
            <w:pPr>
              <w:widowControl/>
              <w:numPr>
                <w:ilvl w:val="0"/>
                <w:numId w:val="0"/>
              </w:numPr>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每个付款周期内运营商通讯线路租赁服务情况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包括但不限于：</w:t>
            </w:r>
            <w:r>
              <w:rPr>
                <w:rFonts w:hint="eastAsia" w:asciiTheme="minorEastAsia" w:hAnsiTheme="minorEastAsia" w:eastAsiaTheme="minorEastAsia" w:cstheme="minorEastAsia"/>
                <w:sz w:val="24"/>
                <w:szCs w:val="24"/>
              </w:rPr>
              <w:t>1、服务支持及运维人员配置情况；2、运营商通讯线路运行情况；3、运营商通讯网络健康度自查情况；</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运营商通讯线路清单。</w:t>
            </w:r>
          </w:p>
        </w:tc>
      </w:tr>
      <w:tr>
        <w:tblPrEx>
          <w:tblCellMar>
            <w:top w:w="0" w:type="dxa"/>
            <w:left w:w="108" w:type="dxa"/>
            <w:bottom w:w="0" w:type="dxa"/>
            <w:right w:w="108" w:type="dxa"/>
          </w:tblCellMar>
        </w:tblPrEx>
        <w:trPr>
          <w:trHeight w:val="282"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验收标准</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线路的各项属性符合合同中约定线路标准，</w:t>
            </w:r>
            <w:r>
              <w:rPr>
                <w:rFonts w:hint="eastAsia" w:asciiTheme="minorEastAsia" w:hAnsiTheme="minorEastAsia" w:eastAsiaTheme="minorEastAsia" w:cstheme="minorEastAsia"/>
                <w:color w:val="000000"/>
                <w:sz w:val="24"/>
                <w:szCs w:val="24"/>
                <w:lang w:bidi="ar"/>
              </w:rPr>
              <w:t>服务内容及SLA满足合同实际要求，异常情况均按合同执行</w:t>
            </w: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sz w:val="24"/>
                <w:szCs w:val="24"/>
              </w:rPr>
              <w:t>以甲方书面确认合格为验收通过标准。</w:t>
            </w:r>
          </w:p>
        </w:tc>
      </w:tr>
      <w:tr>
        <w:tblPrEx>
          <w:tblCellMar>
            <w:top w:w="0" w:type="dxa"/>
            <w:left w:w="108" w:type="dxa"/>
            <w:bottom w:w="0" w:type="dxa"/>
            <w:right w:w="108" w:type="dxa"/>
          </w:tblCellMar>
        </w:tblPrEx>
        <w:trPr>
          <w:trHeight w:val="90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其他事项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Style w:val="20"/>
                <w:rFonts w:hint="eastAsia" w:asciiTheme="minorEastAsia" w:hAnsiTheme="minorEastAsia" w:eastAsiaTheme="minorEastAsia" w:cstheme="minorEastAsia"/>
                <w:sz w:val="24"/>
                <w:szCs w:val="24"/>
                <w:lang w:bidi="ar"/>
              </w:rPr>
              <w:t>验收报告的签署不免除乙方本合同项下的保证责任和相关义务。</w:t>
            </w:r>
            <w:r>
              <w:rPr>
                <w:rStyle w:val="24"/>
                <w:rFonts w:hint="eastAsia" w:asciiTheme="minorEastAsia" w:hAnsiTheme="minorEastAsia" w:eastAsiaTheme="minorEastAsia" w:cstheme="minorEastAsia"/>
                <w:sz w:val="24"/>
                <w:szCs w:val="24"/>
                <w:lang w:bidi="ar"/>
              </w:rPr>
              <w:t xml:space="preserve">      </w:t>
            </w:r>
          </w:p>
        </w:tc>
      </w:tr>
    </w:tbl>
    <w:p>
      <w:pPr>
        <w:spacing w:line="360" w:lineRule="auto"/>
        <w:ind w:firstLine="301" w:firstLineChars="100"/>
        <w:jc w:val="left"/>
        <w:outlineLvl w:val="3"/>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4.3.其他商务要求</w:t>
      </w:r>
    </w:p>
    <w:p>
      <w:pPr>
        <w:pStyle w:val="4"/>
        <w:numPr>
          <w:ilvl w:val="0"/>
          <w:numId w:val="0"/>
        </w:numPr>
        <w:bidi w:val="0"/>
        <w:spacing w:before="0" w:line="360" w:lineRule="auto"/>
        <w:ind w:firstLine="300" w:firstLineChars="1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4.3.1交付地点及联系人</w:t>
      </w: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3873"/>
        <w:gridCol w:w="151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4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8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重要性</w:t>
            </w:r>
          </w:p>
        </w:tc>
        <w:tc>
          <w:tcPr>
            <w:tcW w:w="38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151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服务要求标准</w:t>
            </w:r>
          </w:p>
        </w:tc>
        <w:tc>
          <w:tcPr>
            <w:tcW w:w="13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18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各线路甲端交付地址如下，具体以甲方书面通知为准：</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上海地址1：上海市浦东新区顾唐路1699号2号楼</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上海地址2：上海市浦东新区日阪路91号</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上海地址3：上海市闵行区浦星公路699号</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北京地址1：北京市海淀区东北旺西路8号中关村软件园22号楼</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北京地址2：北京市海淀区丰慧中路11号安泰科技园C区B128楼</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sz w:val="24"/>
                <w:szCs w:val="24"/>
                <w:lang w:val="en-US" w:eastAsia="zh-CN"/>
              </w:rPr>
              <w:t>黄山地址：安徽省黄山市屯溪区新潭镇银蝶湖南路中国银联黄山中心</w:t>
            </w:r>
          </w:p>
        </w:tc>
        <w:tc>
          <w:tcPr>
            <w:tcW w:w="1511"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r>
    </w:tbl>
    <w:p>
      <w:pPr>
        <w:pStyle w:val="4"/>
        <w:numPr>
          <w:ilvl w:val="-1"/>
          <w:numId w:val="0"/>
        </w:numPr>
        <w:spacing w:before="0" w:line="360" w:lineRule="auto"/>
        <w:ind w:leftChars="100" w:firstLine="0" w:firstLine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4.3.2报价要求</w:t>
      </w: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4098"/>
        <w:gridCol w:w="1286"/>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4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8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重要性</w:t>
            </w:r>
          </w:p>
        </w:tc>
        <w:tc>
          <w:tcPr>
            <w:tcW w:w="4098"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128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服务要求标准</w:t>
            </w:r>
          </w:p>
        </w:tc>
        <w:tc>
          <w:tcPr>
            <w:tcW w:w="13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18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c>
          <w:tcPr>
            <w:tcW w:w="4098"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供应商需对每个包件的各类型线路提供最细颗粒度阶梯带宽产品报价，至少包含如下基础阶梯带宽项：2M、4M、6M、8M、10M、20M、30M、40M、50M、60M、70M、80M、90M、100M、110M、120M、130M、140M、150M、160M、170M、180M、190M、200M、300M、400M、500M、600M、700M、800M、900M、1G、1.5G、2G、2.5G、3G、3.5G、4G、4.5G、5G、5.5G、6G、6.5G、7G、7.5G、8G、8.5G、9G、9.5G、10G。</w:t>
            </w:r>
          </w:p>
        </w:tc>
        <w:tc>
          <w:tcPr>
            <w:tcW w:w="1286"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val="en-US" w:eastAsia="zh-CN"/>
              </w:rPr>
              <w:t>2</w:t>
            </w:r>
          </w:p>
        </w:tc>
        <w:tc>
          <w:tcPr>
            <w:tcW w:w="1181" w:type="dxa"/>
            <w:vAlign w:val="center"/>
          </w:tcPr>
          <w:p>
            <w:pPr>
              <w:jc w:val="center"/>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kern w:val="0"/>
                <w:sz w:val="24"/>
                <w:szCs w:val="24"/>
                <w:highlight w:val="none"/>
              </w:rPr>
              <w:t>★</w:t>
            </w:r>
          </w:p>
        </w:tc>
        <w:tc>
          <w:tcPr>
            <w:tcW w:w="4098"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针对本项目，供应商报价需在合理范围内，同一供应商报价要求为对于同种线路类型的同一带宽价格，报价应保持一致，且同种线路类型不得出现低带宽线路价格高于高带宽线路价格的情况。</w:t>
            </w:r>
          </w:p>
        </w:tc>
        <w:tc>
          <w:tcPr>
            <w:tcW w:w="1286"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w:t>
            </w:r>
          </w:p>
        </w:tc>
      </w:tr>
    </w:tbl>
    <w:p>
      <w:pPr>
        <w:rPr>
          <w:rFonts w:hint="eastAsia" w:asciiTheme="minorEastAsia" w:hAnsiTheme="minorEastAsia" w:eastAsiaTheme="minorEastAsia" w:cstheme="minorEastAsia"/>
          <w:sz w:val="24"/>
          <w:szCs w:val="24"/>
          <w:lang w:val="en-US" w:eastAsia="zh-CN"/>
        </w:rPr>
      </w:pPr>
    </w:p>
    <w:p>
      <w:pPr>
        <w:pStyle w:val="4"/>
        <w:numPr>
          <w:ilvl w:val="-1"/>
          <w:numId w:val="0"/>
        </w:numPr>
        <w:bidi w:val="0"/>
        <w:spacing w:before="0" w:line="360" w:lineRule="auto"/>
        <w:ind w:leftChars="100" w:firstLine="0" w:firstLine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4.3.3其他要求</w:t>
      </w: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3873"/>
        <w:gridCol w:w="151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8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重要性</w:t>
            </w:r>
          </w:p>
        </w:tc>
        <w:tc>
          <w:tcPr>
            <w:tcW w:w="38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151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服务要求标准</w:t>
            </w:r>
          </w:p>
        </w:tc>
        <w:tc>
          <w:tcPr>
            <w:tcW w:w="13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181" w:type="dxa"/>
            <w:vAlign w:val="center"/>
          </w:tcPr>
          <w:p>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kern w:val="0"/>
                <w:sz w:val="24"/>
                <w:szCs w:val="24"/>
                <w:highlight w:val="none"/>
                <w:lang w:val="en-US" w:eastAsia="zh-CN"/>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供应商应满足甲方合同文本条款要求并逐项应答。</w:t>
            </w:r>
          </w:p>
        </w:tc>
        <w:tc>
          <w:tcPr>
            <w:tcW w:w="1511" w:type="dxa"/>
          </w:tcPr>
          <w:p>
            <w:pPr>
              <w:rPr>
                <w:rFonts w:hint="eastAsia" w:asciiTheme="minorEastAsia" w:hAnsiTheme="minorEastAsia" w:eastAsiaTheme="minorEastAsia" w:cstheme="minorEastAsia"/>
                <w:sz w:val="24"/>
                <w:szCs w:val="24"/>
                <w:highlight w:val="none"/>
              </w:rPr>
            </w:pPr>
          </w:p>
        </w:tc>
        <w:tc>
          <w:tcPr>
            <w:tcW w:w="1373" w:type="dxa"/>
            <w:vAlign w:val="center"/>
          </w:tcPr>
          <w:p>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否</w:t>
            </w:r>
          </w:p>
        </w:tc>
      </w:tr>
    </w:tbl>
    <w:p>
      <w:pPr>
        <w:rPr>
          <w:rFonts w:hint="default"/>
          <w:lang w:val="en-US" w:eastAsia="zh-CN"/>
        </w:rPr>
      </w:pPr>
    </w:p>
    <w:p>
      <w:pPr>
        <w:pStyle w:val="3"/>
        <w:numPr>
          <w:ilvl w:val="0"/>
          <w:numId w:val="4"/>
        </w:numPr>
        <w:bidi w:val="0"/>
        <w:spacing w:before="0" w:after="0" w:line="360" w:lineRule="auto"/>
        <w:rPr>
          <w:rFonts w:hint="eastAsia" w:ascii="仿宋_GB2312" w:hAnsi="仿宋_GB2312" w:eastAsia="仿宋_GB2312" w:cs="仿宋_GB2312"/>
          <w:b w:val="0"/>
          <w:sz w:val="30"/>
          <w:szCs w:val="30"/>
          <w:lang w:val="en-US" w:eastAsia="zh-CN"/>
        </w:rPr>
      </w:pPr>
      <w:r>
        <w:rPr>
          <w:rFonts w:hint="eastAsia" w:ascii="仿宋_GB2312" w:hAnsi="仿宋_GB2312" w:eastAsia="仿宋_GB2312" w:cs="仿宋_GB2312"/>
          <w:b w:val="0"/>
          <w:sz w:val="30"/>
          <w:szCs w:val="30"/>
          <w:lang w:val="en-US" w:eastAsia="zh-CN"/>
        </w:rPr>
        <w:t>商务要求（适用包件4、5）</w:t>
      </w:r>
    </w:p>
    <w:p>
      <w:pPr>
        <w:pStyle w:val="2"/>
        <w:bidi w:val="0"/>
        <w:spacing w:after="0" w:line="360" w:lineRule="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highlight w:val="none"/>
        </w:rPr>
        <w:t>本</w:t>
      </w:r>
      <w:r>
        <w:rPr>
          <w:rFonts w:hint="eastAsia" w:ascii="仿宋_GB2312" w:hAnsi="仿宋_GB2312" w:eastAsia="仿宋_GB2312" w:cs="仿宋_GB2312"/>
          <w:sz w:val="30"/>
          <w:szCs w:val="30"/>
          <w:highlight w:val="none"/>
          <w:lang w:val="en-US" w:eastAsia="zh-CN"/>
        </w:rPr>
        <w:t>商务</w:t>
      </w:r>
      <w:r>
        <w:rPr>
          <w:rFonts w:hint="eastAsia" w:ascii="仿宋_GB2312" w:hAnsi="仿宋_GB2312" w:eastAsia="仿宋_GB2312" w:cs="仿宋_GB2312"/>
          <w:sz w:val="30"/>
          <w:szCs w:val="30"/>
          <w:highlight w:val="none"/>
        </w:rPr>
        <w:t>要求共有“★”指标</w:t>
      </w:r>
      <w:r>
        <w:rPr>
          <w:rFonts w:hint="eastAsia" w:ascii="仿宋_GB2312" w:hAnsi="仿宋_GB2312" w:eastAsia="仿宋_GB2312" w:cs="仿宋_GB2312"/>
          <w:sz w:val="30"/>
          <w:szCs w:val="30"/>
          <w:highlight w:val="none"/>
          <w:u w:val="none"/>
        </w:rPr>
        <w:t xml:space="preserve"> </w:t>
      </w:r>
      <w:r>
        <w:rPr>
          <w:rFonts w:hint="eastAsia" w:ascii="仿宋_GB2312" w:hAnsi="仿宋_GB2312" w:eastAsia="仿宋_GB2312" w:cs="仿宋_GB2312"/>
          <w:sz w:val="30"/>
          <w:szCs w:val="30"/>
          <w:highlight w:val="none"/>
          <w:u w:val="none"/>
          <w:lang w:val="en-US" w:eastAsia="zh-CN"/>
        </w:rPr>
        <w:t>8</w:t>
      </w:r>
      <w:r>
        <w:rPr>
          <w:rFonts w:hint="eastAsia" w:ascii="仿宋_GB2312" w:hAnsi="仿宋_GB2312" w:eastAsia="仿宋_GB2312" w:cs="仿宋_GB2312"/>
          <w:sz w:val="30"/>
          <w:szCs w:val="30"/>
          <w:highlight w:val="none"/>
          <w:u w:val="none"/>
        </w:rPr>
        <w:t xml:space="preserve"> </w:t>
      </w:r>
      <w:r>
        <w:rPr>
          <w:rFonts w:hint="eastAsia" w:ascii="仿宋_GB2312" w:hAnsi="仿宋_GB2312" w:eastAsia="仿宋_GB2312" w:cs="仿宋_GB2312"/>
          <w:sz w:val="30"/>
          <w:szCs w:val="30"/>
          <w:highlight w:val="none"/>
        </w:rPr>
        <w:t>项，“#”指标</w:t>
      </w:r>
      <w:r>
        <w:rPr>
          <w:rFonts w:hint="eastAsia" w:ascii="仿宋_GB2312" w:hAnsi="仿宋_GB2312" w:eastAsia="仿宋_GB2312" w:cs="仿宋_GB2312"/>
          <w:sz w:val="30"/>
          <w:szCs w:val="30"/>
          <w:highlight w:val="none"/>
          <w:u w:val="none"/>
        </w:rPr>
        <w:t xml:space="preserve"> </w:t>
      </w:r>
      <w:r>
        <w:rPr>
          <w:rFonts w:hint="eastAsia" w:ascii="仿宋_GB2312" w:hAnsi="仿宋_GB2312" w:eastAsia="仿宋_GB2312" w:cs="仿宋_GB2312"/>
          <w:sz w:val="30"/>
          <w:szCs w:val="30"/>
          <w:highlight w:val="none"/>
          <w:u w:val="none"/>
          <w:lang w:val="en-US" w:eastAsia="zh-CN"/>
        </w:rPr>
        <w:t>3</w:t>
      </w:r>
      <w:r>
        <w:rPr>
          <w:rFonts w:hint="eastAsia" w:ascii="仿宋_GB2312" w:hAnsi="仿宋_GB2312" w:eastAsia="仿宋_GB2312" w:cs="仿宋_GB2312"/>
          <w:sz w:val="30"/>
          <w:szCs w:val="30"/>
          <w:highlight w:val="none"/>
          <w:u w:val="none"/>
        </w:rPr>
        <w:t xml:space="preserve"> </w:t>
      </w:r>
      <w:r>
        <w:rPr>
          <w:rFonts w:hint="eastAsia" w:ascii="仿宋_GB2312" w:hAnsi="仿宋_GB2312" w:eastAsia="仿宋_GB2312" w:cs="仿宋_GB2312"/>
          <w:sz w:val="30"/>
          <w:szCs w:val="30"/>
          <w:highlight w:val="none"/>
        </w:rPr>
        <w:t xml:space="preserve">项，“△”指标 </w:t>
      </w:r>
      <w:r>
        <w:rPr>
          <w:rFonts w:hint="eastAsia" w:ascii="仿宋_GB2312" w:hAnsi="仿宋_GB2312" w:eastAsia="仿宋_GB2312" w:cs="仿宋_GB2312"/>
          <w:sz w:val="30"/>
          <w:szCs w:val="30"/>
          <w:highlight w:val="none"/>
          <w:u w:val="none"/>
        </w:rPr>
        <w:t xml:space="preserve"> </w:t>
      </w:r>
      <w:r>
        <w:rPr>
          <w:rFonts w:hint="eastAsia" w:ascii="仿宋_GB2312" w:hAnsi="仿宋_GB2312" w:eastAsia="仿宋_GB2312" w:cs="仿宋_GB2312"/>
          <w:sz w:val="30"/>
          <w:szCs w:val="30"/>
          <w:highlight w:val="none"/>
          <w:u w:val="none"/>
          <w:lang w:val="en-US" w:eastAsia="zh-CN"/>
        </w:rPr>
        <w:t>0</w:t>
      </w:r>
      <w:r>
        <w:rPr>
          <w:rFonts w:hint="eastAsia" w:ascii="仿宋_GB2312" w:hAnsi="仿宋_GB2312" w:eastAsia="仿宋_GB2312" w:cs="仿宋_GB2312"/>
          <w:sz w:val="30"/>
          <w:szCs w:val="30"/>
          <w:highlight w:val="none"/>
          <w:u w:val="none"/>
        </w:rPr>
        <w:t xml:space="preserve">  </w:t>
      </w:r>
      <w:r>
        <w:rPr>
          <w:rFonts w:hint="eastAsia" w:ascii="仿宋_GB2312" w:hAnsi="仿宋_GB2312" w:eastAsia="仿宋_GB2312" w:cs="仿宋_GB2312"/>
          <w:sz w:val="30"/>
          <w:szCs w:val="30"/>
        </w:rPr>
        <w:t>项</w:t>
      </w:r>
    </w:p>
    <w:p>
      <w:pPr>
        <w:spacing w:line="360" w:lineRule="auto"/>
        <w:ind w:firstLine="301" w:firstLineChars="100"/>
        <w:jc w:val="left"/>
        <w:outlineLvl w:val="3"/>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5.1.计费及付款方式</w:t>
      </w: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4098"/>
        <w:gridCol w:w="1286"/>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84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8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重要性</w:t>
            </w:r>
          </w:p>
        </w:tc>
        <w:tc>
          <w:tcPr>
            <w:tcW w:w="4098"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128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服务要求标准</w:t>
            </w:r>
          </w:p>
        </w:tc>
        <w:tc>
          <w:tcPr>
            <w:tcW w:w="13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w:t>
            </w:r>
          </w:p>
        </w:tc>
        <w:tc>
          <w:tcPr>
            <w:tcW w:w="118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c>
          <w:tcPr>
            <w:tcW w:w="4098"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线路月租费按照银联要求配置带宽根据阶梯报价据实结算。</w:t>
            </w:r>
          </w:p>
        </w:tc>
        <w:tc>
          <w:tcPr>
            <w:tcW w:w="1286"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2</w:t>
            </w:r>
          </w:p>
        </w:tc>
        <w:tc>
          <w:tcPr>
            <w:tcW w:w="118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c>
          <w:tcPr>
            <w:tcW w:w="4098"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服务月服务费按自然月计（当月1日～当月最后一日），不足一个月的部分，每天按(月服务费×12)/365收取（或按照月租/当月实际天数*当月使用天数计算），不足24小时的按一天计算。</w:t>
            </w:r>
          </w:p>
        </w:tc>
        <w:tc>
          <w:tcPr>
            <w:tcW w:w="1286"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3</w:t>
            </w:r>
          </w:p>
        </w:tc>
        <w:tc>
          <w:tcPr>
            <w:tcW w:w="118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c>
          <w:tcPr>
            <w:tcW w:w="4098"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在本合同有效期内，若政府部门进行资费标准调整，双方按新资费标准执行，其中，如调整后新资费标准高于现行标准，按本次报价执行；如调整后新资费标准低于现行标准，按本合同约定的折扣率*新资费标准执行。如今后乙方有权自主定价，双方可另行协商确定资费标准优惠事宜。</w:t>
            </w:r>
          </w:p>
        </w:tc>
        <w:tc>
          <w:tcPr>
            <w:tcW w:w="1286"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p>
        </w:tc>
        <w:tc>
          <w:tcPr>
            <w:tcW w:w="1181" w:type="dxa"/>
            <w:vAlign w:val="center"/>
          </w:tcPr>
          <w:p>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w:t>
            </w:r>
          </w:p>
        </w:tc>
        <w:tc>
          <w:tcPr>
            <w:tcW w:w="4098"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合同签订且线路验收通过后，每满一个月，经甲方阶段验收合格，乙方于每自然月前</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个工作日内向甲方提供上月结算对账单，甲方在收到对账单后5个工作日内以书面形式对上月结算对账单进行核对，甲方核对无误后向乙方据实支付月服务费。乙方收款后5工作日内向甲方开具等额合法的增值税专用发票。如经甲方核对结算对账单与实际不符，甲方有权要求乙方重新开具。</w:t>
            </w:r>
          </w:p>
        </w:tc>
        <w:tc>
          <w:tcPr>
            <w:tcW w:w="1286"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r>
    </w:tbl>
    <w:p>
      <w:pPr>
        <w:spacing w:line="360" w:lineRule="auto"/>
        <w:ind w:firstLine="301" w:firstLineChars="100"/>
        <w:jc w:val="left"/>
        <w:outlineLvl w:val="3"/>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5.2.★履约验收方案</w:t>
      </w:r>
    </w:p>
    <w:tbl>
      <w:tblPr>
        <w:tblStyle w:val="14"/>
        <w:tblW w:w="5085" w:type="pct"/>
        <w:tblInd w:w="0" w:type="dxa"/>
        <w:tblLayout w:type="autofit"/>
        <w:tblCellMar>
          <w:top w:w="0" w:type="dxa"/>
          <w:left w:w="108" w:type="dxa"/>
          <w:bottom w:w="0" w:type="dxa"/>
          <w:right w:w="108" w:type="dxa"/>
        </w:tblCellMar>
      </w:tblPr>
      <w:tblGrid>
        <w:gridCol w:w="1250"/>
        <w:gridCol w:w="7417"/>
      </w:tblGrid>
      <w:tr>
        <w:tblPrEx>
          <w:tblCellMar>
            <w:top w:w="0" w:type="dxa"/>
            <w:left w:w="108" w:type="dxa"/>
            <w:bottom w:w="0" w:type="dxa"/>
            <w:right w:w="108" w:type="dxa"/>
          </w:tblCellMar>
        </w:tblPrEx>
        <w:trPr>
          <w:trHeight w:val="312" w:hRule="atLeast"/>
        </w:trPr>
        <w:tc>
          <w:tcPr>
            <w:tcW w:w="50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履约验收方案</w:t>
            </w:r>
          </w:p>
        </w:tc>
      </w:tr>
      <w:tr>
        <w:tblPrEx>
          <w:tblCellMar>
            <w:top w:w="0" w:type="dxa"/>
            <w:left w:w="108" w:type="dxa"/>
            <w:bottom w:w="0" w:type="dxa"/>
            <w:right w:w="108" w:type="dxa"/>
          </w:tblCellMar>
        </w:tblPrEx>
        <w:trPr>
          <w:trHeight w:val="312" w:hRule="atLeast"/>
        </w:trPr>
        <w:tc>
          <w:tcPr>
            <w:tcW w:w="50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Theme="minorEastAsia" w:hAnsiTheme="minorEastAsia" w:eastAsiaTheme="minorEastAsia" w:cstheme="minorEastAsia"/>
                <w:b/>
                <w:bCs/>
                <w:color w:val="000000"/>
                <w:sz w:val="24"/>
                <w:szCs w:val="24"/>
              </w:rPr>
            </w:pPr>
          </w:p>
        </w:tc>
      </w:tr>
      <w:tr>
        <w:tblPrEx>
          <w:tblCellMar>
            <w:top w:w="0" w:type="dxa"/>
            <w:left w:w="108" w:type="dxa"/>
            <w:bottom w:w="0" w:type="dxa"/>
            <w:right w:w="108" w:type="dxa"/>
          </w:tblCellMar>
        </w:tblPrEx>
        <w:trPr>
          <w:trHeight w:val="448"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验收主体</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甲方</w:t>
            </w:r>
          </w:p>
        </w:tc>
      </w:tr>
      <w:tr>
        <w:tblPrEx>
          <w:tblCellMar>
            <w:top w:w="0" w:type="dxa"/>
            <w:left w:w="108" w:type="dxa"/>
            <w:bottom w:w="0" w:type="dxa"/>
            <w:right w:w="108" w:type="dxa"/>
          </w:tblCellMar>
        </w:tblPrEx>
        <w:trPr>
          <w:trHeight w:val="50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验收方式</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分阶段验收</w:t>
            </w:r>
          </w:p>
        </w:tc>
      </w:tr>
      <w:tr>
        <w:tblPrEx>
          <w:tblCellMar>
            <w:top w:w="0" w:type="dxa"/>
            <w:left w:w="108" w:type="dxa"/>
            <w:bottom w:w="0" w:type="dxa"/>
            <w:right w:w="108" w:type="dxa"/>
          </w:tblCellMar>
        </w:tblPrEx>
        <w:trPr>
          <w:trHeight w:val="184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验收方法</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线路开通</w:t>
            </w:r>
            <w:r>
              <w:rPr>
                <w:rFonts w:hint="eastAsia" w:asciiTheme="minorEastAsia" w:hAnsiTheme="minorEastAsia" w:eastAsiaTheme="minorEastAsia" w:cstheme="minorEastAsia"/>
                <w:sz w:val="24"/>
                <w:szCs w:val="24"/>
              </w:rPr>
              <w:t>验收:乙方线路开通施工完成后5个工作日内，乙方提供线路的完工证明及测试报告。甲方核实线路的完工情况和测试报告，如符合订单技术要求和国家有关电信业务规定，双方签署线路验收报告。线路验收报告签署之日作为实际线路开通之日。</w:t>
            </w:r>
          </w:p>
          <w:p>
            <w:pPr>
              <w:widowControl/>
              <w:shd w:val="clear"/>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阶段验收：</w:t>
            </w:r>
            <w:r>
              <w:rPr>
                <w:rFonts w:hint="eastAsia" w:asciiTheme="minorEastAsia" w:hAnsiTheme="minorEastAsia" w:eastAsiaTheme="minorEastAsia" w:cstheme="minorEastAsia"/>
                <w:sz w:val="24"/>
                <w:szCs w:val="24"/>
              </w:rPr>
              <w:t>实际线路开通</w:t>
            </w:r>
            <w:r>
              <w:rPr>
                <w:rFonts w:hint="eastAsia" w:asciiTheme="minorEastAsia" w:hAnsiTheme="minorEastAsia" w:eastAsiaTheme="minorEastAsia" w:cstheme="minorEastAsia"/>
                <w:sz w:val="24"/>
                <w:szCs w:val="24"/>
                <w:lang w:val="en-US" w:eastAsia="zh-CN"/>
              </w:rPr>
              <w:t>后，</w:t>
            </w:r>
            <w:r>
              <w:rPr>
                <w:rFonts w:hint="eastAsia" w:asciiTheme="minorEastAsia" w:hAnsiTheme="minorEastAsia" w:eastAsiaTheme="minorEastAsia" w:cstheme="minorEastAsia"/>
                <w:bCs/>
                <w:sz w:val="24"/>
                <w:szCs w:val="24"/>
                <w:lang w:val="en-US" w:eastAsia="zh-CN"/>
              </w:rPr>
              <w:t>乙方需保证其提供给甲方使用的线路可用率符合甲方订单要求，并每月向甲方提供线路</w:t>
            </w:r>
            <w:r>
              <w:rPr>
                <w:rFonts w:hint="eastAsia" w:asciiTheme="minorEastAsia" w:hAnsiTheme="minorEastAsia" w:eastAsiaTheme="minorEastAsia" w:cstheme="minorEastAsia"/>
                <w:bCs/>
                <w:sz w:val="24"/>
                <w:szCs w:val="24"/>
              </w:rPr>
              <w:t>运行分析报告、结算内容</w:t>
            </w:r>
            <w:r>
              <w:rPr>
                <w:rFonts w:hint="eastAsia" w:asciiTheme="minorEastAsia" w:hAnsiTheme="minorEastAsia" w:eastAsiaTheme="minorEastAsia" w:cstheme="minorEastAsia"/>
                <w:bCs/>
                <w:sz w:val="24"/>
                <w:szCs w:val="24"/>
                <w:lang w:val="en-US" w:eastAsia="zh-CN"/>
              </w:rPr>
              <w:t>等，</w:t>
            </w:r>
            <w:r>
              <w:rPr>
                <w:rFonts w:hint="eastAsia" w:asciiTheme="minorEastAsia" w:hAnsiTheme="minorEastAsia" w:eastAsiaTheme="minorEastAsia" w:cstheme="minorEastAsia"/>
                <w:sz w:val="24"/>
                <w:szCs w:val="24"/>
                <w:lang w:val="en-US" w:eastAsia="zh-CN"/>
              </w:rPr>
              <w:t>甲方确认线路运行正常，</w:t>
            </w:r>
            <w:r>
              <w:rPr>
                <w:rFonts w:hint="eastAsia" w:asciiTheme="minorEastAsia" w:hAnsiTheme="minorEastAsia" w:eastAsiaTheme="minorEastAsia" w:cstheme="minorEastAsia"/>
                <w:color w:val="000000"/>
                <w:kern w:val="0"/>
                <w:sz w:val="24"/>
                <w:szCs w:val="24"/>
                <w:lang w:bidi="ar"/>
              </w:rPr>
              <w:t>服务符合甲方要求</w:t>
            </w:r>
            <w:r>
              <w:rPr>
                <w:rFonts w:hint="eastAsia" w:asciiTheme="minorEastAsia" w:hAnsiTheme="minorEastAsia" w:eastAsiaTheme="minorEastAsia" w:cstheme="minorEastAsia"/>
                <w:color w:val="000000"/>
                <w:kern w:val="0"/>
                <w:sz w:val="24"/>
                <w:szCs w:val="24"/>
                <w:lang w:val="en-US" w:eastAsia="zh-CN" w:bidi="ar"/>
              </w:rPr>
              <w:t>经验收通过后据实支付款项。</w:t>
            </w:r>
          </w:p>
        </w:tc>
      </w:tr>
      <w:tr>
        <w:tblPrEx>
          <w:tblCellMar>
            <w:top w:w="0" w:type="dxa"/>
            <w:left w:w="108" w:type="dxa"/>
            <w:bottom w:w="0" w:type="dxa"/>
            <w:right w:w="108" w:type="dxa"/>
          </w:tblCellMar>
        </w:tblPrEx>
        <w:trPr>
          <w:trHeight w:val="35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验收时间</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线路</w:t>
            </w:r>
            <w:r>
              <w:rPr>
                <w:rFonts w:hint="eastAsia" w:asciiTheme="minorEastAsia" w:hAnsiTheme="minorEastAsia" w:eastAsiaTheme="minorEastAsia" w:cstheme="minorEastAsia"/>
                <w:sz w:val="24"/>
                <w:szCs w:val="24"/>
                <w:lang w:val="en-US" w:eastAsia="zh-CN"/>
              </w:rPr>
              <w:t>开通</w:t>
            </w:r>
            <w:r>
              <w:rPr>
                <w:rFonts w:hint="eastAsia" w:asciiTheme="minorEastAsia" w:hAnsiTheme="minorEastAsia" w:eastAsiaTheme="minorEastAsia" w:cstheme="minorEastAsia"/>
                <w:sz w:val="24"/>
                <w:szCs w:val="24"/>
              </w:rPr>
              <w:t>验收:线路开通施工完成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甲方在线路开通工作单上签字或甲方对线路质量提出异议且协商整改完成后的10</w:t>
            </w:r>
            <w:r>
              <w:rPr>
                <w:rFonts w:hint="eastAsia" w:asciiTheme="minorEastAsia" w:hAnsiTheme="minorEastAsia" w:eastAsiaTheme="minorEastAsia" w:cstheme="minorEastAsia"/>
                <w:sz w:val="24"/>
                <w:szCs w:val="24"/>
              </w:rPr>
              <w:t>个工作日内</w:t>
            </w:r>
            <w:r>
              <w:rPr>
                <w:rFonts w:hint="eastAsia" w:asciiTheme="minorEastAsia" w:hAnsiTheme="minorEastAsia" w:eastAsiaTheme="minorEastAsia" w:cstheme="minorEastAsia"/>
                <w:sz w:val="24"/>
                <w:szCs w:val="24"/>
                <w:lang w:eastAsia="zh-CN"/>
              </w:rPr>
              <w:t>。</w:t>
            </w:r>
          </w:p>
          <w:p>
            <w:pPr>
              <w:widowControl/>
              <w:shd w:val="clear"/>
              <w:jc w:val="both"/>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阶段验收：</w:t>
            </w:r>
            <w:r>
              <w:rPr>
                <w:rFonts w:hint="eastAsia" w:asciiTheme="minorEastAsia" w:hAnsiTheme="minorEastAsia" w:eastAsiaTheme="minorEastAsia" w:cstheme="minorEastAsia"/>
                <w:sz w:val="24"/>
                <w:szCs w:val="24"/>
              </w:rPr>
              <w:t>实际线路开通</w:t>
            </w:r>
            <w:r>
              <w:rPr>
                <w:rFonts w:hint="eastAsia" w:asciiTheme="minorEastAsia" w:hAnsiTheme="minorEastAsia" w:eastAsiaTheme="minorEastAsia" w:cstheme="minorEastAsia"/>
                <w:sz w:val="24"/>
                <w:szCs w:val="24"/>
                <w:lang w:val="en-US" w:eastAsia="zh-CN"/>
              </w:rPr>
              <w:t>后，每经过一个月的10</w:t>
            </w:r>
            <w:r>
              <w:rPr>
                <w:rFonts w:hint="eastAsia" w:asciiTheme="minorEastAsia" w:hAnsiTheme="minorEastAsia" w:eastAsiaTheme="minorEastAsia" w:cstheme="minorEastAsia"/>
                <w:sz w:val="24"/>
                <w:szCs w:val="24"/>
              </w:rPr>
              <w:t>个工作日内</w:t>
            </w:r>
            <w:r>
              <w:rPr>
                <w:rFonts w:hint="eastAsia" w:asciiTheme="minorEastAsia" w:hAnsiTheme="minorEastAsia" w:eastAsiaTheme="minorEastAsia" w:cstheme="minorEastAsia"/>
                <w:sz w:val="24"/>
                <w:szCs w:val="24"/>
                <w:lang w:eastAsia="zh-CN"/>
              </w:rPr>
              <w:t>。</w:t>
            </w:r>
          </w:p>
        </w:tc>
      </w:tr>
      <w:tr>
        <w:tblPrEx>
          <w:tblCellMar>
            <w:top w:w="0" w:type="dxa"/>
            <w:left w:w="108" w:type="dxa"/>
            <w:bottom w:w="0" w:type="dxa"/>
            <w:right w:w="108" w:type="dxa"/>
          </w:tblCellMar>
        </w:tblPrEx>
        <w:trPr>
          <w:trHeight w:val="58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验收地点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中国银联信息总中心：</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上海地址1：上海市浦东新区顾唐路1699号2号楼</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上海地址2：上海市浦东新区日阪路91号</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上海地址3：上海市闵行区浦星公路699号</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北京地址1：北京市海淀区东北旺西路8号中关村软件园22号楼</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北京地址2：北京市海淀区丰慧中路11号安泰科技园C区B128楼</w:t>
            </w:r>
          </w:p>
          <w:p>
            <w:pPr>
              <w:widowControl/>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黄山地址：安徽省黄山市屯溪区新潭镇银蝶湖南路中国银联黄山中心</w:t>
            </w:r>
          </w:p>
        </w:tc>
      </w:tr>
      <w:tr>
        <w:tblPrEx>
          <w:tblCellMar>
            <w:top w:w="0" w:type="dxa"/>
            <w:left w:w="108" w:type="dxa"/>
            <w:bottom w:w="0" w:type="dxa"/>
            <w:right w:w="108" w:type="dxa"/>
          </w:tblCellMar>
        </w:tblPrEx>
        <w:trPr>
          <w:trHeight w:val="535"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验收内容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hd w:val="clear"/>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线路的完工情况</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测试报告，符合</w:t>
            </w:r>
            <w:r>
              <w:rPr>
                <w:rFonts w:hint="eastAsia" w:asciiTheme="minorEastAsia" w:hAnsiTheme="minorEastAsia" w:eastAsiaTheme="minorEastAsia" w:cstheme="minorEastAsia"/>
                <w:sz w:val="24"/>
                <w:szCs w:val="24"/>
                <w:lang w:val="en-US" w:eastAsia="zh-CN"/>
              </w:rPr>
              <w:t>合同约定的</w:t>
            </w:r>
            <w:r>
              <w:rPr>
                <w:rFonts w:hint="eastAsia" w:asciiTheme="minorEastAsia" w:hAnsiTheme="minorEastAsia" w:eastAsiaTheme="minorEastAsia" w:cstheme="minorEastAsia"/>
                <w:sz w:val="24"/>
                <w:szCs w:val="24"/>
              </w:rPr>
              <w:t>技术要求和国家有关电信业务规定。</w:t>
            </w:r>
          </w:p>
          <w:p>
            <w:pPr>
              <w:widowControl/>
              <w:numPr>
                <w:ilvl w:val="0"/>
                <w:numId w:val="0"/>
              </w:numPr>
              <w:shd w:val="clear"/>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每个付款周期内运营商通讯线路租赁服务情况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包括但不限于：</w:t>
            </w:r>
            <w:r>
              <w:rPr>
                <w:rFonts w:hint="eastAsia" w:asciiTheme="minorEastAsia" w:hAnsiTheme="minorEastAsia" w:eastAsiaTheme="minorEastAsia" w:cstheme="minorEastAsia"/>
                <w:sz w:val="24"/>
                <w:szCs w:val="24"/>
              </w:rPr>
              <w:t>1、服务支持及运维人员配置情况；2、运营商通讯线路运行情况；3、运营商通讯网络健康度自查情况；</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运营商通讯线路清单。</w:t>
            </w:r>
          </w:p>
        </w:tc>
      </w:tr>
      <w:tr>
        <w:tblPrEx>
          <w:tblCellMar>
            <w:top w:w="0" w:type="dxa"/>
            <w:left w:w="108" w:type="dxa"/>
            <w:bottom w:w="0" w:type="dxa"/>
            <w:right w:w="108" w:type="dxa"/>
          </w:tblCellMar>
        </w:tblPrEx>
        <w:trPr>
          <w:trHeight w:val="282"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验收标准</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线路的各项属性符合合同中约定线路标准，</w:t>
            </w:r>
            <w:r>
              <w:rPr>
                <w:rFonts w:hint="eastAsia" w:asciiTheme="minorEastAsia" w:hAnsiTheme="minorEastAsia" w:eastAsiaTheme="minorEastAsia" w:cstheme="minorEastAsia"/>
                <w:color w:val="000000"/>
                <w:sz w:val="24"/>
                <w:szCs w:val="24"/>
                <w:lang w:bidi="ar"/>
              </w:rPr>
              <w:t>服务内容及SLA满足合同实际要求，异常情况均按合同执行</w:t>
            </w: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sz w:val="24"/>
                <w:szCs w:val="24"/>
              </w:rPr>
              <w:t>以甲方书面确认合格为验收通过标准。</w:t>
            </w:r>
          </w:p>
        </w:tc>
      </w:tr>
      <w:tr>
        <w:tblPrEx>
          <w:tblCellMar>
            <w:top w:w="0" w:type="dxa"/>
            <w:left w:w="108" w:type="dxa"/>
            <w:bottom w:w="0" w:type="dxa"/>
            <w:right w:w="108" w:type="dxa"/>
          </w:tblCellMar>
        </w:tblPrEx>
        <w:trPr>
          <w:trHeight w:val="90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其他事项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color w:val="000000"/>
                <w:sz w:val="24"/>
                <w:szCs w:val="24"/>
              </w:rPr>
            </w:pPr>
            <w:r>
              <w:rPr>
                <w:rStyle w:val="20"/>
                <w:rFonts w:hint="eastAsia" w:asciiTheme="minorEastAsia" w:hAnsiTheme="minorEastAsia" w:eastAsiaTheme="minorEastAsia" w:cstheme="minorEastAsia"/>
                <w:sz w:val="24"/>
                <w:szCs w:val="24"/>
                <w:lang w:bidi="ar"/>
              </w:rPr>
              <w:t>验收报告的签署不免除乙方本合同项下的保证责任和相关义务。</w:t>
            </w:r>
            <w:r>
              <w:rPr>
                <w:rStyle w:val="24"/>
                <w:rFonts w:hint="eastAsia" w:asciiTheme="minorEastAsia" w:hAnsiTheme="minorEastAsia" w:eastAsiaTheme="minorEastAsia" w:cstheme="minorEastAsia"/>
                <w:sz w:val="24"/>
                <w:szCs w:val="24"/>
                <w:lang w:bidi="ar"/>
              </w:rPr>
              <w:t xml:space="preserve">      </w:t>
            </w:r>
          </w:p>
        </w:tc>
      </w:tr>
    </w:tbl>
    <w:p>
      <w:pPr>
        <w:spacing w:line="360" w:lineRule="auto"/>
        <w:ind w:firstLine="301" w:firstLineChars="100"/>
        <w:jc w:val="left"/>
        <w:outlineLvl w:val="3"/>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5.3.其他商务要求</w:t>
      </w:r>
    </w:p>
    <w:p>
      <w:pPr>
        <w:pStyle w:val="4"/>
        <w:numPr>
          <w:ilvl w:val="0"/>
          <w:numId w:val="0"/>
        </w:numPr>
        <w:bidi w:val="0"/>
        <w:spacing w:before="0" w:line="360" w:lineRule="auto"/>
        <w:ind w:firstLine="300" w:firstLineChars="1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5.3.1交付地点及联系人</w:t>
      </w: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4136"/>
        <w:gridCol w:w="1248"/>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84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8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重要性</w:t>
            </w:r>
          </w:p>
        </w:tc>
        <w:tc>
          <w:tcPr>
            <w:tcW w:w="413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1248"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服务要求标准</w:t>
            </w:r>
          </w:p>
        </w:tc>
        <w:tc>
          <w:tcPr>
            <w:tcW w:w="13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18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c>
          <w:tcPr>
            <w:tcW w:w="4136"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各线路甲端交付地址如下，具体以甲方书面通知为准：</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上海地址1：上海市浦东新区顾唐路1699号2号楼</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上海地址2：上海市浦东新区日阪路91号</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上海地址3：上海市闵行区浦星公路699号</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北京地址1：北京市海淀区东北旺西路8号中关村软件园22号楼</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北京地址2：北京市海淀区丰慧中路11号安泰科技园C区B128楼</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sz w:val="24"/>
                <w:szCs w:val="24"/>
                <w:lang w:val="en-US" w:eastAsia="zh-CN"/>
              </w:rPr>
              <w:t>黄山地址：安徽省黄山市屯溪区新潭镇银蝶湖南路中国银联黄山中心</w:t>
            </w:r>
          </w:p>
        </w:tc>
        <w:tc>
          <w:tcPr>
            <w:tcW w:w="1248"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r>
    </w:tbl>
    <w:p>
      <w:pPr>
        <w:pStyle w:val="4"/>
        <w:numPr>
          <w:ilvl w:val="0"/>
          <w:numId w:val="0"/>
        </w:numPr>
        <w:spacing w:before="0" w:line="360" w:lineRule="auto"/>
        <w:ind w:leftChars="0" w:firstLine="300" w:firstLineChars="1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5.3.2报价要求</w:t>
      </w: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3873"/>
        <w:gridCol w:w="151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8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重要性</w:t>
            </w:r>
          </w:p>
        </w:tc>
        <w:tc>
          <w:tcPr>
            <w:tcW w:w="38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151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服务要求标准</w:t>
            </w:r>
          </w:p>
        </w:tc>
        <w:tc>
          <w:tcPr>
            <w:tcW w:w="13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18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供应商需对每个包件的各类型线路提供最细颗粒度阶梯带宽产品报价，至少包含如下基础阶梯带宽项：2M、4M、6M、8M、10M、20M、30M、40M、50M、60M、70M、80M、90M、100M、110M、120M、130M、140M、150M、160M、170M、180M、190M、200M、300M、400M、500M、600M、700M、800M、900M、1G、1.5G、2G、2.5G、3G、3.5G、4G、4.5G、5G、5.5G、6G、6.5G、7G、7.5G、8G、8.5G、9G、9.5G、10G。</w:t>
            </w:r>
          </w:p>
        </w:tc>
        <w:tc>
          <w:tcPr>
            <w:tcW w:w="1511"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1181" w:type="dxa"/>
            <w:vAlign w:val="center"/>
          </w:tcPr>
          <w:p>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kern w:val="0"/>
                <w:sz w:val="24"/>
                <w:szCs w:val="24"/>
                <w:highlight w:val="none"/>
                <w:lang w:val="en-US" w:eastAsia="zh-CN"/>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供应商在上述固定带宽报价的基础上还需对互联网线路所有自动弹扩阶梯带宽产品进行报价（如有）。供应商报价需至少包含如下自动弹扩阶梯带宽项：“1G自动弹扩2.5G”（其中1G为保底计费带宽，2.5G为自动自动弹扩容量带宽，后续以此类推）、“2G自动弹扩5G”、“3G自动弹扩7.5G”、“4G自动弹扩10G”。各自动弹扩容量带宽价格不得高于互联网线路对应固定同带宽价格。例：互联网线路“1G自动弹扩2.5G”阶梯带宽价格不得高于“2.5G固定带宽价格”。</w:t>
            </w:r>
          </w:p>
        </w:tc>
        <w:tc>
          <w:tcPr>
            <w:tcW w:w="1511" w:type="dxa"/>
          </w:tcPr>
          <w:p>
            <w:pPr>
              <w:rPr>
                <w:rFonts w:hint="eastAsia" w:asciiTheme="minorEastAsia" w:hAnsiTheme="minorEastAsia" w:eastAsiaTheme="minorEastAsia" w:cstheme="minorEastAsia"/>
                <w:sz w:val="24"/>
                <w:szCs w:val="24"/>
                <w:highlight w:val="none"/>
              </w:rPr>
            </w:pPr>
          </w:p>
        </w:tc>
        <w:tc>
          <w:tcPr>
            <w:tcW w:w="1373" w:type="dxa"/>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181" w:type="dxa"/>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供应商需对各条互联网线路对应的DDOS防护费进行单独报价。</w:t>
            </w:r>
          </w:p>
        </w:tc>
        <w:tc>
          <w:tcPr>
            <w:tcW w:w="1511" w:type="dxa"/>
          </w:tcPr>
          <w:p>
            <w:pPr>
              <w:rPr>
                <w:rFonts w:hint="eastAsia" w:asciiTheme="minorEastAsia" w:hAnsiTheme="minorEastAsia" w:eastAsiaTheme="minorEastAsia" w:cstheme="minorEastAsia"/>
                <w:sz w:val="24"/>
                <w:szCs w:val="24"/>
                <w:highlight w:val="none"/>
              </w:rPr>
            </w:pPr>
          </w:p>
        </w:tc>
        <w:tc>
          <w:tcPr>
            <w:tcW w:w="1373" w:type="dxa"/>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181" w:type="dxa"/>
            <w:vAlign w:val="center"/>
          </w:tcPr>
          <w:p>
            <w:pPr>
              <w:jc w:val="center"/>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kern w:val="0"/>
                <w:sz w:val="24"/>
                <w:szCs w:val="24"/>
                <w:highlight w:val="none"/>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lang w:val="en-US" w:eastAsia="zh-CN"/>
              </w:rPr>
              <w:t>针对本项目，供应商报价需在合理范围内，同一供应商报价要求为对于同种线路类型的同一带宽价格，报价应保持一致，且同种线路类型不得出现低带宽线路价格高于高带宽线路价格的情况。</w:t>
            </w:r>
          </w:p>
        </w:tc>
        <w:tc>
          <w:tcPr>
            <w:tcW w:w="1511" w:type="dxa"/>
          </w:tcPr>
          <w:p>
            <w:pPr>
              <w:rPr>
                <w:rFonts w:hint="eastAsia" w:asciiTheme="minorEastAsia" w:hAnsiTheme="minorEastAsia" w:eastAsiaTheme="minorEastAsia" w:cstheme="minorEastAsia"/>
                <w:sz w:val="24"/>
                <w:szCs w:val="24"/>
              </w:rPr>
            </w:pPr>
          </w:p>
        </w:tc>
        <w:tc>
          <w:tcPr>
            <w:tcW w:w="137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w:t>
            </w:r>
          </w:p>
        </w:tc>
      </w:tr>
    </w:tbl>
    <w:p>
      <w:pPr>
        <w:rPr>
          <w:rFonts w:hint="eastAsia" w:asciiTheme="minorEastAsia" w:hAnsiTheme="minorEastAsia" w:eastAsiaTheme="minorEastAsia" w:cstheme="minorEastAsia"/>
          <w:sz w:val="24"/>
          <w:szCs w:val="24"/>
          <w:lang w:val="en-US" w:eastAsia="zh-CN"/>
        </w:rPr>
      </w:pPr>
    </w:p>
    <w:p>
      <w:pPr>
        <w:pStyle w:val="4"/>
        <w:numPr>
          <w:ilvl w:val="0"/>
          <w:numId w:val="0"/>
        </w:numPr>
        <w:bidi w:val="0"/>
        <w:spacing w:before="0" w:line="360" w:lineRule="auto"/>
        <w:ind w:leftChars="0" w:firstLine="300" w:firstLineChars="1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5.3.3其他要求</w:t>
      </w: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3873"/>
        <w:gridCol w:w="151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4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8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重要性</w:t>
            </w:r>
          </w:p>
        </w:tc>
        <w:tc>
          <w:tcPr>
            <w:tcW w:w="38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1511"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服务要求标准</w:t>
            </w:r>
          </w:p>
        </w:tc>
        <w:tc>
          <w:tcPr>
            <w:tcW w:w="1373"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181" w:type="dxa"/>
            <w:vAlign w:val="center"/>
          </w:tcPr>
          <w:p>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kern w:val="0"/>
                <w:sz w:val="24"/>
                <w:szCs w:val="24"/>
                <w:highlight w:val="none"/>
                <w:lang w:val="en-US" w:eastAsia="zh-CN"/>
              </w:rPr>
              <w:t>#</w:t>
            </w:r>
          </w:p>
        </w:tc>
        <w:tc>
          <w:tcPr>
            <w:tcW w:w="387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供应商应满足甲方合同文本条款要求并逐项应答。</w:t>
            </w:r>
          </w:p>
        </w:tc>
        <w:tc>
          <w:tcPr>
            <w:tcW w:w="1511" w:type="dxa"/>
          </w:tcPr>
          <w:p>
            <w:pPr>
              <w:rPr>
                <w:rFonts w:hint="eastAsia" w:asciiTheme="minorEastAsia" w:hAnsiTheme="minorEastAsia" w:eastAsiaTheme="minorEastAsia" w:cstheme="minorEastAsia"/>
                <w:sz w:val="24"/>
                <w:szCs w:val="24"/>
                <w:highlight w:val="none"/>
              </w:rPr>
            </w:pPr>
          </w:p>
        </w:tc>
        <w:tc>
          <w:tcPr>
            <w:tcW w:w="1373" w:type="dxa"/>
            <w:vAlign w:val="center"/>
          </w:tcPr>
          <w:p>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否</w:t>
            </w:r>
          </w:p>
        </w:tc>
      </w:tr>
    </w:tbl>
    <w:p>
      <w:pPr>
        <w:rPr>
          <w:color w:val="auto"/>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10EDF"/>
    <w:multiLevelType w:val="singleLevel"/>
    <w:tmpl w:val="9B710EDF"/>
    <w:lvl w:ilvl="0" w:tentative="0">
      <w:start w:val="1"/>
      <w:numFmt w:val="chineseCounting"/>
      <w:suff w:val="nothing"/>
      <w:lvlText w:val="（%1）"/>
      <w:lvlJc w:val="left"/>
      <w:rPr>
        <w:rFonts w:hint="eastAsia"/>
      </w:rPr>
    </w:lvl>
  </w:abstractNum>
  <w:abstractNum w:abstractNumId="1">
    <w:nsid w:val="FD5BCA94"/>
    <w:multiLevelType w:val="singleLevel"/>
    <w:tmpl w:val="FD5BCA94"/>
    <w:lvl w:ilvl="0" w:tentative="0">
      <w:start w:val="1"/>
      <w:numFmt w:val="decimal"/>
      <w:lvlText w:val="%1."/>
      <w:lvlJc w:val="left"/>
      <w:pPr>
        <w:tabs>
          <w:tab w:val="left" w:pos="312"/>
        </w:tabs>
      </w:pPr>
    </w:lvl>
  </w:abstractNum>
  <w:abstractNum w:abstractNumId="2">
    <w:nsid w:val="3D0BB405"/>
    <w:multiLevelType w:val="singleLevel"/>
    <w:tmpl w:val="3D0BB405"/>
    <w:lvl w:ilvl="0" w:tentative="0">
      <w:start w:val="1"/>
      <w:numFmt w:val="chineseCounting"/>
      <w:suff w:val="nothing"/>
      <w:lvlText w:val="%1、"/>
      <w:lvlJc w:val="left"/>
      <w:rPr>
        <w:rFonts w:hint="eastAsia"/>
      </w:rPr>
    </w:lvl>
  </w:abstractNum>
  <w:abstractNum w:abstractNumId="3">
    <w:nsid w:val="585F7DF5"/>
    <w:multiLevelType w:val="multilevel"/>
    <w:tmpl w:val="585F7DF5"/>
    <w:lvl w:ilvl="0" w:tentative="0">
      <w:start w:val="1"/>
      <w:numFmt w:val="bullet"/>
      <w:pStyle w:val="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EB3"/>
    <w:rsid w:val="000C62E4"/>
    <w:rsid w:val="00121EBA"/>
    <w:rsid w:val="00177E66"/>
    <w:rsid w:val="00185E12"/>
    <w:rsid w:val="002647E0"/>
    <w:rsid w:val="0030098D"/>
    <w:rsid w:val="00322DE0"/>
    <w:rsid w:val="00353D64"/>
    <w:rsid w:val="003D74D2"/>
    <w:rsid w:val="004C11D3"/>
    <w:rsid w:val="005C7CDD"/>
    <w:rsid w:val="00687BE2"/>
    <w:rsid w:val="006F4D4D"/>
    <w:rsid w:val="008426BB"/>
    <w:rsid w:val="00847D60"/>
    <w:rsid w:val="00890649"/>
    <w:rsid w:val="008A3CE5"/>
    <w:rsid w:val="00A34851"/>
    <w:rsid w:val="00A65B5E"/>
    <w:rsid w:val="00A949AA"/>
    <w:rsid w:val="00D267F0"/>
    <w:rsid w:val="00D319F9"/>
    <w:rsid w:val="00D32969"/>
    <w:rsid w:val="00D4652D"/>
    <w:rsid w:val="00DC2B54"/>
    <w:rsid w:val="00F05EB3"/>
    <w:rsid w:val="01123EC2"/>
    <w:rsid w:val="0119708A"/>
    <w:rsid w:val="01353907"/>
    <w:rsid w:val="01431D21"/>
    <w:rsid w:val="01441A33"/>
    <w:rsid w:val="01610158"/>
    <w:rsid w:val="017700BD"/>
    <w:rsid w:val="01A84C21"/>
    <w:rsid w:val="01AD329C"/>
    <w:rsid w:val="01B81797"/>
    <w:rsid w:val="01BC28E7"/>
    <w:rsid w:val="01D4135C"/>
    <w:rsid w:val="01D67379"/>
    <w:rsid w:val="01E33E38"/>
    <w:rsid w:val="020E4D8C"/>
    <w:rsid w:val="02166823"/>
    <w:rsid w:val="021C1733"/>
    <w:rsid w:val="02221B0F"/>
    <w:rsid w:val="023976A3"/>
    <w:rsid w:val="024E042C"/>
    <w:rsid w:val="025B14EB"/>
    <w:rsid w:val="0263598F"/>
    <w:rsid w:val="026C7207"/>
    <w:rsid w:val="02757B17"/>
    <w:rsid w:val="02902E68"/>
    <w:rsid w:val="02981420"/>
    <w:rsid w:val="02D06F2C"/>
    <w:rsid w:val="02F43C68"/>
    <w:rsid w:val="02F8266E"/>
    <w:rsid w:val="030F1EB2"/>
    <w:rsid w:val="03142861"/>
    <w:rsid w:val="03385656"/>
    <w:rsid w:val="034B4047"/>
    <w:rsid w:val="034C3DA9"/>
    <w:rsid w:val="037A5D64"/>
    <w:rsid w:val="038247D1"/>
    <w:rsid w:val="038908D8"/>
    <w:rsid w:val="03CB0C5A"/>
    <w:rsid w:val="03D32A49"/>
    <w:rsid w:val="03D620DE"/>
    <w:rsid w:val="03DF1692"/>
    <w:rsid w:val="03E001E7"/>
    <w:rsid w:val="03E766F4"/>
    <w:rsid w:val="03EE607E"/>
    <w:rsid w:val="041E1400"/>
    <w:rsid w:val="04363FBF"/>
    <w:rsid w:val="045735B5"/>
    <w:rsid w:val="0462603D"/>
    <w:rsid w:val="04667A33"/>
    <w:rsid w:val="04921056"/>
    <w:rsid w:val="04997F5D"/>
    <w:rsid w:val="049E4B2E"/>
    <w:rsid w:val="04A547F8"/>
    <w:rsid w:val="04C81265"/>
    <w:rsid w:val="04CA61EA"/>
    <w:rsid w:val="04E73B46"/>
    <w:rsid w:val="051F1C74"/>
    <w:rsid w:val="052322DA"/>
    <w:rsid w:val="052D1FC1"/>
    <w:rsid w:val="052E40AF"/>
    <w:rsid w:val="05563B92"/>
    <w:rsid w:val="055B3284"/>
    <w:rsid w:val="057513FF"/>
    <w:rsid w:val="05790044"/>
    <w:rsid w:val="0584521B"/>
    <w:rsid w:val="058A10E5"/>
    <w:rsid w:val="05B169D1"/>
    <w:rsid w:val="05B9677F"/>
    <w:rsid w:val="05C41D45"/>
    <w:rsid w:val="05D624DD"/>
    <w:rsid w:val="05E97842"/>
    <w:rsid w:val="05FC1610"/>
    <w:rsid w:val="05FE3860"/>
    <w:rsid w:val="06147D00"/>
    <w:rsid w:val="062A1AAD"/>
    <w:rsid w:val="06373892"/>
    <w:rsid w:val="06374FB2"/>
    <w:rsid w:val="06376B63"/>
    <w:rsid w:val="06480801"/>
    <w:rsid w:val="064D5914"/>
    <w:rsid w:val="06823565"/>
    <w:rsid w:val="06864813"/>
    <w:rsid w:val="06927957"/>
    <w:rsid w:val="0694109F"/>
    <w:rsid w:val="069C6C8A"/>
    <w:rsid w:val="06A14569"/>
    <w:rsid w:val="06A6393F"/>
    <w:rsid w:val="06DF187D"/>
    <w:rsid w:val="06E728E4"/>
    <w:rsid w:val="06F16AC5"/>
    <w:rsid w:val="072004C0"/>
    <w:rsid w:val="0732056E"/>
    <w:rsid w:val="075C299E"/>
    <w:rsid w:val="076161D1"/>
    <w:rsid w:val="07653C91"/>
    <w:rsid w:val="07677766"/>
    <w:rsid w:val="077839BB"/>
    <w:rsid w:val="07967614"/>
    <w:rsid w:val="07C02D03"/>
    <w:rsid w:val="07CB3114"/>
    <w:rsid w:val="07D9309D"/>
    <w:rsid w:val="07E14883"/>
    <w:rsid w:val="08006CF6"/>
    <w:rsid w:val="08010509"/>
    <w:rsid w:val="08174C51"/>
    <w:rsid w:val="082B1C77"/>
    <w:rsid w:val="08372AA0"/>
    <w:rsid w:val="083E7612"/>
    <w:rsid w:val="08487CE5"/>
    <w:rsid w:val="08583A3F"/>
    <w:rsid w:val="085849D9"/>
    <w:rsid w:val="085A7F5F"/>
    <w:rsid w:val="086D6B98"/>
    <w:rsid w:val="08786EEC"/>
    <w:rsid w:val="087B67B0"/>
    <w:rsid w:val="08933005"/>
    <w:rsid w:val="089C3CBC"/>
    <w:rsid w:val="08B37BFE"/>
    <w:rsid w:val="08E623AA"/>
    <w:rsid w:val="08E72924"/>
    <w:rsid w:val="09030ACB"/>
    <w:rsid w:val="090B5221"/>
    <w:rsid w:val="09241E8E"/>
    <w:rsid w:val="09267894"/>
    <w:rsid w:val="093963AA"/>
    <w:rsid w:val="094F6556"/>
    <w:rsid w:val="097C17A9"/>
    <w:rsid w:val="09B76E89"/>
    <w:rsid w:val="09B82240"/>
    <w:rsid w:val="09B82702"/>
    <w:rsid w:val="09C05E2F"/>
    <w:rsid w:val="09C40C6D"/>
    <w:rsid w:val="09DA5D4B"/>
    <w:rsid w:val="09EB05D3"/>
    <w:rsid w:val="09F0119F"/>
    <w:rsid w:val="0A1071E9"/>
    <w:rsid w:val="0A2E381F"/>
    <w:rsid w:val="0A3D2685"/>
    <w:rsid w:val="0A8B04DC"/>
    <w:rsid w:val="0A960BCA"/>
    <w:rsid w:val="0ABF67BB"/>
    <w:rsid w:val="0ADF578D"/>
    <w:rsid w:val="0AFD7516"/>
    <w:rsid w:val="0B0C41E8"/>
    <w:rsid w:val="0B260D3B"/>
    <w:rsid w:val="0B4677CD"/>
    <w:rsid w:val="0B657E3F"/>
    <w:rsid w:val="0B7F426C"/>
    <w:rsid w:val="0BA72051"/>
    <w:rsid w:val="0BBF2515"/>
    <w:rsid w:val="0BCE24A5"/>
    <w:rsid w:val="0BD95C00"/>
    <w:rsid w:val="0BDC0420"/>
    <w:rsid w:val="0BE52B57"/>
    <w:rsid w:val="0BED6E40"/>
    <w:rsid w:val="0BF61A5E"/>
    <w:rsid w:val="0BFD11DB"/>
    <w:rsid w:val="0C1276BF"/>
    <w:rsid w:val="0C3D5924"/>
    <w:rsid w:val="0C464B3C"/>
    <w:rsid w:val="0C4F3AE0"/>
    <w:rsid w:val="0C547B97"/>
    <w:rsid w:val="0C5D4793"/>
    <w:rsid w:val="0C6841EA"/>
    <w:rsid w:val="0C8A5A23"/>
    <w:rsid w:val="0CA7290D"/>
    <w:rsid w:val="0CBE3430"/>
    <w:rsid w:val="0CD2365A"/>
    <w:rsid w:val="0CDF0965"/>
    <w:rsid w:val="0CE756DC"/>
    <w:rsid w:val="0CF2414E"/>
    <w:rsid w:val="0D0D4B69"/>
    <w:rsid w:val="0D3600BA"/>
    <w:rsid w:val="0D460355"/>
    <w:rsid w:val="0D53766A"/>
    <w:rsid w:val="0D723C7E"/>
    <w:rsid w:val="0D820013"/>
    <w:rsid w:val="0DB138C9"/>
    <w:rsid w:val="0DD40EBD"/>
    <w:rsid w:val="0DED1DE7"/>
    <w:rsid w:val="0DF9108F"/>
    <w:rsid w:val="0DFA2B6F"/>
    <w:rsid w:val="0E030EAC"/>
    <w:rsid w:val="0E110D22"/>
    <w:rsid w:val="0E5316F1"/>
    <w:rsid w:val="0E571F85"/>
    <w:rsid w:val="0E5D21F2"/>
    <w:rsid w:val="0E5E0E21"/>
    <w:rsid w:val="0E6C2C22"/>
    <w:rsid w:val="0E752B24"/>
    <w:rsid w:val="0E7C47EE"/>
    <w:rsid w:val="0E951193"/>
    <w:rsid w:val="0EAA7AF0"/>
    <w:rsid w:val="0EAA7C1C"/>
    <w:rsid w:val="0EB507E4"/>
    <w:rsid w:val="0EE5693F"/>
    <w:rsid w:val="0EF41348"/>
    <w:rsid w:val="0F013EAE"/>
    <w:rsid w:val="0F030EBD"/>
    <w:rsid w:val="0F187CE5"/>
    <w:rsid w:val="0F325C49"/>
    <w:rsid w:val="0F4A62F5"/>
    <w:rsid w:val="0F522679"/>
    <w:rsid w:val="0F6668A9"/>
    <w:rsid w:val="0F732EE8"/>
    <w:rsid w:val="0F9878F7"/>
    <w:rsid w:val="0F9D61FE"/>
    <w:rsid w:val="0FB83C44"/>
    <w:rsid w:val="0FD143A4"/>
    <w:rsid w:val="0FDF4796"/>
    <w:rsid w:val="10331CA1"/>
    <w:rsid w:val="103551A4"/>
    <w:rsid w:val="103E4187"/>
    <w:rsid w:val="10496DBE"/>
    <w:rsid w:val="105C0F69"/>
    <w:rsid w:val="105C4E6D"/>
    <w:rsid w:val="10695812"/>
    <w:rsid w:val="10900BE4"/>
    <w:rsid w:val="10992CCA"/>
    <w:rsid w:val="10B34A66"/>
    <w:rsid w:val="10C83D1A"/>
    <w:rsid w:val="10D16863"/>
    <w:rsid w:val="10DC677F"/>
    <w:rsid w:val="10DE2F3C"/>
    <w:rsid w:val="10E74752"/>
    <w:rsid w:val="11285A31"/>
    <w:rsid w:val="112B2022"/>
    <w:rsid w:val="113117C0"/>
    <w:rsid w:val="114C2C4B"/>
    <w:rsid w:val="115854E3"/>
    <w:rsid w:val="11752B7D"/>
    <w:rsid w:val="118117C9"/>
    <w:rsid w:val="118D7E17"/>
    <w:rsid w:val="11980FF0"/>
    <w:rsid w:val="11A26513"/>
    <w:rsid w:val="11A506C8"/>
    <w:rsid w:val="11B30A76"/>
    <w:rsid w:val="11D93657"/>
    <w:rsid w:val="11E40BF0"/>
    <w:rsid w:val="11E95A57"/>
    <w:rsid w:val="11EC2756"/>
    <w:rsid w:val="11ED028C"/>
    <w:rsid w:val="120C2983"/>
    <w:rsid w:val="122D796D"/>
    <w:rsid w:val="123062BB"/>
    <w:rsid w:val="12494D87"/>
    <w:rsid w:val="12597428"/>
    <w:rsid w:val="12643464"/>
    <w:rsid w:val="128C5329"/>
    <w:rsid w:val="12AF78C5"/>
    <w:rsid w:val="12B92154"/>
    <w:rsid w:val="12E23B09"/>
    <w:rsid w:val="12FA10B5"/>
    <w:rsid w:val="130013A5"/>
    <w:rsid w:val="131129B8"/>
    <w:rsid w:val="13385A02"/>
    <w:rsid w:val="13525793"/>
    <w:rsid w:val="135463C6"/>
    <w:rsid w:val="136354EA"/>
    <w:rsid w:val="136A1707"/>
    <w:rsid w:val="137C4B20"/>
    <w:rsid w:val="137D5079"/>
    <w:rsid w:val="139E72E4"/>
    <w:rsid w:val="13BF0E2E"/>
    <w:rsid w:val="13BF7656"/>
    <w:rsid w:val="13D76203"/>
    <w:rsid w:val="13DC3D21"/>
    <w:rsid w:val="13E148EA"/>
    <w:rsid w:val="13E67435"/>
    <w:rsid w:val="13ED1A3D"/>
    <w:rsid w:val="13ED7201"/>
    <w:rsid w:val="13EE37AD"/>
    <w:rsid w:val="141D1E8C"/>
    <w:rsid w:val="1424170C"/>
    <w:rsid w:val="144B7858"/>
    <w:rsid w:val="145539EB"/>
    <w:rsid w:val="1458638E"/>
    <w:rsid w:val="14592808"/>
    <w:rsid w:val="145A1F59"/>
    <w:rsid w:val="14633979"/>
    <w:rsid w:val="14653744"/>
    <w:rsid w:val="146D032F"/>
    <w:rsid w:val="1494092E"/>
    <w:rsid w:val="14A33FA8"/>
    <w:rsid w:val="14C241AE"/>
    <w:rsid w:val="14C41DB8"/>
    <w:rsid w:val="14C81BB8"/>
    <w:rsid w:val="15040E34"/>
    <w:rsid w:val="15105301"/>
    <w:rsid w:val="1523712B"/>
    <w:rsid w:val="152817C5"/>
    <w:rsid w:val="152A5CFC"/>
    <w:rsid w:val="15381FC9"/>
    <w:rsid w:val="1555548B"/>
    <w:rsid w:val="15643BA8"/>
    <w:rsid w:val="15747421"/>
    <w:rsid w:val="15884CFE"/>
    <w:rsid w:val="15C00A3E"/>
    <w:rsid w:val="15C5307B"/>
    <w:rsid w:val="15C846BB"/>
    <w:rsid w:val="15D349C1"/>
    <w:rsid w:val="15DB706A"/>
    <w:rsid w:val="15FA1B1D"/>
    <w:rsid w:val="160C41FD"/>
    <w:rsid w:val="1610218E"/>
    <w:rsid w:val="161C17D1"/>
    <w:rsid w:val="162D35F1"/>
    <w:rsid w:val="16361726"/>
    <w:rsid w:val="16406A0E"/>
    <w:rsid w:val="16523819"/>
    <w:rsid w:val="165C7C4B"/>
    <w:rsid w:val="167B2CB7"/>
    <w:rsid w:val="168077F8"/>
    <w:rsid w:val="16815604"/>
    <w:rsid w:val="16877571"/>
    <w:rsid w:val="16A32F3A"/>
    <w:rsid w:val="16AA063C"/>
    <w:rsid w:val="16BC6358"/>
    <w:rsid w:val="16E54F9E"/>
    <w:rsid w:val="16E8400B"/>
    <w:rsid w:val="17007DD6"/>
    <w:rsid w:val="170767D7"/>
    <w:rsid w:val="170834AC"/>
    <w:rsid w:val="170A5A4B"/>
    <w:rsid w:val="1722157F"/>
    <w:rsid w:val="172A220F"/>
    <w:rsid w:val="172A351A"/>
    <w:rsid w:val="175A1431"/>
    <w:rsid w:val="1761472A"/>
    <w:rsid w:val="17795811"/>
    <w:rsid w:val="17895AAB"/>
    <w:rsid w:val="178D3971"/>
    <w:rsid w:val="178E1F54"/>
    <w:rsid w:val="17A253E2"/>
    <w:rsid w:val="17AD06BA"/>
    <w:rsid w:val="17B44371"/>
    <w:rsid w:val="17BC3018"/>
    <w:rsid w:val="17C54CF3"/>
    <w:rsid w:val="17CB280E"/>
    <w:rsid w:val="17E3743F"/>
    <w:rsid w:val="17E67BDA"/>
    <w:rsid w:val="181229CA"/>
    <w:rsid w:val="18283F86"/>
    <w:rsid w:val="182A1FA0"/>
    <w:rsid w:val="18360309"/>
    <w:rsid w:val="184A5169"/>
    <w:rsid w:val="184D23A5"/>
    <w:rsid w:val="18542BF6"/>
    <w:rsid w:val="18664ABA"/>
    <w:rsid w:val="1882366E"/>
    <w:rsid w:val="18AA3CB4"/>
    <w:rsid w:val="18AD5CEC"/>
    <w:rsid w:val="18B00857"/>
    <w:rsid w:val="18B15E86"/>
    <w:rsid w:val="18D05DC3"/>
    <w:rsid w:val="18F03567"/>
    <w:rsid w:val="18FB3C2B"/>
    <w:rsid w:val="19436500"/>
    <w:rsid w:val="19840D69"/>
    <w:rsid w:val="19871CEE"/>
    <w:rsid w:val="198F71EC"/>
    <w:rsid w:val="19936974"/>
    <w:rsid w:val="199F268D"/>
    <w:rsid w:val="19A02C18"/>
    <w:rsid w:val="19C805C8"/>
    <w:rsid w:val="19CA61B7"/>
    <w:rsid w:val="19EE4B1E"/>
    <w:rsid w:val="1A005641"/>
    <w:rsid w:val="1A07356B"/>
    <w:rsid w:val="1A0D104E"/>
    <w:rsid w:val="1A116F0B"/>
    <w:rsid w:val="1A22523D"/>
    <w:rsid w:val="1A32593B"/>
    <w:rsid w:val="1A4646AB"/>
    <w:rsid w:val="1A493C2A"/>
    <w:rsid w:val="1A49562F"/>
    <w:rsid w:val="1A4969AD"/>
    <w:rsid w:val="1A4B5826"/>
    <w:rsid w:val="1A787FEF"/>
    <w:rsid w:val="1A945698"/>
    <w:rsid w:val="1A977F44"/>
    <w:rsid w:val="1AAD78D2"/>
    <w:rsid w:val="1AD2428E"/>
    <w:rsid w:val="1AD62F7C"/>
    <w:rsid w:val="1B0167A6"/>
    <w:rsid w:val="1B0A7C6C"/>
    <w:rsid w:val="1B1829F9"/>
    <w:rsid w:val="1B2212A2"/>
    <w:rsid w:val="1B22280B"/>
    <w:rsid w:val="1B22474F"/>
    <w:rsid w:val="1B421807"/>
    <w:rsid w:val="1B6B3188"/>
    <w:rsid w:val="1B7A7F79"/>
    <w:rsid w:val="1BAD674F"/>
    <w:rsid w:val="1BB24384"/>
    <w:rsid w:val="1BBD38BB"/>
    <w:rsid w:val="1BCF3253"/>
    <w:rsid w:val="1BD05552"/>
    <w:rsid w:val="1BFB631F"/>
    <w:rsid w:val="1C073285"/>
    <w:rsid w:val="1C162CDF"/>
    <w:rsid w:val="1C1735EF"/>
    <w:rsid w:val="1C39605B"/>
    <w:rsid w:val="1C5F2808"/>
    <w:rsid w:val="1C647A9E"/>
    <w:rsid w:val="1C8B184A"/>
    <w:rsid w:val="1CA26A88"/>
    <w:rsid w:val="1CA90611"/>
    <w:rsid w:val="1CAC39B6"/>
    <w:rsid w:val="1CB665DA"/>
    <w:rsid w:val="1CBB342D"/>
    <w:rsid w:val="1CEC3144"/>
    <w:rsid w:val="1D03459D"/>
    <w:rsid w:val="1D1724F8"/>
    <w:rsid w:val="1D2B58FA"/>
    <w:rsid w:val="1D2C6BB7"/>
    <w:rsid w:val="1D7644E2"/>
    <w:rsid w:val="1D7A62AB"/>
    <w:rsid w:val="1D7E18EE"/>
    <w:rsid w:val="1D7F7370"/>
    <w:rsid w:val="1D8F2E8D"/>
    <w:rsid w:val="1DC717B9"/>
    <w:rsid w:val="1DD33487"/>
    <w:rsid w:val="1DD86B05"/>
    <w:rsid w:val="1DFC1CF4"/>
    <w:rsid w:val="1DFC30C5"/>
    <w:rsid w:val="1E1958FF"/>
    <w:rsid w:val="1E201940"/>
    <w:rsid w:val="1E34627B"/>
    <w:rsid w:val="1E3A0BF2"/>
    <w:rsid w:val="1E412CB1"/>
    <w:rsid w:val="1E4C2420"/>
    <w:rsid w:val="1E686949"/>
    <w:rsid w:val="1E6D287C"/>
    <w:rsid w:val="1E761E86"/>
    <w:rsid w:val="1E7E63D0"/>
    <w:rsid w:val="1E8F7A90"/>
    <w:rsid w:val="1EA8395A"/>
    <w:rsid w:val="1ECA0DD0"/>
    <w:rsid w:val="1EDD591D"/>
    <w:rsid w:val="1EED61D3"/>
    <w:rsid w:val="1F0F3091"/>
    <w:rsid w:val="1F184F13"/>
    <w:rsid w:val="1F3644C3"/>
    <w:rsid w:val="1F584C35"/>
    <w:rsid w:val="1F617118"/>
    <w:rsid w:val="1F6F78E7"/>
    <w:rsid w:val="1F7155A1"/>
    <w:rsid w:val="1FA328F8"/>
    <w:rsid w:val="1FA4348F"/>
    <w:rsid w:val="1FC413E9"/>
    <w:rsid w:val="1FE223DD"/>
    <w:rsid w:val="1FE26B5A"/>
    <w:rsid w:val="20024E90"/>
    <w:rsid w:val="20044C1E"/>
    <w:rsid w:val="200A5B20"/>
    <w:rsid w:val="20165A67"/>
    <w:rsid w:val="201715B2"/>
    <w:rsid w:val="201828B7"/>
    <w:rsid w:val="20232E47"/>
    <w:rsid w:val="20374706"/>
    <w:rsid w:val="2038647C"/>
    <w:rsid w:val="20461FAF"/>
    <w:rsid w:val="206B103D"/>
    <w:rsid w:val="20755AA2"/>
    <w:rsid w:val="209354CA"/>
    <w:rsid w:val="20C813C6"/>
    <w:rsid w:val="20CE1223"/>
    <w:rsid w:val="20F766A2"/>
    <w:rsid w:val="21124CCD"/>
    <w:rsid w:val="21156F3A"/>
    <w:rsid w:val="21205909"/>
    <w:rsid w:val="213B089B"/>
    <w:rsid w:val="21686CD3"/>
    <w:rsid w:val="2187050F"/>
    <w:rsid w:val="219A077A"/>
    <w:rsid w:val="219B71B0"/>
    <w:rsid w:val="21E66F9A"/>
    <w:rsid w:val="220B1DE3"/>
    <w:rsid w:val="220D313B"/>
    <w:rsid w:val="221B5875"/>
    <w:rsid w:val="22373215"/>
    <w:rsid w:val="226A6584"/>
    <w:rsid w:val="226B4005"/>
    <w:rsid w:val="22823C2A"/>
    <w:rsid w:val="22841131"/>
    <w:rsid w:val="22876AB8"/>
    <w:rsid w:val="22910BEE"/>
    <w:rsid w:val="22935CBE"/>
    <w:rsid w:val="22945854"/>
    <w:rsid w:val="22A10C5C"/>
    <w:rsid w:val="22A21F61"/>
    <w:rsid w:val="22A41C49"/>
    <w:rsid w:val="22C63A4A"/>
    <w:rsid w:val="22C8599E"/>
    <w:rsid w:val="22E2789D"/>
    <w:rsid w:val="22EC155D"/>
    <w:rsid w:val="22F81507"/>
    <w:rsid w:val="23011A7C"/>
    <w:rsid w:val="2325220C"/>
    <w:rsid w:val="23497BC3"/>
    <w:rsid w:val="235218B9"/>
    <w:rsid w:val="235D2FE7"/>
    <w:rsid w:val="235E41CE"/>
    <w:rsid w:val="2363459D"/>
    <w:rsid w:val="2368339D"/>
    <w:rsid w:val="237B2B1D"/>
    <w:rsid w:val="239301B8"/>
    <w:rsid w:val="239372EB"/>
    <w:rsid w:val="239A41C9"/>
    <w:rsid w:val="23A617DB"/>
    <w:rsid w:val="23BE01F8"/>
    <w:rsid w:val="23C110B2"/>
    <w:rsid w:val="23DB4673"/>
    <w:rsid w:val="23DD53B9"/>
    <w:rsid w:val="23DF00F3"/>
    <w:rsid w:val="23F1041B"/>
    <w:rsid w:val="23F32065"/>
    <w:rsid w:val="24312C34"/>
    <w:rsid w:val="24444B34"/>
    <w:rsid w:val="244A2F6C"/>
    <w:rsid w:val="24573F09"/>
    <w:rsid w:val="245D6373"/>
    <w:rsid w:val="247456EF"/>
    <w:rsid w:val="2480265F"/>
    <w:rsid w:val="24A36112"/>
    <w:rsid w:val="24BB25D0"/>
    <w:rsid w:val="24CD5D6E"/>
    <w:rsid w:val="24E91E1B"/>
    <w:rsid w:val="24EC2D9F"/>
    <w:rsid w:val="250174C1"/>
    <w:rsid w:val="25096DF6"/>
    <w:rsid w:val="25097C04"/>
    <w:rsid w:val="250A3EDC"/>
    <w:rsid w:val="25634F12"/>
    <w:rsid w:val="256B2F44"/>
    <w:rsid w:val="2571790C"/>
    <w:rsid w:val="2591111E"/>
    <w:rsid w:val="25937F2D"/>
    <w:rsid w:val="25AB7E23"/>
    <w:rsid w:val="25B319DB"/>
    <w:rsid w:val="25BB3839"/>
    <w:rsid w:val="25CA33C2"/>
    <w:rsid w:val="25DF10AE"/>
    <w:rsid w:val="25E23FE3"/>
    <w:rsid w:val="25E33D92"/>
    <w:rsid w:val="25E84329"/>
    <w:rsid w:val="25EB6F94"/>
    <w:rsid w:val="25F66AD5"/>
    <w:rsid w:val="25FB3A39"/>
    <w:rsid w:val="25FE1963"/>
    <w:rsid w:val="26211B75"/>
    <w:rsid w:val="26222E1C"/>
    <w:rsid w:val="262438D0"/>
    <w:rsid w:val="262B152D"/>
    <w:rsid w:val="262B22BC"/>
    <w:rsid w:val="262C3E15"/>
    <w:rsid w:val="26390AC5"/>
    <w:rsid w:val="26444656"/>
    <w:rsid w:val="264C1424"/>
    <w:rsid w:val="26575875"/>
    <w:rsid w:val="26637109"/>
    <w:rsid w:val="26704293"/>
    <w:rsid w:val="26710219"/>
    <w:rsid w:val="26796F4A"/>
    <w:rsid w:val="267A4B30"/>
    <w:rsid w:val="26842EC1"/>
    <w:rsid w:val="268B48BA"/>
    <w:rsid w:val="26A0585E"/>
    <w:rsid w:val="26C15309"/>
    <w:rsid w:val="26CB40EA"/>
    <w:rsid w:val="26FE6BDA"/>
    <w:rsid w:val="270A1973"/>
    <w:rsid w:val="270A1DB8"/>
    <w:rsid w:val="271A237A"/>
    <w:rsid w:val="27307651"/>
    <w:rsid w:val="2736739E"/>
    <w:rsid w:val="273F531A"/>
    <w:rsid w:val="27436777"/>
    <w:rsid w:val="27503440"/>
    <w:rsid w:val="27547E95"/>
    <w:rsid w:val="2764652B"/>
    <w:rsid w:val="27940254"/>
    <w:rsid w:val="27A47FDD"/>
    <w:rsid w:val="27AE60E0"/>
    <w:rsid w:val="27B475DC"/>
    <w:rsid w:val="27CB0C81"/>
    <w:rsid w:val="27D43AE7"/>
    <w:rsid w:val="27DA23F3"/>
    <w:rsid w:val="27DB774D"/>
    <w:rsid w:val="27EA742B"/>
    <w:rsid w:val="280255D6"/>
    <w:rsid w:val="280668DE"/>
    <w:rsid w:val="28244B6B"/>
    <w:rsid w:val="2830599B"/>
    <w:rsid w:val="28364A85"/>
    <w:rsid w:val="285A12A4"/>
    <w:rsid w:val="2860304C"/>
    <w:rsid w:val="286A44F9"/>
    <w:rsid w:val="28AA6FC3"/>
    <w:rsid w:val="28B1694E"/>
    <w:rsid w:val="28B66659"/>
    <w:rsid w:val="28BB782E"/>
    <w:rsid w:val="28C81304"/>
    <w:rsid w:val="28D80917"/>
    <w:rsid w:val="28DA3395"/>
    <w:rsid w:val="2903132A"/>
    <w:rsid w:val="29033F89"/>
    <w:rsid w:val="29057259"/>
    <w:rsid w:val="291753F8"/>
    <w:rsid w:val="2919438E"/>
    <w:rsid w:val="291C35D2"/>
    <w:rsid w:val="293A06DA"/>
    <w:rsid w:val="29521D5A"/>
    <w:rsid w:val="29697611"/>
    <w:rsid w:val="29836541"/>
    <w:rsid w:val="299A5B6E"/>
    <w:rsid w:val="299C7012"/>
    <w:rsid w:val="29AA23E9"/>
    <w:rsid w:val="29BC1561"/>
    <w:rsid w:val="29C721E5"/>
    <w:rsid w:val="29CA55A2"/>
    <w:rsid w:val="29EF0577"/>
    <w:rsid w:val="2A16751A"/>
    <w:rsid w:val="2A211A5F"/>
    <w:rsid w:val="2A230DAE"/>
    <w:rsid w:val="2A347623"/>
    <w:rsid w:val="2A4C14A2"/>
    <w:rsid w:val="2A66639F"/>
    <w:rsid w:val="2A906970"/>
    <w:rsid w:val="2A9A6B83"/>
    <w:rsid w:val="2A9B6C6F"/>
    <w:rsid w:val="2A9C66E4"/>
    <w:rsid w:val="2AD97D0E"/>
    <w:rsid w:val="2AE16CE5"/>
    <w:rsid w:val="2AE6436F"/>
    <w:rsid w:val="2B065C9E"/>
    <w:rsid w:val="2B096CAA"/>
    <w:rsid w:val="2B140396"/>
    <w:rsid w:val="2B1B6DC7"/>
    <w:rsid w:val="2B265158"/>
    <w:rsid w:val="2B2A116E"/>
    <w:rsid w:val="2B593DC1"/>
    <w:rsid w:val="2B5BF885"/>
    <w:rsid w:val="2B5D5CB6"/>
    <w:rsid w:val="2B9F2F2B"/>
    <w:rsid w:val="2BC13EA3"/>
    <w:rsid w:val="2BD36467"/>
    <w:rsid w:val="2BD57B25"/>
    <w:rsid w:val="2BDA267D"/>
    <w:rsid w:val="2BFA1E63"/>
    <w:rsid w:val="2C1E4280"/>
    <w:rsid w:val="2C1E56F0"/>
    <w:rsid w:val="2C24639B"/>
    <w:rsid w:val="2C380499"/>
    <w:rsid w:val="2C5F6892"/>
    <w:rsid w:val="2C665AE6"/>
    <w:rsid w:val="2C790F13"/>
    <w:rsid w:val="2C846DDB"/>
    <w:rsid w:val="2C85068D"/>
    <w:rsid w:val="2C8F19D3"/>
    <w:rsid w:val="2C9214AD"/>
    <w:rsid w:val="2C940EB3"/>
    <w:rsid w:val="2CA26E62"/>
    <w:rsid w:val="2CB97AED"/>
    <w:rsid w:val="2CC535C7"/>
    <w:rsid w:val="2CCA0A32"/>
    <w:rsid w:val="2CD0015E"/>
    <w:rsid w:val="2CD20B57"/>
    <w:rsid w:val="2CD476EA"/>
    <w:rsid w:val="2CDB6147"/>
    <w:rsid w:val="2CDD36CF"/>
    <w:rsid w:val="2CF203BA"/>
    <w:rsid w:val="2D041663"/>
    <w:rsid w:val="2D075697"/>
    <w:rsid w:val="2D2D7CA2"/>
    <w:rsid w:val="2D3070CD"/>
    <w:rsid w:val="2D333958"/>
    <w:rsid w:val="2D447E18"/>
    <w:rsid w:val="2D474C85"/>
    <w:rsid w:val="2D607B06"/>
    <w:rsid w:val="2D6A7232"/>
    <w:rsid w:val="2D87057B"/>
    <w:rsid w:val="2DB23588"/>
    <w:rsid w:val="2DC669A6"/>
    <w:rsid w:val="2DC8572C"/>
    <w:rsid w:val="2DCB5EA1"/>
    <w:rsid w:val="2DD3023A"/>
    <w:rsid w:val="2DE0754F"/>
    <w:rsid w:val="2DE713F7"/>
    <w:rsid w:val="2E4461C1"/>
    <w:rsid w:val="2E58255E"/>
    <w:rsid w:val="2E60488C"/>
    <w:rsid w:val="2E710E15"/>
    <w:rsid w:val="2E893224"/>
    <w:rsid w:val="2EA700A2"/>
    <w:rsid w:val="2ECB7A54"/>
    <w:rsid w:val="2EE203F7"/>
    <w:rsid w:val="2EEF78C9"/>
    <w:rsid w:val="2EF9740C"/>
    <w:rsid w:val="2F1D27DA"/>
    <w:rsid w:val="2F1F0894"/>
    <w:rsid w:val="2F371186"/>
    <w:rsid w:val="2F391702"/>
    <w:rsid w:val="2F445854"/>
    <w:rsid w:val="2F807931"/>
    <w:rsid w:val="2F9F68E5"/>
    <w:rsid w:val="2FE76BB1"/>
    <w:rsid w:val="2FED073D"/>
    <w:rsid w:val="2FED5293"/>
    <w:rsid w:val="2FFC7C4A"/>
    <w:rsid w:val="301963E3"/>
    <w:rsid w:val="301C6E7A"/>
    <w:rsid w:val="302A1734"/>
    <w:rsid w:val="306102E3"/>
    <w:rsid w:val="30881A2C"/>
    <w:rsid w:val="309B6EFA"/>
    <w:rsid w:val="309C2C4B"/>
    <w:rsid w:val="30A026AF"/>
    <w:rsid w:val="30C42E9A"/>
    <w:rsid w:val="30F57F69"/>
    <w:rsid w:val="310F1477"/>
    <w:rsid w:val="312C1FC6"/>
    <w:rsid w:val="312E5A3D"/>
    <w:rsid w:val="31402CA6"/>
    <w:rsid w:val="314D62F2"/>
    <w:rsid w:val="317C1B02"/>
    <w:rsid w:val="31894E52"/>
    <w:rsid w:val="31A2166D"/>
    <w:rsid w:val="31A365EF"/>
    <w:rsid w:val="31BB44CA"/>
    <w:rsid w:val="31DA5B56"/>
    <w:rsid w:val="31E12D40"/>
    <w:rsid w:val="31F56B11"/>
    <w:rsid w:val="31F646FD"/>
    <w:rsid w:val="320629FE"/>
    <w:rsid w:val="32126E37"/>
    <w:rsid w:val="32130A40"/>
    <w:rsid w:val="321653D0"/>
    <w:rsid w:val="321F507F"/>
    <w:rsid w:val="32365EC8"/>
    <w:rsid w:val="326146AC"/>
    <w:rsid w:val="328B1082"/>
    <w:rsid w:val="32A50AA2"/>
    <w:rsid w:val="32A51349"/>
    <w:rsid w:val="32A7640C"/>
    <w:rsid w:val="32AF1C61"/>
    <w:rsid w:val="32B03D91"/>
    <w:rsid w:val="32B77AC3"/>
    <w:rsid w:val="32C50254"/>
    <w:rsid w:val="32C72463"/>
    <w:rsid w:val="32FB45DE"/>
    <w:rsid w:val="332E6AEF"/>
    <w:rsid w:val="333D38D1"/>
    <w:rsid w:val="333F0CA1"/>
    <w:rsid w:val="33417E95"/>
    <w:rsid w:val="33544E1E"/>
    <w:rsid w:val="33660B60"/>
    <w:rsid w:val="337336AA"/>
    <w:rsid w:val="33735C77"/>
    <w:rsid w:val="338F27EC"/>
    <w:rsid w:val="33916608"/>
    <w:rsid w:val="339C47DA"/>
    <w:rsid w:val="33AB0E51"/>
    <w:rsid w:val="33AC3066"/>
    <w:rsid w:val="33D56C16"/>
    <w:rsid w:val="33E317AE"/>
    <w:rsid w:val="33F21299"/>
    <w:rsid w:val="340D03F4"/>
    <w:rsid w:val="341004F3"/>
    <w:rsid w:val="3411032C"/>
    <w:rsid w:val="34353856"/>
    <w:rsid w:val="345352E6"/>
    <w:rsid w:val="34635AF6"/>
    <w:rsid w:val="349E0283"/>
    <w:rsid w:val="34A647C0"/>
    <w:rsid w:val="34AD46FA"/>
    <w:rsid w:val="34B450A6"/>
    <w:rsid w:val="34D17B8D"/>
    <w:rsid w:val="34EA5B2B"/>
    <w:rsid w:val="34F5004E"/>
    <w:rsid w:val="34F9760D"/>
    <w:rsid w:val="34FC7CFD"/>
    <w:rsid w:val="351006CF"/>
    <w:rsid w:val="351A756C"/>
    <w:rsid w:val="351B7F2E"/>
    <w:rsid w:val="352D34EC"/>
    <w:rsid w:val="353B7769"/>
    <w:rsid w:val="35707597"/>
    <w:rsid w:val="35724883"/>
    <w:rsid w:val="3574527C"/>
    <w:rsid w:val="357B604D"/>
    <w:rsid w:val="35950462"/>
    <w:rsid w:val="359B675B"/>
    <w:rsid w:val="359F2C21"/>
    <w:rsid w:val="35CB71E7"/>
    <w:rsid w:val="35DD41CD"/>
    <w:rsid w:val="35FF7B18"/>
    <w:rsid w:val="3603722A"/>
    <w:rsid w:val="360B7EBA"/>
    <w:rsid w:val="361E7DB5"/>
    <w:rsid w:val="36364113"/>
    <w:rsid w:val="363901DD"/>
    <w:rsid w:val="366015C0"/>
    <w:rsid w:val="367C276C"/>
    <w:rsid w:val="36807E79"/>
    <w:rsid w:val="36C95CEF"/>
    <w:rsid w:val="36F33D34"/>
    <w:rsid w:val="36FC3996"/>
    <w:rsid w:val="37165DEE"/>
    <w:rsid w:val="372F2757"/>
    <w:rsid w:val="374C04C6"/>
    <w:rsid w:val="3757036B"/>
    <w:rsid w:val="375C2CDF"/>
    <w:rsid w:val="376B4AEA"/>
    <w:rsid w:val="3784561F"/>
    <w:rsid w:val="37B23372"/>
    <w:rsid w:val="37BE2BFB"/>
    <w:rsid w:val="37F244D7"/>
    <w:rsid w:val="37F976E5"/>
    <w:rsid w:val="38055DEC"/>
    <w:rsid w:val="3808667B"/>
    <w:rsid w:val="380C3F32"/>
    <w:rsid w:val="3847277E"/>
    <w:rsid w:val="386B671F"/>
    <w:rsid w:val="38911FC8"/>
    <w:rsid w:val="38945E76"/>
    <w:rsid w:val="389C24EE"/>
    <w:rsid w:val="38B94D66"/>
    <w:rsid w:val="38CE2BA4"/>
    <w:rsid w:val="38EB1B39"/>
    <w:rsid w:val="390B77C5"/>
    <w:rsid w:val="391C1923"/>
    <w:rsid w:val="393D6A78"/>
    <w:rsid w:val="394332EB"/>
    <w:rsid w:val="39562E14"/>
    <w:rsid w:val="39587240"/>
    <w:rsid w:val="395B6028"/>
    <w:rsid w:val="395E11AB"/>
    <w:rsid w:val="396A0841"/>
    <w:rsid w:val="39734575"/>
    <w:rsid w:val="39AF74A3"/>
    <w:rsid w:val="39BD2849"/>
    <w:rsid w:val="39CA62DC"/>
    <w:rsid w:val="39D4246E"/>
    <w:rsid w:val="3A0606BF"/>
    <w:rsid w:val="3A143258"/>
    <w:rsid w:val="3A154E46"/>
    <w:rsid w:val="3A21256E"/>
    <w:rsid w:val="3A346E09"/>
    <w:rsid w:val="3A4D762A"/>
    <w:rsid w:val="3A5926C8"/>
    <w:rsid w:val="3A61385B"/>
    <w:rsid w:val="3A7257F0"/>
    <w:rsid w:val="3A7876F9"/>
    <w:rsid w:val="3A8E5120"/>
    <w:rsid w:val="3A9E724B"/>
    <w:rsid w:val="3AC95225"/>
    <w:rsid w:val="3AD90E6F"/>
    <w:rsid w:val="3AFB07C9"/>
    <w:rsid w:val="3B033B31"/>
    <w:rsid w:val="3B0360AD"/>
    <w:rsid w:val="3B212DD0"/>
    <w:rsid w:val="3B233DE9"/>
    <w:rsid w:val="3B4268C3"/>
    <w:rsid w:val="3B684107"/>
    <w:rsid w:val="3B7C1E1F"/>
    <w:rsid w:val="3B840969"/>
    <w:rsid w:val="3B8443B3"/>
    <w:rsid w:val="3B846932"/>
    <w:rsid w:val="3B930BB1"/>
    <w:rsid w:val="3BDC67D6"/>
    <w:rsid w:val="3BED2ADE"/>
    <w:rsid w:val="3BFB7223"/>
    <w:rsid w:val="3C076F0B"/>
    <w:rsid w:val="3C1E6F83"/>
    <w:rsid w:val="3C3616FD"/>
    <w:rsid w:val="3C5E62C2"/>
    <w:rsid w:val="3C6361C3"/>
    <w:rsid w:val="3C785F45"/>
    <w:rsid w:val="3C7D6782"/>
    <w:rsid w:val="3C842BE5"/>
    <w:rsid w:val="3C877459"/>
    <w:rsid w:val="3C8D63CC"/>
    <w:rsid w:val="3CC549E5"/>
    <w:rsid w:val="3CC86FC9"/>
    <w:rsid w:val="3CF4588F"/>
    <w:rsid w:val="3D0A58B2"/>
    <w:rsid w:val="3D0B54B4"/>
    <w:rsid w:val="3D2B051E"/>
    <w:rsid w:val="3D320ABE"/>
    <w:rsid w:val="3D331747"/>
    <w:rsid w:val="3D3A35D0"/>
    <w:rsid w:val="3D3E4DB3"/>
    <w:rsid w:val="3D405EDC"/>
    <w:rsid w:val="3D4C30A4"/>
    <w:rsid w:val="3D573C25"/>
    <w:rsid w:val="3D6027C7"/>
    <w:rsid w:val="3D7E5EEE"/>
    <w:rsid w:val="3D7E5FA4"/>
    <w:rsid w:val="3D803E7C"/>
    <w:rsid w:val="3D85519B"/>
    <w:rsid w:val="3D8B1285"/>
    <w:rsid w:val="3DA71A05"/>
    <w:rsid w:val="3DAF5796"/>
    <w:rsid w:val="3DC50746"/>
    <w:rsid w:val="3DC64443"/>
    <w:rsid w:val="3E035D25"/>
    <w:rsid w:val="3E4D30A0"/>
    <w:rsid w:val="3E542441"/>
    <w:rsid w:val="3E624C01"/>
    <w:rsid w:val="3E744A86"/>
    <w:rsid w:val="3E7E2FB8"/>
    <w:rsid w:val="3E95000B"/>
    <w:rsid w:val="3EA50143"/>
    <w:rsid w:val="3EA84742"/>
    <w:rsid w:val="3EAD1DF7"/>
    <w:rsid w:val="3EB525B9"/>
    <w:rsid w:val="3EC11302"/>
    <w:rsid w:val="3ECA7A79"/>
    <w:rsid w:val="3ED52A69"/>
    <w:rsid w:val="3ED723E2"/>
    <w:rsid w:val="3EE90276"/>
    <w:rsid w:val="3EE951BA"/>
    <w:rsid w:val="3EF27713"/>
    <w:rsid w:val="3EFF0DE7"/>
    <w:rsid w:val="3F006992"/>
    <w:rsid w:val="3F0312AA"/>
    <w:rsid w:val="3F310206"/>
    <w:rsid w:val="3F321751"/>
    <w:rsid w:val="3F4A3349"/>
    <w:rsid w:val="3F632413"/>
    <w:rsid w:val="3F63690D"/>
    <w:rsid w:val="3F91DCAA"/>
    <w:rsid w:val="3FAA1280"/>
    <w:rsid w:val="3FCB673C"/>
    <w:rsid w:val="3FD249C2"/>
    <w:rsid w:val="3FD6AE1A"/>
    <w:rsid w:val="40227C45"/>
    <w:rsid w:val="402A69E4"/>
    <w:rsid w:val="403646E7"/>
    <w:rsid w:val="4043167A"/>
    <w:rsid w:val="40645F80"/>
    <w:rsid w:val="406F3A68"/>
    <w:rsid w:val="407C3544"/>
    <w:rsid w:val="40964D5A"/>
    <w:rsid w:val="40AA1CDC"/>
    <w:rsid w:val="40BA4EA4"/>
    <w:rsid w:val="40D91D1C"/>
    <w:rsid w:val="40FD267F"/>
    <w:rsid w:val="410A2D28"/>
    <w:rsid w:val="41111ACB"/>
    <w:rsid w:val="411A3FD0"/>
    <w:rsid w:val="41213C07"/>
    <w:rsid w:val="412144BE"/>
    <w:rsid w:val="4123612A"/>
    <w:rsid w:val="412D641A"/>
    <w:rsid w:val="4134460A"/>
    <w:rsid w:val="413B00B2"/>
    <w:rsid w:val="414A2B6C"/>
    <w:rsid w:val="414D6569"/>
    <w:rsid w:val="41831962"/>
    <w:rsid w:val="419B211E"/>
    <w:rsid w:val="419B52B3"/>
    <w:rsid w:val="419C167D"/>
    <w:rsid w:val="41AA1A23"/>
    <w:rsid w:val="41C67CB9"/>
    <w:rsid w:val="41CA6A7C"/>
    <w:rsid w:val="41D42E8E"/>
    <w:rsid w:val="41FD4053"/>
    <w:rsid w:val="42104F95"/>
    <w:rsid w:val="421B286A"/>
    <w:rsid w:val="421D4587"/>
    <w:rsid w:val="42231838"/>
    <w:rsid w:val="424E02A2"/>
    <w:rsid w:val="425A0AB4"/>
    <w:rsid w:val="427626A1"/>
    <w:rsid w:val="427F3498"/>
    <w:rsid w:val="429609E3"/>
    <w:rsid w:val="42A631E7"/>
    <w:rsid w:val="42C017A5"/>
    <w:rsid w:val="42C8119D"/>
    <w:rsid w:val="42CC5625"/>
    <w:rsid w:val="42D32BD6"/>
    <w:rsid w:val="42D61230"/>
    <w:rsid w:val="42D81437"/>
    <w:rsid w:val="42EF6D61"/>
    <w:rsid w:val="42F40D67"/>
    <w:rsid w:val="4302227B"/>
    <w:rsid w:val="43062A32"/>
    <w:rsid w:val="43106BE8"/>
    <w:rsid w:val="432650B1"/>
    <w:rsid w:val="432E05C2"/>
    <w:rsid w:val="435B486D"/>
    <w:rsid w:val="436B004D"/>
    <w:rsid w:val="43766565"/>
    <w:rsid w:val="43866D07"/>
    <w:rsid w:val="439F2F95"/>
    <w:rsid w:val="43A0518C"/>
    <w:rsid w:val="43C5363E"/>
    <w:rsid w:val="43C92044"/>
    <w:rsid w:val="43D05A77"/>
    <w:rsid w:val="43D06BFC"/>
    <w:rsid w:val="43DC40A4"/>
    <w:rsid w:val="43E9037B"/>
    <w:rsid w:val="43F5418D"/>
    <w:rsid w:val="43FB0295"/>
    <w:rsid w:val="4401219E"/>
    <w:rsid w:val="440A58BB"/>
    <w:rsid w:val="44136210"/>
    <w:rsid w:val="44202A53"/>
    <w:rsid w:val="442723DE"/>
    <w:rsid w:val="443F7A85"/>
    <w:rsid w:val="44532979"/>
    <w:rsid w:val="445C469E"/>
    <w:rsid w:val="44803D71"/>
    <w:rsid w:val="44A816B2"/>
    <w:rsid w:val="44A911F2"/>
    <w:rsid w:val="44E27784"/>
    <w:rsid w:val="44E516A5"/>
    <w:rsid w:val="44F92736"/>
    <w:rsid w:val="44FD51B4"/>
    <w:rsid w:val="45187342"/>
    <w:rsid w:val="451E21D2"/>
    <w:rsid w:val="454C07D0"/>
    <w:rsid w:val="454F0D53"/>
    <w:rsid w:val="454F73BF"/>
    <w:rsid w:val="455618CA"/>
    <w:rsid w:val="455A4B10"/>
    <w:rsid w:val="45702CAD"/>
    <w:rsid w:val="457211D0"/>
    <w:rsid w:val="45730A4E"/>
    <w:rsid w:val="45742803"/>
    <w:rsid w:val="457A4AEE"/>
    <w:rsid w:val="457B12C8"/>
    <w:rsid w:val="458542AF"/>
    <w:rsid w:val="458D5581"/>
    <w:rsid w:val="4590612D"/>
    <w:rsid w:val="459731A6"/>
    <w:rsid w:val="45980FBB"/>
    <w:rsid w:val="45B34C2D"/>
    <w:rsid w:val="45B6254D"/>
    <w:rsid w:val="45DB5CE2"/>
    <w:rsid w:val="45ED0521"/>
    <w:rsid w:val="45F6244B"/>
    <w:rsid w:val="46042450"/>
    <w:rsid w:val="460F447D"/>
    <w:rsid w:val="461D67A6"/>
    <w:rsid w:val="461E2453"/>
    <w:rsid w:val="462214FE"/>
    <w:rsid w:val="46230C36"/>
    <w:rsid w:val="46336C3B"/>
    <w:rsid w:val="465A48FC"/>
    <w:rsid w:val="46682D68"/>
    <w:rsid w:val="467A4A0B"/>
    <w:rsid w:val="46867A41"/>
    <w:rsid w:val="469B220B"/>
    <w:rsid w:val="46AF6585"/>
    <w:rsid w:val="46C260F6"/>
    <w:rsid w:val="46DD5DCF"/>
    <w:rsid w:val="46E90A28"/>
    <w:rsid w:val="46F86E5F"/>
    <w:rsid w:val="46F91E7C"/>
    <w:rsid w:val="471D463A"/>
    <w:rsid w:val="47243153"/>
    <w:rsid w:val="473B19EC"/>
    <w:rsid w:val="474779FD"/>
    <w:rsid w:val="474C3957"/>
    <w:rsid w:val="474F288B"/>
    <w:rsid w:val="47585719"/>
    <w:rsid w:val="47591FAB"/>
    <w:rsid w:val="476D6155"/>
    <w:rsid w:val="476E4F16"/>
    <w:rsid w:val="477535AD"/>
    <w:rsid w:val="47A5361A"/>
    <w:rsid w:val="47AA338C"/>
    <w:rsid w:val="47BC543D"/>
    <w:rsid w:val="47C65D4C"/>
    <w:rsid w:val="47D92EA3"/>
    <w:rsid w:val="47DC5FFF"/>
    <w:rsid w:val="47FC4FE6"/>
    <w:rsid w:val="4858004E"/>
    <w:rsid w:val="485F2E42"/>
    <w:rsid w:val="486A37F8"/>
    <w:rsid w:val="487F6514"/>
    <w:rsid w:val="4890451C"/>
    <w:rsid w:val="48A47BF4"/>
    <w:rsid w:val="49084643"/>
    <w:rsid w:val="49120A29"/>
    <w:rsid w:val="493227FF"/>
    <w:rsid w:val="497264F3"/>
    <w:rsid w:val="497A0AAE"/>
    <w:rsid w:val="49A639A8"/>
    <w:rsid w:val="49CB469D"/>
    <w:rsid w:val="49D55B1C"/>
    <w:rsid w:val="49DA0376"/>
    <w:rsid w:val="49E24A71"/>
    <w:rsid w:val="4A133393"/>
    <w:rsid w:val="4A21012A"/>
    <w:rsid w:val="4A2B42BD"/>
    <w:rsid w:val="4A406CCB"/>
    <w:rsid w:val="4A6916D0"/>
    <w:rsid w:val="4A9E67FA"/>
    <w:rsid w:val="4A9F0B16"/>
    <w:rsid w:val="4AE10662"/>
    <w:rsid w:val="4AEA76F0"/>
    <w:rsid w:val="4AF66FE6"/>
    <w:rsid w:val="4B0C3111"/>
    <w:rsid w:val="4B0E594F"/>
    <w:rsid w:val="4B1C0C34"/>
    <w:rsid w:val="4B270CDD"/>
    <w:rsid w:val="4B3440E7"/>
    <w:rsid w:val="4B517894"/>
    <w:rsid w:val="4B8827DF"/>
    <w:rsid w:val="4B974814"/>
    <w:rsid w:val="4BA24DA3"/>
    <w:rsid w:val="4BA87DE7"/>
    <w:rsid w:val="4BB53991"/>
    <w:rsid w:val="4BC04353"/>
    <w:rsid w:val="4BD3592B"/>
    <w:rsid w:val="4BE948C2"/>
    <w:rsid w:val="4BF133BB"/>
    <w:rsid w:val="4C012BBE"/>
    <w:rsid w:val="4C0A2348"/>
    <w:rsid w:val="4C126BF0"/>
    <w:rsid w:val="4C1A3169"/>
    <w:rsid w:val="4C4465DA"/>
    <w:rsid w:val="4C5001FA"/>
    <w:rsid w:val="4C60674B"/>
    <w:rsid w:val="4C725EDA"/>
    <w:rsid w:val="4C7E6406"/>
    <w:rsid w:val="4CAB3057"/>
    <w:rsid w:val="4CCD100D"/>
    <w:rsid w:val="4CDA673E"/>
    <w:rsid w:val="4CDD70A9"/>
    <w:rsid w:val="4CF5694E"/>
    <w:rsid w:val="4CF61EA4"/>
    <w:rsid w:val="4CFB40DB"/>
    <w:rsid w:val="4D153A5C"/>
    <w:rsid w:val="4D255840"/>
    <w:rsid w:val="4D272ED9"/>
    <w:rsid w:val="4D346F7C"/>
    <w:rsid w:val="4D4B515F"/>
    <w:rsid w:val="4D584AED"/>
    <w:rsid w:val="4D773A25"/>
    <w:rsid w:val="4DCF542C"/>
    <w:rsid w:val="4DD6558D"/>
    <w:rsid w:val="4DDF6F80"/>
    <w:rsid w:val="4DED34AC"/>
    <w:rsid w:val="4DED405F"/>
    <w:rsid w:val="4DF22309"/>
    <w:rsid w:val="4DFA4F54"/>
    <w:rsid w:val="4E060F23"/>
    <w:rsid w:val="4E096817"/>
    <w:rsid w:val="4E161436"/>
    <w:rsid w:val="4E1D5B7A"/>
    <w:rsid w:val="4E1E2F39"/>
    <w:rsid w:val="4E307B11"/>
    <w:rsid w:val="4E3F5399"/>
    <w:rsid w:val="4E773428"/>
    <w:rsid w:val="4E781049"/>
    <w:rsid w:val="4E793F0C"/>
    <w:rsid w:val="4E865DE0"/>
    <w:rsid w:val="4E885991"/>
    <w:rsid w:val="4E995CC4"/>
    <w:rsid w:val="4EBD2029"/>
    <w:rsid w:val="4EC30493"/>
    <w:rsid w:val="4EC314C8"/>
    <w:rsid w:val="4EDA7A26"/>
    <w:rsid w:val="4EDE2D7F"/>
    <w:rsid w:val="4EEE7D8E"/>
    <w:rsid w:val="4F012A2E"/>
    <w:rsid w:val="4F076678"/>
    <w:rsid w:val="4F07768F"/>
    <w:rsid w:val="4F100D04"/>
    <w:rsid w:val="4F1A6D9B"/>
    <w:rsid w:val="4F211862"/>
    <w:rsid w:val="4F257797"/>
    <w:rsid w:val="4F2A68EE"/>
    <w:rsid w:val="4F3F5AE8"/>
    <w:rsid w:val="4F446B9D"/>
    <w:rsid w:val="4F5E3989"/>
    <w:rsid w:val="4F686F20"/>
    <w:rsid w:val="4F6C3B6E"/>
    <w:rsid w:val="4F924C35"/>
    <w:rsid w:val="4FD56D87"/>
    <w:rsid w:val="4FF4749C"/>
    <w:rsid w:val="4FFA3743"/>
    <w:rsid w:val="4FFE214A"/>
    <w:rsid w:val="50151DD1"/>
    <w:rsid w:val="502C66EB"/>
    <w:rsid w:val="507E179E"/>
    <w:rsid w:val="508E078E"/>
    <w:rsid w:val="50BB67CE"/>
    <w:rsid w:val="50CD46A3"/>
    <w:rsid w:val="50D41344"/>
    <w:rsid w:val="50DE3511"/>
    <w:rsid w:val="50E75FE9"/>
    <w:rsid w:val="50FA3025"/>
    <w:rsid w:val="511121D4"/>
    <w:rsid w:val="511E3A0D"/>
    <w:rsid w:val="51317043"/>
    <w:rsid w:val="514327E1"/>
    <w:rsid w:val="51465964"/>
    <w:rsid w:val="51591101"/>
    <w:rsid w:val="51656219"/>
    <w:rsid w:val="51AB7BD8"/>
    <w:rsid w:val="52024083"/>
    <w:rsid w:val="520F1B8D"/>
    <w:rsid w:val="522F2F0B"/>
    <w:rsid w:val="522F36E3"/>
    <w:rsid w:val="52324668"/>
    <w:rsid w:val="52335988"/>
    <w:rsid w:val="52514F1D"/>
    <w:rsid w:val="52515263"/>
    <w:rsid w:val="5251711B"/>
    <w:rsid w:val="52521A0E"/>
    <w:rsid w:val="525F5B83"/>
    <w:rsid w:val="5269437E"/>
    <w:rsid w:val="52885807"/>
    <w:rsid w:val="52955F72"/>
    <w:rsid w:val="52B72BAA"/>
    <w:rsid w:val="52BD204D"/>
    <w:rsid w:val="52EB399B"/>
    <w:rsid w:val="52F032E2"/>
    <w:rsid w:val="53010026"/>
    <w:rsid w:val="5328717E"/>
    <w:rsid w:val="533B253C"/>
    <w:rsid w:val="533F4125"/>
    <w:rsid w:val="53785729"/>
    <w:rsid w:val="538B5B9E"/>
    <w:rsid w:val="53917AA7"/>
    <w:rsid w:val="539866AC"/>
    <w:rsid w:val="53996943"/>
    <w:rsid w:val="539D750B"/>
    <w:rsid w:val="53A61FCB"/>
    <w:rsid w:val="53A9514E"/>
    <w:rsid w:val="53BF0572"/>
    <w:rsid w:val="53D423AA"/>
    <w:rsid w:val="53F2444D"/>
    <w:rsid w:val="53FF395E"/>
    <w:rsid w:val="54113878"/>
    <w:rsid w:val="54140080"/>
    <w:rsid w:val="541A4E5C"/>
    <w:rsid w:val="541F2481"/>
    <w:rsid w:val="54553938"/>
    <w:rsid w:val="54C946B2"/>
    <w:rsid w:val="54D44C3B"/>
    <w:rsid w:val="54D910C3"/>
    <w:rsid w:val="54E22EB0"/>
    <w:rsid w:val="54F04E7B"/>
    <w:rsid w:val="54F25D06"/>
    <w:rsid w:val="550074F5"/>
    <w:rsid w:val="55016299"/>
    <w:rsid w:val="55202A36"/>
    <w:rsid w:val="5528048D"/>
    <w:rsid w:val="554E3280"/>
    <w:rsid w:val="557F488E"/>
    <w:rsid w:val="55802B56"/>
    <w:rsid w:val="558F536E"/>
    <w:rsid w:val="559315D9"/>
    <w:rsid w:val="55A9043D"/>
    <w:rsid w:val="55A93047"/>
    <w:rsid w:val="55D040BE"/>
    <w:rsid w:val="55D22B75"/>
    <w:rsid w:val="55E759FD"/>
    <w:rsid w:val="55EC1C63"/>
    <w:rsid w:val="55EF2E09"/>
    <w:rsid w:val="55F86214"/>
    <w:rsid w:val="56205857"/>
    <w:rsid w:val="56315A47"/>
    <w:rsid w:val="56430B61"/>
    <w:rsid w:val="56594A37"/>
    <w:rsid w:val="565D6CC1"/>
    <w:rsid w:val="56716352"/>
    <w:rsid w:val="567C3CF2"/>
    <w:rsid w:val="568C4B20"/>
    <w:rsid w:val="569704C4"/>
    <w:rsid w:val="56B518CE"/>
    <w:rsid w:val="56BB17F3"/>
    <w:rsid w:val="56CC5680"/>
    <w:rsid w:val="56CF5314"/>
    <w:rsid w:val="56EC1A28"/>
    <w:rsid w:val="56F1559F"/>
    <w:rsid w:val="5703744E"/>
    <w:rsid w:val="571C22D8"/>
    <w:rsid w:val="57234F0E"/>
    <w:rsid w:val="57235648"/>
    <w:rsid w:val="57384F5F"/>
    <w:rsid w:val="574276E4"/>
    <w:rsid w:val="574826DD"/>
    <w:rsid w:val="574C1BB4"/>
    <w:rsid w:val="575F165C"/>
    <w:rsid w:val="5764335F"/>
    <w:rsid w:val="579E2A0C"/>
    <w:rsid w:val="57A624D3"/>
    <w:rsid w:val="57A75631"/>
    <w:rsid w:val="57AE5369"/>
    <w:rsid w:val="57B86FD9"/>
    <w:rsid w:val="57E42417"/>
    <w:rsid w:val="57E81DDC"/>
    <w:rsid w:val="57F347D8"/>
    <w:rsid w:val="580E647E"/>
    <w:rsid w:val="58265808"/>
    <w:rsid w:val="58472064"/>
    <w:rsid w:val="584A2FE9"/>
    <w:rsid w:val="585402C3"/>
    <w:rsid w:val="58784A31"/>
    <w:rsid w:val="588F4186"/>
    <w:rsid w:val="58AD6BE8"/>
    <w:rsid w:val="58CD1F3D"/>
    <w:rsid w:val="58E2665F"/>
    <w:rsid w:val="58EB14ED"/>
    <w:rsid w:val="590369E1"/>
    <w:rsid w:val="59270D1C"/>
    <w:rsid w:val="59283F85"/>
    <w:rsid w:val="59350CFC"/>
    <w:rsid w:val="593F3A1A"/>
    <w:rsid w:val="595E20CC"/>
    <w:rsid w:val="595E56E7"/>
    <w:rsid w:val="59643C4E"/>
    <w:rsid w:val="5974356E"/>
    <w:rsid w:val="59874BEF"/>
    <w:rsid w:val="59D606DD"/>
    <w:rsid w:val="59F418A7"/>
    <w:rsid w:val="5A084780"/>
    <w:rsid w:val="5A15432B"/>
    <w:rsid w:val="5A2F7D09"/>
    <w:rsid w:val="5A3333B1"/>
    <w:rsid w:val="5A4D3CBE"/>
    <w:rsid w:val="5A5F6E50"/>
    <w:rsid w:val="5A7B6876"/>
    <w:rsid w:val="5A832356"/>
    <w:rsid w:val="5AAD63AF"/>
    <w:rsid w:val="5AB47BDF"/>
    <w:rsid w:val="5ACF5E44"/>
    <w:rsid w:val="5AD25E06"/>
    <w:rsid w:val="5AD703AB"/>
    <w:rsid w:val="5AE9626A"/>
    <w:rsid w:val="5AF33EFE"/>
    <w:rsid w:val="5B091DAA"/>
    <w:rsid w:val="5B1810E1"/>
    <w:rsid w:val="5B30073B"/>
    <w:rsid w:val="5B522F61"/>
    <w:rsid w:val="5B57799F"/>
    <w:rsid w:val="5B74093B"/>
    <w:rsid w:val="5B7715F2"/>
    <w:rsid w:val="5B7D209E"/>
    <w:rsid w:val="5B7F05AD"/>
    <w:rsid w:val="5B8A6E7A"/>
    <w:rsid w:val="5B8E6577"/>
    <w:rsid w:val="5B955608"/>
    <w:rsid w:val="5BB11833"/>
    <w:rsid w:val="5BD60FBC"/>
    <w:rsid w:val="5BD731BA"/>
    <w:rsid w:val="5BDD1E70"/>
    <w:rsid w:val="5BED4411"/>
    <w:rsid w:val="5C1358DE"/>
    <w:rsid w:val="5C1601D9"/>
    <w:rsid w:val="5C173E39"/>
    <w:rsid w:val="5C184304"/>
    <w:rsid w:val="5C366A56"/>
    <w:rsid w:val="5C384E7B"/>
    <w:rsid w:val="5C4E7981"/>
    <w:rsid w:val="5C9D7700"/>
    <w:rsid w:val="5CA23B87"/>
    <w:rsid w:val="5CB73B2D"/>
    <w:rsid w:val="5CBA75D9"/>
    <w:rsid w:val="5CD652DB"/>
    <w:rsid w:val="5CD93275"/>
    <w:rsid w:val="5CE15B6B"/>
    <w:rsid w:val="5D195317"/>
    <w:rsid w:val="5D2A5A93"/>
    <w:rsid w:val="5D4A5173"/>
    <w:rsid w:val="5D534B16"/>
    <w:rsid w:val="5D72400F"/>
    <w:rsid w:val="5D833FD4"/>
    <w:rsid w:val="5D8674BA"/>
    <w:rsid w:val="5D9807D9"/>
    <w:rsid w:val="5DA15CA9"/>
    <w:rsid w:val="5DA17794"/>
    <w:rsid w:val="5DB569C6"/>
    <w:rsid w:val="5DD23A63"/>
    <w:rsid w:val="5DEC18DA"/>
    <w:rsid w:val="5E0E398C"/>
    <w:rsid w:val="5E237C93"/>
    <w:rsid w:val="5E297441"/>
    <w:rsid w:val="5E3F59A2"/>
    <w:rsid w:val="5E5F662B"/>
    <w:rsid w:val="5E6D53AA"/>
    <w:rsid w:val="5EA870C8"/>
    <w:rsid w:val="5EBF5B60"/>
    <w:rsid w:val="5EC01983"/>
    <w:rsid w:val="5ED35121"/>
    <w:rsid w:val="5ED541CB"/>
    <w:rsid w:val="5EE73630"/>
    <w:rsid w:val="5F0848D3"/>
    <w:rsid w:val="5F3D0D11"/>
    <w:rsid w:val="5F565210"/>
    <w:rsid w:val="5F6C5112"/>
    <w:rsid w:val="5F7D3A04"/>
    <w:rsid w:val="5F8A33C2"/>
    <w:rsid w:val="5F93775D"/>
    <w:rsid w:val="5F98624B"/>
    <w:rsid w:val="5F991CCD"/>
    <w:rsid w:val="5FBA4F04"/>
    <w:rsid w:val="5FD15044"/>
    <w:rsid w:val="5FD41436"/>
    <w:rsid w:val="5FD65C48"/>
    <w:rsid w:val="60063A44"/>
    <w:rsid w:val="600B2011"/>
    <w:rsid w:val="600D5012"/>
    <w:rsid w:val="605868EC"/>
    <w:rsid w:val="606407EB"/>
    <w:rsid w:val="60763CAF"/>
    <w:rsid w:val="609E2A25"/>
    <w:rsid w:val="60A029B9"/>
    <w:rsid w:val="60A9197C"/>
    <w:rsid w:val="60BF5BC6"/>
    <w:rsid w:val="60C77A44"/>
    <w:rsid w:val="60D92B8A"/>
    <w:rsid w:val="61366589"/>
    <w:rsid w:val="614B49D4"/>
    <w:rsid w:val="61566656"/>
    <w:rsid w:val="619475AE"/>
    <w:rsid w:val="61985745"/>
    <w:rsid w:val="61A72552"/>
    <w:rsid w:val="61C0205A"/>
    <w:rsid w:val="61C6117D"/>
    <w:rsid w:val="61E64571"/>
    <w:rsid w:val="61ED3D96"/>
    <w:rsid w:val="62131846"/>
    <w:rsid w:val="622720EB"/>
    <w:rsid w:val="622D3270"/>
    <w:rsid w:val="625B06FD"/>
    <w:rsid w:val="6263649F"/>
    <w:rsid w:val="626E5D0D"/>
    <w:rsid w:val="627B49D4"/>
    <w:rsid w:val="628E20B5"/>
    <w:rsid w:val="62926EAA"/>
    <w:rsid w:val="629F3EDD"/>
    <w:rsid w:val="62C26440"/>
    <w:rsid w:val="62E864D0"/>
    <w:rsid w:val="62EA757D"/>
    <w:rsid w:val="62EE3CCA"/>
    <w:rsid w:val="63852ED6"/>
    <w:rsid w:val="638D71FA"/>
    <w:rsid w:val="63961701"/>
    <w:rsid w:val="639E4BF0"/>
    <w:rsid w:val="63A8390F"/>
    <w:rsid w:val="63A91EDF"/>
    <w:rsid w:val="63BB2531"/>
    <w:rsid w:val="63BE3467"/>
    <w:rsid w:val="63EC65B7"/>
    <w:rsid w:val="63FA61A4"/>
    <w:rsid w:val="6405362E"/>
    <w:rsid w:val="642A4E14"/>
    <w:rsid w:val="642B65E1"/>
    <w:rsid w:val="64422ACB"/>
    <w:rsid w:val="64471326"/>
    <w:rsid w:val="64483B2E"/>
    <w:rsid w:val="644A0EF3"/>
    <w:rsid w:val="646D70FF"/>
    <w:rsid w:val="647207E0"/>
    <w:rsid w:val="647B12BF"/>
    <w:rsid w:val="64850FB9"/>
    <w:rsid w:val="6492254D"/>
    <w:rsid w:val="64A07B0C"/>
    <w:rsid w:val="64A818AD"/>
    <w:rsid w:val="64C82A3E"/>
    <w:rsid w:val="64D46C41"/>
    <w:rsid w:val="64DF78DC"/>
    <w:rsid w:val="64E9279D"/>
    <w:rsid w:val="650520CD"/>
    <w:rsid w:val="65147A8A"/>
    <w:rsid w:val="651C62B8"/>
    <w:rsid w:val="653D46BA"/>
    <w:rsid w:val="655B69AA"/>
    <w:rsid w:val="65765C68"/>
    <w:rsid w:val="657B7B0E"/>
    <w:rsid w:val="658E0856"/>
    <w:rsid w:val="659F6A49"/>
    <w:rsid w:val="659F7BB4"/>
    <w:rsid w:val="65B00EE1"/>
    <w:rsid w:val="65B740EF"/>
    <w:rsid w:val="65E415A7"/>
    <w:rsid w:val="65EC599E"/>
    <w:rsid w:val="65F154DA"/>
    <w:rsid w:val="6602326A"/>
    <w:rsid w:val="660C5D78"/>
    <w:rsid w:val="661714AB"/>
    <w:rsid w:val="661D1895"/>
    <w:rsid w:val="663810C9"/>
    <w:rsid w:val="66437557"/>
    <w:rsid w:val="66475F5D"/>
    <w:rsid w:val="66536B24"/>
    <w:rsid w:val="665419EF"/>
    <w:rsid w:val="66671A3E"/>
    <w:rsid w:val="669055AC"/>
    <w:rsid w:val="66992353"/>
    <w:rsid w:val="66A1417D"/>
    <w:rsid w:val="66C35FDC"/>
    <w:rsid w:val="66C933B8"/>
    <w:rsid w:val="66D63388"/>
    <w:rsid w:val="66E907E3"/>
    <w:rsid w:val="67240F48"/>
    <w:rsid w:val="67265571"/>
    <w:rsid w:val="672B1A53"/>
    <w:rsid w:val="672B1AA3"/>
    <w:rsid w:val="672E7154"/>
    <w:rsid w:val="674018F1"/>
    <w:rsid w:val="674D7A42"/>
    <w:rsid w:val="67746F85"/>
    <w:rsid w:val="67835A73"/>
    <w:rsid w:val="678817CA"/>
    <w:rsid w:val="678B71FF"/>
    <w:rsid w:val="678D45EB"/>
    <w:rsid w:val="67A87666"/>
    <w:rsid w:val="67B111D0"/>
    <w:rsid w:val="67B67CB7"/>
    <w:rsid w:val="67BC03F8"/>
    <w:rsid w:val="67CF6CDD"/>
    <w:rsid w:val="67D469E8"/>
    <w:rsid w:val="67E54704"/>
    <w:rsid w:val="67E81E06"/>
    <w:rsid w:val="67FE782C"/>
    <w:rsid w:val="684734A4"/>
    <w:rsid w:val="684C2F14"/>
    <w:rsid w:val="685272B7"/>
    <w:rsid w:val="6874526D"/>
    <w:rsid w:val="68C06A6B"/>
    <w:rsid w:val="68C26FC0"/>
    <w:rsid w:val="68D94CAC"/>
    <w:rsid w:val="68E2233A"/>
    <w:rsid w:val="69087C65"/>
    <w:rsid w:val="690C66E5"/>
    <w:rsid w:val="691B3941"/>
    <w:rsid w:val="691C6C1A"/>
    <w:rsid w:val="69380C32"/>
    <w:rsid w:val="69452CBA"/>
    <w:rsid w:val="69556A86"/>
    <w:rsid w:val="696F450C"/>
    <w:rsid w:val="69863E30"/>
    <w:rsid w:val="69AA1A66"/>
    <w:rsid w:val="69AA52EA"/>
    <w:rsid w:val="69CF14BE"/>
    <w:rsid w:val="69D72936"/>
    <w:rsid w:val="69F64F65"/>
    <w:rsid w:val="69F86638"/>
    <w:rsid w:val="6A0F720C"/>
    <w:rsid w:val="6A851EE7"/>
    <w:rsid w:val="6A963D59"/>
    <w:rsid w:val="6AAA0710"/>
    <w:rsid w:val="6AB91C24"/>
    <w:rsid w:val="6AF8279D"/>
    <w:rsid w:val="6B025CF8"/>
    <w:rsid w:val="6B075269"/>
    <w:rsid w:val="6B23358D"/>
    <w:rsid w:val="6B3C7DA4"/>
    <w:rsid w:val="6B7E392D"/>
    <w:rsid w:val="6B8237AE"/>
    <w:rsid w:val="6B84501C"/>
    <w:rsid w:val="6B9F2A0E"/>
    <w:rsid w:val="6BB226A3"/>
    <w:rsid w:val="6BD004F2"/>
    <w:rsid w:val="6BD13DF8"/>
    <w:rsid w:val="6BD209A5"/>
    <w:rsid w:val="6BDF5289"/>
    <w:rsid w:val="6BED7214"/>
    <w:rsid w:val="6C0220D6"/>
    <w:rsid w:val="6C1134DA"/>
    <w:rsid w:val="6C172958"/>
    <w:rsid w:val="6C4A40E6"/>
    <w:rsid w:val="6C606F88"/>
    <w:rsid w:val="6C637A61"/>
    <w:rsid w:val="6C6C1232"/>
    <w:rsid w:val="6C8B0296"/>
    <w:rsid w:val="6C9A59BC"/>
    <w:rsid w:val="6C9E2049"/>
    <w:rsid w:val="6CAB2AD9"/>
    <w:rsid w:val="6CAF0FBB"/>
    <w:rsid w:val="6CC07DFA"/>
    <w:rsid w:val="6CD12FAC"/>
    <w:rsid w:val="6CD93FE1"/>
    <w:rsid w:val="6D081BA6"/>
    <w:rsid w:val="6D0B22AE"/>
    <w:rsid w:val="6D12258A"/>
    <w:rsid w:val="6D1D68B1"/>
    <w:rsid w:val="6D42053E"/>
    <w:rsid w:val="6D4B2465"/>
    <w:rsid w:val="6D561DF7"/>
    <w:rsid w:val="6D836F65"/>
    <w:rsid w:val="6D93005D"/>
    <w:rsid w:val="6DBC4C82"/>
    <w:rsid w:val="6DBE0C64"/>
    <w:rsid w:val="6DC273FD"/>
    <w:rsid w:val="6DCF21B6"/>
    <w:rsid w:val="6DD775C2"/>
    <w:rsid w:val="6DF212A3"/>
    <w:rsid w:val="6DFD3153"/>
    <w:rsid w:val="6DFD6088"/>
    <w:rsid w:val="6DFE0E9A"/>
    <w:rsid w:val="6E063C22"/>
    <w:rsid w:val="6E1A0C99"/>
    <w:rsid w:val="6E2501DC"/>
    <w:rsid w:val="6E2D74A0"/>
    <w:rsid w:val="6E4F7D71"/>
    <w:rsid w:val="6E675BAD"/>
    <w:rsid w:val="6E794BCD"/>
    <w:rsid w:val="6E84172A"/>
    <w:rsid w:val="6E8E2E7F"/>
    <w:rsid w:val="6EA25259"/>
    <w:rsid w:val="6EA9513A"/>
    <w:rsid w:val="6EAE690A"/>
    <w:rsid w:val="6EE705F1"/>
    <w:rsid w:val="6EEE4B8C"/>
    <w:rsid w:val="6F0931B7"/>
    <w:rsid w:val="6F107084"/>
    <w:rsid w:val="6F1C399F"/>
    <w:rsid w:val="6F1F2811"/>
    <w:rsid w:val="6F3C6EA4"/>
    <w:rsid w:val="6F453351"/>
    <w:rsid w:val="6F5A6C51"/>
    <w:rsid w:val="6F646972"/>
    <w:rsid w:val="6F66430A"/>
    <w:rsid w:val="6F6A5183"/>
    <w:rsid w:val="6F6C5596"/>
    <w:rsid w:val="6F7873BC"/>
    <w:rsid w:val="6F9E36AB"/>
    <w:rsid w:val="6FA974BD"/>
    <w:rsid w:val="6FAD525F"/>
    <w:rsid w:val="6FD977F1"/>
    <w:rsid w:val="6FE159D2"/>
    <w:rsid w:val="6FFD6E97"/>
    <w:rsid w:val="701A5EC1"/>
    <w:rsid w:val="701E2CFF"/>
    <w:rsid w:val="707B55A8"/>
    <w:rsid w:val="707F1A9F"/>
    <w:rsid w:val="70822A24"/>
    <w:rsid w:val="708261D7"/>
    <w:rsid w:val="70A32F59"/>
    <w:rsid w:val="70AD2D65"/>
    <w:rsid w:val="70BB6644"/>
    <w:rsid w:val="70BF0336"/>
    <w:rsid w:val="70D8212E"/>
    <w:rsid w:val="70D9569F"/>
    <w:rsid w:val="70DA629C"/>
    <w:rsid w:val="70F64F61"/>
    <w:rsid w:val="70FA6807"/>
    <w:rsid w:val="70FF6690"/>
    <w:rsid w:val="710806FF"/>
    <w:rsid w:val="714F18D9"/>
    <w:rsid w:val="715352FB"/>
    <w:rsid w:val="71842883"/>
    <w:rsid w:val="718F76CC"/>
    <w:rsid w:val="71A053FA"/>
    <w:rsid w:val="71AE1646"/>
    <w:rsid w:val="71E35599"/>
    <w:rsid w:val="71E600ED"/>
    <w:rsid w:val="71E91A3A"/>
    <w:rsid w:val="71EF24DE"/>
    <w:rsid w:val="71EF4B93"/>
    <w:rsid w:val="71F538C4"/>
    <w:rsid w:val="72001A91"/>
    <w:rsid w:val="72041FAD"/>
    <w:rsid w:val="72073B4C"/>
    <w:rsid w:val="720F34AF"/>
    <w:rsid w:val="72254D5D"/>
    <w:rsid w:val="722630D5"/>
    <w:rsid w:val="72291B9C"/>
    <w:rsid w:val="72307267"/>
    <w:rsid w:val="72D71923"/>
    <w:rsid w:val="72EC10CC"/>
    <w:rsid w:val="72FB7C35"/>
    <w:rsid w:val="7301030F"/>
    <w:rsid w:val="730C7ECF"/>
    <w:rsid w:val="73114357"/>
    <w:rsid w:val="73275AFA"/>
    <w:rsid w:val="73283F7C"/>
    <w:rsid w:val="732C3846"/>
    <w:rsid w:val="73302622"/>
    <w:rsid w:val="73402F1A"/>
    <w:rsid w:val="734C1617"/>
    <w:rsid w:val="734D7D2D"/>
    <w:rsid w:val="735402C3"/>
    <w:rsid w:val="736C1F15"/>
    <w:rsid w:val="73956682"/>
    <w:rsid w:val="73975E0F"/>
    <w:rsid w:val="739A51B5"/>
    <w:rsid w:val="739B2C36"/>
    <w:rsid w:val="73AD5888"/>
    <w:rsid w:val="73D4105A"/>
    <w:rsid w:val="73D55907"/>
    <w:rsid w:val="73E111AC"/>
    <w:rsid w:val="73E865B9"/>
    <w:rsid w:val="73F7218D"/>
    <w:rsid w:val="74091EDE"/>
    <w:rsid w:val="74237697"/>
    <w:rsid w:val="743C13C8"/>
    <w:rsid w:val="744B0E1A"/>
    <w:rsid w:val="74566BED"/>
    <w:rsid w:val="746C0B18"/>
    <w:rsid w:val="74737F91"/>
    <w:rsid w:val="74AA6677"/>
    <w:rsid w:val="74BD7896"/>
    <w:rsid w:val="74BE0E2A"/>
    <w:rsid w:val="74DA489A"/>
    <w:rsid w:val="74E80502"/>
    <w:rsid w:val="74EC0A3D"/>
    <w:rsid w:val="75117320"/>
    <w:rsid w:val="751402A4"/>
    <w:rsid w:val="75335C42"/>
    <w:rsid w:val="75481D1E"/>
    <w:rsid w:val="754A14B6"/>
    <w:rsid w:val="754F0EE0"/>
    <w:rsid w:val="754F35DC"/>
    <w:rsid w:val="7556268A"/>
    <w:rsid w:val="755C64D4"/>
    <w:rsid w:val="75715F18"/>
    <w:rsid w:val="759035E8"/>
    <w:rsid w:val="75974B86"/>
    <w:rsid w:val="759E387D"/>
    <w:rsid w:val="75A05C71"/>
    <w:rsid w:val="75A67813"/>
    <w:rsid w:val="75B12143"/>
    <w:rsid w:val="75BB573A"/>
    <w:rsid w:val="75DD751C"/>
    <w:rsid w:val="75F13473"/>
    <w:rsid w:val="75F21E91"/>
    <w:rsid w:val="75F95F98"/>
    <w:rsid w:val="75FBF359"/>
    <w:rsid w:val="75FD139D"/>
    <w:rsid w:val="764A5925"/>
    <w:rsid w:val="76593DBD"/>
    <w:rsid w:val="76772DD3"/>
    <w:rsid w:val="767F302C"/>
    <w:rsid w:val="76B23B0B"/>
    <w:rsid w:val="76C543E8"/>
    <w:rsid w:val="76CA086F"/>
    <w:rsid w:val="76D73FE8"/>
    <w:rsid w:val="771222E8"/>
    <w:rsid w:val="771D417E"/>
    <w:rsid w:val="77375926"/>
    <w:rsid w:val="773D22CA"/>
    <w:rsid w:val="774C33C7"/>
    <w:rsid w:val="77613FFC"/>
    <w:rsid w:val="77A230C3"/>
    <w:rsid w:val="77A9207C"/>
    <w:rsid w:val="77C40E33"/>
    <w:rsid w:val="77C6528F"/>
    <w:rsid w:val="77E34BBF"/>
    <w:rsid w:val="77E55A36"/>
    <w:rsid w:val="77EA6748"/>
    <w:rsid w:val="77FF822A"/>
    <w:rsid w:val="77FFA084"/>
    <w:rsid w:val="7801636E"/>
    <w:rsid w:val="780A11FC"/>
    <w:rsid w:val="783720CB"/>
    <w:rsid w:val="78507928"/>
    <w:rsid w:val="78761EBA"/>
    <w:rsid w:val="78955EE0"/>
    <w:rsid w:val="78A938B3"/>
    <w:rsid w:val="78D1780E"/>
    <w:rsid w:val="78D53AA3"/>
    <w:rsid w:val="78DA278C"/>
    <w:rsid w:val="78DC5F00"/>
    <w:rsid w:val="79245FA5"/>
    <w:rsid w:val="79287455"/>
    <w:rsid w:val="794443D0"/>
    <w:rsid w:val="795E38AD"/>
    <w:rsid w:val="7965244C"/>
    <w:rsid w:val="79884EF0"/>
    <w:rsid w:val="798E267C"/>
    <w:rsid w:val="79A1389B"/>
    <w:rsid w:val="79B27E42"/>
    <w:rsid w:val="79C17DDA"/>
    <w:rsid w:val="79C9375B"/>
    <w:rsid w:val="79D53764"/>
    <w:rsid w:val="79E10E02"/>
    <w:rsid w:val="79F60DA7"/>
    <w:rsid w:val="7A271F88"/>
    <w:rsid w:val="7A2D60C6"/>
    <w:rsid w:val="7A3D151B"/>
    <w:rsid w:val="7A4B7886"/>
    <w:rsid w:val="7A4C1570"/>
    <w:rsid w:val="7A5336BF"/>
    <w:rsid w:val="7A5601DF"/>
    <w:rsid w:val="7A677D25"/>
    <w:rsid w:val="7A707A80"/>
    <w:rsid w:val="7A7206F1"/>
    <w:rsid w:val="7A867391"/>
    <w:rsid w:val="7A921E54"/>
    <w:rsid w:val="7A9F5D3D"/>
    <w:rsid w:val="7AA26489"/>
    <w:rsid w:val="7AB14E2E"/>
    <w:rsid w:val="7AB64EDB"/>
    <w:rsid w:val="7ABB1DEA"/>
    <w:rsid w:val="7ABC1A6A"/>
    <w:rsid w:val="7ACF5207"/>
    <w:rsid w:val="7B0579F4"/>
    <w:rsid w:val="7B39623B"/>
    <w:rsid w:val="7B3C6EFC"/>
    <w:rsid w:val="7B4C3778"/>
    <w:rsid w:val="7B5356CB"/>
    <w:rsid w:val="7B767D33"/>
    <w:rsid w:val="7B780352"/>
    <w:rsid w:val="7B95174D"/>
    <w:rsid w:val="7B9D4258"/>
    <w:rsid w:val="7BA47EF1"/>
    <w:rsid w:val="7BB65505"/>
    <w:rsid w:val="7BB72F86"/>
    <w:rsid w:val="7BB81EFF"/>
    <w:rsid w:val="7BE54DAC"/>
    <w:rsid w:val="7BED527E"/>
    <w:rsid w:val="7C205775"/>
    <w:rsid w:val="7C224D74"/>
    <w:rsid w:val="7C631CBF"/>
    <w:rsid w:val="7C8A628A"/>
    <w:rsid w:val="7C9B487E"/>
    <w:rsid w:val="7CB016DA"/>
    <w:rsid w:val="7CBE24B4"/>
    <w:rsid w:val="7CCF29C8"/>
    <w:rsid w:val="7CD47BE5"/>
    <w:rsid w:val="7CE55312"/>
    <w:rsid w:val="7CEB63AA"/>
    <w:rsid w:val="7CED3003"/>
    <w:rsid w:val="7CFA7E57"/>
    <w:rsid w:val="7D1870F0"/>
    <w:rsid w:val="7D1876CA"/>
    <w:rsid w:val="7D2C0C1F"/>
    <w:rsid w:val="7D2C5C40"/>
    <w:rsid w:val="7D4C0FB5"/>
    <w:rsid w:val="7D664DD3"/>
    <w:rsid w:val="7D6E2658"/>
    <w:rsid w:val="7D78417E"/>
    <w:rsid w:val="7D987C19"/>
    <w:rsid w:val="7DCE2AD8"/>
    <w:rsid w:val="7DFE3E1D"/>
    <w:rsid w:val="7E051D9D"/>
    <w:rsid w:val="7E144E8F"/>
    <w:rsid w:val="7E1A28F2"/>
    <w:rsid w:val="7E1B605F"/>
    <w:rsid w:val="7E477DBC"/>
    <w:rsid w:val="7E595FB6"/>
    <w:rsid w:val="7E5E3626"/>
    <w:rsid w:val="7E7D0264"/>
    <w:rsid w:val="7EA84284"/>
    <w:rsid w:val="7EB54D17"/>
    <w:rsid w:val="7EC07188"/>
    <w:rsid w:val="7EE06CB6"/>
    <w:rsid w:val="7EF43758"/>
    <w:rsid w:val="7EF51FBC"/>
    <w:rsid w:val="7EF84531"/>
    <w:rsid w:val="7F0439F3"/>
    <w:rsid w:val="7F1C3A1B"/>
    <w:rsid w:val="7F226E5C"/>
    <w:rsid w:val="7F376649"/>
    <w:rsid w:val="7F513E2E"/>
    <w:rsid w:val="7F7F2F2D"/>
    <w:rsid w:val="7F95225E"/>
    <w:rsid w:val="7FA27A10"/>
    <w:rsid w:val="7FA91E3C"/>
    <w:rsid w:val="7FC756CE"/>
    <w:rsid w:val="7FCF205D"/>
    <w:rsid w:val="7FD015F1"/>
    <w:rsid w:val="7FD2589D"/>
    <w:rsid w:val="7FF39710"/>
    <w:rsid w:val="7FFFC6ED"/>
    <w:rsid w:val="B5D5A341"/>
    <w:rsid w:val="B5FFE8F9"/>
    <w:rsid w:val="B6BFC42E"/>
    <w:rsid w:val="DFFFD3B8"/>
    <w:rsid w:val="EFFAEF57"/>
    <w:rsid w:val="F277050E"/>
    <w:rsid w:val="F3DBDFA5"/>
    <w:rsid w:val="F55CA55E"/>
    <w:rsid w:val="F957886F"/>
    <w:rsid w:val="FDFC0BEB"/>
    <w:rsid w:val="FFE7C777"/>
    <w:rsid w:val="FFEF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autoSpaceDE w:val="0"/>
      <w:autoSpaceDN w:val="0"/>
      <w:spacing w:before="240" w:after="120" w:line="300" w:lineRule="auto"/>
      <w:outlineLvl w:val="2"/>
    </w:pPr>
    <w:rPr>
      <w:b/>
      <w:sz w:val="21"/>
    </w:rPr>
  </w:style>
  <w:style w:type="paragraph" w:styleId="4">
    <w:name w:val="heading 4"/>
    <w:basedOn w:val="5"/>
    <w:next w:val="1"/>
    <w:qFormat/>
    <w:uiPriority w:val="9"/>
    <w:pPr>
      <w:keepNext/>
      <w:keepLines/>
      <w:numPr>
        <w:ilvl w:val="0"/>
        <w:numId w:val="1"/>
      </w:numPr>
      <w:spacing w:line="276" w:lineRule="auto"/>
      <w:ind w:left="0" w:firstLine="0"/>
      <w:outlineLvl w:val="3"/>
    </w:pPr>
    <w:rPr>
      <w:rFonts w:ascii="黑体" w:hAnsi="黑体" w:eastAsia="仿宋"/>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widowControl/>
      <w:adjustRightInd w:val="0"/>
      <w:snapToGrid w:val="0"/>
      <w:spacing w:before="240" w:line="360" w:lineRule="atLeast"/>
      <w:ind w:firstLine="420"/>
      <w:jc w:val="left"/>
    </w:pPr>
    <w:rPr>
      <w:rFonts w:ascii="宋体" w:hAnsi="Times New Roman" w:eastAsia="宋体" w:cs="Times New Roman"/>
      <w:szCs w:val="24"/>
    </w:rPr>
  </w:style>
  <w:style w:type="paragraph" w:styleId="6">
    <w:name w:val="annotation text"/>
    <w:basedOn w:val="1"/>
    <w:qFormat/>
    <w:uiPriority w:val="0"/>
    <w:pPr>
      <w:jc w:val="left"/>
    </w:pPr>
  </w:style>
  <w:style w:type="paragraph" w:styleId="7">
    <w:name w:val="Body Text Indent"/>
    <w:basedOn w:val="1"/>
    <w:next w:val="1"/>
    <w:qFormat/>
    <w:uiPriority w:val="0"/>
    <w:pPr>
      <w:ind w:left="720" w:hanging="720"/>
    </w:pPr>
  </w:style>
  <w:style w:type="paragraph" w:styleId="8">
    <w:name w:val="footer"/>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9">
    <w:name w:val="footnote text"/>
    <w:basedOn w:val="1"/>
    <w:qFormat/>
    <w:uiPriority w:val="0"/>
    <w:pPr>
      <w:snapToGrid w:val="0"/>
      <w:jc w:val="left"/>
    </w:pPr>
    <w:rPr>
      <w:sz w:val="18"/>
    </w:rPr>
  </w:style>
  <w:style w:type="paragraph" w:styleId="10">
    <w:name w:val="Body Text 2"/>
    <w:basedOn w:val="1"/>
    <w:next w:val="1"/>
    <w:qFormat/>
    <w:uiPriority w:val="0"/>
    <w:rPr>
      <w:rFonts w:ascii="宋体"/>
      <w:color w:val="000080"/>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Cambria" w:hAnsi="Cambria"/>
      <w:b/>
      <w:bCs/>
      <w:sz w:val="32"/>
      <w:szCs w:val="32"/>
      <w:lang w:val="zh-CN"/>
    </w:rPr>
  </w:style>
  <w:style w:type="paragraph" w:styleId="13">
    <w:name w:val="Body Text First Indent 2"/>
    <w:basedOn w:val="7"/>
    <w:qFormat/>
    <w:uiPriority w:val="0"/>
    <w:pPr>
      <w:ind w:firstLine="420" w:firstLineChars="200"/>
    </w:pPr>
  </w:style>
  <w:style w:type="table" w:styleId="1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otnote reference"/>
    <w:basedOn w:val="16"/>
    <w:qFormat/>
    <w:uiPriority w:val="0"/>
    <w:rPr>
      <w:vertAlign w:val="superscript"/>
    </w:rPr>
  </w:style>
  <w:style w:type="character" w:customStyle="1" w:styleId="18">
    <w:name w:val="font61"/>
    <w:basedOn w:val="16"/>
    <w:qFormat/>
    <w:uiPriority w:val="0"/>
    <w:rPr>
      <w:rFonts w:hint="eastAsia" w:ascii="黑体" w:hAnsi="宋体" w:eastAsia="黑体" w:cs="黑体"/>
      <w:color w:val="000000"/>
      <w:sz w:val="8"/>
      <w:szCs w:val="8"/>
      <w:u w:val="none"/>
    </w:rPr>
  </w:style>
  <w:style w:type="character" w:customStyle="1" w:styleId="19">
    <w:name w:val="font01"/>
    <w:basedOn w:val="16"/>
    <w:qFormat/>
    <w:uiPriority w:val="0"/>
    <w:rPr>
      <w:rFonts w:hint="eastAsia" w:ascii="黑体" w:hAnsi="宋体" w:eastAsia="黑体" w:cs="黑体"/>
      <w:color w:val="FF0000"/>
      <w:sz w:val="18"/>
      <w:szCs w:val="18"/>
      <w:u w:val="none"/>
    </w:rPr>
  </w:style>
  <w:style w:type="character" w:customStyle="1" w:styleId="20">
    <w:name w:val="font11"/>
    <w:basedOn w:val="16"/>
    <w:qFormat/>
    <w:uiPriority w:val="0"/>
    <w:rPr>
      <w:rFonts w:hint="eastAsia" w:ascii="黑体" w:hAnsi="宋体" w:eastAsia="黑体" w:cs="黑体"/>
      <w:color w:val="000000"/>
      <w:sz w:val="18"/>
      <w:szCs w:val="18"/>
      <w:u w:val="none"/>
    </w:rPr>
  </w:style>
  <w:style w:type="character" w:customStyle="1" w:styleId="21">
    <w:name w:val="font41"/>
    <w:basedOn w:val="16"/>
    <w:qFormat/>
    <w:uiPriority w:val="0"/>
    <w:rPr>
      <w:rFonts w:hint="eastAsia" w:ascii="黑体" w:hAnsi="宋体" w:eastAsia="黑体" w:cs="黑体"/>
      <w:color w:val="000000"/>
      <w:sz w:val="8"/>
      <w:szCs w:val="8"/>
      <w:u w:val="none"/>
    </w:rPr>
  </w:style>
  <w:style w:type="character" w:customStyle="1" w:styleId="22">
    <w:name w:val="font51"/>
    <w:basedOn w:val="16"/>
    <w:qFormat/>
    <w:uiPriority w:val="0"/>
    <w:rPr>
      <w:rFonts w:hint="eastAsia" w:ascii="黑体" w:hAnsi="宋体" w:eastAsia="黑体" w:cs="黑体"/>
      <w:b/>
      <w:bCs/>
      <w:color w:val="FF0000"/>
      <w:sz w:val="18"/>
      <w:szCs w:val="18"/>
      <w:u w:val="none"/>
    </w:rPr>
  </w:style>
  <w:style w:type="character" w:customStyle="1" w:styleId="23">
    <w:name w:val="font21"/>
    <w:basedOn w:val="16"/>
    <w:qFormat/>
    <w:uiPriority w:val="0"/>
    <w:rPr>
      <w:rFonts w:hint="eastAsia" w:ascii="黑体" w:hAnsi="宋体" w:eastAsia="黑体" w:cs="黑体"/>
      <w:color w:val="FF0000"/>
      <w:sz w:val="18"/>
      <w:szCs w:val="18"/>
      <w:u w:val="none"/>
    </w:rPr>
  </w:style>
  <w:style w:type="character" w:customStyle="1" w:styleId="24">
    <w:name w:val="font31"/>
    <w:basedOn w:val="16"/>
    <w:qFormat/>
    <w:uiPriority w:val="0"/>
    <w:rPr>
      <w:rFonts w:hint="eastAsia" w:ascii="黑体" w:hAnsi="宋体" w:eastAsia="黑体" w:cs="黑体"/>
      <w:color w:val="000000"/>
      <w:sz w:val="18"/>
      <w:szCs w:val="18"/>
      <w:u w:val="none"/>
    </w:rPr>
  </w:style>
  <w:style w:type="paragraph" w:customStyle="1" w:styleId="25">
    <w:name w:val="Table Paragraph"/>
    <w:basedOn w:val="1"/>
    <w:qFormat/>
    <w:uiPriority w:val="1"/>
    <w:rPr>
      <w:rFonts w:ascii="宋体" w:hAnsi="宋体" w:eastAsia="宋体" w:cs="宋体"/>
    </w:rPr>
  </w:style>
  <w:style w:type="paragraph" w:styleId="26">
    <w:name w:val="List Paragraph"/>
    <w:basedOn w:val="1"/>
    <w:qFormat/>
    <w:uiPriority w:val="1"/>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25558</Words>
  <Characters>29588</Characters>
  <Lines>257</Lines>
  <Paragraphs>247</Paragraphs>
  <TotalTime>3</TotalTime>
  <ScaleCrop>false</ScaleCrop>
  <LinksUpToDate>false</LinksUpToDate>
  <CharactersWithSpaces>29950</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2024-06-30T07:15:00Z</dcterms:created>
  <dc:creator>suxiaolan</dc:creator>
  <cp:lastModifiedBy>_VDI_majing</cp:lastModifiedBy>
  <cp:lastPrinted>2025-07-13T09:25:00Z</cp:lastPrinted>
  <dcterms:modified xsi:type="dcterms:W3CDTF">2026-06-26T08:34:48Z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2FF311A5931440FFA74739575A11DC51</vt:lpwstr>
  </property>
</Properties>
</file>