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3D5D6A">
      <w:pPr>
        <w:jc w:val="center"/>
        <w:rPr>
          <w:rFonts w:hint="eastAsia" w:ascii="宋体" w:hAnsi="宋体" w:eastAsia="宋体" w:cs="宋体"/>
          <w:color w:val="auto"/>
          <w:sz w:val="44"/>
          <w:szCs w:val="44"/>
          <w:highlight w:val="none"/>
          <w:lang w:val="en-US" w:eastAsia="zh-CN"/>
        </w:rPr>
      </w:pPr>
    </w:p>
    <w:p w14:paraId="38DC2A67">
      <w:pPr>
        <w:jc w:val="center"/>
        <w:rPr>
          <w:rFonts w:hint="eastAsia" w:ascii="宋体" w:hAnsi="宋体" w:eastAsia="宋体" w:cs="宋体"/>
          <w:color w:val="auto"/>
          <w:sz w:val="44"/>
          <w:szCs w:val="44"/>
          <w:highlight w:val="none"/>
        </w:rPr>
      </w:pPr>
      <w:r>
        <w:rPr>
          <w:rFonts w:hint="eastAsia" w:ascii="宋体" w:hAnsi="宋体" w:eastAsia="宋体" w:cs="宋体"/>
          <w:color w:val="auto"/>
          <w:sz w:val="44"/>
          <w:szCs w:val="44"/>
          <w:highlight w:val="none"/>
          <w:lang w:val="en-US" w:eastAsia="zh-CN"/>
        </w:rPr>
        <w:t>2026-2028（两年）造币用电解镍</w:t>
      </w:r>
      <w:r>
        <w:rPr>
          <w:rFonts w:hint="eastAsia" w:ascii="宋体" w:hAnsi="宋体" w:eastAsia="宋体" w:cs="宋体"/>
          <w:color w:val="auto"/>
          <w:sz w:val="44"/>
          <w:szCs w:val="44"/>
          <w:highlight w:val="none"/>
        </w:rPr>
        <w:t>集中采购项目采购需求</w:t>
      </w:r>
    </w:p>
    <w:p w14:paraId="65146D2E">
      <w:pPr>
        <w:jc w:val="center"/>
        <w:rPr>
          <w:rFonts w:hint="eastAsia" w:ascii="宋体" w:hAnsi="宋体" w:eastAsia="宋体" w:cs="宋体"/>
          <w:color w:val="auto"/>
          <w:sz w:val="44"/>
          <w:szCs w:val="44"/>
          <w:highlight w:val="none"/>
        </w:rPr>
      </w:pPr>
    </w:p>
    <w:p w14:paraId="198D06A3">
      <w:pPr>
        <w:keepNext w:val="0"/>
        <w:keepLines w:val="0"/>
        <w:pageBreakBefore w:val="0"/>
        <w:widowControl w:val="0"/>
        <w:kinsoku/>
        <w:wordWrap/>
        <w:overflowPunct/>
        <w:topLinePunct w:val="0"/>
        <w:autoSpaceDE/>
        <w:autoSpaceDN/>
        <w:bidi w:val="0"/>
        <w:adjustRightInd/>
        <w:spacing w:line="560" w:lineRule="exact"/>
        <w:ind w:firstLine="640" w:firstLineChars="200"/>
        <w:jc w:val="left"/>
        <w:textAlignment w:val="auto"/>
        <w:outlineLvl w:val="1"/>
        <w:rPr>
          <w:rFonts w:hint="default" w:ascii="楷体" w:hAnsi="楷体" w:eastAsia="楷体" w:cs="Times New Roman"/>
          <w:color w:val="auto"/>
          <w:sz w:val="32"/>
          <w:szCs w:val="32"/>
          <w:highlight w:val="none"/>
          <w:lang w:val="en-US" w:eastAsia="zh-CN"/>
        </w:rPr>
      </w:pPr>
      <w:r>
        <w:rPr>
          <w:rFonts w:hint="eastAsia" w:ascii="楷体" w:hAnsi="楷体" w:eastAsia="楷体" w:cs="Times New Roman"/>
          <w:color w:val="auto"/>
          <w:sz w:val="32"/>
          <w:szCs w:val="32"/>
          <w:highlight w:val="none"/>
          <w:lang w:val="en-US" w:eastAsia="zh-CN"/>
        </w:rPr>
        <w:t>一、项目基本信息</w:t>
      </w:r>
    </w:p>
    <w:p w14:paraId="2B4CE4D2">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left"/>
        <w:textAlignment w:val="auto"/>
        <w:rPr>
          <w:rFonts w:hint="eastAsia" w:ascii="仿宋" w:hAnsi="仿宋" w:eastAsia="仿宋" w:cs="Times New Roman"/>
          <w:sz w:val="32"/>
          <w:szCs w:val="32"/>
          <w:highlight w:val="none"/>
          <w:lang w:val="en-US" w:eastAsia="zh-CN"/>
        </w:rPr>
      </w:pPr>
      <w:r>
        <w:rPr>
          <w:rFonts w:hint="eastAsia" w:ascii="仿宋" w:hAnsi="仿宋" w:eastAsia="仿宋" w:cs="Times New Roman"/>
          <w:sz w:val="32"/>
          <w:szCs w:val="32"/>
          <w:highlight w:val="none"/>
          <w:lang w:val="en-US" w:eastAsia="zh-CN"/>
        </w:rPr>
        <w:t>本项目为非政府采购项目，采购标的类型为货物，拟采用公开招标方式采购，供应商资格条件（适用于所有包件）如下：</w:t>
      </w:r>
    </w:p>
    <w:p w14:paraId="49D59AE2">
      <w:pPr>
        <w:snapToGrid w:val="0"/>
        <w:spacing w:line="360" w:lineRule="auto"/>
        <w:ind w:firstLine="640" w:firstLineChars="200"/>
        <w:jc w:val="left"/>
        <w:rPr>
          <w:rFonts w:ascii="仿宋" w:hAnsi="仿宋" w:eastAsia="仿宋" w:cs="Times New Roman"/>
          <w:sz w:val="32"/>
          <w:szCs w:val="32"/>
        </w:rPr>
      </w:pPr>
      <w:r>
        <w:rPr>
          <w:rFonts w:hint="eastAsia" w:ascii="仿宋" w:hAnsi="仿宋" w:eastAsia="仿宋" w:cs="Times New Roman"/>
          <w:sz w:val="32"/>
          <w:szCs w:val="32"/>
        </w:rPr>
        <w:t>（</w:t>
      </w:r>
      <w:r>
        <w:rPr>
          <w:rFonts w:hint="eastAsia" w:ascii="仿宋" w:hAnsi="仿宋" w:eastAsia="仿宋" w:cs="Times New Roman"/>
          <w:sz w:val="32"/>
          <w:szCs w:val="32"/>
          <w:lang w:val="zh-CN"/>
        </w:rPr>
        <w:t>一</w:t>
      </w:r>
      <w:r>
        <w:rPr>
          <w:rFonts w:hint="eastAsia" w:ascii="仿宋" w:hAnsi="仿宋" w:eastAsia="仿宋" w:cs="Times New Roman"/>
          <w:sz w:val="32"/>
          <w:szCs w:val="32"/>
        </w:rPr>
        <w:t>）</w:t>
      </w:r>
      <w:r>
        <w:rPr>
          <w:rFonts w:hint="eastAsia" w:ascii="仿宋" w:hAnsi="仿宋" w:eastAsia="仿宋" w:cs="Times New Roman"/>
          <w:sz w:val="32"/>
          <w:szCs w:val="32"/>
          <w:lang w:val="zh-CN"/>
        </w:rPr>
        <w:t>信用核查</w:t>
      </w:r>
    </w:p>
    <w:p w14:paraId="46D7FCA7">
      <w:pPr>
        <w:snapToGrid w:val="0"/>
        <w:spacing w:line="360" w:lineRule="auto"/>
        <w:ind w:firstLine="640" w:firstLineChars="200"/>
        <w:jc w:val="left"/>
        <w:rPr>
          <w:rFonts w:ascii="仿宋" w:hAnsi="仿宋" w:eastAsia="仿宋" w:cs="Times New Roman"/>
          <w:sz w:val="32"/>
          <w:szCs w:val="32"/>
        </w:rPr>
      </w:pPr>
      <w:r>
        <w:rPr>
          <w:rFonts w:hint="eastAsia" w:ascii="仿宋" w:hAnsi="仿宋" w:eastAsia="仿宋" w:cs="Times New Roman"/>
          <w:sz w:val="32"/>
          <w:szCs w:val="32"/>
          <w:lang w:val="zh-CN"/>
        </w:rPr>
        <w:t>必须为未被列入信用中国网站</w:t>
      </w:r>
      <w:r>
        <w:rPr>
          <w:rFonts w:hint="eastAsia" w:ascii="仿宋" w:hAnsi="仿宋" w:eastAsia="仿宋" w:cs="Times New Roman"/>
          <w:sz w:val="32"/>
          <w:szCs w:val="32"/>
        </w:rPr>
        <w:t>(www.creditchina.gov.cn)</w:t>
      </w:r>
      <w:r>
        <w:rPr>
          <w:rFonts w:hint="eastAsia" w:ascii="仿宋" w:hAnsi="仿宋" w:eastAsia="仿宋" w:cs="Times New Roman"/>
          <w:sz w:val="32"/>
          <w:szCs w:val="32"/>
          <w:lang w:val="zh-CN"/>
        </w:rPr>
        <w:t>、中国政府采购网</w:t>
      </w:r>
      <w:r>
        <w:rPr>
          <w:rFonts w:hint="eastAsia" w:ascii="仿宋" w:hAnsi="仿宋" w:eastAsia="仿宋" w:cs="Times New Roman"/>
          <w:sz w:val="32"/>
          <w:szCs w:val="32"/>
        </w:rPr>
        <w:t>(www.ccgp.gov.cn)</w:t>
      </w:r>
      <w:r>
        <w:rPr>
          <w:rFonts w:hint="eastAsia" w:ascii="仿宋" w:hAnsi="仿宋" w:eastAsia="仿宋" w:cs="Times New Roman"/>
          <w:sz w:val="32"/>
          <w:szCs w:val="32"/>
          <w:lang w:val="zh-CN"/>
        </w:rPr>
        <w:t>渠道信用记录失信被执行人、重大税收违法案件当事人名单、政府采购严重违法失信行为记录名单的投标人</w:t>
      </w:r>
      <w:r>
        <w:rPr>
          <w:rFonts w:hint="eastAsia" w:ascii="仿宋" w:hAnsi="仿宋" w:eastAsia="仿宋" w:cs="Times New Roman"/>
          <w:sz w:val="32"/>
          <w:szCs w:val="32"/>
        </w:rPr>
        <w:t>，</w:t>
      </w:r>
      <w:r>
        <w:rPr>
          <w:rFonts w:hint="eastAsia" w:ascii="仿宋" w:hAnsi="仿宋" w:eastAsia="仿宋" w:cs="Times New Roman"/>
          <w:sz w:val="32"/>
          <w:szCs w:val="32"/>
          <w:lang w:val="zh-CN"/>
        </w:rPr>
        <w:t>否则其投标将被拒绝。</w:t>
      </w:r>
    </w:p>
    <w:p w14:paraId="67614BEB">
      <w:pPr>
        <w:snapToGrid w:val="0"/>
        <w:spacing w:line="360" w:lineRule="auto"/>
        <w:ind w:firstLine="640" w:firstLineChars="200"/>
        <w:jc w:val="left"/>
        <w:rPr>
          <w:rFonts w:ascii="仿宋" w:hAnsi="仿宋" w:eastAsia="仿宋" w:cs="Times New Roman"/>
          <w:sz w:val="32"/>
          <w:szCs w:val="32"/>
          <w:lang w:val="zh-CN"/>
        </w:rPr>
      </w:pPr>
      <w:r>
        <w:rPr>
          <w:rFonts w:hint="eastAsia" w:ascii="仿宋" w:hAnsi="仿宋" w:eastAsia="仿宋" w:cs="Times New Roman"/>
          <w:sz w:val="32"/>
          <w:szCs w:val="32"/>
          <w:lang w:val="zh-CN"/>
        </w:rPr>
        <w:t>（二）符合《中华人民共和国政府采购法》第二十二条的规定,投标人必须在投标文件中提供下述资格证明文件，否则按无效投标处理：</w:t>
      </w:r>
    </w:p>
    <w:p w14:paraId="491CA8C8">
      <w:pPr>
        <w:snapToGrid w:val="0"/>
        <w:spacing w:line="360" w:lineRule="auto"/>
        <w:ind w:firstLine="640" w:firstLineChars="200"/>
        <w:jc w:val="left"/>
        <w:rPr>
          <w:rFonts w:ascii="仿宋" w:hAnsi="仿宋" w:eastAsia="仿宋" w:cs="Times New Roman"/>
          <w:sz w:val="32"/>
          <w:szCs w:val="32"/>
          <w:lang w:val="zh-CN"/>
        </w:rPr>
      </w:pPr>
      <w:r>
        <w:rPr>
          <w:rFonts w:hint="eastAsia" w:ascii="仿宋" w:hAnsi="仿宋" w:eastAsia="仿宋" w:cs="Times New Roman"/>
          <w:sz w:val="32"/>
          <w:szCs w:val="32"/>
          <w:lang w:val="zh-CN"/>
        </w:rPr>
        <w:t>1、法人或者其他组织的营业执照等证明文件，自然人的身份证明；</w:t>
      </w:r>
    </w:p>
    <w:p w14:paraId="59FF529C">
      <w:pPr>
        <w:snapToGrid w:val="0"/>
        <w:spacing w:line="360" w:lineRule="auto"/>
        <w:ind w:firstLine="640" w:firstLineChars="200"/>
        <w:jc w:val="left"/>
        <w:rPr>
          <w:rFonts w:ascii="仿宋" w:hAnsi="仿宋" w:eastAsia="仿宋" w:cs="Times New Roman"/>
          <w:sz w:val="32"/>
          <w:szCs w:val="32"/>
          <w:lang w:val="zh-CN"/>
        </w:rPr>
      </w:pPr>
      <w:r>
        <w:rPr>
          <w:rFonts w:hint="eastAsia" w:ascii="仿宋" w:hAnsi="仿宋" w:eastAsia="仿宋" w:cs="Times New Roman"/>
          <w:sz w:val="32"/>
          <w:szCs w:val="32"/>
          <w:lang w:val="zh-CN"/>
        </w:rPr>
        <w:t>2、财务状况报告，依法缴纳税收和社会保障资金的相关材料；(供应商应提供书面承诺)</w:t>
      </w:r>
    </w:p>
    <w:p w14:paraId="358584F1">
      <w:pPr>
        <w:snapToGrid w:val="0"/>
        <w:spacing w:line="360" w:lineRule="auto"/>
        <w:ind w:firstLine="640" w:firstLineChars="200"/>
        <w:jc w:val="left"/>
        <w:rPr>
          <w:rFonts w:ascii="仿宋" w:hAnsi="仿宋" w:eastAsia="仿宋" w:cs="Times New Roman"/>
          <w:sz w:val="32"/>
          <w:szCs w:val="32"/>
          <w:lang w:val="zh-CN"/>
        </w:rPr>
      </w:pPr>
      <w:r>
        <w:rPr>
          <w:rFonts w:hint="eastAsia" w:ascii="仿宋" w:hAnsi="仿宋" w:eastAsia="仿宋" w:cs="Times New Roman"/>
          <w:sz w:val="32"/>
          <w:szCs w:val="32"/>
          <w:lang w:val="zh-CN"/>
        </w:rPr>
        <w:t>3、具备履行合同所必需的设备和专业技术能力的证明材料；(供应商应提供书面承诺)</w:t>
      </w:r>
    </w:p>
    <w:p w14:paraId="65DF1599">
      <w:pPr>
        <w:snapToGrid w:val="0"/>
        <w:spacing w:line="360" w:lineRule="auto"/>
        <w:ind w:firstLine="640" w:firstLineChars="200"/>
        <w:jc w:val="left"/>
        <w:rPr>
          <w:rFonts w:ascii="仿宋" w:hAnsi="仿宋" w:eastAsia="仿宋" w:cs="Times New Roman"/>
          <w:sz w:val="32"/>
          <w:szCs w:val="32"/>
          <w:lang w:val="zh-CN"/>
        </w:rPr>
      </w:pPr>
      <w:r>
        <w:rPr>
          <w:rFonts w:hint="eastAsia" w:ascii="仿宋" w:hAnsi="仿宋" w:eastAsia="仿宋" w:cs="Times New Roman"/>
          <w:sz w:val="32"/>
          <w:szCs w:val="32"/>
          <w:lang w:val="zh-CN"/>
        </w:rPr>
        <w:t>4、参加政府采购活动前3年内在经营活动中没有重大违法记录的书面声明；(供应商应提供书面承诺)</w:t>
      </w:r>
    </w:p>
    <w:p w14:paraId="1886E256">
      <w:pPr>
        <w:snapToGrid w:val="0"/>
        <w:spacing w:line="360" w:lineRule="auto"/>
        <w:ind w:firstLine="640" w:firstLineChars="200"/>
        <w:jc w:val="left"/>
        <w:rPr>
          <w:rFonts w:ascii="仿宋" w:hAnsi="仿宋" w:eastAsia="仿宋" w:cs="Times New Roman"/>
          <w:sz w:val="32"/>
          <w:szCs w:val="32"/>
          <w:lang w:val="zh-CN"/>
        </w:rPr>
      </w:pPr>
      <w:r>
        <w:rPr>
          <w:rFonts w:hint="eastAsia" w:ascii="仿宋" w:hAnsi="仿宋" w:eastAsia="仿宋" w:cs="Times New Roman"/>
          <w:sz w:val="32"/>
          <w:szCs w:val="32"/>
          <w:lang w:val="zh-CN"/>
        </w:rPr>
        <w:t>5、具备法律、行政法规规定的其他条件的证明材料。</w:t>
      </w:r>
    </w:p>
    <w:p w14:paraId="24F7475C">
      <w:pPr>
        <w:snapToGrid w:val="0"/>
        <w:spacing w:line="360" w:lineRule="auto"/>
        <w:ind w:firstLine="640" w:firstLineChars="200"/>
        <w:jc w:val="left"/>
        <w:rPr>
          <w:rFonts w:hint="eastAsia" w:ascii="仿宋" w:hAnsi="仿宋" w:eastAsia="仿宋" w:cs="Times New Roman"/>
          <w:color w:val="auto"/>
          <w:sz w:val="32"/>
          <w:szCs w:val="32"/>
          <w:highlight w:val="none"/>
          <w:lang w:val="zh-CN"/>
        </w:rPr>
      </w:pPr>
      <w:r>
        <w:rPr>
          <w:rFonts w:hint="eastAsia" w:ascii="仿宋" w:hAnsi="仿宋" w:eastAsia="仿宋" w:cs="Times New Roman"/>
          <w:sz w:val="32"/>
          <w:szCs w:val="32"/>
          <w:lang w:val="zh-CN"/>
        </w:rPr>
        <w:t>（以上均为《中华人民共和国政府采购法实施条例》第十七条之规定）”</w:t>
      </w:r>
    </w:p>
    <w:p w14:paraId="0193F1BA">
      <w:pPr>
        <w:keepNext w:val="0"/>
        <w:keepLines w:val="0"/>
        <w:pageBreakBefore w:val="0"/>
        <w:widowControl w:val="0"/>
        <w:kinsoku/>
        <w:wordWrap/>
        <w:overflowPunct/>
        <w:topLinePunct w:val="0"/>
        <w:autoSpaceDE/>
        <w:autoSpaceDN/>
        <w:bidi w:val="0"/>
        <w:adjustRightInd/>
        <w:spacing w:line="560" w:lineRule="exact"/>
        <w:ind w:firstLine="640" w:firstLineChars="200"/>
        <w:jc w:val="left"/>
        <w:textAlignment w:val="auto"/>
        <w:outlineLvl w:val="1"/>
        <w:rPr>
          <w:rFonts w:hint="default" w:ascii="楷体" w:hAnsi="楷体" w:eastAsia="楷体" w:cs="Times New Roman"/>
          <w:color w:val="auto"/>
          <w:sz w:val="32"/>
          <w:szCs w:val="32"/>
          <w:highlight w:val="none"/>
          <w:lang w:val="en-US" w:eastAsia="zh-CN"/>
        </w:rPr>
      </w:pPr>
      <w:r>
        <w:rPr>
          <w:rFonts w:hint="eastAsia" w:ascii="楷体" w:hAnsi="楷体" w:eastAsia="楷体" w:cs="Times New Roman"/>
          <w:color w:val="auto"/>
          <w:sz w:val="32"/>
          <w:szCs w:val="32"/>
          <w:highlight w:val="none"/>
          <w:lang w:val="en-US" w:eastAsia="zh-CN"/>
        </w:rPr>
        <w:t>二、采购需求</w:t>
      </w:r>
    </w:p>
    <w:p w14:paraId="0B195D87">
      <w:pPr>
        <w:keepNext w:val="0"/>
        <w:keepLines w:val="0"/>
        <w:pageBreakBefore w:val="0"/>
        <w:widowControl w:val="0"/>
        <w:kinsoku/>
        <w:wordWrap/>
        <w:overflowPunct/>
        <w:topLinePunct w:val="0"/>
        <w:autoSpaceDE/>
        <w:autoSpaceDN/>
        <w:bidi w:val="0"/>
        <w:adjustRightInd/>
        <w:spacing w:line="560" w:lineRule="exact"/>
        <w:ind w:firstLine="640" w:firstLineChars="200"/>
        <w:jc w:val="left"/>
        <w:textAlignment w:val="auto"/>
        <w:outlineLvl w:val="1"/>
        <w:rPr>
          <w:rFonts w:hint="eastAsia" w:ascii="楷体" w:hAnsi="楷体" w:eastAsia="楷体" w:cs="Times New Roman"/>
          <w:color w:val="auto"/>
          <w:sz w:val="32"/>
          <w:szCs w:val="32"/>
          <w:highlight w:val="none"/>
          <w:lang w:val="en-US" w:eastAsia="zh-CN"/>
        </w:rPr>
      </w:pPr>
      <w:r>
        <w:rPr>
          <w:rFonts w:hint="eastAsia" w:ascii="楷体" w:hAnsi="楷体" w:eastAsia="楷体" w:cs="Times New Roman"/>
          <w:color w:val="auto"/>
          <w:sz w:val="32"/>
          <w:szCs w:val="32"/>
          <w:highlight w:val="none"/>
          <w:lang w:val="en-US" w:eastAsia="zh-CN"/>
        </w:rPr>
        <w:t>（一）项目内容</w:t>
      </w:r>
    </w:p>
    <w:p w14:paraId="1090F964">
      <w:pPr>
        <w:keepNext w:val="0"/>
        <w:keepLines w:val="0"/>
        <w:pageBreakBefore w:val="0"/>
        <w:widowControl w:val="0"/>
        <w:shd w:val="clear" w:color="auto" w:fill="auto"/>
        <w:kinsoku/>
        <w:wordWrap/>
        <w:overflowPunct/>
        <w:topLinePunct w:val="0"/>
        <w:autoSpaceDE/>
        <w:autoSpaceDN/>
        <w:bidi w:val="0"/>
        <w:adjustRightInd/>
        <w:snapToGrid w:val="0"/>
        <w:spacing w:line="560" w:lineRule="exact"/>
        <w:ind w:firstLine="640" w:firstLineChars="200"/>
        <w:jc w:val="left"/>
        <w:textAlignment w:val="auto"/>
        <w:rPr>
          <w:rFonts w:hint="eastAsia" w:ascii="仿宋" w:hAnsi="仿宋" w:eastAsia="仿宋" w:cs="Times New Roman"/>
          <w:color w:val="auto"/>
          <w:sz w:val="32"/>
          <w:szCs w:val="32"/>
          <w:highlight w:val="none"/>
          <w:lang w:val="zh-CN"/>
        </w:rPr>
      </w:pPr>
      <w:r>
        <w:rPr>
          <w:rFonts w:hint="eastAsia" w:ascii="仿宋" w:hAnsi="仿宋" w:eastAsia="仿宋" w:cs="Times New Roman"/>
          <w:color w:val="auto"/>
          <w:sz w:val="32"/>
          <w:szCs w:val="32"/>
          <w:highlight w:val="none"/>
          <w:lang w:val="zh-CN"/>
        </w:rPr>
        <w:t>货物名称及数量：造币用电解镍，</w:t>
      </w:r>
      <w:r>
        <w:rPr>
          <w:rFonts w:hint="eastAsia" w:ascii="仿宋" w:hAnsi="仿宋" w:eastAsia="仿宋" w:cs="Times New Roman"/>
          <w:color w:val="auto"/>
          <w:sz w:val="32"/>
          <w:szCs w:val="32"/>
          <w:highlight w:val="none"/>
          <w:lang w:val="en-US" w:eastAsia="zh-CN"/>
        </w:rPr>
        <w:t>1400</w:t>
      </w:r>
      <w:r>
        <w:rPr>
          <w:rFonts w:hint="eastAsia" w:ascii="仿宋" w:hAnsi="仿宋" w:eastAsia="仿宋" w:cs="Times New Roman"/>
          <w:color w:val="auto"/>
          <w:sz w:val="32"/>
          <w:szCs w:val="32"/>
          <w:highlight w:val="none"/>
          <w:lang w:val="zh-CN"/>
        </w:rPr>
        <w:t>吨。</w:t>
      </w:r>
    </w:p>
    <w:p w14:paraId="20CF2A8A">
      <w:pPr>
        <w:keepNext w:val="0"/>
        <w:keepLines w:val="0"/>
        <w:pageBreakBefore w:val="0"/>
        <w:widowControl w:val="0"/>
        <w:shd w:val="clear" w:color="auto" w:fill="auto"/>
        <w:kinsoku/>
        <w:wordWrap/>
        <w:overflowPunct/>
        <w:topLinePunct w:val="0"/>
        <w:autoSpaceDE/>
        <w:autoSpaceDN/>
        <w:bidi w:val="0"/>
        <w:adjustRightInd/>
        <w:snapToGrid w:val="0"/>
        <w:spacing w:line="560" w:lineRule="exact"/>
        <w:ind w:firstLine="640" w:firstLineChars="200"/>
        <w:jc w:val="left"/>
        <w:textAlignment w:val="auto"/>
        <w:rPr>
          <w:rFonts w:hint="eastAsia" w:ascii="仿宋" w:hAnsi="仿宋" w:eastAsia="仿宋" w:cs="Times New Roman"/>
          <w:color w:val="auto"/>
          <w:sz w:val="32"/>
          <w:szCs w:val="32"/>
          <w:highlight w:val="none"/>
          <w:lang w:val="zh-CN"/>
        </w:rPr>
      </w:pPr>
      <w:r>
        <w:rPr>
          <w:rFonts w:hint="eastAsia" w:ascii="仿宋" w:hAnsi="仿宋" w:eastAsia="仿宋" w:cs="Times New Roman"/>
          <w:color w:val="auto"/>
          <w:sz w:val="32"/>
          <w:szCs w:val="32"/>
          <w:highlight w:val="none"/>
          <w:lang w:val="zh-CN"/>
        </w:rPr>
        <w:t>核心产品：造币用电解镍</w:t>
      </w:r>
    </w:p>
    <w:p w14:paraId="41F620ED">
      <w:pPr>
        <w:keepNext w:val="0"/>
        <w:keepLines w:val="0"/>
        <w:pageBreakBefore w:val="0"/>
        <w:widowControl w:val="0"/>
        <w:kinsoku/>
        <w:wordWrap/>
        <w:overflowPunct/>
        <w:topLinePunct w:val="0"/>
        <w:autoSpaceDE/>
        <w:autoSpaceDN/>
        <w:bidi w:val="0"/>
        <w:adjustRightInd/>
        <w:spacing w:line="560" w:lineRule="exact"/>
        <w:ind w:firstLine="640" w:firstLineChars="200"/>
        <w:jc w:val="left"/>
        <w:textAlignment w:val="auto"/>
        <w:outlineLvl w:val="1"/>
        <w:rPr>
          <w:rFonts w:hint="eastAsia" w:ascii="楷体" w:hAnsi="楷体" w:eastAsia="楷体" w:cs="Times New Roman"/>
          <w:color w:val="auto"/>
          <w:sz w:val="32"/>
          <w:szCs w:val="32"/>
          <w:highlight w:val="none"/>
          <w:lang w:val="zh-CN" w:eastAsia="zh-CN"/>
        </w:rPr>
      </w:pPr>
      <w:r>
        <w:rPr>
          <w:rFonts w:hint="eastAsia" w:ascii="楷体" w:hAnsi="楷体" w:eastAsia="楷体" w:cs="Times New Roman"/>
          <w:color w:val="auto"/>
          <w:sz w:val="32"/>
          <w:szCs w:val="32"/>
          <w:highlight w:val="none"/>
          <w:lang w:val="en-US" w:eastAsia="zh-CN"/>
        </w:rPr>
        <w:t>（二）项目</w:t>
      </w:r>
      <w:r>
        <w:rPr>
          <w:rFonts w:hint="eastAsia" w:ascii="楷体" w:hAnsi="楷体" w:eastAsia="楷体" w:cs="Times New Roman"/>
          <w:color w:val="auto"/>
          <w:sz w:val="32"/>
          <w:szCs w:val="32"/>
          <w:highlight w:val="none"/>
          <w:lang w:val="zh-CN" w:eastAsia="zh-CN"/>
        </w:rPr>
        <w:t>需求部门</w:t>
      </w:r>
    </w:p>
    <w:p w14:paraId="6D936D10">
      <w:pPr>
        <w:keepNext w:val="0"/>
        <w:keepLines w:val="0"/>
        <w:pageBreakBefore w:val="0"/>
        <w:widowControl w:val="0"/>
        <w:numPr>
          <w:ilvl w:val="0"/>
          <w:numId w:val="0"/>
        </w:numPr>
        <w:shd w:val="clear" w:color="auto" w:fill="auto"/>
        <w:kinsoku/>
        <w:wordWrap/>
        <w:overflowPunct/>
        <w:topLinePunct w:val="0"/>
        <w:autoSpaceDE/>
        <w:autoSpaceDN/>
        <w:bidi w:val="0"/>
        <w:adjustRightInd/>
        <w:snapToGrid w:val="0"/>
        <w:spacing w:line="560" w:lineRule="exact"/>
        <w:ind w:firstLine="640" w:firstLineChars="200"/>
        <w:jc w:val="left"/>
        <w:textAlignment w:val="auto"/>
        <w:rPr>
          <w:rFonts w:hint="eastAsia" w:ascii="仿宋" w:hAnsi="仿宋" w:eastAsia="仿宋" w:cs="Times New Roman"/>
          <w:color w:val="auto"/>
          <w:sz w:val="32"/>
          <w:szCs w:val="32"/>
          <w:highlight w:val="none"/>
          <w:lang w:val="zh-CN"/>
        </w:rPr>
      </w:pPr>
      <w:r>
        <w:rPr>
          <w:rFonts w:hint="eastAsia" w:ascii="仿宋" w:hAnsi="仿宋" w:eastAsia="仿宋" w:cs="Times New Roman"/>
          <w:color w:val="auto"/>
          <w:sz w:val="32"/>
          <w:szCs w:val="32"/>
          <w:highlight w:val="none"/>
          <w:lang w:val="zh-CN"/>
        </w:rPr>
        <w:t>需求部门：南京造币有限公司、上海造币有限公司</w:t>
      </w:r>
      <w:r>
        <w:rPr>
          <w:rFonts w:hint="eastAsia" w:ascii="仿宋" w:hAnsi="仿宋" w:eastAsia="仿宋" w:cs="仿宋"/>
          <w:color w:val="000000" w:themeColor="text1"/>
          <w:sz w:val="32"/>
          <w:szCs w:val="32"/>
          <w:u w:val="none"/>
        </w:rPr>
        <w:t>物资管理部门</w:t>
      </w:r>
    </w:p>
    <w:p w14:paraId="6FCA3811">
      <w:pPr>
        <w:spacing w:line="560" w:lineRule="exact"/>
        <w:ind w:firstLine="640" w:firstLineChars="200"/>
        <w:jc w:val="left"/>
        <w:outlineLvl w:val="1"/>
        <w:rPr>
          <w:rFonts w:ascii="楷体" w:hAnsi="楷体" w:eastAsia="楷体" w:cs="Times New Roman"/>
          <w:sz w:val="32"/>
          <w:szCs w:val="32"/>
        </w:rPr>
      </w:pPr>
      <w:r>
        <w:rPr>
          <w:rFonts w:hint="eastAsia" w:ascii="楷体" w:hAnsi="楷体" w:eastAsia="楷体" w:cs="Times New Roman"/>
          <w:sz w:val="32"/>
          <w:szCs w:val="32"/>
        </w:rPr>
        <w:t>（三）采购标的汇总表</w:t>
      </w:r>
    </w:p>
    <w:tbl>
      <w:tblPr>
        <w:tblStyle w:val="8"/>
        <w:tblW w:w="106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0"/>
        <w:gridCol w:w="1843"/>
        <w:gridCol w:w="1417"/>
        <w:gridCol w:w="1276"/>
        <w:gridCol w:w="1023"/>
        <w:gridCol w:w="992"/>
        <w:gridCol w:w="993"/>
        <w:gridCol w:w="992"/>
        <w:gridCol w:w="1247"/>
      </w:tblGrid>
      <w:tr w14:paraId="0DEB7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17" w:hRule="atLeast"/>
          <w:jc w:val="center"/>
        </w:trPr>
        <w:tc>
          <w:tcPr>
            <w:tcW w:w="850" w:type="dxa"/>
            <w:vAlign w:val="center"/>
          </w:tcPr>
          <w:p w14:paraId="126A6EFA">
            <w:pPr>
              <w:spacing w:line="560" w:lineRule="exact"/>
              <w:jc w:val="center"/>
              <w:rPr>
                <w:rFonts w:ascii="仿宋" w:hAnsi="仿宋" w:eastAsia="仿宋" w:cs="Times New Roman"/>
                <w:b/>
                <w:sz w:val="28"/>
                <w:szCs w:val="28"/>
              </w:rPr>
            </w:pPr>
            <w:r>
              <w:rPr>
                <w:rFonts w:hint="eastAsia" w:ascii="仿宋" w:hAnsi="仿宋" w:eastAsia="仿宋" w:cs="Times New Roman"/>
                <w:b/>
                <w:sz w:val="28"/>
                <w:szCs w:val="28"/>
              </w:rPr>
              <w:t>序号</w:t>
            </w:r>
          </w:p>
        </w:tc>
        <w:tc>
          <w:tcPr>
            <w:tcW w:w="1843" w:type="dxa"/>
            <w:vAlign w:val="center"/>
          </w:tcPr>
          <w:p w14:paraId="43B9573D">
            <w:pPr>
              <w:spacing w:line="560" w:lineRule="exact"/>
              <w:jc w:val="center"/>
              <w:rPr>
                <w:rFonts w:ascii="仿宋" w:hAnsi="仿宋" w:eastAsia="仿宋" w:cs="Times New Roman"/>
                <w:b/>
                <w:sz w:val="28"/>
                <w:szCs w:val="28"/>
              </w:rPr>
            </w:pPr>
            <w:r>
              <w:rPr>
                <w:rFonts w:hint="eastAsia" w:ascii="仿宋" w:hAnsi="仿宋" w:eastAsia="仿宋" w:cs="Times New Roman"/>
                <w:b/>
                <w:sz w:val="28"/>
                <w:szCs w:val="28"/>
              </w:rPr>
              <w:t>标的名称</w:t>
            </w:r>
          </w:p>
        </w:tc>
        <w:tc>
          <w:tcPr>
            <w:tcW w:w="1417" w:type="dxa"/>
            <w:vAlign w:val="center"/>
          </w:tcPr>
          <w:p w14:paraId="67BBC120">
            <w:pPr>
              <w:spacing w:line="560" w:lineRule="exact"/>
              <w:jc w:val="center"/>
              <w:rPr>
                <w:rFonts w:ascii="仿宋" w:hAnsi="仿宋" w:eastAsia="仿宋" w:cs="Times New Roman"/>
                <w:b/>
                <w:sz w:val="28"/>
                <w:szCs w:val="28"/>
              </w:rPr>
            </w:pPr>
            <w:r>
              <w:rPr>
                <w:rFonts w:hint="eastAsia" w:ascii="仿宋" w:hAnsi="仿宋" w:eastAsia="仿宋" w:cs="Times New Roman"/>
                <w:b/>
                <w:sz w:val="28"/>
                <w:szCs w:val="28"/>
              </w:rPr>
              <w:t>品目</w:t>
            </w:r>
          </w:p>
          <w:p w14:paraId="1707A4F2">
            <w:pPr>
              <w:spacing w:line="560" w:lineRule="exact"/>
              <w:jc w:val="center"/>
              <w:rPr>
                <w:rFonts w:ascii="仿宋" w:hAnsi="仿宋" w:eastAsia="仿宋" w:cs="Times New Roman"/>
                <w:b/>
                <w:sz w:val="28"/>
                <w:szCs w:val="28"/>
              </w:rPr>
            </w:pPr>
            <w:r>
              <w:rPr>
                <w:rFonts w:hint="eastAsia" w:ascii="仿宋" w:hAnsi="仿宋" w:eastAsia="仿宋" w:cs="Times New Roman"/>
                <w:b/>
                <w:sz w:val="28"/>
                <w:szCs w:val="28"/>
              </w:rPr>
              <w:t>分类编码</w:t>
            </w:r>
          </w:p>
        </w:tc>
        <w:tc>
          <w:tcPr>
            <w:tcW w:w="1276" w:type="dxa"/>
            <w:vAlign w:val="center"/>
          </w:tcPr>
          <w:p w14:paraId="43A10BE4">
            <w:pPr>
              <w:spacing w:line="560" w:lineRule="exact"/>
              <w:jc w:val="center"/>
              <w:rPr>
                <w:rFonts w:ascii="仿宋" w:hAnsi="仿宋" w:eastAsia="仿宋" w:cs="Times New Roman"/>
                <w:b/>
                <w:sz w:val="28"/>
                <w:szCs w:val="28"/>
              </w:rPr>
            </w:pPr>
            <w:r>
              <w:rPr>
                <w:rFonts w:hint="eastAsia" w:ascii="仿宋" w:hAnsi="仿宋" w:eastAsia="仿宋" w:cs="Times New Roman"/>
                <w:b/>
                <w:sz w:val="28"/>
                <w:szCs w:val="28"/>
              </w:rPr>
              <w:t>标的类别</w:t>
            </w:r>
          </w:p>
        </w:tc>
        <w:tc>
          <w:tcPr>
            <w:tcW w:w="1023" w:type="dxa"/>
            <w:vAlign w:val="center"/>
          </w:tcPr>
          <w:p w14:paraId="770365D8">
            <w:pPr>
              <w:spacing w:line="560" w:lineRule="exact"/>
              <w:jc w:val="center"/>
              <w:rPr>
                <w:rFonts w:ascii="仿宋" w:hAnsi="仿宋" w:eastAsia="仿宋" w:cs="Times New Roman"/>
                <w:b/>
                <w:sz w:val="28"/>
                <w:szCs w:val="28"/>
              </w:rPr>
            </w:pPr>
            <w:r>
              <w:rPr>
                <w:rFonts w:hint="eastAsia" w:ascii="仿宋" w:hAnsi="仿宋" w:eastAsia="仿宋" w:cs="Times New Roman"/>
                <w:b/>
                <w:sz w:val="28"/>
                <w:szCs w:val="28"/>
              </w:rPr>
              <w:t>计量</w:t>
            </w:r>
          </w:p>
          <w:p w14:paraId="6C543B49">
            <w:pPr>
              <w:spacing w:line="560" w:lineRule="exact"/>
              <w:jc w:val="center"/>
              <w:rPr>
                <w:rFonts w:ascii="仿宋" w:hAnsi="仿宋" w:eastAsia="仿宋" w:cs="Times New Roman"/>
                <w:b/>
                <w:sz w:val="28"/>
                <w:szCs w:val="28"/>
              </w:rPr>
            </w:pPr>
            <w:r>
              <w:rPr>
                <w:rFonts w:hint="eastAsia" w:ascii="仿宋" w:hAnsi="仿宋" w:eastAsia="仿宋" w:cs="Times New Roman"/>
                <w:b/>
                <w:sz w:val="28"/>
                <w:szCs w:val="28"/>
              </w:rPr>
              <w:t>单位</w:t>
            </w:r>
          </w:p>
        </w:tc>
        <w:tc>
          <w:tcPr>
            <w:tcW w:w="992" w:type="dxa"/>
            <w:vAlign w:val="center"/>
          </w:tcPr>
          <w:p w14:paraId="2B66E01B">
            <w:pPr>
              <w:spacing w:line="560" w:lineRule="exact"/>
              <w:jc w:val="center"/>
              <w:rPr>
                <w:rFonts w:ascii="仿宋" w:hAnsi="仿宋" w:eastAsia="仿宋" w:cs="Times New Roman"/>
                <w:b/>
                <w:sz w:val="28"/>
                <w:szCs w:val="28"/>
              </w:rPr>
            </w:pPr>
            <w:r>
              <w:rPr>
                <w:rFonts w:hint="eastAsia" w:ascii="仿宋" w:hAnsi="仿宋" w:eastAsia="仿宋" w:cs="Times New Roman"/>
                <w:b/>
                <w:sz w:val="28"/>
                <w:szCs w:val="28"/>
              </w:rPr>
              <w:t>数量</w:t>
            </w:r>
          </w:p>
        </w:tc>
        <w:tc>
          <w:tcPr>
            <w:tcW w:w="993" w:type="dxa"/>
            <w:vAlign w:val="center"/>
          </w:tcPr>
          <w:p w14:paraId="22604AB0">
            <w:pPr>
              <w:spacing w:line="560" w:lineRule="exact"/>
              <w:jc w:val="center"/>
              <w:rPr>
                <w:rFonts w:ascii="仿宋" w:hAnsi="仿宋" w:eastAsia="仿宋" w:cs="Times New Roman"/>
                <w:b/>
                <w:sz w:val="28"/>
                <w:szCs w:val="28"/>
              </w:rPr>
            </w:pPr>
            <w:r>
              <w:rPr>
                <w:rFonts w:hint="eastAsia" w:ascii="仿宋" w:hAnsi="仿宋" w:eastAsia="仿宋" w:cs="Times New Roman"/>
                <w:b/>
                <w:sz w:val="28"/>
                <w:szCs w:val="28"/>
              </w:rPr>
              <w:t>是否进口</w:t>
            </w:r>
          </w:p>
        </w:tc>
        <w:tc>
          <w:tcPr>
            <w:tcW w:w="992" w:type="dxa"/>
          </w:tcPr>
          <w:p w14:paraId="5B64B75F">
            <w:pPr>
              <w:spacing w:line="560" w:lineRule="exact"/>
              <w:jc w:val="center"/>
              <w:rPr>
                <w:rFonts w:ascii="仿宋" w:hAnsi="仿宋" w:eastAsia="仿宋" w:cs="Times New Roman"/>
                <w:b/>
                <w:sz w:val="28"/>
                <w:szCs w:val="28"/>
              </w:rPr>
            </w:pPr>
            <w:r>
              <w:rPr>
                <w:rFonts w:hint="eastAsia" w:ascii="仿宋" w:hAnsi="仿宋" w:eastAsia="仿宋" w:cs="Times New Roman"/>
                <w:b/>
                <w:sz w:val="28"/>
                <w:szCs w:val="28"/>
              </w:rPr>
              <w:t>是否</w:t>
            </w:r>
            <w:r>
              <w:rPr>
                <w:rFonts w:ascii="仿宋" w:hAnsi="仿宋" w:eastAsia="仿宋" w:cs="Times New Roman"/>
                <w:b/>
                <w:sz w:val="28"/>
                <w:szCs w:val="28"/>
              </w:rPr>
              <w:t>核心产品</w:t>
            </w:r>
          </w:p>
        </w:tc>
        <w:tc>
          <w:tcPr>
            <w:tcW w:w="1247" w:type="dxa"/>
          </w:tcPr>
          <w:p w14:paraId="300C8C4E">
            <w:pPr>
              <w:spacing w:line="560" w:lineRule="exact"/>
              <w:jc w:val="center"/>
              <w:rPr>
                <w:rFonts w:ascii="仿宋" w:hAnsi="仿宋" w:eastAsia="仿宋" w:cs="Times New Roman"/>
                <w:b/>
                <w:sz w:val="28"/>
                <w:szCs w:val="28"/>
              </w:rPr>
            </w:pPr>
            <w:r>
              <w:rPr>
                <w:rFonts w:hint="eastAsia" w:ascii="仿宋" w:hAnsi="仿宋" w:eastAsia="仿宋" w:cs="Times New Roman"/>
                <w:b/>
                <w:sz w:val="28"/>
                <w:szCs w:val="28"/>
              </w:rPr>
              <w:t>浮动费用最高限价</w:t>
            </w:r>
          </w:p>
        </w:tc>
      </w:tr>
      <w:tr w14:paraId="69866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jc w:val="center"/>
        </w:trPr>
        <w:tc>
          <w:tcPr>
            <w:tcW w:w="850" w:type="dxa"/>
            <w:vAlign w:val="center"/>
          </w:tcPr>
          <w:p w14:paraId="4158F06A">
            <w:pPr>
              <w:adjustRightInd w:val="0"/>
              <w:snapToGrid w:val="0"/>
              <w:spacing w:line="560" w:lineRule="exact"/>
              <w:jc w:val="center"/>
              <w:rPr>
                <w:rFonts w:ascii="仿宋" w:hAnsi="仿宋" w:eastAsia="仿宋" w:cs="Times New Roman"/>
                <w:sz w:val="28"/>
                <w:szCs w:val="28"/>
              </w:rPr>
            </w:pPr>
            <w:r>
              <w:rPr>
                <w:rFonts w:hint="eastAsia" w:ascii="仿宋" w:hAnsi="仿宋" w:eastAsia="仿宋" w:cs="Times New Roman"/>
                <w:sz w:val="28"/>
                <w:szCs w:val="28"/>
              </w:rPr>
              <w:t>1</w:t>
            </w:r>
          </w:p>
        </w:tc>
        <w:tc>
          <w:tcPr>
            <w:tcW w:w="1843" w:type="dxa"/>
            <w:vAlign w:val="center"/>
          </w:tcPr>
          <w:p w14:paraId="2FB5E084">
            <w:pPr>
              <w:adjustRightInd w:val="0"/>
              <w:snapToGrid w:val="0"/>
              <w:spacing w:line="560" w:lineRule="exact"/>
              <w:jc w:val="center"/>
              <w:rPr>
                <w:rFonts w:ascii="仿宋" w:hAnsi="仿宋" w:eastAsia="仿宋" w:cs="Times New Roman"/>
                <w:i/>
                <w:sz w:val="28"/>
                <w:szCs w:val="28"/>
                <w:u w:val="single"/>
              </w:rPr>
            </w:pPr>
            <w:r>
              <w:rPr>
                <w:rFonts w:hint="eastAsia" w:cs="Times New Roman" w:asciiTheme="minorEastAsia" w:hAnsiTheme="minorEastAsia"/>
                <w:szCs w:val="21"/>
              </w:rPr>
              <w:t>造币用电解镍</w:t>
            </w:r>
          </w:p>
        </w:tc>
        <w:tc>
          <w:tcPr>
            <w:tcW w:w="1417" w:type="dxa"/>
            <w:vAlign w:val="center"/>
          </w:tcPr>
          <w:p w14:paraId="12E5CBB8">
            <w:pPr>
              <w:adjustRightInd w:val="0"/>
              <w:snapToGrid w:val="0"/>
              <w:spacing w:line="560" w:lineRule="exact"/>
              <w:jc w:val="center"/>
              <w:rPr>
                <w:rFonts w:ascii="仿宋" w:hAnsi="仿宋" w:eastAsia="仿宋" w:cs="Times New Roman"/>
                <w:sz w:val="28"/>
                <w:szCs w:val="28"/>
              </w:rPr>
            </w:pPr>
            <w:r>
              <w:rPr>
                <w:rFonts w:cs="Times New Roman" w:asciiTheme="minorEastAsia" w:hAnsiTheme="minorEastAsia"/>
                <w:szCs w:val="21"/>
              </w:rPr>
              <w:t>A07010504</w:t>
            </w:r>
          </w:p>
        </w:tc>
        <w:tc>
          <w:tcPr>
            <w:tcW w:w="1276" w:type="dxa"/>
            <w:vAlign w:val="center"/>
          </w:tcPr>
          <w:p w14:paraId="443268E5">
            <w:pPr>
              <w:adjustRightInd w:val="0"/>
              <w:snapToGrid w:val="0"/>
              <w:spacing w:line="560" w:lineRule="exact"/>
              <w:jc w:val="center"/>
              <w:rPr>
                <w:rFonts w:ascii="仿宋" w:hAnsi="仿宋" w:eastAsia="仿宋" w:cs="Times New Roman"/>
                <w:sz w:val="28"/>
                <w:szCs w:val="28"/>
              </w:rPr>
            </w:pPr>
            <w:r>
              <w:rPr>
                <w:rFonts w:hint="eastAsia" w:ascii="仿宋" w:hAnsi="仿宋" w:eastAsia="仿宋" w:cs="Times New Roman"/>
                <w:sz w:val="28"/>
                <w:szCs w:val="28"/>
              </w:rPr>
              <w:t>货物</w:t>
            </w:r>
          </w:p>
        </w:tc>
        <w:tc>
          <w:tcPr>
            <w:tcW w:w="1023" w:type="dxa"/>
            <w:vAlign w:val="center"/>
          </w:tcPr>
          <w:p w14:paraId="331DC761">
            <w:pPr>
              <w:adjustRightInd w:val="0"/>
              <w:snapToGrid w:val="0"/>
              <w:spacing w:line="560" w:lineRule="exact"/>
              <w:jc w:val="center"/>
              <w:rPr>
                <w:rFonts w:ascii="仿宋" w:hAnsi="仿宋" w:eastAsia="仿宋" w:cs="Times New Roman"/>
                <w:sz w:val="28"/>
                <w:szCs w:val="28"/>
              </w:rPr>
            </w:pPr>
            <w:r>
              <w:rPr>
                <w:rFonts w:hint="eastAsia" w:cs="Times New Roman" w:asciiTheme="minorEastAsia" w:hAnsiTheme="minorEastAsia"/>
                <w:szCs w:val="21"/>
              </w:rPr>
              <w:t>吨</w:t>
            </w:r>
          </w:p>
        </w:tc>
        <w:tc>
          <w:tcPr>
            <w:tcW w:w="992" w:type="dxa"/>
            <w:vAlign w:val="center"/>
          </w:tcPr>
          <w:p w14:paraId="08543CA7">
            <w:pPr>
              <w:adjustRightInd w:val="0"/>
              <w:snapToGrid w:val="0"/>
              <w:spacing w:line="560" w:lineRule="exact"/>
              <w:jc w:val="center"/>
              <w:rPr>
                <w:rFonts w:ascii="仿宋" w:hAnsi="仿宋" w:eastAsia="仿宋" w:cs="Times New Roman"/>
                <w:sz w:val="28"/>
                <w:szCs w:val="28"/>
              </w:rPr>
            </w:pPr>
            <w:r>
              <w:rPr>
                <w:rFonts w:hint="eastAsia" w:cs="Times New Roman" w:asciiTheme="minorEastAsia" w:hAnsiTheme="minorEastAsia"/>
                <w:szCs w:val="21"/>
              </w:rPr>
              <w:t>1400</w:t>
            </w:r>
          </w:p>
        </w:tc>
        <w:tc>
          <w:tcPr>
            <w:tcW w:w="993" w:type="dxa"/>
            <w:vAlign w:val="center"/>
          </w:tcPr>
          <w:p w14:paraId="729F94ED">
            <w:pPr>
              <w:adjustRightInd w:val="0"/>
              <w:snapToGrid w:val="0"/>
              <w:spacing w:line="560" w:lineRule="exact"/>
              <w:jc w:val="center"/>
              <w:rPr>
                <w:rFonts w:ascii="仿宋" w:hAnsi="仿宋" w:eastAsia="仿宋" w:cs="Times New Roman"/>
                <w:color w:val="FF0000"/>
                <w:sz w:val="28"/>
                <w:szCs w:val="28"/>
              </w:rPr>
            </w:pPr>
            <w:r>
              <w:rPr>
                <w:rFonts w:hint="eastAsia" w:cs="Times New Roman" w:asciiTheme="minorEastAsia" w:hAnsiTheme="minorEastAsia"/>
                <w:color w:val="FF0000"/>
                <w:szCs w:val="21"/>
              </w:rPr>
              <w:t>是</w:t>
            </w:r>
          </w:p>
        </w:tc>
        <w:tc>
          <w:tcPr>
            <w:tcW w:w="992" w:type="dxa"/>
            <w:vAlign w:val="center"/>
          </w:tcPr>
          <w:p w14:paraId="4C9C1F3C">
            <w:pPr>
              <w:adjustRightInd w:val="0"/>
              <w:snapToGrid w:val="0"/>
              <w:spacing w:line="560" w:lineRule="exact"/>
              <w:jc w:val="center"/>
              <w:rPr>
                <w:rFonts w:ascii="仿宋" w:hAnsi="仿宋" w:eastAsia="仿宋" w:cs="Times New Roman"/>
                <w:sz w:val="28"/>
                <w:szCs w:val="28"/>
              </w:rPr>
            </w:pPr>
            <w:r>
              <w:rPr>
                <w:rFonts w:hint="eastAsia" w:cs="Times New Roman" w:asciiTheme="minorEastAsia" w:hAnsiTheme="minorEastAsia"/>
                <w:szCs w:val="21"/>
              </w:rPr>
              <w:t>是</w:t>
            </w:r>
          </w:p>
        </w:tc>
        <w:tc>
          <w:tcPr>
            <w:tcW w:w="1247" w:type="dxa"/>
          </w:tcPr>
          <w:p w14:paraId="38DB772C">
            <w:pPr>
              <w:adjustRightInd w:val="0"/>
              <w:snapToGrid w:val="0"/>
              <w:spacing w:line="560" w:lineRule="exact"/>
              <w:jc w:val="center"/>
              <w:rPr>
                <w:rFonts w:ascii="仿宋" w:hAnsi="仿宋" w:eastAsia="仿宋" w:cs="Times New Roman"/>
                <w:sz w:val="28"/>
                <w:szCs w:val="28"/>
              </w:rPr>
            </w:pPr>
            <w:r>
              <w:rPr>
                <w:rFonts w:hint="eastAsia" w:cs="Times New Roman" w:asciiTheme="minorEastAsia" w:hAnsiTheme="minorEastAsia"/>
                <w:szCs w:val="21"/>
              </w:rPr>
              <w:t>1200元/吨</w:t>
            </w:r>
          </w:p>
        </w:tc>
      </w:tr>
      <w:tr w14:paraId="49798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jc w:val="center"/>
        </w:trPr>
        <w:tc>
          <w:tcPr>
            <w:tcW w:w="850" w:type="dxa"/>
            <w:vAlign w:val="center"/>
          </w:tcPr>
          <w:p w14:paraId="154AFB57">
            <w:pPr>
              <w:adjustRightInd w:val="0"/>
              <w:snapToGrid w:val="0"/>
              <w:spacing w:line="560" w:lineRule="exact"/>
              <w:jc w:val="center"/>
              <w:rPr>
                <w:rFonts w:ascii="仿宋" w:hAnsi="仿宋" w:eastAsia="仿宋" w:cs="Times New Roman"/>
                <w:sz w:val="28"/>
                <w:szCs w:val="28"/>
              </w:rPr>
            </w:pPr>
            <w:r>
              <w:rPr>
                <w:rFonts w:hint="eastAsia" w:ascii="仿宋" w:hAnsi="仿宋" w:eastAsia="仿宋" w:cs="Times New Roman"/>
                <w:sz w:val="28"/>
                <w:szCs w:val="28"/>
              </w:rPr>
              <w:t>……</w:t>
            </w:r>
          </w:p>
        </w:tc>
        <w:tc>
          <w:tcPr>
            <w:tcW w:w="1843" w:type="dxa"/>
            <w:vAlign w:val="center"/>
          </w:tcPr>
          <w:p w14:paraId="44655A51">
            <w:pPr>
              <w:adjustRightInd w:val="0"/>
              <w:snapToGrid w:val="0"/>
              <w:spacing w:line="560" w:lineRule="exact"/>
              <w:jc w:val="center"/>
              <w:rPr>
                <w:rFonts w:ascii="仿宋" w:hAnsi="仿宋" w:eastAsia="仿宋" w:cs="Times New Roman"/>
                <w:i/>
                <w:sz w:val="28"/>
                <w:szCs w:val="28"/>
                <w:u w:val="single"/>
              </w:rPr>
            </w:pPr>
            <w:r>
              <w:rPr>
                <w:rFonts w:hint="eastAsia" w:ascii="仿宋" w:hAnsi="仿宋" w:eastAsia="仿宋" w:cs="Times New Roman"/>
                <w:sz w:val="28"/>
                <w:szCs w:val="28"/>
              </w:rPr>
              <w:t>……</w:t>
            </w:r>
          </w:p>
        </w:tc>
        <w:tc>
          <w:tcPr>
            <w:tcW w:w="1417" w:type="dxa"/>
            <w:vAlign w:val="center"/>
          </w:tcPr>
          <w:p w14:paraId="50B8CFF9">
            <w:pPr>
              <w:adjustRightInd w:val="0"/>
              <w:snapToGrid w:val="0"/>
              <w:spacing w:line="560" w:lineRule="exact"/>
              <w:jc w:val="center"/>
              <w:rPr>
                <w:rFonts w:ascii="仿宋" w:hAnsi="仿宋" w:eastAsia="仿宋" w:cs="Times New Roman"/>
                <w:sz w:val="28"/>
                <w:szCs w:val="28"/>
              </w:rPr>
            </w:pPr>
            <w:r>
              <w:rPr>
                <w:rFonts w:hint="eastAsia" w:ascii="仿宋" w:hAnsi="仿宋" w:eastAsia="仿宋" w:cs="Times New Roman"/>
                <w:sz w:val="28"/>
                <w:szCs w:val="28"/>
              </w:rPr>
              <w:t>……</w:t>
            </w:r>
          </w:p>
        </w:tc>
        <w:tc>
          <w:tcPr>
            <w:tcW w:w="1276" w:type="dxa"/>
            <w:vAlign w:val="center"/>
          </w:tcPr>
          <w:p w14:paraId="4461A46D">
            <w:pPr>
              <w:adjustRightInd w:val="0"/>
              <w:snapToGrid w:val="0"/>
              <w:spacing w:line="560" w:lineRule="exact"/>
              <w:jc w:val="center"/>
              <w:rPr>
                <w:rFonts w:ascii="仿宋" w:hAnsi="仿宋" w:eastAsia="仿宋" w:cs="Times New Roman"/>
                <w:sz w:val="28"/>
                <w:szCs w:val="28"/>
              </w:rPr>
            </w:pPr>
          </w:p>
        </w:tc>
        <w:tc>
          <w:tcPr>
            <w:tcW w:w="1023" w:type="dxa"/>
            <w:vAlign w:val="center"/>
          </w:tcPr>
          <w:p w14:paraId="340E1CE2">
            <w:pPr>
              <w:adjustRightInd w:val="0"/>
              <w:snapToGrid w:val="0"/>
              <w:spacing w:line="560" w:lineRule="exact"/>
              <w:jc w:val="center"/>
              <w:rPr>
                <w:rFonts w:ascii="仿宋" w:hAnsi="仿宋" w:eastAsia="仿宋" w:cs="Times New Roman"/>
                <w:sz w:val="28"/>
                <w:szCs w:val="28"/>
              </w:rPr>
            </w:pPr>
            <w:r>
              <w:rPr>
                <w:rFonts w:hint="eastAsia" w:ascii="仿宋" w:hAnsi="仿宋" w:eastAsia="仿宋" w:cs="Times New Roman"/>
                <w:sz w:val="28"/>
                <w:szCs w:val="28"/>
              </w:rPr>
              <w:t>……</w:t>
            </w:r>
          </w:p>
        </w:tc>
        <w:tc>
          <w:tcPr>
            <w:tcW w:w="992" w:type="dxa"/>
            <w:vAlign w:val="center"/>
          </w:tcPr>
          <w:p w14:paraId="2A749F1C">
            <w:pPr>
              <w:adjustRightInd w:val="0"/>
              <w:snapToGrid w:val="0"/>
              <w:spacing w:line="560" w:lineRule="exact"/>
              <w:jc w:val="center"/>
              <w:rPr>
                <w:rFonts w:ascii="仿宋" w:hAnsi="仿宋" w:eastAsia="仿宋" w:cs="Times New Roman"/>
                <w:sz w:val="28"/>
                <w:szCs w:val="28"/>
              </w:rPr>
            </w:pPr>
            <w:r>
              <w:rPr>
                <w:rFonts w:hint="eastAsia" w:ascii="仿宋" w:hAnsi="仿宋" w:eastAsia="仿宋" w:cs="Times New Roman"/>
                <w:sz w:val="28"/>
                <w:szCs w:val="28"/>
              </w:rPr>
              <w:t>……</w:t>
            </w:r>
          </w:p>
        </w:tc>
        <w:tc>
          <w:tcPr>
            <w:tcW w:w="993" w:type="dxa"/>
            <w:vAlign w:val="center"/>
          </w:tcPr>
          <w:p w14:paraId="4A0B0956">
            <w:pPr>
              <w:adjustRightInd w:val="0"/>
              <w:snapToGrid w:val="0"/>
              <w:spacing w:line="560" w:lineRule="exact"/>
              <w:jc w:val="center"/>
              <w:rPr>
                <w:rFonts w:ascii="仿宋" w:hAnsi="仿宋" w:eastAsia="仿宋" w:cs="Times New Roman"/>
                <w:sz w:val="28"/>
                <w:szCs w:val="28"/>
              </w:rPr>
            </w:pPr>
            <w:r>
              <w:rPr>
                <w:rFonts w:hint="eastAsia" w:ascii="仿宋" w:hAnsi="仿宋" w:eastAsia="仿宋" w:cs="Times New Roman"/>
                <w:sz w:val="28"/>
                <w:szCs w:val="28"/>
              </w:rPr>
              <w:t>……</w:t>
            </w:r>
          </w:p>
        </w:tc>
        <w:tc>
          <w:tcPr>
            <w:tcW w:w="992" w:type="dxa"/>
          </w:tcPr>
          <w:p w14:paraId="160E75C0">
            <w:pPr>
              <w:adjustRightInd w:val="0"/>
              <w:snapToGrid w:val="0"/>
              <w:spacing w:line="560" w:lineRule="exact"/>
              <w:jc w:val="center"/>
              <w:rPr>
                <w:rFonts w:ascii="仿宋" w:hAnsi="仿宋" w:eastAsia="仿宋" w:cs="Times New Roman"/>
                <w:sz w:val="28"/>
                <w:szCs w:val="28"/>
              </w:rPr>
            </w:pPr>
          </w:p>
        </w:tc>
        <w:tc>
          <w:tcPr>
            <w:tcW w:w="1247" w:type="dxa"/>
          </w:tcPr>
          <w:p w14:paraId="6668B65B">
            <w:pPr>
              <w:adjustRightInd w:val="0"/>
              <w:snapToGrid w:val="0"/>
              <w:spacing w:line="560" w:lineRule="exact"/>
              <w:jc w:val="center"/>
              <w:rPr>
                <w:rFonts w:ascii="仿宋" w:hAnsi="仿宋" w:eastAsia="仿宋" w:cs="Times New Roman"/>
                <w:sz w:val="28"/>
                <w:szCs w:val="28"/>
              </w:rPr>
            </w:pPr>
          </w:p>
        </w:tc>
      </w:tr>
    </w:tbl>
    <w:p w14:paraId="2CC22F7C">
      <w:pPr>
        <w:spacing w:line="560" w:lineRule="exact"/>
        <w:ind w:firstLine="640" w:firstLineChars="200"/>
        <w:jc w:val="left"/>
        <w:outlineLvl w:val="1"/>
        <w:rPr>
          <w:rFonts w:ascii="楷体" w:hAnsi="楷体" w:eastAsia="楷体" w:cs="Times New Roman"/>
          <w:sz w:val="32"/>
          <w:szCs w:val="32"/>
        </w:rPr>
      </w:pPr>
      <w:r>
        <w:rPr>
          <w:rFonts w:hint="eastAsia" w:ascii="楷体" w:hAnsi="楷体" w:eastAsia="楷体" w:cs="Times New Roman"/>
          <w:sz w:val="32"/>
          <w:szCs w:val="32"/>
        </w:rPr>
        <w:t>（四）技术商务要求</w:t>
      </w:r>
    </w:p>
    <w:p w14:paraId="59933651">
      <w:pPr>
        <w:spacing w:line="560" w:lineRule="exact"/>
        <w:ind w:firstLine="640" w:firstLineChars="200"/>
        <w:jc w:val="left"/>
        <w:outlineLvl w:val="3"/>
        <w:rPr>
          <w:rFonts w:ascii="仿宋" w:hAnsi="仿宋" w:eastAsia="仿宋" w:cs="Times New Roman"/>
          <w:sz w:val="32"/>
          <w:szCs w:val="32"/>
        </w:rPr>
      </w:pPr>
      <w:r>
        <w:rPr>
          <w:rFonts w:hint="eastAsia" w:ascii="仿宋" w:hAnsi="仿宋" w:eastAsia="仿宋" w:cs="Times New Roman"/>
          <w:sz w:val="32"/>
          <w:szCs w:val="32"/>
        </w:rPr>
        <w:t>（1）技术要求</w:t>
      </w:r>
    </w:p>
    <w:p w14:paraId="149B1520">
      <w:pPr>
        <w:spacing w:line="360" w:lineRule="auto"/>
        <w:ind w:firstLine="640" w:firstLineChars="200"/>
        <w:rPr>
          <w:rFonts w:ascii="仿宋" w:hAnsi="仿宋" w:eastAsia="仿宋" w:cs="Times New Roman"/>
          <w:iCs/>
          <w:sz w:val="32"/>
          <w:szCs w:val="32"/>
        </w:rPr>
      </w:pPr>
      <w:r>
        <w:rPr>
          <w:rFonts w:hint="eastAsia" w:ascii="仿宋" w:hAnsi="仿宋" w:eastAsia="仿宋" w:cs="Times New Roman"/>
          <w:iCs/>
          <w:sz w:val="32"/>
          <w:szCs w:val="32"/>
        </w:rPr>
        <w:t>本技术要求</w:t>
      </w:r>
      <w:r>
        <w:rPr>
          <w:rFonts w:ascii="仿宋" w:hAnsi="仿宋" w:eastAsia="仿宋" w:cs="Times New Roman"/>
          <w:iCs/>
          <w:sz w:val="32"/>
          <w:szCs w:val="32"/>
        </w:rPr>
        <w:t>共有“</w:t>
      </w:r>
      <w:r>
        <w:rPr>
          <w:rFonts w:hint="eastAsia" w:ascii="仿宋" w:hAnsi="仿宋" w:eastAsia="仿宋" w:cs="Times New Roman"/>
          <w:iCs/>
          <w:sz w:val="32"/>
          <w:szCs w:val="32"/>
        </w:rPr>
        <w:t>★</w:t>
      </w:r>
      <w:r>
        <w:rPr>
          <w:rFonts w:ascii="仿宋" w:hAnsi="仿宋" w:eastAsia="仿宋" w:cs="Times New Roman"/>
          <w:iCs/>
          <w:sz w:val="32"/>
          <w:szCs w:val="32"/>
        </w:rPr>
        <w:t>”</w:t>
      </w:r>
      <w:r>
        <w:rPr>
          <w:rFonts w:hint="eastAsia" w:ascii="仿宋" w:hAnsi="仿宋" w:eastAsia="仿宋" w:cs="Times New Roman"/>
          <w:iCs/>
          <w:sz w:val="32"/>
          <w:szCs w:val="32"/>
        </w:rPr>
        <w:t>指标项</w:t>
      </w:r>
      <w:r>
        <w:rPr>
          <w:rFonts w:ascii="仿宋" w:hAnsi="仿宋" w:eastAsia="仿宋" w:cs="Times New Roman"/>
          <w:iCs/>
          <w:sz w:val="32"/>
          <w:szCs w:val="32"/>
          <w:u w:val="single"/>
        </w:rPr>
        <w:t xml:space="preserve">  5  </w:t>
      </w:r>
      <w:r>
        <w:rPr>
          <w:rFonts w:hint="eastAsia" w:ascii="仿宋" w:hAnsi="仿宋" w:eastAsia="仿宋" w:cs="Times New Roman"/>
          <w:iCs/>
          <w:sz w:val="32"/>
          <w:szCs w:val="32"/>
        </w:rPr>
        <w:t>项</w:t>
      </w:r>
      <w:r>
        <w:rPr>
          <w:rFonts w:ascii="仿宋" w:hAnsi="仿宋" w:eastAsia="仿宋" w:cs="Times New Roman"/>
          <w:iCs/>
          <w:sz w:val="32"/>
          <w:szCs w:val="32"/>
        </w:rPr>
        <w:t>，“#”</w:t>
      </w:r>
      <w:r>
        <w:rPr>
          <w:rFonts w:hint="eastAsia" w:ascii="仿宋" w:hAnsi="仿宋" w:eastAsia="仿宋" w:cs="Times New Roman"/>
          <w:iCs/>
          <w:sz w:val="32"/>
          <w:szCs w:val="32"/>
        </w:rPr>
        <w:t>指标项</w:t>
      </w:r>
      <w:r>
        <w:rPr>
          <w:rFonts w:ascii="仿宋" w:hAnsi="仿宋" w:eastAsia="仿宋" w:cs="Times New Roman"/>
          <w:iCs/>
          <w:sz w:val="32"/>
          <w:szCs w:val="32"/>
          <w:u w:val="single"/>
        </w:rPr>
        <w:t xml:space="preserve">  0  </w:t>
      </w:r>
      <w:r>
        <w:rPr>
          <w:rFonts w:hint="eastAsia" w:ascii="仿宋" w:hAnsi="仿宋" w:eastAsia="仿宋" w:cs="Times New Roman"/>
          <w:iCs/>
          <w:sz w:val="32"/>
          <w:szCs w:val="32"/>
        </w:rPr>
        <w:t>项</w:t>
      </w:r>
      <w:r>
        <w:rPr>
          <w:rFonts w:ascii="仿宋" w:hAnsi="仿宋" w:eastAsia="仿宋" w:cs="Times New Roman"/>
          <w:iCs/>
          <w:sz w:val="32"/>
          <w:szCs w:val="32"/>
        </w:rPr>
        <w:t>，</w:t>
      </w:r>
      <w:r>
        <w:rPr>
          <w:rFonts w:hint="eastAsia" w:ascii="仿宋" w:hAnsi="仿宋" w:eastAsia="仿宋" w:cs="Times New Roman"/>
          <w:iCs/>
          <w:sz w:val="32"/>
          <w:szCs w:val="32"/>
        </w:rPr>
        <w:t>“△”</w:t>
      </w:r>
      <w:r>
        <w:rPr>
          <w:rFonts w:ascii="仿宋" w:hAnsi="仿宋" w:eastAsia="仿宋" w:cs="Times New Roman"/>
          <w:iCs/>
          <w:sz w:val="32"/>
          <w:szCs w:val="32"/>
        </w:rPr>
        <w:t>指标</w:t>
      </w:r>
      <w:r>
        <w:rPr>
          <w:rFonts w:hint="eastAsia" w:ascii="仿宋" w:hAnsi="仿宋" w:eastAsia="仿宋" w:cs="Times New Roman"/>
          <w:iCs/>
          <w:sz w:val="32"/>
          <w:szCs w:val="32"/>
        </w:rPr>
        <w:t>项</w:t>
      </w:r>
      <w:r>
        <w:rPr>
          <w:rFonts w:ascii="仿宋" w:hAnsi="仿宋" w:eastAsia="仿宋" w:cs="Times New Roman"/>
          <w:iCs/>
          <w:sz w:val="32"/>
          <w:szCs w:val="32"/>
          <w:u w:val="single"/>
        </w:rPr>
        <w:t xml:space="preserve">  0  </w:t>
      </w:r>
      <w:r>
        <w:rPr>
          <w:rFonts w:hint="eastAsia" w:ascii="仿宋" w:hAnsi="仿宋" w:eastAsia="仿宋" w:cs="Times New Roman"/>
          <w:iCs/>
          <w:sz w:val="32"/>
          <w:szCs w:val="32"/>
        </w:rPr>
        <w:t>项。</w:t>
      </w:r>
    </w:p>
    <w:tbl>
      <w:tblPr>
        <w:tblStyle w:val="8"/>
        <w:tblW w:w="8794" w:type="dxa"/>
        <w:tblInd w:w="-10" w:type="dxa"/>
        <w:tblLayout w:type="fixed"/>
        <w:tblCellMar>
          <w:top w:w="0" w:type="dxa"/>
          <w:left w:w="0" w:type="dxa"/>
          <w:bottom w:w="0" w:type="dxa"/>
          <w:right w:w="0" w:type="dxa"/>
        </w:tblCellMar>
      </w:tblPr>
      <w:tblGrid>
        <w:gridCol w:w="714"/>
        <w:gridCol w:w="909"/>
        <w:gridCol w:w="1902"/>
        <w:gridCol w:w="4145"/>
        <w:gridCol w:w="1124"/>
      </w:tblGrid>
      <w:tr w14:paraId="08D0386F">
        <w:tblPrEx>
          <w:tblCellMar>
            <w:top w:w="0" w:type="dxa"/>
            <w:left w:w="0" w:type="dxa"/>
            <w:bottom w:w="0" w:type="dxa"/>
            <w:right w:w="0" w:type="dxa"/>
          </w:tblCellMar>
        </w:tblPrEx>
        <w:trPr>
          <w:trHeight w:val="20" w:hRule="atLeast"/>
          <w:tblHead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7795C">
            <w:pPr>
              <w:widowControl/>
              <w:jc w:val="center"/>
              <w:textAlignment w:val="center"/>
              <w:rPr>
                <w:rFonts w:ascii="仿宋" w:hAnsi="仿宋" w:eastAsia="仿宋" w:cs="宋体"/>
                <w:b/>
                <w:sz w:val="28"/>
                <w:szCs w:val="28"/>
              </w:rPr>
            </w:pPr>
            <w:r>
              <w:rPr>
                <w:rFonts w:hint="eastAsia" w:ascii="仿宋" w:hAnsi="仿宋" w:eastAsia="仿宋" w:cs="宋体"/>
                <w:b/>
                <w:kern w:val="0"/>
                <w:sz w:val="28"/>
                <w:szCs w:val="28"/>
              </w:rPr>
              <w:t>序号</w:t>
            </w: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66BA8">
            <w:pPr>
              <w:widowControl/>
              <w:jc w:val="center"/>
              <w:textAlignment w:val="center"/>
              <w:rPr>
                <w:rFonts w:ascii="仿宋" w:hAnsi="仿宋" w:eastAsia="仿宋" w:cs="宋体"/>
                <w:b/>
                <w:sz w:val="28"/>
                <w:szCs w:val="28"/>
              </w:rPr>
            </w:pPr>
            <w:r>
              <w:rPr>
                <w:rFonts w:hint="eastAsia" w:ascii="仿宋" w:hAnsi="仿宋" w:eastAsia="仿宋" w:cs="宋体"/>
                <w:b/>
                <w:kern w:val="0"/>
                <w:sz w:val="28"/>
                <w:szCs w:val="28"/>
              </w:rPr>
              <w:t>重要性</w:t>
            </w:r>
          </w:p>
        </w:tc>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7991F">
            <w:pPr>
              <w:widowControl/>
              <w:jc w:val="center"/>
              <w:textAlignment w:val="center"/>
              <w:rPr>
                <w:rFonts w:ascii="仿宋" w:hAnsi="仿宋" w:eastAsia="仿宋" w:cs="宋体"/>
                <w:b/>
                <w:sz w:val="28"/>
                <w:szCs w:val="28"/>
              </w:rPr>
            </w:pPr>
            <w:r>
              <w:rPr>
                <w:rFonts w:hint="eastAsia" w:ascii="仿宋" w:hAnsi="仿宋" w:eastAsia="仿宋" w:cs="宋体"/>
                <w:b/>
                <w:kern w:val="0"/>
                <w:sz w:val="28"/>
                <w:szCs w:val="28"/>
              </w:rPr>
              <w:t>指标项</w:t>
            </w:r>
          </w:p>
        </w:tc>
        <w:tc>
          <w:tcPr>
            <w:tcW w:w="4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5074C">
            <w:pPr>
              <w:widowControl/>
              <w:jc w:val="center"/>
              <w:textAlignment w:val="center"/>
              <w:rPr>
                <w:rFonts w:ascii="仿宋" w:hAnsi="仿宋" w:eastAsia="仿宋" w:cs="宋体"/>
                <w:b/>
                <w:sz w:val="28"/>
                <w:szCs w:val="28"/>
              </w:rPr>
            </w:pPr>
            <w:r>
              <w:rPr>
                <w:rFonts w:hint="eastAsia" w:ascii="仿宋" w:hAnsi="仿宋" w:eastAsia="仿宋" w:cs="宋体"/>
                <w:b/>
                <w:kern w:val="0"/>
                <w:sz w:val="28"/>
                <w:szCs w:val="28"/>
              </w:rPr>
              <w:t>指标要求</w:t>
            </w:r>
          </w:p>
        </w:tc>
        <w:tc>
          <w:tcPr>
            <w:tcW w:w="1124" w:type="dxa"/>
            <w:tcBorders>
              <w:top w:val="single" w:color="000000" w:sz="4" w:space="0"/>
              <w:left w:val="single" w:color="000000" w:sz="4" w:space="0"/>
              <w:bottom w:val="single" w:color="000000" w:sz="4" w:space="0"/>
              <w:right w:val="single" w:color="000000" w:sz="4" w:space="0"/>
            </w:tcBorders>
          </w:tcPr>
          <w:p w14:paraId="1A282C1D">
            <w:pPr>
              <w:widowControl/>
              <w:jc w:val="center"/>
              <w:textAlignment w:val="center"/>
              <w:rPr>
                <w:rFonts w:ascii="仿宋" w:hAnsi="仿宋" w:eastAsia="仿宋" w:cs="宋体"/>
                <w:b/>
                <w:kern w:val="0"/>
                <w:sz w:val="28"/>
                <w:szCs w:val="28"/>
              </w:rPr>
            </w:pPr>
            <w:r>
              <w:rPr>
                <w:rFonts w:hint="eastAsia" w:ascii="仿宋" w:hAnsi="仿宋" w:eastAsia="仿宋" w:cs="宋体"/>
                <w:b/>
                <w:kern w:val="0"/>
                <w:sz w:val="28"/>
                <w:szCs w:val="28"/>
              </w:rPr>
              <w:t>是否</w:t>
            </w:r>
            <w:r>
              <w:rPr>
                <w:rFonts w:ascii="仿宋" w:hAnsi="仿宋" w:eastAsia="仿宋" w:cs="宋体"/>
                <w:b/>
                <w:kern w:val="0"/>
                <w:sz w:val="28"/>
                <w:szCs w:val="28"/>
              </w:rPr>
              <w:t>提供证明材料</w:t>
            </w:r>
            <w:r>
              <w:rPr>
                <w:rFonts w:hint="eastAsia" w:ascii="仿宋" w:hAnsi="仿宋" w:eastAsia="仿宋" w:cs="宋体"/>
                <w:b/>
                <w:kern w:val="0"/>
                <w:sz w:val="28"/>
                <w:szCs w:val="28"/>
              </w:rPr>
              <w:t>及方式</w:t>
            </w:r>
          </w:p>
        </w:tc>
      </w:tr>
      <w:tr w14:paraId="13C6E3D9">
        <w:tblPrEx>
          <w:tblCellMar>
            <w:top w:w="0" w:type="dxa"/>
            <w:left w:w="0" w:type="dxa"/>
            <w:bottom w:w="0" w:type="dxa"/>
            <w:right w:w="0" w:type="dxa"/>
          </w:tblCellMar>
        </w:tblPrEx>
        <w:trPr>
          <w:trHeight w:val="20" w:hRule="atLeast"/>
        </w:trPr>
        <w:tc>
          <w:tcPr>
            <w:tcW w:w="714" w:type="dxa"/>
            <w:tcBorders>
              <w:top w:val="single" w:color="000000" w:sz="4" w:space="0"/>
              <w:left w:val="single" w:color="000000" w:sz="4" w:space="0"/>
              <w:bottom w:val="single" w:color="000000" w:sz="4" w:space="0"/>
              <w:right w:val="single" w:color="000000" w:sz="4" w:space="0"/>
            </w:tcBorders>
            <w:vAlign w:val="center"/>
          </w:tcPr>
          <w:p w14:paraId="174CAD39">
            <w:pPr>
              <w:widowControl/>
              <w:jc w:val="center"/>
              <w:textAlignment w:val="center"/>
              <w:rPr>
                <w:rFonts w:ascii="仿宋" w:hAnsi="仿宋" w:eastAsia="仿宋" w:cs="宋体"/>
                <w:sz w:val="28"/>
                <w:szCs w:val="28"/>
              </w:rPr>
            </w:pPr>
            <w:r>
              <w:rPr>
                <w:rFonts w:hint="eastAsia" w:ascii="仿宋" w:hAnsi="仿宋" w:eastAsia="仿宋" w:cs="宋体"/>
                <w:kern w:val="0"/>
                <w:sz w:val="28"/>
                <w:szCs w:val="28"/>
              </w:rPr>
              <w:t>1</w:t>
            </w:r>
          </w:p>
        </w:tc>
        <w:tc>
          <w:tcPr>
            <w:tcW w:w="909" w:type="dxa"/>
            <w:tcBorders>
              <w:top w:val="single" w:color="000000" w:sz="4" w:space="0"/>
              <w:left w:val="single" w:color="000000" w:sz="4" w:space="0"/>
              <w:bottom w:val="single" w:color="000000" w:sz="4" w:space="0"/>
              <w:right w:val="single" w:color="000000" w:sz="4" w:space="0"/>
            </w:tcBorders>
            <w:vAlign w:val="center"/>
          </w:tcPr>
          <w:p w14:paraId="1FA958FC">
            <w:pPr>
              <w:widowControl/>
              <w:jc w:val="center"/>
              <w:textAlignment w:val="center"/>
              <w:rPr>
                <w:rFonts w:ascii="仿宋" w:hAnsi="仿宋" w:eastAsia="仿宋" w:cs="宋体"/>
                <w:sz w:val="28"/>
                <w:szCs w:val="28"/>
              </w:rPr>
            </w:pPr>
            <w:r>
              <w:rPr>
                <w:rFonts w:hint="eastAsia" w:ascii="仿宋" w:hAnsi="仿宋" w:eastAsia="仿宋" w:cs="宋体"/>
                <w:kern w:val="0"/>
                <w:sz w:val="28"/>
                <w:szCs w:val="28"/>
              </w:rPr>
              <w:t>★</w:t>
            </w:r>
          </w:p>
        </w:tc>
        <w:tc>
          <w:tcPr>
            <w:tcW w:w="1902" w:type="dxa"/>
            <w:tcBorders>
              <w:top w:val="single" w:color="000000" w:sz="4" w:space="0"/>
              <w:left w:val="single" w:color="000000" w:sz="4" w:space="0"/>
              <w:bottom w:val="single" w:color="000000" w:sz="4" w:space="0"/>
              <w:right w:val="single" w:color="000000" w:sz="4" w:space="0"/>
            </w:tcBorders>
            <w:vAlign w:val="center"/>
          </w:tcPr>
          <w:p w14:paraId="1EE8C74D">
            <w:pPr>
              <w:widowControl/>
              <w:jc w:val="center"/>
              <w:textAlignment w:val="center"/>
              <w:rPr>
                <w:rFonts w:ascii="仿宋" w:hAnsi="仿宋" w:eastAsia="仿宋" w:cs="宋体"/>
                <w:sz w:val="28"/>
                <w:szCs w:val="28"/>
              </w:rPr>
            </w:pPr>
            <w:r>
              <w:rPr>
                <w:rFonts w:hint="eastAsia" w:cs="仿宋_GB2312" w:asciiTheme="minorEastAsia" w:hAnsiTheme="minorEastAsia"/>
                <w:snapToGrid w:val="0"/>
                <w:szCs w:val="21"/>
                <w:lang w:val="zh-CN"/>
              </w:rPr>
              <w:t>化学成分</w:t>
            </w:r>
          </w:p>
        </w:tc>
        <w:tc>
          <w:tcPr>
            <w:tcW w:w="4145" w:type="dxa"/>
            <w:tcBorders>
              <w:top w:val="single" w:color="000000" w:sz="4" w:space="0"/>
              <w:left w:val="single" w:color="000000" w:sz="4" w:space="0"/>
              <w:bottom w:val="single" w:color="000000" w:sz="4" w:space="0"/>
              <w:right w:val="single" w:color="000000" w:sz="4" w:space="0"/>
            </w:tcBorders>
            <w:vAlign w:val="center"/>
          </w:tcPr>
          <w:p w14:paraId="031C76A2">
            <w:pPr>
              <w:pStyle w:val="15"/>
              <w:snapToGrid w:val="0"/>
              <w:ind w:firstLine="0" w:firstLineChars="0"/>
              <w:rPr>
                <w:rFonts w:cs="仿宋_GB2312" w:asciiTheme="minorEastAsia" w:hAnsiTheme="minorEastAsia"/>
                <w:snapToGrid w:val="0"/>
                <w:szCs w:val="21"/>
              </w:rPr>
            </w:pPr>
            <w:r>
              <w:rPr>
                <w:rFonts w:hint="eastAsia" w:cs="仿宋_GB2312" w:asciiTheme="minorEastAsia" w:hAnsiTheme="minorEastAsia"/>
                <w:snapToGrid w:val="0"/>
                <w:szCs w:val="21"/>
                <w:lang w:val="zh-CN"/>
              </w:rPr>
              <w:t>电解镍的化学成分</w:t>
            </w:r>
            <w:r>
              <w:rPr>
                <w:rFonts w:hint="eastAsia" w:cs="仿宋_GB2312" w:asciiTheme="minorEastAsia" w:hAnsiTheme="minorEastAsia"/>
                <w:snapToGrid w:val="0"/>
                <w:szCs w:val="21"/>
              </w:rPr>
              <w:t>；</w:t>
            </w:r>
          </w:p>
          <w:tbl>
            <w:tblPr>
              <w:tblStyle w:val="8"/>
              <w:tblW w:w="3498" w:type="pct"/>
              <w:jc w:val="center"/>
              <w:tblLayout w:type="fixed"/>
              <w:tblCellMar>
                <w:top w:w="0" w:type="dxa"/>
                <w:left w:w="108" w:type="dxa"/>
                <w:bottom w:w="0" w:type="dxa"/>
                <w:right w:w="108" w:type="dxa"/>
              </w:tblCellMar>
            </w:tblPr>
            <w:tblGrid>
              <w:gridCol w:w="487"/>
              <w:gridCol w:w="626"/>
              <w:gridCol w:w="626"/>
              <w:gridCol w:w="1153"/>
            </w:tblGrid>
            <w:tr w14:paraId="3B1CBE30">
              <w:tblPrEx>
                <w:tblCellMar>
                  <w:top w:w="0" w:type="dxa"/>
                  <w:left w:w="108" w:type="dxa"/>
                  <w:bottom w:w="0" w:type="dxa"/>
                  <w:right w:w="108" w:type="dxa"/>
                </w:tblCellMar>
              </w:tblPrEx>
              <w:trPr>
                <w:trHeight w:val="345" w:hRule="atLeast"/>
                <w:jc w:val="center"/>
              </w:trPr>
              <w:tc>
                <w:tcPr>
                  <w:tcW w:w="3006" w:type="pct"/>
                  <w:gridSpan w:val="3"/>
                  <w:tcBorders>
                    <w:top w:val="single" w:color="auto" w:sz="6" w:space="0"/>
                    <w:left w:val="single" w:color="auto" w:sz="6" w:space="0"/>
                    <w:bottom w:val="single" w:color="auto" w:sz="6" w:space="0"/>
                    <w:right w:val="single" w:color="auto" w:sz="6" w:space="0"/>
                  </w:tcBorders>
                </w:tcPr>
                <w:p w14:paraId="160FF752">
                  <w:pPr>
                    <w:jc w:val="center"/>
                    <w:rPr>
                      <w:rFonts w:cs="宋体" w:asciiTheme="minorEastAsia" w:hAnsiTheme="minorEastAsia"/>
                      <w:b/>
                      <w:szCs w:val="21"/>
                    </w:rPr>
                  </w:pPr>
                  <w:r>
                    <w:rPr>
                      <w:rFonts w:hint="eastAsia" w:cs="宋体" w:asciiTheme="minorEastAsia" w:hAnsiTheme="minorEastAsia"/>
                      <w:b/>
                      <w:kern w:val="0"/>
                      <w:szCs w:val="21"/>
                    </w:rPr>
                    <w:t>牌</w:t>
                  </w:r>
                  <w:r>
                    <w:rPr>
                      <w:rFonts w:cs="宋体" w:asciiTheme="minorEastAsia" w:hAnsiTheme="minorEastAsia"/>
                      <w:b/>
                      <w:kern w:val="0"/>
                      <w:szCs w:val="21"/>
                    </w:rPr>
                    <w:t xml:space="preserve">    </w:t>
                  </w:r>
                  <w:r>
                    <w:rPr>
                      <w:rFonts w:hint="eastAsia" w:cs="宋体" w:asciiTheme="minorEastAsia" w:hAnsiTheme="minorEastAsia"/>
                      <w:b/>
                      <w:kern w:val="0"/>
                      <w:szCs w:val="21"/>
                    </w:rPr>
                    <w:t>号</w:t>
                  </w:r>
                </w:p>
              </w:tc>
              <w:tc>
                <w:tcPr>
                  <w:tcW w:w="1994" w:type="pct"/>
                  <w:tcBorders>
                    <w:top w:val="single" w:color="auto" w:sz="6" w:space="0"/>
                    <w:left w:val="single" w:color="auto" w:sz="6" w:space="0"/>
                    <w:bottom w:val="single" w:color="auto" w:sz="6" w:space="0"/>
                    <w:right w:val="single" w:color="auto" w:sz="6" w:space="0"/>
                  </w:tcBorders>
                </w:tcPr>
                <w:p w14:paraId="3D44960D">
                  <w:pPr>
                    <w:jc w:val="center"/>
                    <w:rPr>
                      <w:rFonts w:cs="宋体" w:asciiTheme="minorEastAsia" w:hAnsiTheme="minorEastAsia"/>
                      <w:b/>
                      <w:szCs w:val="21"/>
                    </w:rPr>
                  </w:pPr>
                  <w:r>
                    <w:rPr>
                      <w:rFonts w:cs="宋体" w:asciiTheme="minorEastAsia" w:hAnsiTheme="minorEastAsia"/>
                      <w:b/>
                      <w:kern w:val="0"/>
                      <w:szCs w:val="21"/>
                    </w:rPr>
                    <w:t>Ni9996</w:t>
                  </w:r>
                </w:p>
              </w:tc>
            </w:tr>
            <w:tr w14:paraId="1F04731A">
              <w:tblPrEx>
                <w:tblCellMar>
                  <w:top w:w="0" w:type="dxa"/>
                  <w:left w:w="108" w:type="dxa"/>
                  <w:bottom w:w="0" w:type="dxa"/>
                  <w:right w:w="108" w:type="dxa"/>
                </w:tblCellMar>
              </w:tblPrEx>
              <w:trPr>
                <w:cantSplit/>
                <w:trHeight w:val="345" w:hRule="atLeast"/>
                <w:jc w:val="center"/>
              </w:trPr>
              <w:tc>
                <w:tcPr>
                  <w:tcW w:w="842" w:type="pct"/>
                  <w:vMerge w:val="restart"/>
                  <w:tcBorders>
                    <w:top w:val="single" w:color="auto" w:sz="6" w:space="0"/>
                    <w:left w:val="single" w:color="auto" w:sz="6" w:space="0"/>
                    <w:bottom w:val="single" w:color="auto" w:sz="6" w:space="0"/>
                    <w:right w:val="single" w:color="auto" w:sz="6" w:space="0"/>
                  </w:tcBorders>
                </w:tcPr>
                <w:p w14:paraId="0443F39A">
                  <w:pPr>
                    <w:keepNext/>
                    <w:keepLines/>
                    <w:spacing w:before="340" w:after="330" w:line="578" w:lineRule="auto"/>
                    <w:jc w:val="center"/>
                    <w:rPr>
                      <w:rFonts w:cs="宋体" w:asciiTheme="minorEastAsia" w:hAnsiTheme="minorEastAsia"/>
                      <w:kern w:val="0"/>
                      <w:szCs w:val="21"/>
                    </w:rPr>
                  </w:pPr>
                </w:p>
                <w:p w14:paraId="258132FD">
                  <w:pPr>
                    <w:jc w:val="center"/>
                    <w:rPr>
                      <w:rFonts w:cs="宋体" w:asciiTheme="minorEastAsia" w:hAnsiTheme="minorEastAsia"/>
                      <w:b/>
                      <w:kern w:val="0"/>
                      <w:szCs w:val="21"/>
                    </w:rPr>
                  </w:pPr>
                  <w:r>
                    <w:rPr>
                      <w:rFonts w:hint="eastAsia" w:cs="宋体" w:asciiTheme="minorEastAsia" w:hAnsiTheme="minorEastAsia"/>
                      <w:b/>
                      <w:kern w:val="0"/>
                      <w:szCs w:val="21"/>
                    </w:rPr>
                    <w:t>化</w:t>
                  </w:r>
                </w:p>
                <w:p w14:paraId="6996A9F6">
                  <w:pPr>
                    <w:jc w:val="center"/>
                    <w:rPr>
                      <w:rFonts w:cs="宋体" w:asciiTheme="minorEastAsia" w:hAnsiTheme="minorEastAsia"/>
                      <w:b/>
                      <w:kern w:val="0"/>
                      <w:szCs w:val="21"/>
                    </w:rPr>
                  </w:pPr>
                  <w:r>
                    <w:rPr>
                      <w:rFonts w:hint="eastAsia" w:cs="宋体" w:asciiTheme="minorEastAsia" w:hAnsiTheme="minorEastAsia"/>
                      <w:b/>
                      <w:kern w:val="0"/>
                      <w:szCs w:val="21"/>
                    </w:rPr>
                    <w:t>学</w:t>
                  </w:r>
                </w:p>
                <w:p w14:paraId="066F491E">
                  <w:pPr>
                    <w:jc w:val="center"/>
                    <w:rPr>
                      <w:rFonts w:cs="宋体" w:asciiTheme="minorEastAsia" w:hAnsiTheme="minorEastAsia"/>
                      <w:b/>
                      <w:kern w:val="0"/>
                      <w:szCs w:val="21"/>
                    </w:rPr>
                  </w:pPr>
                  <w:r>
                    <w:rPr>
                      <w:rFonts w:hint="eastAsia" w:cs="宋体" w:asciiTheme="minorEastAsia" w:hAnsiTheme="minorEastAsia"/>
                      <w:b/>
                      <w:kern w:val="0"/>
                      <w:szCs w:val="21"/>
                    </w:rPr>
                    <w:t>成</w:t>
                  </w:r>
                </w:p>
                <w:p w14:paraId="12183D41">
                  <w:pPr>
                    <w:jc w:val="center"/>
                    <w:rPr>
                      <w:rFonts w:cs="宋体" w:asciiTheme="minorEastAsia" w:hAnsiTheme="minorEastAsia"/>
                      <w:b/>
                      <w:kern w:val="0"/>
                      <w:szCs w:val="21"/>
                    </w:rPr>
                  </w:pPr>
                  <w:r>
                    <w:rPr>
                      <w:rFonts w:hint="eastAsia" w:cs="宋体" w:asciiTheme="minorEastAsia" w:hAnsiTheme="minorEastAsia"/>
                      <w:b/>
                      <w:kern w:val="0"/>
                      <w:szCs w:val="21"/>
                    </w:rPr>
                    <w:t>分</w:t>
                  </w:r>
                </w:p>
                <w:p w14:paraId="19607166">
                  <w:pPr>
                    <w:jc w:val="center"/>
                    <w:rPr>
                      <w:rFonts w:cs="宋体" w:asciiTheme="minorEastAsia" w:hAnsiTheme="minorEastAsia"/>
                      <w:szCs w:val="21"/>
                    </w:rPr>
                  </w:pPr>
                  <w:r>
                    <w:rPr>
                      <w:rFonts w:hint="eastAsia" w:cs="宋体" w:asciiTheme="minorEastAsia" w:hAnsiTheme="minorEastAsia"/>
                      <w:b/>
                      <w:kern w:val="0"/>
                      <w:szCs w:val="21"/>
                    </w:rPr>
                    <w:t>％</w:t>
                  </w:r>
                </w:p>
              </w:tc>
              <w:tc>
                <w:tcPr>
                  <w:tcW w:w="2164" w:type="pct"/>
                  <w:gridSpan w:val="2"/>
                  <w:tcBorders>
                    <w:top w:val="single" w:color="auto" w:sz="6" w:space="0"/>
                    <w:left w:val="single" w:color="auto" w:sz="6" w:space="0"/>
                    <w:bottom w:val="single" w:color="auto" w:sz="6" w:space="0"/>
                    <w:right w:val="single" w:color="auto" w:sz="6" w:space="0"/>
                  </w:tcBorders>
                </w:tcPr>
                <w:p w14:paraId="1D7FF4DC">
                  <w:pPr>
                    <w:jc w:val="center"/>
                    <w:rPr>
                      <w:rFonts w:cs="宋体" w:asciiTheme="minorEastAsia" w:hAnsiTheme="minorEastAsia"/>
                      <w:b/>
                      <w:szCs w:val="21"/>
                    </w:rPr>
                  </w:pPr>
                  <w:r>
                    <w:rPr>
                      <w:rFonts w:hint="eastAsia" w:cs="宋体" w:asciiTheme="minorEastAsia" w:hAnsiTheme="minorEastAsia"/>
                      <w:b/>
                      <w:kern w:val="0"/>
                      <w:szCs w:val="21"/>
                    </w:rPr>
                    <w:t>镍加钴含量，不小于</w:t>
                  </w:r>
                </w:p>
              </w:tc>
              <w:tc>
                <w:tcPr>
                  <w:tcW w:w="1994" w:type="pct"/>
                  <w:tcBorders>
                    <w:top w:val="single" w:color="auto" w:sz="6" w:space="0"/>
                    <w:left w:val="single" w:color="auto" w:sz="6" w:space="0"/>
                    <w:bottom w:val="single" w:color="auto" w:sz="6" w:space="0"/>
                    <w:right w:val="single" w:color="auto" w:sz="6" w:space="0"/>
                  </w:tcBorders>
                </w:tcPr>
                <w:p w14:paraId="59951FE8">
                  <w:pPr>
                    <w:jc w:val="center"/>
                    <w:rPr>
                      <w:rFonts w:cs="宋体" w:asciiTheme="minorEastAsia" w:hAnsiTheme="minorEastAsia"/>
                      <w:szCs w:val="21"/>
                    </w:rPr>
                  </w:pPr>
                  <w:r>
                    <w:rPr>
                      <w:rFonts w:cs="宋体" w:asciiTheme="minorEastAsia" w:hAnsiTheme="minorEastAsia"/>
                      <w:kern w:val="0"/>
                      <w:szCs w:val="21"/>
                    </w:rPr>
                    <w:t>99.96</w:t>
                  </w:r>
                </w:p>
              </w:tc>
            </w:tr>
            <w:tr w14:paraId="1652B994">
              <w:tblPrEx>
                <w:tblCellMar>
                  <w:top w:w="0" w:type="dxa"/>
                  <w:left w:w="108" w:type="dxa"/>
                  <w:bottom w:w="0" w:type="dxa"/>
                  <w:right w:w="108" w:type="dxa"/>
                </w:tblCellMar>
              </w:tblPrEx>
              <w:trPr>
                <w:cantSplit/>
                <w:trHeight w:val="297" w:hRule="atLeast"/>
                <w:jc w:val="center"/>
              </w:trPr>
              <w:tc>
                <w:tcPr>
                  <w:tcW w:w="842" w:type="pct"/>
                  <w:vMerge w:val="continue"/>
                  <w:tcBorders>
                    <w:top w:val="single" w:color="auto" w:sz="6" w:space="0"/>
                    <w:left w:val="single" w:color="auto" w:sz="6" w:space="0"/>
                    <w:bottom w:val="single" w:color="auto" w:sz="6" w:space="0"/>
                    <w:right w:val="single" w:color="auto" w:sz="6" w:space="0"/>
                  </w:tcBorders>
                </w:tcPr>
                <w:p w14:paraId="69DBB8A5">
                  <w:pPr>
                    <w:keepNext/>
                    <w:keepLines/>
                    <w:spacing w:before="340" w:after="330" w:line="578" w:lineRule="auto"/>
                    <w:jc w:val="center"/>
                    <w:rPr>
                      <w:rFonts w:asciiTheme="minorEastAsia" w:hAnsiTheme="minorEastAsia"/>
                      <w:kern w:val="0"/>
                      <w:szCs w:val="21"/>
                    </w:rPr>
                  </w:pPr>
                </w:p>
              </w:tc>
              <w:tc>
                <w:tcPr>
                  <w:tcW w:w="2164" w:type="pct"/>
                  <w:gridSpan w:val="2"/>
                  <w:tcBorders>
                    <w:top w:val="single" w:color="auto" w:sz="6" w:space="0"/>
                    <w:left w:val="single" w:color="auto" w:sz="6" w:space="0"/>
                    <w:bottom w:val="single" w:color="auto" w:sz="6" w:space="0"/>
                    <w:right w:val="single" w:color="auto" w:sz="6" w:space="0"/>
                  </w:tcBorders>
                </w:tcPr>
                <w:p w14:paraId="7D1FC709">
                  <w:pPr>
                    <w:jc w:val="center"/>
                    <w:rPr>
                      <w:rFonts w:cs="宋体" w:asciiTheme="minorEastAsia" w:hAnsiTheme="minorEastAsia"/>
                      <w:b/>
                      <w:szCs w:val="21"/>
                    </w:rPr>
                  </w:pPr>
                  <w:r>
                    <w:rPr>
                      <w:rFonts w:hint="eastAsia" w:cs="宋体" w:asciiTheme="minorEastAsia" w:hAnsiTheme="minorEastAsia"/>
                      <w:b/>
                      <w:kern w:val="0"/>
                      <w:szCs w:val="21"/>
                    </w:rPr>
                    <w:t>钴，不大于</w:t>
                  </w:r>
                </w:p>
              </w:tc>
              <w:tc>
                <w:tcPr>
                  <w:tcW w:w="1994" w:type="pct"/>
                  <w:tcBorders>
                    <w:top w:val="single" w:color="auto" w:sz="6" w:space="0"/>
                    <w:left w:val="single" w:color="auto" w:sz="6" w:space="0"/>
                    <w:bottom w:val="single" w:color="auto" w:sz="6" w:space="0"/>
                    <w:right w:val="single" w:color="auto" w:sz="6" w:space="0"/>
                  </w:tcBorders>
                </w:tcPr>
                <w:p w14:paraId="240B0CCB">
                  <w:pPr>
                    <w:jc w:val="center"/>
                    <w:rPr>
                      <w:rFonts w:cs="宋体" w:asciiTheme="minorEastAsia" w:hAnsiTheme="minorEastAsia"/>
                      <w:szCs w:val="21"/>
                    </w:rPr>
                  </w:pPr>
                  <w:r>
                    <w:rPr>
                      <w:rFonts w:cs="宋体" w:asciiTheme="minorEastAsia" w:hAnsiTheme="minorEastAsia"/>
                      <w:kern w:val="0"/>
                      <w:szCs w:val="21"/>
                    </w:rPr>
                    <w:t>0.02</w:t>
                  </w:r>
                </w:p>
              </w:tc>
            </w:tr>
            <w:tr w14:paraId="41AE9FC9">
              <w:tblPrEx>
                <w:tblCellMar>
                  <w:top w:w="0" w:type="dxa"/>
                  <w:left w:w="108" w:type="dxa"/>
                  <w:bottom w:w="0" w:type="dxa"/>
                  <w:right w:w="108" w:type="dxa"/>
                </w:tblCellMar>
              </w:tblPrEx>
              <w:trPr>
                <w:cantSplit/>
                <w:trHeight w:val="271" w:hRule="atLeast"/>
                <w:jc w:val="center"/>
              </w:trPr>
              <w:tc>
                <w:tcPr>
                  <w:tcW w:w="842" w:type="pct"/>
                  <w:vMerge w:val="continue"/>
                  <w:tcBorders>
                    <w:top w:val="single" w:color="auto" w:sz="6" w:space="0"/>
                    <w:left w:val="single" w:color="auto" w:sz="6" w:space="0"/>
                    <w:bottom w:val="single" w:color="auto" w:sz="6" w:space="0"/>
                    <w:right w:val="single" w:color="auto" w:sz="6" w:space="0"/>
                  </w:tcBorders>
                </w:tcPr>
                <w:p w14:paraId="1D2AE605">
                  <w:pPr>
                    <w:keepNext/>
                    <w:keepLines/>
                    <w:spacing w:before="340" w:after="330" w:line="578" w:lineRule="auto"/>
                    <w:jc w:val="center"/>
                    <w:rPr>
                      <w:rFonts w:asciiTheme="minorEastAsia" w:hAnsiTheme="minorEastAsia"/>
                      <w:kern w:val="0"/>
                      <w:szCs w:val="21"/>
                    </w:rPr>
                  </w:pPr>
                </w:p>
              </w:tc>
              <w:tc>
                <w:tcPr>
                  <w:tcW w:w="1082" w:type="pct"/>
                  <w:vMerge w:val="restart"/>
                  <w:tcBorders>
                    <w:top w:val="single" w:color="auto" w:sz="6" w:space="0"/>
                    <w:left w:val="single" w:color="auto" w:sz="6" w:space="0"/>
                    <w:bottom w:val="single" w:color="auto" w:sz="6" w:space="0"/>
                    <w:right w:val="single" w:color="auto" w:sz="6" w:space="0"/>
                  </w:tcBorders>
                  <w:vAlign w:val="center"/>
                </w:tcPr>
                <w:p w14:paraId="0F9D9B77">
                  <w:pPr>
                    <w:pStyle w:val="16"/>
                    <w:spacing w:before="0" w:line="240" w:lineRule="auto"/>
                    <w:rPr>
                      <w:rFonts w:asciiTheme="minorEastAsia" w:hAnsiTheme="minorEastAsia" w:eastAsiaTheme="minorEastAsia"/>
                      <w:b/>
                      <w:szCs w:val="21"/>
                    </w:rPr>
                  </w:pPr>
                  <w:r>
                    <w:rPr>
                      <w:rFonts w:hint="eastAsia" w:cs="宋体" w:asciiTheme="minorEastAsia" w:hAnsiTheme="minorEastAsia" w:eastAsiaTheme="minorEastAsia"/>
                      <w:b/>
                      <w:szCs w:val="21"/>
                    </w:rPr>
                    <w:t>杂质含量，</w:t>
                  </w:r>
                </w:p>
                <w:p w14:paraId="33A52BD1">
                  <w:pPr>
                    <w:jc w:val="center"/>
                    <w:rPr>
                      <w:rFonts w:cs="宋体" w:asciiTheme="minorEastAsia" w:hAnsiTheme="minorEastAsia"/>
                      <w:szCs w:val="21"/>
                    </w:rPr>
                  </w:pPr>
                  <w:r>
                    <w:rPr>
                      <w:rFonts w:hint="eastAsia" w:cs="宋体" w:asciiTheme="minorEastAsia" w:hAnsiTheme="minorEastAsia"/>
                      <w:b/>
                      <w:kern w:val="0"/>
                      <w:szCs w:val="21"/>
                    </w:rPr>
                    <w:t>不大于</w:t>
                  </w:r>
                </w:p>
              </w:tc>
              <w:tc>
                <w:tcPr>
                  <w:tcW w:w="1082" w:type="pct"/>
                  <w:tcBorders>
                    <w:top w:val="single" w:color="auto" w:sz="6" w:space="0"/>
                    <w:left w:val="single" w:color="auto" w:sz="6" w:space="0"/>
                    <w:bottom w:val="single" w:color="auto" w:sz="6" w:space="0"/>
                    <w:right w:val="single" w:color="auto" w:sz="6" w:space="0"/>
                  </w:tcBorders>
                </w:tcPr>
                <w:p w14:paraId="356AF729">
                  <w:pPr>
                    <w:jc w:val="center"/>
                    <w:rPr>
                      <w:rFonts w:cs="宋体" w:asciiTheme="minorEastAsia" w:hAnsiTheme="minorEastAsia"/>
                      <w:szCs w:val="21"/>
                    </w:rPr>
                  </w:pPr>
                  <w:r>
                    <w:rPr>
                      <w:rFonts w:cs="宋体" w:asciiTheme="minorEastAsia" w:hAnsiTheme="minorEastAsia"/>
                      <w:kern w:val="0"/>
                      <w:szCs w:val="21"/>
                    </w:rPr>
                    <w:t>C</w:t>
                  </w:r>
                </w:p>
              </w:tc>
              <w:tc>
                <w:tcPr>
                  <w:tcW w:w="1994" w:type="pct"/>
                  <w:tcBorders>
                    <w:top w:val="single" w:color="auto" w:sz="6" w:space="0"/>
                    <w:left w:val="single" w:color="auto" w:sz="6" w:space="0"/>
                    <w:bottom w:val="single" w:color="auto" w:sz="6" w:space="0"/>
                    <w:right w:val="single" w:color="auto" w:sz="6" w:space="0"/>
                  </w:tcBorders>
                </w:tcPr>
                <w:p w14:paraId="2D021929">
                  <w:pPr>
                    <w:jc w:val="center"/>
                    <w:rPr>
                      <w:rFonts w:cs="宋体" w:asciiTheme="minorEastAsia" w:hAnsiTheme="minorEastAsia"/>
                      <w:szCs w:val="21"/>
                    </w:rPr>
                  </w:pPr>
                  <w:r>
                    <w:rPr>
                      <w:rFonts w:cs="宋体" w:asciiTheme="minorEastAsia" w:hAnsiTheme="minorEastAsia"/>
                      <w:kern w:val="0"/>
                      <w:szCs w:val="21"/>
                    </w:rPr>
                    <w:t>0.01</w:t>
                  </w:r>
                </w:p>
              </w:tc>
            </w:tr>
            <w:tr w14:paraId="32A2D033">
              <w:tblPrEx>
                <w:tblCellMar>
                  <w:top w:w="0" w:type="dxa"/>
                  <w:left w:w="108" w:type="dxa"/>
                  <w:bottom w:w="0" w:type="dxa"/>
                  <w:right w:w="108" w:type="dxa"/>
                </w:tblCellMar>
              </w:tblPrEx>
              <w:trPr>
                <w:cantSplit/>
                <w:trHeight w:val="276" w:hRule="atLeast"/>
                <w:jc w:val="center"/>
              </w:trPr>
              <w:tc>
                <w:tcPr>
                  <w:tcW w:w="842" w:type="pct"/>
                  <w:vMerge w:val="continue"/>
                  <w:tcBorders>
                    <w:top w:val="single" w:color="auto" w:sz="6" w:space="0"/>
                    <w:left w:val="single" w:color="auto" w:sz="6" w:space="0"/>
                    <w:bottom w:val="single" w:color="auto" w:sz="6" w:space="0"/>
                    <w:right w:val="single" w:color="auto" w:sz="6" w:space="0"/>
                  </w:tcBorders>
                </w:tcPr>
                <w:p w14:paraId="7E05A11B">
                  <w:pPr>
                    <w:keepNext/>
                    <w:keepLines/>
                    <w:spacing w:before="340" w:after="330" w:line="578" w:lineRule="auto"/>
                    <w:jc w:val="center"/>
                    <w:rPr>
                      <w:rFonts w:asciiTheme="minorEastAsia" w:hAnsiTheme="minorEastAsia"/>
                      <w:kern w:val="0"/>
                      <w:szCs w:val="21"/>
                    </w:rPr>
                  </w:pPr>
                </w:p>
              </w:tc>
              <w:tc>
                <w:tcPr>
                  <w:tcW w:w="1082" w:type="pct"/>
                  <w:vMerge w:val="continue"/>
                  <w:tcBorders>
                    <w:top w:val="single" w:color="auto" w:sz="6" w:space="0"/>
                    <w:left w:val="single" w:color="auto" w:sz="6" w:space="0"/>
                    <w:bottom w:val="single" w:color="auto" w:sz="6" w:space="0"/>
                    <w:right w:val="single" w:color="auto" w:sz="6" w:space="0"/>
                  </w:tcBorders>
                </w:tcPr>
                <w:p w14:paraId="2D26D008">
                  <w:pPr>
                    <w:keepNext/>
                    <w:keepLines/>
                    <w:spacing w:before="340" w:after="330" w:line="578" w:lineRule="auto"/>
                    <w:jc w:val="center"/>
                    <w:rPr>
                      <w:rFonts w:asciiTheme="minorEastAsia" w:hAnsiTheme="minorEastAsia"/>
                      <w:kern w:val="0"/>
                      <w:szCs w:val="21"/>
                    </w:rPr>
                  </w:pPr>
                </w:p>
              </w:tc>
              <w:tc>
                <w:tcPr>
                  <w:tcW w:w="1082" w:type="pct"/>
                  <w:tcBorders>
                    <w:top w:val="single" w:color="auto" w:sz="6" w:space="0"/>
                    <w:left w:val="single" w:color="auto" w:sz="6" w:space="0"/>
                    <w:bottom w:val="single" w:color="auto" w:sz="6" w:space="0"/>
                    <w:right w:val="single" w:color="auto" w:sz="6" w:space="0"/>
                  </w:tcBorders>
                </w:tcPr>
                <w:p w14:paraId="7A0809BF">
                  <w:pPr>
                    <w:jc w:val="center"/>
                    <w:rPr>
                      <w:rFonts w:cs="宋体" w:asciiTheme="minorEastAsia" w:hAnsiTheme="minorEastAsia"/>
                      <w:szCs w:val="21"/>
                    </w:rPr>
                  </w:pPr>
                  <w:r>
                    <w:rPr>
                      <w:rFonts w:cs="宋体" w:asciiTheme="minorEastAsia" w:hAnsiTheme="minorEastAsia"/>
                      <w:kern w:val="0"/>
                      <w:szCs w:val="21"/>
                    </w:rPr>
                    <w:t>Si</w:t>
                  </w:r>
                </w:p>
              </w:tc>
              <w:tc>
                <w:tcPr>
                  <w:tcW w:w="1994" w:type="pct"/>
                  <w:tcBorders>
                    <w:top w:val="single" w:color="auto" w:sz="6" w:space="0"/>
                    <w:left w:val="single" w:color="auto" w:sz="6" w:space="0"/>
                    <w:bottom w:val="single" w:color="auto" w:sz="6" w:space="0"/>
                    <w:right w:val="single" w:color="auto" w:sz="6" w:space="0"/>
                  </w:tcBorders>
                </w:tcPr>
                <w:p w14:paraId="14E456F7">
                  <w:pPr>
                    <w:jc w:val="center"/>
                    <w:rPr>
                      <w:rFonts w:cs="宋体" w:asciiTheme="minorEastAsia" w:hAnsiTheme="minorEastAsia"/>
                      <w:szCs w:val="21"/>
                    </w:rPr>
                  </w:pPr>
                  <w:r>
                    <w:rPr>
                      <w:rFonts w:cs="宋体" w:asciiTheme="minorEastAsia" w:hAnsiTheme="minorEastAsia"/>
                      <w:kern w:val="0"/>
                      <w:szCs w:val="21"/>
                    </w:rPr>
                    <w:t>0.002</w:t>
                  </w:r>
                </w:p>
              </w:tc>
            </w:tr>
            <w:tr w14:paraId="3F6BDA09">
              <w:tblPrEx>
                <w:tblCellMar>
                  <w:top w:w="0" w:type="dxa"/>
                  <w:left w:w="108" w:type="dxa"/>
                  <w:bottom w:w="0" w:type="dxa"/>
                  <w:right w:w="108" w:type="dxa"/>
                </w:tblCellMar>
              </w:tblPrEx>
              <w:trPr>
                <w:cantSplit/>
                <w:trHeight w:val="250" w:hRule="atLeast"/>
                <w:jc w:val="center"/>
              </w:trPr>
              <w:tc>
                <w:tcPr>
                  <w:tcW w:w="842" w:type="pct"/>
                  <w:vMerge w:val="continue"/>
                  <w:tcBorders>
                    <w:top w:val="single" w:color="auto" w:sz="6" w:space="0"/>
                    <w:left w:val="single" w:color="auto" w:sz="6" w:space="0"/>
                    <w:bottom w:val="single" w:color="auto" w:sz="6" w:space="0"/>
                    <w:right w:val="single" w:color="auto" w:sz="6" w:space="0"/>
                  </w:tcBorders>
                </w:tcPr>
                <w:p w14:paraId="55029056">
                  <w:pPr>
                    <w:keepNext/>
                    <w:keepLines/>
                    <w:spacing w:before="340" w:after="330" w:line="578" w:lineRule="auto"/>
                    <w:jc w:val="center"/>
                    <w:rPr>
                      <w:rFonts w:asciiTheme="minorEastAsia" w:hAnsiTheme="minorEastAsia"/>
                      <w:kern w:val="0"/>
                      <w:szCs w:val="21"/>
                    </w:rPr>
                  </w:pPr>
                </w:p>
              </w:tc>
              <w:tc>
                <w:tcPr>
                  <w:tcW w:w="1082" w:type="pct"/>
                  <w:vMerge w:val="continue"/>
                  <w:tcBorders>
                    <w:top w:val="single" w:color="auto" w:sz="6" w:space="0"/>
                    <w:left w:val="single" w:color="auto" w:sz="6" w:space="0"/>
                    <w:bottom w:val="single" w:color="auto" w:sz="6" w:space="0"/>
                    <w:right w:val="single" w:color="auto" w:sz="6" w:space="0"/>
                  </w:tcBorders>
                </w:tcPr>
                <w:p w14:paraId="470BF040">
                  <w:pPr>
                    <w:keepNext/>
                    <w:keepLines/>
                    <w:spacing w:before="340" w:after="330" w:line="578" w:lineRule="auto"/>
                    <w:jc w:val="center"/>
                    <w:rPr>
                      <w:rFonts w:asciiTheme="minorEastAsia" w:hAnsiTheme="minorEastAsia"/>
                      <w:kern w:val="0"/>
                      <w:szCs w:val="21"/>
                    </w:rPr>
                  </w:pPr>
                </w:p>
              </w:tc>
              <w:tc>
                <w:tcPr>
                  <w:tcW w:w="1082" w:type="pct"/>
                  <w:tcBorders>
                    <w:top w:val="single" w:color="auto" w:sz="6" w:space="0"/>
                    <w:left w:val="single" w:color="auto" w:sz="6" w:space="0"/>
                    <w:bottom w:val="single" w:color="auto" w:sz="6" w:space="0"/>
                    <w:right w:val="single" w:color="auto" w:sz="6" w:space="0"/>
                  </w:tcBorders>
                </w:tcPr>
                <w:p w14:paraId="3B2C44FC">
                  <w:pPr>
                    <w:jc w:val="center"/>
                    <w:rPr>
                      <w:rFonts w:cs="宋体" w:asciiTheme="minorEastAsia" w:hAnsiTheme="minorEastAsia"/>
                      <w:szCs w:val="21"/>
                    </w:rPr>
                  </w:pPr>
                  <w:r>
                    <w:rPr>
                      <w:rFonts w:cs="宋体" w:asciiTheme="minorEastAsia" w:hAnsiTheme="minorEastAsia"/>
                      <w:kern w:val="0"/>
                      <w:szCs w:val="21"/>
                    </w:rPr>
                    <w:t>P</w:t>
                  </w:r>
                </w:p>
              </w:tc>
              <w:tc>
                <w:tcPr>
                  <w:tcW w:w="1994" w:type="pct"/>
                  <w:tcBorders>
                    <w:top w:val="single" w:color="auto" w:sz="6" w:space="0"/>
                    <w:left w:val="single" w:color="auto" w:sz="6" w:space="0"/>
                    <w:bottom w:val="single" w:color="auto" w:sz="6" w:space="0"/>
                    <w:right w:val="single" w:color="auto" w:sz="6" w:space="0"/>
                  </w:tcBorders>
                </w:tcPr>
                <w:p w14:paraId="1A33EBCF">
                  <w:pPr>
                    <w:jc w:val="center"/>
                    <w:rPr>
                      <w:rFonts w:cs="宋体" w:asciiTheme="minorEastAsia" w:hAnsiTheme="minorEastAsia"/>
                      <w:szCs w:val="21"/>
                    </w:rPr>
                  </w:pPr>
                  <w:r>
                    <w:rPr>
                      <w:rFonts w:cs="宋体" w:asciiTheme="minorEastAsia" w:hAnsiTheme="minorEastAsia"/>
                      <w:kern w:val="0"/>
                      <w:szCs w:val="21"/>
                    </w:rPr>
                    <w:t>0.001</w:t>
                  </w:r>
                </w:p>
              </w:tc>
            </w:tr>
            <w:tr w14:paraId="5372454C">
              <w:tblPrEx>
                <w:tblCellMar>
                  <w:top w:w="0" w:type="dxa"/>
                  <w:left w:w="108" w:type="dxa"/>
                  <w:bottom w:w="0" w:type="dxa"/>
                  <w:right w:w="108" w:type="dxa"/>
                </w:tblCellMar>
              </w:tblPrEx>
              <w:trPr>
                <w:cantSplit/>
                <w:trHeight w:val="239" w:hRule="atLeast"/>
                <w:jc w:val="center"/>
              </w:trPr>
              <w:tc>
                <w:tcPr>
                  <w:tcW w:w="842" w:type="pct"/>
                  <w:vMerge w:val="continue"/>
                  <w:tcBorders>
                    <w:top w:val="single" w:color="auto" w:sz="6" w:space="0"/>
                    <w:left w:val="single" w:color="auto" w:sz="6" w:space="0"/>
                    <w:bottom w:val="single" w:color="auto" w:sz="6" w:space="0"/>
                    <w:right w:val="single" w:color="auto" w:sz="6" w:space="0"/>
                  </w:tcBorders>
                </w:tcPr>
                <w:p w14:paraId="2841BE44">
                  <w:pPr>
                    <w:keepNext/>
                    <w:keepLines/>
                    <w:spacing w:before="340" w:after="330" w:line="578" w:lineRule="auto"/>
                    <w:jc w:val="center"/>
                    <w:rPr>
                      <w:rFonts w:asciiTheme="minorEastAsia" w:hAnsiTheme="minorEastAsia"/>
                      <w:kern w:val="0"/>
                      <w:szCs w:val="21"/>
                    </w:rPr>
                  </w:pPr>
                </w:p>
              </w:tc>
              <w:tc>
                <w:tcPr>
                  <w:tcW w:w="1082" w:type="pct"/>
                  <w:vMerge w:val="continue"/>
                  <w:tcBorders>
                    <w:top w:val="single" w:color="auto" w:sz="6" w:space="0"/>
                    <w:left w:val="single" w:color="auto" w:sz="6" w:space="0"/>
                    <w:bottom w:val="single" w:color="auto" w:sz="6" w:space="0"/>
                    <w:right w:val="single" w:color="auto" w:sz="6" w:space="0"/>
                  </w:tcBorders>
                </w:tcPr>
                <w:p w14:paraId="3DED2C2F">
                  <w:pPr>
                    <w:keepNext/>
                    <w:keepLines/>
                    <w:spacing w:before="340" w:after="330" w:line="578" w:lineRule="auto"/>
                    <w:jc w:val="center"/>
                    <w:rPr>
                      <w:rFonts w:asciiTheme="minorEastAsia" w:hAnsiTheme="minorEastAsia"/>
                      <w:kern w:val="0"/>
                      <w:szCs w:val="21"/>
                    </w:rPr>
                  </w:pPr>
                </w:p>
              </w:tc>
              <w:tc>
                <w:tcPr>
                  <w:tcW w:w="1082" w:type="pct"/>
                  <w:tcBorders>
                    <w:top w:val="single" w:color="auto" w:sz="6" w:space="0"/>
                    <w:left w:val="single" w:color="auto" w:sz="6" w:space="0"/>
                    <w:bottom w:val="single" w:color="auto" w:sz="6" w:space="0"/>
                    <w:right w:val="single" w:color="auto" w:sz="6" w:space="0"/>
                  </w:tcBorders>
                </w:tcPr>
                <w:p w14:paraId="4CD32E15">
                  <w:pPr>
                    <w:jc w:val="center"/>
                    <w:rPr>
                      <w:rFonts w:cs="宋体" w:asciiTheme="minorEastAsia" w:hAnsiTheme="minorEastAsia"/>
                      <w:szCs w:val="21"/>
                    </w:rPr>
                  </w:pPr>
                  <w:r>
                    <w:rPr>
                      <w:rFonts w:cs="宋体" w:asciiTheme="minorEastAsia" w:hAnsiTheme="minorEastAsia"/>
                      <w:kern w:val="0"/>
                      <w:szCs w:val="21"/>
                    </w:rPr>
                    <w:t>S</w:t>
                  </w:r>
                </w:p>
              </w:tc>
              <w:tc>
                <w:tcPr>
                  <w:tcW w:w="1994" w:type="pct"/>
                  <w:tcBorders>
                    <w:top w:val="single" w:color="auto" w:sz="6" w:space="0"/>
                    <w:left w:val="single" w:color="auto" w:sz="6" w:space="0"/>
                    <w:bottom w:val="single" w:color="auto" w:sz="6" w:space="0"/>
                    <w:right w:val="single" w:color="auto" w:sz="6" w:space="0"/>
                  </w:tcBorders>
                </w:tcPr>
                <w:p w14:paraId="7CC17742">
                  <w:pPr>
                    <w:jc w:val="center"/>
                    <w:rPr>
                      <w:rFonts w:cs="宋体" w:asciiTheme="minorEastAsia" w:hAnsiTheme="minorEastAsia"/>
                      <w:szCs w:val="21"/>
                    </w:rPr>
                  </w:pPr>
                  <w:r>
                    <w:rPr>
                      <w:rFonts w:cs="宋体" w:asciiTheme="minorEastAsia" w:hAnsiTheme="minorEastAsia"/>
                      <w:kern w:val="0"/>
                      <w:szCs w:val="21"/>
                    </w:rPr>
                    <w:t>0.001</w:t>
                  </w:r>
                </w:p>
              </w:tc>
            </w:tr>
            <w:tr w14:paraId="0C547CAF">
              <w:tblPrEx>
                <w:tblCellMar>
                  <w:top w:w="0" w:type="dxa"/>
                  <w:left w:w="108" w:type="dxa"/>
                  <w:bottom w:w="0" w:type="dxa"/>
                  <w:right w:w="108" w:type="dxa"/>
                </w:tblCellMar>
              </w:tblPrEx>
              <w:trPr>
                <w:cantSplit/>
                <w:trHeight w:val="403" w:hRule="atLeast"/>
                <w:jc w:val="center"/>
              </w:trPr>
              <w:tc>
                <w:tcPr>
                  <w:tcW w:w="842" w:type="pct"/>
                  <w:vMerge w:val="continue"/>
                  <w:tcBorders>
                    <w:top w:val="single" w:color="auto" w:sz="6" w:space="0"/>
                    <w:left w:val="single" w:color="auto" w:sz="6" w:space="0"/>
                    <w:bottom w:val="single" w:color="auto" w:sz="6" w:space="0"/>
                    <w:right w:val="single" w:color="auto" w:sz="6" w:space="0"/>
                  </w:tcBorders>
                </w:tcPr>
                <w:p w14:paraId="55839B65">
                  <w:pPr>
                    <w:keepNext/>
                    <w:keepLines/>
                    <w:spacing w:before="340" w:after="330" w:line="578" w:lineRule="auto"/>
                    <w:jc w:val="center"/>
                    <w:rPr>
                      <w:rFonts w:asciiTheme="minorEastAsia" w:hAnsiTheme="minorEastAsia"/>
                      <w:kern w:val="0"/>
                      <w:szCs w:val="21"/>
                    </w:rPr>
                  </w:pPr>
                </w:p>
              </w:tc>
              <w:tc>
                <w:tcPr>
                  <w:tcW w:w="1082" w:type="pct"/>
                  <w:vMerge w:val="continue"/>
                  <w:tcBorders>
                    <w:top w:val="single" w:color="auto" w:sz="6" w:space="0"/>
                    <w:left w:val="single" w:color="auto" w:sz="6" w:space="0"/>
                    <w:bottom w:val="single" w:color="auto" w:sz="6" w:space="0"/>
                    <w:right w:val="single" w:color="auto" w:sz="6" w:space="0"/>
                  </w:tcBorders>
                </w:tcPr>
                <w:p w14:paraId="67F1D5C8">
                  <w:pPr>
                    <w:keepNext/>
                    <w:keepLines/>
                    <w:spacing w:before="340" w:after="330" w:line="578" w:lineRule="auto"/>
                    <w:jc w:val="center"/>
                    <w:rPr>
                      <w:rFonts w:asciiTheme="minorEastAsia" w:hAnsiTheme="minorEastAsia"/>
                      <w:kern w:val="0"/>
                      <w:szCs w:val="21"/>
                    </w:rPr>
                  </w:pPr>
                </w:p>
              </w:tc>
              <w:tc>
                <w:tcPr>
                  <w:tcW w:w="1082" w:type="pct"/>
                  <w:tcBorders>
                    <w:top w:val="single" w:color="auto" w:sz="6" w:space="0"/>
                    <w:left w:val="single" w:color="auto" w:sz="6" w:space="0"/>
                    <w:bottom w:val="single" w:color="auto" w:sz="6" w:space="0"/>
                    <w:right w:val="single" w:color="auto" w:sz="6" w:space="0"/>
                  </w:tcBorders>
                </w:tcPr>
                <w:p w14:paraId="4BFB6F87">
                  <w:pPr>
                    <w:jc w:val="center"/>
                    <w:rPr>
                      <w:rFonts w:cs="宋体" w:asciiTheme="minorEastAsia" w:hAnsiTheme="minorEastAsia"/>
                      <w:szCs w:val="21"/>
                    </w:rPr>
                  </w:pPr>
                  <w:r>
                    <w:rPr>
                      <w:rFonts w:cs="宋体" w:asciiTheme="minorEastAsia" w:hAnsiTheme="minorEastAsia"/>
                      <w:kern w:val="0"/>
                      <w:szCs w:val="21"/>
                    </w:rPr>
                    <w:t>Fe</w:t>
                  </w:r>
                </w:p>
              </w:tc>
              <w:tc>
                <w:tcPr>
                  <w:tcW w:w="1994" w:type="pct"/>
                  <w:tcBorders>
                    <w:top w:val="single" w:color="auto" w:sz="6" w:space="0"/>
                    <w:left w:val="single" w:color="auto" w:sz="6" w:space="0"/>
                    <w:bottom w:val="single" w:color="auto" w:sz="6" w:space="0"/>
                    <w:right w:val="single" w:color="auto" w:sz="6" w:space="0"/>
                  </w:tcBorders>
                </w:tcPr>
                <w:p w14:paraId="4C34F174">
                  <w:pPr>
                    <w:jc w:val="center"/>
                    <w:rPr>
                      <w:rFonts w:cs="宋体" w:asciiTheme="minorEastAsia" w:hAnsiTheme="minorEastAsia"/>
                      <w:szCs w:val="21"/>
                    </w:rPr>
                  </w:pPr>
                  <w:r>
                    <w:rPr>
                      <w:rFonts w:cs="宋体" w:asciiTheme="minorEastAsia" w:hAnsiTheme="minorEastAsia"/>
                      <w:kern w:val="0"/>
                      <w:szCs w:val="21"/>
                    </w:rPr>
                    <w:t>0.01</w:t>
                  </w:r>
                </w:p>
              </w:tc>
            </w:tr>
            <w:tr w14:paraId="6A276923">
              <w:tblPrEx>
                <w:tblCellMar>
                  <w:top w:w="0" w:type="dxa"/>
                  <w:left w:w="108" w:type="dxa"/>
                  <w:bottom w:w="0" w:type="dxa"/>
                  <w:right w:w="108" w:type="dxa"/>
                </w:tblCellMar>
              </w:tblPrEx>
              <w:trPr>
                <w:cantSplit/>
                <w:trHeight w:val="235" w:hRule="atLeast"/>
                <w:jc w:val="center"/>
              </w:trPr>
              <w:tc>
                <w:tcPr>
                  <w:tcW w:w="842" w:type="pct"/>
                  <w:vMerge w:val="continue"/>
                  <w:tcBorders>
                    <w:top w:val="single" w:color="auto" w:sz="6" w:space="0"/>
                    <w:left w:val="single" w:color="auto" w:sz="6" w:space="0"/>
                    <w:bottom w:val="single" w:color="auto" w:sz="6" w:space="0"/>
                    <w:right w:val="single" w:color="auto" w:sz="6" w:space="0"/>
                  </w:tcBorders>
                </w:tcPr>
                <w:p w14:paraId="51EAB7C5">
                  <w:pPr>
                    <w:keepNext/>
                    <w:keepLines/>
                    <w:spacing w:before="340" w:after="330" w:line="578" w:lineRule="auto"/>
                    <w:jc w:val="center"/>
                    <w:rPr>
                      <w:rFonts w:asciiTheme="minorEastAsia" w:hAnsiTheme="minorEastAsia"/>
                      <w:kern w:val="0"/>
                      <w:szCs w:val="21"/>
                    </w:rPr>
                  </w:pPr>
                </w:p>
              </w:tc>
              <w:tc>
                <w:tcPr>
                  <w:tcW w:w="1082" w:type="pct"/>
                  <w:vMerge w:val="continue"/>
                  <w:tcBorders>
                    <w:top w:val="single" w:color="auto" w:sz="6" w:space="0"/>
                    <w:left w:val="single" w:color="auto" w:sz="6" w:space="0"/>
                    <w:bottom w:val="single" w:color="auto" w:sz="6" w:space="0"/>
                    <w:right w:val="single" w:color="auto" w:sz="6" w:space="0"/>
                  </w:tcBorders>
                </w:tcPr>
                <w:p w14:paraId="19F204E2">
                  <w:pPr>
                    <w:keepNext/>
                    <w:keepLines/>
                    <w:spacing w:before="340" w:after="330" w:line="578" w:lineRule="auto"/>
                    <w:jc w:val="center"/>
                    <w:rPr>
                      <w:rFonts w:asciiTheme="minorEastAsia" w:hAnsiTheme="minorEastAsia"/>
                      <w:kern w:val="0"/>
                      <w:szCs w:val="21"/>
                    </w:rPr>
                  </w:pPr>
                </w:p>
              </w:tc>
              <w:tc>
                <w:tcPr>
                  <w:tcW w:w="1082" w:type="pct"/>
                  <w:tcBorders>
                    <w:top w:val="single" w:color="auto" w:sz="6" w:space="0"/>
                    <w:left w:val="single" w:color="auto" w:sz="6" w:space="0"/>
                    <w:bottom w:val="single" w:color="auto" w:sz="6" w:space="0"/>
                    <w:right w:val="single" w:color="auto" w:sz="6" w:space="0"/>
                  </w:tcBorders>
                </w:tcPr>
                <w:p w14:paraId="31257FE1">
                  <w:pPr>
                    <w:jc w:val="center"/>
                    <w:rPr>
                      <w:rFonts w:cs="宋体" w:asciiTheme="minorEastAsia" w:hAnsiTheme="minorEastAsia"/>
                      <w:szCs w:val="21"/>
                    </w:rPr>
                  </w:pPr>
                  <w:r>
                    <w:rPr>
                      <w:rFonts w:cs="宋体" w:asciiTheme="minorEastAsia" w:hAnsiTheme="minorEastAsia"/>
                      <w:kern w:val="0"/>
                      <w:szCs w:val="21"/>
                    </w:rPr>
                    <w:t>Cu</w:t>
                  </w:r>
                </w:p>
              </w:tc>
              <w:tc>
                <w:tcPr>
                  <w:tcW w:w="1994" w:type="pct"/>
                  <w:tcBorders>
                    <w:top w:val="single" w:color="auto" w:sz="6" w:space="0"/>
                    <w:left w:val="single" w:color="auto" w:sz="6" w:space="0"/>
                    <w:bottom w:val="single" w:color="auto" w:sz="6" w:space="0"/>
                    <w:right w:val="single" w:color="auto" w:sz="6" w:space="0"/>
                  </w:tcBorders>
                </w:tcPr>
                <w:p w14:paraId="07F19DCD">
                  <w:pPr>
                    <w:jc w:val="center"/>
                    <w:rPr>
                      <w:rFonts w:cs="宋体" w:asciiTheme="minorEastAsia" w:hAnsiTheme="minorEastAsia"/>
                      <w:szCs w:val="21"/>
                    </w:rPr>
                  </w:pPr>
                  <w:r>
                    <w:rPr>
                      <w:rFonts w:cs="宋体" w:asciiTheme="minorEastAsia" w:hAnsiTheme="minorEastAsia"/>
                      <w:kern w:val="0"/>
                      <w:szCs w:val="21"/>
                    </w:rPr>
                    <w:t>0.01</w:t>
                  </w:r>
                </w:p>
              </w:tc>
            </w:tr>
            <w:tr w14:paraId="4149B21E">
              <w:tblPrEx>
                <w:tblCellMar>
                  <w:top w:w="0" w:type="dxa"/>
                  <w:left w:w="108" w:type="dxa"/>
                  <w:bottom w:w="0" w:type="dxa"/>
                  <w:right w:w="108" w:type="dxa"/>
                </w:tblCellMar>
              </w:tblPrEx>
              <w:trPr>
                <w:cantSplit/>
                <w:trHeight w:val="208" w:hRule="atLeast"/>
                <w:jc w:val="center"/>
              </w:trPr>
              <w:tc>
                <w:tcPr>
                  <w:tcW w:w="842" w:type="pct"/>
                  <w:vMerge w:val="continue"/>
                  <w:tcBorders>
                    <w:top w:val="single" w:color="auto" w:sz="6" w:space="0"/>
                    <w:left w:val="single" w:color="auto" w:sz="6" w:space="0"/>
                    <w:bottom w:val="single" w:color="auto" w:sz="6" w:space="0"/>
                    <w:right w:val="single" w:color="auto" w:sz="6" w:space="0"/>
                  </w:tcBorders>
                </w:tcPr>
                <w:p w14:paraId="122DC6F5">
                  <w:pPr>
                    <w:keepNext/>
                    <w:keepLines/>
                    <w:spacing w:before="340" w:after="330" w:line="578" w:lineRule="auto"/>
                    <w:jc w:val="center"/>
                    <w:rPr>
                      <w:rFonts w:asciiTheme="minorEastAsia" w:hAnsiTheme="minorEastAsia"/>
                      <w:kern w:val="0"/>
                      <w:szCs w:val="21"/>
                    </w:rPr>
                  </w:pPr>
                </w:p>
              </w:tc>
              <w:tc>
                <w:tcPr>
                  <w:tcW w:w="1082" w:type="pct"/>
                  <w:vMerge w:val="continue"/>
                  <w:tcBorders>
                    <w:top w:val="single" w:color="auto" w:sz="6" w:space="0"/>
                    <w:left w:val="single" w:color="auto" w:sz="6" w:space="0"/>
                    <w:bottom w:val="single" w:color="auto" w:sz="6" w:space="0"/>
                    <w:right w:val="single" w:color="auto" w:sz="6" w:space="0"/>
                  </w:tcBorders>
                </w:tcPr>
                <w:p w14:paraId="775F28DF">
                  <w:pPr>
                    <w:keepNext/>
                    <w:keepLines/>
                    <w:spacing w:before="340" w:after="330" w:line="578" w:lineRule="auto"/>
                    <w:jc w:val="center"/>
                    <w:rPr>
                      <w:rFonts w:asciiTheme="minorEastAsia" w:hAnsiTheme="minorEastAsia"/>
                      <w:kern w:val="0"/>
                      <w:szCs w:val="21"/>
                    </w:rPr>
                  </w:pPr>
                </w:p>
              </w:tc>
              <w:tc>
                <w:tcPr>
                  <w:tcW w:w="1082" w:type="pct"/>
                  <w:tcBorders>
                    <w:top w:val="single" w:color="auto" w:sz="6" w:space="0"/>
                    <w:left w:val="single" w:color="auto" w:sz="6" w:space="0"/>
                    <w:bottom w:val="single" w:color="auto" w:sz="6" w:space="0"/>
                    <w:right w:val="single" w:color="auto" w:sz="6" w:space="0"/>
                  </w:tcBorders>
                </w:tcPr>
                <w:p w14:paraId="2B402554">
                  <w:pPr>
                    <w:jc w:val="center"/>
                    <w:rPr>
                      <w:rFonts w:cs="宋体" w:asciiTheme="minorEastAsia" w:hAnsiTheme="minorEastAsia"/>
                      <w:szCs w:val="21"/>
                    </w:rPr>
                  </w:pPr>
                  <w:r>
                    <w:rPr>
                      <w:rFonts w:cs="宋体" w:asciiTheme="minorEastAsia" w:hAnsiTheme="minorEastAsia"/>
                      <w:kern w:val="0"/>
                      <w:szCs w:val="21"/>
                    </w:rPr>
                    <w:t>Zn</w:t>
                  </w:r>
                </w:p>
              </w:tc>
              <w:tc>
                <w:tcPr>
                  <w:tcW w:w="1994" w:type="pct"/>
                  <w:tcBorders>
                    <w:top w:val="single" w:color="auto" w:sz="6" w:space="0"/>
                    <w:left w:val="single" w:color="auto" w:sz="6" w:space="0"/>
                    <w:bottom w:val="single" w:color="auto" w:sz="6" w:space="0"/>
                    <w:right w:val="single" w:color="auto" w:sz="6" w:space="0"/>
                  </w:tcBorders>
                </w:tcPr>
                <w:p w14:paraId="27877E73">
                  <w:pPr>
                    <w:jc w:val="center"/>
                    <w:rPr>
                      <w:rFonts w:cs="宋体" w:asciiTheme="minorEastAsia" w:hAnsiTheme="minorEastAsia"/>
                      <w:szCs w:val="21"/>
                    </w:rPr>
                  </w:pPr>
                  <w:r>
                    <w:rPr>
                      <w:rFonts w:cs="宋体" w:asciiTheme="minorEastAsia" w:hAnsiTheme="minorEastAsia"/>
                      <w:kern w:val="0"/>
                      <w:szCs w:val="21"/>
                    </w:rPr>
                    <w:t>0.0015</w:t>
                  </w:r>
                </w:p>
              </w:tc>
            </w:tr>
            <w:tr w14:paraId="2804EFDF">
              <w:tblPrEx>
                <w:tblCellMar>
                  <w:top w:w="0" w:type="dxa"/>
                  <w:left w:w="108" w:type="dxa"/>
                  <w:bottom w:w="0" w:type="dxa"/>
                  <w:right w:w="108" w:type="dxa"/>
                </w:tblCellMar>
              </w:tblPrEx>
              <w:trPr>
                <w:cantSplit/>
                <w:trHeight w:val="212" w:hRule="atLeast"/>
                <w:jc w:val="center"/>
              </w:trPr>
              <w:tc>
                <w:tcPr>
                  <w:tcW w:w="842" w:type="pct"/>
                  <w:vMerge w:val="continue"/>
                  <w:tcBorders>
                    <w:top w:val="single" w:color="auto" w:sz="6" w:space="0"/>
                    <w:left w:val="single" w:color="auto" w:sz="6" w:space="0"/>
                    <w:bottom w:val="single" w:color="auto" w:sz="6" w:space="0"/>
                    <w:right w:val="single" w:color="auto" w:sz="6" w:space="0"/>
                  </w:tcBorders>
                </w:tcPr>
                <w:p w14:paraId="1FE63639">
                  <w:pPr>
                    <w:keepNext/>
                    <w:keepLines/>
                    <w:spacing w:before="340" w:after="330" w:line="578" w:lineRule="auto"/>
                    <w:jc w:val="center"/>
                    <w:rPr>
                      <w:rFonts w:asciiTheme="minorEastAsia" w:hAnsiTheme="minorEastAsia"/>
                      <w:kern w:val="0"/>
                      <w:szCs w:val="21"/>
                    </w:rPr>
                  </w:pPr>
                </w:p>
              </w:tc>
              <w:tc>
                <w:tcPr>
                  <w:tcW w:w="1082" w:type="pct"/>
                  <w:vMerge w:val="continue"/>
                  <w:tcBorders>
                    <w:left w:val="single" w:color="auto" w:sz="6" w:space="0"/>
                    <w:bottom w:val="single" w:color="auto" w:sz="6" w:space="0"/>
                    <w:right w:val="single" w:color="auto" w:sz="6" w:space="0"/>
                  </w:tcBorders>
                </w:tcPr>
                <w:p w14:paraId="24398258">
                  <w:pPr>
                    <w:keepNext/>
                    <w:keepLines/>
                    <w:spacing w:before="340" w:after="330" w:line="578" w:lineRule="auto"/>
                    <w:jc w:val="center"/>
                    <w:rPr>
                      <w:rFonts w:asciiTheme="minorEastAsia" w:hAnsiTheme="minorEastAsia"/>
                      <w:kern w:val="0"/>
                      <w:szCs w:val="21"/>
                    </w:rPr>
                  </w:pPr>
                </w:p>
              </w:tc>
              <w:tc>
                <w:tcPr>
                  <w:tcW w:w="1082" w:type="pct"/>
                  <w:tcBorders>
                    <w:top w:val="single" w:color="auto" w:sz="6" w:space="0"/>
                    <w:left w:val="single" w:color="auto" w:sz="6" w:space="0"/>
                    <w:bottom w:val="single" w:color="auto" w:sz="6" w:space="0"/>
                    <w:right w:val="single" w:color="auto" w:sz="6" w:space="0"/>
                  </w:tcBorders>
                </w:tcPr>
                <w:p w14:paraId="4C131595">
                  <w:pPr>
                    <w:jc w:val="center"/>
                    <w:rPr>
                      <w:rFonts w:cs="宋体" w:asciiTheme="minorEastAsia" w:hAnsiTheme="minorEastAsia"/>
                      <w:szCs w:val="21"/>
                    </w:rPr>
                  </w:pPr>
                  <w:r>
                    <w:rPr>
                      <w:rFonts w:cs="宋体" w:asciiTheme="minorEastAsia" w:hAnsiTheme="minorEastAsia"/>
                      <w:kern w:val="0"/>
                      <w:szCs w:val="21"/>
                    </w:rPr>
                    <w:t>As</w:t>
                  </w:r>
                </w:p>
              </w:tc>
              <w:tc>
                <w:tcPr>
                  <w:tcW w:w="1994" w:type="pct"/>
                  <w:tcBorders>
                    <w:top w:val="single" w:color="auto" w:sz="6" w:space="0"/>
                    <w:left w:val="single" w:color="auto" w:sz="6" w:space="0"/>
                    <w:bottom w:val="single" w:color="auto" w:sz="6" w:space="0"/>
                    <w:right w:val="single" w:color="auto" w:sz="6" w:space="0"/>
                  </w:tcBorders>
                </w:tcPr>
                <w:p w14:paraId="533C3A02">
                  <w:pPr>
                    <w:jc w:val="center"/>
                    <w:rPr>
                      <w:rFonts w:cs="宋体" w:asciiTheme="minorEastAsia" w:hAnsiTheme="minorEastAsia"/>
                      <w:szCs w:val="21"/>
                    </w:rPr>
                  </w:pPr>
                  <w:r>
                    <w:rPr>
                      <w:rFonts w:cs="宋体" w:asciiTheme="minorEastAsia" w:hAnsiTheme="minorEastAsia"/>
                      <w:kern w:val="0"/>
                      <w:szCs w:val="21"/>
                    </w:rPr>
                    <w:t>0.0008</w:t>
                  </w:r>
                </w:p>
              </w:tc>
            </w:tr>
            <w:tr w14:paraId="5EF41996">
              <w:tblPrEx>
                <w:tblCellMar>
                  <w:top w:w="0" w:type="dxa"/>
                  <w:left w:w="108" w:type="dxa"/>
                  <w:bottom w:w="0" w:type="dxa"/>
                  <w:right w:w="108" w:type="dxa"/>
                </w:tblCellMar>
              </w:tblPrEx>
              <w:trPr>
                <w:cantSplit/>
                <w:trHeight w:val="187" w:hRule="atLeast"/>
                <w:jc w:val="center"/>
              </w:trPr>
              <w:tc>
                <w:tcPr>
                  <w:tcW w:w="842" w:type="pct"/>
                  <w:vMerge w:val="continue"/>
                  <w:tcBorders>
                    <w:top w:val="single" w:color="auto" w:sz="6" w:space="0"/>
                    <w:left w:val="single" w:color="auto" w:sz="6" w:space="0"/>
                    <w:bottom w:val="single" w:color="auto" w:sz="6" w:space="0"/>
                    <w:right w:val="single" w:color="auto" w:sz="6" w:space="0"/>
                  </w:tcBorders>
                </w:tcPr>
                <w:p w14:paraId="7549D0A5">
                  <w:pPr>
                    <w:keepNext/>
                    <w:keepLines/>
                    <w:spacing w:before="340" w:after="330" w:line="578" w:lineRule="auto"/>
                    <w:jc w:val="center"/>
                    <w:rPr>
                      <w:rFonts w:asciiTheme="minorEastAsia" w:hAnsiTheme="minorEastAsia"/>
                      <w:kern w:val="0"/>
                      <w:szCs w:val="21"/>
                    </w:rPr>
                  </w:pPr>
                </w:p>
              </w:tc>
              <w:tc>
                <w:tcPr>
                  <w:tcW w:w="1082" w:type="pct"/>
                  <w:vMerge w:val="continue"/>
                  <w:tcBorders>
                    <w:left w:val="single" w:color="auto" w:sz="6" w:space="0"/>
                    <w:bottom w:val="single" w:color="auto" w:sz="6" w:space="0"/>
                    <w:right w:val="single" w:color="auto" w:sz="6" w:space="0"/>
                  </w:tcBorders>
                </w:tcPr>
                <w:p w14:paraId="1A4FFA1C">
                  <w:pPr>
                    <w:keepNext/>
                    <w:keepLines/>
                    <w:spacing w:before="340" w:after="330" w:line="578" w:lineRule="auto"/>
                    <w:jc w:val="center"/>
                    <w:rPr>
                      <w:rFonts w:asciiTheme="minorEastAsia" w:hAnsiTheme="minorEastAsia"/>
                      <w:kern w:val="0"/>
                      <w:szCs w:val="21"/>
                    </w:rPr>
                  </w:pPr>
                </w:p>
              </w:tc>
              <w:tc>
                <w:tcPr>
                  <w:tcW w:w="1082" w:type="pct"/>
                  <w:tcBorders>
                    <w:top w:val="single" w:color="auto" w:sz="6" w:space="0"/>
                    <w:left w:val="single" w:color="auto" w:sz="6" w:space="0"/>
                    <w:bottom w:val="single" w:color="auto" w:sz="6" w:space="0"/>
                    <w:right w:val="single" w:color="auto" w:sz="6" w:space="0"/>
                  </w:tcBorders>
                </w:tcPr>
                <w:p w14:paraId="3500E89E">
                  <w:pPr>
                    <w:jc w:val="center"/>
                    <w:rPr>
                      <w:rFonts w:cs="宋体" w:asciiTheme="minorEastAsia" w:hAnsiTheme="minorEastAsia"/>
                      <w:szCs w:val="21"/>
                    </w:rPr>
                  </w:pPr>
                  <w:r>
                    <w:rPr>
                      <w:rFonts w:cs="宋体" w:asciiTheme="minorEastAsia" w:hAnsiTheme="minorEastAsia"/>
                      <w:kern w:val="0"/>
                      <w:szCs w:val="21"/>
                    </w:rPr>
                    <w:t>Cd</w:t>
                  </w:r>
                </w:p>
              </w:tc>
              <w:tc>
                <w:tcPr>
                  <w:tcW w:w="1994" w:type="pct"/>
                  <w:tcBorders>
                    <w:top w:val="single" w:color="auto" w:sz="6" w:space="0"/>
                    <w:left w:val="single" w:color="auto" w:sz="6" w:space="0"/>
                    <w:bottom w:val="single" w:color="auto" w:sz="6" w:space="0"/>
                    <w:right w:val="single" w:color="auto" w:sz="6" w:space="0"/>
                  </w:tcBorders>
                </w:tcPr>
                <w:p w14:paraId="0619549E">
                  <w:pPr>
                    <w:jc w:val="center"/>
                    <w:rPr>
                      <w:rFonts w:cs="宋体" w:asciiTheme="minorEastAsia" w:hAnsiTheme="minorEastAsia"/>
                      <w:szCs w:val="21"/>
                    </w:rPr>
                  </w:pPr>
                  <w:r>
                    <w:rPr>
                      <w:rFonts w:cs="宋体" w:asciiTheme="minorEastAsia" w:hAnsiTheme="minorEastAsia"/>
                      <w:kern w:val="0"/>
                      <w:szCs w:val="21"/>
                    </w:rPr>
                    <w:t>0.0003</w:t>
                  </w:r>
                </w:p>
              </w:tc>
            </w:tr>
            <w:tr w14:paraId="0F8EC345">
              <w:tblPrEx>
                <w:tblCellMar>
                  <w:top w:w="0" w:type="dxa"/>
                  <w:left w:w="108" w:type="dxa"/>
                  <w:bottom w:w="0" w:type="dxa"/>
                  <w:right w:w="108" w:type="dxa"/>
                </w:tblCellMar>
              </w:tblPrEx>
              <w:trPr>
                <w:cantSplit/>
                <w:trHeight w:val="330" w:hRule="atLeast"/>
                <w:jc w:val="center"/>
              </w:trPr>
              <w:tc>
                <w:tcPr>
                  <w:tcW w:w="842" w:type="pct"/>
                  <w:vMerge w:val="continue"/>
                  <w:tcBorders>
                    <w:top w:val="single" w:color="auto" w:sz="6" w:space="0"/>
                    <w:left w:val="single" w:color="auto" w:sz="6" w:space="0"/>
                    <w:bottom w:val="single" w:color="auto" w:sz="6" w:space="0"/>
                    <w:right w:val="single" w:color="auto" w:sz="6" w:space="0"/>
                  </w:tcBorders>
                </w:tcPr>
                <w:p w14:paraId="4181DA46">
                  <w:pPr>
                    <w:keepNext/>
                    <w:keepLines/>
                    <w:spacing w:before="340" w:after="330" w:line="578" w:lineRule="auto"/>
                    <w:jc w:val="center"/>
                    <w:rPr>
                      <w:rFonts w:asciiTheme="minorEastAsia" w:hAnsiTheme="minorEastAsia"/>
                      <w:kern w:val="0"/>
                      <w:szCs w:val="21"/>
                    </w:rPr>
                  </w:pPr>
                </w:p>
              </w:tc>
              <w:tc>
                <w:tcPr>
                  <w:tcW w:w="1082" w:type="pct"/>
                  <w:vMerge w:val="continue"/>
                  <w:tcBorders>
                    <w:left w:val="single" w:color="auto" w:sz="6" w:space="0"/>
                    <w:bottom w:val="single" w:color="auto" w:sz="6" w:space="0"/>
                    <w:right w:val="single" w:color="auto" w:sz="6" w:space="0"/>
                  </w:tcBorders>
                </w:tcPr>
                <w:p w14:paraId="38542491">
                  <w:pPr>
                    <w:keepNext/>
                    <w:keepLines/>
                    <w:spacing w:before="340" w:after="330" w:line="578" w:lineRule="auto"/>
                    <w:jc w:val="center"/>
                    <w:rPr>
                      <w:rFonts w:asciiTheme="minorEastAsia" w:hAnsiTheme="minorEastAsia"/>
                      <w:kern w:val="0"/>
                      <w:szCs w:val="21"/>
                    </w:rPr>
                  </w:pPr>
                </w:p>
              </w:tc>
              <w:tc>
                <w:tcPr>
                  <w:tcW w:w="1082" w:type="pct"/>
                  <w:tcBorders>
                    <w:top w:val="single" w:color="auto" w:sz="6" w:space="0"/>
                    <w:left w:val="single" w:color="auto" w:sz="6" w:space="0"/>
                    <w:bottom w:val="single" w:color="auto" w:sz="6" w:space="0"/>
                    <w:right w:val="single" w:color="auto" w:sz="6" w:space="0"/>
                  </w:tcBorders>
                </w:tcPr>
                <w:p w14:paraId="201B81B6">
                  <w:pPr>
                    <w:jc w:val="center"/>
                    <w:rPr>
                      <w:rFonts w:cs="宋体" w:asciiTheme="minorEastAsia" w:hAnsiTheme="minorEastAsia"/>
                      <w:szCs w:val="21"/>
                    </w:rPr>
                  </w:pPr>
                  <w:r>
                    <w:rPr>
                      <w:rFonts w:cs="宋体" w:asciiTheme="minorEastAsia" w:hAnsiTheme="minorEastAsia"/>
                      <w:kern w:val="0"/>
                      <w:szCs w:val="21"/>
                    </w:rPr>
                    <w:t>Sn</w:t>
                  </w:r>
                </w:p>
              </w:tc>
              <w:tc>
                <w:tcPr>
                  <w:tcW w:w="1994" w:type="pct"/>
                  <w:tcBorders>
                    <w:top w:val="single" w:color="auto" w:sz="6" w:space="0"/>
                    <w:left w:val="single" w:color="auto" w:sz="6" w:space="0"/>
                    <w:bottom w:val="single" w:color="auto" w:sz="6" w:space="0"/>
                    <w:right w:val="single" w:color="auto" w:sz="6" w:space="0"/>
                  </w:tcBorders>
                </w:tcPr>
                <w:p w14:paraId="39EC6528">
                  <w:pPr>
                    <w:jc w:val="center"/>
                    <w:rPr>
                      <w:rFonts w:cs="宋体" w:asciiTheme="minorEastAsia" w:hAnsiTheme="minorEastAsia"/>
                      <w:szCs w:val="21"/>
                    </w:rPr>
                  </w:pPr>
                  <w:r>
                    <w:rPr>
                      <w:rFonts w:cs="宋体" w:asciiTheme="minorEastAsia" w:hAnsiTheme="minorEastAsia"/>
                      <w:kern w:val="0"/>
                      <w:szCs w:val="21"/>
                    </w:rPr>
                    <w:t>0.0003</w:t>
                  </w:r>
                </w:p>
              </w:tc>
            </w:tr>
            <w:tr w14:paraId="434627C1">
              <w:tblPrEx>
                <w:tblCellMar>
                  <w:top w:w="0" w:type="dxa"/>
                  <w:left w:w="108" w:type="dxa"/>
                  <w:bottom w:w="0" w:type="dxa"/>
                  <w:right w:w="108" w:type="dxa"/>
                </w:tblCellMar>
              </w:tblPrEx>
              <w:trPr>
                <w:cantSplit/>
                <w:trHeight w:val="319" w:hRule="atLeast"/>
                <w:jc w:val="center"/>
              </w:trPr>
              <w:tc>
                <w:tcPr>
                  <w:tcW w:w="842" w:type="pct"/>
                  <w:vMerge w:val="continue"/>
                  <w:tcBorders>
                    <w:top w:val="single" w:color="auto" w:sz="6" w:space="0"/>
                    <w:left w:val="single" w:color="auto" w:sz="6" w:space="0"/>
                    <w:bottom w:val="single" w:color="auto" w:sz="6" w:space="0"/>
                    <w:right w:val="single" w:color="auto" w:sz="6" w:space="0"/>
                  </w:tcBorders>
                </w:tcPr>
                <w:p w14:paraId="20E37493">
                  <w:pPr>
                    <w:keepNext/>
                    <w:keepLines/>
                    <w:spacing w:before="340" w:after="330" w:line="578" w:lineRule="auto"/>
                    <w:jc w:val="center"/>
                    <w:rPr>
                      <w:rFonts w:asciiTheme="minorEastAsia" w:hAnsiTheme="minorEastAsia"/>
                      <w:kern w:val="0"/>
                      <w:szCs w:val="21"/>
                    </w:rPr>
                  </w:pPr>
                </w:p>
              </w:tc>
              <w:tc>
                <w:tcPr>
                  <w:tcW w:w="1082" w:type="pct"/>
                  <w:vMerge w:val="continue"/>
                  <w:tcBorders>
                    <w:left w:val="single" w:color="auto" w:sz="6" w:space="0"/>
                    <w:bottom w:val="single" w:color="auto" w:sz="6" w:space="0"/>
                    <w:right w:val="single" w:color="auto" w:sz="6" w:space="0"/>
                  </w:tcBorders>
                </w:tcPr>
                <w:p w14:paraId="1CF88167">
                  <w:pPr>
                    <w:keepNext/>
                    <w:keepLines/>
                    <w:spacing w:before="340" w:after="330" w:line="578" w:lineRule="auto"/>
                    <w:jc w:val="center"/>
                    <w:rPr>
                      <w:rFonts w:asciiTheme="minorEastAsia" w:hAnsiTheme="minorEastAsia"/>
                      <w:kern w:val="0"/>
                      <w:szCs w:val="21"/>
                    </w:rPr>
                  </w:pPr>
                </w:p>
              </w:tc>
              <w:tc>
                <w:tcPr>
                  <w:tcW w:w="1082" w:type="pct"/>
                  <w:tcBorders>
                    <w:top w:val="single" w:color="auto" w:sz="6" w:space="0"/>
                    <w:left w:val="single" w:color="auto" w:sz="6" w:space="0"/>
                    <w:bottom w:val="single" w:color="auto" w:sz="6" w:space="0"/>
                    <w:right w:val="single" w:color="auto" w:sz="6" w:space="0"/>
                  </w:tcBorders>
                </w:tcPr>
                <w:p w14:paraId="04CA7FC7">
                  <w:pPr>
                    <w:jc w:val="center"/>
                    <w:rPr>
                      <w:rFonts w:cs="宋体" w:asciiTheme="minorEastAsia" w:hAnsiTheme="minorEastAsia"/>
                      <w:szCs w:val="21"/>
                    </w:rPr>
                  </w:pPr>
                  <w:r>
                    <w:rPr>
                      <w:rFonts w:cs="宋体" w:asciiTheme="minorEastAsia" w:hAnsiTheme="minorEastAsia"/>
                      <w:kern w:val="0"/>
                      <w:szCs w:val="21"/>
                    </w:rPr>
                    <w:t>Sb</w:t>
                  </w:r>
                </w:p>
              </w:tc>
              <w:tc>
                <w:tcPr>
                  <w:tcW w:w="1994" w:type="pct"/>
                  <w:tcBorders>
                    <w:top w:val="single" w:color="auto" w:sz="6" w:space="0"/>
                    <w:left w:val="single" w:color="auto" w:sz="6" w:space="0"/>
                    <w:bottom w:val="single" w:color="auto" w:sz="6" w:space="0"/>
                    <w:right w:val="single" w:color="auto" w:sz="6" w:space="0"/>
                  </w:tcBorders>
                </w:tcPr>
                <w:p w14:paraId="1D1144BA">
                  <w:pPr>
                    <w:jc w:val="center"/>
                    <w:rPr>
                      <w:rFonts w:cs="宋体" w:asciiTheme="minorEastAsia" w:hAnsiTheme="minorEastAsia"/>
                      <w:szCs w:val="21"/>
                    </w:rPr>
                  </w:pPr>
                  <w:r>
                    <w:rPr>
                      <w:rFonts w:cs="宋体" w:asciiTheme="minorEastAsia" w:hAnsiTheme="minorEastAsia"/>
                      <w:kern w:val="0"/>
                      <w:szCs w:val="21"/>
                    </w:rPr>
                    <w:t>0.0003</w:t>
                  </w:r>
                </w:p>
              </w:tc>
            </w:tr>
            <w:tr w14:paraId="60E39D1E">
              <w:tblPrEx>
                <w:tblCellMar>
                  <w:top w:w="0" w:type="dxa"/>
                  <w:left w:w="108" w:type="dxa"/>
                  <w:bottom w:w="0" w:type="dxa"/>
                  <w:right w:w="108" w:type="dxa"/>
                </w:tblCellMar>
              </w:tblPrEx>
              <w:trPr>
                <w:cantSplit/>
                <w:trHeight w:val="293" w:hRule="atLeast"/>
                <w:jc w:val="center"/>
              </w:trPr>
              <w:tc>
                <w:tcPr>
                  <w:tcW w:w="842" w:type="pct"/>
                  <w:vMerge w:val="continue"/>
                  <w:tcBorders>
                    <w:top w:val="single" w:color="auto" w:sz="6" w:space="0"/>
                    <w:left w:val="single" w:color="auto" w:sz="6" w:space="0"/>
                    <w:bottom w:val="single" w:color="auto" w:sz="6" w:space="0"/>
                    <w:right w:val="single" w:color="auto" w:sz="6" w:space="0"/>
                  </w:tcBorders>
                </w:tcPr>
                <w:p w14:paraId="6ACD8A73">
                  <w:pPr>
                    <w:keepNext/>
                    <w:keepLines/>
                    <w:spacing w:before="340" w:after="330" w:line="578" w:lineRule="auto"/>
                    <w:jc w:val="center"/>
                    <w:rPr>
                      <w:rFonts w:asciiTheme="minorEastAsia" w:hAnsiTheme="minorEastAsia"/>
                      <w:kern w:val="0"/>
                      <w:szCs w:val="21"/>
                    </w:rPr>
                  </w:pPr>
                </w:p>
              </w:tc>
              <w:tc>
                <w:tcPr>
                  <w:tcW w:w="1082" w:type="pct"/>
                  <w:vMerge w:val="continue"/>
                  <w:tcBorders>
                    <w:left w:val="single" w:color="auto" w:sz="6" w:space="0"/>
                    <w:bottom w:val="single" w:color="auto" w:sz="6" w:space="0"/>
                    <w:right w:val="single" w:color="auto" w:sz="6" w:space="0"/>
                  </w:tcBorders>
                </w:tcPr>
                <w:p w14:paraId="37C93AC1">
                  <w:pPr>
                    <w:keepNext/>
                    <w:keepLines/>
                    <w:spacing w:before="340" w:after="330" w:line="578" w:lineRule="auto"/>
                    <w:jc w:val="center"/>
                    <w:rPr>
                      <w:rFonts w:asciiTheme="minorEastAsia" w:hAnsiTheme="minorEastAsia"/>
                      <w:kern w:val="0"/>
                      <w:szCs w:val="21"/>
                    </w:rPr>
                  </w:pPr>
                </w:p>
              </w:tc>
              <w:tc>
                <w:tcPr>
                  <w:tcW w:w="1082" w:type="pct"/>
                  <w:tcBorders>
                    <w:top w:val="single" w:color="auto" w:sz="6" w:space="0"/>
                    <w:left w:val="single" w:color="auto" w:sz="6" w:space="0"/>
                    <w:bottom w:val="single" w:color="auto" w:sz="6" w:space="0"/>
                    <w:right w:val="single" w:color="auto" w:sz="6" w:space="0"/>
                  </w:tcBorders>
                </w:tcPr>
                <w:p w14:paraId="0E93072F">
                  <w:pPr>
                    <w:jc w:val="center"/>
                    <w:rPr>
                      <w:rFonts w:cs="宋体" w:asciiTheme="minorEastAsia" w:hAnsiTheme="minorEastAsia"/>
                      <w:szCs w:val="21"/>
                    </w:rPr>
                  </w:pPr>
                  <w:r>
                    <w:rPr>
                      <w:rFonts w:cs="宋体" w:asciiTheme="minorEastAsia" w:hAnsiTheme="minorEastAsia"/>
                      <w:kern w:val="0"/>
                      <w:szCs w:val="21"/>
                    </w:rPr>
                    <w:t>Pb</w:t>
                  </w:r>
                </w:p>
              </w:tc>
              <w:tc>
                <w:tcPr>
                  <w:tcW w:w="1994" w:type="pct"/>
                  <w:tcBorders>
                    <w:top w:val="single" w:color="auto" w:sz="6" w:space="0"/>
                    <w:left w:val="single" w:color="auto" w:sz="6" w:space="0"/>
                    <w:bottom w:val="single" w:color="auto" w:sz="6" w:space="0"/>
                    <w:right w:val="single" w:color="auto" w:sz="6" w:space="0"/>
                  </w:tcBorders>
                </w:tcPr>
                <w:p w14:paraId="7785C389">
                  <w:pPr>
                    <w:jc w:val="center"/>
                    <w:rPr>
                      <w:rFonts w:cs="宋体" w:asciiTheme="minorEastAsia" w:hAnsiTheme="minorEastAsia"/>
                      <w:szCs w:val="21"/>
                    </w:rPr>
                  </w:pPr>
                  <w:r>
                    <w:rPr>
                      <w:rFonts w:cs="宋体" w:asciiTheme="minorEastAsia" w:hAnsiTheme="minorEastAsia"/>
                      <w:kern w:val="0"/>
                      <w:szCs w:val="21"/>
                    </w:rPr>
                    <w:t>0.0015</w:t>
                  </w:r>
                </w:p>
              </w:tc>
            </w:tr>
            <w:tr w14:paraId="2A675E87">
              <w:tblPrEx>
                <w:tblCellMar>
                  <w:top w:w="0" w:type="dxa"/>
                  <w:left w:w="108" w:type="dxa"/>
                  <w:bottom w:w="0" w:type="dxa"/>
                  <w:right w:w="108" w:type="dxa"/>
                </w:tblCellMar>
              </w:tblPrEx>
              <w:trPr>
                <w:cantSplit/>
                <w:trHeight w:val="296" w:hRule="atLeast"/>
                <w:jc w:val="center"/>
              </w:trPr>
              <w:tc>
                <w:tcPr>
                  <w:tcW w:w="842" w:type="pct"/>
                  <w:vMerge w:val="continue"/>
                  <w:tcBorders>
                    <w:top w:val="single" w:color="auto" w:sz="6" w:space="0"/>
                    <w:left w:val="single" w:color="auto" w:sz="6" w:space="0"/>
                    <w:bottom w:val="single" w:color="auto" w:sz="6" w:space="0"/>
                    <w:right w:val="single" w:color="auto" w:sz="6" w:space="0"/>
                  </w:tcBorders>
                </w:tcPr>
                <w:p w14:paraId="02213672">
                  <w:pPr>
                    <w:keepNext/>
                    <w:keepLines/>
                    <w:spacing w:before="340" w:after="330" w:line="578" w:lineRule="auto"/>
                    <w:jc w:val="center"/>
                    <w:rPr>
                      <w:rFonts w:asciiTheme="minorEastAsia" w:hAnsiTheme="minorEastAsia"/>
                      <w:kern w:val="0"/>
                      <w:szCs w:val="21"/>
                    </w:rPr>
                  </w:pPr>
                </w:p>
              </w:tc>
              <w:tc>
                <w:tcPr>
                  <w:tcW w:w="1082" w:type="pct"/>
                  <w:vMerge w:val="continue"/>
                  <w:tcBorders>
                    <w:left w:val="single" w:color="auto" w:sz="6" w:space="0"/>
                    <w:bottom w:val="single" w:color="auto" w:sz="6" w:space="0"/>
                    <w:right w:val="single" w:color="auto" w:sz="6" w:space="0"/>
                  </w:tcBorders>
                </w:tcPr>
                <w:p w14:paraId="6E777452">
                  <w:pPr>
                    <w:keepNext/>
                    <w:keepLines/>
                    <w:spacing w:before="340" w:after="330" w:line="578" w:lineRule="auto"/>
                    <w:jc w:val="center"/>
                    <w:rPr>
                      <w:rFonts w:asciiTheme="minorEastAsia" w:hAnsiTheme="minorEastAsia"/>
                      <w:kern w:val="0"/>
                      <w:szCs w:val="21"/>
                    </w:rPr>
                  </w:pPr>
                </w:p>
              </w:tc>
              <w:tc>
                <w:tcPr>
                  <w:tcW w:w="1082" w:type="pct"/>
                  <w:tcBorders>
                    <w:top w:val="single" w:color="auto" w:sz="6" w:space="0"/>
                    <w:left w:val="single" w:color="auto" w:sz="6" w:space="0"/>
                    <w:bottom w:val="single" w:color="auto" w:sz="6" w:space="0"/>
                    <w:right w:val="single" w:color="auto" w:sz="6" w:space="0"/>
                  </w:tcBorders>
                </w:tcPr>
                <w:p w14:paraId="1778370E">
                  <w:pPr>
                    <w:jc w:val="center"/>
                    <w:rPr>
                      <w:rFonts w:cs="宋体" w:asciiTheme="minorEastAsia" w:hAnsiTheme="minorEastAsia"/>
                      <w:szCs w:val="21"/>
                    </w:rPr>
                  </w:pPr>
                  <w:r>
                    <w:rPr>
                      <w:rFonts w:cs="宋体" w:asciiTheme="minorEastAsia" w:hAnsiTheme="minorEastAsia"/>
                      <w:kern w:val="0"/>
                      <w:szCs w:val="21"/>
                    </w:rPr>
                    <w:t>Bi</w:t>
                  </w:r>
                </w:p>
              </w:tc>
              <w:tc>
                <w:tcPr>
                  <w:tcW w:w="1994" w:type="pct"/>
                  <w:tcBorders>
                    <w:top w:val="single" w:color="auto" w:sz="6" w:space="0"/>
                    <w:left w:val="single" w:color="auto" w:sz="6" w:space="0"/>
                    <w:bottom w:val="single" w:color="auto" w:sz="6" w:space="0"/>
                    <w:right w:val="single" w:color="auto" w:sz="6" w:space="0"/>
                  </w:tcBorders>
                </w:tcPr>
                <w:p w14:paraId="1DBF13CD">
                  <w:pPr>
                    <w:jc w:val="center"/>
                    <w:rPr>
                      <w:rFonts w:cs="宋体" w:asciiTheme="minorEastAsia" w:hAnsiTheme="minorEastAsia"/>
                      <w:szCs w:val="21"/>
                    </w:rPr>
                  </w:pPr>
                  <w:r>
                    <w:rPr>
                      <w:rFonts w:cs="宋体" w:asciiTheme="minorEastAsia" w:hAnsiTheme="minorEastAsia"/>
                      <w:kern w:val="0"/>
                      <w:szCs w:val="21"/>
                    </w:rPr>
                    <w:t>0.0003</w:t>
                  </w:r>
                </w:p>
              </w:tc>
            </w:tr>
            <w:tr w14:paraId="75C6D1B1">
              <w:tblPrEx>
                <w:tblCellMar>
                  <w:top w:w="0" w:type="dxa"/>
                  <w:left w:w="108" w:type="dxa"/>
                  <w:bottom w:w="0" w:type="dxa"/>
                  <w:right w:w="108" w:type="dxa"/>
                </w:tblCellMar>
              </w:tblPrEx>
              <w:trPr>
                <w:cantSplit/>
                <w:trHeight w:val="271" w:hRule="atLeast"/>
                <w:jc w:val="center"/>
              </w:trPr>
              <w:tc>
                <w:tcPr>
                  <w:tcW w:w="842" w:type="pct"/>
                  <w:vMerge w:val="continue"/>
                  <w:tcBorders>
                    <w:top w:val="single" w:color="auto" w:sz="6" w:space="0"/>
                    <w:left w:val="single" w:color="auto" w:sz="6" w:space="0"/>
                    <w:bottom w:val="single" w:color="auto" w:sz="6" w:space="0"/>
                    <w:right w:val="single" w:color="auto" w:sz="6" w:space="0"/>
                  </w:tcBorders>
                </w:tcPr>
                <w:p w14:paraId="499A195D">
                  <w:pPr>
                    <w:keepNext/>
                    <w:keepLines/>
                    <w:spacing w:before="340" w:after="330" w:line="578" w:lineRule="auto"/>
                    <w:jc w:val="center"/>
                    <w:rPr>
                      <w:rFonts w:asciiTheme="minorEastAsia" w:hAnsiTheme="minorEastAsia"/>
                      <w:kern w:val="0"/>
                      <w:szCs w:val="21"/>
                    </w:rPr>
                  </w:pPr>
                </w:p>
              </w:tc>
              <w:tc>
                <w:tcPr>
                  <w:tcW w:w="1082" w:type="pct"/>
                  <w:vMerge w:val="continue"/>
                  <w:tcBorders>
                    <w:left w:val="single" w:color="auto" w:sz="6" w:space="0"/>
                    <w:bottom w:val="single" w:color="auto" w:sz="6" w:space="0"/>
                    <w:right w:val="single" w:color="auto" w:sz="6" w:space="0"/>
                  </w:tcBorders>
                </w:tcPr>
                <w:p w14:paraId="3B204D4B">
                  <w:pPr>
                    <w:keepNext/>
                    <w:keepLines/>
                    <w:spacing w:before="340" w:after="330" w:line="578" w:lineRule="auto"/>
                    <w:jc w:val="center"/>
                    <w:rPr>
                      <w:rFonts w:asciiTheme="minorEastAsia" w:hAnsiTheme="minorEastAsia"/>
                      <w:kern w:val="0"/>
                      <w:szCs w:val="21"/>
                    </w:rPr>
                  </w:pPr>
                </w:p>
              </w:tc>
              <w:tc>
                <w:tcPr>
                  <w:tcW w:w="1082" w:type="pct"/>
                  <w:tcBorders>
                    <w:top w:val="single" w:color="auto" w:sz="6" w:space="0"/>
                    <w:left w:val="single" w:color="auto" w:sz="6" w:space="0"/>
                    <w:bottom w:val="single" w:color="auto" w:sz="6" w:space="0"/>
                    <w:right w:val="single" w:color="auto" w:sz="6" w:space="0"/>
                  </w:tcBorders>
                </w:tcPr>
                <w:p w14:paraId="472D5CB4">
                  <w:pPr>
                    <w:jc w:val="center"/>
                    <w:rPr>
                      <w:rFonts w:cs="宋体" w:asciiTheme="minorEastAsia" w:hAnsiTheme="minorEastAsia"/>
                      <w:szCs w:val="21"/>
                    </w:rPr>
                  </w:pPr>
                  <w:r>
                    <w:rPr>
                      <w:rFonts w:cs="宋体" w:asciiTheme="minorEastAsia" w:hAnsiTheme="minorEastAsia"/>
                      <w:kern w:val="0"/>
                      <w:szCs w:val="21"/>
                    </w:rPr>
                    <w:t>Al</w:t>
                  </w:r>
                </w:p>
              </w:tc>
              <w:tc>
                <w:tcPr>
                  <w:tcW w:w="1994" w:type="pct"/>
                  <w:tcBorders>
                    <w:top w:val="single" w:color="auto" w:sz="6" w:space="0"/>
                    <w:left w:val="single" w:color="auto" w:sz="6" w:space="0"/>
                    <w:bottom w:val="single" w:color="auto" w:sz="6" w:space="0"/>
                    <w:right w:val="single" w:color="auto" w:sz="6" w:space="0"/>
                  </w:tcBorders>
                </w:tcPr>
                <w:p w14:paraId="237921A6">
                  <w:pPr>
                    <w:ind w:firstLine="408"/>
                    <w:jc w:val="left"/>
                    <w:rPr>
                      <w:rFonts w:cs="宋体" w:asciiTheme="minorEastAsia" w:hAnsiTheme="minorEastAsia"/>
                      <w:szCs w:val="21"/>
                    </w:rPr>
                  </w:pPr>
                  <w:r>
                    <w:rPr>
                      <w:rFonts w:hint="eastAsia" w:cs="宋体" w:asciiTheme="minorEastAsia" w:hAnsiTheme="minorEastAsia"/>
                      <w:szCs w:val="21"/>
                    </w:rPr>
                    <w:t>0.001</w:t>
                  </w:r>
                </w:p>
              </w:tc>
            </w:tr>
            <w:tr w14:paraId="60F0BF00">
              <w:tblPrEx>
                <w:tblCellMar>
                  <w:top w:w="0" w:type="dxa"/>
                  <w:left w:w="108" w:type="dxa"/>
                  <w:bottom w:w="0" w:type="dxa"/>
                  <w:right w:w="108" w:type="dxa"/>
                </w:tblCellMar>
              </w:tblPrEx>
              <w:trPr>
                <w:cantSplit/>
                <w:trHeight w:val="246" w:hRule="atLeast"/>
                <w:jc w:val="center"/>
              </w:trPr>
              <w:tc>
                <w:tcPr>
                  <w:tcW w:w="842" w:type="pct"/>
                  <w:vMerge w:val="continue"/>
                  <w:tcBorders>
                    <w:top w:val="single" w:color="auto" w:sz="6" w:space="0"/>
                    <w:left w:val="single" w:color="auto" w:sz="6" w:space="0"/>
                    <w:bottom w:val="single" w:color="auto" w:sz="6" w:space="0"/>
                    <w:right w:val="single" w:color="auto" w:sz="6" w:space="0"/>
                  </w:tcBorders>
                </w:tcPr>
                <w:p w14:paraId="51CB927A">
                  <w:pPr>
                    <w:keepNext/>
                    <w:keepLines/>
                    <w:spacing w:before="340" w:after="330" w:line="578" w:lineRule="auto"/>
                    <w:jc w:val="center"/>
                    <w:rPr>
                      <w:rFonts w:asciiTheme="minorEastAsia" w:hAnsiTheme="minorEastAsia"/>
                      <w:kern w:val="0"/>
                      <w:szCs w:val="21"/>
                    </w:rPr>
                  </w:pPr>
                </w:p>
              </w:tc>
              <w:tc>
                <w:tcPr>
                  <w:tcW w:w="1082" w:type="pct"/>
                  <w:vMerge w:val="continue"/>
                  <w:tcBorders>
                    <w:left w:val="single" w:color="auto" w:sz="6" w:space="0"/>
                    <w:bottom w:val="single" w:color="auto" w:sz="6" w:space="0"/>
                    <w:right w:val="single" w:color="auto" w:sz="6" w:space="0"/>
                  </w:tcBorders>
                </w:tcPr>
                <w:p w14:paraId="62F1EA4D">
                  <w:pPr>
                    <w:keepNext/>
                    <w:keepLines/>
                    <w:spacing w:before="340" w:after="330" w:line="578" w:lineRule="auto"/>
                    <w:jc w:val="center"/>
                    <w:rPr>
                      <w:rFonts w:asciiTheme="minorEastAsia" w:hAnsiTheme="minorEastAsia"/>
                      <w:kern w:val="0"/>
                      <w:szCs w:val="21"/>
                    </w:rPr>
                  </w:pPr>
                </w:p>
              </w:tc>
              <w:tc>
                <w:tcPr>
                  <w:tcW w:w="1082" w:type="pct"/>
                  <w:tcBorders>
                    <w:top w:val="single" w:color="auto" w:sz="6" w:space="0"/>
                    <w:left w:val="single" w:color="auto" w:sz="6" w:space="0"/>
                    <w:bottom w:val="single" w:color="auto" w:sz="6" w:space="0"/>
                    <w:right w:val="single" w:color="auto" w:sz="6" w:space="0"/>
                  </w:tcBorders>
                </w:tcPr>
                <w:p w14:paraId="59C05C00">
                  <w:pPr>
                    <w:jc w:val="center"/>
                    <w:rPr>
                      <w:rFonts w:cs="宋体" w:asciiTheme="minorEastAsia" w:hAnsiTheme="minorEastAsia"/>
                      <w:szCs w:val="21"/>
                    </w:rPr>
                  </w:pPr>
                  <w:r>
                    <w:rPr>
                      <w:rFonts w:cs="宋体" w:asciiTheme="minorEastAsia" w:hAnsiTheme="minorEastAsia"/>
                      <w:kern w:val="0"/>
                      <w:szCs w:val="21"/>
                    </w:rPr>
                    <w:t>Mn</w:t>
                  </w:r>
                </w:p>
              </w:tc>
              <w:tc>
                <w:tcPr>
                  <w:tcW w:w="1994" w:type="pct"/>
                  <w:tcBorders>
                    <w:top w:val="single" w:color="auto" w:sz="6" w:space="0"/>
                    <w:left w:val="single" w:color="auto" w:sz="6" w:space="0"/>
                    <w:bottom w:val="single" w:color="auto" w:sz="6" w:space="0"/>
                    <w:right w:val="single" w:color="auto" w:sz="6" w:space="0"/>
                  </w:tcBorders>
                </w:tcPr>
                <w:p w14:paraId="403DBFB0">
                  <w:pPr>
                    <w:jc w:val="center"/>
                    <w:rPr>
                      <w:rFonts w:cs="宋体" w:asciiTheme="minorEastAsia" w:hAnsiTheme="minorEastAsia"/>
                      <w:szCs w:val="21"/>
                    </w:rPr>
                  </w:pPr>
                  <w:r>
                    <w:rPr>
                      <w:rFonts w:hint="eastAsia" w:cs="宋体" w:asciiTheme="minorEastAsia" w:hAnsiTheme="minorEastAsia"/>
                      <w:szCs w:val="21"/>
                    </w:rPr>
                    <w:t>0.001</w:t>
                  </w:r>
                </w:p>
              </w:tc>
            </w:tr>
            <w:tr w14:paraId="01EAC827">
              <w:tblPrEx>
                <w:tblCellMar>
                  <w:top w:w="0" w:type="dxa"/>
                  <w:left w:w="108" w:type="dxa"/>
                  <w:bottom w:w="0" w:type="dxa"/>
                  <w:right w:w="108" w:type="dxa"/>
                </w:tblCellMar>
              </w:tblPrEx>
              <w:trPr>
                <w:cantSplit/>
                <w:trHeight w:val="235" w:hRule="atLeast"/>
                <w:jc w:val="center"/>
              </w:trPr>
              <w:tc>
                <w:tcPr>
                  <w:tcW w:w="842" w:type="pct"/>
                  <w:vMerge w:val="continue"/>
                  <w:tcBorders>
                    <w:top w:val="single" w:color="auto" w:sz="6" w:space="0"/>
                    <w:left w:val="single" w:color="auto" w:sz="6" w:space="0"/>
                    <w:bottom w:val="single" w:color="auto" w:sz="6" w:space="0"/>
                    <w:right w:val="single" w:color="auto" w:sz="6" w:space="0"/>
                  </w:tcBorders>
                </w:tcPr>
                <w:p w14:paraId="7F5AFE45">
                  <w:pPr>
                    <w:keepNext/>
                    <w:keepLines/>
                    <w:spacing w:before="340" w:after="330" w:line="578" w:lineRule="auto"/>
                    <w:jc w:val="center"/>
                    <w:rPr>
                      <w:rFonts w:asciiTheme="minorEastAsia" w:hAnsiTheme="minorEastAsia"/>
                      <w:kern w:val="0"/>
                      <w:szCs w:val="21"/>
                    </w:rPr>
                  </w:pPr>
                </w:p>
              </w:tc>
              <w:tc>
                <w:tcPr>
                  <w:tcW w:w="1082" w:type="pct"/>
                  <w:vMerge w:val="continue"/>
                  <w:tcBorders>
                    <w:left w:val="single" w:color="auto" w:sz="6" w:space="0"/>
                    <w:bottom w:val="single" w:color="auto" w:sz="6" w:space="0"/>
                    <w:right w:val="single" w:color="auto" w:sz="6" w:space="0"/>
                  </w:tcBorders>
                </w:tcPr>
                <w:p w14:paraId="6722825C">
                  <w:pPr>
                    <w:keepNext/>
                    <w:keepLines/>
                    <w:spacing w:before="340" w:after="330" w:line="578" w:lineRule="auto"/>
                    <w:jc w:val="center"/>
                    <w:rPr>
                      <w:rFonts w:asciiTheme="minorEastAsia" w:hAnsiTheme="minorEastAsia"/>
                      <w:kern w:val="0"/>
                      <w:szCs w:val="21"/>
                    </w:rPr>
                  </w:pPr>
                </w:p>
              </w:tc>
              <w:tc>
                <w:tcPr>
                  <w:tcW w:w="1082" w:type="pct"/>
                  <w:tcBorders>
                    <w:top w:val="single" w:color="auto" w:sz="6" w:space="0"/>
                    <w:left w:val="single" w:color="auto" w:sz="6" w:space="0"/>
                    <w:bottom w:val="single" w:color="auto" w:sz="6" w:space="0"/>
                    <w:right w:val="single" w:color="auto" w:sz="6" w:space="0"/>
                  </w:tcBorders>
                </w:tcPr>
                <w:p w14:paraId="6CEF9736">
                  <w:pPr>
                    <w:jc w:val="center"/>
                    <w:rPr>
                      <w:rFonts w:cs="宋体" w:asciiTheme="minorEastAsia" w:hAnsiTheme="minorEastAsia"/>
                      <w:szCs w:val="21"/>
                    </w:rPr>
                  </w:pPr>
                  <w:r>
                    <w:rPr>
                      <w:rFonts w:cs="宋体" w:asciiTheme="minorEastAsia" w:hAnsiTheme="minorEastAsia"/>
                      <w:kern w:val="0"/>
                      <w:szCs w:val="21"/>
                    </w:rPr>
                    <w:t>Mg</w:t>
                  </w:r>
                </w:p>
              </w:tc>
              <w:tc>
                <w:tcPr>
                  <w:tcW w:w="1994" w:type="pct"/>
                  <w:tcBorders>
                    <w:top w:val="single" w:color="auto" w:sz="6" w:space="0"/>
                    <w:left w:val="single" w:color="auto" w:sz="6" w:space="0"/>
                    <w:bottom w:val="single" w:color="auto" w:sz="6" w:space="0"/>
                    <w:right w:val="single" w:color="auto" w:sz="6" w:space="0"/>
                  </w:tcBorders>
                </w:tcPr>
                <w:p w14:paraId="34C6B853">
                  <w:pPr>
                    <w:jc w:val="center"/>
                    <w:rPr>
                      <w:rFonts w:cs="宋体" w:asciiTheme="minorEastAsia" w:hAnsiTheme="minorEastAsia"/>
                      <w:szCs w:val="21"/>
                    </w:rPr>
                  </w:pPr>
                  <w:r>
                    <w:rPr>
                      <w:rFonts w:cs="宋体" w:asciiTheme="minorEastAsia" w:hAnsiTheme="minorEastAsia"/>
                      <w:kern w:val="0"/>
                      <w:szCs w:val="21"/>
                    </w:rPr>
                    <w:t>0.001</w:t>
                  </w:r>
                </w:p>
              </w:tc>
            </w:tr>
          </w:tbl>
          <w:p w14:paraId="1ECC8B0C">
            <w:pPr>
              <w:widowControl/>
              <w:shd w:val="clear" w:color="auto" w:fill="FFFFFF"/>
              <w:ind w:firstLine="420" w:firstLineChars="200"/>
              <w:jc w:val="left"/>
              <w:rPr>
                <w:rFonts w:asciiTheme="minorEastAsia" w:hAnsiTheme="minorEastAsia"/>
                <w:szCs w:val="21"/>
              </w:rPr>
            </w:pPr>
            <w:r>
              <w:rPr>
                <w:rFonts w:hint="eastAsia" w:cs="楷体" w:asciiTheme="minorEastAsia" w:hAnsiTheme="minorEastAsia"/>
                <w:iCs/>
                <w:szCs w:val="21"/>
              </w:rPr>
              <w:t>注：镍加钴含量由</w:t>
            </w:r>
            <w:r>
              <w:rPr>
                <w:rFonts w:cs="楷体" w:asciiTheme="minorEastAsia" w:hAnsiTheme="minorEastAsia"/>
                <w:iCs/>
                <w:szCs w:val="21"/>
              </w:rPr>
              <w:t>100%</w:t>
            </w:r>
            <w:r>
              <w:rPr>
                <w:rFonts w:hint="eastAsia" w:cs="楷体" w:asciiTheme="minorEastAsia" w:hAnsiTheme="minorEastAsia"/>
                <w:iCs/>
                <w:szCs w:val="21"/>
              </w:rPr>
              <w:t>减去表中所列元素的含量而得。</w:t>
            </w:r>
          </w:p>
          <w:p w14:paraId="706A03C5">
            <w:pPr>
              <w:widowControl/>
              <w:shd w:val="clear" w:color="auto" w:fill="FFFFFF"/>
              <w:ind w:firstLine="420" w:firstLineChars="200"/>
              <w:jc w:val="left"/>
              <w:rPr>
                <w:rFonts w:asciiTheme="minorEastAsia" w:hAnsiTheme="minorEastAsia"/>
                <w:szCs w:val="21"/>
              </w:rPr>
            </w:pPr>
            <w:r>
              <w:rPr>
                <w:rFonts w:hint="eastAsia" w:asciiTheme="minorEastAsia" w:hAnsiTheme="minorEastAsia"/>
                <w:szCs w:val="21"/>
              </w:rPr>
              <w:t>电解镍为非电积工艺生产，交货形态为电解镍板。</w:t>
            </w:r>
          </w:p>
          <w:p w14:paraId="6A74A48F">
            <w:pPr>
              <w:pStyle w:val="7"/>
              <w:ind w:firstLine="420" w:firstLineChars="200"/>
              <w:rPr>
                <w:rFonts w:cs="楷体" w:asciiTheme="minorEastAsia" w:hAnsiTheme="minorEastAsia"/>
                <w:iCs/>
                <w:szCs w:val="21"/>
              </w:rPr>
            </w:pPr>
            <w:r>
              <w:rPr>
                <w:rFonts w:hint="eastAsia" w:cs="楷体" w:asciiTheme="minorEastAsia" w:hAnsiTheme="minorEastAsia"/>
                <w:iCs/>
                <w:szCs w:val="21"/>
              </w:rPr>
              <w:t>电解镍应符合：国家标准</w:t>
            </w:r>
            <w:r>
              <w:rPr>
                <w:rFonts w:cs="楷体" w:asciiTheme="minorEastAsia" w:hAnsiTheme="minorEastAsia"/>
                <w:iCs/>
                <w:szCs w:val="21"/>
              </w:rPr>
              <w:t>GB/T6516-20</w:t>
            </w:r>
            <w:r>
              <w:rPr>
                <w:rFonts w:hint="eastAsia" w:cs="楷体" w:asciiTheme="minorEastAsia" w:hAnsiTheme="minorEastAsia"/>
                <w:iCs/>
                <w:szCs w:val="21"/>
              </w:rPr>
              <w:t>25。</w:t>
            </w:r>
          </w:p>
          <w:p w14:paraId="3ADE5FD3">
            <w:pPr>
              <w:widowControl/>
              <w:ind w:firstLine="420" w:firstLineChars="200"/>
              <w:textAlignment w:val="center"/>
              <w:rPr>
                <w:rFonts w:ascii="仿宋" w:hAnsi="仿宋" w:eastAsia="仿宋" w:cs="宋体"/>
                <w:sz w:val="28"/>
                <w:szCs w:val="28"/>
              </w:rPr>
            </w:pPr>
            <w:r>
              <w:rPr>
                <w:rFonts w:hint="eastAsia" w:cs="楷体" w:asciiTheme="minorEastAsia" w:hAnsiTheme="minorEastAsia"/>
                <w:iCs/>
                <w:szCs w:val="21"/>
              </w:rPr>
              <w:t>牌号为</w:t>
            </w:r>
            <w:r>
              <w:rPr>
                <w:rFonts w:cs="楷体" w:asciiTheme="minorEastAsia" w:hAnsiTheme="minorEastAsia"/>
                <w:iCs/>
                <w:szCs w:val="21"/>
              </w:rPr>
              <w:t>Ni9996,</w:t>
            </w:r>
            <w:r>
              <w:rPr>
                <w:rFonts w:hint="eastAsia" w:cs="楷体" w:asciiTheme="minorEastAsia" w:hAnsiTheme="minorEastAsia"/>
                <w:iCs/>
                <w:szCs w:val="21"/>
              </w:rPr>
              <w:t>化学成分应符合上表的规定。</w:t>
            </w:r>
          </w:p>
        </w:tc>
        <w:tc>
          <w:tcPr>
            <w:tcW w:w="1124" w:type="dxa"/>
            <w:tcBorders>
              <w:top w:val="single" w:color="000000" w:sz="4" w:space="0"/>
              <w:left w:val="single" w:color="000000" w:sz="4" w:space="0"/>
              <w:bottom w:val="single" w:color="000000" w:sz="4" w:space="0"/>
              <w:right w:val="single" w:color="000000" w:sz="4" w:space="0"/>
            </w:tcBorders>
            <w:vAlign w:val="center"/>
          </w:tcPr>
          <w:p w14:paraId="29E7120D">
            <w:pPr>
              <w:widowControl/>
              <w:ind w:firstLine="212" w:firstLineChars="101"/>
              <w:textAlignment w:val="center"/>
              <w:rPr>
                <w:rFonts w:asciiTheme="minorEastAsia" w:hAnsiTheme="minorEastAsia" w:cstheme="minorEastAsia"/>
                <w:snapToGrid w:val="0"/>
                <w:szCs w:val="21"/>
                <w:lang w:val="zh-CN"/>
              </w:rPr>
            </w:pPr>
            <w:r>
              <w:rPr>
                <w:rFonts w:hint="eastAsia" w:cs="仿宋" w:asciiTheme="minorEastAsia" w:hAnsiTheme="minorEastAsia"/>
                <w:szCs w:val="21"/>
              </w:rPr>
              <w:t>是。</w:t>
            </w:r>
            <w:r>
              <w:rPr>
                <w:rFonts w:hint="eastAsia" w:asciiTheme="majorEastAsia" w:hAnsiTheme="majorEastAsia" w:eastAsiaTheme="majorEastAsia" w:cstheme="majorEastAsia"/>
                <w:spacing w:val="-3"/>
                <w:szCs w:val="21"/>
              </w:rPr>
              <w:t>要求</w:t>
            </w:r>
            <w:r>
              <w:rPr>
                <w:rFonts w:hint="eastAsia" w:cs="仿宋" w:asciiTheme="minorEastAsia" w:hAnsiTheme="minorEastAsia"/>
                <w:szCs w:val="21"/>
              </w:rPr>
              <w:t>投标人提供承诺函并加盖公章作为证明。</w:t>
            </w:r>
            <w:r>
              <w:rPr>
                <w:rFonts w:hint="eastAsia" w:asciiTheme="minorEastAsia" w:hAnsiTheme="minorEastAsia" w:cstheme="minorEastAsia"/>
                <w:snapToGrid w:val="0"/>
                <w:szCs w:val="21"/>
                <w:lang w:val="zh-CN"/>
              </w:rPr>
              <w:t>承诺函可参考采购人提供的承诺函模板（见商务要求</w:t>
            </w:r>
            <w:r>
              <w:rPr>
                <w:rFonts w:asciiTheme="minorEastAsia" w:hAnsiTheme="minorEastAsia" w:cstheme="minorEastAsia"/>
                <w:snapToGrid w:val="0"/>
                <w:szCs w:val="21"/>
              </w:rPr>
              <w:t>A服务要求表</w:t>
            </w:r>
            <w:r>
              <w:rPr>
                <w:rFonts w:hint="eastAsia" w:asciiTheme="minorEastAsia" w:hAnsiTheme="minorEastAsia" w:cstheme="minorEastAsia"/>
                <w:snapToGrid w:val="0"/>
                <w:szCs w:val="21"/>
              </w:rPr>
              <w:t>后</w:t>
            </w:r>
            <w:r>
              <w:rPr>
                <w:rFonts w:asciiTheme="minorEastAsia" w:hAnsiTheme="minorEastAsia" w:cstheme="minorEastAsia"/>
                <w:snapToGrid w:val="0"/>
                <w:szCs w:val="21"/>
              </w:rPr>
              <w:t>的附件）</w:t>
            </w:r>
            <w:r>
              <w:rPr>
                <w:rFonts w:hint="eastAsia" w:asciiTheme="minorEastAsia" w:hAnsiTheme="minorEastAsia" w:cstheme="minorEastAsia"/>
                <w:snapToGrid w:val="0"/>
                <w:szCs w:val="21"/>
                <w:lang w:val="zh-CN"/>
              </w:rPr>
              <w:t>编写。</w:t>
            </w:r>
          </w:p>
          <w:p w14:paraId="3FD0BE6D">
            <w:pPr>
              <w:widowControl/>
              <w:ind w:firstLine="212" w:firstLineChars="101"/>
              <w:textAlignment w:val="center"/>
              <w:rPr>
                <w:rFonts w:asciiTheme="minorEastAsia" w:hAnsiTheme="minorEastAsia" w:cstheme="minorEastAsia"/>
                <w:snapToGrid w:val="0"/>
                <w:szCs w:val="21"/>
                <w:lang w:val="zh-CN"/>
              </w:rPr>
            </w:pPr>
          </w:p>
          <w:p w14:paraId="7F61F41F">
            <w:pPr>
              <w:widowControl/>
              <w:ind w:firstLine="282" w:firstLineChars="101"/>
              <w:textAlignment w:val="center"/>
              <w:rPr>
                <w:rFonts w:ascii="仿宋" w:hAnsi="仿宋" w:eastAsia="仿宋" w:cs="宋体"/>
                <w:color w:val="FF0000"/>
                <w:sz w:val="28"/>
                <w:szCs w:val="28"/>
              </w:rPr>
            </w:pPr>
          </w:p>
        </w:tc>
      </w:tr>
      <w:tr w14:paraId="7307EC7F">
        <w:tblPrEx>
          <w:tblCellMar>
            <w:top w:w="0" w:type="dxa"/>
            <w:left w:w="0" w:type="dxa"/>
            <w:bottom w:w="0" w:type="dxa"/>
            <w:right w:w="0" w:type="dxa"/>
          </w:tblCellMar>
        </w:tblPrEx>
        <w:trPr>
          <w:trHeight w:val="20" w:hRule="atLeast"/>
        </w:trPr>
        <w:tc>
          <w:tcPr>
            <w:tcW w:w="714" w:type="dxa"/>
            <w:tcBorders>
              <w:top w:val="single" w:color="000000" w:sz="4" w:space="0"/>
              <w:left w:val="single" w:color="000000" w:sz="4" w:space="0"/>
              <w:bottom w:val="single" w:color="000000" w:sz="4" w:space="0"/>
              <w:right w:val="single" w:color="000000" w:sz="4" w:space="0"/>
            </w:tcBorders>
            <w:vAlign w:val="center"/>
          </w:tcPr>
          <w:p w14:paraId="4BF6C8B4">
            <w:pPr>
              <w:widowControl/>
              <w:jc w:val="center"/>
              <w:textAlignment w:val="center"/>
              <w:rPr>
                <w:rFonts w:ascii="仿宋" w:hAnsi="仿宋" w:eastAsia="仿宋" w:cs="宋体"/>
                <w:sz w:val="28"/>
                <w:szCs w:val="28"/>
              </w:rPr>
            </w:pPr>
            <w:r>
              <w:rPr>
                <w:rFonts w:ascii="仿宋" w:hAnsi="仿宋" w:eastAsia="仿宋" w:cs="宋体"/>
                <w:kern w:val="0"/>
                <w:sz w:val="28"/>
                <w:szCs w:val="28"/>
              </w:rPr>
              <w:t>2</w:t>
            </w:r>
          </w:p>
        </w:tc>
        <w:tc>
          <w:tcPr>
            <w:tcW w:w="909" w:type="dxa"/>
            <w:tcBorders>
              <w:top w:val="single" w:color="000000" w:sz="4" w:space="0"/>
              <w:left w:val="single" w:color="000000" w:sz="4" w:space="0"/>
              <w:bottom w:val="single" w:color="000000" w:sz="4" w:space="0"/>
              <w:right w:val="single" w:color="000000" w:sz="4" w:space="0"/>
            </w:tcBorders>
            <w:vAlign w:val="center"/>
          </w:tcPr>
          <w:p w14:paraId="632B8A17">
            <w:pPr>
              <w:widowControl/>
              <w:jc w:val="center"/>
              <w:textAlignment w:val="center"/>
              <w:rPr>
                <w:rFonts w:ascii="仿宋" w:hAnsi="仿宋" w:eastAsia="仿宋" w:cs="宋体"/>
                <w:sz w:val="28"/>
                <w:szCs w:val="28"/>
              </w:rPr>
            </w:pPr>
            <w:r>
              <w:rPr>
                <w:rFonts w:hint="eastAsia" w:cs="仿宋_GB2312" w:asciiTheme="minorEastAsia" w:hAnsiTheme="minorEastAsia"/>
                <w:snapToGrid w:val="0"/>
                <w:szCs w:val="21"/>
                <w:lang w:val="zh-CN"/>
              </w:rPr>
              <w:t>★</w:t>
            </w:r>
          </w:p>
        </w:tc>
        <w:tc>
          <w:tcPr>
            <w:tcW w:w="1902" w:type="dxa"/>
            <w:tcBorders>
              <w:top w:val="single" w:color="000000" w:sz="4" w:space="0"/>
              <w:left w:val="single" w:color="000000" w:sz="4" w:space="0"/>
              <w:bottom w:val="single" w:color="000000" w:sz="4" w:space="0"/>
              <w:right w:val="single" w:color="000000" w:sz="4" w:space="0"/>
            </w:tcBorders>
            <w:vAlign w:val="center"/>
          </w:tcPr>
          <w:p w14:paraId="532F5C7E">
            <w:pPr>
              <w:widowControl/>
              <w:jc w:val="center"/>
              <w:textAlignment w:val="center"/>
              <w:rPr>
                <w:rFonts w:ascii="仿宋" w:hAnsi="仿宋" w:eastAsia="仿宋" w:cs="宋体"/>
                <w:sz w:val="28"/>
                <w:szCs w:val="28"/>
              </w:rPr>
            </w:pPr>
            <w:r>
              <w:rPr>
                <w:rFonts w:hint="eastAsia" w:cs="仿宋_GB2312" w:asciiTheme="minorEastAsia" w:hAnsiTheme="minorEastAsia"/>
                <w:snapToGrid w:val="0"/>
                <w:szCs w:val="21"/>
                <w:lang w:val="zh-CN"/>
              </w:rPr>
              <w:t>外观</w:t>
            </w:r>
          </w:p>
        </w:tc>
        <w:tc>
          <w:tcPr>
            <w:tcW w:w="4145" w:type="dxa"/>
            <w:tcBorders>
              <w:top w:val="single" w:color="000000" w:sz="4" w:space="0"/>
              <w:left w:val="single" w:color="000000" w:sz="4" w:space="0"/>
              <w:bottom w:val="single" w:color="000000" w:sz="4" w:space="0"/>
              <w:right w:val="single" w:color="000000" w:sz="4" w:space="0"/>
            </w:tcBorders>
            <w:vAlign w:val="center"/>
          </w:tcPr>
          <w:p w14:paraId="45F52BA7">
            <w:pPr>
              <w:widowControl/>
              <w:ind w:firstLine="420" w:firstLineChars="200"/>
              <w:textAlignment w:val="center"/>
              <w:rPr>
                <w:rFonts w:ascii="仿宋" w:hAnsi="仿宋" w:eastAsia="仿宋" w:cs="宋体"/>
                <w:sz w:val="28"/>
                <w:szCs w:val="28"/>
              </w:rPr>
            </w:pPr>
            <w:r>
              <w:rPr>
                <w:rFonts w:hint="eastAsia" w:asciiTheme="minorEastAsia" w:hAnsiTheme="minorEastAsia"/>
                <w:szCs w:val="21"/>
              </w:rPr>
              <w:t>银白色金属光泽。</w:t>
            </w:r>
          </w:p>
        </w:tc>
        <w:tc>
          <w:tcPr>
            <w:tcW w:w="1124" w:type="dxa"/>
            <w:tcBorders>
              <w:top w:val="single" w:color="000000" w:sz="4" w:space="0"/>
              <w:left w:val="single" w:color="000000" w:sz="4" w:space="0"/>
              <w:bottom w:val="single" w:color="000000" w:sz="4" w:space="0"/>
              <w:right w:val="single" w:color="000000" w:sz="4" w:space="0"/>
            </w:tcBorders>
            <w:vAlign w:val="center"/>
          </w:tcPr>
          <w:p w14:paraId="55979FAB">
            <w:pPr>
              <w:widowControl/>
              <w:ind w:firstLine="420" w:firstLineChars="200"/>
              <w:textAlignment w:val="center"/>
              <w:rPr>
                <w:rFonts w:ascii="仿宋" w:hAnsi="仿宋" w:eastAsia="仿宋" w:cs="宋体"/>
                <w:sz w:val="28"/>
                <w:szCs w:val="28"/>
              </w:rPr>
            </w:pPr>
            <w:r>
              <w:rPr>
                <w:rFonts w:hint="eastAsia" w:asciiTheme="minorEastAsia" w:hAnsiTheme="minorEastAsia"/>
                <w:szCs w:val="21"/>
              </w:rPr>
              <w:t>否</w:t>
            </w:r>
          </w:p>
        </w:tc>
      </w:tr>
      <w:tr w14:paraId="64BEFB29">
        <w:tblPrEx>
          <w:tblCellMar>
            <w:top w:w="0" w:type="dxa"/>
            <w:left w:w="0" w:type="dxa"/>
            <w:bottom w:w="0" w:type="dxa"/>
            <w:right w:w="0" w:type="dxa"/>
          </w:tblCellMar>
        </w:tblPrEx>
        <w:trPr>
          <w:trHeight w:val="20" w:hRule="atLeast"/>
        </w:trPr>
        <w:tc>
          <w:tcPr>
            <w:tcW w:w="714" w:type="dxa"/>
            <w:tcBorders>
              <w:top w:val="single" w:color="000000" w:sz="4" w:space="0"/>
              <w:left w:val="single" w:color="000000" w:sz="4" w:space="0"/>
              <w:bottom w:val="single" w:color="000000" w:sz="4" w:space="0"/>
              <w:right w:val="single" w:color="000000" w:sz="4" w:space="0"/>
            </w:tcBorders>
            <w:vAlign w:val="center"/>
          </w:tcPr>
          <w:p w14:paraId="4DCEFDDE">
            <w:pPr>
              <w:jc w:val="center"/>
              <w:rPr>
                <w:rFonts w:ascii="仿宋" w:hAnsi="仿宋" w:eastAsia="仿宋" w:cs="宋体"/>
                <w:sz w:val="28"/>
                <w:szCs w:val="28"/>
              </w:rPr>
            </w:pPr>
            <w:r>
              <w:rPr>
                <w:rFonts w:ascii="仿宋" w:hAnsi="仿宋" w:eastAsia="仿宋" w:cs="宋体"/>
                <w:sz w:val="28"/>
                <w:szCs w:val="28"/>
              </w:rPr>
              <w:t>3</w:t>
            </w:r>
          </w:p>
        </w:tc>
        <w:tc>
          <w:tcPr>
            <w:tcW w:w="909" w:type="dxa"/>
            <w:tcBorders>
              <w:top w:val="single" w:color="000000" w:sz="4" w:space="0"/>
              <w:left w:val="single" w:color="000000" w:sz="4" w:space="0"/>
              <w:bottom w:val="single" w:color="000000" w:sz="4" w:space="0"/>
              <w:right w:val="single" w:color="000000" w:sz="4" w:space="0"/>
            </w:tcBorders>
            <w:vAlign w:val="center"/>
          </w:tcPr>
          <w:p w14:paraId="74FA0EAA">
            <w:pPr>
              <w:jc w:val="center"/>
              <w:rPr>
                <w:rFonts w:ascii="仿宋" w:hAnsi="仿宋" w:eastAsia="仿宋" w:cs="宋体"/>
                <w:sz w:val="28"/>
                <w:szCs w:val="28"/>
              </w:rPr>
            </w:pPr>
            <w:r>
              <w:rPr>
                <w:rFonts w:hint="eastAsia" w:cs="仿宋_GB2312" w:asciiTheme="minorEastAsia" w:hAnsiTheme="minorEastAsia"/>
                <w:snapToGrid w:val="0"/>
                <w:szCs w:val="21"/>
                <w:lang w:val="zh-CN"/>
              </w:rPr>
              <w:t>★</w:t>
            </w:r>
          </w:p>
        </w:tc>
        <w:tc>
          <w:tcPr>
            <w:tcW w:w="1902" w:type="dxa"/>
            <w:tcBorders>
              <w:top w:val="single" w:color="000000" w:sz="4" w:space="0"/>
              <w:left w:val="single" w:color="000000" w:sz="4" w:space="0"/>
              <w:bottom w:val="single" w:color="000000" w:sz="4" w:space="0"/>
              <w:right w:val="single" w:color="000000" w:sz="4" w:space="0"/>
            </w:tcBorders>
            <w:vAlign w:val="center"/>
          </w:tcPr>
          <w:p w14:paraId="1CF5F689">
            <w:pPr>
              <w:jc w:val="center"/>
              <w:rPr>
                <w:rFonts w:ascii="仿宋" w:hAnsi="仿宋" w:eastAsia="仿宋" w:cs="宋体"/>
                <w:sz w:val="28"/>
                <w:szCs w:val="28"/>
              </w:rPr>
            </w:pPr>
            <w:r>
              <w:rPr>
                <w:rFonts w:hint="eastAsia" w:cs="仿宋_GB2312" w:asciiTheme="minorEastAsia" w:hAnsiTheme="minorEastAsia"/>
                <w:snapToGrid w:val="0"/>
                <w:szCs w:val="21"/>
                <w:lang w:val="zh-CN"/>
              </w:rPr>
              <w:t>规格尺寸</w:t>
            </w:r>
          </w:p>
        </w:tc>
        <w:tc>
          <w:tcPr>
            <w:tcW w:w="4145" w:type="dxa"/>
            <w:tcBorders>
              <w:top w:val="single" w:color="000000" w:sz="4" w:space="0"/>
              <w:left w:val="single" w:color="000000" w:sz="4" w:space="0"/>
              <w:bottom w:val="single" w:color="000000" w:sz="4" w:space="0"/>
              <w:right w:val="single" w:color="000000" w:sz="4" w:space="0"/>
            </w:tcBorders>
            <w:vAlign w:val="center"/>
          </w:tcPr>
          <w:p w14:paraId="2C79FD2B">
            <w:pPr>
              <w:widowControl/>
              <w:ind w:firstLine="420" w:firstLineChars="200"/>
              <w:textAlignment w:val="center"/>
              <w:rPr>
                <w:rFonts w:ascii="仿宋" w:hAnsi="仿宋" w:eastAsia="仿宋" w:cs="宋体"/>
                <w:sz w:val="28"/>
                <w:szCs w:val="28"/>
              </w:rPr>
            </w:pPr>
            <w:r>
              <w:rPr>
                <w:rFonts w:hint="eastAsia" w:asciiTheme="minorEastAsia" w:hAnsiTheme="minorEastAsia"/>
                <w:szCs w:val="21"/>
              </w:rPr>
              <w:t>镍板，未标注尺寸公差的按照</w:t>
            </w:r>
            <w:r>
              <w:rPr>
                <w:rFonts w:asciiTheme="minorEastAsia" w:hAnsiTheme="minorEastAsia"/>
                <w:szCs w:val="21"/>
              </w:rPr>
              <w:t>GB/T 1804-V</w:t>
            </w:r>
            <w:r>
              <w:rPr>
                <w:rFonts w:hint="eastAsia" w:asciiTheme="minorEastAsia" w:hAnsiTheme="minorEastAsia"/>
                <w:szCs w:val="21"/>
              </w:rPr>
              <w:t>执行。</w:t>
            </w:r>
            <w:r>
              <w:rPr>
                <w:rFonts w:hint="eastAsia" w:cs="宋体" w:asciiTheme="minorEastAsia" w:hAnsiTheme="minorEastAsia"/>
                <w:szCs w:val="21"/>
              </w:rPr>
              <w:t>——</w:t>
            </w:r>
            <w:r>
              <w:rPr>
                <w:rFonts w:hint="eastAsia" w:asciiTheme="minorEastAsia" w:hAnsiTheme="minorEastAsia"/>
                <w:szCs w:val="21"/>
              </w:rPr>
              <w:t>镍板</w:t>
            </w:r>
            <w:r>
              <w:rPr>
                <w:rFonts w:asciiTheme="minorEastAsia" w:hAnsiTheme="minorEastAsia"/>
                <w:szCs w:val="21"/>
              </w:rPr>
              <w:t>: 5 mm</w:t>
            </w:r>
            <w:r>
              <w:rPr>
                <w:rFonts w:hint="eastAsia" w:asciiTheme="minorEastAsia" w:hAnsiTheme="minorEastAsia"/>
              </w:rPr>
              <w:t>～</w:t>
            </w:r>
            <w:r>
              <w:rPr>
                <w:rFonts w:asciiTheme="minorEastAsia" w:hAnsiTheme="minorEastAsia"/>
                <w:szCs w:val="21"/>
              </w:rPr>
              <w:t>1</w:t>
            </w:r>
            <w:r>
              <w:rPr>
                <w:rFonts w:hint="eastAsia" w:asciiTheme="minorEastAsia" w:hAnsiTheme="minorEastAsia"/>
                <w:szCs w:val="21"/>
              </w:rPr>
              <w:t>8</w:t>
            </w:r>
            <w:r>
              <w:rPr>
                <w:rFonts w:asciiTheme="minorEastAsia" w:hAnsiTheme="minorEastAsia"/>
                <w:szCs w:val="21"/>
              </w:rPr>
              <w:t>mm</w:t>
            </w:r>
            <w:r>
              <w:rPr>
                <w:rFonts w:hint="eastAsia" w:asciiTheme="minorEastAsia" w:hAnsiTheme="minorEastAsia"/>
                <w:szCs w:val="21"/>
              </w:rPr>
              <w:t>（厚），</w:t>
            </w:r>
            <w:r>
              <w:rPr>
                <w:rFonts w:asciiTheme="minorEastAsia" w:hAnsiTheme="minorEastAsia"/>
                <w:szCs w:val="21"/>
              </w:rPr>
              <w:t>850 mm</w:t>
            </w:r>
            <w:r>
              <w:rPr>
                <w:rFonts w:hint="eastAsia" w:asciiTheme="minorEastAsia" w:hAnsiTheme="minorEastAsia"/>
              </w:rPr>
              <w:t>～</w:t>
            </w:r>
            <w:r>
              <w:rPr>
                <w:rFonts w:asciiTheme="minorEastAsia" w:hAnsiTheme="minorEastAsia"/>
                <w:szCs w:val="21"/>
              </w:rPr>
              <w:t>1</w:t>
            </w:r>
            <w:r>
              <w:rPr>
                <w:rFonts w:hint="eastAsia" w:asciiTheme="minorEastAsia" w:hAnsiTheme="minorEastAsia"/>
                <w:szCs w:val="21"/>
              </w:rPr>
              <w:t>2</w:t>
            </w:r>
            <w:r>
              <w:rPr>
                <w:rFonts w:asciiTheme="minorEastAsia" w:hAnsiTheme="minorEastAsia"/>
                <w:szCs w:val="21"/>
              </w:rPr>
              <w:t>00 mm</w:t>
            </w:r>
            <w:r>
              <w:rPr>
                <w:rFonts w:hint="eastAsia" w:asciiTheme="minorEastAsia" w:hAnsiTheme="minorEastAsia"/>
                <w:szCs w:val="21"/>
              </w:rPr>
              <w:t>（长）×</w:t>
            </w:r>
            <w:r>
              <w:rPr>
                <w:rFonts w:asciiTheme="minorEastAsia" w:hAnsiTheme="minorEastAsia"/>
                <w:szCs w:val="21"/>
              </w:rPr>
              <w:t>8</w:t>
            </w:r>
            <w:r>
              <w:rPr>
                <w:rFonts w:hint="eastAsia" w:asciiTheme="minorEastAsia" w:hAnsiTheme="minorEastAsia"/>
                <w:szCs w:val="21"/>
              </w:rPr>
              <w:t>0</w:t>
            </w:r>
            <w:r>
              <w:rPr>
                <w:rFonts w:asciiTheme="minorEastAsia" w:hAnsiTheme="minorEastAsia"/>
                <w:szCs w:val="21"/>
              </w:rPr>
              <w:t>0 mm</w:t>
            </w:r>
            <w:r>
              <w:rPr>
                <w:rFonts w:hint="eastAsia" w:asciiTheme="minorEastAsia" w:hAnsiTheme="minorEastAsia"/>
              </w:rPr>
              <w:t>～</w:t>
            </w:r>
            <w:r>
              <w:rPr>
                <w:rFonts w:asciiTheme="minorEastAsia" w:hAnsiTheme="minorEastAsia"/>
                <w:szCs w:val="21"/>
              </w:rPr>
              <w:t>900 mm</w:t>
            </w:r>
            <w:r>
              <w:rPr>
                <w:rFonts w:hint="eastAsia" w:asciiTheme="minorEastAsia" w:hAnsiTheme="minorEastAsia"/>
                <w:szCs w:val="21"/>
              </w:rPr>
              <w:t>（宽）。</w:t>
            </w:r>
          </w:p>
        </w:tc>
        <w:tc>
          <w:tcPr>
            <w:tcW w:w="1124" w:type="dxa"/>
            <w:tcBorders>
              <w:top w:val="single" w:color="000000" w:sz="4" w:space="0"/>
              <w:left w:val="single" w:color="000000" w:sz="4" w:space="0"/>
              <w:bottom w:val="single" w:color="000000" w:sz="4" w:space="0"/>
              <w:right w:val="single" w:color="000000" w:sz="4" w:space="0"/>
            </w:tcBorders>
            <w:vAlign w:val="center"/>
          </w:tcPr>
          <w:p w14:paraId="65096166">
            <w:pPr>
              <w:widowControl/>
              <w:ind w:firstLine="420" w:firstLineChars="200"/>
              <w:textAlignment w:val="center"/>
              <w:rPr>
                <w:rFonts w:ascii="仿宋" w:hAnsi="仿宋" w:eastAsia="仿宋" w:cs="宋体"/>
                <w:sz w:val="28"/>
                <w:szCs w:val="28"/>
              </w:rPr>
            </w:pPr>
            <w:r>
              <w:rPr>
                <w:rFonts w:hint="eastAsia" w:asciiTheme="minorEastAsia" w:hAnsiTheme="minorEastAsia"/>
                <w:szCs w:val="21"/>
              </w:rPr>
              <w:t>否</w:t>
            </w:r>
          </w:p>
        </w:tc>
      </w:tr>
      <w:tr w14:paraId="2837CB87">
        <w:tblPrEx>
          <w:tblCellMar>
            <w:top w:w="0" w:type="dxa"/>
            <w:left w:w="0" w:type="dxa"/>
            <w:bottom w:w="0" w:type="dxa"/>
            <w:right w:w="0" w:type="dxa"/>
          </w:tblCellMar>
        </w:tblPrEx>
        <w:trPr>
          <w:trHeight w:val="312" w:hRule="atLeast"/>
        </w:trPr>
        <w:tc>
          <w:tcPr>
            <w:tcW w:w="714" w:type="dxa"/>
            <w:tcBorders>
              <w:top w:val="single" w:color="000000" w:sz="4" w:space="0"/>
              <w:left w:val="single" w:color="000000" w:sz="4" w:space="0"/>
              <w:bottom w:val="single" w:color="000000" w:sz="4" w:space="0"/>
              <w:right w:val="single" w:color="000000" w:sz="4" w:space="0"/>
            </w:tcBorders>
            <w:vAlign w:val="center"/>
          </w:tcPr>
          <w:p w14:paraId="3064E5D2">
            <w:pPr>
              <w:jc w:val="center"/>
              <w:rPr>
                <w:rFonts w:ascii="仿宋" w:hAnsi="仿宋" w:eastAsia="仿宋" w:cs="宋体"/>
                <w:sz w:val="28"/>
                <w:szCs w:val="28"/>
              </w:rPr>
            </w:pPr>
            <w:r>
              <w:rPr>
                <w:rFonts w:ascii="仿宋" w:hAnsi="仿宋" w:eastAsia="仿宋" w:cs="宋体"/>
                <w:sz w:val="28"/>
                <w:szCs w:val="28"/>
              </w:rPr>
              <w:t>4</w:t>
            </w:r>
          </w:p>
        </w:tc>
        <w:tc>
          <w:tcPr>
            <w:tcW w:w="909" w:type="dxa"/>
            <w:tcBorders>
              <w:top w:val="single" w:color="000000" w:sz="4" w:space="0"/>
              <w:left w:val="single" w:color="000000" w:sz="4" w:space="0"/>
              <w:bottom w:val="single" w:color="000000" w:sz="4" w:space="0"/>
              <w:right w:val="single" w:color="000000" w:sz="4" w:space="0"/>
            </w:tcBorders>
            <w:vAlign w:val="center"/>
          </w:tcPr>
          <w:p w14:paraId="5BC7470C">
            <w:pPr>
              <w:jc w:val="center"/>
              <w:rPr>
                <w:rFonts w:ascii="仿宋" w:hAnsi="仿宋" w:eastAsia="仿宋" w:cs="宋体"/>
                <w:sz w:val="28"/>
                <w:szCs w:val="28"/>
              </w:rPr>
            </w:pPr>
            <w:r>
              <w:rPr>
                <w:rFonts w:hint="eastAsia" w:cs="仿宋_GB2312" w:asciiTheme="minorEastAsia" w:hAnsiTheme="minorEastAsia"/>
                <w:snapToGrid w:val="0"/>
                <w:szCs w:val="21"/>
                <w:lang w:val="zh-CN"/>
              </w:rPr>
              <w:t>★</w:t>
            </w:r>
          </w:p>
        </w:tc>
        <w:tc>
          <w:tcPr>
            <w:tcW w:w="1902" w:type="dxa"/>
            <w:tcBorders>
              <w:top w:val="single" w:color="000000" w:sz="4" w:space="0"/>
              <w:left w:val="single" w:color="000000" w:sz="4" w:space="0"/>
              <w:bottom w:val="single" w:color="000000" w:sz="4" w:space="0"/>
              <w:right w:val="single" w:color="000000" w:sz="4" w:space="0"/>
            </w:tcBorders>
            <w:vAlign w:val="center"/>
          </w:tcPr>
          <w:p w14:paraId="477828CF">
            <w:pPr>
              <w:jc w:val="center"/>
              <w:rPr>
                <w:rFonts w:ascii="仿宋" w:hAnsi="仿宋" w:eastAsia="仿宋" w:cs="宋体"/>
                <w:sz w:val="28"/>
                <w:szCs w:val="28"/>
              </w:rPr>
            </w:pPr>
            <w:r>
              <w:rPr>
                <w:rFonts w:hint="eastAsia" w:cs="仿宋_GB2312" w:asciiTheme="minorEastAsia" w:hAnsiTheme="minorEastAsia"/>
                <w:snapToGrid w:val="0"/>
                <w:szCs w:val="21"/>
                <w:lang w:val="zh-CN"/>
              </w:rPr>
              <w:t>表面质量</w:t>
            </w:r>
          </w:p>
        </w:tc>
        <w:tc>
          <w:tcPr>
            <w:tcW w:w="4145" w:type="dxa"/>
            <w:tcBorders>
              <w:top w:val="single" w:color="000000" w:sz="4" w:space="0"/>
              <w:left w:val="single" w:color="000000" w:sz="4" w:space="0"/>
              <w:bottom w:val="single" w:color="000000" w:sz="4" w:space="0"/>
              <w:right w:val="single" w:color="000000" w:sz="4" w:space="0"/>
            </w:tcBorders>
            <w:vAlign w:val="center"/>
          </w:tcPr>
          <w:p w14:paraId="3CB3659D">
            <w:pPr>
              <w:pStyle w:val="17"/>
              <w:widowControl w:val="0"/>
              <w:adjustRightInd w:val="0"/>
              <w:snapToGrid w:val="0"/>
              <w:ind w:firstLine="0" w:firstLineChars="0"/>
              <w:rPr>
                <w:rFonts w:asciiTheme="minorEastAsia" w:hAnsiTheme="minorEastAsia" w:eastAsiaTheme="minorEastAsia"/>
                <w:kern w:val="2"/>
              </w:rPr>
            </w:pPr>
            <w:r>
              <w:rPr>
                <w:rFonts w:hint="eastAsia" w:asciiTheme="minorEastAsia" w:hAnsiTheme="minorEastAsia" w:eastAsiaTheme="minorEastAsia"/>
              </w:rPr>
              <w:t>1.产品表面及夹层应洁净,无污泥、油污、电解液等。</w:t>
            </w:r>
          </w:p>
          <w:p w14:paraId="6870E846">
            <w:pPr>
              <w:pStyle w:val="17"/>
              <w:widowControl w:val="0"/>
              <w:adjustRightInd w:val="0"/>
              <w:snapToGrid w:val="0"/>
              <w:ind w:firstLine="0" w:firstLineChars="0"/>
              <w:rPr>
                <w:rFonts w:asciiTheme="minorEastAsia" w:hAnsiTheme="minorEastAsia" w:eastAsiaTheme="minorEastAsia"/>
              </w:rPr>
            </w:pPr>
            <w:r>
              <w:rPr>
                <w:rFonts w:hint="eastAsia" w:asciiTheme="minorEastAsia" w:hAnsiTheme="minorEastAsia" w:eastAsiaTheme="minorEastAsia"/>
              </w:rPr>
              <w:t>2.产品边缘不应有树枝状结粒及密集气孔（允许修整）。</w:t>
            </w:r>
          </w:p>
          <w:p w14:paraId="69A25EC6">
            <w:pPr>
              <w:pStyle w:val="17"/>
              <w:widowControl w:val="0"/>
              <w:adjustRightInd w:val="0"/>
              <w:snapToGrid w:val="0"/>
              <w:ind w:firstLine="0" w:firstLineChars="0"/>
              <w:rPr>
                <w:rFonts w:asciiTheme="minorEastAsia" w:hAnsiTheme="minorEastAsia" w:eastAsiaTheme="minorEastAsia"/>
              </w:rPr>
            </w:pPr>
            <w:r>
              <w:rPr>
                <w:rFonts w:hint="eastAsia" w:asciiTheme="minorEastAsia" w:hAnsiTheme="minorEastAsia" w:eastAsiaTheme="minorEastAsia"/>
              </w:rPr>
              <w:t>3.产品表面不应有直径大于3</w:t>
            </w:r>
            <w:r>
              <w:rPr>
                <w:rFonts w:asciiTheme="minorEastAsia" w:hAnsiTheme="minorEastAsia" w:eastAsiaTheme="minorEastAsia"/>
              </w:rPr>
              <w:t xml:space="preserve"> mm</w:t>
            </w:r>
            <w:r>
              <w:rPr>
                <w:rFonts w:hint="eastAsia" w:asciiTheme="minorEastAsia" w:hAnsiTheme="minorEastAsia" w:eastAsiaTheme="minorEastAsia"/>
              </w:rPr>
              <w:t>的密集气孔，直径不大于3</w:t>
            </w:r>
            <w:r>
              <w:rPr>
                <w:rFonts w:asciiTheme="minorEastAsia" w:hAnsiTheme="minorEastAsia" w:eastAsiaTheme="minorEastAsia"/>
              </w:rPr>
              <w:t xml:space="preserve"> mm</w:t>
            </w:r>
            <w:r>
              <w:rPr>
                <w:rFonts w:hint="eastAsia" w:asciiTheme="minorEastAsia" w:hAnsiTheme="minorEastAsia" w:eastAsiaTheme="minorEastAsia"/>
              </w:rPr>
              <w:t>密集气孔区总面积不应超过镍板单面面积的</w:t>
            </w:r>
            <w:r>
              <w:rPr>
                <w:rFonts w:asciiTheme="minorEastAsia" w:hAnsiTheme="minorEastAsia" w:eastAsiaTheme="minorEastAsia"/>
              </w:rPr>
              <w:t>1</w:t>
            </w:r>
            <w:r>
              <w:rPr>
                <w:rFonts w:hint="eastAsia" w:asciiTheme="minorEastAsia" w:hAnsiTheme="minorEastAsia" w:eastAsiaTheme="minorEastAsia"/>
              </w:rPr>
              <w:t>5</w:t>
            </w:r>
            <w:r>
              <w:rPr>
                <w:rFonts w:asciiTheme="minorEastAsia" w:hAnsiTheme="minorEastAsia" w:eastAsiaTheme="minorEastAsia"/>
              </w:rPr>
              <w:t>%</w:t>
            </w:r>
            <w:r>
              <w:rPr>
                <w:rFonts w:hint="eastAsia" w:asciiTheme="minorEastAsia" w:hAnsiTheme="minorEastAsia" w:eastAsiaTheme="minorEastAsia"/>
              </w:rPr>
              <w:t>。</w:t>
            </w:r>
          </w:p>
          <w:p w14:paraId="49F0764E">
            <w:pPr>
              <w:pStyle w:val="17"/>
              <w:widowControl w:val="0"/>
              <w:adjustRightInd w:val="0"/>
              <w:snapToGrid w:val="0"/>
              <w:ind w:firstLine="0" w:firstLineChars="0"/>
              <w:rPr>
                <w:rFonts w:asciiTheme="minorEastAsia" w:hAnsiTheme="minorEastAsia" w:eastAsiaTheme="minorEastAsia"/>
              </w:rPr>
            </w:pPr>
            <w:r>
              <w:rPr>
                <w:rFonts w:hint="eastAsia" w:asciiTheme="minorEastAsia" w:hAnsiTheme="minorEastAsia" w:eastAsiaTheme="minorEastAsia"/>
              </w:rPr>
              <w:t>4.产品表面高度大于3</w:t>
            </w:r>
            <w:r>
              <w:rPr>
                <w:rFonts w:asciiTheme="minorEastAsia" w:hAnsiTheme="minorEastAsia" w:eastAsiaTheme="minorEastAsia"/>
              </w:rPr>
              <w:t xml:space="preserve"> mm</w:t>
            </w:r>
            <w:r>
              <w:rPr>
                <w:rFonts w:hint="eastAsia" w:asciiTheme="minorEastAsia" w:hAnsiTheme="minorEastAsia" w:eastAsiaTheme="minorEastAsia"/>
              </w:rPr>
              <w:t>的密集结粒区总面积不应超过镍板单面面积的15%。</w:t>
            </w:r>
          </w:p>
          <w:p w14:paraId="02E4F8BD">
            <w:pPr>
              <w:widowControl/>
              <w:shd w:val="clear" w:color="auto" w:fill="FFFFFF"/>
              <w:ind w:firstLine="420" w:firstLineChars="200"/>
              <w:jc w:val="left"/>
              <w:rPr>
                <w:rFonts w:ascii="仿宋" w:hAnsi="仿宋" w:eastAsia="仿宋" w:cs="宋体"/>
                <w:sz w:val="28"/>
                <w:szCs w:val="28"/>
              </w:rPr>
            </w:pPr>
            <w:r>
              <w:rPr>
                <w:rFonts w:hint="eastAsia" w:cs="楷体" w:asciiTheme="minorEastAsia" w:hAnsiTheme="minorEastAsia"/>
                <w:iCs/>
                <w:szCs w:val="21"/>
              </w:rPr>
              <w:t>注：25mm×25mm镍板面积上有9个及以上气孔或结粒称为密集气孔区或密集结粒区。</w:t>
            </w:r>
          </w:p>
        </w:tc>
        <w:tc>
          <w:tcPr>
            <w:tcW w:w="1124" w:type="dxa"/>
            <w:tcBorders>
              <w:top w:val="single" w:color="000000" w:sz="4" w:space="0"/>
              <w:left w:val="single" w:color="000000" w:sz="4" w:space="0"/>
              <w:bottom w:val="single" w:color="000000" w:sz="4" w:space="0"/>
              <w:right w:val="single" w:color="000000" w:sz="4" w:space="0"/>
            </w:tcBorders>
            <w:vAlign w:val="center"/>
          </w:tcPr>
          <w:p w14:paraId="626B9AEA">
            <w:pPr>
              <w:jc w:val="center"/>
              <w:rPr>
                <w:rFonts w:ascii="仿宋" w:hAnsi="仿宋" w:eastAsia="仿宋" w:cs="宋体"/>
                <w:sz w:val="28"/>
                <w:szCs w:val="28"/>
              </w:rPr>
            </w:pPr>
            <w:r>
              <w:rPr>
                <w:rFonts w:hint="eastAsia" w:asciiTheme="minorEastAsia" w:hAnsiTheme="minorEastAsia"/>
                <w:szCs w:val="21"/>
              </w:rPr>
              <w:t>否</w:t>
            </w:r>
          </w:p>
        </w:tc>
      </w:tr>
      <w:tr w14:paraId="56A4B32C">
        <w:tblPrEx>
          <w:tblCellMar>
            <w:top w:w="0" w:type="dxa"/>
            <w:left w:w="0" w:type="dxa"/>
            <w:bottom w:w="0" w:type="dxa"/>
            <w:right w:w="0" w:type="dxa"/>
          </w:tblCellMar>
        </w:tblPrEx>
        <w:trPr>
          <w:trHeight w:val="7729" w:hRule="atLeast"/>
        </w:trPr>
        <w:tc>
          <w:tcPr>
            <w:tcW w:w="714" w:type="dxa"/>
            <w:tcBorders>
              <w:top w:val="single" w:color="000000" w:sz="4" w:space="0"/>
              <w:left w:val="single" w:color="000000" w:sz="4" w:space="0"/>
              <w:bottom w:val="single" w:color="000000" w:sz="4" w:space="0"/>
              <w:right w:val="single" w:color="000000" w:sz="4" w:space="0"/>
            </w:tcBorders>
            <w:vAlign w:val="center"/>
          </w:tcPr>
          <w:p w14:paraId="19DBDB1E">
            <w:pPr>
              <w:jc w:val="center"/>
              <w:rPr>
                <w:rFonts w:ascii="仿宋" w:hAnsi="仿宋" w:eastAsia="仿宋" w:cs="宋体"/>
                <w:color w:val="auto"/>
                <w:sz w:val="28"/>
                <w:szCs w:val="28"/>
                <w:highlight w:val="none"/>
              </w:rPr>
            </w:pPr>
            <w:r>
              <w:rPr>
                <w:rFonts w:cs="宋体" w:asciiTheme="minorEastAsia" w:hAnsiTheme="minorEastAsia"/>
                <w:color w:val="auto"/>
                <w:szCs w:val="21"/>
                <w:highlight w:val="none"/>
              </w:rPr>
              <w:t>5</w:t>
            </w:r>
          </w:p>
        </w:tc>
        <w:tc>
          <w:tcPr>
            <w:tcW w:w="909" w:type="dxa"/>
            <w:tcBorders>
              <w:top w:val="single" w:color="000000" w:sz="4" w:space="0"/>
              <w:left w:val="single" w:color="000000" w:sz="4" w:space="0"/>
              <w:bottom w:val="single" w:color="000000" w:sz="4" w:space="0"/>
              <w:right w:val="single" w:color="000000" w:sz="4" w:space="0"/>
            </w:tcBorders>
            <w:vAlign w:val="center"/>
          </w:tcPr>
          <w:p w14:paraId="55721F2D">
            <w:pPr>
              <w:jc w:val="center"/>
              <w:rPr>
                <w:rFonts w:cs="仿宋_GB2312" w:asciiTheme="minorEastAsia" w:hAnsiTheme="minorEastAsia"/>
                <w:snapToGrid w:val="0"/>
                <w:color w:val="auto"/>
                <w:szCs w:val="21"/>
                <w:highlight w:val="none"/>
                <w:lang w:val="zh-CN"/>
              </w:rPr>
            </w:pPr>
            <w:r>
              <w:rPr>
                <w:rFonts w:hint="eastAsia" w:cs="仿宋_GB2312" w:asciiTheme="minorEastAsia" w:hAnsiTheme="minorEastAsia"/>
                <w:snapToGrid w:val="0"/>
                <w:color w:val="auto"/>
                <w:szCs w:val="21"/>
                <w:highlight w:val="none"/>
                <w:lang w:val="zh-CN"/>
              </w:rPr>
              <w:t>★</w:t>
            </w:r>
          </w:p>
        </w:tc>
        <w:tc>
          <w:tcPr>
            <w:tcW w:w="1902" w:type="dxa"/>
            <w:tcBorders>
              <w:top w:val="single" w:color="000000" w:sz="4" w:space="0"/>
              <w:left w:val="single" w:color="000000" w:sz="4" w:space="0"/>
              <w:bottom w:val="single" w:color="000000" w:sz="4" w:space="0"/>
              <w:right w:val="single" w:color="000000" w:sz="4" w:space="0"/>
            </w:tcBorders>
            <w:vAlign w:val="center"/>
          </w:tcPr>
          <w:p w14:paraId="5DCD23F6">
            <w:pPr>
              <w:jc w:val="center"/>
              <w:rPr>
                <w:rFonts w:cs="仿宋_GB2312" w:asciiTheme="minorEastAsia" w:hAnsiTheme="minorEastAsia"/>
                <w:snapToGrid w:val="0"/>
                <w:color w:val="auto"/>
                <w:szCs w:val="21"/>
                <w:highlight w:val="none"/>
                <w:lang w:val="zh-CN"/>
              </w:rPr>
            </w:pPr>
            <w:r>
              <w:rPr>
                <w:rFonts w:hint="eastAsia" w:cs="仿宋_GB2312" w:asciiTheme="minorEastAsia" w:hAnsiTheme="minorEastAsia"/>
                <w:snapToGrid w:val="0"/>
                <w:color w:val="auto"/>
                <w:szCs w:val="21"/>
                <w:highlight w:val="none"/>
                <w:lang w:val="zh-CN"/>
              </w:rPr>
              <w:t>安全及环保要求、标识、运输及贮存、质量报告</w:t>
            </w:r>
          </w:p>
        </w:tc>
        <w:tc>
          <w:tcPr>
            <w:tcW w:w="4145" w:type="dxa"/>
            <w:tcBorders>
              <w:top w:val="single" w:color="000000" w:sz="4" w:space="0"/>
              <w:left w:val="single" w:color="000000" w:sz="4" w:space="0"/>
              <w:bottom w:val="single" w:color="000000" w:sz="4" w:space="0"/>
              <w:right w:val="single" w:color="000000" w:sz="4" w:space="0"/>
            </w:tcBorders>
            <w:vAlign w:val="center"/>
          </w:tcPr>
          <w:p w14:paraId="2B3313E3">
            <w:pPr>
              <w:pStyle w:val="7"/>
              <w:adjustRightInd w:val="0"/>
              <w:snapToGrid w:val="0"/>
              <w:ind w:firstLine="420" w:firstLineChars="200"/>
              <w:rPr>
                <w:rFonts w:cs="Times New Roman" w:asciiTheme="minorEastAsia" w:hAnsiTheme="minorEastAsia"/>
                <w:color w:val="auto"/>
                <w:szCs w:val="21"/>
                <w:highlight w:val="none"/>
              </w:rPr>
            </w:pPr>
            <w:r>
              <w:rPr>
                <w:rFonts w:hint="eastAsia" w:asciiTheme="minorEastAsia" w:hAnsiTheme="minorEastAsia"/>
                <w:color w:val="auto"/>
                <w:szCs w:val="21"/>
                <w:highlight w:val="none"/>
              </w:rPr>
              <w:t>产品应对人体无毒、无害，满足工业批量连续生产使用，符合环保要求。</w:t>
            </w:r>
          </w:p>
          <w:p w14:paraId="2E59612F">
            <w:pPr>
              <w:pStyle w:val="21"/>
              <w:widowControl w:val="0"/>
              <w:numPr>
                <w:ilvl w:val="0"/>
                <w:numId w:val="0"/>
              </w:numPr>
              <w:adjustRightInd w:val="0"/>
              <w:snapToGrid w:val="0"/>
              <w:spacing w:beforeLines="0" w:afterLines="0"/>
              <w:ind w:left="360"/>
              <w:rPr>
                <w:rFonts w:asciiTheme="minorEastAsia" w:hAnsiTheme="minorEastAsia" w:eastAsiaTheme="minorEastAsia"/>
                <w:color w:val="auto"/>
                <w:kern w:val="2"/>
                <w:highlight w:val="none"/>
              </w:rPr>
            </w:pPr>
            <w:r>
              <w:rPr>
                <w:rFonts w:hint="eastAsia" w:asciiTheme="minorEastAsia" w:hAnsiTheme="minorEastAsia" w:eastAsiaTheme="minorEastAsia"/>
                <w:color w:val="auto"/>
                <w:highlight w:val="none"/>
              </w:rPr>
              <w:t>1.标识</w:t>
            </w:r>
          </w:p>
          <w:p w14:paraId="74CD8DC4">
            <w:pPr>
              <w:pStyle w:val="17"/>
              <w:widowControl w:val="0"/>
              <w:adjustRightInd w:val="0"/>
              <w:snapToGrid w:val="0"/>
              <w:ind w:firstLine="420"/>
              <w:rPr>
                <w:rFonts w:asciiTheme="minorEastAsia" w:hAnsiTheme="minorEastAsia" w:eastAsiaTheme="minorEastAsia"/>
                <w:color w:val="auto"/>
                <w:kern w:val="2"/>
                <w:highlight w:val="none"/>
              </w:rPr>
            </w:pPr>
            <w:r>
              <w:rPr>
                <w:rFonts w:hint="eastAsia" w:asciiTheme="minorEastAsia" w:hAnsiTheme="minorEastAsia" w:eastAsiaTheme="minorEastAsia"/>
                <w:color w:val="auto"/>
                <w:highlight w:val="none"/>
              </w:rPr>
              <w:t>产品标签上必须标明下列标识：产品名称、产品牌号、生产厂名、地址、净重、批号及生产日期等，并附有安全标签、质量保证书及合格证。</w:t>
            </w:r>
          </w:p>
          <w:p w14:paraId="426379A6">
            <w:pPr>
              <w:pStyle w:val="17"/>
              <w:widowControl w:val="0"/>
              <w:adjustRightInd w:val="0"/>
              <w:snapToGrid w:val="0"/>
              <w:ind w:firstLine="420"/>
              <w:rPr>
                <w:rFonts w:asciiTheme="minorEastAsia" w:hAnsiTheme="minorEastAsia" w:eastAsiaTheme="minorEastAsia"/>
                <w:color w:val="auto"/>
                <w:kern w:val="2"/>
                <w:highlight w:val="none"/>
              </w:rPr>
            </w:pPr>
            <w:r>
              <w:rPr>
                <w:rFonts w:hint="eastAsia" w:asciiTheme="minorEastAsia" w:hAnsiTheme="minorEastAsia" w:eastAsiaTheme="minorEastAsia"/>
                <w:color w:val="auto"/>
                <w:highlight w:val="none"/>
              </w:rPr>
              <w:t>2.运输及贮存</w:t>
            </w:r>
          </w:p>
          <w:p w14:paraId="5EE8444F">
            <w:pPr>
              <w:pStyle w:val="17"/>
              <w:widowControl w:val="0"/>
              <w:adjustRightInd w:val="0"/>
              <w:snapToGrid w:val="0"/>
              <w:ind w:firstLine="420"/>
              <w:rPr>
                <w:rFonts w:asciiTheme="minorEastAsia" w:hAnsiTheme="minorEastAsia" w:eastAsiaTheme="minorEastAsia"/>
                <w:color w:val="auto"/>
                <w:kern w:val="2"/>
                <w:highlight w:val="none"/>
              </w:rPr>
            </w:pPr>
            <w:r>
              <w:rPr>
                <w:rFonts w:asciiTheme="minorEastAsia" w:hAnsiTheme="minorEastAsia" w:eastAsiaTheme="minorEastAsia"/>
                <w:color w:val="auto"/>
                <w:highlight w:val="none"/>
              </w:rPr>
              <w:t>运输</w:t>
            </w:r>
            <w:r>
              <w:rPr>
                <w:rFonts w:hint="eastAsia" w:asciiTheme="minorEastAsia" w:hAnsiTheme="minorEastAsia" w:eastAsiaTheme="minorEastAsia"/>
                <w:color w:val="auto"/>
                <w:highlight w:val="none"/>
              </w:rPr>
              <w:t>和贮存时，不得损坏和污染产品</w:t>
            </w:r>
            <w:r>
              <w:rPr>
                <w:rFonts w:asciiTheme="minorEastAsia" w:hAnsiTheme="minorEastAsia" w:eastAsiaTheme="minorEastAsia"/>
                <w:color w:val="auto"/>
                <w:highlight w:val="none"/>
              </w:rPr>
              <w:t>。</w:t>
            </w:r>
          </w:p>
          <w:p w14:paraId="583FA34A">
            <w:pPr>
              <w:pStyle w:val="17"/>
              <w:widowControl w:val="0"/>
              <w:adjustRightInd w:val="0"/>
              <w:snapToGrid w:val="0"/>
              <w:ind w:firstLine="420"/>
              <w:rPr>
                <w:rFonts w:asciiTheme="minorEastAsia" w:hAnsiTheme="minorEastAsia" w:eastAsiaTheme="minorEastAsia"/>
                <w:color w:val="auto"/>
                <w:kern w:val="2"/>
                <w:highlight w:val="none"/>
              </w:rPr>
            </w:pPr>
            <w:r>
              <w:rPr>
                <w:rFonts w:hint="eastAsia" w:asciiTheme="minorEastAsia" w:hAnsiTheme="minorEastAsia" w:eastAsiaTheme="minorEastAsia"/>
                <w:color w:val="auto"/>
                <w:highlight w:val="none"/>
              </w:rPr>
              <w:t>3.质量报告</w:t>
            </w:r>
          </w:p>
          <w:p w14:paraId="5A93E583">
            <w:pPr>
              <w:pStyle w:val="17"/>
              <w:widowControl w:val="0"/>
              <w:adjustRightInd w:val="0"/>
              <w:snapToGrid w:val="0"/>
              <w:ind w:firstLine="42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每批次产品应附有产品质量保证书、产品合格证、产品质量控制过程中的检验报告及成品检验报告、产品使用说明等：</w:t>
            </w:r>
          </w:p>
          <w:p w14:paraId="43955418">
            <w:pPr>
              <w:pStyle w:val="17"/>
              <w:widowControl w:val="0"/>
              <w:adjustRightInd w:val="0"/>
              <w:snapToGrid w:val="0"/>
              <w:ind w:firstLine="420"/>
              <w:rPr>
                <w:rFonts w:hAnsi="宋体"/>
                <w:color w:val="auto"/>
                <w:kern w:val="2"/>
                <w:highlight w:val="none"/>
              </w:rPr>
            </w:pPr>
            <w:r>
              <w:rPr>
                <w:rFonts w:hint="eastAsia" w:asciiTheme="minorEastAsia" w:hAnsiTheme="minorEastAsia" w:eastAsiaTheme="minorEastAsia"/>
                <w:color w:val="auto"/>
                <w:highlight w:val="none"/>
              </w:rPr>
              <w:t>（1）产品质量保证书：</w:t>
            </w:r>
            <w:r>
              <w:rPr>
                <w:rFonts w:hint="eastAsia" w:hAnsi="宋体"/>
                <w:color w:val="auto"/>
                <w:kern w:val="2"/>
                <w:highlight w:val="none"/>
              </w:rPr>
              <w:t>每批次产品应附有质量保证书，包含以下内容：</w:t>
            </w:r>
          </w:p>
          <w:p w14:paraId="0CDED826">
            <w:pPr>
              <w:pStyle w:val="17"/>
              <w:widowControl w:val="0"/>
              <w:adjustRightInd w:val="0"/>
              <w:snapToGrid w:val="0"/>
              <w:ind w:firstLine="420"/>
              <w:rPr>
                <w:rFonts w:asciiTheme="minorEastAsia" w:hAnsiTheme="minorEastAsia" w:eastAsiaTheme="minorEastAsia"/>
                <w:color w:val="auto"/>
                <w:kern w:val="2"/>
                <w:highlight w:val="none"/>
              </w:rPr>
            </w:pPr>
            <w:r>
              <w:rPr>
                <w:rFonts w:hint="eastAsia" w:asciiTheme="minorEastAsia" w:hAnsiTheme="minorEastAsia" w:eastAsiaTheme="minorEastAsia"/>
                <w:color w:val="auto"/>
                <w:highlight w:val="none"/>
              </w:rPr>
              <w:t>①产品的主要性能及技术参数；</w:t>
            </w:r>
          </w:p>
          <w:p w14:paraId="5A00B8D9">
            <w:pPr>
              <w:pStyle w:val="17"/>
              <w:widowControl w:val="0"/>
              <w:adjustRightInd w:val="0"/>
              <w:snapToGrid w:val="0"/>
              <w:ind w:firstLine="420"/>
              <w:rPr>
                <w:rFonts w:asciiTheme="minorEastAsia" w:hAnsiTheme="minorEastAsia" w:eastAsiaTheme="minorEastAsia"/>
                <w:color w:val="auto"/>
                <w:kern w:val="2"/>
                <w:highlight w:val="none"/>
              </w:rPr>
            </w:pPr>
            <w:r>
              <w:rPr>
                <w:rFonts w:hint="eastAsia" w:asciiTheme="minorEastAsia" w:hAnsiTheme="minorEastAsia" w:eastAsiaTheme="minorEastAsia"/>
                <w:color w:val="auto"/>
                <w:highlight w:val="none"/>
              </w:rPr>
              <w:t>②产品的特点（包括制造工艺及原材料的特点）；</w:t>
            </w:r>
          </w:p>
          <w:p w14:paraId="1B5B7962">
            <w:pPr>
              <w:pStyle w:val="17"/>
              <w:widowControl w:val="0"/>
              <w:adjustRightInd w:val="0"/>
              <w:snapToGrid w:val="0"/>
              <w:ind w:firstLine="420"/>
              <w:rPr>
                <w:rFonts w:asciiTheme="minorEastAsia" w:hAnsiTheme="minorEastAsia" w:eastAsiaTheme="minorEastAsia"/>
                <w:color w:val="auto"/>
                <w:kern w:val="2"/>
                <w:highlight w:val="none"/>
              </w:rPr>
            </w:pPr>
            <w:r>
              <w:rPr>
                <w:rFonts w:hint="eastAsia" w:asciiTheme="minorEastAsia" w:hAnsiTheme="minorEastAsia" w:eastAsiaTheme="minorEastAsia"/>
                <w:color w:val="auto"/>
                <w:highlight w:val="none"/>
              </w:rPr>
              <w:t>③对产品质量所负的责任；</w:t>
            </w:r>
          </w:p>
          <w:p w14:paraId="45CC93BD">
            <w:pPr>
              <w:pStyle w:val="17"/>
              <w:widowControl w:val="0"/>
              <w:adjustRightInd w:val="0"/>
              <w:snapToGrid w:val="0"/>
              <w:ind w:firstLine="42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④产品获得的质量认证及检印的各项分析检验结果。</w:t>
            </w:r>
          </w:p>
          <w:p w14:paraId="2E8CEF77">
            <w:pPr>
              <w:pStyle w:val="17"/>
              <w:widowControl w:val="0"/>
              <w:adjustRightInd w:val="0"/>
              <w:snapToGrid w:val="0"/>
              <w:ind w:firstLine="420"/>
              <w:rPr>
                <w:rFonts w:asciiTheme="minorEastAsia" w:hAnsiTheme="minorEastAsia" w:eastAsiaTheme="minorEastAsia"/>
                <w:color w:val="auto"/>
                <w:kern w:val="2"/>
                <w:highlight w:val="none"/>
              </w:rPr>
            </w:pPr>
            <w:r>
              <w:rPr>
                <w:rFonts w:hint="eastAsia" w:asciiTheme="minorEastAsia" w:hAnsiTheme="minorEastAsia" w:eastAsiaTheme="minorEastAsia"/>
                <w:color w:val="auto"/>
                <w:highlight w:val="none"/>
              </w:rPr>
              <w:t>（2）产品合格证：</w:t>
            </w:r>
          </w:p>
          <w:p w14:paraId="50686F58">
            <w:pPr>
              <w:pStyle w:val="17"/>
              <w:widowControl w:val="0"/>
              <w:adjustRightInd w:val="0"/>
              <w:snapToGrid w:val="0"/>
              <w:ind w:firstLine="420"/>
              <w:rPr>
                <w:rFonts w:asciiTheme="minorEastAsia" w:hAnsiTheme="minorEastAsia" w:eastAsiaTheme="minorEastAsia"/>
                <w:color w:val="auto"/>
                <w:kern w:val="2"/>
                <w:highlight w:val="none"/>
              </w:rPr>
            </w:pPr>
            <w:r>
              <w:rPr>
                <w:rFonts w:hint="eastAsia" w:asciiTheme="minorEastAsia" w:hAnsiTheme="minorEastAsia" w:eastAsiaTheme="minorEastAsia"/>
                <w:color w:val="auto"/>
                <w:highlight w:val="none"/>
              </w:rPr>
              <w:t>①检验项目及其结果或检验结论；</w:t>
            </w:r>
          </w:p>
          <w:p w14:paraId="4FC7E798">
            <w:pPr>
              <w:pStyle w:val="17"/>
              <w:widowControl w:val="0"/>
              <w:adjustRightInd w:val="0"/>
              <w:snapToGrid w:val="0"/>
              <w:ind w:firstLine="420"/>
              <w:rPr>
                <w:rFonts w:asciiTheme="minorEastAsia" w:hAnsiTheme="minorEastAsia" w:eastAsiaTheme="minorEastAsia"/>
                <w:color w:val="auto"/>
                <w:kern w:val="2"/>
                <w:highlight w:val="none"/>
              </w:rPr>
            </w:pPr>
            <w:r>
              <w:rPr>
                <w:rFonts w:hint="eastAsia" w:asciiTheme="minorEastAsia" w:hAnsiTheme="minorEastAsia" w:eastAsiaTheme="minorEastAsia"/>
                <w:color w:val="auto"/>
                <w:highlight w:val="none"/>
              </w:rPr>
              <w:t>②批号；</w:t>
            </w:r>
          </w:p>
          <w:p w14:paraId="33D4E204">
            <w:pPr>
              <w:pStyle w:val="15"/>
              <w:adjustRightInd w:val="0"/>
              <w:snapToGrid w:val="0"/>
              <w:rPr>
                <w:rFonts w:asciiTheme="minorEastAsia" w:hAnsiTheme="minorEastAsia"/>
                <w:color w:val="auto"/>
                <w:szCs w:val="21"/>
                <w:highlight w:val="none"/>
              </w:rPr>
            </w:pPr>
            <w:r>
              <w:rPr>
                <w:rFonts w:hint="eastAsia" w:asciiTheme="minorEastAsia" w:hAnsiTheme="minorEastAsia"/>
                <w:color w:val="auto"/>
                <w:highlight w:val="none"/>
              </w:rPr>
              <w:t>③</w:t>
            </w:r>
            <w:r>
              <w:rPr>
                <w:rFonts w:hint="eastAsia" w:asciiTheme="minorEastAsia" w:hAnsiTheme="minorEastAsia"/>
                <w:color w:val="auto"/>
                <w:szCs w:val="21"/>
                <w:highlight w:val="none"/>
              </w:rPr>
              <w:t>检验日期；</w:t>
            </w:r>
          </w:p>
          <w:p w14:paraId="163BF1DF">
            <w:pPr>
              <w:pStyle w:val="15"/>
              <w:adjustRightInd w:val="0"/>
              <w:snapToGrid w:val="0"/>
              <w:rPr>
                <w:rFonts w:asciiTheme="minorEastAsia" w:hAnsiTheme="minorEastAsia"/>
                <w:color w:val="auto"/>
                <w:szCs w:val="21"/>
                <w:highlight w:val="none"/>
              </w:rPr>
            </w:pPr>
            <w:r>
              <w:rPr>
                <w:rFonts w:hint="eastAsia" w:asciiTheme="minorEastAsia" w:hAnsiTheme="minorEastAsia"/>
                <w:color w:val="auto"/>
                <w:highlight w:val="none"/>
              </w:rPr>
              <w:t>④</w:t>
            </w:r>
            <w:r>
              <w:rPr>
                <w:rFonts w:hint="eastAsia" w:asciiTheme="minorEastAsia" w:hAnsiTheme="minorEastAsia"/>
                <w:color w:val="auto"/>
                <w:szCs w:val="21"/>
                <w:highlight w:val="none"/>
              </w:rPr>
              <w:t>检验员签名或盖章。</w:t>
            </w:r>
          </w:p>
        </w:tc>
        <w:tc>
          <w:tcPr>
            <w:tcW w:w="1124" w:type="dxa"/>
            <w:tcBorders>
              <w:top w:val="single" w:color="000000" w:sz="4" w:space="0"/>
              <w:left w:val="single" w:color="000000" w:sz="4" w:space="0"/>
              <w:bottom w:val="single" w:color="000000" w:sz="4" w:space="0"/>
              <w:right w:val="single" w:color="000000" w:sz="4" w:space="0"/>
            </w:tcBorders>
            <w:vAlign w:val="center"/>
          </w:tcPr>
          <w:p w14:paraId="376097A0">
            <w:pPr>
              <w:jc w:val="center"/>
              <w:rPr>
                <w:rFonts w:asciiTheme="minorEastAsia" w:hAnsiTheme="minorEastAsia"/>
                <w:color w:val="auto"/>
                <w:szCs w:val="21"/>
                <w:highlight w:val="none"/>
              </w:rPr>
            </w:pPr>
            <w:r>
              <w:rPr>
                <w:rFonts w:hint="eastAsia" w:asciiTheme="minorEastAsia" w:hAnsiTheme="minorEastAsia"/>
                <w:color w:val="auto"/>
                <w:szCs w:val="21"/>
                <w:highlight w:val="none"/>
              </w:rPr>
              <w:t>否</w:t>
            </w:r>
          </w:p>
        </w:tc>
      </w:tr>
    </w:tbl>
    <w:p w14:paraId="59183E22">
      <w:pPr>
        <w:spacing w:line="560" w:lineRule="exact"/>
        <w:ind w:firstLine="640" w:firstLineChars="200"/>
        <w:jc w:val="left"/>
        <w:outlineLvl w:val="3"/>
        <w:rPr>
          <w:rFonts w:ascii="仿宋" w:hAnsi="仿宋" w:eastAsia="仿宋" w:cs="Times New Roman"/>
          <w:color w:val="auto"/>
          <w:sz w:val="32"/>
          <w:szCs w:val="32"/>
          <w:highlight w:val="none"/>
        </w:rPr>
      </w:pPr>
      <w:r>
        <w:rPr>
          <w:rFonts w:hint="eastAsia" w:ascii="仿宋" w:hAnsi="仿宋" w:eastAsia="仿宋" w:cs="Times New Roman"/>
          <w:color w:val="auto"/>
          <w:sz w:val="32"/>
          <w:szCs w:val="32"/>
          <w:highlight w:val="none"/>
        </w:rPr>
        <w:t>（2）商务要求</w:t>
      </w:r>
    </w:p>
    <w:p w14:paraId="47D0B129">
      <w:pPr>
        <w:spacing w:line="360" w:lineRule="auto"/>
        <w:ind w:firstLine="640" w:firstLineChars="200"/>
        <w:rPr>
          <w:rFonts w:ascii="仿宋" w:hAnsi="仿宋" w:eastAsia="仿宋" w:cs="Times New Roman"/>
          <w:iCs/>
          <w:color w:val="auto"/>
          <w:sz w:val="32"/>
          <w:szCs w:val="32"/>
          <w:highlight w:val="none"/>
        </w:rPr>
      </w:pPr>
      <w:r>
        <w:rPr>
          <w:rFonts w:hint="eastAsia" w:ascii="仿宋" w:hAnsi="仿宋" w:eastAsia="仿宋" w:cs="Times New Roman"/>
          <w:iCs/>
          <w:color w:val="auto"/>
          <w:sz w:val="32"/>
          <w:szCs w:val="32"/>
          <w:highlight w:val="none"/>
        </w:rPr>
        <w:t>本商务要求</w:t>
      </w:r>
      <w:r>
        <w:rPr>
          <w:rFonts w:ascii="仿宋" w:hAnsi="仿宋" w:eastAsia="仿宋" w:cs="Times New Roman"/>
          <w:iCs/>
          <w:color w:val="auto"/>
          <w:sz w:val="32"/>
          <w:szCs w:val="32"/>
          <w:highlight w:val="none"/>
        </w:rPr>
        <w:t>共有“</w:t>
      </w:r>
      <w:r>
        <w:rPr>
          <w:rFonts w:hint="eastAsia" w:ascii="仿宋" w:hAnsi="仿宋" w:eastAsia="仿宋" w:cs="Times New Roman"/>
          <w:iCs/>
          <w:color w:val="auto"/>
          <w:sz w:val="32"/>
          <w:szCs w:val="32"/>
          <w:highlight w:val="none"/>
        </w:rPr>
        <w:t>★</w:t>
      </w:r>
      <w:r>
        <w:rPr>
          <w:rFonts w:ascii="仿宋" w:hAnsi="仿宋" w:eastAsia="仿宋" w:cs="Times New Roman"/>
          <w:iCs/>
          <w:color w:val="auto"/>
          <w:sz w:val="32"/>
          <w:szCs w:val="32"/>
          <w:highlight w:val="none"/>
        </w:rPr>
        <w:t>”</w:t>
      </w:r>
      <w:r>
        <w:rPr>
          <w:rFonts w:hint="eastAsia" w:ascii="仿宋" w:hAnsi="仿宋" w:eastAsia="仿宋" w:cs="Times New Roman"/>
          <w:iCs/>
          <w:color w:val="auto"/>
          <w:sz w:val="32"/>
          <w:szCs w:val="32"/>
          <w:highlight w:val="none"/>
        </w:rPr>
        <w:t>指标项</w:t>
      </w:r>
      <w:r>
        <w:rPr>
          <w:rFonts w:ascii="仿宋" w:hAnsi="仿宋" w:eastAsia="仿宋" w:cs="Times New Roman"/>
          <w:iCs/>
          <w:color w:val="auto"/>
          <w:sz w:val="32"/>
          <w:szCs w:val="32"/>
          <w:highlight w:val="none"/>
          <w:u w:val="single"/>
        </w:rPr>
        <w:t xml:space="preserve">  </w:t>
      </w:r>
      <w:r>
        <w:rPr>
          <w:rFonts w:hint="eastAsia" w:ascii="仿宋" w:hAnsi="仿宋" w:eastAsia="仿宋" w:cs="Times New Roman"/>
          <w:iCs/>
          <w:color w:val="auto"/>
          <w:sz w:val="32"/>
          <w:szCs w:val="32"/>
          <w:highlight w:val="none"/>
          <w:u w:val="single"/>
        </w:rPr>
        <w:t>9</w:t>
      </w:r>
      <w:r>
        <w:rPr>
          <w:rFonts w:ascii="仿宋" w:hAnsi="仿宋" w:eastAsia="仿宋" w:cs="Times New Roman"/>
          <w:iCs/>
          <w:color w:val="auto"/>
          <w:sz w:val="32"/>
          <w:szCs w:val="32"/>
          <w:highlight w:val="none"/>
          <w:u w:val="single"/>
        </w:rPr>
        <w:t xml:space="preserve">  </w:t>
      </w:r>
      <w:r>
        <w:rPr>
          <w:rFonts w:hint="eastAsia" w:ascii="仿宋" w:hAnsi="仿宋" w:eastAsia="仿宋" w:cs="Times New Roman"/>
          <w:iCs/>
          <w:color w:val="auto"/>
          <w:sz w:val="32"/>
          <w:szCs w:val="32"/>
          <w:highlight w:val="none"/>
        </w:rPr>
        <w:t>项</w:t>
      </w:r>
      <w:r>
        <w:rPr>
          <w:rFonts w:ascii="仿宋" w:hAnsi="仿宋" w:eastAsia="仿宋" w:cs="Times New Roman"/>
          <w:iCs/>
          <w:color w:val="auto"/>
          <w:sz w:val="32"/>
          <w:szCs w:val="32"/>
          <w:highlight w:val="none"/>
        </w:rPr>
        <w:t>，“#”</w:t>
      </w:r>
      <w:r>
        <w:rPr>
          <w:rFonts w:hint="eastAsia" w:ascii="仿宋" w:hAnsi="仿宋" w:eastAsia="仿宋" w:cs="Times New Roman"/>
          <w:iCs/>
          <w:color w:val="auto"/>
          <w:sz w:val="32"/>
          <w:szCs w:val="32"/>
          <w:highlight w:val="none"/>
        </w:rPr>
        <w:t>指标项</w:t>
      </w:r>
      <w:r>
        <w:rPr>
          <w:rFonts w:ascii="仿宋" w:hAnsi="仿宋" w:eastAsia="仿宋" w:cs="Times New Roman"/>
          <w:iCs/>
          <w:color w:val="auto"/>
          <w:sz w:val="32"/>
          <w:szCs w:val="32"/>
          <w:highlight w:val="none"/>
          <w:u w:val="single"/>
        </w:rPr>
        <w:t xml:space="preserve">  0 </w:t>
      </w:r>
      <w:r>
        <w:rPr>
          <w:rFonts w:hint="eastAsia" w:ascii="仿宋" w:hAnsi="仿宋" w:eastAsia="仿宋" w:cs="Times New Roman"/>
          <w:iCs/>
          <w:color w:val="auto"/>
          <w:sz w:val="32"/>
          <w:szCs w:val="32"/>
          <w:highlight w:val="none"/>
        </w:rPr>
        <w:t>项</w:t>
      </w:r>
      <w:r>
        <w:rPr>
          <w:rFonts w:ascii="仿宋" w:hAnsi="仿宋" w:eastAsia="仿宋" w:cs="Times New Roman"/>
          <w:iCs/>
          <w:color w:val="auto"/>
          <w:sz w:val="32"/>
          <w:szCs w:val="32"/>
          <w:highlight w:val="none"/>
        </w:rPr>
        <w:t>，</w:t>
      </w:r>
      <w:r>
        <w:rPr>
          <w:rFonts w:hint="eastAsia" w:ascii="仿宋" w:hAnsi="仿宋" w:eastAsia="仿宋" w:cs="Times New Roman"/>
          <w:iCs/>
          <w:color w:val="auto"/>
          <w:sz w:val="32"/>
          <w:szCs w:val="32"/>
          <w:highlight w:val="none"/>
        </w:rPr>
        <w:t>“△”</w:t>
      </w:r>
      <w:r>
        <w:rPr>
          <w:rFonts w:ascii="仿宋" w:hAnsi="仿宋" w:eastAsia="仿宋" w:cs="Times New Roman"/>
          <w:iCs/>
          <w:color w:val="auto"/>
          <w:sz w:val="32"/>
          <w:szCs w:val="32"/>
          <w:highlight w:val="none"/>
        </w:rPr>
        <w:t>指标</w:t>
      </w:r>
      <w:r>
        <w:rPr>
          <w:rFonts w:hint="eastAsia" w:ascii="仿宋" w:hAnsi="仿宋" w:eastAsia="仿宋" w:cs="Times New Roman"/>
          <w:iCs/>
          <w:color w:val="auto"/>
          <w:sz w:val="32"/>
          <w:szCs w:val="32"/>
          <w:highlight w:val="none"/>
        </w:rPr>
        <w:t>项</w:t>
      </w:r>
      <w:r>
        <w:rPr>
          <w:rFonts w:ascii="仿宋" w:hAnsi="仿宋" w:eastAsia="仿宋" w:cs="Times New Roman"/>
          <w:iCs/>
          <w:color w:val="auto"/>
          <w:sz w:val="32"/>
          <w:szCs w:val="32"/>
          <w:highlight w:val="none"/>
          <w:u w:val="single"/>
        </w:rPr>
        <w:t xml:space="preserve">   0   </w:t>
      </w:r>
      <w:r>
        <w:rPr>
          <w:rFonts w:hint="eastAsia" w:ascii="仿宋" w:hAnsi="仿宋" w:eastAsia="仿宋" w:cs="Times New Roman"/>
          <w:iCs/>
          <w:color w:val="auto"/>
          <w:sz w:val="32"/>
          <w:szCs w:val="32"/>
          <w:highlight w:val="none"/>
        </w:rPr>
        <w:t>项。</w:t>
      </w:r>
    </w:p>
    <w:p w14:paraId="74556C83">
      <w:pPr>
        <w:spacing w:line="360" w:lineRule="auto"/>
        <w:ind w:firstLine="640" w:firstLineChars="200"/>
        <w:rPr>
          <w:rFonts w:ascii="仿宋" w:hAnsi="仿宋" w:eastAsia="仿宋" w:cs="Times New Roman"/>
          <w:iCs/>
          <w:color w:val="auto"/>
          <w:sz w:val="32"/>
          <w:szCs w:val="32"/>
          <w:highlight w:val="none"/>
        </w:rPr>
      </w:pPr>
      <w:r>
        <w:rPr>
          <w:rFonts w:hint="eastAsia" w:ascii="仿宋" w:hAnsi="仿宋" w:eastAsia="仿宋" w:cs="Times New Roman"/>
          <w:iCs/>
          <w:color w:val="auto"/>
          <w:sz w:val="32"/>
          <w:szCs w:val="32"/>
          <w:highlight w:val="none"/>
        </w:rPr>
        <w:t>A、服务要求</w:t>
      </w:r>
    </w:p>
    <w:tbl>
      <w:tblPr>
        <w:tblStyle w:val="8"/>
        <w:tblW w:w="87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181"/>
        <w:gridCol w:w="1559"/>
        <w:gridCol w:w="3825"/>
        <w:gridCol w:w="1373"/>
      </w:tblGrid>
      <w:tr w14:paraId="288D6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7" w:hRule="atLeast"/>
        </w:trPr>
        <w:tc>
          <w:tcPr>
            <w:tcW w:w="846" w:type="dxa"/>
            <w:vAlign w:val="center"/>
          </w:tcPr>
          <w:p w14:paraId="29D4DB9B">
            <w:pPr>
              <w:jc w:val="center"/>
              <w:rPr>
                <w:rFonts w:ascii="仿宋" w:hAnsi="仿宋" w:eastAsia="仿宋" w:cs="Times New Roman"/>
                <w:b/>
                <w:color w:val="auto"/>
                <w:sz w:val="28"/>
                <w:szCs w:val="28"/>
                <w:highlight w:val="none"/>
              </w:rPr>
            </w:pPr>
            <w:r>
              <w:rPr>
                <w:rFonts w:hint="eastAsia" w:ascii="仿宋" w:hAnsi="仿宋" w:eastAsia="仿宋" w:cs="Times New Roman"/>
                <w:b/>
                <w:color w:val="auto"/>
                <w:sz w:val="28"/>
                <w:szCs w:val="28"/>
                <w:highlight w:val="none"/>
              </w:rPr>
              <w:t>序号</w:t>
            </w:r>
          </w:p>
        </w:tc>
        <w:tc>
          <w:tcPr>
            <w:tcW w:w="1181" w:type="dxa"/>
            <w:vAlign w:val="center"/>
          </w:tcPr>
          <w:p w14:paraId="2D5F9F2D">
            <w:pPr>
              <w:jc w:val="center"/>
              <w:rPr>
                <w:rFonts w:ascii="仿宋" w:hAnsi="仿宋" w:eastAsia="仿宋" w:cs="Times New Roman"/>
                <w:b/>
                <w:color w:val="auto"/>
                <w:sz w:val="28"/>
                <w:szCs w:val="28"/>
                <w:highlight w:val="none"/>
              </w:rPr>
            </w:pPr>
            <w:r>
              <w:rPr>
                <w:rFonts w:hint="eastAsia" w:ascii="仿宋" w:hAnsi="仿宋" w:eastAsia="仿宋" w:cs="Times New Roman"/>
                <w:b/>
                <w:color w:val="auto"/>
                <w:sz w:val="28"/>
                <w:szCs w:val="28"/>
                <w:highlight w:val="none"/>
              </w:rPr>
              <w:t>重要性</w:t>
            </w:r>
          </w:p>
        </w:tc>
        <w:tc>
          <w:tcPr>
            <w:tcW w:w="1559" w:type="dxa"/>
            <w:vAlign w:val="center"/>
          </w:tcPr>
          <w:p w14:paraId="58E24C5D">
            <w:pPr>
              <w:jc w:val="center"/>
              <w:rPr>
                <w:rFonts w:ascii="仿宋" w:hAnsi="仿宋" w:eastAsia="仿宋" w:cs="Times New Roman"/>
                <w:b/>
                <w:color w:val="auto"/>
                <w:sz w:val="28"/>
                <w:szCs w:val="28"/>
                <w:highlight w:val="none"/>
              </w:rPr>
            </w:pPr>
            <w:r>
              <w:rPr>
                <w:rFonts w:hint="eastAsia" w:ascii="仿宋" w:hAnsi="仿宋" w:eastAsia="仿宋" w:cs="Times New Roman"/>
                <w:b/>
                <w:color w:val="auto"/>
                <w:sz w:val="28"/>
                <w:szCs w:val="28"/>
                <w:highlight w:val="none"/>
              </w:rPr>
              <w:t>内容</w:t>
            </w:r>
          </w:p>
        </w:tc>
        <w:tc>
          <w:tcPr>
            <w:tcW w:w="3825" w:type="dxa"/>
            <w:vAlign w:val="center"/>
          </w:tcPr>
          <w:p w14:paraId="516D3D43">
            <w:pPr>
              <w:jc w:val="center"/>
              <w:rPr>
                <w:rFonts w:ascii="仿宋" w:hAnsi="仿宋" w:eastAsia="仿宋" w:cs="Times New Roman"/>
                <w:b/>
                <w:color w:val="auto"/>
                <w:sz w:val="28"/>
                <w:szCs w:val="28"/>
                <w:highlight w:val="none"/>
              </w:rPr>
            </w:pPr>
            <w:r>
              <w:rPr>
                <w:rFonts w:hint="eastAsia" w:ascii="仿宋" w:hAnsi="仿宋" w:eastAsia="仿宋" w:cs="Times New Roman"/>
                <w:b/>
                <w:color w:val="auto"/>
                <w:sz w:val="28"/>
                <w:szCs w:val="28"/>
                <w:highlight w:val="none"/>
              </w:rPr>
              <w:t>服务要求标准</w:t>
            </w:r>
          </w:p>
        </w:tc>
        <w:tc>
          <w:tcPr>
            <w:tcW w:w="1373" w:type="dxa"/>
            <w:vAlign w:val="center"/>
          </w:tcPr>
          <w:p w14:paraId="6B5FC410">
            <w:pPr>
              <w:jc w:val="center"/>
              <w:rPr>
                <w:rFonts w:ascii="仿宋" w:hAnsi="仿宋" w:eastAsia="仿宋" w:cs="Times New Roman"/>
                <w:b/>
                <w:color w:val="auto"/>
                <w:sz w:val="28"/>
                <w:szCs w:val="28"/>
                <w:highlight w:val="none"/>
              </w:rPr>
            </w:pPr>
            <w:r>
              <w:rPr>
                <w:rFonts w:hint="eastAsia" w:ascii="仿宋" w:hAnsi="仿宋" w:eastAsia="仿宋" w:cs="宋体"/>
                <w:b/>
                <w:color w:val="auto"/>
                <w:kern w:val="0"/>
                <w:sz w:val="28"/>
                <w:szCs w:val="28"/>
                <w:highlight w:val="none"/>
              </w:rPr>
              <w:t>是否</w:t>
            </w:r>
            <w:r>
              <w:rPr>
                <w:rFonts w:ascii="仿宋" w:hAnsi="仿宋" w:eastAsia="仿宋" w:cs="宋体"/>
                <w:b/>
                <w:color w:val="auto"/>
                <w:kern w:val="0"/>
                <w:sz w:val="28"/>
                <w:szCs w:val="28"/>
                <w:highlight w:val="none"/>
              </w:rPr>
              <w:t>提供证明材料</w:t>
            </w:r>
            <w:r>
              <w:rPr>
                <w:rFonts w:hint="eastAsia" w:ascii="仿宋" w:hAnsi="仿宋" w:eastAsia="仿宋" w:cs="宋体"/>
                <w:b/>
                <w:color w:val="auto"/>
                <w:kern w:val="0"/>
                <w:sz w:val="28"/>
                <w:szCs w:val="28"/>
                <w:highlight w:val="none"/>
              </w:rPr>
              <w:t>及方式</w:t>
            </w:r>
          </w:p>
        </w:tc>
      </w:tr>
      <w:tr w14:paraId="00B87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4855B462">
            <w:pPr>
              <w:widowControl/>
              <w:jc w:val="center"/>
              <w:textAlignment w:val="center"/>
              <w:rPr>
                <w:rFonts w:ascii="仿宋" w:hAnsi="仿宋" w:eastAsia="仿宋" w:cs="宋体"/>
                <w:color w:val="auto"/>
                <w:kern w:val="0"/>
                <w:sz w:val="28"/>
                <w:szCs w:val="28"/>
                <w:highlight w:val="none"/>
              </w:rPr>
            </w:pPr>
            <w:r>
              <w:rPr>
                <w:rFonts w:hint="eastAsia" w:ascii="仿宋" w:hAnsi="仿宋" w:eastAsia="仿宋" w:cs="宋体"/>
                <w:color w:val="auto"/>
                <w:kern w:val="0"/>
                <w:sz w:val="28"/>
                <w:szCs w:val="28"/>
                <w:highlight w:val="none"/>
              </w:rPr>
              <w:t>1</w:t>
            </w:r>
          </w:p>
        </w:tc>
        <w:tc>
          <w:tcPr>
            <w:tcW w:w="1181" w:type="dxa"/>
            <w:vAlign w:val="center"/>
          </w:tcPr>
          <w:p w14:paraId="3B6DE7CC">
            <w:pPr>
              <w:jc w:val="center"/>
              <w:rPr>
                <w:rFonts w:ascii="仿宋" w:hAnsi="仿宋" w:eastAsia="仿宋" w:cs="Times New Roman"/>
                <w:color w:val="auto"/>
                <w:sz w:val="28"/>
                <w:szCs w:val="28"/>
                <w:highlight w:val="none"/>
              </w:rPr>
            </w:pPr>
            <w:r>
              <w:rPr>
                <w:rFonts w:hint="eastAsia" w:ascii="仿宋_GB2312" w:hAnsi="宋体" w:eastAsia="仿宋_GB2312" w:cs="仿宋_GB2312"/>
                <w:snapToGrid w:val="0"/>
                <w:color w:val="auto"/>
                <w:kern w:val="0"/>
                <w:sz w:val="24"/>
                <w:highlight w:val="none"/>
                <w:lang w:val="zh-CN"/>
              </w:rPr>
              <w:t>★</w:t>
            </w:r>
          </w:p>
        </w:tc>
        <w:tc>
          <w:tcPr>
            <w:tcW w:w="1559" w:type="dxa"/>
            <w:vAlign w:val="center"/>
          </w:tcPr>
          <w:p w14:paraId="61BDE22F">
            <w:pPr>
              <w:rPr>
                <w:rFonts w:ascii="仿宋" w:hAnsi="仿宋" w:eastAsia="仿宋" w:cs="Times New Roman"/>
                <w:color w:val="auto"/>
                <w:sz w:val="28"/>
                <w:szCs w:val="28"/>
                <w:highlight w:val="none"/>
              </w:rPr>
            </w:pPr>
            <w:r>
              <w:rPr>
                <w:rFonts w:hint="eastAsia" w:cs="宋体" w:asciiTheme="minorEastAsia" w:hAnsiTheme="minorEastAsia"/>
                <w:snapToGrid w:val="0"/>
                <w:color w:val="auto"/>
                <w:kern w:val="0"/>
                <w:szCs w:val="21"/>
                <w:highlight w:val="none"/>
                <w:lang w:val="zh-CN"/>
              </w:rPr>
              <w:t>电解镍供货要求</w:t>
            </w:r>
          </w:p>
        </w:tc>
        <w:tc>
          <w:tcPr>
            <w:tcW w:w="3825" w:type="dxa"/>
          </w:tcPr>
          <w:p w14:paraId="3C27012C">
            <w:pPr>
              <w:rPr>
                <w:rFonts w:cs="宋体" w:asciiTheme="minorEastAsia" w:hAnsiTheme="minorEastAsia"/>
                <w:color w:val="auto"/>
                <w:szCs w:val="21"/>
                <w:highlight w:val="none"/>
              </w:rPr>
            </w:pPr>
            <w:r>
              <w:rPr>
                <w:rFonts w:hint="eastAsia" w:cs="宋体" w:asciiTheme="minorEastAsia" w:hAnsiTheme="minorEastAsia"/>
                <w:color w:val="auto"/>
                <w:szCs w:val="21"/>
                <w:highlight w:val="none"/>
              </w:rPr>
              <w:t>供货期：</w:t>
            </w:r>
            <w:r>
              <w:rPr>
                <w:rFonts w:hint="eastAsia" w:cs="仿宋" w:asciiTheme="minorEastAsia" w:hAnsiTheme="minorEastAsia"/>
                <w:color w:val="auto"/>
                <w:szCs w:val="21"/>
                <w:highlight w:val="none"/>
              </w:rPr>
              <w:t>自批次订单下达之日起</w:t>
            </w:r>
            <w:r>
              <w:rPr>
                <w:rFonts w:cs="仿宋" w:asciiTheme="minorEastAsia" w:hAnsiTheme="minorEastAsia"/>
                <w:color w:val="auto"/>
                <w:szCs w:val="21"/>
                <w:highlight w:val="none"/>
              </w:rPr>
              <w:t>10</w:t>
            </w:r>
            <w:r>
              <w:rPr>
                <w:rFonts w:hint="eastAsia" w:cs="仿宋" w:asciiTheme="minorEastAsia" w:hAnsiTheme="minorEastAsia"/>
                <w:color w:val="auto"/>
                <w:szCs w:val="21"/>
                <w:highlight w:val="none"/>
              </w:rPr>
              <w:t>个日历日内。</w:t>
            </w:r>
          </w:p>
          <w:p w14:paraId="298C6B93">
            <w:pPr>
              <w:rPr>
                <w:rFonts w:ascii="仿宋" w:hAnsi="仿宋" w:eastAsia="仿宋" w:cs="Times New Roman"/>
                <w:color w:val="auto"/>
                <w:sz w:val="28"/>
                <w:szCs w:val="28"/>
                <w:highlight w:val="none"/>
              </w:rPr>
            </w:pPr>
            <w:r>
              <w:rPr>
                <w:rFonts w:hint="eastAsia" w:cs="宋体" w:asciiTheme="minorEastAsia" w:hAnsiTheme="minorEastAsia"/>
                <w:color w:val="auto"/>
                <w:szCs w:val="21"/>
                <w:highlight w:val="none"/>
              </w:rPr>
              <w:t>服务期：合同签订之日起到质保期满并理赔完毕货款两清之日。</w:t>
            </w:r>
          </w:p>
        </w:tc>
        <w:tc>
          <w:tcPr>
            <w:tcW w:w="1373" w:type="dxa"/>
            <w:vAlign w:val="center"/>
          </w:tcPr>
          <w:p w14:paraId="30F326D9">
            <w:pPr>
              <w:jc w:val="center"/>
              <w:rPr>
                <w:rFonts w:ascii="仿宋" w:hAnsi="仿宋" w:eastAsia="仿宋" w:cs="Times New Roman"/>
                <w:color w:val="auto"/>
                <w:sz w:val="28"/>
                <w:szCs w:val="28"/>
                <w:highlight w:val="none"/>
              </w:rPr>
            </w:pPr>
            <w:r>
              <w:rPr>
                <w:rFonts w:hint="eastAsia" w:cs="仿宋" w:asciiTheme="minorEastAsia" w:hAnsiTheme="minorEastAsia"/>
                <w:color w:val="auto"/>
                <w:szCs w:val="21"/>
                <w:highlight w:val="none"/>
              </w:rPr>
              <w:t>否</w:t>
            </w:r>
          </w:p>
        </w:tc>
      </w:tr>
      <w:tr w14:paraId="1FB00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45AF35BB">
            <w:pPr>
              <w:widowControl/>
              <w:jc w:val="center"/>
              <w:textAlignment w:val="center"/>
              <w:rPr>
                <w:rFonts w:ascii="仿宋" w:hAnsi="仿宋" w:eastAsia="仿宋" w:cs="宋体"/>
                <w:color w:val="auto"/>
                <w:kern w:val="0"/>
                <w:sz w:val="28"/>
                <w:szCs w:val="28"/>
                <w:highlight w:val="none"/>
              </w:rPr>
            </w:pPr>
            <w:r>
              <w:rPr>
                <w:rFonts w:hint="eastAsia" w:ascii="仿宋" w:hAnsi="仿宋" w:eastAsia="仿宋" w:cs="宋体"/>
                <w:color w:val="auto"/>
                <w:kern w:val="0"/>
                <w:sz w:val="28"/>
                <w:szCs w:val="28"/>
                <w:highlight w:val="none"/>
              </w:rPr>
              <w:t>2</w:t>
            </w:r>
          </w:p>
        </w:tc>
        <w:tc>
          <w:tcPr>
            <w:tcW w:w="1181" w:type="dxa"/>
            <w:vAlign w:val="center"/>
          </w:tcPr>
          <w:p w14:paraId="34554408">
            <w:pPr>
              <w:jc w:val="center"/>
              <w:rPr>
                <w:rFonts w:ascii="仿宋" w:hAnsi="仿宋" w:eastAsia="仿宋" w:cs="Times New Roman"/>
                <w:color w:val="auto"/>
                <w:sz w:val="28"/>
                <w:szCs w:val="28"/>
                <w:highlight w:val="none"/>
              </w:rPr>
            </w:pPr>
            <w:r>
              <w:rPr>
                <w:rFonts w:hint="eastAsia" w:ascii="仿宋_GB2312" w:hAnsi="宋体" w:eastAsia="仿宋_GB2312" w:cs="仿宋_GB2312"/>
                <w:snapToGrid w:val="0"/>
                <w:color w:val="auto"/>
                <w:kern w:val="0"/>
                <w:sz w:val="24"/>
                <w:highlight w:val="none"/>
                <w:lang w:val="zh-CN"/>
              </w:rPr>
              <w:t>★</w:t>
            </w:r>
          </w:p>
        </w:tc>
        <w:tc>
          <w:tcPr>
            <w:tcW w:w="1559" w:type="dxa"/>
            <w:vAlign w:val="center"/>
          </w:tcPr>
          <w:p w14:paraId="21A0BA8B">
            <w:pPr>
              <w:rPr>
                <w:rFonts w:ascii="仿宋" w:hAnsi="仿宋" w:eastAsia="仿宋" w:cs="Times New Roman"/>
                <w:color w:val="auto"/>
                <w:sz w:val="28"/>
                <w:szCs w:val="28"/>
                <w:highlight w:val="none"/>
              </w:rPr>
            </w:pPr>
            <w:r>
              <w:rPr>
                <w:rFonts w:hint="eastAsia" w:cs="宋体" w:asciiTheme="minorEastAsia" w:hAnsiTheme="minorEastAsia"/>
                <w:snapToGrid w:val="0"/>
                <w:color w:val="auto"/>
                <w:kern w:val="0"/>
                <w:szCs w:val="21"/>
                <w:highlight w:val="none"/>
                <w:lang w:val="zh-CN"/>
              </w:rPr>
              <w:t>电解镍质保期</w:t>
            </w:r>
          </w:p>
        </w:tc>
        <w:tc>
          <w:tcPr>
            <w:tcW w:w="3825" w:type="dxa"/>
            <w:vAlign w:val="center"/>
          </w:tcPr>
          <w:p w14:paraId="700082F6">
            <w:pPr>
              <w:rPr>
                <w:rFonts w:ascii="仿宋" w:hAnsi="仿宋" w:eastAsia="仿宋" w:cs="Times New Roman"/>
                <w:color w:val="auto"/>
                <w:sz w:val="28"/>
                <w:szCs w:val="28"/>
                <w:highlight w:val="none"/>
              </w:rPr>
            </w:pPr>
            <w:r>
              <w:rPr>
                <w:rFonts w:hint="eastAsia" w:cs="仿宋" w:asciiTheme="minorEastAsia" w:hAnsiTheme="minorEastAsia"/>
                <w:color w:val="auto"/>
                <w:szCs w:val="21"/>
                <w:highlight w:val="none"/>
              </w:rPr>
              <w:t>自货物理化指标复检验收合格之日起</w:t>
            </w:r>
            <w:r>
              <w:rPr>
                <w:rFonts w:cs="仿宋" w:asciiTheme="minorEastAsia" w:hAnsiTheme="minorEastAsia"/>
                <w:color w:val="auto"/>
                <w:szCs w:val="21"/>
                <w:highlight w:val="none"/>
              </w:rPr>
              <w:t>1年。</w:t>
            </w:r>
          </w:p>
        </w:tc>
        <w:tc>
          <w:tcPr>
            <w:tcW w:w="1373" w:type="dxa"/>
            <w:vAlign w:val="center"/>
          </w:tcPr>
          <w:p w14:paraId="39F85CC3">
            <w:pPr>
              <w:jc w:val="center"/>
              <w:rPr>
                <w:rFonts w:ascii="仿宋" w:hAnsi="仿宋" w:eastAsia="仿宋" w:cs="Times New Roman"/>
                <w:color w:val="auto"/>
                <w:sz w:val="28"/>
                <w:szCs w:val="28"/>
                <w:highlight w:val="none"/>
              </w:rPr>
            </w:pPr>
            <w:r>
              <w:rPr>
                <w:rFonts w:hint="eastAsia" w:cs="仿宋" w:asciiTheme="minorEastAsia" w:hAnsiTheme="minorEastAsia"/>
                <w:color w:val="auto"/>
                <w:szCs w:val="21"/>
                <w:highlight w:val="none"/>
              </w:rPr>
              <w:t>否</w:t>
            </w:r>
          </w:p>
        </w:tc>
      </w:tr>
      <w:tr w14:paraId="215C8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3FA9E432">
            <w:pPr>
              <w:widowControl/>
              <w:jc w:val="center"/>
              <w:textAlignment w:val="center"/>
              <w:rPr>
                <w:rFonts w:ascii="仿宋" w:hAnsi="仿宋" w:eastAsia="仿宋" w:cs="宋体"/>
                <w:color w:val="auto"/>
                <w:kern w:val="0"/>
                <w:sz w:val="28"/>
                <w:szCs w:val="28"/>
                <w:highlight w:val="none"/>
              </w:rPr>
            </w:pPr>
            <w:r>
              <w:rPr>
                <w:rFonts w:hint="eastAsia" w:ascii="仿宋" w:hAnsi="仿宋" w:eastAsia="仿宋" w:cs="宋体"/>
                <w:color w:val="auto"/>
                <w:kern w:val="0"/>
                <w:sz w:val="28"/>
                <w:szCs w:val="28"/>
                <w:highlight w:val="none"/>
              </w:rPr>
              <w:t>3</w:t>
            </w:r>
          </w:p>
        </w:tc>
        <w:tc>
          <w:tcPr>
            <w:tcW w:w="1181" w:type="dxa"/>
            <w:vAlign w:val="center"/>
          </w:tcPr>
          <w:p w14:paraId="60552DB6">
            <w:pPr>
              <w:jc w:val="center"/>
              <w:rPr>
                <w:rFonts w:ascii="仿宋" w:hAnsi="仿宋" w:eastAsia="仿宋" w:cs="Times New Roman"/>
                <w:color w:val="auto"/>
                <w:sz w:val="28"/>
                <w:szCs w:val="28"/>
                <w:highlight w:val="none"/>
              </w:rPr>
            </w:pPr>
            <w:r>
              <w:rPr>
                <w:rFonts w:hint="eastAsia" w:ascii="仿宋_GB2312" w:hAnsi="宋体" w:eastAsia="仿宋_GB2312" w:cs="仿宋_GB2312"/>
                <w:snapToGrid w:val="0"/>
                <w:color w:val="auto"/>
                <w:kern w:val="0"/>
                <w:sz w:val="24"/>
                <w:highlight w:val="none"/>
                <w:lang w:val="zh-CN"/>
              </w:rPr>
              <w:t>★</w:t>
            </w:r>
          </w:p>
        </w:tc>
        <w:tc>
          <w:tcPr>
            <w:tcW w:w="1559" w:type="dxa"/>
            <w:vAlign w:val="center"/>
          </w:tcPr>
          <w:p w14:paraId="2D2C3E94">
            <w:pPr>
              <w:rPr>
                <w:rFonts w:ascii="仿宋" w:hAnsi="仿宋" w:eastAsia="仿宋" w:cs="Times New Roman"/>
                <w:color w:val="auto"/>
                <w:sz w:val="28"/>
                <w:szCs w:val="28"/>
                <w:highlight w:val="none"/>
              </w:rPr>
            </w:pPr>
            <w:r>
              <w:rPr>
                <w:rFonts w:hint="eastAsia" w:cs="宋体" w:asciiTheme="minorEastAsia" w:hAnsiTheme="minorEastAsia"/>
                <w:snapToGrid w:val="0"/>
                <w:color w:val="auto"/>
                <w:kern w:val="0"/>
                <w:szCs w:val="21"/>
                <w:highlight w:val="none"/>
                <w:lang w:val="zh-CN"/>
              </w:rPr>
              <w:t>电解镍验收标准</w:t>
            </w:r>
          </w:p>
        </w:tc>
        <w:tc>
          <w:tcPr>
            <w:tcW w:w="3825" w:type="dxa"/>
            <w:vAlign w:val="center"/>
          </w:tcPr>
          <w:p w14:paraId="125B2C06">
            <w:pPr>
              <w:autoSpaceDE w:val="0"/>
              <w:autoSpaceDN w:val="0"/>
              <w:adjustRightInd w:val="0"/>
              <w:snapToGrid w:val="0"/>
              <w:rPr>
                <w:rFonts w:cs="宋体" w:asciiTheme="minorEastAsia" w:hAnsiTheme="minorEastAsia"/>
                <w:color w:val="auto"/>
                <w:szCs w:val="21"/>
                <w:highlight w:val="none"/>
              </w:rPr>
            </w:pPr>
            <w:r>
              <w:rPr>
                <w:rFonts w:hint="eastAsia" w:cs="宋体" w:asciiTheme="minorEastAsia" w:hAnsiTheme="minorEastAsia"/>
                <w:color w:val="auto"/>
                <w:szCs w:val="21"/>
                <w:highlight w:val="none"/>
              </w:rPr>
              <w:t>履约验收方案</w:t>
            </w:r>
          </w:p>
          <w:p w14:paraId="47CCED58">
            <w:pPr>
              <w:autoSpaceDE w:val="0"/>
              <w:autoSpaceDN w:val="0"/>
              <w:adjustRightInd w:val="0"/>
              <w:snapToGrid w:val="0"/>
              <w:rPr>
                <w:rFonts w:cs="宋体" w:asciiTheme="minorEastAsia" w:hAnsiTheme="minorEastAsia"/>
                <w:color w:val="auto"/>
                <w:szCs w:val="21"/>
                <w:highlight w:val="none"/>
              </w:rPr>
            </w:pPr>
            <w:r>
              <w:rPr>
                <w:rFonts w:cs="宋体" w:asciiTheme="minorEastAsia" w:hAnsiTheme="minorEastAsia"/>
                <w:color w:val="auto"/>
                <w:szCs w:val="21"/>
                <w:highlight w:val="none"/>
              </w:rPr>
              <w:t>1.</w:t>
            </w:r>
            <w:r>
              <w:rPr>
                <w:rFonts w:hint="eastAsia" w:cs="宋体" w:asciiTheme="minorEastAsia" w:hAnsiTheme="minorEastAsia"/>
                <w:color w:val="auto"/>
                <w:szCs w:val="21"/>
                <w:highlight w:val="none"/>
              </w:rPr>
              <w:t>验收主体</w:t>
            </w:r>
          </w:p>
          <w:p w14:paraId="0F343FF8">
            <w:pPr>
              <w:autoSpaceDE w:val="0"/>
              <w:autoSpaceDN w:val="0"/>
              <w:adjustRightInd w:val="0"/>
              <w:snapToGrid w:val="0"/>
              <w:rPr>
                <w:rFonts w:cs="宋体" w:asciiTheme="minorEastAsia" w:hAnsiTheme="minorEastAsia"/>
                <w:color w:val="auto"/>
                <w:szCs w:val="21"/>
                <w:highlight w:val="none"/>
              </w:rPr>
            </w:pPr>
            <w:r>
              <w:rPr>
                <w:rFonts w:hint="eastAsia" w:cs="宋体" w:asciiTheme="minorEastAsia" w:hAnsiTheme="minorEastAsia"/>
                <w:color w:val="auto"/>
                <w:szCs w:val="21"/>
                <w:highlight w:val="none"/>
              </w:rPr>
              <w:t>需求部门</w:t>
            </w:r>
            <w:r>
              <w:rPr>
                <w:rFonts w:cs="宋体" w:asciiTheme="minorEastAsia" w:hAnsiTheme="minorEastAsia"/>
                <w:color w:val="auto"/>
                <w:szCs w:val="21"/>
                <w:highlight w:val="none"/>
              </w:rPr>
              <w:t>:</w:t>
            </w:r>
            <w:r>
              <w:rPr>
                <w:rFonts w:hint="eastAsia" w:cs="宋体" w:asciiTheme="minorEastAsia" w:hAnsiTheme="minorEastAsia"/>
                <w:color w:val="auto"/>
                <w:szCs w:val="21"/>
                <w:highlight w:val="none"/>
              </w:rPr>
              <w:t>南京造币有限公司或上海造币有限公司物资管理部门。</w:t>
            </w:r>
          </w:p>
          <w:p w14:paraId="26A75D6F">
            <w:pPr>
              <w:autoSpaceDE w:val="0"/>
              <w:autoSpaceDN w:val="0"/>
              <w:adjustRightInd w:val="0"/>
              <w:snapToGrid w:val="0"/>
              <w:rPr>
                <w:rFonts w:cs="宋体" w:asciiTheme="minorEastAsia" w:hAnsiTheme="minorEastAsia"/>
                <w:color w:val="auto"/>
                <w:szCs w:val="21"/>
                <w:highlight w:val="none"/>
              </w:rPr>
            </w:pPr>
            <w:r>
              <w:rPr>
                <w:rFonts w:cs="宋体" w:asciiTheme="minorEastAsia" w:hAnsiTheme="minorEastAsia"/>
                <w:color w:val="auto"/>
                <w:szCs w:val="21"/>
                <w:highlight w:val="none"/>
              </w:rPr>
              <w:t>2.</w:t>
            </w:r>
            <w:r>
              <w:rPr>
                <w:rFonts w:hint="eastAsia" w:cs="宋体" w:asciiTheme="minorEastAsia" w:hAnsiTheme="minorEastAsia"/>
                <w:color w:val="auto"/>
                <w:szCs w:val="21"/>
                <w:highlight w:val="none"/>
              </w:rPr>
              <w:t>验收时间</w:t>
            </w:r>
          </w:p>
          <w:p w14:paraId="7728C0B8">
            <w:pPr>
              <w:autoSpaceDE w:val="0"/>
              <w:autoSpaceDN w:val="0"/>
              <w:adjustRightInd w:val="0"/>
              <w:snapToGrid w:val="0"/>
              <w:rPr>
                <w:rFonts w:cs="宋体" w:asciiTheme="minorEastAsia" w:hAnsiTheme="minorEastAsia"/>
                <w:color w:val="auto"/>
                <w:szCs w:val="21"/>
                <w:highlight w:val="none"/>
              </w:rPr>
            </w:pPr>
            <w:r>
              <w:rPr>
                <w:rFonts w:hint="eastAsia" w:cs="宋体" w:asciiTheme="minorEastAsia" w:hAnsiTheme="minorEastAsia"/>
                <w:color w:val="auto"/>
                <w:szCs w:val="21"/>
                <w:highlight w:val="none"/>
              </w:rPr>
              <w:t>交货时间：由南京造币有限公司确定采购数量，镍板批次订单下达之日起</w:t>
            </w:r>
            <w:r>
              <w:rPr>
                <w:rFonts w:cs="宋体" w:asciiTheme="minorEastAsia" w:hAnsiTheme="minorEastAsia"/>
                <w:color w:val="auto"/>
                <w:szCs w:val="21"/>
                <w:highlight w:val="none"/>
              </w:rPr>
              <w:t>10</w:t>
            </w:r>
            <w:r>
              <w:rPr>
                <w:rFonts w:hint="eastAsia" w:cs="宋体" w:asciiTheme="minorEastAsia" w:hAnsiTheme="minorEastAsia"/>
                <w:color w:val="auto"/>
                <w:szCs w:val="21"/>
                <w:highlight w:val="none"/>
              </w:rPr>
              <w:t>个日历日内到货。</w:t>
            </w:r>
          </w:p>
          <w:p w14:paraId="4EDB123D">
            <w:pPr>
              <w:widowControl/>
              <w:snapToGrid w:val="0"/>
              <w:rPr>
                <w:rFonts w:cs="宋体" w:asciiTheme="minorEastAsia" w:hAnsiTheme="minorEastAsia"/>
                <w:color w:val="auto"/>
                <w:szCs w:val="21"/>
                <w:highlight w:val="none"/>
              </w:rPr>
            </w:pPr>
            <w:r>
              <w:rPr>
                <w:rFonts w:hint="eastAsia" w:cs="宋体" w:asciiTheme="minorEastAsia" w:hAnsiTheme="minorEastAsia"/>
                <w:color w:val="auto"/>
                <w:szCs w:val="21"/>
                <w:highlight w:val="none"/>
              </w:rPr>
              <w:t>现场验收时间：自每批次货物到货后</w:t>
            </w:r>
            <w:r>
              <w:rPr>
                <w:rFonts w:cs="宋体" w:asciiTheme="minorEastAsia" w:hAnsiTheme="minorEastAsia"/>
                <w:color w:val="auto"/>
                <w:szCs w:val="21"/>
                <w:highlight w:val="none"/>
              </w:rPr>
              <w:t>10个日历日内完成；</w:t>
            </w:r>
          </w:p>
          <w:p w14:paraId="5E7BBFC3">
            <w:pPr>
              <w:widowControl/>
              <w:snapToGrid w:val="0"/>
              <w:rPr>
                <w:rFonts w:cs="宋体" w:asciiTheme="minorEastAsia" w:hAnsiTheme="minorEastAsia"/>
                <w:color w:val="auto"/>
                <w:szCs w:val="21"/>
                <w:highlight w:val="none"/>
              </w:rPr>
            </w:pPr>
            <w:r>
              <w:rPr>
                <w:rFonts w:hint="eastAsia" w:cs="宋体" w:asciiTheme="minorEastAsia" w:hAnsiTheme="minorEastAsia"/>
                <w:color w:val="auto"/>
                <w:szCs w:val="21"/>
                <w:highlight w:val="none"/>
              </w:rPr>
              <w:t>理化指标复检验收时间：自每批次货物现场验收完成后</w:t>
            </w:r>
            <w:r>
              <w:rPr>
                <w:rFonts w:cs="宋体" w:asciiTheme="minorEastAsia" w:hAnsiTheme="minorEastAsia"/>
                <w:color w:val="auto"/>
                <w:szCs w:val="21"/>
                <w:highlight w:val="none"/>
              </w:rPr>
              <w:t>20个日历日内完成；</w:t>
            </w:r>
          </w:p>
          <w:p w14:paraId="4C5C2A50">
            <w:pPr>
              <w:widowControl/>
              <w:snapToGrid w:val="0"/>
              <w:rPr>
                <w:rFonts w:cs="宋体" w:asciiTheme="minorEastAsia" w:hAnsiTheme="minorEastAsia"/>
                <w:color w:val="auto"/>
                <w:szCs w:val="21"/>
                <w:highlight w:val="none"/>
              </w:rPr>
            </w:pPr>
            <w:r>
              <w:rPr>
                <w:rFonts w:hint="eastAsia" w:cs="宋体" w:asciiTheme="minorEastAsia" w:hAnsiTheme="minorEastAsia"/>
                <w:color w:val="auto"/>
                <w:szCs w:val="21"/>
                <w:highlight w:val="none"/>
              </w:rPr>
              <w:t>使用验收时间：自每批次货物使用完后</w:t>
            </w:r>
            <w:r>
              <w:rPr>
                <w:rFonts w:cs="宋体" w:asciiTheme="minorEastAsia" w:hAnsiTheme="minorEastAsia"/>
                <w:color w:val="auto"/>
                <w:szCs w:val="21"/>
                <w:highlight w:val="none"/>
              </w:rPr>
              <w:t>20个日历日内完成。</w:t>
            </w:r>
          </w:p>
          <w:p w14:paraId="7548DC2B">
            <w:pPr>
              <w:rPr>
                <w:rFonts w:cs="宋体" w:asciiTheme="minorEastAsia" w:hAnsiTheme="minorEastAsia"/>
                <w:color w:val="auto"/>
                <w:szCs w:val="21"/>
                <w:highlight w:val="none"/>
              </w:rPr>
            </w:pPr>
            <w:r>
              <w:rPr>
                <w:rFonts w:hint="eastAsia" w:cs="宋体" w:asciiTheme="minorEastAsia" w:hAnsiTheme="minorEastAsia"/>
                <w:color w:val="auto"/>
                <w:szCs w:val="21"/>
                <w:highlight w:val="none"/>
              </w:rPr>
              <w:t>3.</w:t>
            </w:r>
            <w:r>
              <w:rPr>
                <w:rFonts w:cs="宋体" w:asciiTheme="minorEastAsia" w:hAnsiTheme="minorEastAsia"/>
                <w:color w:val="auto"/>
                <w:szCs w:val="21"/>
                <w:highlight w:val="none"/>
              </w:rPr>
              <w:t>验收方式</w:t>
            </w:r>
          </w:p>
          <w:p w14:paraId="294F978E">
            <w:pPr>
              <w:autoSpaceDE w:val="0"/>
              <w:autoSpaceDN w:val="0"/>
              <w:adjustRightInd w:val="0"/>
              <w:snapToGrid w:val="0"/>
              <w:rPr>
                <w:rFonts w:cs="宋体" w:asciiTheme="minorEastAsia" w:hAnsiTheme="minorEastAsia"/>
                <w:color w:val="auto"/>
                <w:szCs w:val="21"/>
                <w:highlight w:val="none"/>
              </w:rPr>
            </w:pPr>
            <w:r>
              <w:rPr>
                <w:rFonts w:hint="eastAsia" w:cs="宋体" w:asciiTheme="minorEastAsia" w:hAnsiTheme="minorEastAsia"/>
                <w:color w:val="auto"/>
                <w:szCs w:val="21"/>
                <w:highlight w:val="none"/>
              </w:rPr>
              <w:t>现场验收：交货时间的及时性和交货地点的准确性；品名、规格、数量、外观、包装、质保（有效）期、质检报告等客观验收。</w:t>
            </w:r>
            <w:r>
              <w:rPr>
                <w:rFonts w:cs="宋体" w:asciiTheme="minorEastAsia" w:hAnsiTheme="minorEastAsia"/>
                <w:color w:val="auto"/>
                <w:szCs w:val="21"/>
                <w:highlight w:val="none"/>
              </w:rPr>
              <w:t>实到货物的重量与码单一致，电解镍合理磅差范围为千分之二，磅差在千分之二以内以</w:t>
            </w:r>
            <w:r>
              <w:rPr>
                <w:rFonts w:hint="eastAsia" w:cs="宋体" w:asciiTheme="minorEastAsia" w:hAnsiTheme="minorEastAsia"/>
                <w:color w:val="auto"/>
                <w:szCs w:val="21"/>
                <w:highlight w:val="none"/>
              </w:rPr>
              <w:t>中标人</w:t>
            </w:r>
            <w:r>
              <w:rPr>
                <w:rFonts w:cs="宋体" w:asciiTheme="minorEastAsia" w:hAnsiTheme="minorEastAsia"/>
                <w:color w:val="auto"/>
                <w:szCs w:val="21"/>
                <w:highlight w:val="none"/>
              </w:rPr>
              <w:t>码单为准，超过千分之二磅差的，不足部分由</w:t>
            </w:r>
            <w:r>
              <w:rPr>
                <w:rFonts w:hint="eastAsia" w:cs="宋体" w:asciiTheme="minorEastAsia" w:hAnsiTheme="minorEastAsia"/>
                <w:color w:val="auto"/>
                <w:szCs w:val="21"/>
                <w:highlight w:val="none"/>
              </w:rPr>
              <w:t>中标人在采购人要求的期限内</w:t>
            </w:r>
            <w:r>
              <w:rPr>
                <w:rFonts w:cs="宋体" w:asciiTheme="minorEastAsia" w:hAnsiTheme="minorEastAsia"/>
                <w:color w:val="auto"/>
                <w:szCs w:val="21"/>
                <w:highlight w:val="none"/>
              </w:rPr>
              <w:t>补足，超出部分</w:t>
            </w:r>
            <w:r>
              <w:rPr>
                <w:rFonts w:hint="eastAsia" w:cs="宋体" w:asciiTheme="minorEastAsia" w:hAnsiTheme="minorEastAsia"/>
                <w:color w:val="auto"/>
                <w:szCs w:val="21"/>
                <w:highlight w:val="none"/>
              </w:rPr>
              <w:t>采购人</w:t>
            </w:r>
            <w:r>
              <w:rPr>
                <w:rFonts w:cs="宋体" w:asciiTheme="minorEastAsia" w:hAnsiTheme="minorEastAsia"/>
                <w:color w:val="auto"/>
                <w:szCs w:val="21"/>
                <w:highlight w:val="none"/>
              </w:rPr>
              <w:t>据实付款</w:t>
            </w:r>
            <w:r>
              <w:rPr>
                <w:rFonts w:hint="eastAsia" w:cs="宋体" w:asciiTheme="minorEastAsia" w:hAnsiTheme="minorEastAsia"/>
                <w:color w:val="auto"/>
                <w:szCs w:val="21"/>
                <w:highlight w:val="none"/>
              </w:rPr>
              <w:t>。</w:t>
            </w:r>
          </w:p>
          <w:p w14:paraId="075BDB51">
            <w:pPr>
              <w:autoSpaceDE w:val="0"/>
              <w:autoSpaceDN w:val="0"/>
              <w:adjustRightInd w:val="0"/>
              <w:snapToGrid w:val="0"/>
              <w:rPr>
                <w:rFonts w:cs="宋体" w:asciiTheme="minorEastAsia" w:hAnsiTheme="minorEastAsia"/>
                <w:color w:val="auto"/>
                <w:szCs w:val="21"/>
                <w:highlight w:val="none"/>
              </w:rPr>
            </w:pPr>
            <w:r>
              <w:rPr>
                <w:rFonts w:hint="eastAsia" w:cs="宋体" w:asciiTheme="minorEastAsia" w:hAnsiTheme="minorEastAsia"/>
                <w:color w:val="auto"/>
                <w:szCs w:val="21"/>
                <w:highlight w:val="none"/>
              </w:rPr>
              <w:t>理化指标复检验收：各项理化指标复检验收。</w:t>
            </w:r>
          </w:p>
          <w:p w14:paraId="0F9E73B5">
            <w:pPr>
              <w:autoSpaceDE w:val="0"/>
              <w:autoSpaceDN w:val="0"/>
              <w:adjustRightInd w:val="0"/>
              <w:snapToGrid w:val="0"/>
              <w:rPr>
                <w:rFonts w:cs="宋体" w:asciiTheme="minorEastAsia" w:hAnsiTheme="minorEastAsia"/>
                <w:color w:val="auto"/>
                <w:szCs w:val="21"/>
                <w:highlight w:val="none"/>
              </w:rPr>
            </w:pPr>
            <w:r>
              <w:rPr>
                <w:rFonts w:hint="eastAsia" w:cs="宋体" w:asciiTheme="minorEastAsia" w:hAnsiTheme="minorEastAsia"/>
                <w:color w:val="auto"/>
                <w:szCs w:val="21"/>
                <w:highlight w:val="none"/>
              </w:rPr>
              <w:t>使用验收：使用过程中质量反馈。</w:t>
            </w:r>
          </w:p>
          <w:p w14:paraId="41883EE5">
            <w:pPr>
              <w:autoSpaceDE w:val="0"/>
              <w:autoSpaceDN w:val="0"/>
              <w:adjustRightInd w:val="0"/>
              <w:snapToGrid w:val="0"/>
              <w:rPr>
                <w:rFonts w:cs="宋体" w:asciiTheme="minorEastAsia" w:hAnsiTheme="minorEastAsia"/>
                <w:color w:val="auto"/>
                <w:szCs w:val="21"/>
                <w:highlight w:val="none"/>
              </w:rPr>
            </w:pPr>
            <w:r>
              <w:rPr>
                <w:rFonts w:cs="宋体" w:asciiTheme="minorEastAsia" w:hAnsiTheme="minorEastAsia"/>
                <w:color w:val="auto"/>
                <w:szCs w:val="21"/>
                <w:highlight w:val="none"/>
              </w:rPr>
              <w:t>4.</w:t>
            </w:r>
            <w:r>
              <w:rPr>
                <w:rFonts w:hint="eastAsia" w:cs="宋体" w:asciiTheme="minorEastAsia" w:hAnsiTheme="minorEastAsia"/>
                <w:color w:val="auto"/>
                <w:szCs w:val="21"/>
                <w:highlight w:val="none"/>
              </w:rPr>
              <w:t>验收程序</w:t>
            </w:r>
          </w:p>
          <w:p w14:paraId="7985BAC0">
            <w:pPr>
              <w:autoSpaceDE w:val="0"/>
              <w:autoSpaceDN w:val="0"/>
              <w:adjustRightInd w:val="0"/>
              <w:snapToGrid w:val="0"/>
              <w:rPr>
                <w:rFonts w:cs="宋体" w:asciiTheme="minorEastAsia" w:hAnsiTheme="minorEastAsia"/>
                <w:color w:val="auto"/>
                <w:szCs w:val="21"/>
                <w:highlight w:val="none"/>
              </w:rPr>
            </w:pPr>
            <w:r>
              <w:rPr>
                <w:rFonts w:hint="eastAsia" w:cs="宋体" w:asciiTheme="minorEastAsia" w:hAnsiTheme="minorEastAsia"/>
                <w:color w:val="auto"/>
                <w:szCs w:val="21"/>
                <w:highlight w:val="none"/>
              </w:rPr>
              <w:t>（</w:t>
            </w:r>
            <w:r>
              <w:rPr>
                <w:rFonts w:cs="宋体" w:asciiTheme="minorEastAsia" w:hAnsiTheme="minorEastAsia"/>
                <w:color w:val="auto"/>
                <w:szCs w:val="21"/>
                <w:highlight w:val="none"/>
              </w:rPr>
              <w:t>1</w:t>
            </w:r>
            <w:r>
              <w:rPr>
                <w:rFonts w:hint="eastAsia" w:cs="宋体" w:asciiTheme="minorEastAsia" w:hAnsiTheme="minorEastAsia"/>
                <w:color w:val="auto"/>
                <w:szCs w:val="21"/>
                <w:highlight w:val="none"/>
              </w:rPr>
              <w:t>）每批（以进货批次为单位）电解镍首先需确认厂家质量检验报告，合格后方可进行入厂检验。</w:t>
            </w:r>
          </w:p>
          <w:p w14:paraId="453C9A3E">
            <w:pPr>
              <w:autoSpaceDE w:val="0"/>
              <w:autoSpaceDN w:val="0"/>
              <w:adjustRightInd w:val="0"/>
              <w:snapToGrid w:val="0"/>
              <w:rPr>
                <w:rFonts w:cs="宋体" w:asciiTheme="minorEastAsia" w:hAnsiTheme="minorEastAsia"/>
                <w:color w:val="auto"/>
                <w:szCs w:val="21"/>
                <w:highlight w:val="none"/>
              </w:rPr>
            </w:pPr>
            <w:r>
              <w:rPr>
                <w:rFonts w:hint="eastAsia" w:cs="宋体" w:asciiTheme="minorEastAsia" w:hAnsiTheme="minorEastAsia"/>
                <w:color w:val="auto"/>
                <w:szCs w:val="21"/>
                <w:highlight w:val="none"/>
              </w:rPr>
              <w:t>（</w:t>
            </w:r>
            <w:r>
              <w:rPr>
                <w:rFonts w:cs="宋体" w:asciiTheme="minorEastAsia" w:hAnsiTheme="minorEastAsia"/>
                <w:color w:val="auto"/>
                <w:szCs w:val="21"/>
                <w:highlight w:val="none"/>
              </w:rPr>
              <w:t>2</w:t>
            </w:r>
            <w:r>
              <w:rPr>
                <w:rFonts w:hint="eastAsia" w:cs="宋体" w:asciiTheme="minorEastAsia" w:hAnsiTheme="minorEastAsia"/>
                <w:color w:val="auto"/>
                <w:szCs w:val="21"/>
                <w:highlight w:val="none"/>
              </w:rPr>
              <w:t>）按照采购人电解镍检验规程，</w:t>
            </w:r>
            <w:r>
              <w:rPr>
                <w:rFonts w:cs="宋体" w:asciiTheme="minorEastAsia" w:hAnsiTheme="minorEastAsia"/>
                <w:color w:val="auto"/>
                <w:szCs w:val="21"/>
                <w:highlight w:val="none"/>
              </w:rPr>
              <w:t>品牌确认、重量复称、抽样、检测、出具检测报告、验收合格、收料入库</w:t>
            </w:r>
            <w:r>
              <w:rPr>
                <w:rFonts w:hint="eastAsia" w:cs="宋体" w:asciiTheme="minorEastAsia" w:hAnsiTheme="minorEastAsia"/>
                <w:color w:val="auto"/>
                <w:szCs w:val="21"/>
                <w:highlight w:val="none"/>
              </w:rPr>
              <w:t>。以检测及使用后的情况进行最终判定。</w:t>
            </w:r>
          </w:p>
          <w:p w14:paraId="5B7A520B">
            <w:pPr>
              <w:pStyle w:val="7"/>
              <w:rPr>
                <w:rFonts w:cs="宋体" w:asciiTheme="minorEastAsia" w:hAnsiTheme="minorEastAsia"/>
                <w:color w:val="auto"/>
                <w:szCs w:val="21"/>
                <w:highlight w:val="none"/>
              </w:rPr>
            </w:pPr>
            <w:r>
              <w:rPr>
                <w:rFonts w:hint="eastAsia" w:cs="宋体" w:asciiTheme="minorEastAsia" w:hAnsiTheme="minorEastAsia"/>
                <w:color w:val="auto"/>
                <w:szCs w:val="21"/>
                <w:highlight w:val="none"/>
              </w:rPr>
              <w:t xml:space="preserve"> (3)</w:t>
            </w:r>
            <w:r>
              <w:rPr>
                <w:rFonts w:cs="仿宋_GB2312" w:asciiTheme="minorEastAsia" w:hAnsiTheme="minorEastAsia"/>
                <w:color w:val="auto"/>
                <w:kern w:val="0"/>
                <w:sz w:val="24"/>
                <w:highlight w:val="none"/>
              </w:rPr>
              <w:t xml:space="preserve"> </w:t>
            </w:r>
            <w:r>
              <w:rPr>
                <w:rFonts w:cs="宋体" w:asciiTheme="minorEastAsia" w:hAnsiTheme="minorEastAsia"/>
                <w:color w:val="auto"/>
                <w:szCs w:val="21"/>
                <w:highlight w:val="none"/>
              </w:rPr>
              <w:t>若首次抽样检测不合格，重新抽样检测；若重新抽样也不合格，则及时联系供方进行退换货处理；供方对需方验收有异议的可以派员与需方共同取样，交由双方认可的第三方检测机构检测，双方以该检测机构的结论为依据承担责任。</w:t>
            </w:r>
          </w:p>
          <w:p w14:paraId="27BB8DC6">
            <w:pPr>
              <w:autoSpaceDE w:val="0"/>
              <w:autoSpaceDN w:val="0"/>
              <w:adjustRightInd w:val="0"/>
              <w:snapToGrid w:val="0"/>
              <w:rPr>
                <w:rFonts w:cs="宋体" w:asciiTheme="minorEastAsia" w:hAnsiTheme="minorEastAsia"/>
                <w:color w:val="auto"/>
                <w:szCs w:val="21"/>
                <w:highlight w:val="none"/>
              </w:rPr>
            </w:pPr>
            <w:r>
              <w:rPr>
                <w:rFonts w:cs="宋体" w:asciiTheme="minorEastAsia" w:hAnsiTheme="minorEastAsia"/>
                <w:color w:val="auto"/>
                <w:szCs w:val="21"/>
                <w:highlight w:val="none"/>
              </w:rPr>
              <w:t>5.</w:t>
            </w:r>
            <w:r>
              <w:rPr>
                <w:rFonts w:hint="eastAsia" w:cs="宋体" w:asciiTheme="minorEastAsia" w:hAnsiTheme="minorEastAsia"/>
                <w:color w:val="auto"/>
                <w:szCs w:val="21"/>
                <w:highlight w:val="none"/>
              </w:rPr>
              <w:t>验收内容</w:t>
            </w:r>
          </w:p>
          <w:p w14:paraId="3B2E97DC">
            <w:pPr>
              <w:autoSpaceDE w:val="0"/>
              <w:autoSpaceDN w:val="0"/>
              <w:adjustRightInd w:val="0"/>
              <w:snapToGrid w:val="0"/>
              <w:rPr>
                <w:rFonts w:cs="宋体" w:asciiTheme="minorEastAsia" w:hAnsiTheme="minorEastAsia"/>
                <w:color w:val="auto"/>
                <w:szCs w:val="21"/>
                <w:highlight w:val="none"/>
              </w:rPr>
            </w:pPr>
            <w:r>
              <w:rPr>
                <w:rFonts w:hint="eastAsia" w:cs="宋体" w:asciiTheme="minorEastAsia" w:hAnsiTheme="minorEastAsia"/>
                <w:color w:val="auto"/>
                <w:szCs w:val="21"/>
                <w:highlight w:val="none"/>
              </w:rPr>
              <w:t>（</w:t>
            </w:r>
            <w:r>
              <w:rPr>
                <w:rFonts w:cs="宋体" w:asciiTheme="minorEastAsia" w:hAnsiTheme="minorEastAsia"/>
                <w:color w:val="auto"/>
                <w:szCs w:val="21"/>
                <w:highlight w:val="none"/>
              </w:rPr>
              <w:t>1</w:t>
            </w:r>
            <w:r>
              <w:rPr>
                <w:rFonts w:hint="eastAsia" w:cs="宋体" w:asciiTheme="minorEastAsia" w:hAnsiTheme="minorEastAsia"/>
                <w:color w:val="auto"/>
                <w:szCs w:val="21"/>
                <w:highlight w:val="none"/>
              </w:rPr>
              <w:t>）交货时间的及时性和交货地点的准确性。</w:t>
            </w:r>
          </w:p>
          <w:p w14:paraId="1BBB5ABB">
            <w:pPr>
              <w:autoSpaceDE w:val="0"/>
              <w:autoSpaceDN w:val="0"/>
              <w:adjustRightInd w:val="0"/>
              <w:snapToGrid w:val="0"/>
              <w:rPr>
                <w:rFonts w:cs="宋体" w:asciiTheme="minorEastAsia" w:hAnsiTheme="minorEastAsia"/>
                <w:color w:val="auto"/>
                <w:szCs w:val="21"/>
                <w:highlight w:val="none"/>
              </w:rPr>
            </w:pPr>
            <w:r>
              <w:rPr>
                <w:rFonts w:hint="eastAsia" w:cs="宋体" w:asciiTheme="minorEastAsia" w:hAnsiTheme="minorEastAsia"/>
                <w:color w:val="auto"/>
                <w:szCs w:val="21"/>
                <w:highlight w:val="none"/>
              </w:rPr>
              <w:t>（</w:t>
            </w:r>
            <w:r>
              <w:rPr>
                <w:rFonts w:cs="宋体" w:asciiTheme="minorEastAsia" w:hAnsiTheme="minorEastAsia"/>
                <w:color w:val="auto"/>
                <w:szCs w:val="21"/>
                <w:highlight w:val="none"/>
              </w:rPr>
              <w:t>2</w:t>
            </w:r>
            <w:r>
              <w:rPr>
                <w:rFonts w:hint="eastAsia" w:cs="宋体" w:asciiTheme="minorEastAsia" w:hAnsiTheme="minorEastAsia"/>
                <w:color w:val="auto"/>
                <w:szCs w:val="21"/>
                <w:highlight w:val="none"/>
              </w:rPr>
              <w:t>）交货名称、规格、数量、质保期。</w:t>
            </w:r>
          </w:p>
          <w:p w14:paraId="484A559C">
            <w:pPr>
              <w:autoSpaceDE w:val="0"/>
              <w:autoSpaceDN w:val="0"/>
              <w:adjustRightInd w:val="0"/>
              <w:snapToGrid w:val="0"/>
              <w:rPr>
                <w:rFonts w:cs="宋体" w:asciiTheme="minorEastAsia" w:hAnsiTheme="minorEastAsia"/>
                <w:color w:val="auto"/>
                <w:szCs w:val="21"/>
                <w:highlight w:val="none"/>
              </w:rPr>
            </w:pPr>
            <w:r>
              <w:rPr>
                <w:rFonts w:hint="eastAsia" w:cs="宋体" w:asciiTheme="minorEastAsia" w:hAnsiTheme="minorEastAsia"/>
                <w:color w:val="auto"/>
                <w:szCs w:val="21"/>
                <w:highlight w:val="none"/>
              </w:rPr>
              <w:t>（</w:t>
            </w:r>
            <w:r>
              <w:rPr>
                <w:rFonts w:cs="宋体" w:asciiTheme="minorEastAsia" w:hAnsiTheme="minorEastAsia"/>
                <w:color w:val="auto"/>
                <w:szCs w:val="21"/>
                <w:highlight w:val="none"/>
              </w:rPr>
              <w:t>3</w:t>
            </w:r>
            <w:r>
              <w:rPr>
                <w:rFonts w:hint="eastAsia" w:cs="宋体" w:asciiTheme="minorEastAsia" w:hAnsiTheme="minorEastAsia"/>
                <w:color w:val="auto"/>
                <w:szCs w:val="21"/>
                <w:highlight w:val="none"/>
              </w:rPr>
              <w:t>）包装符合要求，货物无损，标识内容完整。</w:t>
            </w:r>
          </w:p>
          <w:p w14:paraId="2542B834">
            <w:pPr>
              <w:autoSpaceDE w:val="0"/>
              <w:autoSpaceDN w:val="0"/>
              <w:adjustRightInd w:val="0"/>
              <w:snapToGrid w:val="0"/>
              <w:rPr>
                <w:rFonts w:cs="宋体" w:asciiTheme="minorEastAsia" w:hAnsiTheme="minorEastAsia"/>
                <w:color w:val="auto"/>
                <w:szCs w:val="21"/>
                <w:highlight w:val="none"/>
              </w:rPr>
            </w:pPr>
            <w:r>
              <w:rPr>
                <w:rFonts w:hint="eastAsia" w:cs="宋体" w:asciiTheme="minorEastAsia" w:hAnsiTheme="minorEastAsia"/>
                <w:color w:val="auto"/>
                <w:szCs w:val="21"/>
                <w:highlight w:val="none"/>
              </w:rPr>
              <w:t>（</w:t>
            </w:r>
            <w:r>
              <w:rPr>
                <w:rFonts w:cs="宋体" w:asciiTheme="minorEastAsia" w:hAnsiTheme="minorEastAsia"/>
                <w:color w:val="auto"/>
                <w:szCs w:val="21"/>
                <w:highlight w:val="none"/>
              </w:rPr>
              <w:t>4</w:t>
            </w:r>
            <w:r>
              <w:rPr>
                <w:rFonts w:hint="eastAsia" w:cs="宋体" w:asciiTheme="minorEastAsia" w:hAnsiTheme="minorEastAsia"/>
                <w:color w:val="auto"/>
                <w:szCs w:val="21"/>
                <w:highlight w:val="none"/>
              </w:rPr>
              <w:t>）厂家质检报告及合格证。</w:t>
            </w:r>
          </w:p>
          <w:p w14:paraId="20F0DEDA">
            <w:pPr>
              <w:autoSpaceDE w:val="0"/>
              <w:autoSpaceDN w:val="0"/>
              <w:adjustRightInd w:val="0"/>
              <w:snapToGrid w:val="0"/>
              <w:rPr>
                <w:rFonts w:cs="宋体" w:asciiTheme="minorEastAsia" w:hAnsiTheme="minorEastAsia"/>
                <w:color w:val="auto"/>
                <w:szCs w:val="21"/>
                <w:highlight w:val="none"/>
              </w:rPr>
            </w:pPr>
            <w:r>
              <w:rPr>
                <w:rFonts w:hint="eastAsia" w:cs="宋体" w:asciiTheme="minorEastAsia" w:hAnsiTheme="minorEastAsia"/>
                <w:color w:val="auto"/>
                <w:szCs w:val="21"/>
                <w:highlight w:val="none"/>
              </w:rPr>
              <w:t>（</w:t>
            </w:r>
            <w:r>
              <w:rPr>
                <w:rFonts w:cs="宋体" w:asciiTheme="minorEastAsia" w:hAnsiTheme="minorEastAsia"/>
                <w:color w:val="auto"/>
                <w:szCs w:val="21"/>
                <w:highlight w:val="none"/>
              </w:rPr>
              <w:t>5</w:t>
            </w:r>
            <w:r>
              <w:rPr>
                <w:rFonts w:hint="eastAsia" w:cs="宋体" w:asciiTheme="minorEastAsia" w:hAnsiTheme="minorEastAsia"/>
                <w:color w:val="auto"/>
                <w:szCs w:val="21"/>
                <w:highlight w:val="none"/>
              </w:rPr>
              <w:t>）理化指标检验报告。</w:t>
            </w:r>
          </w:p>
          <w:p w14:paraId="01EEE1BA">
            <w:pPr>
              <w:autoSpaceDE w:val="0"/>
              <w:autoSpaceDN w:val="0"/>
              <w:adjustRightInd w:val="0"/>
              <w:snapToGrid w:val="0"/>
              <w:rPr>
                <w:rFonts w:cs="宋体" w:asciiTheme="minorEastAsia" w:hAnsiTheme="minorEastAsia"/>
                <w:color w:val="auto"/>
                <w:szCs w:val="21"/>
                <w:highlight w:val="none"/>
              </w:rPr>
            </w:pPr>
            <w:r>
              <w:rPr>
                <w:rFonts w:hint="eastAsia" w:cs="宋体" w:asciiTheme="minorEastAsia" w:hAnsiTheme="minorEastAsia"/>
                <w:color w:val="auto"/>
                <w:szCs w:val="21"/>
                <w:highlight w:val="none"/>
              </w:rPr>
              <w:t>（</w:t>
            </w:r>
            <w:r>
              <w:rPr>
                <w:rFonts w:cs="宋体" w:asciiTheme="minorEastAsia" w:hAnsiTheme="minorEastAsia"/>
                <w:color w:val="auto"/>
                <w:szCs w:val="21"/>
                <w:highlight w:val="none"/>
              </w:rPr>
              <w:t>6</w:t>
            </w:r>
            <w:r>
              <w:rPr>
                <w:rFonts w:hint="eastAsia" w:cs="宋体" w:asciiTheme="minorEastAsia" w:hAnsiTheme="minorEastAsia"/>
                <w:color w:val="auto"/>
                <w:szCs w:val="21"/>
                <w:highlight w:val="none"/>
              </w:rPr>
              <w:t>）使用效果验收。</w:t>
            </w:r>
          </w:p>
        </w:tc>
        <w:tc>
          <w:tcPr>
            <w:tcW w:w="1373" w:type="dxa"/>
            <w:vAlign w:val="center"/>
          </w:tcPr>
          <w:p w14:paraId="2CFDB36E">
            <w:pPr>
              <w:jc w:val="center"/>
              <w:rPr>
                <w:rFonts w:ascii="仿宋" w:hAnsi="仿宋" w:eastAsia="仿宋" w:cs="Times New Roman"/>
                <w:color w:val="auto"/>
                <w:sz w:val="28"/>
                <w:szCs w:val="28"/>
                <w:highlight w:val="none"/>
              </w:rPr>
            </w:pPr>
            <w:r>
              <w:rPr>
                <w:rFonts w:hint="eastAsia" w:cs="仿宋" w:asciiTheme="minorEastAsia" w:hAnsiTheme="minorEastAsia"/>
                <w:color w:val="auto"/>
                <w:szCs w:val="21"/>
                <w:highlight w:val="none"/>
              </w:rPr>
              <w:t>否</w:t>
            </w:r>
          </w:p>
        </w:tc>
      </w:tr>
      <w:tr w14:paraId="2645E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7" w:hRule="atLeast"/>
        </w:trPr>
        <w:tc>
          <w:tcPr>
            <w:tcW w:w="846" w:type="dxa"/>
            <w:vAlign w:val="center"/>
          </w:tcPr>
          <w:p w14:paraId="2F33469A">
            <w:pPr>
              <w:widowControl/>
              <w:jc w:val="center"/>
              <w:textAlignment w:val="center"/>
              <w:rPr>
                <w:rFonts w:ascii="仿宋" w:hAnsi="仿宋" w:eastAsia="仿宋" w:cs="宋体"/>
                <w:color w:val="auto"/>
                <w:kern w:val="0"/>
                <w:sz w:val="28"/>
                <w:szCs w:val="28"/>
                <w:highlight w:val="none"/>
              </w:rPr>
            </w:pPr>
            <w:r>
              <w:rPr>
                <w:rFonts w:ascii="仿宋" w:hAnsi="仿宋" w:eastAsia="仿宋" w:cs="宋体"/>
                <w:color w:val="auto"/>
                <w:kern w:val="0"/>
                <w:sz w:val="28"/>
                <w:szCs w:val="28"/>
                <w:highlight w:val="none"/>
              </w:rPr>
              <w:t>4</w:t>
            </w:r>
          </w:p>
        </w:tc>
        <w:tc>
          <w:tcPr>
            <w:tcW w:w="1181" w:type="dxa"/>
            <w:vAlign w:val="center"/>
          </w:tcPr>
          <w:p w14:paraId="58C72A4B">
            <w:pPr>
              <w:rPr>
                <w:rFonts w:ascii="仿宋" w:hAnsi="仿宋" w:eastAsia="仿宋" w:cs="Times New Roman"/>
                <w:color w:val="auto"/>
                <w:sz w:val="28"/>
                <w:szCs w:val="28"/>
                <w:highlight w:val="none"/>
              </w:rPr>
            </w:pPr>
            <w:r>
              <w:rPr>
                <w:rFonts w:hint="eastAsia" w:ascii="仿宋_GB2312" w:hAnsi="宋体" w:eastAsia="仿宋_GB2312" w:cs="仿宋_GB2312"/>
                <w:snapToGrid w:val="0"/>
                <w:color w:val="auto"/>
                <w:kern w:val="0"/>
                <w:sz w:val="24"/>
                <w:highlight w:val="none"/>
                <w:lang w:val="zh-CN"/>
              </w:rPr>
              <w:t>★</w:t>
            </w:r>
          </w:p>
        </w:tc>
        <w:tc>
          <w:tcPr>
            <w:tcW w:w="1559" w:type="dxa"/>
            <w:vAlign w:val="center"/>
          </w:tcPr>
          <w:p w14:paraId="3955CDE9">
            <w:pPr>
              <w:rPr>
                <w:rFonts w:ascii="仿宋" w:hAnsi="仿宋" w:eastAsia="仿宋" w:cs="Times New Roman"/>
                <w:color w:val="auto"/>
                <w:sz w:val="28"/>
                <w:szCs w:val="28"/>
                <w:highlight w:val="none"/>
              </w:rPr>
            </w:pPr>
            <w:r>
              <w:rPr>
                <w:rFonts w:hint="eastAsia" w:cs="宋体" w:asciiTheme="minorEastAsia" w:hAnsiTheme="minorEastAsia"/>
                <w:snapToGrid w:val="0"/>
                <w:color w:val="auto"/>
                <w:kern w:val="0"/>
                <w:szCs w:val="21"/>
                <w:highlight w:val="none"/>
                <w:lang w:val="zh-CN"/>
              </w:rPr>
              <w:t>电解镍包装和运输</w:t>
            </w:r>
          </w:p>
        </w:tc>
        <w:tc>
          <w:tcPr>
            <w:tcW w:w="3825" w:type="dxa"/>
            <w:vAlign w:val="center"/>
          </w:tcPr>
          <w:p w14:paraId="1E17F94D">
            <w:pPr>
              <w:autoSpaceDE w:val="0"/>
              <w:autoSpaceDN w:val="0"/>
              <w:adjustRightInd w:val="0"/>
              <w:snapToGrid w:val="0"/>
              <w:rPr>
                <w:rFonts w:cs="宋体" w:asciiTheme="minorEastAsia" w:hAnsiTheme="minorEastAsia"/>
                <w:color w:val="auto"/>
                <w:szCs w:val="21"/>
                <w:highlight w:val="none"/>
              </w:rPr>
            </w:pPr>
            <w:r>
              <w:rPr>
                <w:rFonts w:hint="eastAsia" w:cs="宋体" w:asciiTheme="minorEastAsia" w:hAnsiTheme="minorEastAsia"/>
                <w:color w:val="auto"/>
                <w:szCs w:val="21"/>
                <w:highlight w:val="none"/>
              </w:rPr>
              <w:t>1.包装：</w:t>
            </w:r>
          </w:p>
          <w:p w14:paraId="77851ACC">
            <w:pPr>
              <w:autoSpaceDE w:val="0"/>
              <w:autoSpaceDN w:val="0"/>
              <w:adjustRightInd w:val="0"/>
              <w:snapToGrid w:val="0"/>
              <w:rPr>
                <w:rFonts w:cs="宋体" w:asciiTheme="minorEastAsia" w:hAnsiTheme="minorEastAsia"/>
                <w:color w:val="auto"/>
                <w:szCs w:val="21"/>
                <w:highlight w:val="none"/>
              </w:rPr>
            </w:pPr>
            <w:r>
              <w:rPr>
                <w:rFonts w:hint="eastAsia" w:cs="宋体" w:asciiTheme="minorEastAsia" w:hAnsiTheme="minorEastAsia"/>
                <w:color w:val="auto"/>
                <w:szCs w:val="21"/>
                <w:highlight w:val="none"/>
              </w:rPr>
              <w:t>（1）中标人所供镍板需进行托架包装，托架应至少有一面便于堆垛车进行叉运。货物总高高度不得超过</w:t>
            </w:r>
            <w:r>
              <w:rPr>
                <w:rFonts w:cs="宋体" w:asciiTheme="minorEastAsia" w:hAnsiTheme="minorEastAsia"/>
                <w:color w:val="auto"/>
                <w:szCs w:val="21"/>
                <w:highlight w:val="none"/>
              </w:rPr>
              <w:t>1.5</w:t>
            </w:r>
            <w:r>
              <w:rPr>
                <w:rFonts w:hint="eastAsia" w:cs="宋体" w:asciiTheme="minorEastAsia" w:hAnsiTheme="minorEastAsia"/>
                <w:color w:val="auto"/>
                <w:szCs w:val="21"/>
                <w:highlight w:val="none"/>
              </w:rPr>
              <w:t>米，托盘尺寸不得超过</w:t>
            </w:r>
            <w:r>
              <w:rPr>
                <w:rFonts w:cs="宋体" w:asciiTheme="minorEastAsia" w:hAnsiTheme="minorEastAsia"/>
                <w:color w:val="auto"/>
                <w:szCs w:val="21"/>
                <w:highlight w:val="none"/>
              </w:rPr>
              <w:t>1.2m</w:t>
            </w:r>
            <w:r>
              <w:rPr>
                <w:rFonts w:hint="eastAsia" w:cs="宋体" w:asciiTheme="minorEastAsia" w:hAnsiTheme="minorEastAsia"/>
                <w:color w:val="auto"/>
                <w:szCs w:val="21"/>
                <w:highlight w:val="none"/>
              </w:rPr>
              <w:t>×</w:t>
            </w:r>
            <w:r>
              <w:rPr>
                <w:rFonts w:cs="宋体" w:asciiTheme="minorEastAsia" w:hAnsiTheme="minorEastAsia"/>
                <w:color w:val="auto"/>
                <w:szCs w:val="21"/>
                <w:highlight w:val="none"/>
              </w:rPr>
              <w:t>1.2m</w:t>
            </w:r>
            <w:r>
              <w:rPr>
                <w:rFonts w:hint="eastAsia" w:cs="宋体" w:asciiTheme="minorEastAsia" w:hAnsiTheme="minorEastAsia"/>
                <w:color w:val="auto"/>
                <w:szCs w:val="21"/>
                <w:highlight w:val="none"/>
              </w:rPr>
              <w:t>，每拖架镍板净重不大于</w:t>
            </w:r>
            <w:r>
              <w:rPr>
                <w:rFonts w:cs="宋体" w:asciiTheme="minorEastAsia" w:hAnsiTheme="minorEastAsia"/>
                <w:color w:val="auto"/>
                <w:szCs w:val="21"/>
                <w:highlight w:val="none"/>
              </w:rPr>
              <w:t>2000KG</w:t>
            </w:r>
            <w:r>
              <w:rPr>
                <w:rFonts w:hint="eastAsia" w:cs="宋体" w:asciiTheme="minorEastAsia" w:hAnsiTheme="minorEastAsia"/>
                <w:color w:val="auto"/>
                <w:szCs w:val="21"/>
                <w:highlight w:val="none"/>
              </w:rPr>
              <w:t>并须用铁皮打包牢固，托架应牢固不易破损；</w:t>
            </w:r>
          </w:p>
          <w:p w14:paraId="2DA51A4D">
            <w:pPr>
              <w:autoSpaceDE w:val="0"/>
              <w:autoSpaceDN w:val="0"/>
              <w:adjustRightInd w:val="0"/>
              <w:snapToGrid w:val="0"/>
              <w:rPr>
                <w:rFonts w:cs="宋体" w:asciiTheme="minorEastAsia" w:hAnsiTheme="minorEastAsia"/>
                <w:color w:val="auto"/>
                <w:szCs w:val="21"/>
                <w:highlight w:val="none"/>
              </w:rPr>
            </w:pPr>
            <w:r>
              <w:rPr>
                <w:rFonts w:hint="eastAsia" w:cs="宋体" w:asciiTheme="minorEastAsia" w:hAnsiTheme="minorEastAsia"/>
                <w:color w:val="auto"/>
                <w:szCs w:val="21"/>
                <w:highlight w:val="none"/>
              </w:rPr>
              <w:t>（2）中标人应在每托架镍板的表面粘贴相关信息标识，信息应包括产品名称及牌号、产品批号、产品物理规格、净重、生产日期、生产商名称等。</w:t>
            </w:r>
          </w:p>
          <w:p w14:paraId="5BF803EB">
            <w:pPr>
              <w:autoSpaceDE w:val="0"/>
              <w:autoSpaceDN w:val="0"/>
              <w:adjustRightInd w:val="0"/>
              <w:snapToGrid w:val="0"/>
              <w:rPr>
                <w:rFonts w:cs="宋体" w:asciiTheme="minorEastAsia" w:hAnsiTheme="minorEastAsia"/>
                <w:color w:val="auto"/>
                <w:szCs w:val="21"/>
                <w:highlight w:val="none"/>
              </w:rPr>
            </w:pPr>
            <w:r>
              <w:rPr>
                <w:rFonts w:hint="eastAsia" w:cs="宋体" w:asciiTheme="minorEastAsia" w:hAnsiTheme="minorEastAsia"/>
                <w:color w:val="auto"/>
                <w:szCs w:val="21"/>
                <w:highlight w:val="none"/>
              </w:rPr>
              <w:t>2.运输：</w:t>
            </w:r>
          </w:p>
          <w:p w14:paraId="189C7D24">
            <w:pPr>
              <w:rPr>
                <w:rFonts w:ascii="仿宋" w:hAnsi="仿宋" w:eastAsia="仿宋" w:cs="Times New Roman"/>
                <w:color w:val="auto"/>
                <w:sz w:val="28"/>
                <w:szCs w:val="28"/>
                <w:highlight w:val="none"/>
              </w:rPr>
            </w:pPr>
            <w:r>
              <w:rPr>
                <w:rFonts w:hint="eastAsia" w:cs="宋体" w:asciiTheme="minorEastAsia" w:hAnsiTheme="minorEastAsia"/>
                <w:color w:val="auto"/>
                <w:szCs w:val="21"/>
                <w:highlight w:val="none"/>
              </w:rPr>
              <w:t>中标人按实际需求分批次供货。货物运输（包括装卸）、托架及包装由中标人负责，费用由中标人承担（运输方式原则上为公路运输，如遇特殊情况，经采购人认可后，可采用其他运输方式）。货物在运输中出现损毁、丢失等风险由中标人承担。</w:t>
            </w:r>
          </w:p>
        </w:tc>
        <w:tc>
          <w:tcPr>
            <w:tcW w:w="1373" w:type="dxa"/>
            <w:vAlign w:val="center"/>
          </w:tcPr>
          <w:p w14:paraId="500459D8">
            <w:pPr>
              <w:jc w:val="center"/>
              <w:rPr>
                <w:rFonts w:ascii="仿宋" w:hAnsi="仿宋" w:eastAsia="仿宋" w:cs="Times New Roman"/>
                <w:color w:val="auto"/>
                <w:sz w:val="28"/>
                <w:szCs w:val="28"/>
                <w:highlight w:val="none"/>
              </w:rPr>
            </w:pPr>
            <w:r>
              <w:rPr>
                <w:rFonts w:hint="eastAsia" w:cs="仿宋" w:asciiTheme="minorEastAsia" w:hAnsiTheme="minorEastAsia"/>
                <w:color w:val="auto"/>
                <w:szCs w:val="21"/>
                <w:highlight w:val="none"/>
              </w:rPr>
              <w:t>否</w:t>
            </w:r>
          </w:p>
        </w:tc>
      </w:tr>
      <w:tr w14:paraId="0FE6A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trPr>
        <w:tc>
          <w:tcPr>
            <w:tcW w:w="846" w:type="dxa"/>
            <w:vAlign w:val="center"/>
          </w:tcPr>
          <w:p w14:paraId="6506B2BB">
            <w:pPr>
              <w:widowControl/>
              <w:jc w:val="center"/>
              <w:textAlignment w:val="center"/>
              <w:rPr>
                <w:rFonts w:ascii="仿宋" w:hAnsi="仿宋" w:eastAsia="仿宋" w:cs="宋体"/>
                <w:color w:val="auto"/>
                <w:kern w:val="0"/>
                <w:sz w:val="28"/>
                <w:szCs w:val="28"/>
                <w:highlight w:val="none"/>
              </w:rPr>
            </w:pPr>
            <w:r>
              <w:rPr>
                <w:rFonts w:hint="eastAsia" w:ascii="仿宋_GB2312" w:hAnsi="宋体" w:eastAsia="仿宋_GB2312" w:cs="宋体"/>
                <w:snapToGrid w:val="0"/>
                <w:color w:val="auto"/>
                <w:kern w:val="0"/>
                <w:sz w:val="24"/>
                <w:highlight w:val="none"/>
                <w:lang w:val="zh-CN"/>
              </w:rPr>
              <w:t>5</w:t>
            </w:r>
          </w:p>
        </w:tc>
        <w:tc>
          <w:tcPr>
            <w:tcW w:w="1181" w:type="dxa"/>
            <w:vAlign w:val="center"/>
          </w:tcPr>
          <w:p w14:paraId="3D8C6DA9">
            <w:pPr>
              <w:rPr>
                <w:rFonts w:ascii="仿宋_GB2312" w:hAnsi="宋体" w:eastAsia="仿宋_GB2312" w:cs="仿宋_GB2312"/>
                <w:snapToGrid w:val="0"/>
                <w:color w:val="auto"/>
                <w:kern w:val="0"/>
                <w:sz w:val="24"/>
                <w:highlight w:val="none"/>
                <w:lang w:val="zh-CN"/>
              </w:rPr>
            </w:pPr>
            <w:r>
              <w:rPr>
                <w:rFonts w:hint="eastAsia" w:ascii="仿宋_GB2312" w:hAnsi="宋体" w:eastAsia="仿宋_GB2312" w:cs="仿宋_GB2312"/>
                <w:snapToGrid w:val="0"/>
                <w:color w:val="auto"/>
                <w:kern w:val="0"/>
                <w:sz w:val="24"/>
                <w:highlight w:val="none"/>
                <w:lang w:val="zh-CN"/>
              </w:rPr>
              <w:t>★</w:t>
            </w:r>
          </w:p>
        </w:tc>
        <w:tc>
          <w:tcPr>
            <w:tcW w:w="1559" w:type="dxa"/>
            <w:vAlign w:val="center"/>
          </w:tcPr>
          <w:p w14:paraId="566B3C6E">
            <w:pPr>
              <w:widowControl/>
              <w:autoSpaceDE w:val="0"/>
              <w:autoSpaceDN w:val="0"/>
              <w:adjustRightInd w:val="0"/>
              <w:snapToGrid w:val="0"/>
              <w:jc w:val="center"/>
              <w:rPr>
                <w:rFonts w:cs="宋体" w:asciiTheme="minorEastAsia" w:hAnsiTheme="minorEastAsia"/>
                <w:snapToGrid w:val="0"/>
                <w:color w:val="auto"/>
                <w:kern w:val="0"/>
                <w:szCs w:val="21"/>
                <w:highlight w:val="none"/>
                <w:lang w:val="zh-CN"/>
              </w:rPr>
            </w:pPr>
            <w:r>
              <w:rPr>
                <w:rFonts w:hint="eastAsia" w:cs="宋体" w:asciiTheme="minorEastAsia" w:hAnsiTheme="minorEastAsia"/>
                <w:snapToGrid w:val="0"/>
                <w:color w:val="auto"/>
                <w:kern w:val="0"/>
                <w:szCs w:val="21"/>
                <w:highlight w:val="none"/>
                <w:lang w:val="zh-CN"/>
              </w:rPr>
              <w:t>电解镍服务标准</w:t>
            </w:r>
            <w:r>
              <w:rPr>
                <w:rFonts w:cs="宋体" w:asciiTheme="minorEastAsia" w:hAnsiTheme="minorEastAsia"/>
                <w:snapToGrid w:val="0"/>
                <w:color w:val="auto"/>
                <w:kern w:val="0"/>
                <w:szCs w:val="21"/>
                <w:highlight w:val="none"/>
                <w:lang w:val="zh-CN"/>
              </w:rPr>
              <w:t>/</w:t>
            </w:r>
            <w:r>
              <w:rPr>
                <w:rFonts w:hint="eastAsia" w:cs="宋体" w:asciiTheme="minorEastAsia" w:hAnsiTheme="minorEastAsia"/>
                <w:snapToGrid w:val="0"/>
                <w:color w:val="auto"/>
                <w:kern w:val="0"/>
                <w:szCs w:val="21"/>
                <w:highlight w:val="none"/>
                <w:lang w:val="zh-CN"/>
              </w:rPr>
              <w:t>售后服务要求</w:t>
            </w:r>
          </w:p>
        </w:tc>
        <w:tc>
          <w:tcPr>
            <w:tcW w:w="3825" w:type="dxa"/>
            <w:vAlign w:val="center"/>
          </w:tcPr>
          <w:p w14:paraId="25AB9935">
            <w:pPr>
              <w:autoSpaceDE w:val="0"/>
              <w:autoSpaceDN w:val="0"/>
              <w:adjustRightInd w:val="0"/>
              <w:snapToGrid w:val="0"/>
              <w:rPr>
                <w:rFonts w:cs="宋体" w:asciiTheme="minorEastAsia" w:hAnsiTheme="minorEastAsia"/>
                <w:color w:val="auto"/>
                <w:szCs w:val="21"/>
                <w:highlight w:val="none"/>
              </w:rPr>
            </w:pPr>
            <w:r>
              <w:rPr>
                <w:rFonts w:hint="eastAsia" w:cs="宋体" w:asciiTheme="minorEastAsia" w:hAnsiTheme="minorEastAsia"/>
                <w:snapToGrid w:val="0"/>
                <w:color w:val="auto"/>
                <w:kern w:val="0"/>
                <w:szCs w:val="21"/>
                <w:highlight w:val="none"/>
                <w:lang w:val="zh-CN"/>
              </w:rPr>
              <w:t>在质量保证期</w:t>
            </w:r>
            <w:r>
              <w:rPr>
                <w:rFonts w:hint="eastAsia" w:cs="宋体" w:asciiTheme="minorEastAsia" w:hAnsiTheme="minorEastAsia"/>
                <w:color w:val="auto"/>
                <w:szCs w:val="21"/>
                <w:highlight w:val="none"/>
              </w:rPr>
              <w:t>内，如货物在使用过程中如出现质量问题或者不能达到</w:t>
            </w:r>
            <w:r>
              <w:rPr>
                <w:rFonts w:hint="eastAsia" w:cs="宋体" w:asciiTheme="minorEastAsia" w:hAnsiTheme="minorEastAsia"/>
                <w:snapToGrid w:val="0"/>
                <w:color w:val="auto"/>
                <w:kern w:val="0"/>
                <w:szCs w:val="21"/>
                <w:highlight w:val="none"/>
                <w:lang w:val="zh-CN"/>
              </w:rPr>
              <w:t>使用要求，中标人应及时免费到需求方指定地点更换，一切费用由供应商承担。在质量保证期内，</w:t>
            </w:r>
            <w:r>
              <w:rPr>
                <w:rFonts w:cs="宋体" w:asciiTheme="minorEastAsia" w:hAnsiTheme="minorEastAsia"/>
                <w:snapToGrid w:val="0"/>
                <w:color w:val="auto"/>
                <w:kern w:val="0"/>
                <w:szCs w:val="21"/>
                <w:highlight w:val="none"/>
                <w:lang w:val="zh-CN"/>
              </w:rPr>
              <w:t>2</w:t>
            </w:r>
            <w:r>
              <w:rPr>
                <w:rFonts w:hint="eastAsia" w:cs="宋体" w:asciiTheme="minorEastAsia" w:hAnsiTheme="minorEastAsia"/>
                <w:snapToGrid w:val="0"/>
                <w:color w:val="auto"/>
                <w:kern w:val="0"/>
                <w:szCs w:val="21"/>
                <w:highlight w:val="none"/>
                <w:lang w:val="zh-CN"/>
              </w:rPr>
              <w:t>小时内电话响应，</w:t>
            </w:r>
            <w:r>
              <w:rPr>
                <w:rFonts w:cs="宋体" w:asciiTheme="minorEastAsia" w:hAnsiTheme="minorEastAsia"/>
                <w:snapToGrid w:val="0"/>
                <w:color w:val="auto"/>
                <w:kern w:val="0"/>
                <w:szCs w:val="21"/>
                <w:highlight w:val="none"/>
                <w:lang w:val="zh-CN"/>
              </w:rPr>
              <w:t>48</w:t>
            </w:r>
            <w:r>
              <w:rPr>
                <w:rFonts w:hint="eastAsia" w:cs="宋体" w:asciiTheme="minorEastAsia" w:hAnsiTheme="minorEastAsia"/>
                <w:snapToGrid w:val="0"/>
                <w:color w:val="auto"/>
                <w:kern w:val="0"/>
                <w:szCs w:val="21"/>
                <w:highlight w:val="none"/>
                <w:lang w:val="zh-CN"/>
              </w:rPr>
              <w:t>小时内上门服务。</w:t>
            </w:r>
          </w:p>
        </w:tc>
        <w:tc>
          <w:tcPr>
            <w:tcW w:w="1373" w:type="dxa"/>
            <w:vAlign w:val="center"/>
          </w:tcPr>
          <w:p w14:paraId="2B74341C">
            <w:pPr>
              <w:jc w:val="center"/>
              <w:rPr>
                <w:rFonts w:cs="仿宋" w:asciiTheme="minorEastAsia" w:hAnsiTheme="minorEastAsia"/>
                <w:color w:val="auto"/>
                <w:szCs w:val="21"/>
                <w:highlight w:val="none"/>
              </w:rPr>
            </w:pPr>
            <w:r>
              <w:rPr>
                <w:rFonts w:hint="eastAsia" w:cs="仿宋" w:asciiTheme="minorEastAsia" w:hAnsiTheme="minorEastAsia"/>
                <w:color w:val="auto"/>
                <w:szCs w:val="21"/>
                <w:highlight w:val="none"/>
              </w:rPr>
              <w:t>否</w:t>
            </w:r>
          </w:p>
        </w:tc>
      </w:tr>
      <w:tr w14:paraId="783D1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6" w:hRule="atLeast"/>
        </w:trPr>
        <w:tc>
          <w:tcPr>
            <w:tcW w:w="846" w:type="dxa"/>
            <w:vAlign w:val="center"/>
          </w:tcPr>
          <w:p w14:paraId="55E5647B">
            <w:pPr>
              <w:widowControl/>
              <w:jc w:val="center"/>
              <w:textAlignment w:val="center"/>
              <w:rPr>
                <w:rFonts w:ascii="仿宋_GB2312" w:hAnsi="宋体" w:eastAsia="仿宋_GB2312" w:cs="宋体"/>
                <w:snapToGrid w:val="0"/>
                <w:color w:val="auto"/>
                <w:kern w:val="0"/>
                <w:sz w:val="24"/>
                <w:highlight w:val="none"/>
                <w:lang w:val="zh-CN"/>
              </w:rPr>
            </w:pPr>
            <w:r>
              <w:rPr>
                <w:rFonts w:hint="eastAsia" w:ascii="仿宋_GB2312" w:hAnsi="宋体" w:eastAsia="仿宋_GB2312" w:cs="宋体"/>
                <w:snapToGrid w:val="0"/>
                <w:color w:val="auto"/>
                <w:kern w:val="0"/>
                <w:sz w:val="24"/>
                <w:highlight w:val="none"/>
                <w:lang w:val="zh-CN"/>
              </w:rPr>
              <w:t>6</w:t>
            </w:r>
          </w:p>
        </w:tc>
        <w:tc>
          <w:tcPr>
            <w:tcW w:w="1181" w:type="dxa"/>
            <w:vAlign w:val="center"/>
          </w:tcPr>
          <w:p w14:paraId="774ACD2C">
            <w:pPr>
              <w:rPr>
                <w:rFonts w:ascii="仿宋_GB2312" w:hAnsi="宋体" w:eastAsia="仿宋_GB2312" w:cs="仿宋_GB2312"/>
                <w:snapToGrid w:val="0"/>
                <w:color w:val="auto"/>
                <w:kern w:val="0"/>
                <w:sz w:val="24"/>
                <w:highlight w:val="none"/>
                <w:lang w:val="zh-CN"/>
              </w:rPr>
            </w:pPr>
            <w:r>
              <w:rPr>
                <w:rFonts w:hint="eastAsia" w:ascii="仿宋_GB2312" w:hAnsi="宋体" w:eastAsia="仿宋_GB2312" w:cs="仿宋_GB2312"/>
                <w:snapToGrid w:val="0"/>
                <w:color w:val="auto"/>
                <w:kern w:val="0"/>
                <w:sz w:val="24"/>
                <w:highlight w:val="none"/>
                <w:lang w:val="zh-CN"/>
              </w:rPr>
              <w:t>★</w:t>
            </w:r>
          </w:p>
        </w:tc>
        <w:tc>
          <w:tcPr>
            <w:tcW w:w="1559" w:type="dxa"/>
            <w:vAlign w:val="center"/>
          </w:tcPr>
          <w:p w14:paraId="6A6E4458">
            <w:pPr>
              <w:widowControl/>
              <w:autoSpaceDE w:val="0"/>
              <w:autoSpaceDN w:val="0"/>
              <w:adjustRightInd w:val="0"/>
              <w:snapToGrid w:val="0"/>
              <w:jc w:val="center"/>
              <w:rPr>
                <w:rFonts w:cs="宋体" w:asciiTheme="minorEastAsia" w:hAnsiTheme="minorEastAsia"/>
                <w:snapToGrid w:val="0"/>
                <w:color w:val="auto"/>
                <w:kern w:val="0"/>
                <w:szCs w:val="21"/>
                <w:highlight w:val="none"/>
                <w:lang w:val="zh-CN"/>
              </w:rPr>
            </w:pPr>
            <w:r>
              <w:rPr>
                <w:rFonts w:hint="eastAsia" w:cs="宋体" w:asciiTheme="minorEastAsia" w:hAnsiTheme="minorEastAsia"/>
                <w:snapToGrid w:val="0"/>
                <w:color w:val="auto"/>
                <w:kern w:val="0"/>
                <w:szCs w:val="21"/>
                <w:highlight w:val="none"/>
                <w:lang w:val="zh-CN"/>
              </w:rPr>
              <w:t>电解镍验收标准</w:t>
            </w:r>
          </w:p>
        </w:tc>
        <w:tc>
          <w:tcPr>
            <w:tcW w:w="3825" w:type="dxa"/>
            <w:vAlign w:val="center"/>
          </w:tcPr>
          <w:p w14:paraId="12C664E5">
            <w:pPr>
              <w:autoSpaceDE w:val="0"/>
              <w:autoSpaceDN w:val="0"/>
              <w:adjustRightInd w:val="0"/>
              <w:snapToGrid w:val="0"/>
              <w:rPr>
                <w:rFonts w:cs="宋体" w:asciiTheme="minorEastAsia" w:hAnsiTheme="minorEastAsia"/>
                <w:snapToGrid w:val="0"/>
                <w:color w:val="auto"/>
                <w:kern w:val="0"/>
                <w:szCs w:val="21"/>
                <w:highlight w:val="none"/>
                <w:lang w:val="zh-CN"/>
              </w:rPr>
            </w:pPr>
            <w:r>
              <w:rPr>
                <w:rFonts w:hint="eastAsia" w:cs="宋体" w:asciiTheme="minorEastAsia" w:hAnsiTheme="minorEastAsia"/>
                <w:snapToGrid w:val="0"/>
                <w:color w:val="auto"/>
                <w:kern w:val="0"/>
                <w:szCs w:val="21"/>
                <w:highlight w:val="none"/>
                <w:lang w:val="zh-CN"/>
              </w:rPr>
              <w:t>中标人必须提供合格证及质量检验报告，采购人依据合同要求、技术要求及进厂验收条件进行验收，合格后方可收货。</w:t>
            </w:r>
          </w:p>
        </w:tc>
        <w:tc>
          <w:tcPr>
            <w:tcW w:w="1373" w:type="dxa"/>
            <w:vAlign w:val="center"/>
          </w:tcPr>
          <w:p w14:paraId="788833FD">
            <w:pPr>
              <w:jc w:val="center"/>
              <w:rPr>
                <w:rFonts w:cs="仿宋" w:asciiTheme="minorEastAsia" w:hAnsiTheme="minorEastAsia"/>
                <w:color w:val="auto"/>
                <w:szCs w:val="21"/>
                <w:highlight w:val="none"/>
              </w:rPr>
            </w:pPr>
            <w:r>
              <w:rPr>
                <w:rFonts w:hint="eastAsia" w:cs="仿宋" w:asciiTheme="minorEastAsia" w:hAnsiTheme="minorEastAsia"/>
                <w:color w:val="auto"/>
                <w:szCs w:val="21"/>
                <w:highlight w:val="none"/>
              </w:rPr>
              <w:t>否</w:t>
            </w:r>
          </w:p>
        </w:tc>
      </w:tr>
      <w:tr w14:paraId="41626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trPr>
        <w:tc>
          <w:tcPr>
            <w:tcW w:w="846" w:type="dxa"/>
            <w:vAlign w:val="center"/>
          </w:tcPr>
          <w:p w14:paraId="1EC6886E">
            <w:pPr>
              <w:widowControl/>
              <w:jc w:val="center"/>
              <w:textAlignment w:val="center"/>
              <w:rPr>
                <w:rFonts w:ascii="仿宋_GB2312" w:hAnsi="宋体" w:eastAsia="仿宋_GB2312" w:cs="宋体"/>
                <w:snapToGrid w:val="0"/>
                <w:color w:val="auto"/>
                <w:kern w:val="0"/>
                <w:sz w:val="24"/>
                <w:highlight w:val="none"/>
                <w:lang w:val="zh-CN"/>
              </w:rPr>
            </w:pPr>
            <w:r>
              <w:rPr>
                <w:rFonts w:hint="eastAsia" w:ascii="仿宋_GB2312" w:hAnsi="宋体" w:eastAsia="仿宋_GB2312" w:cs="宋体"/>
                <w:snapToGrid w:val="0"/>
                <w:color w:val="auto"/>
                <w:kern w:val="0"/>
                <w:sz w:val="24"/>
                <w:highlight w:val="none"/>
                <w:lang w:val="zh-CN"/>
              </w:rPr>
              <w:t>7</w:t>
            </w:r>
          </w:p>
        </w:tc>
        <w:tc>
          <w:tcPr>
            <w:tcW w:w="1181" w:type="dxa"/>
            <w:vAlign w:val="center"/>
          </w:tcPr>
          <w:p w14:paraId="402CF132">
            <w:pPr>
              <w:rPr>
                <w:rFonts w:ascii="仿宋_GB2312" w:hAnsi="宋体" w:eastAsia="仿宋_GB2312" w:cs="仿宋_GB2312"/>
                <w:snapToGrid w:val="0"/>
                <w:color w:val="auto"/>
                <w:kern w:val="0"/>
                <w:sz w:val="24"/>
                <w:highlight w:val="none"/>
                <w:lang w:val="zh-CN"/>
              </w:rPr>
            </w:pPr>
            <w:r>
              <w:rPr>
                <w:rFonts w:hint="eastAsia" w:ascii="仿宋_GB2312" w:hAnsi="宋体" w:eastAsia="仿宋_GB2312" w:cs="仿宋_GB2312"/>
                <w:snapToGrid w:val="0"/>
                <w:color w:val="auto"/>
                <w:kern w:val="0"/>
                <w:sz w:val="24"/>
                <w:highlight w:val="none"/>
                <w:lang w:val="zh-CN"/>
              </w:rPr>
              <w:t>★</w:t>
            </w:r>
          </w:p>
        </w:tc>
        <w:tc>
          <w:tcPr>
            <w:tcW w:w="1559" w:type="dxa"/>
            <w:vAlign w:val="center"/>
          </w:tcPr>
          <w:p w14:paraId="7548D9E0">
            <w:pPr>
              <w:widowControl/>
              <w:autoSpaceDE w:val="0"/>
              <w:autoSpaceDN w:val="0"/>
              <w:adjustRightInd w:val="0"/>
              <w:snapToGrid w:val="0"/>
              <w:jc w:val="center"/>
              <w:rPr>
                <w:rFonts w:cs="宋体" w:asciiTheme="minorEastAsia" w:hAnsiTheme="minorEastAsia"/>
                <w:snapToGrid w:val="0"/>
                <w:color w:val="auto"/>
                <w:kern w:val="0"/>
                <w:szCs w:val="21"/>
                <w:highlight w:val="none"/>
                <w:lang w:val="zh-CN"/>
              </w:rPr>
            </w:pPr>
            <w:r>
              <w:rPr>
                <w:rFonts w:hint="eastAsia" w:cs="宋体" w:asciiTheme="minorEastAsia" w:hAnsiTheme="minorEastAsia"/>
                <w:snapToGrid w:val="0"/>
                <w:color w:val="auto"/>
                <w:kern w:val="0"/>
                <w:szCs w:val="21"/>
                <w:highlight w:val="none"/>
                <w:lang w:val="zh-CN"/>
              </w:rPr>
              <w:t>交货地点</w:t>
            </w:r>
          </w:p>
        </w:tc>
        <w:tc>
          <w:tcPr>
            <w:tcW w:w="3825" w:type="dxa"/>
            <w:vAlign w:val="center"/>
          </w:tcPr>
          <w:p w14:paraId="50B8FADB">
            <w:pPr>
              <w:widowControl/>
              <w:autoSpaceDE w:val="0"/>
              <w:autoSpaceDN w:val="0"/>
              <w:adjustRightInd w:val="0"/>
              <w:snapToGrid w:val="0"/>
              <w:rPr>
                <w:rFonts w:cs="楷体" w:asciiTheme="minorEastAsia" w:hAnsiTheme="minorEastAsia"/>
                <w:iCs/>
                <w:color w:val="auto"/>
                <w:szCs w:val="21"/>
                <w:highlight w:val="none"/>
              </w:rPr>
            </w:pPr>
            <w:r>
              <w:rPr>
                <w:rFonts w:hint="eastAsia" w:cs="宋体" w:asciiTheme="minorEastAsia" w:hAnsiTheme="minorEastAsia"/>
                <w:snapToGrid w:val="0"/>
                <w:color w:val="auto"/>
                <w:kern w:val="0"/>
                <w:szCs w:val="21"/>
                <w:highlight w:val="none"/>
                <w:lang w:val="zh-CN"/>
              </w:rPr>
              <w:t>南京造币有限公司</w:t>
            </w:r>
            <w:r>
              <w:rPr>
                <w:rFonts w:hint="eastAsia" w:cs="楷体" w:asciiTheme="minorEastAsia" w:hAnsiTheme="minorEastAsia"/>
                <w:iCs/>
                <w:color w:val="auto"/>
                <w:szCs w:val="21"/>
                <w:highlight w:val="none"/>
              </w:rPr>
              <w:t>（南京市天印大道</w:t>
            </w:r>
            <w:r>
              <w:rPr>
                <w:rFonts w:cs="楷体" w:asciiTheme="minorEastAsia" w:hAnsiTheme="minorEastAsia"/>
                <w:iCs/>
                <w:color w:val="auto"/>
                <w:szCs w:val="21"/>
                <w:highlight w:val="none"/>
              </w:rPr>
              <w:t>919</w:t>
            </w:r>
            <w:r>
              <w:rPr>
                <w:rFonts w:hint="eastAsia" w:cs="楷体" w:asciiTheme="minorEastAsia" w:hAnsiTheme="minorEastAsia"/>
                <w:iCs/>
                <w:color w:val="auto"/>
                <w:szCs w:val="21"/>
                <w:highlight w:val="none"/>
              </w:rPr>
              <w:t>号）。</w:t>
            </w:r>
          </w:p>
          <w:p w14:paraId="2FDA6EC1">
            <w:pPr>
              <w:autoSpaceDE w:val="0"/>
              <w:autoSpaceDN w:val="0"/>
              <w:adjustRightInd w:val="0"/>
              <w:snapToGrid w:val="0"/>
              <w:rPr>
                <w:rFonts w:cs="宋体" w:asciiTheme="minorEastAsia" w:hAnsiTheme="minorEastAsia"/>
                <w:snapToGrid w:val="0"/>
                <w:color w:val="auto"/>
                <w:kern w:val="0"/>
                <w:szCs w:val="21"/>
                <w:highlight w:val="none"/>
                <w:lang w:val="zh-CN"/>
              </w:rPr>
            </w:pPr>
            <w:r>
              <w:rPr>
                <w:rFonts w:hint="eastAsia" w:cs="宋体" w:asciiTheme="minorEastAsia" w:hAnsiTheme="minorEastAsia"/>
                <w:snapToGrid w:val="0"/>
                <w:color w:val="auto"/>
                <w:kern w:val="0"/>
                <w:szCs w:val="21"/>
                <w:highlight w:val="none"/>
                <w:lang w:val="zh-CN"/>
              </w:rPr>
              <w:t>上海造币有限公司：上海市普陀区光复西路</w:t>
            </w:r>
            <w:r>
              <w:rPr>
                <w:rFonts w:cs="宋体" w:asciiTheme="minorEastAsia" w:hAnsiTheme="minorEastAsia"/>
                <w:snapToGrid w:val="0"/>
                <w:color w:val="auto"/>
                <w:kern w:val="0"/>
                <w:szCs w:val="21"/>
                <w:highlight w:val="none"/>
                <w:lang w:val="zh-CN"/>
              </w:rPr>
              <w:t>17号（普陀厂区）、上海市嘉定区曹安公路3513号（嘉定厂区）。</w:t>
            </w:r>
          </w:p>
        </w:tc>
        <w:tc>
          <w:tcPr>
            <w:tcW w:w="1373" w:type="dxa"/>
            <w:vAlign w:val="center"/>
          </w:tcPr>
          <w:p w14:paraId="6D0CCAA4">
            <w:pPr>
              <w:jc w:val="center"/>
              <w:rPr>
                <w:rFonts w:cs="仿宋" w:asciiTheme="minorEastAsia" w:hAnsiTheme="minorEastAsia"/>
                <w:color w:val="auto"/>
                <w:szCs w:val="21"/>
                <w:highlight w:val="none"/>
              </w:rPr>
            </w:pPr>
            <w:r>
              <w:rPr>
                <w:rFonts w:hint="eastAsia" w:cs="仿宋" w:asciiTheme="minorEastAsia" w:hAnsiTheme="minorEastAsia"/>
                <w:color w:val="auto"/>
                <w:szCs w:val="21"/>
                <w:highlight w:val="none"/>
              </w:rPr>
              <w:t>否</w:t>
            </w:r>
          </w:p>
        </w:tc>
      </w:tr>
      <w:tr w14:paraId="57361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trPr>
        <w:tc>
          <w:tcPr>
            <w:tcW w:w="846" w:type="dxa"/>
            <w:vAlign w:val="center"/>
          </w:tcPr>
          <w:p w14:paraId="61F02652">
            <w:pPr>
              <w:widowControl/>
              <w:jc w:val="center"/>
              <w:textAlignment w:val="center"/>
              <w:rPr>
                <w:rFonts w:ascii="仿宋_GB2312" w:hAnsi="宋体" w:eastAsia="仿宋_GB2312" w:cs="宋体"/>
                <w:snapToGrid w:val="0"/>
                <w:color w:val="auto"/>
                <w:kern w:val="0"/>
                <w:sz w:val="24"/>
                <w:highlight w:val="none"/>
                <w:lang w:val="zh-CN"/>
              </w:rPr>
            </w:pPr>
            <w:r>
              <w:rPr>
                <w:rFonts w:hint="eastAsia" w:ascii="仿宋_GB2312" w:hAnsi="宋体" w:eastAsia="仿宋_GB2312" w:cs="宋体"/>
                <w:snapToGrid w:val="0"/>
                <w:color w:val="auto"/>
                <w:kern w:val="0"/>
                <w:sz w:val="24"/>
                <w:highlight w:val="none"/>
              </w:rPr>
              <w:t>8</w:t>
            </w:r>
          </w:p>
        </w:tc>
        <w:tc>
          <w:tcPr>
            <w:tcW w:w="1181" w:type="dxa"/>
            <w:vAlign w:val="center"/>
          </w:tcPr>
          <w:p w14:paraId="08C6A886">
            <w:pPr>
              <w:rPr>
                <w:rFonts w:ascii="仿宋_GB2312" w:hAnsi="宋体" w:eastAsia="仿宋_GB2312" w:cs="仿宋_GB2312"/>
                <w:snapToGrid w:val="0"/>
                <w:color w:val="auto"/>
                <w:kern w:val="0"/>
                <w:sz w:val="24"/>
                <w:highlight w:val="none"/>
                <w:lang w:val="zh-CN"/>
              </w:rPr>
            </w:pPr>
            <w:r>
              <w:rPr>
                <w:rFonts w:hint="eastAsia" w:ascii="仿宋_GB2312" w:hAnsi="宋体" w:eastAsia="仿宋_GB2312" w:cs="仿宋_GB2312"/>
                <w:snapToGrid w:val="0"/>
                <w:color w:val="auto"/>
                <w:kern w:val="0"/>
                <w:sz w:val="24"/>
                <w:highlight w:val="none"/>
                <w:lang w:val="zh-CN"/>
              </w:rPr>
              <w:t>★</w:t>
            </w:r>
          </w:p>
        </w:tc>
        <w:tc>
          <w:tcPr>
            <w:tcW w:w="1559" w:type="dxa"/>
            <w:vAlign w:val="center"/>
          </w:tcPr>
          <w:p w14:paraId="6B5D8197">
            <w:pPr>
              <w:widowControl/>
              <w:autoSpaceDE w:val="0"/>
              <w:autoSpaceDN w:val="0"/>
              <w:adjustRightInd w:val="0"/>
              <w:snapToGrid w:val="0"/>
              <w:jc w:val="center"/>
              <w:rPr>
                <w:rFonts w:cs="宋体" w:asciiTheme="minorEastAsia" w:hAnsiTheme="minorEastAsia"/>
                <w:snapToGrid w:val="0"/>
                <w:color w:val="auto"/>
                <w:kern w:val="0"/>
                <w:szCs w:val="21"/>
                <w:highlight w:val="none"/>
                <w:lang w:val="zh-CN"/>
              </w:rPr>
            </w:pPr>
            <w:r>
              <w:rPr>
                <w:rFonts w:hint="eastAsia" w:cs="宋体" w:asciiTheme="minorEastAsia" w:hAnsiTheme="minorEastAsia"/>
                <w:snapToGrid w:val="0"/>
                <w:color w:val="auto"/>
                <w:kern w:val="0"/>
                <w:szCs w:val="21"/>
                <w:highlight w:val="none"/>
                <w:lang w:val="zh-CN"/>
              </w:rPr>
              <w:t>保险</w:t>
            </w:r>
          </w:p>
        </w:tc>
        <w:tc>
          <w:tcPr>
            <w:tcW w:w="3825" w:type="dxa"/>
            <w:vAlign w:val="center"/>
          </w:tcPr>
          <w:p w14:paraId="4A18B8A6">
            <w:pPr>
              <w:widowControl/>
              <w:autoSpaceDE w:val="0"/>
              <w:autoSpaceDN w:val="0"/>
              <w:adjustRightInd w:val="0"/>
              <w:snapToGrid w:val="0"/>
              <w:rPr>
                <w:rFonts w:cs="宋体" w:asciiTheme="minorEastAsia" w:hAnsiTheme="minorEastAsia"/>
                <w:snapToGrid w:val="0"/>
                <w:color w:val="auto"/>
                <w:kern w:val="0"/>
                <w:szCs w:val="21"/>
                <w:highlight w:val="none"/>
                <w:lang w:val="zh-CN"/>
              </w:rPr>
            </w:pPr>
            <w:r>
              <w:rPr>
                <w:rFonts w:hint="eastAsia" w:cs="宋体" w:asciiTheme="minorEastAsia" w:hAnsiTheme="minorEastAsia"/>
                <w:snapToGrid w:val="0"/>
                <w:color w:val="auto"/>
                <w:kern w:val="0"/>
                <w:szCs w:val="21"/>
                <w:highlight w:val="none"/>
                <w:lang w:val="zh-CN"/>
              </w:rPr>
              <w:t>运输保险费由中标人承担。</w:t>
            </w:r>
          </w:p>
        </w:tc>
        <w:tc>
          <w:tcPr>
            <w:tcW w:w="1373" w:type="dxa"/>
            <w:vAlign w:val="center"/>
          </w:tcPr>
          <w:p w14:paraId="5056A171">
            <w:pPr>
              <w:jc w:val="center"/>
              <w:rPr>
                <w:rFonts w:cs="仿宋" w:asciiTheme="minorEastAsia" w:hAnsiTheme="minorEastAsia"/>
                <w:color w:val="auto"/>
                <w:szCs w:val="21"/>
                <w:highlight w:val="none"/>
              </w:rPr>
            </w:pPr>
            <w:r>
              <w:rPr>
                <w:rFonts w:hint="eastAsia" w:cs="仿宋" w:asciiTheme="minorEastAsia" w:hAnsiTheme="minorEastAsia"/>
                <w:color w:val="auto"/>
                <w:szCs w:val="21"/>
                <w:highlight w:val="none"/>
              </w:rPr>
              <w:t>否</w:t>
            </w:r>
          </w:p>
        </w:tc>
      </w:tr>
      <w:tr w14:paraId="5E92C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trPr>
        <w:tc>
          <w:tcPr>
            <w:tcW w:w="846" w:type="dxa"/>
            <w:vAlign w:val="center"/>
          </w:tcPr>
          <w:p w14:paraId="24B91642">
            <w:pPr>
              <w:widowControl/>
              <w:jc w:val="center"/>
              <w:textAlignment w:val="center"/>
              <w:rPr>
                <w:rFonts w:ascii="仿宋_GB2312" w:hAnsi="宋体" w:eastAsia="仿宋_GB2312" w:cs="宋体"/>
                <w:snapToGrid w:val="0"/>
                <w:color w:val="auto"/>
                <w:kern w:val="0"/>
                <w:sz w:val="24"/>
                <w:highlight w:val="none"/>
              </w:rPr>
            </w:pPr>
            <w:r>
              <w:rPr>
                <w:rFonts w:hint="eastAsia" w:ascii="仿宋_GB2312" w:hAnsi="宋体" w:eastAsia="仿宋_GB2312" w:cs="宋体"/>
                <w:snapToGrid w:val="0"/>
                <w:color w:val="auto"/>
                <w:kern w:val="0"/>
                <w:sz w:val="24"/>
                <w:highlight w:val="none"/>
              </w:rPr>
              <w:t>9</w:t>
            </w:r>
          </w:p>
        </w:tc>
        <w:tc>
          <w:tcPr>
            <w:tcW w:w="1181" w:type="dxa"/>
            <w:vAlign w:val="center"/>
          </w:tcPr>
          <w:p w14:paraId="6F9B5ED4">
            <w:pPr>
              <w:rPr>
                <w:rFonts w:ascii="仿宋_GB2312" w:hAnsi="宋体" w:eastAsia="仿宋_GB2312" w:cs="仿宋_GB2312"/>
                <w:snapToGrid w:val="0"/>
                <w:color w:val="auto"/>
                <w:kern w:val="0"/>
                <w:sz w:val="24"/>
                <w:highlight w:val="none"/>
                <w:lang w:val="zh-CN"/>
              </w:rPr>
            </w:pPr>
            <w:r>
              <w:rPr>
                <w:rFonts w:hint="eastAsia" w:ascii="仿宋_GB2312" w:hAnsi="宋体" w:eastAsia="仿宋_GB2312" w:cs="仿宋_GB2312"/>
                <w:snapToGrid w:val="0"/>
                <w:color w:val="auto"/>
                <w:kern w:val="0"/>
                <w:sz w:val="24"/>
                <w:highlight w:val="none"/>
                <w:lang w:val="zh-CN"/>
              </w:rPr>
              <w:t>★</w:t>
            </w:r>
          </w:p>
        </w:tc>
        <w:tc>
          <w:tcPr>
            <w:tcW w:w="1559" w:type="dxa"/>
            <w:vAlign w:val="center"/>
          </w:tcPr>
          <w:p w14:paraId="13784C7A">
            <w:pPr>
              <w:widowControl/>
              <w:autoSpaceDE w:val="0"/>
              <w:autoSpaceDN w:val="0"/>
              <w:adjustRightInd w:val="0"/>
              <w:snapToGrid w:val="0"/>
              <w:jc w:val="center"/>
              <w:rPr>
                <w:rFonts w:cs="宋体" w:asciiTheme="minorEastAsia" w:hAnsiTheme="minorEastAsia"/>
                <w:snapToGrid w:val="0"/>
                <w:color w:val="auto"/>
                <w:kern w:val="0"/>
                <w:szCs w:val="21"/>
                <w:highlight w:val="none"/>
                <w:lang w:val="zh-CN"/>
              </w:rPr>
            </w:pPr>
            <w:r>
              <w:rPr>
                <w:rFonts w:hint="eastAsia" w:cs="宋体" w:asciiTheme="minorEastAsia" w:hAnsiTheme="minorEastAsia"/>
                <w:snapToGrid w:val="0"/>
                <w:color w:val="auto"/>
                <w:kern w:val="0"/>
                <w:szCs w:val="21"/>
                <w:highlight w:val="none"/>
                <w:lang w:val="zh-CN"/>
              </w:rPr>
              <w:t>供应商产品工艺质量验证管理办法</w:t>
            </w:r>
          </w:p>
        </w:tc>
        <w:tc>
          <w:tcPr>
            <w:tcW w:w="3825" w:type="dxa"/>
            <w:vAlign w:val="center"/>
          </w:tcPr>
          <w:p w14:paraId="3A40E761">
            <w:pPr>
              <w:rPr>
                <w:rFonts w:cs="宋体" w:asciiTheme="minorEastAsia" w:hAnsiTheme="minorEastAsia"/>
                <w:snapToGrid w:val="0"/>
                <w:color w:val="auto"/>
                <w:kern w:val="0"/>
                <w:szCs w:val="21"/>
                <w:highlight w:val="none"/>
                <w:lang w:val="zh-CN"/>
              </w:rPr>
            </w:pPr>
            <w:r>
              <w:rPr>
                <w:rFonts w:hint="eastAsia" w:cs="宋体" w:asciiTheme="minorEastAsia" w:hAnsiTheme="minorEastAsia"/>
                <w:snapToGrid w:val="0"/>
                <w:color w:val="auto"/>
                <w:kern w:val="0"/>
                <w:szCs w:val="21"/>
                <w:highlight w:val="none"/>
                <w:lang w:val="zh-CN"/>
              </w:rPr>
              <w:t>合同签订后,</w:t>
            </w:r>
            <w:r>
              <w:rPr>
                <w:rFonts w:hint="eastAsia"/>
                <w:color w:val="auto"/>
                <w:highlight w:val="none"/>
              </w:rPr>
              <w:t>对以前未</w:t>
            </w:r>
            <w:r>
              <w:rPr>
                <w:rFonts w:hint="eastAsia" w:cs="宋体" w:asciiTheme="minorEastAsia" w:hAnsiTheme="minorEastAsia"/>
                <w:snapToGrid w:val="0"/>
                <w:color w:val="auto"/>
                <w:kern w:val="0"/>
                <w:szCs w:val="21"/>
                <w:highlight w:val="none"/>
                <w:lang w:val="zh-CN"/>
              </w:rPr>
              <w:t>供过货的新品牌产品需要进行工艺质量验证，具体电解镍产品工艺质量验证管理办法如下：</w:t>
            </w:r>
          </w:p>
          <w:p w14:paraId="7443968B">
            <w:pPr>
              <w:pStyle w:val="7"/>
              <w:numPr>
                <w:ilvl w:val="255"/>
                <w:numId w:val="0"/>
              </w:numPr>
              <w:spacing w:after="0"/>
              <w:jc w:val="left"/>
              <w:rPr>
                <w:rFonts w:cs="宋体" w:asciiTheme="minorEastAsia" w:hAnsiTheme="minorEastAsia"/>
                <w:snapToGrid w:val="0"/>
                <w:color w:val="auto"/>
                <w:kern w:val="0"/>
                <w:szCs w:val="21"/>
                <w:highlight w:val="none"/>
                <w:lang w:val="zh-CN"/>
              </w:rPr>
            </w:pPr>
            <w:r>
              <w:rPr>
                <w:rFonts w:cs="宋体" w:asciiTheme="minorEastAsia" w:hAnsiTheme="minorEastAsia"/>
                <w:snapToGrid w:val="0"/>
                <w:color w:val="auto"/>
                <w:kern w:val="0"/>
                <w:szCs w:val="21"/>
                <w:highlight w:val="none"/>
                <w:lang w:val="zh-CN"/>
              </w:rPr>
              <w:t xml:space="preserve">1. </w:t>
            </w:r>
            <w:r>
              <w:rPr>
                <w:rFonts w:hint="eastAsia" w:cs="宋体" w:asciiTheme="minorEastAsia" w:hAnsiTheme="minorEastAsia"/>
                <w:snapToGrid w:val="0"/>
                <w:color w:val="auto"/>
                <w:kern w:val="0"/>
                <w:szCs w:val="21"/>
                <w:highlight w:val="none"/>
                <w:lang w:val="zh-CN"/>
              </w:rPr>
              <w:t>试制数量</w:t>
            </w:r>
          </w:p>
          <w:p w14:paraId="77491DE6">
            <w:pPr>
              <w:pStyle w:val="7"/>
              <w:spacing w:after="0"/>
              <w:rPr>
                <w:rFonts w:cs="宋体" w:asciiTheme="minorEastAsia" w:hAnsiTheme="minorEastAsia"/>
                <w:snapToGrid w:val="0"/>
                <w:color w:val="auto"/>
                <w:kern w:val="0"/>
                <w:szCs w:val="21"/>
                <w:highlight w:val="none"/>
                <w:lang w:val="zh-CN"/>
              </w:rPr>
            </w:pPr>
            <w:r>
              <w:rPr>
                <w:rFonts w:hint="eastAsia" w:cs="宋体" w:asciiTheme="minorEastAsia" w:hAnsiTheme="minorEastAsia"/>
                <w:snapToGrid w:val="0"/>
                <w:color w:val="auto"/>
                <w:kern w:val="0"/>
                <w:szCs w:val="21"/>
                <w:highlight w:val="none"/>
                <w:lang w:val="zh-CN"/>
              </w:rPr>
              <w:t>（1）供应商产品需要进行工艺质量验证，工艺质量验证方案由采购人提供。</w:t>
            </w:r>
          </w:p>
          <w:p w14:paraId="3C6415DB">
            <w:pPr>
              <w:pStyle w:val="7"/>
              <w:spacing w:after="0"/>
              <w:rPr>
                <w:rFonts w:cs="宋体" w:asciiTheme="minorEastAsia" w:hAnsiTheme="minorEastAsia"/>
                <w:snapToGrid w:val="0"/>
                <w:color w:val="auto"/>
                <w:kern w:val="0"/>
                <w:szCs w:val="21"/>
                <w:highlight w:val="none"/>
                <w:lang w:val="zh-CN"/>
              </w:rPr>
            </w:pPr>
            <w:r>
              <w:rPr>
                <w:rFonts w:hint="eastAsia" w:cs="宋体" w:asciiTheme="minorEastAsia" w:hAnsiTheme="minorEastAsia"/>
                <w:snapToGrid w:val="0"/>
                <w:color w:val="auto"/>
                <w:kern w:val="0"/>
                <w:szCs w:val="21"/>
                <w:highlight w:val="none"/>
                <w:lang w:val="zh-CN"/>
              </w:rPr>
              <w:t>（2）</w:t>
            </w:r>
            <w:r>
              <w:rPr>
                <w:rFonts w:cs="宋体" w:asciiTheme="minorEastAsia" w:hAnsiTheme="minorEastAsia"/>
                <w:snapToGrid w:val="0"/>
                <w:color w:val="auto"/>
                <w:kern w:val="0"/>
                <w:szCs w:val="21"/>
                <w:highlight w:val="none"/>
                <w:lang w:val="zh-CN"/>
              </w:rPr>
              <w:t>验证次数不得超过2</w:t>
            </w:r>
            <w:r>
              <w:rPr>
                <w:rFonts w:hint="eastAsia" w:cs="宋体" w:asciiTheme="minorEastAsia" w:hAnsiTheme="minorEastAsia"/>
                <w:snapToGrid w:val="0"/>
                <w:color w:val="auto"/>
                <w:kern w:val="0"/>
                <w:szCs w:val="21"/>
                <w:highlight w:val="none"/>
                <w:lang w:val="zh-CN"/>
              </w:rPr>
              <w:t>次（含</w:t>
            </w:r>
            <w:r>
              <w:rPr>
                <w:rFonts w:cs="宋体" w:asciiTheme="minorEastAsia" w:hAnsiTheme="minorEastAsia"/>
                <w:snapToGrid w:val="0"/>
                <w:color w:val="auto"/>
                <w:kern w:val="0"/>
                <w:szCs w:val="21"/>
                <w:highlight w:val="none"/>
                <w:lang w:val="zh-CN"/>
              </w:rPr>
              <w:t>2</w:t>
            </w:r>
            <w:r>
              <w:rPr>
                <w:rFonts w:hint="eastAsia" w:cs="宋体" w:asciiTheme="minorEastAsia" w:hAnsiTheme="minorEastAsia"/>
                <w:snapToGrid w:val="0"/>
                <w:color w:val="auto"/>
                <w:kern w:val="0"/>
                <w:szCs w:val="21"/>
                <w:highlight w:val="none"/>
                <w:lang w:val="zh-CN"/>
              </w:rPr>
              <w:t>次）。每次工艺质量验证总量约</w:t>
            </w:r>
            <w:r>
              <w:rPr>
                <w:rFonts w:cs="宋体" w:asciiTheme="minorEastAsia" w:hAnsiTheme="minorEastAsia"/>
                <w:snapToGrid w:val="0"/>
                <w:color w:val="auto"/>
                <w:kern w:val="0"/>
                <w:szCs w:val="21"/>
                <w:highlight w:val="none"/>
                <w:lang w:val="zh-CN"/>
              </w:rPr>
              <w:t>3.5</w:t>
            </w:r>
            <w:r>
              <w:rPr>
                <w:rFonts w:hint="eastAsia" w:cs="宋体" w:asciiTheme="minorEastAsia" w:hAnsiTheme="minorEastAsia"/>
                <w:snapToGrid w:val="0"/>
                <w:color w:val="auto"/>
                <w:kern w:val="0"/>
                <w:szCs w:val="21"/>
                <w:highlight w:val="none"/>
                <w:lang w:val="zh-CN"/>
              </w:rPr>
              <w:t>吨。</w:t>
            </w:r>
          </w:p>
          <w:p w14:paraId="2CE10860">
            <w:pPr>
              <w:pStyle w:val="7"/>
              <w:spacing w:after="0"/>
              <w:rPr>
                <w:rFonts w:cs="宋体" w:asciiTheme="minorEastAsia" w:hAnsiTheme="minorEastAsia"/>
                <w:snapToGrid w:val="0"/>
                <w:color w:val="auto"/>
                <w:kern w:val="0"/>
                <w:szCs w:val="21"/>
                <w:highlight w:val="none"/>
                <w:lang w:val="zh-CN"/>
              </w:rPr>
            </w:pPr>
            <w:r>
              <w:rPr>
                <w:rFonts w:hint="eastAsia" w:cs="宋体" w:asciiTheme="minorEastAsia" w:hAnsiTheme="minorEastAsia"/>
                <w:snapToGrid w:val="0"/>
                <w:color w:val="auto"/>
                <w:kern w:val="0"/>
                <w:szCs w:val="21"/>
                <w:highlight w:val="none"/>
                <w:lang w:val="zh-CN"/>
              </w:rPr>
              <w:t>（3）配合采购人调查分析工艺质量验证阶段出现工艺质量问题的原因及提供详实可靠的整改方案。</w:t>
            </w:r>
          </w:p>
          <w:p w14:paraId="5A9924C8">
            <w:pPr>
              <w:pStyle w:val="7"/>
              <w:spacing w:after="0"/>
              <w:rPr>
                <w:rFonts w:cs="宋体" w:asciiTheme="minorEastAsia" w:hAnsiTheme="minorEastAsia"/>
                <w:snapToGrid w:val="0"/>
                <w:color w:val="auto"/>
                <w:kern w:val="0"/>
                <w:szCs w:val="21"/>
                <w:highlight w:val="none"/>
                <w:lang w:val="zh-CN"/>
              </w:rPr>
            </w:pPr>
            <w:r>
              <w:rPr>
                <w:rFonts w:cs="宋体" w:asciiTheme="minorEastAsia" w:hAnsiTheme="minorEastAsia"/>
                <w:snapToGrid w:val="0"/>
                <w:color w:val="auto"/>
                <w:kern w:val="0"/>
                <w:szCs w:val="21"/>
                <w:highlight w:val="none"/>
                <w:lang w:val="zh-CN"/>
              </w:rPr>
              <w:t xml:space="preserve">2. </w:t>
            </w:r>
            <w:r>
              <w:rPr>
                <w:rFonts w:hint="eastAsia" w:cs="宋体" w:asciiTheme="minorEastAsia" w:hAnsiTheme="minorEastAsia"/>
                <w:snapToGrid w:val="0"/>
                <w:color w:val="auto"/>
                <w:kern w:val="0"/>
                <w:szCs w:val="21"/>
                <w:highlight w:val="none"/>
                <w:lang w:val="zh-CN"/>
              </w:rPr>
              <w:t>工艺质量验证要求及判定规则</w:t>
            </w:r>
          </w:p>
          <w:p w14:paraId="75675398">
            <w:pPr>
              <w:pStyle w:val="7"/>
              <w:spacing w:after="0"/>
              <w:rPr>
                <w:rFonts w:cs="宋体" w:asciiTheme="minorEastAsia" w:hAnsiTheme="minorEastAsia"/>
                <w:snapToGrid w:val="0"/>
                <w:color w:val="auto"/>
                <w:kern w:val="0"/>
                <w:szCs w:val="21"/>
                <w:highlight w:val="none"/>
                <w:lang w:val="zh-CN"/>
              </w:rPr>
            </w:pPr>
            <w:r>
              <w:rPr>
                <w:rFonts w:hint="eastAsia" w:cs="宋体" w:asciiTheme="minorEastAsia" w:hAnsiTheme="minorEastAsia"/>
                <w:snapToGrid w:val="0"/>
                <w:color w:val="auto"/>
                <w:kern w:val="0"/>
                <w:szCs w:val="21"/>
                <w:highlight w:val="none"/>
                <w:lang w:val="zh-CN"/>
              </w:rPr>
              <w:t>供应商试制电解镍在工艺质量验证中未出现工艺质量问题，则验证通过。</w:t>
            </w:r>
          </w:p>
          <w:p w14:paraId="17846B81">
            <w:pPr>
              <w:pStyle w:val="7"/>
              <w:spacing w:after="0"/>
              <w:rPr>
                <w:rFonts w:cs="宋体" w:asciiTheme="minorEastAsia" w:hAnsiTheme="minorEastAsia"/>
                <w:snapToGrid w:val="0"/>
                <w:color w:val="auto"/>
                <w:kern w:val="0"/>
                <w:szCs w:val="21"/>
                <w:highlight w:val="none"/>
                <w:lang w:val="zh-CN"/>
              </w:rPr>
            </w:pPr>
            <w:r>
              <w:rPr>
                <w:rFonts w:cs="宋体" w:asciiTheme="minorEastAsia" w:hAnsiTheme="minorEastAsia"/>
                <w:snapToGrid w:val="0"/>
                <w:color w:val="auto"/>
                <w:kern w:val="0"/>
                <w:szCs w:val="21"/>
                <w:highlight w:val="none"/>
                <w:lang w:val="zh-CN"/>
              </w:rPr>
              <w:t xml:space="preserve">3. </w:t>
            </w:r>
            <w:r>
              <w:rPr>
                <w:rFonts w:hint="eastAsia" w:cs="宋体" w:asciiTheme="minorEastAsia" w:hAnsiTheme="minorEastAsia"/>
                <w:snapToGrid w:val="0"/>
                <w:color w:val="auto"/>
                <w:kern w:val="0"/>
                <w:szCs w:val="21"/>
                <w:highlight w:val="none"/>
                <w:lang w:val="zh-CN"/>
              </w:rPr>
              <w:t>工艺质量验证内容</w:t>
            </w:r>
          </w:p>
          <w:p w14:paraId="4EAD8CF9">
            <w:pPr>
              <w:pStyle w:val="7"/>
              <w:spacing w:after="0"/>
              <w:rPr>
                <w:rFonts w:cs="宋体" w:asciiTheme="minorEastAsia" w:hAnsiTheme="minorEastAsia"/>
                <w:snapToGrid w:val="0"/>
                <w:color w:val="auto"/>
                <w:kern w:val="0"/>
                <w:szCs w:val="21"/>
                <w:highlight w:val="none"/>
                <w:lang w:val="zh-CN"/>
              </w:rPr>
            </w:pPr>
            <w:r>
              <w:rPr>
                <w:rFonts w:hint="eastAsia" w:cs="宋体" w:asciiTheme="minorEastAsia" w:hAnsiTheme="minorEastAsia"/>
                <w:snapToGrid w:val="0"/>
                <w:color w:val="auto"/>
                <w:kern w:val="0"/>
                <w:szCs w:val="21"/>
                <w:highlight w:val="none"/>
                <w:lang w:val="zh-CN"/>
              </w:rPr>
              <w:t>（1）供应商按照技术要求按批次提供包括重量、化学成分、规格尺寸、表面质量等项目的检测报告。</w:t>
            </w:r>
          </w:p>
          <w:p w14:paraId="628EE4DF">
            <w:pPr>
              <w:pStyle w:val="7"/>
              <w:spacing w:after="0"/>
              <w:rPr>
                <w:rFonts w:cs="宋体" w:asciiTheme="minorEastAsia" w:hAnsiTheme="minorEastAsia"/>
                <w:snapToGrid w:val="0"/>
                <w:color w:val="auto"/>
                <w:kern w:val="0"/>
                <w:szCs w:val="21"/>
                <w:highlight w:val="none"/>
                <w:lang w:val="zh-CN"/>
              </w:rPr>
            </w:pPr>
            <w:r>
              <w:rPr>
                <w:rFonts w:hint="eastAsia" w:cs="宋体" w:asciiTheme="minorEastAsia" w:hAnsiTheme="minorEastAsia"/>
                <w:snapToGrid w:val="0"/>
                <w:color w:val="auto"/>
                <w:kern w:val="0"/>
                <w:szCs w:val="21"/>
                <w:highlight w:val="none"/>
                <w:lang w:val="zh-CN"/>
              </w:rPr>
              <w:t>（2）采购人质量部门负责按照生产检验规程进行电解镍入厂质量检验，检验合格后方可继续工艺质量验证工作；</w:t>
            </w:r>
          </w:p>
          <w:p w14:paraId="7FCC4894">
            <w:pPr>
              <w:pStyle w:val="7"/>
              <w:spacing w:after="0"/>
              <w:rPr>
                <w:rFonts w:cs="宋体" w:asciiTheme="minorEastAsia" w:hAnsiTheme="minorEastAsia"/>
                <w:snapToGrid w:val="0"/>
                <w:color w:val="auto"/>
                <w:kern w:val="0"/>
                <w:szCs w:val="21"/>
                <w:highlight w:val="none"/>
                <w:lang w:val="zh-CN"/>
              </w:rPr>
            </w:pPr>
            <w:r>
              <w:rPr>
                <w:rFonts w:hint="eastAsia" w:cs="宋体" w:asciiTheme="minorEastAsia" w:hAnsiTheme="minorEastAsia"/>
                <w:snapToGrid w:val="0"/>
                <w:color w:val="auto"/>
                <w:kern w:val="0"/>
                <w:szCs w:val="21"/>
                <w:highlight w:val="none"/>
                <w:lang w:val="zh-CN"/>
              </w:rPr>
              <w:t>（3）采购人生产部门领入试制电解镍后，按照生产工艺规程进行生产和工艺质量检验。</w:t>
            </w:r>
          </w:p>
          <w:p w14:paraId="0AF7FF1A">
            <w:pPr>
              <w:pStyle w:val="7"/>
              <w:spacing w:after="0"/>
              <w:rPr>
                <w:rFonts w:cs="宋体" w:asciiTheme="minorEastAsia" w:hAnsiTheme="minorEastAsia"/>
                <w:snapToGrid w:val="0"/>
                <w:color w:val="auto"/>
                <w:kern w:val="0"/>
                <w:szCs w:val="21"/>
                <w:highlight w:val="none"/>
                <w:lang w:val="zh-CN"/>
              </w:rPr>
            </w:pPr>
            <w:r>
              <w:rPr>
                <w:rFonts w:hint="eastAsia" w:cs="宋体" w:asciiTheme="minorEastAsia" w:hAnsiTheme="minorEastAsia"/>
                <w:snapToGrid w:val="0"/>
                <w:color w:val="auto"/>
                <w:kern w:val="0"/>
                <w:szCs w:val="21"/>
                <w:highlight w:val="none"/>
                <w:lang w:val="zh-CN"/>
              </w:rPr>
              <w:t>（4）工艺质量验证过程中，发现电解镍存在质量问题时，应立即报告质量部门进行现场确认评估。</w:t>
            </w:r>
          </w:p>
          <w:p w14:paraId="0F37AB38">
            <w:pPr>
              <w:pStyle w:val="7"/>
              <w:spacing w:after="0"/>
              <w:rPr>
                <w:rFonts w:cs="宋体" w:asciiTheme="minorEastAsia" w:hAnsiTheme="minorEastAsia"/>
                <w:snapToGrid w:val="0"/>
                <w:color w:val="auto"/>
                <w:kern w:val="0"/>
                <w:szCs w:val="21"/>
                <w:highlight w:val="none"/>
                <w:lang w:val="zh-CN"/>
              </w:rPr>
            </w:pPr>
            <w:r>
              <w:rPr>
                <w:rFonts w:hint="eastAsia" w:cs="宋体" w:asciiTheme="minorEastAsia" w:hAnsiTheme="minorEastAsia"/>
                <w:snapToGrid w:val="0"/>
                <w:color w:val="auto"/>
                <w:kern w:val="0"/>
                <w:szCs w:val="21"/>
                <w:highlight w:val="none"/>
                <w:lang w:val="zh-CN"/>
              </w:rPr>
              <w:t>（5）工艺质量验证过程中，重点检查电解镍规格尺寸及表面质量，发现规格尺寸超差以及夹灰、锈蚀、起皮、分层、开裂等严重质量问题时需对缺陷品进行留样，对应货物需标识、隔离待处理，同时停止工艺质量验证工作。</w:t>
            </w:r>
          </w:p>
          <w:p w14:paraId="1CD2CCBA">
            <w:pPr>
              <w:widowControl/>
              <w:autoSpaceDE w:val="0"/>
              <w:autoSpaceDN w:val="0"/>
              <w:adjustRightInd w:val="0"/>
              <w:snapToGrid w:val="0"/>
              <w:rPr>
                <w:rFonts w:cs="宋体" w:asciiTheme="minorEastAsia" w:hAnsiTheme="minorEastAsia"/>
                <w:snapToGrid w:val="0"/>
                <w:color w:val="auto"/>
                <w:kern w:val="0"/>
                <w:szCs w:val="21"/>
                <w:highlight w:val="none"/>
                <w:lang w:val="zh-CN"/>
              </w:rPr>
            </w:pPr>
            <w:r>
              <w:rPr>
                <w:rFonts w:hint="eastAsia" w:cs="宋体" w:asciiTheme="minorEastAsia" w:hAnsiTheme="minorEastAsia"/>
                <w:snapToGrid w:val="0"/>
                <w:color w:val="auto"/>
                <w:kern w:val="0"/>
                <w:szCs w:val="21"/>
                <w:highlight w:val="none"/>
                <w:lang w:val="zh-CN"/>
              </w:rPr>
              <w:t>（6）</w:t>
            </w:r>
            <w:r>
              <w:rPr>
                <w:rFonts w:cs="宋体" w:asciiTheme="minorEastAsia" w:hAnsiTheme="minorEastAsia"/>
                <w:snapToGrid w:val="0"/>
                <w:color w:val="auto"/>
                <w:kern w:val="0"/>
                <w:szCs w:val="21"/>
                <w:highlight w:val="none"/>
                <w:lang w:val="zh-CN"/>
              </w:rPr>
              <w:t xml:space="preserve"> </w:t>
            </w:r>
            <w:r>
              <w:rPr>
                <w:rFonts w:hint="eastAsia" w:cs="宋体" w:asciiTheme="minorEastAsia" w:hAnsiTheme="minorEastAsia"/>
                <w:snapToGrid w:val="0"/>
                <w:color w:val="auto"/>
                <w:kern w:val="0"/>
                <w:szCs w:val="21"/>
                <w:highlight w:val="none"/>
                <w:lang w:val="zh-CN"/>
              </w:rPr>
              <w:t>采购人物资管理部将工艺质量验证结果通知供应商。</w:t>
            </w:r>
          </w:p>
        </w:tc>
        <w:tc>
          <w:tcPr>
            <w:tcW w:w="1373" w:type="dxa"/>
            <w:vAlign w:val="center"/>
          </w:tcPr>
          <w:p w14:paraId="0CD86F4E">
            <w:pPr>
              <w:rPr>
                <w:rFonts w:cs="仿宋" w:asciiTheme="minorEastAsia" w:hAnsiTheme="minorEastAsia"/>
                <w:color w:val="auto"/>
                <w:szCs w:val="21"/>
                <w:highlight w:val="none"/>
              </w:rPr>
            </w:pPr>
            <w:r>
              <w:rPr>
                <w:rFonts w:hint="eastAsia" w:cs="仿宋" w:asciiTheme="minorEastAsia" w:hAnsiTheme="minorEastAsia"/>
                <w:color w:val="auto"/>
                <w:szCs w:val="21"/>
                <w:highlight w:val="none"/>
              </w:rPr>
              <w:t>是。</w:t>
            </w:r>
            <w:r>
              <w:rPr>
                <w:rFonts w:hint="eastAsia" w:asciiTheme="majorEastAsia" w:hAnsiTheme="majorEastAsia" w:eastAsiaTheme="majorEastAsia" w:cstheme="majorEastAsia"/>
                <w:color w:val="auto"/>
                <w:spacing w:val="-3"/>
                <w:szCs w:val="21"/>
                <w:highlight w:val="none"/>
              </w:rPr>
              <w:t>要求</w:t>
            </w:r>
            <w:r>
              <w:rPr>
                <w:rFonts w:hint="eastAsia" w:cs="仿宋" w:asciiTheme="minorEastAsia" w:hAnsiTheme="minorEastAsia"/>
                <w:color w:val="auto"/>
                <w:szCs w:val="21"/>
                <w:highlight w:val="none"/>
              </w:rPr>
              <w:t>投标人提供承诺函并加盖公章作为证明。</w:t>
            </w:r>
            <w:r>
              <w:rPr>
                <w:rFonts w:hint="eastAsia" w:asciiTheme="minorEastAsia" w:hAnsiTheme="minorEastAsia" w:cstheme="minorEastAsia"/>
                <w:snapToGrid w:val="0"/>
                <w:color w:val="auto"/>
                <w:szCs w:val="21"/>
                <w:highlight w:val="none"/>
                <w:lang w:val="zh-CN"/>
              </w:rPr>
              <w:t>承诺函可参考采购人提供的承诺函模板（见商务要求</w:t>
            </w:r>
            <w:r>
              <w:rPr>
                <w:rFonts w:asciiTheme="minorEastAsia" w:hAnsiTheme="minorEastAsia" w:cstheme="minorEastAsia"/>
                <w:snapToGrid w:val="0"/>
                <w:color w:val="auto"/>
                <w:szCs w:val="21"/>
                <w:highlight w:val="none"/>
              </w:rPr>
              <w:t>A服务要求表</w:t>
            </w:r>
            <w:r>
              <w:rPr>
                <w:rFonts w:hint="eastAsia" w:asciiTheme="minorEastAsia" w:hAnsiTheme="minorEastAsia" w:cstheme="minorEastAsia"/>
                <w:snapToGrid w:val="0"/>
                <w:color w:val="auto"/>
                <w:szCs w:val="21"/>
                <w:highlight w:val="none"/>
              </w:rPr>
              <w:t>后</w:t>
            </w:r>
            <w:r>
              <w:rPr>
                <w:rFonts w:asciiTheme="minorEastAsia" w:hAnsiTheme="minorEastAsia" w:cstheme="minorEastAsia"/>
                <w:snapToGrid w:val="0"/>
                <w:color w:val="auto"/>
                <w:szCs w:val="21"/>
                <w:highlight w:val="none"/>
              </w:rPr>
              <w:t>的附件）</w:t>
            </w:r>
            <w:r>
              <w:rPr>
                <w:rFonts w:hint="eastAsia" w:asciiTheme="minorEastAsia" w:hAnsiTheme="minorEastAsia" w:cstheme="minorEastAsia"/>
                <w:snapToGrid w:val="0"/>
                <w:color w:val="auto"/>
                <w:szCs w:val="21"/>
                <w:highlight w:val="none"/>
                <w:lang w:val="zh-CN"/>
              </w:rPr>
              <w:t>编写。</w:t>
            </w:r>
          </w:p>
        </w:tc>
      </w:tr>
    </w:tbl>
    <w:p w14:paraId="39ECB6FC">
      <w:pPr>
        <w:spacing w:line="360" w:lineRule="auto"/>
        <w:ind w:firstLine="640" w:firstLineChars="200"/>
        <w:rPr>
          <w:rFonts w:ascii="仿宋" w:hAnsi="仿宋" w:eastAsia="仿宋" w:cs="Times New Roman"/>
          <w:iCs/>
          <w:color w:val="auto"/>
          <w:sz w:val="32"/>
          <w:szCs w:val="32"/>
          <w:highlight w:val="none"/>
        </w:rPr>
      </w:pPr>
      <w:r>
        <w:rPr>
          <w:rFonts w:ascii="仿宋" w:hAnsi="仿宋" w:eastAsia="仿宋" w:cs="Times New Roman"/>
          <w:iCs/>
          <w:color w:val="auto"/>
          <w:sz w:val="32"/>
          <w:szCs w:val="32"/>
          <w:highlight w:val="none"/>
        </w:rPr>
        <w:t>B</w:t>
      </w:r>
      <w:r>
        <w:rPr>
          <w:rFonts w:hint="eastAsia" w:ascii="仿宋" w:hAnsi="仿宋" w:eastAsia="仿宋" w:cs="Times New Roman"/>
          <w:iCs/>
          <w:color w:val="auto"/>
          <w:sz w:val="32"/>
          <w:szCs w:val="32"/>
          <w:highlight w:val="none"/>
        </w:rPr>
        <w:t>、付款方式</w:t>
      </w:r>
    </w:p>
    <w:p w14:paraId="2B98748B">
      <w:pPr>
        <w:ind w:firstLine="480" w:firstLineChars="200"/>
        <w:rPr>
          <w:rFonts w:asciiTheme="minorEastAsia" w:hAnsiTheme="minorEastAsia"/>
          <w:color w:val="auto"/>
          <w:sz w:val="24"/>
          <w:highlight w:val="none"/>
        </w:rPr>
      </w:pPr>
      <w:r>
        <w:rPr>
          <w:rFonts w:hint="eastAsia" w:asciiTheme="minorEastAsia" w:hAnsiTheme="minorEastAsia"/>
          <w:color w:val="auto"/>
          <w:sz w:val="24"/>
          <w:highlight w:val="none"/>
        </w:rPr>
        <w:t>中标人可以选择以下付款方式：</w:t>
      </w:r>
    </w:p>
    <w:tbl>
      <w:tblPr>
        <w:tblStyle w:val="8"/>
        <w:tblpPr w:leftFromText="180" w:rightFromText="180" w:vertAnchor="text" w:tblpY="1"/>
        <w:tblOverlap w:val="never"/>
        <w:tblW w:w="87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559"/>
        <w:gridCol w:w="2410"/>
        <w:gridCol w:w="1701"/>
        <w:gridCol w:w="1276"/>
        <w:gridCol w:w="992"/>
      </w:tblGrid>
      <w:tr w14:paraId="2B1DE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 w:hRule="atLeast"/>
        </w:trPr>
        <w:tc>
          <w:tcPr>
            <w:tcW w:w="846" w:type="dxa"/>
            <w:tcBorders>
              <w:bottom w:val="single" w:color="auto" w:sz="4" w:space="0"/>
            </w:tcBorders>
            <w:vAlign w:val="center"/>
          </w:tcPr>
          <w:p w14:paraId="76808103">
            <w:pPr>
              <w:widowControl/>
              <w:jc w:val="center"/>
              <w:textAlignment w:val="center"/>
              <w:rPr>
                <w:rFonts w:ascii="仿宋" w:hAnsi="仿宋" w:eastAsia="仿宋" w:cs="宋体"/>
                <w:b/>
                <w:color w:val="auto"/>
                <w:kern w:val="0"/>
                <w:sz w:val="28"/>
                <w:szCs w:val="28"/>
                <w:highlight w:val="none"/>
              </w:rPr>
            </w:pPr>
            <w:r>
              <w:rPr>
                <w:rFonts w:hint="eastAsia" w:ascii="仿宋" w:hAnsi="仿宋" w:eastAsia="仿宋" w:cs="宋体"/>
                <w:b/>
                <w:color w:val="auto"/>
                <w:kern w:val="0"/>
                <w:sz w:val="28"/>
                <w:szCs w:val="28"/>
                <w:highlight w:val="none"/>
              </w:rPr>
              <w:t>序号</w:t>
            </w:r>
          </w:p>
        </w:tc>
        <w:tc>
          <w:tcPr>
            <w:tcW w:w="1559" w:type="dxa"/>
            <w:tcBorders>
              <w:bottom w:val="single" w:color="auto" w:sz="4" w:space="0"/>
            </w:tcBorders>
            <w:vAlign w:val="center"/>
          </w:tcPr>
          <w:p w14:paraId="2830C6E8">
            <w:pPr>
              <w:jc w:val="center"/>
              <w:rPr>
                <w:rFonts w:ascii="仿宋" w:hAnsi="仿宋" w:eastAsia="仿宋" w:cs="Times New Roman"/>
                <w:b/>
                <w:color w:val="auto"/>
                <w:sz w:val="28"/>
                <w:szCs w:val="28"/>
                <w:highlight w:val="none"/>
              </w:rPr>
            </w:pPr>
            <w:r>
              <w:rPr>
                <w:rFonts w:hint="eastAsia" w:ascii="仿宋" w:hAnsi="仿宋" w:eastAsia="仿宋" w:cs="Times New Roman"/>
                <w:b/>
                <w:color w:val="auto"/>
                <w:sz w:val="28"/>
                <w:szCs w:val="28"/>
                <w:highlight w:val="none"/>
              </w:rPr>
              <w:t>付款节点（进度</w:t>
            </w:r>
            <w:r>
              <w:rPr>
                <w:rFonts w:ascii="仿宋" w:hAnsi="仿宋" w:eastAsia="仿宋" w:cs="Times New Roman"/>
                <w:b/>
                <w:color w:val="auto"/>
                <w:sz w:val="28"/>
                <w:szCs w:val="28"/>
                <w:highlight w:val="none"/>
              </w:rPr>
              <w:t>）</w:t>
            </w:r>
          </w:p>
        </w:tc>
        <w:tc>
          <w:tcPr>
            <w:tcW w:w="2410" w:type="dxa"/>
            <w:tcBorders>
              <w:bottom w:val="single" w:color="auto" w:sz="4" w:space="0"/>
            </w:tcBorders>
            <w:vAlign w:val="center"/>
          </w:tcPr>
          <w:p w14:paraId="1E500594">
            <w:pPr>
              <w:jc w:val="center"/>
              <w:rPr>
                <w:rFonts w:ascii="仿宋" w:hAnsi="仿宋" w:eastAsia="仿宋" w:cs="Times New Roman"/>
                <w:b/>
                <w:color w:val="auto"/>
                <w:sz w:val="28"/>
                <w:szCs w:val="28"/>
                <w:highlight w:val="none"/>
              </w:rPr>
            </w:pPr>
            <w:r>
              <w:rPr>
                <w:rFonts w:hint="eastAsia" w:ascii="仿宋" w:hAnsi="仿宋" w:eastAsia="仿宋" w:cs="Times New Roman"/>
                <w:b/>
                <w:color w:val="auto"/>
                <w:sz w:val="28"/>
                <w:szCs w:val="28"/>
                <w:highlight w:val="none"/>
              </w:rPr>
              <w:t>付款条件</w:t>
            </w:r>
          </w:p>
        </w:tc>
        <w:tc>
          <w:tcPr>
            <w:tcW w:w="1701" w:type="dxa"/>
            <w:tcBorders>
              <w:bottom w:val="single" w:color="auto" w:sz="4" w:space="0"/>
            </w:tcBorders>
            <w:vAlign w:val="center"/>
          </w:tcPr>
          <w:p w14:paraId="7658CAC2">
            <w:pPr>
              <w:jc w:val="center"/>
              <w:rPr>
                <w:rFonts w:ascii="仿宋" w:hAnsi="仿宋" w:eastAsia="仿宋" w:cs="Times New Roman"/>
                <w:b/>
                <w:color w:val="auto"/>
                <w:sz w:val="28"/>
                <w:szCs w:val="28"/>
                <w:highlight w:val="none"/>
              </w:rPr>
            </w:pPr>
            <w:r>
              <w:rPr>
                <w:rFonts w:hint="eastAsia" w:ascii="仿宋" w:hAnsi="仿宋" w:eastAsia="仿宋" w:cs="Times New Roman"/>
                <w:b/>
                <w:color w:val="auto"/>
                <w:sz w:val="28"/>
                <w:szCs w:val="28"/>
                <w:highlight w:val="none"/>
              </w:rPr>
              <w:t>付款比例（或金额）</w:t>
            </w:r>
          </w:p>
        </w:tc>
        <w:tc>
          <w:tcPr>
            <w:tcW w:w="1276" w:type="dxa"/>
            <w:tcBorders>
              <w:bottom w:val="single" w:color="auto" w:sz="4" w:space="0"/>
            </w:tcBorders>
          </w:tcPr>
          <w:p w14:paraId="5C16DE9D">
            <w:pPr>
              <w:jc w:val="center"/>
              <w:rPr>
                <w:rFonts w:ascii="仿宋" w:hAnsi="仿宋" w:eastAsia="仿宋" w:cs="Times New Roman"/>
                <w:b/>
                <w:color w:val="auto"/>
                <w:sz w:val="28"/>
                <w:szCs w:val="28"/>
                <w:highlight w:val="none"/>
              </w:rPr>
            </w:pPr>
            <w:r>
              <w:rPr>
                <w:rFonts w:hint="eastAsia" w:ascii="仿宋" w:hAnsi="仿宋" w:eastAsia="仿宋" w:cs="Times New Roman"/>
                <w:b/>
                <w:color w:val="auto"/>
                <w:sz w:val="28"/>
                <w:szCs w:val="28"/>
                <w:highlight w:val="none"/>
              </w:rPr>
              <w:t>资金支付</w:t>
            </w:r>
            <w:r>
              <w:rPr>
                <w:rFonts w:ascii="仿宋" w:hAnsi="仿宋" w:eastAsia="仿宋" w:cs="Times New Roman"/>
                <w:b/>
                <w:color w:val="auto"/>
                <w:sz w:val="28"/>
                <w:szCs w:val="28"/>
                <w:highlight w:val="none"/>
              </w:rPr>
              <w:t>方式</w:t>
            </w:r>
          </w:p>
        </w:tc>
        <w:tc>
          <w:tcPr>
            <w:tcW w:w="992" w:type="dxa"/>
            <w:tcBorders>
              <w:bottom w:val="single" w:color="auto" w:sz="4" w:space="0"/>
            </w:tcBorders>
            <w:vAlign w:val="center"/>
          </w:tcPr>
          <w:p w14:paraId="7D5A5FB8">
            <w:pPr>
              <w:jc w:val="center"/>
              <w:rPr>
                <w:rFonts w:ascii="仿宋" w:hAnsi="仿宋" w:eastAsia="仿宋" w:cs="Times New Roman"/>
                <w:b/>
                <w:color w:val="auto"/>
                <w:sz w:val="28"/>
                <w:szCs w:val="28"/>
                <w:highlight w:val="none"/>
              </w:rPr>
            </w:pPr>
            <w:r>
              <w:rPr>
                <w:rFonts w:hint="eastAsia" w:ascii="仿宋" w:hAnsi="仿宋" w:eastAsia="仿宋" w:cs="Times New Roman"/>
                <w:b/>
                <w:color w:val="auto"/>
                <w:sz w:val="28"/>
                <w:szCs w:val="28"/>
                <w:highlight w:val="none"/>
              </w:rPr>
              <w:t>备注</w:t>
            </w:r>
          </w:p>
        </w:tc>
      </w:tr>
      <w:tr w14:paraId="55888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51" w:hRule="atLeast"/>
        </w:trPr>
        <w:tc>
          <w:tcPr>
            <w:tcW w:w="846" w:type="dxa"/>
            <w:tcBorders>
              <w:top w:val="single" w:color="auto" w:sz="4" w:space="0"/>
              <w:left w:val="single" w:color="auto" w:sz="4" w:space="0"/>
              <w:bottom w:val="single" w:color="auto" w:sz="4" w:space="0"/>
              <w:right w:val="single" w:color="auto" w:sz="4" w:space="0"/>
            </w:tcBorders>
          </w:tcPr>
          <w:p w14:paraId="20239A62">
            <w:pPr>
              <w:widowControl/>
              <w:jc w:val="center"/>
              <w:textAlignment w:val="center"/>
              <w:rPr>
                <w:rFonts w:ascii="仿宋" w:hAnsi="仿宋" w:eastAsia="仿宋" w:cs="宋体"/>
                <w:color w:val="auto"/>
                <w:kern w:val="0"/>
                <w:sz w:val="28"/>
                <w:szCs w:val="28"/>
                <w:highlight w:val="none"/>
              </w:rPr>
            </w:pPr>
            <w:r>
              <w:rPr>
                <w:rFonts w:hint="eastAsia" w:ascii="仿宋" w:hAnsi="仿宋" w:eastAsia="仿宋" w:cs="宋体"/>
                <w:color w:val="auto"/>
                <w:kern w:val="0"/>
                <w:sz w:val="28"/>
                <w:szCs w:val="28"/>
                <w:highlight w:val="none"/>
              </w:rPr>
              <w:t>1</w:t>
            </w:r>
          </w:p>
        </w:tc>
        <w:tc>
          <w:tcPr>
            <w:tcW w:w="1559" w:type="dxa"/>
            <w:tcBorders>
              <w:top w:val="single" w:color="auto" w:sz="4" w:space="0"/>
              <w:left w:val="single" w:color="auto" w:sz="4" w:space="0"/>
              <w:bottom w:val="single" w:color="auto" w:sz="4" w:space="0"/>
              <w:right w:val="single" w:color="auto" w:sz="4" w:space="0"/>
            </w:tcBorders>
            <w:vAlign w:val="center"/>
          </w:tcPr>
          <w:p w14:paraId="5002E539">
            <w:pPr>
              <w:rPr>
                <w:rFonts w:ascii="仿宋" w:hAnsi="仿宋" w:eastAsia="仿宋" w:cs="Times New Roman"/>
                <w:color w:val="auto"/>
                <w:sz w:val="28"/>
                <w:szCs w:val="28"/>
                <w:highlight w:val="none"/>
              </w:rPr>
            </w:pPr>
            <w:r>
              <w:rPr>
                <w:rFonts w:hint="eastAsia" w:asciiTheme="minorEastAsia" w:hAnsiTheme="minorEastAsia"/>
                <w:color w:val="auto"/>
                <w:sz w:val="24"/>
                <w:highlight w:val="none"/>
              </w:rPr>
              <w:t>每批次订单双方确认后</w:t>
            </w:r>
          </w:p>
        </w:tc>
        <w:tc>
          <w:tcPr>
            <w:tcW w:w="2410" w:type="dxa"/>
            <w:tcBorders>
              <w:top w:val="single" w:color="auto" w:sz="4" w:space="0"/>
              <w:left w:val="single" w:color="auto" w:sz="4" w:space="0"/>
              <w:bottom w:val="single" w:color="auto" w:sz="4" w:space="0"/>
              <w:right w:val="single" w:color="auto" w:sz="4" w:space="0"/>
            </w:tcBorders>
            <w:vAlign w:val="center"/>
          </w:tcPr>
          <w:p w14:paraId="47FD9586">
            <w:pPr>
              <w:rPr>
                <w:rFonts w:ascii="仿宋" w:hAnsi="仿宋" w:eastAsia="仿宋" w:cs="Times New Roman"/>
                <w:color w:val="auto"/>
                <w:sz w:val="28"/>
                <w:szCs w:val="28"/>
                <w:highlight w:val="none"/>
              </w:rPr>
            </w:pPr>
            <w:r>
              <w:rPr>
                <w:rFonts w:hint="eastAsia" w:asciiTheme="minorEastAsia" w:hAnsiTheme="minorEastAsia"/>
                <w:color w:val="auto"/>
                <w:sz w:val="24"/>
                <w:highlight w:val="none"/>
              </w:rPr>
              <w:t>中标人向采购人提供当批次订单的货物，采购人在收到货物并理化验收合格后通知中标人，中标人向采购人开具当批次订单的全额增值税专用发票，采购人</w:t>
            </w:r>
            <w:r>
              <w:rPr>
                <w:rFonts w:asciiTheme="minorEastAsia" w:hAnsiTheme="minorEastAsia"/>
                <w:color w:val="auto"/>
                <w:sz w:val="24"/>
                <w:highlight w:val="none"/>
              </w:rPr>
              <w:t>在</w:t>
            </w:r>
            <w:r>
              <w:rPr>
                <w:rFonts w:hint="eastAsia" w:asciiTheme="minorEastAsia" w:hAnsiTheme="minorEastAsia"/>
                <w:color w:val="auto"/>
                <w:sz w:val="24"/>
                <w:highlight w:val="none"/>
              </w:rPr>
              <w:t>30个日历日内</w:t>
            </w:r>
            <w:r>
              <w:rPr>
                <w:rFonts w:asciiTheme="minorEastAsia" w:hAnsiTheme="minorEastAsia"/>
                <w:color w:val="auto"/>
                <w:sz w:val="24"/>
                <w:highlight w:val="none"/>
              </w:rPr>
              <w:t>支付</w:t>
            </w:r>
            <w:r>
              <w:rPr>
                <w:rFonts w:hint="eastAsia" w:asciiTheme="minorEastAsia" w:hAnsiTheme="minorEastAsia"/>
                <w:color w:val="auto"/>
                <w:sz w:val="24"/>
                <w:highlight w:val="none"/>
              </w:rPr>
              <w:t>该批次订单的</w:t>
            </w:r>
            <w:r>
              <w:rPr>
                <w:rFonts w:asciiTheme="minorEastAsia" w:hAnsiTheme="minorEastAsia"/>
                <w:color w:val="auto"/>
                <w:sz w:val="24"/>
                <w:highlight w:val="none"/>
              </w:rPr>
              <w:t>全额货款。</w:t>
            </w:r>
          </w:p>
        </w:tc>
        <w:tc>
          <w:tcPr>
            <w:tcW w:w="1701" w:type="dxa"/>
            <w:tcBorders>
              <w:top w:val="single" w:color="auto" w:sz="4" w:space="0"/>
              <w:left w:val="single" w:color="auto" w:sz="4" w:space="0"/>
              <w:bottom w:val="single" w:color="auto" w:sz="4" w:space="0"/>
              <w:right w:val="single" w:color="auto" w:sz="4" w:space="0"/>
            </w:tcBorders>
            <w:vAlign w:val="center"/>
          </w:tcPr>
          <w:p w14:paraId="22A82104">
            <w:pPr>
              <w:jc w:val="center"/>
              <w:rPr>
                <w:rFonts w:ascii="仿宋" w:hAnsi="仿宋" w:eastAsia="仿宋" w:cs="Times New Roman"/>
                <w:color w:val="auto"/>
                <w:sz w:val="28"/>
                <w:szCs w:val="28"/>
                <w:highlight w:val="none"/>
              </w:rPr>
            </w:pPr>
            <w:r>
              <w:rPr>
                <w:rFonts w:hint="eastAsia" w:asciiTheme="minorEastAsia" w:hAnsiTheme="minorEastAsia"/>
                <w:color w:val="auto"/>
                <w:highlight w:val="none"/>
              </w:rPr>
              <w:t>100%</w:t>
            </w:r>
          </w:p>
        </w:tc>
        <w:tc>
          <w:tcPr>
            <w:tcW w:w="1276" w:type="dxa"/>
            <w:tcBorders>
              <w:top w:val="single" w:color="auto" w:sz="4" w:space="0"/>
              <w:left w:val="single" w:color="auto" w:sz="4" w:space="0"/>
              <w:bottom w:val="single" w:color="auto" w:sz="4" w:space="0"/>
              <w:right w:val="single" w:color="auto" w:sz="4" w:space="0"/>
            </w:tcBorders>
            <w:vAlign w:val="center"/>
          </w:tcPr>
          <w:p w14:paraId="5662C8B1">
            <w:pPr>
              <w:rPr>
                <w:rFonts w:ascii="仿宋" w:hAnsi="仿宋" w:eastAsia="仿宋" w:cs="Times New Roman"/>
                <w:color w:val="auto"/>
                <w:sz w:val="28"/>
                <w:szCs w:val="28"/>
                <w:highlight w:val="none"/>
              </w:rPr>
            </w:pPr>
            <w:r>
              <w:rPr>
                <w:rFonts w:hint="eastAsia" w:asciiTheme="minorEastAsia" w:hAnsiTheme="minorEastAsia"/>
                <w:color w:val="auto"/>
                <w:sz w:val="24"/>
                <w:highlight w:val="none"/>
              </w:rPr>
              <w:t>银行转账</w:t>
            </w:r>
          </w:p>
        </w:tc>
        <w:tc>
          <w:tcPr>
            <w:tcW w:w="992" w:type="dxa"/>
            <w:tcBorders>
              <w:top w:val="single" w:color="auto" w:sz="4" w:space="0"/>
              <w:left w:val="single" w:color="auto" w:sz="4" w:space="0"/>
              <w:bottom w:val="single" w:color="auto" w:sz="4" w:space="0"/>
              <w:right w:val="single" w:color="auto" w:sz="4" w:space="0"/>
            </w:tcBorders>
          </w:tcPr>
          <w:p w14:paraId="35DD3244">
            <w:pPr>
              <w:rPr>
                <w:rFonts w:ascii="仿宋" w:hAnsi="仿宋" w:eastAsia="仿宋" w:cs="Times New Roman"/>
                <w:color w:val="auto"/>
                <w:sz w:val="28"/>
                <w:szCs w:val="28"/>
                <w:highlight w:val="none"/>
              </w:rPr>
            </w:pPr>
          </w:p>
        </w:tc>
      </w:tr>
    </w:tbl>
    <w:p w14:paraId="4A82BB36">
      <w:pPr>
        <w:spacing w:line="360" w:lineRule="auto"/>
        <w:ind w:firstLine="640" w:firstLineChars="200"/>
        <w:rPr>
          <w:rFonts w:ascii="仿宋" w:hAnsi="仿宋" w:eastAsia="仿宋" w:cs="Times New Roman"/>
          <w:iCs/>
          <w:color w:val="auto"/>
          <w:sz w:val="32"/>
          <w:szCs w:val="32"/>
          <w:highlight w:val="none"/>
        </w:rPr>
      </w:pPr>
      <w:r>
        <w:rPr>
          <w:rFonts w:ascii="仿宋" w:hAnsi="仿宋" w:eastAsia="仿宋" w:cs="Times New Roman"/>
          <w:iCs/>
          <w:color w:val="auto"/>
          <w:sz w:val="32"/>
          <w:szCs w:val="32"/>
          <w:highlight w:val="none"/>
        </w:rPr>
        <w:t>C.</w:t>
      </w:r>
      <w:r>
        <w:rPr>
          <w:rFonts w:hint="eastAsia" w:ascii="仿宋" w:hAnsi="仿宋" w:eastAsia="仿宋" w:cs="Times New Roman"/>
          <w:iCs/>
          <w:color w:val="auto"/>
          <w:sz w:val="32"/>
          <w:szCs w:val="32"/>
          <w:highlight w:val="none"/>
        </w:rPr>
        <w:t>报价说明</w:t>
      </w:r>
    </w:p>
    <w:p w14:paraId="4350ACBB">
      <w:pPr>
        <w:spacing w:line="360" w:lineRule="auto"/>
        <w:ind w:firstLine="560" w:firstLineChars="200"/>
        <w:jc w:val="left"/>
        <w:rPr>
          <w:rFonts w:ascii="黑体" w:hAnsi="黑体" w:eastAsia="黑体" w:cs="宋体"/>
          <w:color w:val="auto"/>
          <w:sz w:val="24"/>
          <w:highlight w:val="none"/>
        </w:rPr>
      </w:pPr>
      <w:r>
        <w:rPr>
          <w:rFonts w:hint="eastAsia" w:ascii="黑体" w:hAnsi="黑体" w:eastAsia="黑体" w:cs="宋体"/>
          <w:color w:val="auto"/>
          <w:sz w:val="28"/>
          <w:szCs w:val="28"/>
          <w:highlight w:val="none"/>
        </w:rPr>
        <w:t xml:space="preserve">  </w:t>
      </w:r>
      <w:r>
        <w:rPr>
          <w:rFonts w:hint="eastAsia" w:ascii="黑体" w:hAnsi="黑体" w:eastAsia="黑体" w:cs="宋体"/>
          <w:color w:val="auto"/>
          <w:sz w:val="24"/>
          <w:highlight w:val="none"/>
        </w:rPr>
        <w:t>1.报价要求</w:t>
      </w:r>
    </w:p>
    <w:tbl>
      <w:tblPr>
        <w:tblStyle w:val="8"/>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3"/>
        <w:gridCol w:w="1061"/>
        <w:gridCol w:w="7315"/>
      </w:tblGrid>
      <w:tr w14:paraId="7D4FD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tblHeader/>
        </w:trPr>
        <w:tc>
          <w:tcPr>
            <w:tcW w:w="663" w:type="dxa"/>
            <w:vAlign w:val="center"/>
          </w:tcPr>
          <w:p w14:paraId="29DE45DD">
            <w:pPr>
              <w:snapToGrid w:val="0"/>
              <w:jc w:val="center"/>
              <w:rPr>
                <w:rFonts w:cs="仿宋" w:asciiTheme="minorEastAsia" w:hAnsiTheme="minorEastAsia"/>
                <w:b/>
                <w:color w:val="auto"/>
                <w:sz w:val="22"/>
                <w:szCs w:val="22"/>
                <w:highlight w:val="none"/>
              </w:rPr>
            </w:pPr>
            <w:r>
              <w:rPr>
                <w:rFonts w:hint="eastAsia" w:cs="Times New Roman" w:asciiTheme="minorEastAsia" w:hAnsiTheme="minorEastAsia"/>
                <w:b/>
                <w:color w:val="auto"/>
                <w:sz w:val="22"/>
                <w:szCs w:val="22"/>
                <w:highlight w:val="none"/>
              </w:rPr>
              <w:t>序号</w:t>
            </w:r>
          </w:p>
        </w:tc>
        <w:tc>
          <w:tcPr>
            <w:tcW w:w="1061" w:type="dxa"/>
            <w:vAlign w:val="center"/>
          </w:tcPr>
          <w:p w14:paraId="183FB454">
            <w:pPr>
              <w:snapToGrid w:val="0"/>
              <w:jc w:val="center"/>
              <w:rPr>
                <w:rFonts w:cs="仿宋" w:asciiTheme="minorEastAsia" w:hAnsiTheme="minorEastAsia"/>
                <w:b/>
                <w:color w:val="auto"/>
                <w:sz w:val="22"/>
                <w:szCs w:val="22"/>
                <w:highlight w:val="none"/>
              </w:rPr>
            </w:pPr>
            <w:r>
              <w:rPr>
                <w:rFonts w:hint="eastAsia" w:cs="Times New Roman" w:asciiTheme="minorEastAsia" w:hAnsiTheme="minorEastAsia"/>
                <w:b/>
                <w:color w:val="auto"/>
                <w:sz w:val="22"/>
                <w:szCs w:val="22"/>
                <w:highlight w:val="none"/>
              </w:rPr>
              <w:t>内容</w:t>
            </w:r>
          </w:p>
        </w:tc>
        <w:tc>
          <w:tcPr>
            <w:tcW w:w="7315" w:type="dxa"/>
            <w:vAlign w:val="center"/>
          </w:tcPr>
          <w:p w14:paraId="7F8E8539">
            <w:pPr>
              <w:snapToGrid w:val="0"/>
              <w:jc w:val="center"/>
              <w:rPr>
                <w:rFonts w:cs="仿宋" w:asciiTheme="minorEastAsia" w:hAnsiTheme="minorEastAsia"/>
                <w:b/>
                <w:color w:val="auto"/>
                <w:sz w:val="22"/>
                <w:szCs w:val="22"/>
                <w:highlight w:val="none"/>
              </w:rPr>
            </w:pPr>
            <w:r>
              <w:rPr>
                <w:rFonts w:hint="eastAsia" w:cs="Times New Roman" w:asciiTheme="minorEastAsia" w:hAnsiTheme="minorEastAsia"/>
                <w:b/>
                <w:color w:val="auto"/>
                <w:sz w:val="22"/>
                <w:szCs w:val="22"/>
                <w:highlight w:val="none"/>
              </w:rPr>
              <w:t>报价要求</w:t>
            </w:r>
          </w:p>
        </w:tc>
      </w:tr>
      <w:tr w14:paraId="10DB3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3" w:type="dxa"/>
            <w:vAlign w:val="center"/>
          </w:tcPr>
          <w:p w14:paraId="50725487">
            <w:pPr>
              <w:widowControl/>
              <w:jc w:val="center"/>
              <w:textAlignment w:val="center"/>
              <w:rPr>
                <w:rFonts w:cs="仿宋" w:asciiTheme="minorEastAsia" w:hAnsiTheme="minorEastAsia"/>
                <w:color w:val="auto"/>
                <w:kern w:val="0"/>
                <w:sz w:val="22"/>
                <w:szCs w:val="22"/>
                <w:highlight w:val="none"/>
              </w:rPr>
            </w:pPr>
            <w:r>
              <w:rPr>
                <w:rFonts w:cs="仿宋" w:asciiTheme="minorEastAsia" w:hAnsiTheme="minorEastAsia"/>
                <w:color w:val="auto"/>
                <w:kern w:val="0"/>
                <w:sz w:val="22"/>
                <w:szCs w:val="22"/>
                <w:highlight w:val="none"/>
              </w:rPr>
              <w:t>1</w:t>
            </w:r>
          </w:p>
        </w:tc>
        <w:tc>
          <w:tcPr>
            <w:tcW w:w="1061" w:type="dxa"/>
            <w:vAlign w:val="center"/>
          </w:tcPr>
          <w:p w14:paraId="2BAEC1BF">
            <w:pPr>
              <w:autoSpaceDE w:val="0"/>
              <w:autoSpaceDN w:val="0"/>
              <w:adjustRightInd w:val="0"/>
              <w:snapToGrid w:val="0"/>
              <w:jc w:val="center"/>
              <w:rPr>
                <w:rFonts w:cs="仿宋" w:asciiTheme="minorEastAsia" w:hAnsiTheme="minorEastAsia"/>
                <w:color w:val="auto"/>
                <w:sz w:val="22"/>
                <w:szCs w:val="22"/>
                <w:highlight w:val="none"/>
              </w:rPr>
            </w:pPr>
            <w:r>
              <w:rPr>
                <w:rFonts w:hint="eastAsia" w:cs="仿宋" w:asciiTheme="minorEastAsia" w:hAnsiTheme="minorEastAsia"/>
                <w:color w:val="auto"/>
                <w:sz w:val="22"/>
                <w:szCs w:val="22"/>
                <w:highlight w:val="none"/>
              </w:rPr>
              <w:t>定价规则</w:t>
            </w:r>
          </w:p>
        </w:tc>
        <w:tc>
          <w:tcPr>
            <w:tcW w:w="7315" w:type="dxa"/>
            <w:vAlign w:val="center"/>
          </w:tcPr>
          <w:p w14:paraId="547AB89B">
            <w:pPr>
              <w:autoSpaceDE w:val="0"/>
              <w:autoSpaceDN w:val="0"/>
              <w:adjustRightInd w:val="0"/>
              <w:snapToGrid w:val="0"/>
              <w:jc w:val="left"/>
              <w:rPr>
                <w:rFonts w:cs="仿宋" w:asciiTheme="minorEastAsia" w:hAnsiTheme="minorEastAsia"/>
                <w:color w:val="auto"/>
                <w:sz w:val="22"/>
                <w:szCs w:val="22"/>
                <w:highlight w:val="none"/>
              </w:rPr>
            </w:pPr>
            <w:r>
              <w:rPr>
                <w:rFonts w:hint="eastAsia" w:cs="仿宋" w:asciiTheme="minorEastAsia" w:hAnsiTheme="minorEastAsia"/>
                <w:color w:val="auto"/>
                <w:sz w:val="22"/>
                <w:szCs w:val="22"/>
                <w:highlight w:val="none"/>
              </w:rPr>
              <w:t>投标报价说明：采购人指定投标人在投标报价时造币用电解镍的基价为158800元/吨。投标人报价=(158800元/吨+浮动费用报价</w:t>
            </w:r>
            <w:r>
              <w:rPr>
                <w:rFonts w:ascii="仿宋" w:hAnsi="仿宋" w:eastAsia="仿宋" w:cs="Times New Roman"/>
                <w:color w:val="auto"/>
                <w:sz w:val="31"/>
                <w:szCs w:val="31"/>
                <w:highlight w:val="none"/>
                <w:u w:val="single"/>
              </w:rPr>
              <w:t xml:space="preserve">    </w:t>
            </w:r>
            <w:r>
              <w:rPr>
                <w:rFonts w:hint="eastAsia" w:cs="仿宋" w:asciiTheme="minorEastAsia" w:hAnsiTheme="minorEastAsia"/>
                <w:color w:val="auto"/>
                <w:sz w:val="22"/>
                <w:szCs w:val="22"/>
                <w:highlight w:val="none"/>
              </w:rPr>
              <w:t>元/吨</w:t>
            </w:r>
            <w:r>
              <w:rPr>
                <w:rFonts w:cs="仿宋" w:asciiTheme="minorEastAsia" w:hAnsiTheme="minorEastAsia"/>
                <w:color w:val="auto"/>
                <w:sz w:val="22"/>
                <w:szCs w:val="22"/>
                <w:highlight w:val="none"/>
              </w:rPr>
              <w:t>）</w:t>
            </w:r>
            <w:r>
              <w:rPr>
                <w:rFonts w:hint="eastAsia" w:cs="仿宋" w:asciiTheme="minorEastAsia" w:hAnsiTheme="minorEastAsia"/>
                <w:color w:val="auto"/>
                <w:sz w:val="22"/>
                <w:szCs w:val="22"/>
                <w:highlight w:val="none"/>
              </w:rPr>
              <w:t>×重量（吨）,</w:t>
            </w:r>
            <w:r>
              <w:rPr>
                <w:rFonts w:cs="仿宋" w:asciiTheme="minorEastAsia" w:hAnsiTheme="minorEastAsia"/>
                <w:color w:val="auto"/>
                <w:sz w:val="22"/>
                <w:szCs w:val="22"/>
                <w:highlight w:val="none"/>
              </w:rPr>
              <w:t xml:space="preserve"> 含</w:t>
            </w:r>
            <w:r>
              <w:rPr>
                <w:rFonts w:ascii="仿宋" w:hAnsi="仿宋" w:eastAsia="仿宋" w:cs="Times New Roman"/>
                <w:color w:val="auto"/>
                <w:sz w:val="31"/>
                <w:szCs w:val="31"/>
                <w:highlight w:val="none"/>
                <w:u w:val="single"/>
              </w:rPr>
              <w:t xml:space="preserve">  </w:t>
            </w:r>
            <w:r>
              <w:rPr>
                <w:rFonts w:cs="仿宋" w:asciiTheme="minorEastAsia" w:hAnsiTheme="minorEastAsia"/>
                <w:color w:val="auto"/>
                <w:sz w:val="22"/>
                <w:szCs w:val="22"/>
                <w:highlight w:val="none"/>
              </w:rPr>
              <w:t>%增值税。投标人的</w:t>
            </w:r>
            <w:r>
              <w:rPr>
                <w:rFonts w:hint="eastAsia" w:cs="仿宋" w:asciiTheme="minorEastAsia" w:hAnsiTheme="minorEastAsia"/>
                <w:color w:val="auto"/>
                <w:sz w:val="22"/>
                <w:szCs w:val="22"/>
                <w:highlight w:val="none"/>
              </w:rPr>
              <w:t>浮动费</w:t>
            </w:r>
            <w:r>
              <w:rPr>
                <w:rFonts w:cs="仿宋" w:asciiTheme="minorEastAsia" w:hAnsiTheme="minorEastAsia"/>
                <w:color w:val="auto"/>
                <w:sz w:val="22"/>
                <w:szCs w:val="22"/>
                <w:highlight w:val="none"/>
              </w:rPr>
              <w:t>报价包含</w:t>
            </w:r>
            <w:r>
              <w:rPr>
                <w:rFonts w:hint="eastAsia" w:cs="仿宋" w:asciiTheme="minorEastAsia" w:hAnsiTheme="minorEastAsia"/>
                <w:color w:val="auto"/>
                <w:sz w:val="22"/>
                <w:szCs w:val="22"/>
                <w:highlight w:val="none"/>
              </w:rPr>
              <w:t>运费、管理费</w:t>
            </w:r>
            <w:r>
              <w:rPr>
                <w:rFonts w:cs="仿宋" w:asciiTheme="minorEastAsia" w:hAnsiTheme="minorEastAsia"/>
                <w:color w:val="auto"/>
                <w:sz w:val="22"/>
                <w:szCs w:val="22"/>
                <w:highlight w:val="none"/>
              </w:rPr>
              <w:t>及</w:t>
            </w:r>
            <w:r>
              <w:rPr>
                <w:rFonts w:hint="eastAsia" w:cs="仿宋" w:asciiTheme="minorEastAsia" w:hAnsiTheme="minorEastAsia"/>
                <w:color w:val="auto"/>
                <w:sz w:val="22"/>
                <w:szCs w:val="22"/>
                <w:highlight w:val="none"/>
              </w:rPr>
              <w:t>利润等</w:t>
            </w:r>
            <w:r>
              <w:rPr>
                <w:rFonts w:cs="仿宋" w:asciiTheme="minorEastAsia" w:hAnsiTheme="minorEastAsia"/>
                <w:color w:val="auto"/>
                <w:sz w:val="22"/>
                <w:szCs w:val="22"/>
                <w:highlight w:val="none"/>
              </w:rPr>
              <w:t>保证项目履约涉及的一切费用。（合同履约过程中，需方根据业务需求提出具体电解镍订单事项，供需双方根据</w:t>
            </w:r>
            <w:r>
              <w:rPr>
                <w:rFonts w:hint="eastAsia" w:cs="仿宋" w:asciiTheme="minorEastAsia" w:hAnsiTheme="minorEastAsia"/>
                <w:color w:val="auto"/>
                <w:sz w:val="22"/>
                <w:szCs w:val="22"/>
                <w:highlight w:val="none"/>
              </w:rPr>
              <w:t>上海有色网现货1#电解镍在订单出具当日最高价以及供方的浮动费报价之和执行最终订单价格。）</w:t>
            </w:r>
          </w:p>
        </w:tc>
      </w:tr>
      <w:tr w14:paraId="0CF51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0" w:hRule="atLeast"/>
        </w:trPr>
        <w:tc>
          <w:tcPr>
            <w:tcW w:w="663" w:type="dxa"/>
            <w:vAlign w:val="center"/>
          </w:tcPr>
          <w:p w14:paraId="7363355B">
            <w:pPr>
              <w:widowControl/>
              <w:jc w:val="center"/>
              <w:textAlignment w:val="center"/>
              <w:rPr>
                <w:rFonts w:cs="仿宋" w:asciiTheme="minorEastAsia" w:hAnsiTheme="minorEastAsia"/>
                <w:color w:val="auto"/>
                <w:kern w:val="0"/>
                <w:sz w:val="22"/>
                <w:szCs w:val="22"/>
                <w:highlight w:val="none"/>
              </w:rPr>
            </w:pPr>
            <w:r>
              <w:rPr>
                <w:rFonts w:cs="仿宋" w:asciiTheme="minorEastAsia" w:hAnsiTheme="minorEastAsia"/>
                <w:color w:val="auto"/>
                <w:kern w:val="0"/>
                <w:sz w:val="22"/>
                <w:szCs w:val="22"/>
                <w:highlight w:val="none"/>
              </w:rPr>
              <w:t>2</w:t>
            </w:r>
          </w:p>
        </w:tc>
        <w:tc>
          <w:tcPr>
            <w:tcW w:w="1061" w:type="dxa"/>
            <w:vAlign w:val="center"/>
          </w:tcPr>
          <w:p w14:paraId="2FC64F04">
            <w:pPr>
              <w:autoSpaceDE w:val="0"/>
              <w:autoSpaceDN w:val="0"/>
              <w:adjustRightInd w:val="0"/>
              <w:snapToGrid w:val="0"/>
              <w:jc w:val="center"/>
              <w:rPr>
                <w:rFonts w:cs="仿宋" w:asciiTheme="minorEastAsia" w:hAnsiTheme="minorEastAsia"/>
                <w:color w:val="auto"/>
                <w:sz w:val="22"/>
                <w:szCs w:val="22"/>
                <w:highlight w:val="none"/>
              </w:rPr>
            </w:pPr>
            <w:r>
              <w:rPr>
                <w:rFonts w:hint="eastAsia" w:cs="仿宋" w:asciiTheme="minorEastAsia" w:hAnsiTheme="minorEastAsia"/>
                <w:color w:val="auto"/>
                <w:sz w:val="22"/>
                <w:szCs w:val="22"/>
                <w:highlight w:val="none"/>
              </w:rPr>
              <w:t>最高限价</w:t>
            </w:r>
          </w:p>
        </w:tc>
        <w:tc>
          <w:tcPr>
            <w:tcW w:w="7315" w:type="dxa"/>
            <w:vAlign w:val="center"/>
          </w:tcPr>
          <w:p w14:paraId="58A1A6E9">
            <w:pPr>
              <w:autoSpaceDE w:val="0"/>
              <w:autoSpaceDN w:val="0"/>
              <w:adjustRightInd w:val="0"/>
              <w:snapToGrid w:val="0"/>
              <w:jc w:val="left"/>
              <w:rPr>
                <w:rFonts w:cs="仿宋" w:asciiTheme="minorEastAsia" w:hAnsiTheme="minorEastAsia"/>
                <w:color w:val="auto"/>
                <w:sz w:val="22"/>
                <w:szCs w:val="22"/>
                <w:highlight w:val="none"/>
              </w:rPr>
            </w:pPr>
            <w:r>
              <w:rPr>
                <w:rFonts w:hint="eastAsia" w:cs="仿宋" w:asciiTheme="minorEastAsia" w:hAnsiTheme="minorEastAsia"/>
                <w:color w:val="auto"/>
                <w:sz w:val="22"/>
                <w:szCs w:val="22"/>
                <w:highlight w:val="none"/>
              </w:rPr>
              <w:t>本项目电解镍招标人对浮动费费用设置最高限价，浮动费报价的最高限价为12</w:t>
            </w:r>
            <w:r>
              <w:rPr>
                <w:rFonts w:cs="仿宋" w:asciiTheme="minorEastAsia" w:hAnsiTheme="minorEastAsia"/>
                <w:color w:val="auto"/>
                <w:sz w:val="22"/>
                <w:szCs w:val="22"/>
                <w:highlight w:val="none"/>
              </w:rPr>
              <w:t>0</w:t>
            </w:r>
            <w:r>
              <w:rPr>
                <w:rFonts w:hint="eastAsia" w:cs="仿宋" w:asciiTheme="minorEastAsia" w:hAnsiTheme="minorEastAsia"/>
                <w:color w:val="auto"/>
                <w:sz w:val="22"/>
                <w:szCs w:val="22"/>
                <w:highlight w:val="none"/>
              </w:rPr>
              <w:t>0元</w:t>
            </w:r>
            <w:r>
              <w:rPr>
                <w:rFonts w:cs="仿宋" w:asciiTheme="minorEastAsia" w:hAnsiTheme="minorEastAsia"/>
                <w:color w:val="auto"/>
                <w:sz w:val="22"/>
                <w:szCs w:val="22"/>
                <w:highlight w:val="none"/>
              </w:rPr>
              <w:t>/吨。投标人的投标报价不能高于招标人设置的最高限价，否则，将作为</w:t>
            </w:r>
            <w:r>
              <w:rPr>
                <w:rFonts w:hint="eastAsia" w:cs="仿宋" w:asciiTheme="minorEastAsia" w:hAnsiTheme="minorEastAsia"/>
                <w:color w:val="auto"/>
                <w:sz w:val="22"/>
                <w:szCs w:val="22"/>
                <w:highlight w:val="none"/>
              </w:rPr>
              <w:t>无效投标</w:t>
            </w:r>
            <w:r>
              <w:rPr>
                <w:rFonts w:cs="仿宋" w:asciiTheme="minorEastAsia" w:hAnsiTheme="minorEastAsia"/>
                <w:color w:val="auto"/>
                <w:sz w:val="22"/>
                <w:szCs w:val="22"/>
                <w:highlight w:val="none"/>
              </w:rPr>
              <w:t>处理。</w:t>
            </w:r>
          </w:p>
        </w:tc>
      </w:tr>
      <w:tr w14:paraId="0D801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63" w:type="dxa"/>
            <w:vAlign w:val="center"/>
          </w:tcPr>
          <w:p w14:paraId="1E184F24">
            <w:pPr>
              <w:widowControl/>
              <w:jc w:val="center"/>
              <w:textAlignment w:val="center"/>
              <w:rPr>
                <w:rFonts w:cs="仿宋" w:asciiTheme="minorEastAsia" w:hAnsiTheme="minorEastAsia"/>
                <w:color w:val="auto"/>
                <w:kern w:val="0"/>
                <w:sz w:val="22"/>
                <w:szCs w:val="22"/>
                <w:highlight w:val="none"/>
              </w:rPr>
            </w:pPr>
            <w:r>
              <w:rPr>
                <w:rFonts w:cs="仿宋" w:asciiTheme="minorEastAsia" w:hAnsiTheme="minorEastAsia"/>
                <w:color w:val="auto"/>
                <w:kern w:val="0"/>
                <w:sz w:val="22"/>
                <w:szCs w:val="22"/>
                <w:highlight w:val="none"/>
              </w:rPr>
              <w:t>3</w:t>
            </w:r>
          </w:p>
        </w:tc>
        <w:tc>
          <w:tcPr>
            <w:tcW w:w="1061" w:type="dxa"/>
            <w:vAlign w:val="center"/>
          </w:tcPr>
          <w:p w14:paraId="19FCD605">
            <w:pPr>
              <w:autoSpaceDE w:val="0"/>
              <w:autoSpaceDN w:val="0"/>
              <w:adjustRightInd w:val="0"/>
              <w:snapToGrid w:val="0"/>
              <w:jc w:val="center"/>
              <w:rPr>
                <w:rFonts w:cs="仿宋" w:asciiTheme="minorEastAsia" w:hAnsiTheme="minorEastAsia"/>
                <w:color w:val="auto"/>
                <w:sz w:val="22"/>
                <w:szCs w:val="22"/>
                <w:highlight w:val="none"/>
              </w:rPr>
            </w:pPr>
            <w:r>
              <w:rPr>
                <w:rFonts w:hint="eastAsia" w:cs="仿宋" w:asciiTheme="minorEastAsia" w:hAnsiTheme="minorEastAsia"/>
                <w:color w:val="auto"/>
                <w:sz w:val="22"/>
                <w:szCs w:val="22"/>
                <w:highlight w:val="none"/>
              </w:rPr>
              <w:t>投标、定标原则</w:t>
            </w:r>
          </w:p>
        </w:tc>
        <w:tc>
          <w:tcPr>
            <w:tcW w:w="7315" w:type="dxa"/>
            <w:vAlign w:val="center"/>
          </w:tcPr>
          <w:p w14:paraId="3EF7B760">
            <w:pPr>
              <w:autoSpaceDE w:val="0"/>
              <w:autoSpaceDN w:val="0"/>
              <w:adjustRightInd w:val="0"/>
              <w:snapToGrid w:val="0"/>
              <w:jc w:val="left"/>
              <w:rPr>
                <w:rFonts w:cs="仿宋" w:asciiTheme="minorEastAsia" w:hAnsiTheme="minorEastAsia"/>
                <w:color w:val="auto"/>
                <w:sz w:val="22"/>
                <w:szCs w:val="22"/>
                <w:highlight w:val="none"/>
              </w:rPr>
            </w:pPr>
            <w:r>
              <w:rPr>
                <w:rFonts w:hint="eastAsia" w:cs="仿宋" w:asciiTheme="minorEastAsia" w:hAnsiTheme="minorEastAsia"/>
                <w:color w:val="auto"/>
                <w:sz w:val="22"/>
                <w:szCs w:val="22"/>
                <w:highlight w:val="none"/>
              </w:rPr>
              <w:t>（1）多家代理商仅代理同一品牌时，仅计为 1 个有效品牌，取该品牌所有代理商最低报价参与比价。如有两家或两家以上代理商投标报价相同且最低，则由评标委员会现场抽签确定参加比价的供应商。</w:t>
            </w:r>
          </w:p>
          <w:p w14:paraId="66ABCD3B">
            <w:pPr>
              <w:autoSpaceDE w:val="0"/>
              <w:autoSpaceDN w:val="0"/>
              <w:adjustRightInd w:val="0"/>
              <w:snapToGrid w:val="0"/>
              <w:jc w:val="left"/>
              <w:rPr>
                <w:rFonts w:cs="仿宋" w:asciiTheme="minorEastAsia" w:hAnsiTheme="minorEastAsia"/>
                <w:color w:val="auto"/>
                <w:sz w:val="22"/>
                <w:szCs w:val="22"/>
                <w:highlight w:val="none"/>
              </w:rPr>
            </w:pPr>
            <w:r>
              <w:rPr>
                <w:rFonts w:hint="eastAsia" w:cs="仿宋" w:asciiTheme="minorEastAsia" w:hAnsiTheme="minorEastAsia"/>
                <w:color w:val="auto"/>
                <w:sz w:val="22"/>
                <w:szCs w:val="22"/>
                <w:highlight w:val="none"/>
              </w:rPr>
              <w:t>（2）投标人可以参与投标。评标委员会进行评标，根据投标人的报价情况，按照有效投标报价由低到高的顺序确定中标候选人。如果出现递交投标文件不足</w:t>
            </w:r>
            <w:r>
              <w:rPr>
                <w:rFonts w:cs="仿宋" w:asciiTheme="minorEastAsia" w:hAnsiTheme="minorEastAsia"/>
                <w:color w:val="auto"/>
                <w:sz w:val="22"/>
                <w:szCs w:val="22"/>
                <w:highlight w:val="none"/>
              </w:rPr>
              <w:t>3</w:t>
            </w:r>
            <w:r>
              <w:rPr>
                <w:rFonts w:hint="eastAsia" w:cs="仿宋" w:asciiTheme="minorEastAsia" w:hAnsiTheme="minorEastAsia"/>
                <w:color w:val="auto"/>
                <w:sz w:val="22"/>
                <w:szCs w:val="22"/>
                <w:highlight w:val="none"/>
              </w:rPr>
              <w:t>家、开标后通过资格评审不足</w:t>
            </w:r>
            <w:r>
              <w:rPr>
                <w:rFonts w:cs="仿宋" w:asciiTheme="minorEastAsia" w:hAnsiTheme="minorEastAsia"/>
                <w:color w:val="auto"/>
                <w:sz w:val="22"/>
                <w:szCs w:val="22"/>
                <w:highlight w:val="none"/>
              </w:rPr>
              <w:t>3</w:t>
            </w:r>
            <w:r>
              <w:rPr>
                <w:rFonts w:hint="eastAsia" w:cs="仿宋" w:asciiTheme="minorEastAsia" w:hAnsiTheme="minorEastAsia"/>
                <w:color w:val="auto"/>
                <w:sz w:val="22"/>
                <w:szCs w:val="22"/>
                <w:highlight w:val="none"/>
              </w:rPr>
              <w:t>家、评标时通过符合性审查不足</w:t>
            </w:r>
            <w:r>
              <w:rPr>
                <w:rFonts w:cs="仿宋" w:asciiTheme="minorEastAsia" w:hAnsiTheme="minorEastAsia"/>
                <w:color w:val="auto"/>
                <w:sz w:val="22"/>
                <w:szCs w:val="22"/>
                <w:highlight w:val="none"/>
              </w:rPr>
              <w:t>3</w:t>
            </w:r>
            <w:r>
              <w:rPr>
                <w:rFonts w:hint="eastAsia" w:cs="仿宋" w:asciiTheme="minorEastAsia" w:hAnsiTheme="minorEastAsia"/>
                <w:color w:val="auto"/>
                <w:sz w:val="22"/>
                <w:szCs w:val="22"/>
                <w:highlight w:val="none"/>
              </w:rPr>
              <w:t>家等情形，该包件作废标处理。如出现包件流标时，采购人可以根据实际情况选择是否对流标包件重新进行招标。</w:t>
            </w:r>
          </w:p>
          <w:p w14:paraId="5BE04F64">
            <w:pPr>
              <w:autoSpaceDE w:val="0"/>
              <w:autoSpaceDN w:val="0"/>
              <w:adjustRightInd w:val="0"/>
              <w:snapToGrid w:val="0"/>
              <w:jc w:val="left"/>
              <w:rPr>
                <w:rFonts w:cs="仿宋" w:asciiTheme="minorEastAsia" w:hAnsiTheme="minorEastAsia"/>
                <w:color w:val="auto"/>
                <w:sz w:val="22"/>
                <w:szCs w:val="22"/>
                <w:highlight w:val="none"/>
              </w:rPr>
            </w:pPr>
            <w:r>
              <w:rPr>
                <w:rFonts w:hint="eastAsia" w:cs="仿宋" w:asciiTheme="minorEastAsia" w:hAnsiTheme="minorEastAsia"/>
                <w:color w:val="auto"/>
                <w:sz w:val="22"/>
                <w:szCs w:val="22"/>
                <w:highlight w:val="none"/>
              </w:rPr>
              <w:t>（3）如有两家或两家以上有效投标人投标报价相同且最低，则由评标委员会现场抽签确定中标候选人顺序。</w:t>
            </w:r>
          </w:p>
        </w:tc>
      </w:tr>
    </w:tbl>
    <w:p w14:paraId="50CF9A23">
      <w:pPr>
        <w:spacing w:line="440" w:lineRule="exact"/>
        <w:ind w:right="480" w:firstLine="5760" w:firstLineChars="2400"/>
      </w:pPr>
      <w:bookmarkStart w:id="0" w:name="_GoBack"/>
      <w:bookmarkEnd w:id="0"/>
      <w:r>
        <w:rPr>
          <w:rFonts w:hint="eastAsia" w:ascii="仿宋_GB2312" w:hAnsi="宋体" w:eastAsia="仿宋_GB2312" w:cs="宋体"/>
          <w:sz w:val="24"/>
        </w:rPr>
        <w:t xml:space="preserve">                      </w:t>
      </w: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F892CE">
    <w:pPr>
      <w:pStyle w:val="5"/>
    </w:pPr>
    <w:r>
      <w:pict>
        <v:shape id="_x0000_s1027" o:spid="_x0000_s102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VZerI4AgAAbwQAAA4AAABkcnMvZTJvRG9jLnhtbK1UzY7TMBC+I/EO&#10;lu80aRGrbt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tVl6sjgCAABvBAAADgAAAAAAAAABACAAAAAfAQAAZHJzL2Uyb0RvYy54&#10;bWxQSwUGAAAAAAYABgBZAQAAyQUAAAAA&#10;">
          <v:path/>
          <v:fill on="f" focussize="0,0"/>
          <v:stroke on="f" weight="0.5pt" joinstyle="miter"/>
          <v:imagedata o:title=""/>
          <o:lock v:ext="edit"/>
          <v:textbox inset="0mm,0mm,0mm,0mm" style="mso-fit-shape-to-text:t;">
            <w:txbxContent>
              <w:p w14:paraId="41F2C30D">
                <w:pPr>
                  <w:pStyle w:val="5"/>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19</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B9782A">
    <w:pPr>
      <w:pStyle w:val="6"/>
      <w:tabs>
        <w:tab w:val="left" w:pos="351"/>
        <w:tab w:val="clear" w:pos="4153"/>
      </w:tabs>
    </w:pPr>
    <w:r>
      <w:rPr>
        <w:rFonts w:hint="eastAsia"/>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FC91163"/>
    <w:multiLevelType w:val="multilevel"/>
    <w:tmpl w:val="1FC91163"/>
    <w:lvl w:ilvl="0" w:tentative="0">
      <w:start w:val="1"/>
      <w:numFmt w:val="decimal"/>
      <w:pStyle w:val="22"/>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21"/>
      <w:suff w:val="nothing"/>
      <w:lvlText w:val="%1.%2　"/>
      <w:lvlJc w:val="left"/>
      <w:pPr>
        <w:ind w:left="360" w:firstLine="0"/>
      </w:pPr>
      <w:rPr>
        <w:rFonts w:hint="eastAsia" w:ascii="黑体" w:hAnsi="Times New Roman" w:eastAsia="黑体" w:cs="Times New Roman"/>
        <w:b w:val="0"/>
        <w:bCs w:val="0"/>
        <w:i w:val="0"/>
        <w:iCs w:val="0"/>
        <w:caps w:val="0"/>
        <w:strike w:val="0"/>
        <w:dstrike w:val="0"/>
        <w:vanish w:val="0"/>
        <w:spacing w:val="0"/>
        <w:kern w:val="0"/>
        <w:position w:val="0"/>
        <w:sz w:val="21"/>
        <w:szCs w:val="21"/>
        <w:u w:val="none"/>
        <w:vertAlign w:val="baseline"/>
      </w:rPr>
    </w:lvl>
    <w:lvl w:ilvl="2" w:tentative="0">
      <w:start w:val="1"/>
      <w:numFmt w:val="decimal"/>
      <w:pStyle w:val="20"/>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36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mViYjgxZDU4YTM5YjI2NTg0ZDJhZTM4NjY1MDhjN2YifQ=="/>
  </w:docVars>
  <w:rsids>
    <w:rsidRoot w:val="07916C43"/>
    <w:rsid w:val="00007DDE"/>
    <w:rsid w:val="0006692D"/>
    <w:rsid w:val="00070F15"/>
    <w:rsid w:val="00082F42"/>
    <w:rsid w:val="000874FB"/>
    <w:rsid w:val="00097F89"/>
    <w:rsid w:val="000B3E88"/>
    <w:rsid w:val="000C02A4"/>
    <w:rsid w:val="000F5E8B"/>
    <w:rsid w:val="00135378"/>
    <w:rsid w:val="00141DE8"/>
    <w:rsid w:val="00143573"/>
    <w:rsid w:val="00147738"/>
    <w:rsid w:val="001574DE"/>
    <w:rsid w:val="00186A60"/>
    <w:rsid w:val="001A7B6A"/>
    <w:rsid w:val="001F0D03"/>
    <w:rsid w:val="002220B5"/>
    <w:rsid w:val="0023614F"/>
    <w:rsid w:val="00236B8F"/>
    <w:rsid w:val="00265C2F"/>
    <w:rsid w:val="00266354"/>
    <w:rsid w:val="002718FC"/>
    <w:rsid w:val="002754BA"/>
    <w:rsid w:val="002874F7"/>
    <w:rsid w:val="002A07FE"/>
    <w:rsid w:val="002A18C8"/>
    <w:rsid w:val="002B596E"/>
    <w:rsid w:val="002D1DEC"/>
    <w:rsid w:val="00311539"/>
    <w:rsid w:val="00316BD4"/>
    <w:rsid w:val="00323B2A"/>
    <w:rsid w:val="00373B7D"/>
    <w:rsid w:val="00397B4B"/>
    <w:rsid w:val="003A3F7C"/>
    <w:rsid w:val="003C039A"/>
    <w:rsid w:val="003D4C69"/>
    <w:rsid w:val="003F586A"/>
    <w:rsid w:val="003F7C45"/>
    <w:rsid w:val="00425B80"/>
    <w:rsid w:val="00427EDB"/>
    <w:rsid w:val="00470F79"/>
    <w:rsid w:val="004A689B"/>
    <w:rsid w:val="004B6694"/>
    <w:rsid w:val="004D3078"/>
    <w:rsid w:val="004E31DB"/>
    <w:rsid w:val="004E417C"/>
    <w:rsid w:val="00501ED5"/>
    <w:rsid w:val="00502CE1"/>
    <w:rsid w:val="00512BB3"/>
    <w:rsid w:val="0051328D"/>
    <w:rsid w:val="0051709B"/>
    <w:rsid w:val="00527547"/>
    <w:rsid w:val="005569C8"/>
    <w:rsid w:val="00562F6C"/>
    <w:rsid w:val="005804F8"/>
    <w:rsid w:val="005A5271"/>
    <w:rsid w:val="005B2BBF"/>
    <w:rsid w:val="005B3D62"/>
    <w:rsid w:val="005C06AF"/>
    <w:rsid w:val="00605269"/>
    <w:rsid w:val="006562DB"/>
    <w:rsid w:val="006615D9"/>
    <w:rsid w:val="006A23D1"/>
    <w:rsid w:val="006A4C66"/>
    <w:rsid w:val="006B3B3E"/>
    <w:rsid w:val="006C5612"/>
    <w:rsid w:val="006C7AC7"/>
    <w:rsid w:val="006D1B0A"/>
    <w:rsid w:val="006D582E"/>
    <w:rsid w:val="006E7246"/>
    <w:rsid w:val="007210BD"/>
    <w:rsid w:val="007233C1"/>
    <w:rsid w:val="00777D0F"/>
    <w:rsid w:val="0081208F"/>
    <w:rsid w:val="00833030"/>
    <w:rsid w:val="0083597D"/>
    <w:rsid w:val="00881788"/>
    <w:rsid w:val="00886F86"/>
    <w:rsid w:val="00890C43"/>
    <w:rsid w:val="008B30A0"/>
    <w:rsid w:val="008C006F"/>
    <w:rsid w:val="008C16C4"/>
    <w:rsid w:val="008C3C62"/>
    <w:rsid w:val="008C5674"/>
    <w:rsid w:val="008E1EC1"/>
    <w:rsid w:val="008E416C"/>
    <w:rsid w:val="009067C9"/>
    <w:rsid w:val="00906DFE"/>
    <w:rsid w:val="00912DCA"/>
    <w:rsid w:val="00921C5F"/>
    <w:rsid w:val="00931689"/>
    <w:rsid w:val="0099270F"/>
    <w:rsid w:val="009A5CCB"/>
    <w:rsid w:val="009C4B85"/>
    <w:rsid w:val="009D05D4"/>
    <w:rsid w:val="009F5BB4"/>
    <w:rsid w:val="00A075F6"/>
    <w:rsid w:val="00A10167"/>
    <w:rsid w:val="00A17282"/>
    <w:rsid w:val="00A819A5"/>
    <w:rsid w:val="00A95CA0"/>
    <w:rsid w:val="00AA432D"/>
    <w:rsid w:val="00AB0E6B"/>
    <w:rsid w:val="00B05353"/>
    <w:rsid w:val="00B83F18"/>
    <w:rsid w:val="00BB5C32"/>
    <w:rsid w:val="00BC2851"/>
    <w:rsid w:val="00BF0DE9"/>
    <w:rsid w:val="00BF6A71"/>
    <w:rsid w:val="00C32893"/>
    <w:rsid w:val="00C35B25"/>
    <w:rsid w:val="00C5024E"/>
    <w:rsid w:val="00C51EA5"/>
    <w:rsid w:val="00C53938"/>
    <w:rsid w:val="00D1011C"/>
    <w:rsid w:val="00D36EB9"/>
    <w:rsid w:val="00D44698"/>
    <w:rsid w:val="00D717A0"/>
    <w:rsid w:val="00DA13D0"/>
    <w:rsid w:val="00DE0D26"/>
    <w:rsid w:val="00DE5CDC"/>
    <w:rsid w:val="00E07B8D"/>
    <w:rsid w:val="00E13248"/>
    <w:rsid w:val="00E16448"/>
    <w:rsid w:val="00E90006"/>
    <w:rsid w:val="00EA093A"/>
    <w:rsid w:val="00EA1398"/>
    <w:rsid w:val="00EF52C2"/>
    <w:rsid w:val="00EF6396"/>
    <w:rsid w:val="00F17136"/>
    <w:rsid w:val="00F22E4D"/>
    <w:rsid w:val="00F35C36"/>
    <w:rsid w:val="00F37050"/>
    <w:rsid w:val="00F54BA4"/>
    <w:rsid w:val="00F64B1F"/>
    <w:rsid w:val="00F90260"/>
    <w:rsid w:val="00F95DBC"/>
    <w:rsid w:val="00FB20FC"/>
    <w:rsid w:val="00FB2DE2"/>
    <w:rsid w:val="00FD73AF"/>
    <w:rsid w:val="07916C43"/>
    <w:rsid w:val="07FD48E9"/>
    <w:rsid w:val="0EEF2B3E"/>
    <w:rsid w:val="1D9378AA"/>
    <w:rsid w:val="338059C1"/>
    <w:rsid w:val="35521C81"/>
    <w:rsid w:val="44EB17AA"/>
    <w:rsid w:val="451F2592"/>
    <w:rsid w:val="45623624"/>
    <w:rsid w:val="4BEE3F7C"/>
    <w:rsid w:val="528E3ABA"/>
    <w:rsid w:val="53807291"/>
    <w:rsid w:val="59E8018F"/>
    <w:rsid w:val="5E8C325E"/>
    <w:rsid w:val="645640C0"/>
    <w:rsid w:val="6829511B"/>
    <w:rsid w:val="6E0077C5"/>
    <w:rsid w:val="79BF41E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semiHidden/>
    <w:unhideWhenUsed/>
    <w:qFormat/>
    <w:uiPriority w:val="99"/>
    <w:pPr>
      <w:widowControl w:val="0"/>
    </w:pPr>
    <w:rPr>
      <w:rFonts w:ascii="Times New Roman" w:hAnsi="Times New Roman" w:eastAsia="宋体" w:cs="Times New Roman"/>
      <w:kern w:val="2"/>
      <w:sz w:val="21"/>
      <w:szCs w:val="24"/>
      <w:lang w:val="en-US" w:eastAsia="zh-CN" w:bidi="ar-SA"/>
    </w:rPr>
  </w:style>
  <w:style w:type="paragraph" w:styleId="3">
    <w:name w:val="Body Text"/>
    <w:basedOn w:val="1"/>
    <w:link w:val="13"/>
    <w:qFormat/>
    <w:uiPriority w:val="0"/>
    <w:pPr>
      <w:spacing w:after="120"/>
    </w:pPr>
  </w:style>
  <w:style w:type="paragraph" w:styleId="4">
    <w:name w:val="Balloon Text"/>
    <w:basedOn w:val="1"/>
    <w:link w:val="11"/>
    <w:qFormat/>
    <w:uiPriority w:val="0"/>
    <w:rPr>
      <w:sz w:val="18"/>
      <w:szCs w:val="18"/>
    </w:rPr>
  </w:style>
  <w:style w:type="paragraph" w:styleId="5">
    <w:name w:val="footer"/>
    <w:qFormat/>
    <w:uiPriority w:val="0"/>
    <w:pPr>
      <w:widowControl w:val="0"/>
      <w:tabs>
        <w:tab w:val="center" w:pos="4153"/>
        <w:tab w:val="right" w:pos="8306"/>
      </w:tabs>
      <w:snapToGrid w:val="0"/>
    </w:pPr>
    <w:rPr>
      <w:rFonts w:asciiTheme="minorHAnsi" w:hAnsiTheme="minorHAnsi" w:eastAsiaTheme="minorEastAsia" w:cstheme="minorBidi"/>
      <w:kern w:val="2"/>
      <w:sz w:val="18"/>
      <w:szCs w:val="24"/>
      <w:lang w:val="en-US" w:eastAsia="zh-CN" w:bidi="ar-SA"/>
    </w:rPr>
  </w:style>
  <w:style w:type="paragraph" w:styleId="6">
    <w:name w:val="header"/>
    <w:qFormat/>
    <w:uiPriority w:val="0"/>
    <w:pPr>
      <w:widowControl w:val="0"/>
      <w:pBdr>
        <w:top w:val="none" w:color="auto" w:sz="0" w:space="1"/>
        <w:left w:val="none" w:color="auto" w:sz="0" w:space="4"/>
        <w:bottom w:val="none" w:color="auto" w:sz="0" w:space="1"/>
        <w:right w:val="none" w:color="auto" w:sz="0" w:space="4"/>
      </w:pBdr>
      <w:tabs>
        <w:tab w:val="center" w:pos="4153"/>
        <w:tab w:val="right" w:pos="8306"/>
      </w:tabs>
      <w:snapToGrid w:val="0"/>
      <w:jc w:val="both"/>
    </w:pPr>
    <w:rPr>
      <w:rFonts w:asciiTheme="minorHAnsi" w:hAnsiTheme="minorHAnsi" w:eastAsiaTheme="minorEastAsia" w:cstheme="minorBidi"/>
      <w:kern w:val="2"/>
      <w:sz w:val="18"/>
      <w:szCs w:val="24"/>
      <w:lang w:val="en-US" w:eastAsia="zh-CN" w:bidi="ar-SA"/>
    </w:rPr>
  </w:style>
  <w:style w:type="paragraph" w:styleId="7">
    <w:name w:val="Body Text First Indent"/>
    <w:basedOn w:val="3"/>
    <w:link w:val="14"/>
    <w:qFormat/>
    <w:uiPriority w:val="0"/>
  </w:style>
  <w:style w:type="table" w:styleId="9">
    <w:name w:val="Table Grid"/>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1">
    <w:name w:val="批注框文本 Char"/>
    <w:basedOn w:val="10"/>
    <w:link w:val="4"/>
    <w:qFormat/>
    <w:uiPriority w:val="0"/>
    <w:rPr>
      <w:kern w:val="2"/>
      <w:sz w:val="18"/>
      <w:szCs w:val="18"/>
    </w:rPr>
  </w:style>
  <w:style w:type="character" w:customStyle="1" w:styleId="12">
    <w:name w:val="z-label"/>
    <w:basedOn w:val="10"/>
    <w:qFormat/>
    <w:uiPriority w:val="0"/>
  </w:style>
  <w:style w:type="character" w:customStyle="1" w:styleId="13">
    <w:name w:val="正文文本 Char"/>
    <w:basedOn w:val="10"/>
    <w:link w:val="3"/>
    <w:qFormat/>
    <w:uiPriority w:val="0"/>
    <w:rPr>
      <w:kern w:val="2"/>
      <w:sz w:val="21"/>
      <w:szCs w:val="24"/>
    </w:rPr>
  </w:style>
  <w:style w:type="character" w:customStyle="1" w:styleId="14">
    <w:name w:val="正文首行缩进 Char"/>
    <w:basedOn w:val="13"/>
    <w:link w:val="7"/>
    <w:qFormat/>
    <w:uiPriority w:val="0"/>
  </w:style>
  <w:style w:type="paragraph" w:styleId="15">
    <w:name w:val="List Paragraph"/>
    <w:basedOn w:val="1"/>
    <w:qFormat/>
    <w:uiPriority w:val="99"/>
    <w:pPr>
      <w:ind w:firstLine="420" w:firstLineChars="200"/>
    </w:pPr>
    <w:rPr>
      <w:szCs w:val="22"/>
    </w:rPr>
  </w:style>
  <w:style w:type="paragraph" w:customStyle="1" w:styleId="16">
    <w:name w:val="封面标准文稿编辑信息"/>
    <w:basedOn w:val="1"/>
    <w:qFormat/>
    <w:uiPriority w:val="0"/>
    <w:pPr>
      <w:framePr w:w="9639" w:h="6917" w:hRule="exact" w:wrap="around" w:vAnchor="page" w:hAnchor="page" w:xAlign="center" w:y="6408" w:anchorLock="1"/>
      <w:spacing w:before="180" w:after="160" w:line="180" w:lineRule="exact"/>
      <w:jc w:val="center"/>
      <w:textAlignment w:val="center"/>
    </w:pPr>
    <w:rPr>
      <w:rFonts w:ascii="宋体" w:hAnsi="Times New Roman" w:eastAsia="宋体" w:cs="Times New Roman"/>
      <w:kern w:val="0"/>
      <w:szCs w:val="28"/>
    </w:rPr>
  </w:style>
  <w:style w:type="paragraph" w:customStyle="1" w:styleId="17">
    <w:name w:val="段"/>
    <w:link w:val="18"/>
    <w:qFormat/>
    <w:uiPriority w:val="0"/>
    <w:pPr>
      <w:autoSpaceDE w:val="0"/>
      <w:autoSpaceDN w:val="0"/>
      <w:ind w:firstLine="200" w:firstLineChars="200"/>
      <w:jc w:val="both"/>
    </w:pPr>
    <w:rPr>
      <w:rFonts w:ascii="宋体" w:hAnsi="Times New Roman" w:eastAsia="宋体" w:cs="宋体"/>
      <w:sz w:val="21"/>
      <w:szCs w:val="21"/>
      <w:lang w:val="en-US" w:eastAsia="zh-CN" w:bidi="ar-SA"/>
    </w:rPr>
  </w:style>
  <w:style w:type="character" w:customStyle="1" w:styleId="18">
    <w:name w:val="段 Char"/>
    <w:link w:val="17"/>
    <w:qFormat/>
    <w:uiPriority w:val="0"/>
    <w:rPr>
      <w:rFonts w:ascii="宋体" w:hAnsi="Times New Roman" w:eastAsia="宋体" w:cs="宋体"/>
      <w:sz w:val="21"/>
      <w:szCs w:val="21"/>
    </w:rPr>
  </w:style>
  <w:style w:type="paragraph" w:customStyle="1" w:styleId="19">
    <w:name w:val="表格文字"/>
    <w:basedOn w:val="1"/>
    <w:next w:val="3"/>
    <w:qFormat/>
    <w:uiPriority w:val="0"/>
    <w:pPr>
      <w:spacing w:before="25" w:after="25"/>
    </w:pPr>
    <w:rPr>
      <w:rFonts w:ascii="Calibri" w:hAnsi="Calibri"/>
      <w:bCs/>
      <w:spacing w:val="10"/>
      <w:szCs w:val="20"/>
    </w:rPr>
  </w:style>
  <w:style w:type="paragraph" w:customStyle="1" w:styleId="20">
    <w:name w:val="二级条标题"/>
    <w:basedOn w:val="21"/>
    <w:next w:val="17"/>
    <w:link w:val="24"/>
    <w:qFormat/>
    <w:uiPriority w:val="0"/>
    <w:pPr>
      <w:numPr>
        <w:ilvl w:val="2"/>
      </w:numPr>
      <w:spacing w:before="50" w:after="50"/>
      <w:outlineLvl w:val="3"/>
    </w:pPr>
  </w:style>
  <w:style w:type="paragraph" w:customStyle="1" w:styleId="21">
    <w:name w:val="一级条标题"/>
    <w:basedOn w:val="1"/>
    <w:next w:val="17"/>
    <w:link w:val="23"/>
    <w:qFormat/>
    <w:uiPriority w:val="0"/>
    <w:pPr>
      <w:widowControl/>
      <w:numPr>
        <w:ilvl w:val="1"/>
        <w:numId w:val="1"/>
      </w:numPr>
      <w:spacing w:beforeLines="50" w:afterLines="50"/>
      <w:outlineLvl w:val="2"/>
    </w:pPr>
    <w:rPr>
      <w:rFonts w:ascii="黑体" w:hAnsi="Times New Roman" w:eastAsia="黑体" w:cs="Times New Roman"/>
      <w:kern w:val="0"/>
      <w:szCs w:val="21"/>
    </w:rPr>
  </w:style>
  <w:style w:type="paragraph" w:customStyle="1" w:styleId="22">
    <w:name w:val="正文表标题"/>
    <w:next w:val="17"/>
    <w:qFormat/>
    <w:uiPriority w:val="99"/>
    <w:pPr>
      <w:numPr>
        <w:ilvl w:val="0"/>
        <w:numId w:val="1"/>
      </w:numPr>
      <w:tabs>
        <w:tab w:val="left" w:pos="360"/>
      </w:tabs>
      <w:spacing w:beforeLines="50" w:afterLines="50"/>
      <w:jc w:val="center"/>
    </w:pPr>
    <w:rPr>
      <w:rFonts w:ascii="黑体" w:hAnsi="Times New Roman" w:eastAsia="黑体" w:cs="Times New Roman"/>
      <w:sz w:val="21"/>
      <w:lang w:val="en-US" w:eastAsia="zh-CN" w:bidi="ar-SA"/>
    </w:rPr>
  </w:style>
  <w:style w:type="character" w:customStyle="1" w:styleId="23">
    <w:name w:val="一级条标题 Char"/>
    <w:link w:val="21"/>
    <w:qFormat/>
    <w:locked/>
    <w:uiPriority w:val="0"/>
    <w:rPr>
      <w:rFonts w:ascii="黑体" w:hAnsi="Times New Roman" w:eastAsia="黑体" w:cs="Times New Roman"/>
      <w:sz w:val="21"/>
      <w:szCs w:val="21"/>
    </w:rPr>
  </w:style>
  <w:style w:type="character" w:customStyle="1" w:styleId="24">
    <w:name w:val="二级条标题 Char"/>
    <w:basedOn w:val="23"/>
    <w:link w:val="20"/>
    <w:qFormat/>
    <w:uiPriority w:val="0"/>
  </w:style>
  <w:style w:type="paragraph" w:customStyle="1" w:styleId="25">
    <w:name w:val="Table Paragraph"/>
    <w:basedOn w:val="1"/>
    <w:qFormat/>
    <w:uiPriority w:val="1"/>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7"/>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E362E39-D877-4B5C-82EF-E0E63A627BFC}">
  <ds:schemaRefs/>
</ds:datastoreItem>
</file>

<file path=docProps/app.xml><?xml version="1.0" encoding="utf-8"?>
<Properties xmlns="http://schemas.openxmlformats.org/officeDocument/2006/extended-properties" xmlns:vt="http://schemas.openxmlformats.org/officeDocument/2006/docPropsVTypes">
  <Template>Normal</Template>
  <Pages>8</Pages>
  <Words>955</Words>
  <Characters>1158</Characters>
  <Lines>68</Lines>
  <Paragraphs>19</Paragraphs>
  <TotalTime>22</TotalTime>
  <ScaleCrop>false</ScaleCrop>
  <LinksUpToDate>false</LinksUpToDate>
  <CharactersWithSpaces>1181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2022-09-22T00:31:00Z</dcterms:created>
  <dc:creator>zzc</dc:creator>
  <cp:lastModifiedBy>鱼松</cp:lastModifiedBy>
  <cp:lastPrinted>2026-02-02T07:19:00Z</cp:lastPrinted>
  <dcterms:modified xsi:type="dcterms:W3CDTF">2026-08-31T07:29:18Z</dcterms:modified>
  <cp:revision>102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E3D822F6D02243E686F62042E8F1C5C2</vt:lpwstr>
  </property>
  <property fmtid="{D5CDD505-2E9C-101B-9397-08002B2CF9AE}" pid="4" name="KSOTemplateDocerSaveRecord">
    <vt:lpwstr>eyJoZGlkIjoiNDcxNGE5MjIwMzJlMzgyYzY5YTE5Y2NhMjBhMWEyMDciLCJ1c2VySWQiOiIzNTU3MjQ4NzAifQ==</vt:lpwstr>
  </property>
</Properties>
</file>