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C2A67">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中国印钞造币集团有限公司2026年棉短绒浆板行业集中采购项目采购需求</w:t>
      </w:r>
    </w:p>
    <w:p w14:paraId="4937A38D">
      <w:pPr>
        <w:spacing w:line="360" w:lineRule="auto"/>
        <w:ind w:firstLine="640" w:firstLineChars="200"/>
        <w:jc w:val="left"/>
        <w:outlineLvl w:val="1"/>
        <w:rPr>
          <w:rFonts w:hint="eastAsia" w:ascii="楷体" w:hAnsi="楷体" w:eastAsia="楷体" w:cs="Times New Roman"/>
          <w:color w:val="auto"/>
          <w:sz w:val="32"/>
          <w:szCs w:val="32"/>
          <w:highlight w:val="none"/>
          <w:lang w:val="en-US" w:eastAsia="zh-CN"/>
        </w:rPr>
      </w:pPr>
    </w:p>
    <w:p w14:paraId="681059CC">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一、项目基本信息</w:t>
      </w:r>
    </w:p>
    <w:p w14:paraId="32DC950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本项目为非政府采购项目，采购标的类型为货物，拟采用公开招标方式采购，供应商资格条件（适用于所有包件）如下：</w:t>
      </w:r>
    </w:p>
    <w:p w14:paraId="2DBB8EC5">
      <w:pPr>
        <w:snapToGrid w:val="0"/>
        <w:spacing w:line="360" w:lineRule="auto"/>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w:t>
      </w:r>
      <w:r>
        <w:rPr>
          <w:rFonts w:hint="eastAsia" w:ascii="仿宋" w:hAnsi="仿宋" w:eastAsia="仿宋" w:cs="Times New Roman"/>
          <w:sz w:val="32"/>
          <w:szCs w:val="32"/>
          <w:lang w:val="zh-CN"/>
        </w:rPr>
        <w:t>一</w:t>
      </w:r>
      <w:r>
        <w:rPr>
          <w:rFonts w:hint="eastAsia" w:ascii="仿宋" w:hAnsi="仿宋" w:eastAsia="仿宋" w:cs="Times New Roman"/>
          <w:sz w:val="32"/>
          <w:szCs w:val="32"/>
        </w:rPr>
        <w:t>）</w:t>
      </w:r>
      <w:r>
        <w:rPr>
          <w:rFonts w:hint="eastAsia" w:ascii="仿宋" w:hAnsi="仿宋" w:eastAsia="仿宋" w:cs="Times New Roman"/>
          <w:sz w:val="32"/>
          <w:szCs w:val="32"/>
          <w:lang w:val="zh-CN"/>
        </w:rPr>
        <w:t>信用核查</w:t>
      </w:r>
    </w:p>
    <w:p w14:paraId="3215B240">
      <w:pPr>
        <w:snapToGrid w:val="0"/>
        <w:spacing w:line="360" w:lineRule="auto"/>
        <w:ind w:firstLine="640" w:firstLineChars="200"/>
        <w:jc w:val="left"/>
        <w:rPr>
          <w:rFonts w:ascii="仿宋" w:hAnsi="仿宋" w:eastAsia="仿宋" w:cs="Times New Roman"/>
          <w:sz w:val="32"/>
          <w:szCs w:val="32"/>
        </w:rPr>
      </w:pPr>
      <w:r>
        <w:rPr>
          <w:rFonts w:hint="eastAsia" w:ascii="仿宋" w:hAnsi="仿宋" w:eastAsia="仿宋" w:cs="Times New Roman"/>
          <w:sz w:val="32"/>
          <w:szCs w:val="32"/>
          <w:lang w:val="zh-CN"/>
        </w:rPr>
        <w:t>必须为未被列入信用中国网站</w:t>
      </w:r>
      <w:r>
        <w:rPr>
          <w:rFonts w:hint="eastAsia" w:ascii="仿宋" w:hAnsi="仿宋" w:eastAsia="仿宋" w:cs="Times New Roman"/>
          <w:sz w:val="32"/>
          <w:szCs w:val="32"/>
        </w:rPr>
        <w:t>(www.creditchina.gov.cn)</w:t>
      </w:r>
      <w:r>
        <w:rPr>
          <w:rFonts w:hint="eastAsia" w:ascii="仿宋" w:hAnsi="仿宋" w:eastAsia="仿宋" w:cs="Times New Roman"/>
          <w:sz w:val="32"/>
          <w:szCs w:val="32"/>
          <w:lang w:val="zh-CN"/>
        </w:rPr>
        <w:t>、中国政府采购网</w:t>
      </w:r>
      <w:r>
        <w:rPr>
          <w:rFonts w:hint="eastAsia" w:ascii="仿宋" w:hAnsi="仿宋" w:eastAsia="仿宋" w:cs="Times New Roman"/>
          <w:sz w:val="32"/>
          <w:szCs w:val="32"/>
        </w:rPr>
        <w:t>(www.ccgp.gov.cn)</w:t>
      </w:r>
      <w:r>
        <w:rPr>
          <w:rFonts w:hint="eastAsia" w:ascii="仿宋" w:hAnsi="仿宋" w:eastAsia="仿宋" w:cs="Times New Roman"/>
          <w:sz w:val="32"/>
          <w:szCs w:val="32"/>
          <w:lang w:val="zh-CN"/>
        </w:rPr>
        <w:t>渠道信用记录失信被执行人、重大税收违法案件当事人名单、政府采购严重违法失信行为记录名单的投标人</w:t>
      </w:r>
      <w:r>
        <w:rPr>
          <w:rFonts w:hint="eastAsia" w:ascii="仿宋" w:hAnsi="仿宋" w:eastAsia="仿宋" w:cs="Times New Roman"/>
          <w:sz w:val="32"/>
          <w:szCs w:val="32"/>
        </w:rPr>
        <w:t>，</w:t>
      </w:r>
      <w:r>
        <w:rPr>
          <w:rFonts w:hint="eastAsia" w:ascii="仿宋" w:hAnsi="仿宋" w:eastAsia="仿宋" w:cs="Times New Roman"/>
          <w:sz w:val="32"/>
          <w:szCs w:val="32"/>
          <w:lang w:val="zh-CN"/>
        </w:rPr>
        <w:t>否则其投标将被拒绝。</w:t>
      </w:r>
    </w:p>
    <w:p w14:paraId="72BBADEB">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（二）符合《中华人民共和国政府采购法》第二十二条的规定,投标人必须在投标文件中提供下述资格证明文件，否则按无效投标处理：</w:t>
      </w:r>
    </w:p>
    <w:p w14:paraId="7B939365">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1、法人或者其他组织的营业执照等证明文件，自然人的身份证明；</w:t>
      </w:r>
    </w:p>
    <w:p w14:paraId="257DA0E6">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2、财务状况报告，依法缴纳税收和社会保障资金的相关材料；(供应商应提供书面承诺)</w:t>
      </w:r>
    </w:p>
    <w:p w14:paraId="10048F65">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3、具备履行合同所必需的设备和专业技术能力的证明材料；(供应商应提供书面承诺)</w:t>
      </w:r>
    </w:p>
    <w:p w14:paraId="167998CA">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4、参加政府采购活动前3年内在经营活动中没有重大违法记录的书面声明；(供应商应提供书面承诺)</w:t>
      </w:r>
    </w:p>
    <w:p w14:paraId="629F790F">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5、具备法律、行政法规规定的其他条件的证明材料。</w:t>
      </w:r>
    </w:p>
    <w:p w14:paraId="7B5C28A6">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（以上均为《中华人民共和国政府采购法实施条例》第十七条之规定）”</w:t>
      </w:r>
    </w:p>
    <w:p w14:paraId="0193F1BA">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二、采购需求</w:t>
      </w:r>
    </w:p>
    <w:p w14:paraId="3B59E632">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（一）项目内容</w:t>
      </w:r>
    </w:p>
    <w:p w14:paraId="1090F964">
      <w:pPr>
        <w:keepNext w:val="0"/>
        <w:keepLines w:val="0"/>
        <w:pageBreakBefore w:val="0"/>
        <w:widowControl w:val="0"/>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货物名称及数量：棉短绒浆板，12800吨。</w:t>
      </w:r>
    </w:p>
    <w:p w14:paraId="31087ACD">
      <w:pPr>
        <w:spacing w:line="360" w:lineRule="auto"/>
        <w:ind w:firstLine="560"/>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其中：其中成都印钞有限公司3000吨，成都印钞有限公司金鼎安全印制分公司100吨，保定钞票纸业有限公司7500吨，昆山钞票纸业有限公司2200吨。</w:t>
      </w:r>
    </w:p>
    <w:p w14:paraId="20CF2A8A">
      <w:pPr>
        <w:keepNext w:val="0"/>
        <w:keepLines w:val="0"/>
        <w:pageBreakBefore w:val="0"/>
        <w:widowControl w:val="0"/>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核心产品：棉短绒浆板</w:t>
      </w:r>
      <w:bookmarkStart w:id="0" w:name="_GoBack"/>
      <w:bookmarkEnd w:id="0"/>
    </w:p>
    <w:p w14:paraId="41F620ED">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eastAsia" w:ascii="楷体" w:hAnsi="楷体" w:eastAsia="楷体" w:cs="Times New Roman"/>
          <w:color w:val="auto"/>
          <w:sz w:val="32"/>
          <w:szCs w:val="32"/>
          <w:highlight w:val="none"/>
          <w:lang w:val="zh-CN" w:eastAsia="zh-CN"/>
        </w:rPr>
      </w:pPr>
      <w:r>
        <w:rPr>
          <w:rFonts w:hint="eastAsia" w:ascii="楷体" w:hAnsi="楷体" w:eastAsia="楷体" w:cs="Times New Roman"/>
          <w:color w:val="auto"/>
          <w:sz w:val="32"/>
          <w:szCs w:val="32"/>
          <w:highlight w:val="none"/>
          <w:lang w:val="en-US" w:eastAsia="zh-CN"/>
        </w:rPr>
        <w:t>（二）项目</w:t>
      </w:r>
      <w:r>
        <w:rPr>
          <w:rFonts w:hint="eastAsia" w:ascii="楷体" w:hAnsi="楷体" w:eastAsia="楷体" w:cs="Times New Roman"/>
          <w:color w:val="auto"/>
          <w:sz w:val="32"/>
          <w:szCs w:val="32"/>
          <w:highlight w:val="none"/>
          <w:lang w:val="zh-CN" w:eastAsia="zh-CN"/>
        </w:rPr>
        <w:t>需求部门</w:t>
      </w:r>
    </w:p>
    <w:p w14:paraId="6D936D10">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需求部门</w:t>
      </w:r>
      <w:r>
        <w:rPr>
          <w:rFonts w:hint="eastAsia" w:ascii="仿宋" w:hAnsi="仿宋" w:eastAsia="仿宋" w:cs="Times New Roman"/>
          <w:color w:val="auto"/>
          <w:sz w:val="32"/>
          <w:szCs w:val="32"/>
          <w:highlight w:val="none"/>
          <w:lang w:val="zh-CN" w:eastAsia="zh-CN"/>
        </w:rPr>
        <w:t>：</w:t>
      </w:r>
      <w:r>
        <w:rPr>
          <w:rFonts w:hint="eastAsia" w:ascii="仿宋" w:hAnsi="仿宋" w:eastAsia="仿宋" w:cs="Times New Roman"/>
          <w:color w:val="auto"/>
          <w:sz w:val="32"/>
          <w:szCs w:val="32"/>
          <w:highlight w:val="none"/>
          <w:lang w:val="en-US" w:eastAsia="zh-CN"/>
        </w:rPr>
        <w:t>成都印钞有限公司物资管理部、</w:t>
      </w:r>
      <w:r>
        <w:rPr>
          <w:rFonts w:hint="eastAsia" w:ascii="仿宋" w:hAnsi="仿宋" w:eastAsia="仿宋" w:cs="Times New Roman"/>
          <w:color w:val="auto"/>
          <w:sz w:val="32"/>
          <w:szCs w:val="32"/>
          <w:highlight w:val="none"/>
          <w:lang w:val="zh-CN"/>
        </w:rPr>
        <w:t>成都印钞有限公司金鼎安全印制分公司</w:t>
      </w:r>
      <w:r>
        <w:rPr>
          <w:rFonts w:hint="eastAsia" w:ascii="仿宋" w:hAnsi="仿宋" w:eastAsia="仿宋" w:cs="Times New Roman"/>
          <w:color w:val="auto"/>
          <w:sz w:val="32"/>
          <w:szCs w:val="32"/>
          <w:highlight w:val="none"/>
          <w:lang w:val="en-US" w:eastAsia="zh-CN"/>
        </w:rPr>
        <w:t>防伪造纸部、保定钞票纸业有限公司运营物流部、昆山钞票纸业有限公司物资管理部</w:t>
      </w:r>
      <w:r>
        <w:rPr>
          <w:rFonts w:hint="eastAsia" w:ascii="仿宋" w:hAnsi="仿宋" w:eastAsia="仿宋" w:cs="Times New Roman"/>
          <w:color w:val="auto"/>
          <w:sz w:val="32"/>
          <w:szCs w:val="32"/>
          <w:highlight w:val="none"/>
          <w:lang w:val="zh-CN" w:eastAsia="zh-CN"/>
        </w:rPr>
        <w:t>（</w:t>
      </w:r>
      <w:r>
        <w:rPr>
          <w:rFonts w:hint="eastAsia" w:ascii="仿宋" w:hAnsi="仿宋" w:eastAsia="仿宋" w:cs="Times New Roman"/>
          <w:color w:val="auto"/>
          <w:sz w:val="32"/>
          <w:szCs w:val="32"/>
          <w:highlight w:val="none"/>
          <w:lang w:val="zh-CN"/>
        </w:rPr>
        <w:t>成都印钞有限公司、成都印钞有限公司金鼎安全印制分公司、保定钞票纸业有限公司、昆山钞票纸业有限公司。</w:t>
      </w:r>
      <w:r>
        <w:rPr>
          <w:rFonts w:hint="eastAsia" w:ascii="仿宋" w:hAnsi="仿宋" w:eastAsia="仿宋" w:cs="Times New Roman"/>
          <w:color w:val="auto"/>
          <w:sz w:val="32"/>
          <w:szCs w:val="32"/>
          <w:highlight w:val="none"/>
          <w:lang w:val="en-US" w:eastAsia="zh-CN"/>
        </w:rPr>
        <w:t>四</w:t>
      </w:r>
      <w:r>
        <w:rPr>
          <w:rFonts w:hint="eastAsia" w:ascii="仿宋" w:hAnsi="仿宋" w:eastAsia="仿宋" w:cs="Times New Roman"/>
          <w:color w:val="auto"/>
          <w:sz w:val="32"/>
          <w:szCs w:val="32"/>
          <w:highlight w:val="none"/>
          <w:lang w:val="zh-CN"/>
        </w:rPr>
        <w:t>家</w:t>
      </w:r>
      <w:r>
        <w:rPr>
          <w:rFonts w:hint="eastAsia" w:ascii="仿宋" w:hAnsi="仿宋" w:eastAsia="仿宋" w:cs="Times New Roman"/>
          <w:color w:val="auto"/>
          <w:sz w:val="32"/>
          <w:szCs w:val="32"/>
          <w:highlight w:val="none"/>
          <w:lang w:val="en-US" w:eastAsia="zh-CN"/>
        </w:rPr>
        <w:t>公司</w:t>
      </w:r>
      <w:r>
        <w:rPr>
          <w:rFonts w:hint="eastAsia" w:ascii="仿宋" w:hAnsi="仿宋" w:eastAsia="仿宋" w:cs="Times New Roman"/>
          <w:color w:val="auto"/>
          <w:sz w:val="32"/>
          <w:szCs w:val="32"/>
          <w:highlight w:val="none"/>
          <w:lang w:val="zh-CN"/>
        </w:rPr>
        <w:t>分别与中标人签订采购合同、向中标人支付货款。）</w:t>
      </w:r>
    </w:p>
    <w:p w14:paraId="502E690C">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（三）采购标的汇总表</w:t>
      </w:r>
    </w:p>
    <w:p w14:paraId="2F155075">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1.包1</w:t>
      </w:r>
    </w:p>
    <w:tbl>
      <w:tblPr>
        <w:tblStyle w:val="16"/>
        <w:tblW w:w="8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3160"/>
        <w:gridCol w:w="1728"/>
        <w:gridCol w:w="1463"/>
        <w:gridCol w:w="1587"/>
      </w:tblGrid>
      <w:tr w14:paraId="177D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036" w:type="dxa"/>
            <w:vAlign w:val="center"/>
          </w:tcPr>
          <w:p w14:paraId="1B1FC9DE">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60" w:type="dxa"/>
            <w:vAlign w:val="center"/>
          </w:tcPr>
          <w:p w14:paraId="1DA471B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728" w:type="dxa"/>
            <w:vAlign w:val="center"/>
          </w:tcPr>
          <w:p w14:paraId="37048B4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632C2AE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63" w:type="dxa"/>
            <w:vAlign w:val="center"/>
          </w:tcPr>
          <w:p w14:paraId="113E08BF">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69903B8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87" w:type="dxa"/>
            <w:vAlign w:val="center"/>
          </w:tcPr>
          <w:p w14:paraId="414605B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6839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036" w:type="dxa"/>
            <w:vAlign w:val="center"/>
          </w:tcPr>
          <w:p w14:paraId="57DD003C">
            <w:pPr>
              <w:adjustRightInd w:val="0"/>
              <w:snapToGrid w:val="0"/>
              <w:spacing w:line="560" w:lineRule="exact"/>
              <w:jc w:val="center"/>
              <w:rPr>
                <w:rFonts w:ascii="仿宋" w:hAnsi="仿宋" w:eastAsia="仿宋" w:cs="Times New Roman"/>
                <w:sz w:val="28"/>
                <w:szCs w:val="28"/>
              </w:rPr>
            </w:pPr>
            <w:r>
              <w:rPr>
                <w:rFonts w:hint="eastAsia" w:ascii="仿宋" w:hAnsi="仿宋" w:eastAsia="仿宋" w:cs="Times New Roman"/>
                <w:sz w:val="28"/>
                <w:szCs w:val="28"/>
              </w:rPr>
              <w:t>1</w:t>
            </w:r>
          </w:p>
        </w:tc>
        <w:tc>
          <w:tcPr>
            <w:tcW w:w="3160" w:type="dxa"/>
            <w:vAlign w:val="center"/>
          </w:tcPr>
          <w:p w14:paraId="638431CF">
            <w:pPr>
              <w:adjustRightInd w:val="0"/>
              <w:snapToGrid w:val="0"/>
              <w:spacing w:line="360" w:lineRule="auto"/>
              <w:jc w:val="left"/>
              <w:rPr>
                <w:rFonts w:hint="eastAsia" w:ascii="仿宋" w:hAnsi="仿宋" w:eastAsia="仿宋"/>
                <w:iCs/>
                <w:sz w:val="28"/>
                <w:szCs w:val="28"/>
              </w:rPr>
            </w:pPr>
            <w:r>
              <w:rPr>
                <w:rFonts w:hint="eastAsia" w:ascii="仿宋" w:hAnsi="仿宋" w:eastAsia="仿宋"/>
                <w:iCs/>
                <w:sz w:val="28"/>
                <w:szCs w:val="28"/>
              </w:rPr>
              <w:t>棉短绒浆板包1</w:t>
            </w:r>
          </w:p>
          <w:p w14:paraId="4841121E">
            <w:pPr>
              <w:adjustRightInd w:val="0"/>
              <w:snapToGrid w:val="0"/>
              <w:spacing w:line="360" w:lineRule="auto"/>
              <w:jc w:val="left"/>
              <w:rPr>
                <w:rFonts w:ascii="仿宋" w:hAnsi="仿宋" w:eastAsia="仿宋" w:cs="Times New Roman"/>
                <w:i/>
                <w:sz w:val="28"/>
                <w:szCs w:val="28"/>
                <w:u w:val="single"/>
              </w:rPr>
            </w:pPr>
            <w:r>
              <w:rPr>
                <w:rFonts w:hint="eastAsia" w:ascii="仿宋" w:hAnsi="仿宋" w:eastAsia="仿宋"/>
                <w:iCs/>
                <w:sz w:val="28"/>
                <w:szCs w:val="28"/>
              </w:rPr>
              <w:t>（成钞750吨、金鼎100吨、保钞1800吨、昆钞550吨）</w:t>
            </w:r>
          </w:p>
        </w:tc>
        <w:tc>
          <w:tcPr>
            <w:tcW w:w="1728" w:type="dxa"/>
            <w:vAlign w:val="center"/>
          </w:tcPr>
          <w:p w14:paraId="556CB5AB">
            <w:pPr>
              <w:adjustRightInd w:val="0"/>
              <w:snapToGrid w:val="0"/>
              <w:spacing w:line="360" w:lineRule="auto"/>
              <w:jc w:val="center"/>
              <w:rPr>
                <w:rFonts w:hint="eastAsia" w:ascii="仿宋" w:hAnsi="仿宋" w:eastAsia="仿宋"/>
                <w:sz w:val="28"/>
                <w:szCs w:val="28"/>
                <w:lang w:val="en-US" w:eastAsia="zh-CN"/>
              </w:rPr>
            </w:pPr>
            <w:r>
              <w:rPr>
                <w:rFonts w:hint="eastAsia" w:ascii="仿宋" w:hAnsi="仿宋" w:eastAsia="仿宋"/>
                <w:sz w:val="28"/>
                <w:szCs w:val="28"/>
              </w:rPr>
              <w:t>A07030501</w:t>
            </w:r>
          </w:p>
        </w:tc>
        <w:tc>
          <w:tcPr>
            <w:tcW w:w="1463" w:type="dxa"/>
            <w:vAlign w:val="center"/>
          </w:tcPr>
          <w:p w14:paraId="45CF7CF6">
            <w:pPr>
              <w:adjustRightInd w:val="0"/>
              <w:snapToGrid w:val="0"/>
              <w:spacing w:line="560" w:lineRule="exact"/>
              <w:jc w:val="center"/>
              <w:rPr>
                <w:rFonts w:ascii="仿宋" w:hAnsi="仿宋" w:eastAsia="仿宋" w:cs="Times New Roman"/>
                <w:sz w:val="28"/>
                <w:szCs w:val="28"/>
              </w:rPr>
            </w:pPr>
            <w:r>
              <w:rPr>
                <w:rFonts w:hint="eastAsia" w:ascii="仿宋" w:hAnsi="仿宋" w:eastAsia="仿宋"/>
                <w:sz w:val="28"/>
                <w:szCs w:val="28"/>
              </w:rPr>
              <w:t>吨</w:t>
            </w:r>
          </w:p>
        </w:tc>
        <w:tc>
          <w:tcPr>
            <w:tcW w:w="1587" w:type="dxa"/>
            <w:vAlign w:val="center"/>
          </w:tcPr>
          <w:p w14:paraId="3C2F19E9">
            <w:pPr>
              <w:adjustRightInd w:val="0"/>
              <w:snapToGrid w:val="0"/>
              <w:spacing w:line="560" w:lineRule="exact"/>
              <w:jc w:val="center"/>
              <w:rPr>
                <w:rFonts w:hint="default" w:ascii="仿宋" w:hAnsi="仿宋" w:eastAsia="仿宋" w:cs="Times New Roman"/>
                <w:sz w:val="28"/>
                <w:szCs w:val="28"/>
                <w:lang w:val="en-US" w:eastAsia="zh-CN"/>
              </w:rPr>
            </w:pPr>
            <w:r>
              <w:rPr>
                <w:rFonts w:hint="eastAsia" w:ascii="仿宋" w:hAnsi="仿宋" w:eastAsia="仿宋"/>
                <w:sz w:val="28"/>
                <w:szCs w:val="28"/>
                <w:lang w:val="en-US" w:eastAsia="zh-CN"/>
              </w:rPr>
              <w:t>3200</w:t>
            </w:r>
          </w:p>
        </w:tc>
      </w:tr>
    </w:tbl>
    <w:p w14:paraId="1FC0C612">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2.包2</w:t>
      </w:r>
    </w:p>
    <w:tbl>
      <w:tblPr>
        <w:tblStyle w:val="16"/>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3118"/>
        <w:gridCol w:w="1725"/>
        <w:gridCol w:w="1463"/>
        <w:gridCol w:w="1575"/>
      </w:tblGrid>
      <w:tr w14:paraId="2FBB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177" w:type="dxa"/>
            <w:vAlign w:val="center"/>
          </w:tcPr>
          <w:p w14:paraId="2D5C4A8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18" w:type="dxa"/>
            <w:vAlign w:val="center"/>
          </w:tcPr>
          <w:p w14:paraId="34003CB3">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725" w:type="dxa"/>
            <w:vAlign w:val="center"/>
          </w:tcPr>
          <w:p w14:paraId="72953B7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75489807">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63" w:type="dxa"/>
            <w:vAlign w:val="center"/>
          </w:tcPr>
          <w:p w14:paraId="4F8E6B3E">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2B17960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75" w:type="dxa"/>
            <w:vAlign w:val="center"/>
          </w:tcPr>
          <w:p w14:paraId="6DB828DF">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770C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177" w:type="dxa"/>
            <w:vAlign w:val="center"/>
          </w:tcPr>
          <w:p w14:paraId="5036E646">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w:t>
            </w:r>
          </w:p>
        </w:tc>
        <w:tc>
          <w:tcPr>
            <w:tcW w:w="3118" w:type="dxa"/>
            <w:vAlign w:val="center"/>
          </w:tcPr>
          <w:p w14:paraId="04A1EEEE">
            <w:pPr>
              <w:adjustRightInd w:val="0"/>
              <w:snapToGrid w:val="0"/>
              <w:spacing w:line="360" w:lineRule="auto"/>
              <w:jc w:val="left"/>
              <w:rPr>
                <w:rFonts w:hint="eastAsia" w:ascii="仿宋" w:hAnsi="仿宋" w:eastAsia="仿宋"/>
                <w:iCs/>
                <w:sz w:val="28"/>
                <w:szCs w:val="28"/>
              </w:rPr>
            </w:pPr>
            <w:r>
              <w:rPr>
                <w:rFonts w:hint="eastAsia" w:ascii="仿宋" w:hAnsi="仿宋" w:eastAsia="仿宋" w:cs="Times New Roman"/>
                <w:iCs/>
                <w:sz w:val="28"/>
                <w:szCs w:val="28"/>
              </w:rPr>
              <w:t>棉短绒浆板</w:t>
            </w:r>
            <w:r>
              <w:rPr>
                <w:rFonts w:hint="eastAsia" w:ascii="仿宋" w:hAnsi="仿宋" w:eastAsia="仿宋"/>
                <w:iCs/>
                <w:sz w:val="28"/>
                <w:szCs w:val="28"/>
              </w:rPr>
              <w:t>包2</w:t>
            </w:r>
          </w:p>
          <w:p w14:paraId="1C08C31A">
            <w:pPr>
              <w:adjustRightInd w:val="0"/>
              <w:snapToGrid w:val="0"/>
              <w:spacing w:line="360" w:lineRule="auto"/>
              <w:jc w:val="left"/>
              <w:rPr>
                <w:rFonts w:ascii="仿宋" w:hAnsi="仿宋" w:eastAsia="仿宋"/>
                <w:i/>
                <w:sz w:val="28"/>
                <w:szCs w:val="28"/>
                <w:u w:val="single"/>
              </w:rPr>
            </w:pPr>
            <w:r>
              <w:rPr>
                <w:rFonts w:hint="eastAsia" w:ascii="仿宋" w:hAnsi="仿宋" w:eastAsia="仿宋"/>
                <w:iCs/>
                <w:sz w:val="28"/>
                <w:szCs w:val="28"/>
              </w:rPr>
              <w:t>（成钞</w:t>
            </w:r>
            <w:r>
              <w:rPr>
                <w:rFonts w:ascii="仿宋" w:hAnsi="仿宋" w:eastAsia="仿宋"/>
                <w:iCs/>
                <w:sz w:val="28"/>
                <w:szCs w:val="28"/>
              </w:rPr>
              <w:t>7</w:t>
            </w:r>
            <w:r>
              <w:rPr>
                <w:rFonts w:hint="eastAsia" w:ascii="仿宋" w:hAnsi="仿宋" w:eastAsia="仿宋"/>
                <w:iCs/>
                <w:sz w:val="28"/>
                <w:szCs w:val="28"/>
              </w:rPr>
              <w:t>50吨、保钞</w:t>
            </w:r>
            <w:r>
              <w:rPr>
                <w:rFonts w:ascii="仿宋" w:hAnsi="仿宋" w:eastAsia="仿宋"/>
                <w:iCs/>
                <w:sz w:val="28"/>
                <w:szCs w:val="28"/>
              </w:rPr>
              <w:t>1</w:t>
            </w:r>
            <w:r>
              <w:rPr>
                <w:rFonts w:hint="eastAsia" w:ascii="仿宋" w:hAnsi="仿宋" w:eastAsia="仿宋"/>
                <w:iCs/>
                <w:sz w:val="28"/>
                <w:szCs w:val="28"/>
              </w:rPr>
              <w:t>9</w:t>
            </w:r>
            <w:r>
              <w:rPr>
                <w:rFonts w:ascii="仿宋" w:hAnsi="仿宋" w:eastAsia="仿宋"/>
                <w:iCs/>
                <w:sz w:val="28"/>
                <w:szCs w:val="28"/>
              </w:rPr>
              <w:t>00</w:t>
            </w:r>
            <w:r>
              <w:rPr>
                <w:rFonts w:hint="eastAsia" w:ascii="仿宋" w:hAnsi="仿宋" w:eastAsia="仿宋"/>
                <w:iCs/>
                <w:sz w:val="28"/>
                <w:szCs w:val="28"/>
              </w:rPr>
              <w:t>吨、昆钞550吨）</w:t>
            </w:r>
          </w:p>
        </w:tc>
        <w:tc>
          <w:tcPr>
            <w:tcW w:w="1725" w:type="dxa"/>
            <w:vAlign w:val="center"/>
          </w:tcPr>
          <w:p w14:paraId="4DA4AD0A">
            <w:pPr>
              <w:adjustRightInd w:val="0"/>
              <w:snapToGrid w:val="0"/>
              <w:spacing w:line="360" w:lineRule="auto"/>
              <w:jc w:val="center"/>
              <w:rPr>
                <w:rFonts w:hint="eastAsia" w:ascii="仿宋" w:hAnsi="仿宋" w:eastAsia="仿宋"/>
                <w:sz w:val="28"/>
                <w:szCs w:val="28"/>
                <w:lang w:val="en-US" w:eastAsia="zh-CN"/>
              </w:rPr>
            </w:pPr>
            <w:r>
              <w:rPr>
                <w:rFonts w:hint="eastAsia" w:ascii="仿宋" w:hAnsi="仿宋" w:eastAsia="仿宋"/>
                <w:sz w:val="28"/>
                <w:szCs w:val="28"/>
              </w:rPr>
              <w:t>A07030501</w:t>
            </w:r>
          </w:p>
        </w:tc>
        <w:tc>
          <w:tcPr>
            <w:tcW w:w="1463" w:type="dxa"/>
            <w:vAlign w:val="center"/>
          </w:tcPr>
          <w:p w14:paraId="72FEA8F2">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吨</w:t>
            </w:r>
          </w:p>
        </w:tc>
        <w:tc>
          <w:tcPr>
            <w:tcW w:w="1575" w:type="dxa"/>
            <w:vAlign w:val="center"/>
          </w:tcPr>
          <w:p w14:paraId="2A178902">
            <w:pPr>
              <w:adjustRightInd w:val="0"/>
              <w:snapToGrid w:val="0"/>
              <w:spacing w:line="360" w:lineRule="auto"/>
              <w:jc w:val="center"/>
              <w:rPr>
                <w:rFonts w:hint="default" w:ascii="仿宋" w:hAnsi="仿宋" w:eastAsia="仿宋"/>
                <w:sz w:val="28"/>
                <w:szCs w:val="28"/>
                <w:lang w:val="en-US" w:eastAsia="zh-CN"/>
              </w:rPr>
            </w:pPr>
            <w:r>
              <w:rPr>
                <w:rFonts w:hint="eastAsia" w:ascii="仿宋" w:hAnsi="仿宋" w:eastAsia="仿宋"/>
                <w:sz w:val="28"/>
                <w:szCs w:val="28"/>
                <w:lang w:val="en-US" w:eastAsia="zh-CN"/>
              </w:rPr>
              <w:t>3200</w:t>
            </w:r>
          </w:p>
        </w:tc>
      </w:tr>
    </w:tbl>
    <w:p w14:paraId="01098A9B">
      <w:pPr>
        <w:spacing w:line="560" w:lineRule="exact"/>
        <w:ind w:firstLine="640" w:firstLineChars="200"/>
        <w:jc w:val="left"/>
        <w:rPr>
          <w:rFonts w:hint="eastAsia" w:ascii="楷体" w:hAnsi="楷体" w:eastAsia="楷体" w:cs="Times New Roman"/>
          <w:sz w:val="32"/>
          <w:szCs w:val="32"/>
        </w:rPr>
      </w:pPr>
      <w:r>
        <w:rPr>
          <w:rFonts w:hint="eastAsia" w:ascii="楷体" w:hAnsi="楷体" w:eastAsia="楷体" w:cs="Times New Roman"/>
          <w:sz w:val="32"/>
          <w:szCs w:val="32"/>
        </w:rPr>
        <w:t>3.包3</w:t>
      </w:r>
    </w:p>
    <w:tbl>
      <w:tblPr>
        <w:tblStyle w:val="16"/>
        <w:tblpPr w:leftFromText="180" w:rightFromText="180" w:vertAnchor="text" w:horzAnchor="page" w:tblpX="1499" w:tblpY="882"/>
        <w:tblOverlap w:val="never"/>
        <w:tblW w:w="9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3100"/>
        <w:gridCol w:w="1725"/>
        <w:gridCol w:w="1487"/>
        <w:gridCol w:w="1588"/>
      </w:tblGrid>
      <w:tr w14:paraId="2921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trPr>
        <w:tc>
          <w:tcPr>
            <w:tcW w:w="1213" w:type="dxa"/>
            <w:vAlign w:val="center"/>
          </w:tcPr>
          <w:p w14:paraId="3617A97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00" w:type="dxa"/>
            <w:vAlign w:val="center"/>
          </w:tcPr>
          <w:p w14:paraId="2AAEBED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725" w:type="dxa"/>
            <w:vAlign w:val="center"/>
          </w:tcPr>
          <w:p w14:paraId="4F83682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2ED2D81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87" w:type="dxa"/>
            <w:vAlign w:val="center"/>
          </w:tcPr>
          <w:p w14:paraId="231E7DA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1F8BCA0A">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88" w:type="dxa"/>
            <w:vAlign w:val="center"/>
          </w:tcPr>
          <w:p w14:paraId="38FAD8D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21F8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13" w:type="dxa"/>
            <w:vAlign w:val="center"/>
          </w:tcPr>
          <w:p w14:paraId="5E168DB6">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w:t>
            </w:r>
          </w:p>
        </w:tc>
        <w:tc>
          <w:tcPr>
            <w:tcW w:w="3100" w:type="dxa"/>
            <w:vAlign w:val="center"/>
          </w:tcPr>
          <w:p w14:paraId="0F7B1A54">
            <w:pPr>
              <w:adjustRightInd w:val="0"/>
              <w:snapToGrid w:val="0"/>
              <w:spacing w:line="360" w:lineRule="auto"/>
              <w:jc w:val="left"/>
              <w:rPr>
                <w:rFonts w:hint="eastAsia" w:ascii="仿宋" w:hAnsi="仿宋" w:eastAsia="仿宋"/>
                <w:iCs/>
                <w:sz w:val="28"/>
                <w:szCs w:val="28"/>
              </w:rPr>
            </w:pPr>
            <w:r>
              <w:rPr>
                <w:rFonts w:hint="eastAsia" w:ascii="仿宋" w:hAnsi="仿宋" w:eastAsia="仿宋" w:cs="Times New Roman"/>
                <w:iCs/>
                <w:sz w:val="28"/>
                <w:szCs w:val="28"/>
              </w:rPr>
              <w:t>棉短绒浆板</w:t>
            </w:r>
            <w:r>
              <w:rPr>
                <w:rFonts w:hint="eastAsia" w:ascii="仿宋" w:hAnsi="仿宋" w:eastAsia="仿宋"/>
                <w:iCs/>
                <w:sz w:val="28"/>
                <w:szCs w:val="28"/>
              </w:rPr>
              <w:t>包3</w:t>
            </w:r>
          </w:p>
          <w:p w14:paraId="5AD995CC">
            <w:pPr>
              <w:adjustRightInd w:val="0"/>
              <w:snapToGrid w:val="0"/>
              <w:spacing w:line="360" w:lineRule="auto"/>
              <w:jc w:val="left"/>
              <w:rPr>
                <w:rFonts w:ascii="仿宋" w:hAnsi="仿宋" w:eastAsia="仿宋"/>
                <w:sz w:val="28"/>
                <w:szCs w:val="28"/>
              </w:rPr>
            </w:pPr>
            <w:r>
              <w:rPr>
                <w:rFonts w:hint="eastAsia" w:ascii="仿宋" w:hAnsi="仿宋" w:eastAsia="仿宋"/>
                <w:iCs/>
                <w:sz w:val="28"/>
                <w:szCs w:val="28"/>
              </w:rPr>
              <w:t>（成钞750吨、保钞1900吨、昆钞550吨）</w:t>
            </w:r>
          </w:p>
        </w:tc>
        <w:tc>
          <w:tcPr>
            <w:tcW w:w="1725" w:type="dxa"/>
            <w:vAlign w:val="center"/>
          </w:tcPr>
          <w:p w14:paraId="79D01287">
            <w:pPr>
              <w:adjustRightInd w:val="0"/>
              <w:snapToGrid w:val="0"/>
              <w:spacing w:line="360" w:lineRule="auto"/>
              <w:jc w:val="center"/>
              <w:rPr>
                <w:rFonts w:hint="eastAsia" w:ascii="仿宋" w:hAnsi="仿宋" w:eastAsia="仿宋"/>
                <w:sz w:val="28"/>
                <w:szCs w:val="28"/>
                <w:lang w:val="en-US" w:eastAsia="zh-CN"/>
              </w:rPr>
            </w:pPr>
            <w:r>
              <w:rPr>
                <w:rFonts w:hint="eastAsia" w:ascii="仿宋" w:hAnsi="仿宋" w:eastAsia="仿宋"/>
                <w:sz w:val="28"/>
                <w:szCs w:val="28"/>
              </w:rPr>
              <w:t>A07030501</w:t>
            </w:r>
          </w:p>
        </w:tc>
        <w:tc>
          <w:tcPr>
            <w:tcW w:w="1487" w:type="dxa"/>
            <w:vAlign w:val="center"/>
          </w:tcPr>
          <w:p w14:paraId="0A8CE657">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吨</w:t>
            </w:r>
          </w:p>
        </w:tc>
        <w:tc>
          <w:tcPr>
            <w:tcW w:w="1588" w:type="dxa"/>
            <w:vAlign w:val="center"/>
          </w:tcPr>
          <w:p w14:paraId="7C9784F0">
            <w:pPr>
              <w:adjustRightInd w:val="0"/>
              <w:snapToGrid w:val="0"/>
              <w:spacing w:line="360" w:lineRule="auto"/>
              <w:jc w:val="center"/>
              <w:rPr>
                <w:rFonts w:hint="default" w:ascii="仿宋" w:hAnsi="仿宋" w:eastAsia="仿宋"/>
                <w:sz w:val="28"/>
                <w:szCs w:val="28"/>
                <w:lang w:val="en-US" w:eastAsia="zh-CN"/>
              </w:rPr>
            </w:pPr>
            <w:r>
              <w:rPr>
                <w:rFonts w:hint="eastAsia" w:ascii="仿宋" w:hAnsi="仿宋" w:eastAsia="仿宋"/>
                <w:sz w:val="28"/>
                <w:szCs w:val="28"/>
                <w:lang w:val="en-US" w:eastAsia="zh-CN"/>
              </w:rPr>
              <w:t>3200</w:t>
            </w:r>
          </w:p>
        </w:tc>
      </w:tr>
    </w:tbl>
    <w:p w14:paraId="233FFF3F">
      <w:pPr>
        <w:spacing w:line="560" w:lineRule="exact"/>
        <w:ind w:firstLine="640" w:firstLineChars="200"/>
        <w:jc w:val="left"/>
        <w:rPr>
          <w:rFonts w:hint="eastAsia" w:ascii="楷体" w:hAnsi="楷体" w:eastAsia="楷体" w:cs="Times New Roman"/>
          <w:sz w:val="32"/>
          <w:szCs w:val="32"/>
        </w:rPr>
      </w:pPr>
    </w:p>
    <w:p w14:paraId="6B858D21">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4.包4</w:t>
      </w:r>
    </w:p>
    <w:tbl>
      <w:tblPr>
        <w:tblStyle w:val="16"/>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3148"/>
        <w:gridCol w:w="1664"/>
        <w:gridCol w:w="1475"/>
        <w:gridCol w:w="1589"/>
      </w:tblGrid>
      <w:tr w14:paraId="2042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177" w:type="dxa"/>
            <w:vAlign w:val="center"/>
          </w:tcPr>
          <w:p w14:paraId="75206EC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48" w:type="dxa"/>
            <w:vAlign w:val="center"/>
          </w:tcPr>
          <w:p w14:paraId="45B7078A">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664" w:type="dxa"/>
            <w:vAlign w:val="center"/>
          </w:tcPr>
          <w:p w14:paraId="7B79136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6E96DAE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75" w:type="dxa"/>
            <w:vAlign w:val="center"/>
          </w:tcPr>
          <w:p w14:paraId="071D9B7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606DA55B">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89" w:type="dxa"/>
            <w:vAlign w:val="center"/>
          </w:tcPr>
          <w:p w14:paraId="430AF333">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1E0A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177" w:type="dxa"/>
            <w:vAlign w:val="center"/>
          </w:tcPr>
          <w:p w14:paraId="1C494ACC">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w:t>
            </w:r>
          </w:p>
        </w:tc>
        <w:tc>
          <w:tcPr>
            <w:tcW w:w="3148" w:type="dxa"/>
            <w:vAlign w:val="center"/>
          </w:tcPr>
          <w:p w14:paraId="32D98519">
            <w:pPr>
              <w:adjustRightInd w:val="0"/>
              <w:snapToGrid w:val="0"/>
              <w:spacing w:line="360" w:lineRule="auto"/>
              <w:jc w:val="left"/>
              <w:rPr>
                <w:rFonts w:hint="eastAsia" w:ascii="仿宋" w:hAnsi="仿宋" w:eastAsia="仿宋"/>
                <w:iCs/>
                <w:sz w:val="28"/>
                <w:szCs w:val="28"/>
              </w:rPr>
            </w:pPr>
            <w:r>
              <w:rPr>
                <w:rFonts w:hint="eastAsia" w:ascii="仿宋" w:hAnsi="仿宋" w:eastAsia="仿宋" w:cs="Times New Roman"/>
                <w:iCs/>
                <w:sz w:val="28"/>
                <w:szCs w:val="28"/>
              </w:rPr>
              <w:t>棉短绒浆板</w:t>
            </w:r>
            <w:r>
              <w:rPr>
                <w:rFonts w:hint="eastAsia" w:ascii="仿宋" w:hAnsi="仿宋" w:eastAsia="仿宋"/>
                <w:iCs/>
                <w:sz w:val="28"/>
                <w:szCs w:val="28"/>
              </w:rPr>
              <w:t>包4</w:t>
            </w:r>
          </w:p>
          <w:p w14:paraId="32BB0A6E">
            <w:pPr>
              <w:adjustRightInd w:val="0"/>
              <w:snapToGrid w:val="0"/>
              <w:spacing w:line="360" w:lineRule="auto"/>
              <w:jc w:val="left"/>
              <w:rPr>
                <w:rFonts w:ascii="仿宋" w:hAnsi="仿宋" w:eastAsia="仿宋"/>
                <w:sz w:val="28"/>
                <w:szCs w:val="28"/>
              </w:rPr>
            </w:pPr>
            <w:r>
              <w:rPr>
                <w:rFonts w:hint="eastAsia" w:ascii="仿宋" w:hAnsi="仿宋" w:eastAsia="仿宋"/>
                <w:iCs/>
                <w:sz w:val="28"/>
                <w:szCs w:val="28"/>
              </w:rPr>
              <w:t>（成钞750吨、保钞1900吨、昆钞550吨）</w:t>
            </w:r>
          </w:p>
        </w:tc>
        <w:tc>
          <w:tcPr>
            <w:tcW w:w="1664" w:type="dxa"/>
            <w:vAlign w:val="center"/>
          </w:tcPr>
          <w:p w14:paraId="2497014C">
            <w:pPr>
              <w:adjustRightInd w:val="0"/>
              <w:snapToGrid w:val="0"/>
              <w:spacing w:line="360" w:lineRule="auto"/>
              <w:jc w:val="center"/>
              <w:rPr>
                <w:rFonts w:hint="eastAsia" w:ascii="仿宋" w:hAnsi="仿宋" w:eastAsia="仿宋"/>
                <w:sz w:val="28"/>
                <w:szCs w:val="28"/>
                <w:lang w:val="en-US" w:eastAsia="zh-CN"/>
              </w:rPr>
            </w:pPr>
            <w:r>
              <w:rPr>
                <w:rFonts w:hint="eastAsia" w:ascii="仿宋" w:hAnsi="仿宋" w:eastAsia="仿宋"/>
                <w:sz w:val="28"/>
                <w:szCs w:val="28"/>
              </w:rPr>
              <w:t>A07030501</w:t>
            </w:r>
          </w:p>
        </w:tc>
        <w:tc>
          <w:tcPr>
            <w:tcW w:w="1475" w:type="dxa"/>
            <w:vAlign w:val="center"/>
          </w:tcPr>
          <w:p w14:paraId="346B98D6">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吨</w:t>
            </w:r>
          </w:p>
        </w:tc>
        <w:tc>
          <w:tcPr>
            <w:tcW w:w="1589" w:type="dxa"/>
            <w:vAlign w:val="center"/>
          </w:tcPr>
          <w:p w14:paraId="6F037346">
            <w:pPr>
              <w:adjustRightInd w:val="0"/>
              <w:snapToGrid w:val="0"/>
              <w:spacing w:line="360" w:lineRule="auto"/>
              <w:jc w:val="center"/>
              <w:rPr>
                <w:rFonts w:hint="default" w:ascii="仿宋" w:hAnsi="仿宋" w:eastAsia="仿宋"/>
                <w:sz w:val="28"/>
                <w:szCs w:val="28"/>
                <w:lang w:val="en-US" w:eastAsia="zh-CN"/>
              </w:rPr>
            </w:pPr>
            <w:r>
              <w:rPr>
                <w:rFonts w:hint="eastAsia" w:ascii="仿宋" w:hAnsi="仿宋" w:eastAsia="仿宋"/>
                <w:sz w:val="28"/>
                <w:szCs w:val="28"/>
                <w:lang w:val="en-US" w:eastAsia="zh-CN"/>
              </w:rPr>
              <w:t>3200</w:t>
            </w:r>
          </w:p>
        </w:tc>
      </w:tr>
    </w:tbl>
    <w:p w14:paraId="570E599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outlineLvl w:val="1"/>
        <w:rPr>
          <w:rFonts w:hint="eastAsia"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三、技术要求（适用于所有包件）</w:t>
      </w:r>
    </w:p>
    <w:p w14:paraId="4B6255DF">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iCs/>
          <w:sz w:val="32"/>
          <w:szCs w:val="32"/>
        </w:rPr>
        <w:t>本技术要求</w:t>
      </w:r>
      <w:r>
        <w:rPr>
          <w:rFonts w:ascii="仿宋" w:hAnsi="仿宋" w:eastAsia="仿宋" w:cs="Times New Roman"/>
          <w:iCs/>
          <w:sz w:val="32"/>
          <w:szCs w:val="32"/>
        </w:rPr>
        <w:t>共有“</w:t>
      </w:r>
      <w:r>
        <w:rPr>
          <w:rFonts w:hint="eastAsia" w:ascii="仿宋" w:hAnsi="仿宋" w:eastAsia="仿宋" w:cs="Times New Roman"/>
          <w:iCs/>
          <w:sz w:val="32"/>
          <w:szCs w:val="32"/>
        </w:rPr>
        <w:t>★</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rPr>
        <w:t xml:space="preserve">  7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2</w:t>
      </w:r>
      <w:r>
        <w:rPr>
          <w:rFonts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yellow"/>
          <w:u w:val="single"/>
        </w:rPr>
        <w:t xml:space="preserve">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w:t>
      </w:r>
      <w:r>
        <w:rPr>
          <w:rFonts w:ascii="仿宋" w:hAnsi="仿宋" w:eastAsia="仿宋" w:cs="Times New Roman"/>
          <w:iCs/>
          <w:sz w:val="32"/>
          <w:szCs w:val="32"/>
        </w:rPr>
        <w:t>指标</w:t>
      </w:r>
      <w:r>
        <w:rPr>
          <w:rFonts w:hint="eastAsia" w:ascii="仿宋" w:hAnsi="仿宋" w:eastAsia="仿宋" w:cs="Times New Roman"/>
          <w:iCs/>
          <w:sz w:val="32"/>
          <w:szCs w:val="32"/>
          <w:u w:val="single"/>
        </w:rPr>
        <w:t xml:space="preserve"> </w:t>
      </w:r>
      <w:r>
        <w:rPr>
          <w:rFonts w:ascii="仿宋" w:hAnsi="仿宋" w:eastAsia="仿宋" w:cs="Times New Roman"/>
          <w:iCs/>
          <w:sz w:val="32"/>
          <w:szCs w:val="32"/>
          <w:u w:val="single"/>
        </w:rPr>
        <w:t xml:space="preserve"> </w:t>
      </w:r>
      <w:r>
        <w:rPr>
          <w:rFonts w:hint="eastAsia" w:ascii="仿宋" w:hAnsi="仿宋" w:eastAsia="仿宋" w:cs="Times New Roman"/>
          <w:iCs/>
          <w:sz w:val="32"/>
          <w:szCs w:val="32"/>
          <w:u w:val="single"/>
        </w:rPr>
        <w:t>0</w:t>
      </w:r>
      <w:r>
        <w:rPr>
          <w:rFonts w:ascii="仿宋" w:hAnsi="仿宋" w:eastAsia="仿宋" w:cs="Times New Roman"/>
          <w:iCs/>
          <w:sz w:val="32"/>
          <w:szCs w:val="32"/>
          <w:u w:val="single"/>
        </w:rPr>
        <w:t xml:space="preserve"> </w:t>
      </w:r>
      <w:r>
        <w:rPr>
          <w:rFonts w:hint="eastAsia" w:ascii="仿宋" w:hAnsi="仿宋" w:eastAsia="仿宋" w:cs="Times New Roman"/>
          <w:iCs/>
          <w:sz w:val="32"/>
          <w:szCs w:val="32"/>
          <w:u w:val="single"/>
        </w:rPr>
        <w:t xml:space="preserve">  </w:t>
      </w:r>
      <w:r>
        <w:rPr>
          <w:rFonts w:hint="eastAsia" w:ascii="仿宋" w:hAnsi="仿宋" w:eastAsia="仿宋" w:cs="Times New Roman"/>
          <w:iCs/>
          <w:sz w:val="32"/>
          <w:szCs w:val="32"/>
        </w:rPr>
        <w:t>项</w:t>
      </w:r>
    </w:p>
    <w:tbl>
      <w:tblPr>
        <w:tblStyle w:val="16"/>
        <w:tblW w:w="8794" w:type="dxa"/>
        <w:tblInd w:w="-11" w:type="dxa"/>
        <w:tblLayout w:type="fixed"/>
        <w:tblCellMar>
          <w:top w:w="0" w:type="dxa"/>
          <w:left w:w="0" w:type="dxa"/>
          <w:bottom w:w="0" w:type="dxa"/>
          <w:right w:w="0" w:type="dxa"/>
        </w:tblCellMar>
      </w:tblPr>
      <w:tblGrid>
        <w:gridCol w:w="714"/>
        <w:gridCol w:w="909"/>
        <w:gridCol w:w="1228"/>
        <w:gridCol w:w="4111"/>
        <w:gridCol w:w="1832"/>
      </w:tblGrid>
      <w:tr w14:paraId="345C4A3F">
        <w:tblPrEx>
          <w:tblCellMar>
            <w:top w:w="0" w:type="dxa"/>
            <w:left w:w="0" w:type="dxa"/>
            <w:bottom w:w="0" w:type="dxa"/>
            <w:right w:w="0" w:type="dxa"/>
          </w:tblCellMar>
        </w:tblPrEx>
        <w:trPr>
          <w:trHeight w:val="20" w:hRule="atLeast"/>
          <w:tblHeader/>
        </w:trPr>
        <w:tc>
          <w:tcPr>
            <w:tcW w:w="714" w:type="dxa"/>
            <w:tcBorders>
              <w:top w:val="single" w:color="000000" w:sz="4" w:space="0"/>
              <w:left w:val="single" w:color="000000" w:sz="4" w:space="0"/>
              <w:bottom w:val="single" w:color="000000" w:sz="4" w:space="0"/>
              <w:right w:val="single" w:color="000000" w:sz="4" w:space="0"/>
            </w:tcBorders>
            <w:vAlign w:val="center"/>
          </w:tcPr>
          <w:p w14:paraId="7A51B33C">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序号</w:t>
            </w:r>
          </w:p>
        </w:tc>
        <w:tc>
          <w:tcPr>
            <w:tcW w:w="909" w:type="dxa"/>
            <w:tcBorders>
              <w:top w:val="single" w:color="000000" w:sz="4" w:space="0"/>
              <w:left w:val="single" w:color="000000" w:sz="4" w:space="0"/>
              <w:bottom w:val="single" w:color="000000" w:sz="4" w:space="0"/>
              <w:right w:val="single" w:color="000000" w:sz="4" w:space="0"/>
            </w:tcBorders>
            <w:vAlign w:val="center"/>
          </w:tcPr>
          <w:p w14:paraId="762FC4DB">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重要性</w:t>
            </w:r>
          </w:p>
        </w:tc>
        <w:tc>
          <w:tcPr>
            <w:tcW w:w="1228" w:type="dxa"/>
            <w:tcBorders>
              <w:top w:val="single" w:color="000000" w:sz="4" w:space="0"/>
              <w:left w:val="single" w:color="000000" w:sz="4" w:space="0"/>
              <w:bottom w:val="single" w:color="000000" w:sz="4" w:space="0"/>
              <w:right w:val="single" w:color="000000" w:sz="4" w:space="0"/>
            </w:tcBorders>
            <w:vAlign w:val="center"/>
          </w:tcPr>
          <w:p w14:paraId="400A640E">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指标项</w:t>
            </w:r>
          </w:p>
        </w:tc>
        <w:tc>
          <w:tcPr>
            <w:tcW w:w="4111" w:type="dxa"/>
            <w:tcBorders>
              <w:top w:val="single" w:color="000000" w:sz="4" w:space="0"/>
              <w:left w:val="single" w:color="000000" w:sz="4" w:space="0"/>
              <w:bottom w:val="single" w:color="000000" w:sz="4" w:space="0"/>
              <w:right w:val="single" w:color="000000" w:sz="4" w:space="0"/>
            </w:tcBorders>
            <w:vAlign w:val="center"/>
          </w:tcPr>
          <w:p w14:paraId="52CD2E4B">
            <w:pPr>
              <w:widowControl/>
              <w:ind w:left="105" w:leftChars="50" w:right="105" w:rightChars="50" w:firstLine="562"/>
              <w:jc w:val="center"/>
              <w:textAlignment w:val="center"/>
              <w:rPr>
                <w:rFonts w:ascii="仿宋" w:hAnsi="仿宋" w:eastAsia="仿宋" w:cs="宋体"/>
                <w:b/>
                <w:sz w:val="28"/>
                <w:szCs w:val="28"/>
              </w:rPr>
            </w:pPr>
            <w:r>
              <w:rPr>
                <w:rFonts w:hint="eastAsia" w:ascii="仿宋" w:hAnsi="仿宋" w:eastAsia="仿宋" w:cs="宋体"/>
                <w:b/>
                <w:kern w:val="0"/>
                <w:sz w:val="28"/>
                <w:szCs w:val="28"/>
              </w:rPr>
              <w:t>指标要求</w:t>
            </w:r>
          </w:p>
        </w:tc>
        <w:tc>
          <w:tcPr>
            <w:tcW w:w="1832" w:type="dxa"/>
            <w:tcBorders>
              <w:top w:val="single" w:color="000000" w:sz="4" w:space="0"/>
              <w:left w:val="single" w:color="000000" w:sz="4" w:space="0"/>
              <w:bottom w:val="single" w:color="000000" w:sz="4" w:space="0"/>
              <w:right w:val="single" w:color="000000" w:sz="4" w:space="0"/>
            </w:tcBorders>
          </w:tcPr>
          <w:p w14:paraId="26D217C7">
            <w:pPr>
              <w:widowControl/>
              <w:jc w:val="both"/>
              <w:textAlignment w:val="center"/>
              <w:rPr>
                <w:rFonts w:ascii="仿宋" w:hAnsi="仿宋" w:eastAsia="仿宋" w:cs="宋体"/>
                <w:b/>
                <w:kern w:val="0"/>
                <w:sz w:val="28"/>
                <w:szCs w:val="28"/>
              </w:rPr>
            </w:pPr>
            <w:r>
              <w:rPr>
                <w:rFonts w:hint="eastAsia" w:ascii="仿宋" w:hAnsi="仿宋" w:eastAsia="仿宋" w:cs="宋体"/>
                <w:b/>
                <w:kern w:val="0"/>
                <w:sz w:val="28"/>
                <w:szCs w:val="28"/>
              </w:rPr>
              <w:t>是否</w:t>
            </w:r>
            <w:r>
              <w:rPr>
                <w:rFonts w:ascii="仿宋" w:hAnsi="仿宋" w:eastAsia="仿宋" w:cs="宋体"/>
                <w:b/>
                <w:kern w:val="0"/>
                <w:sz w:val="28"/>
                <w:szCs w:val="28"/>
              </w:rPr>
              <w:t>提供证明材料</w:t>
            </w:r>
            <w:r>
              <w:rPr>
                <w:rFonts w:hint="eastAsia" w:ascii="仿宋" w:hAnsi="仿宋" w:eastAsia="仿宋" w:cs="宋体"/>
                <w:b/>
                <w:kern w:val="0"/>
                <w:sz w:val="28"/>
                <w:szCs w:val="28"/>
              </w:rPr>
              <w:t>及方式</w:t>
            </w:r>
          </w:p>
        </w:tc>
      </w:tr>
      <w:tr w14:paraId="1B1167FF">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14D8AF9B">
            <w:pPr>
              <w:widowControl/>
              <w:ind w:firstLine="560"/>
              <w:jc w:val="center"/>
              <w:textAlignment w:val="center"/>
              <w:rPr>
                <w:rFonts w:ascii="仿宋" w:hAnsi="仿宋" w:eastAsia="仿宋" w:cs="宋体"/>
                <w:sz w:val="28"/>
                <w:szCs w:val="28"/>
              </w:rPr>
            </w:pPr>
            <w:r>
              <w:rPr>
                <w:rFonts w:hint="eastAsia" w:ascii="仿宋" w:hAnsi="仿宋" w:eastAsia="仿宋" w:cs="宋体"/>
                <w:kern w:val="0"/>
                <w:sz w:val="28"/>
                <w:szCs w:val="28"/>
              </w:rPr>
              <w:t>1</w:t>
            </w:r>
          </w:p>
        </w:tc>
        <w:tc>
          <w:tcPr>
            <w:tcW w:w="909" w:type="dxa"/>
            <w:tcBorders>
              <w:top w:val="single" w:color="000000" w:sz="4" w:space="0"/>
              <w:left w:val="single" w:color="000000" w:sz="4" w:space="0"/>
              <w:bottom w:val="single" w:color="000000" w:sz="4" w:space="0"/>
              <w:right w:val="single" w:color="000000" w:sz="4" w:space="0"/>
            </w:tcBorders>
            <w:vAlign w:val="center"/>
          </w:tcPr>
          <w:p w14:paraId="2FA5B75F">
            <w:pPr>
              <w:widowControl/>
              <w:ind w:firstLine="560"/>
              <w:jc w:val="center"/>
              <w:textAlignment w:val="center"/>
              <w:rPr>
                <w:rFonts w:ascii="仿宋" w:hAnsi="仿宋" w:eastAsia="仿宋" w:cs="宋体"/>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2DEB9B24">
            <w:pPr>
              <w:widowControl/>
              <w:spacing w:line="360" w:lineRule="exact"/>
              <w:ind w:firstLine="560"/>
              <w:jc w:val="both"/>
              <w:textAlignment w:val="center"/>
              <w:rPr>
                <w:rFonts w:ascii="仿宋" w:hAnsi="仿宋" w:eastAsia="仿宋" w:cs="仿宋"/>
                <w:sz w:val="28"/>
                <w:szCs w:val="28"/>
              </w:rPr>
            </w:pPr>
            <w:r>
              <w:rPr>
                <w:rFonts w:hint="eastAsia" w:ascii="仿宋" w:hAnsi="仿宋" w:eastAsia="仿宋" w:cs="仿宋"/>
                <w:sz w:val="28"/>
                <w:szCs w:val="28"/>
              </w:rPr>
              <w:t>技术指标要求</w:t>
            </w:r>
          </w:p>
        </w:tc>
        <w:tc>
          <w:tcPr>
            <w:tcW w:w="4111" w:type="dxa"/>
            <w:tcBorders>
              <w:top w:val="single" w:color="000000" w:sz="4" w:space="0"/>
              <w:left w:val="single" w:color="000000" w:sz="4" w:space="0"/>
              <w:bottom w:val="single" w:color="000000" w:sz="4" w:space="0"/>
              <w:right w:val="single" w:color="000000" w:sz="4" w:space="0"/>
            </w:tcBorders>
            <w:vAlign w:val="center"/>
          </w:tcPr>
          <w:p w14:paraId="3E9683D9">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《钞票纸原材料：浆板》（</w:t>
            </w:r>
            <w:r>
              <w:rPr>
                <w:rFonts w:ascii="仿宋" w:hAnsi="仿宋" w:eastAsia="仿宋" w:cs="仿宋"/>
                <w:color w:val="333333"/>
                <w:kern w:val="0"/>
                <w:sz w:val="28"/>
                <w:szCs w:val="30"/>
              </w:rPr>
              <w:t>Q/CBPM/J 11.3-2024）</w:t>
            </w:r>
          </w:p>
          <w:p w14:paraId="1C4D814C">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color w:val="333333"/>
                <w:kern w:val="0"/>
                <w:sz w:val="28"/>
                <w:szCs w:val="30"/>
              </w:rPr>
              <w:t>具体见本章节附表</w:t>
            </w:r>
          </w:p>
        </w:tc>
        <w:tc>
          <w:tcPr>
            <w:tcW w:w="1832" w:type="dxa"/>
            <w:tcBorders>
              <w:top w:val="single" w:color="000000" w:sz="4" w:space="0"/>
              <w:left w:val="single" w:color="000000" w:sz="4" w:space="0"/>
              <w:bottom w:val="single" w:color="000000" w:sz="4" w:space="0"/>
              <w:right w:val="single" w:color="000000" w:sz="4" w:space="0"/>
            </w:tcBorders>
          </w:tcPr>
          <w:p w14:paraId="5BF8F901">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1FE1CB97">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39F917D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2</w:t>
            </w:r>
          </w:p>
        </w:tc>
        <w:tc>
          <w:tcPr>
            <w:tcW w:w="909" w:type="dxa"/>
            <w:tcBorders>
              <w:top w:val="single" w:color="000000" w:sz="4" w:space="0"/>
              <w:left w:val="single" w:color="000000" w:sz="4" w:space="0"/>
              <w:bottom w:val="single" w:color="000000" w:sz="4" w:space="0"/>
              <w:right w:val="single" w:color="000000" w:sz="4" w:space="0"/>
            </w:tcBorders>
            <w:vAlign w:val="center"/>
          </w:tcPr>
          <w:p w14:paraId="7AD4CDC4">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49D19CA9">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供货产品要求</w:t>
            </w:r>
          </w:p>
        </w:tc>
        <w:tc>
          <w:tcPr>
            <w:tcW w:w="4111" w:type="dxa"/>
            <w:tcBorders>
              <w:top w:val="single" w:color="000000" w:sz="4" w:space="0"/>
              <w:left w:val="single" w:color="000000" w:sz="4" w:space="0"/>
              <w:bottom w:val="single" w:color="000000" w:sz="4" w:space="0"/>
              <w:right w:val="single" w:color="000000" w:sz="4" w:space="0"/>
            </w:tcBorders>
            <w:vAlign w:val="center"/>
          </w:tcPr>
          <w:p w14:paraId="3ACD66B2">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中标供应商所提供产品，应与投标文件中所承诺供货产品为同一品质等级或优于所承诺供货产品等级产品，否则将不予接受。</w:t>
            </w:r>
          </w:p>
        </w:tc>
        <w:tc>
          <w:tcPr>
            <w:tcW w:w="1832" w:type="dxa"/>
            <w:tcBorders>
              <w:top w:val="single" w:color="000000" w:sz="4" w:space="0"/>
              <w:left w:val="single" w:color="000000" w:sz="4" w:space="0"/>
              <w:bottom w:val="single" w:color="000000" w:sz="4" w:space="0"/>
              <w:right w:val="single" w:color="000000" w:sz="4" w:space="0"/>
            </w:tcBorders>
            <w:vAlign w:val="center"/>
          </w:tcPr>
          <w:p w14:paraId="4696F591">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64B0F2E6">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6301210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3</w:t>
            </w:r>
          </w:p>
        </w:tc>
        <w:tc>
          <w:tcPr>
            <w:tcW w:w="909" w:type="dxa"/>
            <w:tcBorders>
              <w:top w:val="single" w:color="000000" w:sz="4" w:space="0"/>
              <w:left w:val="single" w:color="000000" w:sz="4" w:space="0"/>
              <w:bottom w:val="single" w:color="000000" w:sz="4" w:space="0"/>
              <w:right w:val="single" w:color="000000" w:sz="4" w:space="0"/>
            </w:tcBorders>
            <w:vAlign w:val="center"/>
          </w:tcPr>
          <w:p w14:paraId="6C2F58BA">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1EB2F84F">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安全、环保要求</w:t>
            </w:r>
          </w:p>
        </w:tc>
        <w:tc>
          <w:tcPr>
            <w:tcW w:w="4111" w:type="dxa"/>
            <w:tcBorders>
              <w:top w:val="single" w:color="000000" w:sz="4" w:space="0"/>
              <w:left w:val="single" w:color="000000" w:sz="4" w:space="0"/>
              <w:bottom w:val="single" w:color="000000" w:sz="4" w:space="0"/>
              <w:right w:val="single" w:color="000000" w:sz="4" w:space="0"/>
            </w:tcBorders>
            <w:vAlign w:val="center"/>
          </w:tcPr>
          <w:p w14:paraId="2BFFFF5C">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供应商所提供产品须满足国家有关安全、环保等强制性标准和规范的要求。</w:t>
            </w:r>
          </w:p>
        </w:tc>
        <w:tc>
          <w:tcPr>
            <w:tcW w:w="1832" w:type="dxa"/>
            <w:tcBorders>
              <w:top w:val="single" w:color="000000" w:sz="4" w:space="0"/>
              <w:left w:val="single" w:color="000000" w:sz="4" w:space="0"/>
              <w:bottom w:val="single" w:color="000000" w:sz="4" w:space="0"/>
              <w:right w:val="single" w:color="000000" w:sz="4" w:space="0"/>
            </w:tcBorders>
            <w:vAlign w:val="center"/>
          </w:tcPr>
          <w:p w14:paraId="3B5D999F">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70401E71">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188D818E">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4</w:t>
            </w:r>
          </w:p>
        </w:tc>
        <w:tc>
          <w:tcPr>
            <w:tcW w:w="909" w:type="dxa"/>
            <w:tcBorders>
              <w:top w:val="single" w:color="000000" w:sz="4" w:space="0"/>
              <w:left w:val="single" w:color="000000" w:sz="4" w:space="0"/>
              <w:bottom w:val="single" w:color="000000" w:sz="4" w:space="0"/>
              <w:right w:val="single" w:color="000000" w:sz="4" w:space="0"/>
            </w:tcBorders>
            <w:vAlign w:val="center"/>
          </w:tcPr>
          <w:p w14:paraId="5B580C26">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5A808809">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技术要求</w:t>
            </w:r>
          </w:p>
        </w:tc>
        <w:tc>
          <w:tcPr>
            <w:tcW w:w="4111" w:type="dxa"/>
            <w:tcBorders>
              <w:top w:val="single" w:color="000000" w:sz="4" w:space="0"/>
              <w:left w:val="single" w:color="000000" w:sz="4" w:space="0"/>
              <w:bottom w:val="single" w:color="000000" w:sz="4" w:space="0"/>
              <w:right w:val="single" w:color="000000" w:sz="4" w:space="0"/>
            </w:tcBorders>
            <w:vAlign w:val="center"/>
          </w:tcPr>
          <w:p w14:paraId="537CE8B0">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供应商需确保所选用的产品必须符合本项目的技术要求，保证选用产品的配套合理性、安全性，且技术参数必须不低于《钞票纸原材料：浆板》（</w:t>
            </w:r>
            <w:r>
              <w:rPr>
                <w:rFonts w:ascii="仿宋" w:hAnsi="仿宋" w:eastAsia="仿宋" w:cs="仿宋"/>
                <w:color w:val="333333"/>
                <w:kern w:val="0"/>
                <w:sz w:val="28"/>
                <w:szCs w:val="30"/>
              </w:rPr>
              <w:t>Q/CBPM/J 11.3-2024）</w:t>
            </w:r>
            <w:r>
              <w:rPr>
                <w:rFonts w:hint="eastAsia" w:ascii="仿宋" w:hAnsi="仿宋" w:eastAsia="仿宋" w:cs="仿宋"/>
                <w:color w:val="333333"/>
                <w:kern w:val="0"/>
                <w:sz w:val="28"/>
                <w:szCs w:val="30"/>
              </w:rPr>
              <w:t>。</w:t>
            </w:r>
          </w:p>
        </w:tc>
        <w:tc>
          <w:tcPr>
            <w:tcW w:w="1832" w:type="dxa"/>
            <w:tcBorders>
              <w:top w:val="single" w:color="000000" w:sz="4" w:space="0"/>
              <w:left w:val="single" w:color="000000" w:sz="4" w:space="0"/>
              <w:bottom w:val="single" w:color="000000" w:sz="4" w:space="0"/>
              <w:right w:val="single" w:color="000000" w:sz="4" w:space="0"/>
            </w:tcBorders>
            <w:vAlign w:val="center"/>
          </w:tcPr>
          <w:p w14:paraId="224E98A9">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703E52D1">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35A00C5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5</w:t>
            </w:r>
          </w:p>
        </w:tc>
        <w:tc>
          <w:tcPr>
            <w:tcW w:w="909" w:type="dxa"/>
            <w:tcBorders>
              <w:top w:val="single" w:color="000000" w:sz="4" w:space="0"/>
              <w:left w:val="single" w:color="000000" w:sz="4" w:space="0"/>
              <w:bottom w:val="single" w:color="000000" w:sz="4" w:space="0"/>
              <w:right w:val="single" w:color="000000" w:sz="4" w:space="0"/>
            </w:tcBorders>
            <w:vAlign w:val="center"/>
          </w:tcPr>
          <w:p w14:paraId="74C41A0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41AD59D7">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技术标准变化要求</w:t>
            </w:r>
          </w:p>
        </w:tc>
        <w:tc>
          <w:tcPr>
            <w:tcW w:w="4111" w:type="dxa"/>
            <w:tcBorders>
              <w:top w:val="single" w:color="000000" w:sz="4" w:space="0"/>
              <w:left w:val="single" w:color="000000" w:sz="4" w:space="0"/>
              <w:bottom w:val="single" w:color="000000" w:sz="4" w:space="0"/>
              <w:right w:val="single" w:color="000000" w:sz="4" w:space="0"/>
            </w:tcBorders>
            <w:vAlign w:val="center"/>
          </w:tcPr>
          <w:p w14:paraId="2570B567">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供应商在货物设计和制造中所涉及的各项规程，规范和标准必须遵循现行最新版本的国家标准。本技术规范中所使用的标准如遇与投标人执行标准不一致时，按较高标准执行。</w:t>
            </w:r>
          </w:p>
        </w:tc>
        <w:tc>
          <w:tcPr>
            <w:tcW w:w="1832" w:type="dxa"/>
            <w:tcBorders>
              <w:top w:val="single" w:color="000000" w:sz="4" w:space="0"/>
              <w:left w:val="single" w:color="000000" w:sz="4" w:space="0"/>
              <w:bottom w:val="single" w:color="000000" w:sz="4" w:space="0"/>
              <w:right w:val="single" w:color="000000" w:sz="4" w:space="0"/>
            </w:tcBorders>
            <w:vAlign w:val="center"/>
          </w:tcPr>
          <w:p w14:paraId="44F965F0">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5A204571">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0F4342F2">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6</w:t>
            </w:r>
          </w:p>
        </w:tc>
        <w:tc>
          <w:tcPr>
            <w:tcW w:w="909" w:type="dxa"/>
            <w:tcBorders>
              <w:top w:val="single" w:color="000000" w:sz="4" w:space="0"/>
              <w:left w:val="single" w:color="000000" w:sz="4" w:space="0"/>
              <w:bottom w:val="single" w:color="000000" w:sz="4" w:space="0"/>
              <w:right w:val="single" w:color="000000" w:sz="4" w:space="0"/>
            </w:tcBorders>
            <w:vAlign w:val="center"/>
          </w:tcPr>
          <w:p w14:paraId="24EA188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758039E2">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质保期</w:t>
            </w:r>
          </w:p>
        </w:tc>
        <w:tc>
          <w:tcPr>
            <w:tcW w:w="4111" w:type="dxa"/>
            <w:tcBorders>
              <w:top w:val="single" w:color="000000" w:sz="4" w:space="0"/>
              <w:left w:val="single" w:color="000000" w:sz="4" w:space="0"/>
              <w:bottom w:val="single" w:color="000000" w:sz="4" w:space="0"/>
              <w:right w:val="single" w:color="000000" w:sz="4" w:space="0"/>
            </w:tcBorders>
            <w:vAlign w:val="center"/>
          </w:tcPr>
          <w:p w14:paraId="6BB79378">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质保期自该批次产品验收合格之日起12个月。在质保期内，经双方确认产品存在质量问题须退货或换货时，中标人接到需求单位通知后4小时电话响应，24小时内响应并提供上门服务，并在5个工作日内完成退货或换货。确实需要延长退换货周期的，中标人应向需求单位提出书面申请，获得许可后方可延长时间。交付货物不符合合同约定的品牌、质量缺陷、规格、数量等要求，或者交付的货物未能通过验收的，中标人应支付该批次货款20%的违约金，且采购人有权选择（1）该批次不合格货物做退货处理；（2）要求中标人按合同约定更换、补交货物，乙方须按当批交货数量以</w:t>
            </w:r>
            <w:r>
              <w:rPr>
                <w:rFonts w:hint="eastAsia" w:ascii="仿宋" w:hAnsi="仿宋" w:eastAsia="仿宋" w:cs="仿宋"/>
                <w:color w:val="333333"/>
                <w:kern w:val="0"/>
                <w:sz w:val="28"/>
                <w:szCs w:val="30"/>
                <w:u w:val="single"/>
              </w:rPr>
              <w:t>a.成都印钞有限公司30元/吨;b.成都金鼎安全印制有限公司30元/吨;c.保定钞票纸业有限公司18元/吨;d.昆山钞票纸业有限公司26.5元/吨（根据实际签订时合同甲方信息选择）</w:t>
            </w:r>
            <w:r>
              <w:rPr>
                <w:rFonts w:hint="eastAsia" w:ascii="仿宋" w:hAnsi="仿宋" w:eastAsia="仿宋" w:cs="仿宋"/>
                <w:color w:val="333333"/>
                <w:kern w:val="0"/>
                <w:sz w:val="28"/>
                <w:szCs w:val="30"/>
              </w:rPr>
              <w:t>支付违约金（用于抵扣采购人装卸成本）。（3）要求解除合同，拒绝接受中标人交付，中标人除退回采购人已付合同价款外，还须支付50万元的违约金。如前述违约金不足以赔偿采购人因中标人违约造成的损失，中标人应当予以赔偿。</w:t>
            </w:r>
          </w:p>
        </w:tc>
        <w:tc>
          <w:tcPr>
            <w:tcW w:w="1832" w:type="dxa"/>
            <w:tcBorders>
              <w:top w:val="single" w:color="000000" w:sz="4" w:space="0"/>
              <w:left w:val="single" w:color="000000" w:sz="4" w:space="0"/>
              <w:bottom w:val="single" w:color="000000" w:sz="4" w:space="0"/>
              <w:right w:val="single" w:color="000000" w:sz="4" w:space="0"/>
            </w:tcBorders>
            <w:vAlign w:val="center"/>
          </w:tcPr>
          <w:p w14:paraId="3F710E30">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78F89B1E">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28A2FEAC">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7</w:t>
            </w:r>
          </w:p>
        </w:tc>
        <w:tc>
          <w:tcPr>
            <w:tcW w:w="909" w:type="dxa"/>
            <w:tcBorders>
              <w:top w:val="single" w:color="000000" w:sz="4" w:space="0"/>
              <w:left w:val="single" w:color="000000" w:sz="4" w:space="0"/>
              <w:bottom w:val="single" w:color="000000" w:sz="4" w:space="0"/>
              <w:right w:val="single" w:color="000000" w:sz="4" w:space="0"/>
            </w:tcBorders>
            <w:vAlign w:val="center"/>
          </w:tcPr>
          <w:p w14:paraId="455A81EF">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52A3135E">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棉浆板生产原料</w:t>
            </w:r>
          </w:p>
        </w:tc>
        <w:tc>
          <w:tcPr>
            <w:tcW w:w="4111" w:type="dxa"/>
            <w:tcBorders>
              <w:top w:val="single" w:color="000000" w:sz="4" w:space="0"/>
              <w:left w:val="single" w:color="000000" w:sz="4" w:space="0"/>
              <w:bottom w:val="single" w:color="000000" w:sz="4" w:space="0"/>
              <w:right w:val="single" w:color="000000" w:sz="4" w:space="0"/>
            </w:tcBorders>
            <w:vAlign w:val="center"/>
          </w:tcPr>
          <w:p w14:paraId="0B1F24C8">
            <w:pPr>
              <w:widowControl/>
              <w:spacing w:line="360" w:lineRule="exact"/>
              <w:ind w:left="105" w:leftChars="50" w:right="105" w:rightChars="50" w:firstLine="560"/>
              <w:textAlignment w:val="center"/>
              <w:rPr>
                <w:rFonts w:ascii="仿宋" w:hAnsi="仿宋" w:eastAsia="仿宋" w:cs="仿宋"/>
                <w:sz w:val="28"/>
                <w:szCs w:val="28"/>
              </w:rPr>
            </w:pPr>
            <w:r>
              <w:rPr>
                <w:rFonts w:ascii="仿宋" w:hAnsi="仿宋" w:eastAsia="仿宋" w:cs="仿宋"/>
                <w:sz w:val="28"/>
                <w:szCs w:val="28"/>
              </w:rPr>
              <w:t>I-1</w:t>
            </w:r>
            <w:r>
              <w:rPr>
                <w:rFonts w:hint="eastAsia" w:ascii="仿宋" w:hAnsi="仿宋" w:eastAsia="仿宋" w:cs="仿宋"/>
                <w:sz w:val="28"/>
                <w:szCs w:val="28"/>
              </w:rPr>
              <w:t>级棉短绒及以上品质棉花</w:t>
            </w:r>
          </w:p>
        </w:tc>
        <w:tc>
          <w:tcPr>
            <w:tcW w:w="1832" w:type="dxa"/>
            <w:tcBorders>
              <w:top w:val="single" w:color="000000" w:sz="4" w:space="0"/>
              <w:left w:val="single" w:color="000000" w:sz="4" w:space="0"/>
              <w:bottom w:val="single" w:color="000000" w:sz="4" w:space="0"/>
              <w:right w:val="single" w:color="000000" w:sz="4" w:space="0"/>
            </w:tcBorders>
            <w:vAlign w:val="center"/>
          </w:tcPr>
          <w:p w14:paraId="121E2915">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67BDD6D3">
        <w:tblPrEx>
          <w:tblCellMar>
            <w:top w:w="0" w:type="dxa"/>
            <w:left w:w="0" w:type="dxa"/>
            <w:bottom w:w="0" w:type="dxa"/>
            <w:right w:w="0" w:type="dxa"/>
          </w:tblCellMar>
        </w:tblPrEx>
        <w:trPr>
          <w:trHeight w:val="9748"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3E7C2189">
            <w:pPr>
              <w:ind w:firstLine="560"/>
              <w:jc w:val="center"/>
              <w:rPr>
                <w:rFonts w:ascii="仿宋" w:hAnsi="仿宋" w:eastAsia="仿宋" w:cs="宋体"/>
                <w:sz w:val="28"/>
                <w:szCs w:val="28"/>
              </w:rPr>
            </w:pPr>
            <w:r>
              <w:rPr>
                <w:rFonts w:hint="eastAsia" w:ascii="仿宋" w:hAnsi="仿宋" w:eastAsia="仿宋" w:cs="宋体"/>
                <w:sz w:val="28"/>
                <w:szCs w:val="28"/>
              </w:rPr>
              <w:t>8</w:t>
            </w:r>
          </w:p>
        </w:tc>
        <w:tc>
          <w:tcPr>
            <w:tcW w:w="909" w:type="dxa"/>
            <w:tcBorders>
              <w:top w:val="single" w:color="000000" w:sz="4" w:space="0"/>
              <w:left w:val="single" w:color="000000" w:sz="4" w:space="0"/>
              <w:bottom w:val="single" w:color="000000" w:sz="4" w:space="0"/>
              <w:right w:val="single" w:color="000000" w:sz="4" w:space="0"/>
            </w:tcBorders>
            <w:vAlign w:val="center"/>
          </w:tcPr>
          <w:p w14:paraId="2260D5CE">
            <w:pPr>
              <w:ind w:firstLine="560"/>
              <w:jc w:val="center"/>
              <w:rPr>
                <w:rFonts w:ascii="仿宋" w:hAnsi="仿宋" w:eastAsia="仿宋" w:cs="宋体"/>
                <w:sz w:val="28"/>
                <w:szCs w:val="28"/>
              </w:rPr>
            </w:pPr>
            <w:r>
              <w:rPr>
                <w:rFonts w:hint="eastAsia" w:ascii="仿宋" w:hAnsi="仿宋" w:eastAsia="仿宋" w:cs="宋体"/>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4CEFAF8C">
            <w:pPr>
              <w:spacing w:line="360" w:lineRule="exact"/>
              <w:ind w:firstLine="560"/>
              <w:rPr>
                <w:rFonts w:ascii="仿宋" w:hAnsi="仿宋" w:eastAsia="仿宋" w:cs="仿宋"/>
                <w:color w:val="000000" w:themeColor="text1"/>
                <w:sz w:val="28"/>
                <w:szCs w:val="28"/>
              </w:rPr>
            </w:pPr>
            <w:r>
              <w:rPr>
                <w:rFonts w:hint="eastAsia" w:ascii="仿宋" w:hAnsi="仿宋" w:eastAsia="仿宋" w:cs="仿宋"/>
                <w:color w:val="000000" w:themeColor="text1"/>
                <w:sz w:val="28"/>
                <w:szCs w:val="28"/>
              </w:rPr>
              <w:t>产品色度、尘埃、耐折度</w:t>
            </w:r>
          </w:p>
        </w:tc>
        <w:tc>
          <w:tcPr>
            <w:tcW w:w="4111" w:type="dxa"/>
            <w:tcBorders>
              <w:top w:val="single" w:color="000000" w:sz="4" w:space="0"/>
              <w:left w:val="single" w:color="000000" w:sz="4" w:space="0"/>
              <w:bottom w:val="single" w:color="000000" w:sz="4" w:space="0"/>
              <w:right w:val="single" w:color="000000" w:sz="4" w:space="0"/>
            </w:tcBorders>
            <w:vAlign w:val="center"/>
          </w:tcPr>
          <w:p w14:paraId="3C8F7A84">
            <w:pPr>
              <w:snapToGrid w:val="0"/>
              <w:spacing w:line="360" w:lineRule="exact"/>
              <w:ind w:left="105" w:leftChars="50" w:right="105" w:rightChars="50" w:firstLine="560"/>
              <w:rPr>
                <w:rFonts w:ascii="仿宋" w:hAnsi="仿宋" w:eastAsia="仿宋" w:cs="仿宋"/>
                <w:color w:val="000000" w:themeColor="text1"/>
                <w:sz w:val="28"/>
                <w:szCs w:val="28"/>
              </w:rPr>
            </w:pPr>
            <w:r>
              <w:rPr>
                <w:rFonts w:hint="eastAsia" w:ascii="仿宋" w:hAnsi="仿宋" w:eastAsia="仿宋" w:cs="仿宋"/>
                <w:color w:val="000000" w:themeColor="text1"/>
                <w:sz w:val="28"/>
                <w:szCs w:val="28"/>
              </w:rPr>
              <w:t>根据承诺函的数值，进行打分。采取得分从高原则，不重复得分。</w:t>
            </w:r>
          </w:p>
          <w:p w14:paraId="5429EB43">
            <w:pPr>
              <w:snapToGrid w:val="0"/>
              <w:spacing w:line="360" w:lineRule="exact"/>
              <w:ind w:left="105" w:leftChars="50" w:right="105" w:rightChars="50" w:firstLine="560"/>
              <w:rPr>
                <w:rFonts w:ascii="仿宋" w:hAnsi="仿宋" w:eastAsia="仿宋" w:cs="仿宋"/>
                <w:color w:val="000000" w:themeColor="text1"/>
                <w:sz w:val="28"/>
                <w:szCs w:val="28"/>
              </w:rPr>
            </w:pPr>
            <w:r>
              <w:rPr>
                <w:rFonts w:ascii="仿宋" w:hAnsi="仿宋" w:eastAsia="仿宋" w:cs="仿宋"/>
                <w:color w:val="000000" w:themeColor="text1"/>
                <w:sz w:val="28"/>
                <w:szCs w:val="28"/>
              </w:rPr>
              <w:t>1.色度：</w:t>
            </w:r>
          </w:p>
          <w:p w14:paraId="344926A1">
            <w:pPr>
              <w:snapToGrid w:val="0"/>
              <w:spacing w:line="360" w:lineRule="exact"/>
              <w:ind w:left="105" w:leftChars="50" w:right="105" w:rightChars="50" w:firstLine="560"/>
              <w:rPr>
                <w:rFonts w:ascii="仿宋" w:hAnsi="仿宋" w:eastAsia="仿宋" w:cs="仿宋"/>
                <w:color w:val="000000" w:themeColor="text1"/>
                <w:sz w:val="28"/>
                <w:szCs w:val="28"/>
              </w:rPr>
            </w:pPr>
            <w:r>
              <w:rPr>
                <w:rFonts w:hint="eastAsia" w:ascii="仿宋" w:hAnsi="仿宋" w:eastAsia="仿宋" w:cs="仿宋"/>
                <w:color w:val="000000" w:themeColor="text1"/>
                <w:sz w:val="28"/>
                <w:szCs w:val="28"/>
              </w:rPr>
              <w:t>其中</w:t>
            </w:r>
            <w:r>
              <w:rPr>
                <w:rFonts w:ascii="仿宋" w:hAnsi="仿宋" w:eastAsia="仿宋" w:cs="仿宋"/>
                <w:color w:val="000000" w:themeColor="text1"/>
                <w:sz w:val="28"/>
                <w:szCs w:val="28"/>
              </w:rPr>
              <w:t>4.6≤b≤5.4且ΔE＜1.0为精品档，</w:t>
            </w:r>
          </w:p>
          <w:p w14:paraId="2605C4F8">
            <w:pPr>
              <w:snapToGrid w:val="0"/>
              <w:spacing w:line="360" w:lineRule="exact"/>
              <w:ind w:left="105" w:leftChars="50" w:right="105" w:rightChars="50" w:firstLine="560"/>
              <w:rPr>
                <w:rFonts w:ascii="仿宋" w:hAnsi="仿宋" w:eastAsia="仿宋" w:cs="仿宋"/>
                <w:color w:val="000000" w:themeColor="text1"/>
                <w:sz w:val="28"/>
                <w:szCs w:val="28"/>
              </w:rPr>
            </w:pPr>
            <w:r>
              <w:rPr>
                <w:rFonts w:ascii="仿宋" w:hAnsi="仿宋" w:eastAsia="仿宋" w:cs="仿宋"/>
                <w:color w:val="000000" w:themeColor="text1"/>
                <w:sz w:val="28"/>
                <w:szCs w:val="28"/>
              </w:rPr>
              <w:t>4.4≤b≤5.6且1.0≤</w:t>
            </w:r>
            <w:r>
              <w:rPr>
                <w:rFonts w:hint="eastAsia" w:ascii="仿宋" w:hAnsi="仿宋" w:eastAsia="仿宋" w:cs="仿宋"/>
                <w:color w:val="000000" w:themeColor="text1"/>
                <w:sz w:val="28"/>
                <w:szCs w:val="28"/>
              </w:rPr>
              <w:t>Δ</w:t>
            </w:r>
            <w:r>
              <w:rPr>
                <w:rFonts w:ascii="仿宋" w:hAnsi="仿宋" w:eastAsia="仿宋" w:cs="仿宋"/>
                <w:color w:val="000000" w:themeColor="text1"/>
                <w:sz w:val="28"/>
                <w:szCs w:val="28"/>
              </w:rPr>
              <w:t>E≤1.2，为优质档，</w:t>
            </w:r>
          </w:p>
          <w:p w14:paraId="2849DBCB">
            <w:pPr>
              <w:snapToGrid w:val="0"/>
              <w:spacing w:line="360" w:lineRule="exact"/>
              <w:ind w:left="105" w:leftChars="50" w:right="105" w:rightChars="50" w:firstLine="560"/>
              <w:rPr>
                <w:rFonts w:ascii="仿宋" w:hAnsi="仿宋" w:eastAsia="仿宋" w:cs="仿宋"/>
                <w:color w:val="000000" w:themeColor="text1"/>
                <w:sz w:val="28"/>
                <w:szCs w:val="28"/>
              </w:rPr>
            </w:pPr>
            <w:r>
              <w:rPr>
                <w:rFonts w:ascii="仿宋" w:hAnsi="仿宋" w:eastAsia="仿宋" w:cs="仿宋"/>
                <w:color w:val="000000" w:themeColor="text1"/>
                <w:sz w:val="28"/>
                <w:szCs w:val="28"/>
              </w:rPr>
              <w:t>4.3≤b≤5.7且1.2＜</w:t>
            </w:r>
            <w:r>
              <w:rPr>
                <w:rFonts w:hint="eastAsia" w:ascii="仿宋" w:hAnsi="仿宋" w:eastAsia="仿宋" w:cs="仿宋"/>
                <w:color w:val="000000" w:themeColor="text1"/>
                <w:sz w:val="28"/>
                <w:szCs w:val="28"/>
              </w:rPr>
              <w:t>Δ</w:t>
            </w:r>
            <w:r>
              <w:rPr>
                <w:rFonts w:ascii="仿宋" w:hAnsi="仿宋" w:eastAsia="仿宋" w:cs="仿宋"/>
                <w:color w:val="000000" w:themeColor="text1"/>
                <w:sz w:val="28"/>
                <w:szCs w:val="28"/>
              </w:rPr>
              <w:t>E≤1.4为合格档。</w:t>
            </w:r>
          </w:p>
          <w:p w14:paraId="1D76C597">
            <w:pPr>
              <w:snapToGrid w:val="0"/>
              <w:spacing w:line="360" w:lineRule="exact"/>
              <w:ind w:left="105" w:leftChars="50" w:right="105" w:rightChars="50" w:firstLine="560"/>
              <w:rPr>
                <w:rFonts w:ascii="仿宋" w:hAnsi="仿宋" w:eastAsia="仿宋" w:cs="仿宋"/>
                <w:sz w:val="28"/>
                <w:szCs w:val="28"/>
              </w:rPr>
            </w:pPr>
            <w:r>
              <w:rPr>
                <w:rFonts w:hint="eastAsia" w:ascii="仿宋" w:hAnsi="仿宋" w:eastAsia="仿宋" w:cs="仿宋"/>
                <w:sz w:val="28"/>
                <w:szCs w:val="28"/>
              </w:rPr>
              <w:t>即检测色度</w:t>
            </w:r>
            <w:r>
              <w:rPr>
                <w:rFonts w:ascii="仿宋" w:hAnsi="仿宋" w:eastAsia="仿宋" w:cs="仿宋"/>
                <w:sz w:val="28"/>
                <w:szCs w:val="28"/>
              </w:rPr>
              <w:t>b值与色差ΔE值同时满足上述条件时，得分。</w:t>
            </w:r>
          </w:p>
          <w:p w14:paraId="508828AC">
            <w:pPr>
              <w:snapToGrid w:val="0"/>
              <w:spacing w:line="360" w:lineRule="exact"/>
              <w:ind w:left="105" w:leftChars="50" w:right="105" w:rightChars="50" w:firstLine="560"/>
              <w:rPr>
                <w:rFonts w:ascii="仿宋" w:hAnsi="仿宋" w:eastAsia="仿宋" w:cs="仿宋"/>
                <w:sz w:val="28"/>
                <w:szCs w:val="28"/>
              </w:rPr>
            </w:pPr>
            <w:r>
              <w:rPr>
                <w:rFonts w:ascii="仿宋" w:hAnsi="仿宋" w:eastAsia="仿宋" w:cs="仿宋"/>
                <w:sz w:val="28"/>
                <w:szCs w:val="28"/>
              </w:rPr>
              <w:t>2.尘埃：</w:t>
            </w:r>
          </w:p>
          <w:p w14:paraId="1B05E2BD">
            <w:pPr>
              <w:snapToGrid w:val="0"/>
              <w:spacing w:line="360" w:lineRule="exact"/>
              <w:ind w:left="105" w:leftChars="50" w:right="105" w:rightChars="50" w:firstLine="560"/>
              <w:rPr>
                <w:rFonts w:ascii="仿宋" w:hAnsi="仿宋" w:eastAsia="仿宋" w:cs="仿宋"/>
                <w:sz w:val="28"/>
                <w:szCs w:val="28"/>
              </w:rPr>
            </w:pPr>
            <w:r>
              <w:rPr>
                <w:rFonts w:hint="eastAsia" w:ascii="仿宋" w:hAnsi="仿宋" w:eastAsia="仿宋" w:cs="仿宋"/>
                <w:sz w:val="28"/>
                <w:szCs w:val="28"/>
              </w:rPr>
              <w:t>单位为</w:t>
            </w:r>
            <w:r>
              <w:rPr>
                <w:rFonts w:ascii="仿宋" w:hAnsi="仿宋" w:eastAsia="仿宋" w:cs="仿宋"/>
                <w:sz w:val="28"/>
                <w:szCs w:val="28"/>
              </w:rPr>
              <w:t>mm</w:t>
            </w:r>
            <w:r>
              <w:rPr>
                <w:rFonts w:ascii="仿宋" w:hAnsi="仿宋" w:eastAsia="仿宋" w:cs="仿宋"/>
                <w:sz w:val="28"/>
                <w:szCs w:val="28"/>
                <w:vertAlign w:val="superscript"/>
              </w:rPr>
              <w:t>2</w:t>
            </w:r>
            <w:r>
              <w:rPr>
                <w:rFonts w:ascii="仿宋" w:hAnsi="仿宋" w:eastAsia="仿宋" w:cs="仿宋"/>
                <w:sz w:val="28"/>
                <w:szCs w:val="28"/>
              </w:rPr>
              <w:t>/kg</w:t>
            </w:r>
          </w:p>
          <w:p w14:paraId="1B8A5409">
            <w:pPr>
              <w:snapToGrid w:val="0"/>
              <w:spacing w:line="360" w:lineRule="exact"/>
              <w:ind w:left="105" w:leftChars="50" w:right="105" w:rightChars="50" w:firstLine="560"/>
              <w:rPr>
                <w:rFonts w:ascii="仿宋" w:hAnsi="仿宋" w:eastAsia="仿宋" w:cs="仿宋"/>
                <w:sz w:val="28"/>
                <w:szCs w:val="28"/>
              </w:rPr>
            </w:pPr>
            <w:r>
              <w:rPr>
                <w:rFonts w:hint="eastAsia" w:ascii="仿宋" w:hAnsi="仿宋" w:eastAsia="仿宋" w:cs="仿宋"/>
                <w:sz w:val="28"/>
                <w:szCs w:val="28"/>
              </w:rPr>
              <w:t>尘埃值＜</w:t>
            </w:r>
            <w:r>
              <w:rPr>
                <w:rFonts w:ascii="仿宋" w:hAnsi="仿宋" w:eastAsia="仿宋" w:cs="仿宋"/>
                <w:sz w:val="28"/>
                <w:szCs w:val="28"/>
              </w:rPr>
              <w:t>12，为精品档，</w:t>
            </w:r>
          </w:p>
          <w:p w14:paraId="0499BDFF">
            <w:pPr>
              <w:snapToGrid w:val="0"/>
              <w:spacing w:line="360" w:lineRule="exact"/>
              <w:ind w:left="105" w:leftChars="50" w:right="105" w:rightChars="50" w:firstLine="560"/>
              <w:rPr>
                <w:rFonts w:ascii="仿宋" w:hAnsi="仿宋" w:eastAsia="仿宋" w:cs="仿宋"/>
                <w:sz w:val="28"/>
                <w:szCs w:val="28"/>
              </w:rPr>
            </w:pPr>
            <w:r>
              <w:rPr>
                <w:rFonts w:ascii="仿宋" w:hAnsi="仿宋" w:eastAsia="仿宋" w:cs="仿宋"/>
                <w:sz w:val="28"/>
                <w:szCs w:val="28"/>
              </w:rPr>
              <w:t>12≤</w:t>
            </w:r>
            <w:r>
              <w:rPr>
                <w:rFonts w:hint="eastAsia" w:ascii="仿宋" w:hAnsi="仿宋" w:eastAsia="仿宋" w:cs="仿宋"/>
                <w:sz w:val="28"/>
                <w:szCs w:val="28"/>
              </w:rPr>
              <w:t>尘埃值≤</w:t>
            </w:r>
            <w:r>
              <w:rPr>
                <w:rFonts w:ascii="仿宋" w:hAnsi="仿宋" w:eastAsia="仿宋" w:cs="仿宋"/>
                <w:sz w:val="28"/>
                <w:szCs w:val="28"/>
              </w:rPr>
              <w:t>18，为优质档，</w:t>
            </w:r>
          </w:p>
          <w:p w14:paraId="1524E5EC">
            <w:pPr>
              <w:spacing w:line="360" w:lineRule="exact"/>
              <w:ind w:left="105" w:leftChars="50" w:right="105" w:rightChars="50" w:firstLine="560"/>
              <w:rPr>
                <w:rFonts w:ascii="仿宋" w:hAnsi="仿宋" w:eastAsia="仿宋" w:cs="仿宋"/>
                <w:sz w:val="28"/>
                <w:szCs w:val="28"/>
              </w:rPr>
            </w:pPr>
            <w:r>
              <w:rPr>
                <w:rFonts w:ascii="仿宋" w:hAnsi="仿宋" w:eastAsia="仿宋" w:cs="仿宋"/>
                <w:sz w:val="28"/>
                <w:szCs w:val="28"/>
              </w:rPr>
              <w:t>18＜</w:t>
            </w:r>
            <w:r>
              <w:rPr>
                <w:rFonts w:hint="eastAsia" w:ascii="仿宋" w:hAnsi="仿宋" w:eastAsia="仿宋" w:cs="仿宋"/>
                <w:sz w:val="28"/>
                <w:szCs w:val="28"/>
              </w:rPr>
              <w:t>尘埃值≤</w:t>
            </w:r>
            <w:r>
              <w:rPr>
                <w:rFonts w:ascii="仿宋" w:hAnsi="仿宋" w:eastAsia="仿宋" w:cs="仿宋"/>
                <w:sz w:val="28"/>
                <w:szCs w:val="28"/>
              </w:rPr>
              <w:t>24，为合格档。</w:t>
            </w:r>
          </w:p>
          <w:p w14:paraId="14101858">
            <w:pPr>
              <w:ind w:left="105" w:leftChars="50" w:firstLine="560"/>
              <w:rPr>
                <w:rFonts w:ascii="仿宋" w:hAnsi="仿宋" w:eastAsia="仿宋" w:cs="仿宋"/>
                <w:sz w:val="28"/>
                <w:szCs w:val="28"/>
              </w:rPr>
            </w:pPr>
            <w:r>
              <w:rPr>
                <w:rFonts w:ascii="仿宋" w:hAnsi="仿宋" w:eastAsia="仿宋" w:cs="仿宋"/>
                <w:sz w:val="28"/>
                <w:szCs w:val="28"/>
              </w:rPr>
              <w:t>3.耐折度n：</w:t>
            </w:r>
          </w:p>
          <w:p w14:paraId="5CDFAE0D">
            <w:pPr>
              <w:snapToGrid w:val="0"/>
              <w:spacing w:line="360" w:lineRule="exact"/>
              <w:ind w:left="105" w:leftChars="50" w:right="105" w:rightChars="50" w:firstLine="560"/>
              <w:rPr>
                <w:rFonts w:ascii="仿宋" w:hAnsi="仿宋" w:eastAsia="仿宋" w:cs="仿宋"/>
                <w:sz w:val="28"/>
                <w:szCs w:val="28"/>
              </w:rPr>
            </w:pPr>
            <w:r>
              <w:rPr>
                <w:rFonts w:hint="eastAsia" w:ascii="仿宋" w:hAnsi="仿宋" w:eastAsia="仿宋" w:cs="仿宋"/>
                <w:sz w:val="28"/>
                <w:szCs w:val="28"/>
              </w:rPr>
              <w:t>双次</w:t>
            </w:r>
          </w:p>
          <w:p w14:paraId="57E1B90D">
            <w:pPr>
              <w:snapToGrid w:val="0"/>
              <w:spacing w:line="360" w:lineRule="exact"/>
              <w:ind w:left="105" w:leftChars="50" w:right="105" w:rightChars="50" w:firstLine="560"/>
              <w:rPr>
                <w:rFonts w:ascii="仿宋" w:hAnsi="仿宋" w:eastAsia="仿宋" w:cs="仿宋"/>
                <w:sz w:val="28"/>
                <w:szCs w:val="28"/>
              </w:rPr>
            </w:pPr>
            <w:r>
              <w:rPr>
                <w:rFonts w:ascii="仿宋" w:hAnsi="仿宋" w:eastAsia="仿宋" w:cs="仿宋"/>
                <w:sz w:val="28"/>
                <w:szCs w:val="28"/>
              </w:rPr>
              <w:t>1200＜n，为精品档，</w:t>
            </w:r>
          </w:p>
          <w:p w14:paraId="05829D58">
            <w:pPr>
              <w:snapToGrid w:val="0"/>
              <w:spacing w:line="360" w:lineRule="exact"/>
              <w:ind w:left="105" w:leftChars="50" w:right="105" w:rightChars="50" w:firstLine="560"/>
              <w:rPr>
                <w:rFonts w:ascii="仿宋" w:hAnsi="仿宋" w:eastAsia="仿宋" w:cs="仿宋"/>
                <w:sz w:val="28"/>
                <w:szCs w:val="28"/>
              </w:rPr>
            </w:pPr>
            <w:r>
              <w:rPr>
                <w:rFonts w:ascii="仿宋" w:hAnsi="仿宋" w:eastAsia="仿宋" w:cs="仿宋"/>
                <w:sz w:val="28"/>
                <w:szCs w:val="28"/>
              </w:rPr>
              <w:t>1000≤n</w:t>
            </w:r>
            <w:r>
              <w:rPr>
                <w:rFonts w:hint="eastAsia" w:ascii="仿宋" w:hAnsi="仿宋" w:eastAsia="仿宋" w:cs="仿宋"/>
                <w:sz w:val="28"/>
                <w:szCs w:val="28"/>
              </w:rPr>
              <w:t>≤</w:t>
            </w:r>
            <w:r>
              <w:rPr>
                <w:rFonts w:ascii="仿宋" w:hAnsi="仿宋" w:eastAsia="仿宋" w:cs="仿宋"/>
                <w:sz w:val="28"/>
                <w:szCs w:val="28"/>
              </w:rPr>
              <w:t>1200,为优质档，</w:t>
            </w:r>
          </w:p>
          <w:p w14:paraId="10016D3A">
            <w:pPr>
              <w:snapToGrid w:val="0"/>
              <w:spacing w:line="360" w:lineRule="exact"/>
              <w:ind w:left="105" w:leftChars="50" w:right="105" w:rightChars="50" w:firstLine="560"/>
            </w:pPr>
            <w:r>
              <w:rPr>
                <w:rFonts w:hint="eastAsia" w:ascii="仿宋" w:hAnsi="仿宋" w:eastAsia="仿宋" w:cs="仿宋"/>
                <w:sz w:val="28"/>
                <w:szCs w:val="28"/>
              </w:rPr>
              <w:t>其他耐折度</w:t>
            </w:r>
            <w:r>
              <w:rPr>
                <w:rFonts w:ascii="仿宋" w:hAnsi="仿宋" w:eastAsia="仿宋" w:cs="仿宋"/>
                <w:sz w:val="28"/>
                <w:szCs w:val="28"/>
              </w:rPr>
              <w:t>800≤n</w:t>
            </w:r>
            <w:r>
              <w:rPr>
                <w:rFonts w:hint="eastAsia" w:ascii="仿宋" w:hAnsi="仿宋" w:eastAsia="仿宋" w:cs="仿宋"/>
                <w:sz w:val="28"/>
                <w:szCs w:val="28"/>
              </w:rPr>
              <w:t>＜</w:t>
            </w:r>
            <w:r>
              <w:rPr>
                <w:rFonts w:ascii="仿宋" w:hAnsi="仿宋" w:eastAsia="仿宋" w:cs="仿宋"/>
                <w:sz w:val="28"/>
                <w:szCs w:val="28"/>
              </w:rPr>
              <w:t>1000</w:t>
            </w:r>
            <w:r>
              <w:rPr>
                <w:rFonts w:hint="eastAsia" w:ascii="仿宋" w:hAnsi="仿宋" w:eastAsia="仿宋" w:cs="仿宋"/>
                <w:sz w:val="28"/>
                <w:szCs w:val="28"/>
              </w:rPr>
              <w:t>，为合格档。</w:t>
            </w:r>
          </w:p>
        </w:tc>
        <w:tc>
          <w:tcPr>
            <w:tcW w:w="1832" w:type="dxa"/>
            <w:tcBorders>
              <w:top w:val="single" w:color="000000" w:sz="4" w:space="0"/>
              <w:left w:val="single" w:color="000000" w:sz="4" w:space="0"/>
              <w:bottom w:val="single" w:color="000000" w:sz="4" w:space="0"/>
              <w:right w:val="single" w:color="000000" w:sz="4" w:space="0"/>
            </w:tcBorders>
            <w:vAlign w:val="center"/>
          </w:tcPr>
          <w:p w14:paraId="7311C6B9">
            <w:pPr>
              <w:spacing w:line="360" w:lineRule="exact"/>
              <w:ind w:firstLine="560"/>
              <w:rPr>
                <w:rFonts w:ascii="仿宋" w:hAnsi="仿宋" w:eastAsia="仿宋" w:cs="仿宋"/>
                <w:sz w:val="28"/>
                <w:szCs w:val="28"/>
              </w:rPr>
            </w:pPr>
            <w:r>
              <w:rPr>
                <w:rFonts w:hint="eastAsia" w:ascii="仿宋" w:hAnsi="仿宋" w:eastAsia="仿宋" w:cs="仿宋"/>
                <w:sz w:val="28"/>
                <w:szCs w:val="28"/>
              </w:rPr>
              <w:t>是，供应商需提供承诺函。对其中相关技术指标进行承诺。</w:t>
            </w:r>
          </w:p>
        </w:tc>
      </w:tr>
      <w:tr w14:paraId="3E007AC3">
        <w:tblPrEx>
          <w:tblCellMar>
            <w:top w:w="0" w:type="dxa"/>
            <w:left w:w="0" w:type="dxa"/>
            <w:bottom w:w="0" w:type="dxa"/>
            <w:right w:w="0" w:type="dxa"/>
          </w:tblCellMar>
        </w:tblPrEx>
        <w:trPr>
          <w:trHeight w:val="1284"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040A77FF">
            <w:pPr>
              <w:ind w:firstLine="560"/>
              <w:jc w:val="center"/>
              <w:rPr>
                <w:rFonts w:ascii="仿宋" w:hAnsi="仿宋" w:eastAsia="仿宋" w:cs="宋体"/>
                <w:sz w:val="28"/>
                <w:szCs w:val="28"/>
              </w:rPr>
            </w:pPr>
            <w:r>
              <w:rPr>
                <w:rFonts w:hint="eastAsia" w:ascii="仿宋" w:hAnsi="仿宋" w:eastAsia="仿宋" w:cs="宋体"/>
                <w:sz w:val="28"/>
                <w:szCs w:val="28"/>
              </w:rPr>
              <w:t>9</w:t>
            </w:r>
          </w:p>
        </w:tc>
        <w:tc>
          <w:tcPr>
            <w:tcW w:w="909" w:type="dxa"/>
            <w:tcBorders>
              <w:top w:val="single" w:color="000000" w:sz="4" w:space="0"/>
              <w:left w:val="single" w:color="000000" w:sz="4" w:space="0"/>
              <w:bottom w:val="single" w:color="000000" w:sz="4" w:space="0"/>
              <w:right w:val="single" w:color="000000" w:sz="4" w:space="0"/>
            </w:tcBorders>
            <w:vAlign w:val="center"/>
          </w:tcPr>
          <w:p w14:paraId="1FBAE144">
            <w:pPr>
              <w:ind w:firstLine="560"/>
              <w:jc w:val="center"/>
              <w:rPr>
                <w:rFonts w:ascii="仿宋" w:hAnsi="仿宋" w:eastAsia="仿宋" w:cs="宋体"/>
                <w:sz w:val="28"/>
                <w:szCs w:val="28"/>
              </w:rPr>
            </w:pPr>
            <w:r>
              <w:rPr>
                <w:rFonts w:hint="eastAsia" w:ascii="仿宋" w:hAnsi="仿宋" w:eastAsia="仿宋" w:cs="宋体"/>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75B28789">
            <w:pPr>
              <w:pStyle w:val="28"/>
              <w:snapToGrid w:val="0"/>
              <w:spacing w:line="360" w:lineRule="exact"/>
              <w:ind w:firstLine="560"/>
              <w:jc w:val="center"/>
              <w:rPr>
                <w:rFonts w:ascii="仿宋" w:hAnsi="仿宋" w:eastAsia="仿宋" w:cs="仿宋"/>
                <w:sz w:val="28"/>
                <w:szCs w:val="28"/>
              </w:rPr>
            </w:pPr>
            <w:r>
              <w:rPr>
                <w:rFonts w:hint="eastAsia" w:ascii="仿宋" w:hAnsi="仿宋" w:eastAsia="仿宋" w:cs="仿宋"/>
                <w:color w:val="000000"/>
                <w:sz w:val="28"/>
                <w:szCs w:val="28"/>
              </w:rPr>
              <w:t>原材料供应渠道</w:t>
            </w:r>
          </w:p>
        </w:tc>
        <w:tc>
          <w:tcPr>
            <w:tcW w:w="4111" w:type="dxa"/>
            <w:tcBorders>
              <w:top w:val="single" w:color="000000" w:sz="4" w:space="0"/>
              <w:left w:val="single" w:color="000000" w:sz="4" w:space="0"/>
              <w:bottom w:val="single" w:color="000000" w:sz="4" w:space="0"/>
              <w:right w:val="single" w:color="000000" w:sz="4" w:space="0"/>
            </w:tcBorders>
            <w:vAlign w:val="center"/>
          </w:tcPr>
          <w:p w14:paraId="39ECD365">
            <w:pPr>
              <w:snapToGrid w:val="0"/>
              <w:spacing w:line="360" w:lineRule="exact"/>
              <w:ind w:left="105" w:leftChars="50" w:right="105" w:rightChars="50" w:firstLine="560"/>
              <w:rPr>
                <w:rFonts w:ascii="仿宋" w:hAnsi="仿宋" w:eastAsia="仿宋" w:cs="仿宋"/>
                <w:sz w:val="28"/>
                <w:szCs w:val="28"/>
              </w:rPr>
            </w:pPr>
            <w:r>
              <w:rPr>
                <w:rFonts w:hint="eastAsia" w:ascii="仿宋" w:hAnsi="仿宋" w:eastAsia="仿宋" w:cs="仿宋"/>
                <w:sz w:val="28"/>
                <w:szCs w:val="28"/>
              </w:rPr>
              <w:t>原材料：对投标人原材料供应渠道进行评价。</w:t>
            </w:r>
          </w:p>
        </w:tc>
        <w:tc>
          <w:tcPr>
            <w:tcW w:w="1832" w:type="dxa"/>
            <w:tcBorders>
              <w:top w:val="single" w:color="000000" w:sz="4" w:space="0"/>
              <w:left w:val="single" w:color="000000" w:sz="4" w:space="0"/>
              <w:bottom w:val="single" w:color="000000" w:sz="4" w:space="0"/>
              <w:right w:val="single" w:color="000000" w:sz="4" w:space="0"/>
            </w:tcBorders>
            <w:vAlign w:val="center"/>
          </w:tcPr>
          <w:p w14:paraId="54E1B142">
            <w:pPr>
              <w:spacing w:line="360" w:lineRule="exact"/>
              <w:ind w:firstLine="560"/>
              <w:rPr>
                <w:rFonts w:ascii="仿宋" w:hAnsi="仿宋" w:eastAsia="仿宋" w:cs="仿宋"/>
                <w:sz w:val="28"/>
                <w:szCs w:val="28"/>
              </w:rPr>
            </w:pPr>
            <w:r>
              <w:rPr>
                <w:rFonts w:hint="eastAsia" w:ascii="仿宋" w:hAnsi="仿宋" w:eastAsia="仿宋" w:cs="仿宋"/>
                <w:sz w:val="28"/>
                <w:szCs w:val="28"/>
              </w:rPr>
              <w:t>需提供</w:t>
            </w:r>
            <w:r>
              <w:rPr>
                <w:rFonts w:ascii="仿宋" w:hAnsi="仿宋" w:eastAsia="仿宋" w:cs="仿宋"/>
                <w:sz w:val="28"/>
                <w:szCs w:val="28"/>
              </w:rPr>
              <w:t>I-1</w:t>
            </w:r>
            <w:r>
              <w:rPr>
                <w:rFonts w:hint="eastAsia" w:ascii="仿宋" w:hAnsi="仿宋" w:eastAsia="仿宋" w:cs="仿宋"/>
                <w:sz w:val="28"/>
                <w:szCs w:val="28"/>
              </w:rPr>
              <w:t>级及以上品质棉花原材料进货发票或报关单。</w:t>
            </w:r>
          </w:p>
        </w:tc>
      </w:tr>
    </w:tbl>
    <w:p w14:paraId="1B6CC804">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sz w:val="32"/>
          <w:szCs w:val="32"/>
        </w:rPr>
        <w:t>附：</w:t>
      </w:r>
      <w:r>
        <w:rPr>
          <w:rFonts w:hint="eastAsia" w:ascii="仿宋" w:hAnsi="仿宋" w:eastAsia="仿宋" w:cs="Times New Roman"/>
          <w:iCs/>
          <w:sz w:val="32"/>
          <w:szCs w:val="32"/>
        </w:rPr>
        <w:t>中国印钞造币集团有限公司的《钞票纸原材料：浆板》（Q/CBPM/J 11.3-2024</w:t>
      </w:r>
      <w:r>
        <w:rPr>
          <w:rFonts w:ascii="仿宋" w:hAnsi="仿宋" w:eastAsia="仿宋" w:cs="Times New Roman"/>
          <w:iCs/>
          <w:sz w:val="32"/>
          <w:szCs w:val="32"/>
        </w:rPr>
        <w:t>）</w:t>
      </w:r>
      <w:r>
        <w:rPr>
          <w:rFonts w:hint="eastAsia" w:ascii="仿宋" w:hAnsi="仿宋" w:eastAsia="仿宋" w:cs="Times New Roman"/>
          <w:iCs/>
          <w:sz w:val="32"/>
          <w:szCs w:val="32"/>
        </w:rPr>
        <w:t>。</w:t>
      </w:r>
    </w:p>
    <w:p w14:paraId="60FA21C6">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iCs/>
          <w:sz w:val="32"/>
          <w:szCs w:val="32"/>
        </w:rPr>
        <w:t>棉短绒浆板技术标准：</w:t>
      </w:r>
    </w:p>
    <w:tbl>
      <w:tblPr>
        <w:tblStyle w:val="16"/>
        <w:tblW w:w="4530" w:type="pct"/>
        <w:jc w:val="center"/>
        <w:tblLayout w:type="autofit"/>
        <w:tblCellMar>
          <w:top w:w="0" w:type="dxa"/>
          <w:left w:w="108" w:type="dxa"/>
          <w:bottom w:w="0" w:type="dxa"/>
          <w:right w:w="108" w:type="dxa"/>
        </w:tblCellMar>
      </w:tblPr>
      <w:tblGrid>
        <w:gridCol w:w="1090"/>
        <w:gridCol w:w="2217"/>
        <w:gridCol w:w="1808"/>
        <w:gridCol w:w="2606"/>
      </w:tblGrid>
      <w:tr w14:paraId="5E6B656E">
        <w:tblPrEx>
          <w:tblCellMar>
            <w:top w:w="0" w:type="dxa"/>
            <w:left w:w="108" w:type="dxa"/>
            <w:bottom w:w="0" w:type="dxa"/>
            <w:right w:w="108" w:type="dxa"/>
          </w:tblCellMar>
        </w:tblPrEx>
        <w:trPr>
          <w:trHeight w:val="419" w:hRule="atLeast"/>
          <w:tblHeader/>
          <w:jc w:val="center"/>
        </w:trPr>
        <w:tc>
          <w:tcPr>
            <w:tcW w:w="471" w:type="pct"/>
            <w:tcBorders>
              <w:top w:val="single" w:color="auto" w:sz="4" w:space="0"/>
              <w:left w:val="single" w:color="auto" w:sz="4" w:space="0"/>
              <w:bottom w:val="single" w:color="auto" w:sz="4" w:space="0"/>
              <w:right w:val="single" w:color="auto" w:sz="4" w:space="0"/>
            </w:tcBorders>
            <w:vAlign w:val="center"/>
          </w:tcPr>
          <w:p w14:paraId="1FBB4FC2">
            <w:pPr>
              <w:widowControl/>
              <w:numPr>
                <w:ilvl w:val="0"/>
                <w:numId w:val="1"/>
              </w:numPr>
              <w:autoSpaceDE w:val="0"/>
              <w:autoSpaceDN w:val="0"/>
              <w:ind w:firstLine="643"/>
              <w:jc w:val="center"/>
              <w:rPr>
                <w:rFonts w:ascii="Arial" w:hAnsi="Arial" w:cs="Arial"/>
                <w:b/>
                <w:bCs/>
                <w:szCs w:val="21"/>
              </w:rPr>
            </w:pPr>
            <w:r>
              <w:rPr>
                <w:rFonts w:ascii="Arial" w:hAnsi="Arial" w:cs="Arial"/>
                <w:b/>
                <w:bCs/>
                <w:szCs w:val="21"/>
              </w:rPr>
              <w:t>序号</w:t>
            </w:r>
          </w:p>
        </w:tc>
        <w:tc>
          <w:tcPr>
            <w:tcW w:w="1608" w:type="pct"/>
            <w:tcBorders>
              <w:top w:val="single" w:color="auto" w:sz="4" w:space="0"/>
              <w:left w:val="single" w:color="auto" w:sz="4" w:space="0"/>
              <w:bottom w:val="single" w:color="auto" w:sz="4" w:space="0"/>
              <w:right w:val="single" w:color="auto" w:sz="4" w:space="0"/>
            </w:tcBorders>
            <w:noWrap/>
            <w:vAlign w:val="center"/>
          </w:tcPr>
          <w:p w14:paraId="0C725333">
            <w:pPr>
              <w:widowControl/>
              <w:numPr>
                <w:ilvl w:val="0"/>
                <w:numId w:val="1"/>
              </w:numPr>
              <w:autoSpaceDE w:val="0"/>
              <w:autoSpaceDN w:val="0"/>
              <w:ind w:firstLine="643"/>
              <w:jc w:val="center"/>
              <w:rPr>
                <w:rFonts w:ascii="Arial" w:hAnsi="Arial" w:cs="Arial"/>
                <w:b/>
                <w:bCs/>
                <w:szCs w:val="21"/>
              </w:rPr>
            </w:pPr>
            <w:r>
              <w:rPr>
                <w:rFonts w:ascii="Arial" w:hAnsi="Arial" w:cs="Arial"/>
                <w:b/>
                <w:bCs/>
                <w:szCs w:val="21"/>
              </w:rPr>
              <w:t>项目</w:t>
            </w:r>
          </w:p>
        </w:tc>
        <w:tc>
          <w:tcPr>
            <w:tcW w:w="1062" w:type="pct"/>
            <w:tcBorders>
              <w:top w:val="single" w:color="auto" w:sz="4" w:space="0"/>
              <w:left w:val="nil"/>
              <w:bottom w:val="single" w:color="auto" w:sz="4" w:space="0"/>
              <w:right w:val="single" w:color="auto" w:sz="4" w:space="0"/>
            </w:tcBorders>
            <w:vAlign w:val="center"/>
          </w:tcPr>
          <w:p w14:paraId="1CC3FB81">
            <w:pPr>
              <w:numPr>
                <w:ilvl w:val="0"/>
                <w:numId w:val="1"/>
              </w:numPr>
              <w:autoSpaceDE w:val="0"/>
              <w:autoSpaceDN w:val="0"/>
              <w:adjustRightInd w:val="0"/>
              <w:snapToGrid w:val="0"/>
              <w:ind w:firstLine="643"/>
              <w:jc w:val="center"/>
              <w:rPr>
                <w:rFonts w:ascii="Arial" w:hAnsi="Arial" w:cs="Arial"/>
                <w:b/>
                <w:bCs/>
                <w:szCs w:val="21"/>
              </w:rPr>
            </w:pPr>
            <w:r>
              <w:rPr>
                <w:rFonts w:ascii="Arial" w:hAnsi="Arial" w:cs="Arial"/>
                <w:b/>
                <w:bCs/>
                <w:szCs w:val="21"/>
              </w:rPr>
              <w:t>单位</w:t>
            </w:r>
          </w:p>
        </w:tc>
        <w:tc>
          <w:tcPr>
            <w:tcW w:w="1859" w:type="pct"/>
            <w:tcBorders>
              <w:top w:val="single" w:color="auto" w:sz="4" w:space="0"/>
              <w:left w:val="nil"/>
              <w:bottom w:val="single" w:color="auto" w:sz="4" w:space="0"/>
              <w:right w:val="single" w:color="auto" w:sz="4" w:space="0"/>
            </w:tcBorders>
            <w:noWrap/>
            <w:vAlign w:val="center"/>
          </w:tcPr>
          <w:p w14:paraId="0161BEB2">
            <w:pPr>
              <w:widowControl/>
              <w:numPr>
                <w:ilvl w:val="0"/>
                <w:numId w:val="1"/>
              </w:numPr>
              <w:autoSpaceDE w:val="0"/>
              <w:autoSpaceDN w:val="0"/>
              <w:ind w:firstLine="643"/>
              <w:jc w:val="center"/>
              <w:rPr>
                <w:rFonts w:ascii="Arial" w:hAnsi="Arial" w:cs="Arial"/>
                <w:b/>
                <w:bCs/>
                <w:szCs w:val="21"/>
              </w:rPr>
            </w:pPr>
            <w:r>
              <w:rPr>
                <w:rFonts w:ascii="Arial" w:hAnsi="Arial" w:cs="Arial"/>
                <w:b/>
                <w:bCs/>
                <w:szCs w:val="21"/>
              </w:rPr>
              <w:t>I类一级棉短绒浆板</w:t>
            </w:r>
          </w:p>
        </w:tc>
      </w:tr>
      <w:tr w14:paraId="10A7A8CB">
        <w:tblPrEx>
          <w:tblCellMar>
            <w:top w:w="0" w:type="dxa"/>
            <w:left w:w="108" w:type="dxa"/>
            <w:bottom w:w="0" w:type="dxa"/>
            <w:right w:w="108" w:type="dxa"/>
          </w:tblCellMar>
        </w:tblPrEx>
        <w:trPr>
          <w:trHeight w:val="419" w:hRule="atLeast"/>
          <w:jc w:val="center"/>
        </w:trPr>
        <w:tc>
          <w:tcPr>
            <w:tcW w:w="471" w:type="pct"/>
            <w:tcBorders>
              <w:top w:val="single" w:color="auto" w:sz="4" w:space="0"/>
              <w:left w:val="single" w:color="auto" w:sz="4" w:space="0"/>
              <w:bottom w:val="single" w:color="auto" w:sz="4" w:space="0"/>
              <w:right w:val="single" w:color="auto" w:sz="4" w:space="0"/>
            </w:tcBorders>
            <w:vAlign w:val="center"/>
          </w:tcPr>
          <w:p w14:paraId="176DFC88">
            <w:pPr>
              <w:widowControl/>
              <w:numPr>
                <w:ilvl w:val="0"/>
                <w:numId w:val="1"/>
              </w:numPr>
              <w:autoSpaceDE w:val="0"/>
              <w:autoSpaceDN w:val="0"/>
              <w:ind w:firstLine="640"/>
              <w:jc w:val="center"/>
              <w:rPr>
                <w:rFonts w:ascii="Arial" w:hAnsi="Arial" w:cs="Arial"/>
                <w:szCs w:val="21"/>
              </w:rPr>
            </w:pPr>
            <w:r>
              <w:rPr>
                <w:rFonts w:ascii="Arial" w:hAnsi="Arial" w:cs="Arial"/>
                <w:szCs w:val="21"/>
              </w:rPr>
              <w:t>1</w:t>
            </w:r>
          </w:p>
        </w:tc>
        <w:tc>
          <w:tcPr>
            <w:tcW w:w="1608" w:type="pct"/>
            <w:tcBorders>
              <w:top w:val="single" w:color="auto" w:sz="4" w:space="0"/>
              <w:left w:val="single" w:color="auto" w:sz="4" w:space="0"/>
              <w:bottom w:val="single" w:color="auto" w:sz="4" w:space="0"/>
              <w:right w:val="single" w:color="auto" w:sz="4" w:space="0"/>
            </w:tcBorders>
            <w:noWrap/>
            <w:vAlign w:val="center"/>
          </w:tcPr>
          <w:p w14:paraId="77EF3199">
            <w:pPr>
              <w:widowControl/>
              <w:numPr>
                <w:ilvl w:val="0"/>
                <w:numId w:val="1"/>
              </w:numPr>
              <w:autoSpaceDE w:val="0"/>
              <w:autoSpaceDN w:val="0"/>
              <w:ind w:firstLine="640"/>
              <w:jc w:val="center"/>
              <w:rPr>
                <w:rFonts w:ascii="Arial" w:hAnsi="Arial" w:cs="Arial"/>
                <w:szCs w:val="21"/>
              </w:rPr>
            </w:pPr>
            <w:r>
              <w:rPr>
                <w:rFonts w:ascii="Arial" w:hAnsi="Arial" w:cs="Arial"/>
                <w:szCs w:val="21"/>
              </w:rPr>
              <w:t>定量</w:t>
            </w:r>
          </w:p>
        </w:tc>
        <w:tc>
          <w:tcPr>
            <w:tcW w:w="1062" w:type="pct"/>
            <w:tcBorders>
              <w:top w:val="single" w:color="auto" w:sz="4" w:space="0"/>
              <w:left w:val="nil"/>
              <w:bottom w:val="single" w:color="auto" w:sz="4" w:space="0"/>
              <w:right w:val="single" w:color="auto" w:sz="4" w:space="0"/>
            </w:tcBorders>
            <w:vAlign w:val="center"/>
          </w:tcPr>
          <w:p w14:paraId="0F7C749C">
            <w:pPr>
              <w:numPr>
                <w:ilvl w:val="0"/>
                <w:numId w:val="1"/>
              </w:numPr>
              <w:autoSpaceDE w:val="0"/>
              <w:autoSpaceDN w:val="0"/>
              <w:adjustRightInd w:val="0"/>
              <w:snapToGrid w:val="0"/>
              <w:ind w:firstLine="640"/>
              <w:jc w:val="center"/>
              <w:rPr>
                <w:rFonts w:ascii="Arial" w:hAnsi="Arial" w:cs="Arial"/>
                <w:szCs w:val="21"/>
              </w:rPr>
            </w:pPr>
            <w:r>
              <w:rPr>
                <w:rFonts w:ascii="Arial" w:hAnsi="Arial" w:cs="Arial"/>
                <w:szCs w:val="21"/>
              </w:rPr>
              <w:t>g/m</w:t>
            </w:r>
            <w:r>
              <w:rPr>
                <w:rFonts w:ascii="Arial" w:hAnsi="Arial" w:cs="Arial"/>
                <w:szCs w:val="21"/>
                <w:vertAlign w:val="superscript"/>
              </w:rPr>
              <w:t>2</w:t>
            </w:r>
          </w:p>
        </w:tc>
        <w:tc>
          <w:tcPr>
            <w:tcW w:w="1859" w:type="pct"/>
            <w:tcBorders>
              <w:top w:val="single" w:color="auto" w:sz="4" w:space="0"/>
              <w:left w:val="nil"/>
              <w:bottom w:val="single" w:color="auto" w:sz="4" w:space="0"/>
              <w:right w:val="single" w:color="auto" w:sz="4" w:space="0"/>
            </w:tcBorders>
            <w:noWrap/>
            <w:vAlign w:val="center"/>
          </w:tcPr>
          <w:p w14:paraId="310D91B2">
            <w:pPr>
              <w:widowControl/>
              <w:numPr>
                <w:ilvl w:val="0"/>
                <w:numId w:val="1"/>
              </w:numPr>
              <w:autoSpaceDE w:val="0"/>
              <w:autoSpaceDN w:val="0"/>
              <w:ind w:firstLine="640"/>
              <w:jc w:val="center"/>
              <w:rPr>
                <w:rFonts w:ascii="Arial" w:hAnsi="Arial" w:cs="Arial"/>
                <w:szCs w:val="21"/>
              </w:rPr>
            </w:pPr>
            <w:r>
              <w:rPr>
                <w:rFonts w:ascii="Arial" w:hAnsi="Arial" w:cs="Arial"/>
                <w:szCs w:val="21"/>
              </w:rPr>
              <w:t>550-750</w:t>
            </w:r>
          </w:p>
        </w:tc>
      </w:tr>
      <w:tr w14:paraId="1D6AEDD7">
        <w:tblPrEx>
          <w:tblCellMar>
            <w:top w:w="0" w:type="dxa"/>
            <w:left w:w="108" w:type="dxa"/>
            <w:bottom w:w="0" w:type="dxa"/>
            <w:right w:w="108" w:type="dxa"/>
          </w:tblCellMar>
        </w:tblPrEx>
        <w:trPr>
          <w:trHeight w:val="419" w:hRule="atLeast"/>
          <w:jc w:val="center"/>
        </w:trPr>
        <w:tc>
          <w:tcPr>
            <w:tcW w:w="471" w:type="pct"/>
            <w:tcBorders>
              <w:top w:val="single" w:color="auto" w:sz="4" w:space="0"/>
              <w:left w:val="single" w:color="auto" w:sz="4" w:space="0"/>
              <w:bottom w:val="single" w:color="auto" w:sz="4" w:space="0"/>
              <w:right w:val="single" w:color="auto" w:sz="4" w:space="0"/>
            </w:tcBorders>
            <w:vAlign w:val="center"/>
          </w:tcPr>
          <w:p w14:paraId="70E6DA60">
            <w:pPr>
              <w:widowControl/>
              <w:numPr>
                <w:ilvl w:val="0"/>
                <w:numId w:val="1"/>
              </w:numPr>
              <w:autoSpaceDE w:val="0"/>
              <w:autoSpaceDN w:val="0"/>
              <w:ind w:firstLine="640"/>
              <w:jc w:val="center"/>
              <w:rPr>
                <w:rFonts w:ascii="Arial" w:hAnsi="Arial" w:cs="Arial"/>
                <w:szCs w:val="21"/>
              </w:rPr>
            </w:pPr>
            <w:r>
              <w:rPr>
                <w:rFonts w:ascii="Arial" w:hAnsi="Arial" w:cs="Arial"/>
                <w:szCs w:val="21"/>
              </w:rPr>
              <w:t>2</w:t>
            </w:r>
          </w:p>
        </w:tc>
        <w:tc>
          <w:tcPr>
            <w:tcW w:w="1608" w:type="pct"/>
            <w:tcBorders>
              <w:top w:val="single" w:color="auto" w:sz="4" w:space="0"/>
              <w:left w:val="single" w:color="auto" w:sz="4" w:space="0"/>
              <w:bottom w:val="single" w:color="auto" w:sz="4" w:space="0"/>
              <w:right w:val="single" w:color="auto" w:sz="4" w:space="0"/>
            </w:tcBorders>
            <w:noWrap/>
            <w:vAlign w:val="center"/>
          </w:tcPr>
          <w:p w14:paraId="7BD12CC6">
            <w:pPr>
              <w:widowControl/>
              <w:numPr>
                <w:ilvl w:val="0"/>
                <w:numId w:val="1"/>
              </w:numPr>
              <w:autoSpaceDE w:val="0"/>
              <w:autoSpaceDN w:val="0"/>
              <w:ind w:firstLine="640"/>
              <w:jc w:val="center"/>
              <w:rPr>
                <w:rFonts w:ascii="Arial" w:hAnsi="Arial" w:cs="Arial"/>
                <w:szCs w:val="21"/>
              </w:rPr>
            </w:pPr>
            <w:r>
              <w:rPr>
                <w:rFonts w:ascii="Arial" w:hAnsi="Arial" w:cs="Arial"/>
                <w:szCs w:val="21"/>
              </w:rPr>
              <w:t>水分</w:t>
            </w:r>
          </w:p>
        </w:tc>
        <w:tc>
          <w:tcPr>
            <w:tcW w:w="1062" w:type="pct"/>
            <w:tcBorders>
              <w:top w:val="single" w:color="auto" w:sz="4" w:space="0"/>
              <w:left w:val="nil"/>
              <w:bottom w:val="single" w:color="auto" w:sz="4" w:space="0"/>
              <w:right w:val="single" w:color="auto" w:sz="4" w:space="0"/>
            </w:tcBorders>
            <w:vAlign w:val="center"/>
          </w:tcPr>
          <w:p w14:paraId="5D5F8FA6">
            <w:pPr>
              <w:numPr>
                <w:ilvl w:val="0"/>
                <w:numId w:val="1"/>
              </w:numPr>
              <w:autoSpaceDE w:val="0"/>
              <w:autoSpaceDN w:val="0"/>
              <w:adjustRightInd w:val="0"/>
              <w:snapToGrid w:val="0"/>
              <w:ind w:firstLine="640"/>
              <w:jc w:val="center"/>
              <w:rPr>
                <w:rFonts w:ascii="Arial" w:hAnsi="Arial" w:cs="Arial"/>
                <w:szCs w:val="21"/>
              </w:rPr>
            </w:pPr>
            <w:r>
              <w:rPr>
                <w:rFonts w:ascii="Arial" w:hAnsi="Arial" w:cs="Arial"/>
                <w:szCs w:val="21"/>
              </w:rPr>
              <w:t>%</w:t>
            </w:r>
          </w:p>
        </w:tc>
        <w:tc>
          <w:tcPr>
            <w:tcW w:w="1859" w:type="pct"/>
            <w:tcBorders>
              <w:top w:val="single" w:color="auto" w:sz="4" w:space="0"/>
              <w:left w:val="nil"/>
              <w:bottom w:val="single" w:color="auto" w:sz="4" w:space="0"/>
              <w:right w:val="single" w:color="auto" w:sz="4" w:space="0"/>
            </w:tcBorders>
            <w:noWrap/>
            <w:vAlign w:val="center"/>
          </w:tcPr>
          <w:p w14:paraId="0F0D3095">
            <w:pPr>
              <w:widowControl/>
              <w:numPr>
                <w:ilvl w:val="0"/>
                <w:numId w:val="1"/>
              </w:numPr>
              <w:autoSpaceDE w:val="0"/>
              <w:autoSpaceDN w:val="0"/>
              <w:ind w:firstLine="640"/>
              <w:jc w:val="center"/>
              <w:rPr>
                <w:rFonts w:ascii="Arial" w:hAnsi="Arial" w:cs="Arial"/>
                <w:szCs w:val="21"/>
              </w:rPr>
            </w:pPr>
            <w:r>
              <w:rPr>
                <w:rFonts w:ascii="Arial" w:hAnsi="Arial" w:cs="Arial"/>
                <w:szCs w:val="21"/>
              </w:rPr>
              <w:t>≤13.0</w:t>
            </w:r>
          </w:p>
        </w:tc>
      </w:tr>
      <w:tr w14:paraId="3C722D55">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667D077E">
            <w:pPr>
              <w:widowControl/>
              <w:numPr>
                <w:ilvl w:val="0"/>
                <w:numId w:val="1"/>
              </w:numPr>
              <w:autoSpaceDE w:val="0"/>
              <w:autoSpaceDN w:val="0"/>
              <w:ind w:firstLine="640"/>
              <w:jc w:val="center"/>
              <w:rPr>
                <w:rFonts w:ascii="Arial" w:hAnsi="Arial" w:cs="Arial"/>
                <w:szCs w:val="21"/>
              </w:rPr>
            </w:pPr>
            <w:r>
              <w:rPr>
                <w:rFonts w:ascii="Arial" w:hAnsi="Arial" w:cs="Arial"/>
                <w:szCs w:val="21"/>
              </w:rPr>
              <w:t>3</w:t>
            </w:r>
          </w:p>
        </w:tc>
        <w:tc>
          <w:tcPr>
            <w:tcW w:w="1608" w:type="pct"/>
            <w:tcBorders>
              <w:top w:val="nil"/>
              <w:left w:val="single" w:color="auto" w:sz="4" w:space="0"/>
              <w:bottom w:val="single" w:color="auto" w:sz="4" w:space="0"/>
              <w:right w:val="single" w:color="auto" w:sz="4" w:space="0"/>
            </w:tcBorders>
            <w:vAlign w:val="center"/>
          </w:tcPr>
          <w:p w14:paraId="3FDF3D54">
            <w:pPr>
              <w:widowControl/>
              <w:numPr>
                <w:ilvl w:val="0"/>
                <w:numId w:val="1"/>
              </w:numPr>
              <w:autoSpaceDE w:val="0"/>
              <w:autoSpaceDN w:val="0"/>
              <w:ind w:firstLine="640"/>
              <w:jc w:val="center"/>
              <w:rPr>
                <w:rFonts w:ascii="Arial" w:hAnsi="Arial" w:cs="Arial"/>
                <w:szCs w:val="21"/>
              </w:rPr>
            </w:pPr>
            <w:r>
              <w:rPr>
                <w:rFonts w:ascii="Arial" w:hAnsi="Arial" w:cs="Arial"/>
                <w:szCs w:val="21"/>
              </w:rPr>
              <w:t>D65亮度</w:t>
            </w:r>
          </w:p>
        </w:tc>
        <w:tc>
          <w:tcPr>
            <w:tcW w:w="1062" w:type="pct"/>
            <w:tcBorders>
              <w:top w:val="single" w:color="auto" w:sz="4" w:space="0"/>
              <w:left w:val="nil"/>
              <w:bottom w:val="single" w:color="auto" w:sz="4" w:space="0"/>
              <w:right w:val="single" w:color="auto" w:sz="4" w:space="0"/>
            </w:tcBorders>
            <w:vAlign w:val="center"/>
          </w:tcPr>
          <w:p w14:paraId="69F3337C">
            <w:pPr>
              <w:widowControl/>
              <w:numPr>
                <w:ilvl w:val="0"/>
                <w:numId w:val="1"/>
              </w:numPr>
              <w:autoSpaceDE w:val="0"/>
              <w:autoSpaceDN w:val="0"/>
              <w:ind w:firstLine="640"/>
              <w:jc w:val="center"/>
              <w:rPr>
                <w:rFonts w:ascii="Arial" w:hAnsi="Arial" w:cs="Arial"/>
                <w:szCs w:val="21"/>
              </w:rPr>
            </w:pPr>
            <w:r>
              <w:rPr>
                <w:rFonts w:ascii="Arial" w:hAnsi="Arial" w:cs="Arial"/>
                <w:szCs w:val="21"/>
              </w:rPr>
              <w:t>%</w:t>
            </w:r>
          </w:p>
        </w:tc>
        <w:tc>
          <w:tcPr>
            <w:tcW w:w="1859" w:type="pct"/>
            <w:tcBorders>
              <w:top w:val="nil"/>
              <w:left w:val="nil"/>
              <w:bottom w:val="single" w:color="auto" w:sz="4" w:space="0"/>
              <w:right w:val="single" w:color="auto" w:sz="4" w:space="0"/>
            </w:tcBorders>
            <w:noWrap/>
            <w:vAlign w:val="center"/>
          </w:tcPr>
          <w:p w14:paraId="5A4DD00B">
            <w:pPr>
              <w:widowControl/>
              <w:numPr>
                <w:ilvl w:val="0"/>
                <w:numId w:val="1"/>
              </w:numPr>
              <w:autoSpaceDE w:val="0"/>
              <w:autoSpaceDN w:val="0"/>
              <w:ind w:firstLine="640"/>
              <w:jc w:val="center"/>
              <w:rPr>
                <w:rFonts w:ascii="Arial" w:hAnsi="Arial" w:cs="Arial"/>
                <w:szCs w:val="21"/>
              </w:rPr>
            </w:pPr>
            <w:r>
              <w:rPr>
                <w:rFonts w:ascii="Arial" w:hAnsi="Arial" w:cs="Arial"/>
                <w:szCs w:val="21"/>
              </w:rPr>
              <w:t>78.0-82.0</w:t>
            </w:r>
          </w:p>
        </w:tc>
      </w:tr>
      <w:tr w14:paraId="651CCD00">
        <w:tblPrEx>
          <w:tblCellMar>
            <w:top w:w="0" w:type="dxa"/>
            <w:left w:w="108" w:type="dxa"/>
            <w:bottom w:w="0" w:type="dxa"/>
            <w:right w:w="108" w:type="dxa"/>
          </w:tblCellMar>
        </w:tblPrEx>
        <w:trPr>
          <w:trHeight w:val="366" w:hRule="atLeast"/>
          <w:jc w:val="center"/>
        </w:trPr>
        <w:tc>
          <w:tcPr>
            <w:tcW w:w="471" w:type="pct"/>
            <w:tcBorders>
              <w:top w:val="nil"/>
              <w:left w:val="single" w:color="auto" w:sz="4" w:space="0"/>
              <w:bottom w:val="single" w:color="auto" w:sz="4" w:space="0"/>
              <w:right w:val="single" w:color="auto" w:sz="4" w:space="0"/>
            </w:tcBorders>
            <w:vAlign w:val="center"/>
          </w:tcPr>
          <w:p w14:paraId="38E2EDA1">
            <w:pPr>
              <w:widowControl/>
              <w:numPr>
                <w:ilvl w:val="0"/>
                <w:numId w:val="1"/>
              </w:numPr>
              <w:autoSpaceDE w:val="0"/>
              <w:autoSpaceDN w:val="0"/>
              <w:ind w:firstLine="640"/>
              <w:jc w:val="center"/>
              <w:rPr>
                <w:rFonts w:ascii="Arial" w:hAnsi="Arial" w:cs="Arial"/>
                <w:szCs w:val="21"/>
              </w:rPr>
            </w:pPr>
            <w:r>
              <w:rPr>
                <w:rFonts w:ascii="Arial" w:hAnsi="Arial" w:cs="Arial"/>
                <w:szCs w:val="21"/>
              </w:rPr>
              <w:t>4</w:t>
            </w:r>
          </w:p>
        </w:tc>
        <w:tc>
          <w:tcPr>
            <w:tcW w:w="1608" w:type="pct"/>
            <w:tcBorders>
              <w:top w:val="nil"/>
              <w:left w:val="single" w:color="auto" w:sz="4" w:space="0"/>
              <w:bottom w:val="single" w:color="auto" w:sz="4" w:space="0"/>
              <w:right w:val="single" w:color="auto" w:sz="4" w:space="0"/>
            </w:tcBorders>
            <w:noWrap/>
            <w:vAlign w:val="center"/>
          </w:tcPr>
          <w:p w14:paraId="53E9B845">
            <w:pPr>
              <w:widowControl/>
              <w:numPr>
                <w:ilvl w:val="0"/>
                <w:numId w:val="1"/>
              </w:numPr>
              <w:autoSpaceDE w:val="0"/>
              <w:autoSpaceDN w:val="0"/>
              <w:ind w:firstLine="640"/>
              <w:jc w:val="center"/>
              <w:rPr>
                <w:rFonts w:ascii="Arial" w:hAnsi="Arial" w:cs="Arial"/>
                <w:szCs w:val="21"/>
              </w:rPr>
            </w:pPr>
            <w:r>
              <w:rPr>
                <w:rFonts w:ascii="Arial" w:hAnsi="Arial" w:cs="Arial"/>
                <w:szCs w:val="21"/>
              </w:rPr>
              <w:t>尘埃</w:t>
            </w:r>
          </w:p>
        </w:tc>
        <w:tc>
          <w:tcPr>
            <w:tcW w:w="1062" w:type="pct"/>
            <w:tcBorders>
              <w:top w:val="single" w:color="auto" w:sz="4" w:space="0"/>
              <w:left w:val="nil"/>
              <w:bottom w:val="single" w:color="auto" w:sz="4" w:space="0"/>
              <w:right w:val="single" w:color="auto" w:sz="4" w:space="0"/>
            </w:tcBorders>
            <w:vAlign w:val="center"/>
          </w:tcPr>
          <w:p w14:paraId="03CA32AC">
            <w:pPr>
              <w:widowControl/>
              <w:numPr>
                <w:ilvl w:val="0"/>
                <w:numId w:val="1"/>
              </w:numPr>
              <w:autoSpaceDE w:val="0"/>
              <w:autoSpaceDN w:val="0"/>
              <w:ind w:firstLine="640"/>
              <w:jc w:val="center"/>
              <w:rPr>
                <w:rFonts w:ascii="Arial" w:hAnsi="Arial" w:cs="Arial"/>
                <w:szCs w:val="21"/>
              </w:rPr>
            </w:pPr>
            <w:r>
              <w:rPr>
                <w:rFonts w:ascii="Arial" w:hAnsi="Arial" w:cs="Arial"/>
                <w:szCs w:val="21"/>
              </w:rPr>
              <w:t>mm</w:t>
            </w:r>
            <w:r>
              <w:rPr>
                <w:rFonts w:ascii="Arial" w:hAnsi="Arial" w:cs="Arial"/>
                <w:szCs w:val="21"/>
                <w:vertAlign w:val="superscript"/>
              </w:rPr>
              <w:t>2</w:t>
            </w:r>
            <w:r>
              <w:rPr>
                <w:rFonts w:ascii="Arial" w:hAnsi="Arial" w:cs="Arial"/>
                <w:szCs w:val="21"/>
              </w:rPr>
              <w:t>/ kg</w:t>
            </w:r>
          </w:p>
        </w:tc>
        <w:tc>
          <w:tcPr>
            <w:tcW w:w="1859" w:type="pct"/>
            <w:tcBorders>
              <w:top w:val="nil"/>
              <w:left w:val="nil"/>
              <w:bottom w:val="single" w:color="auto" w:sz="4" w:space="0"/>
              <w:right w:val="single" w:color="auto" w:sz="4" w:space="0"/>
            </w:tcBorders>
            <w:noWrap/>
            <w:vAlign w:val="center"/>
          </w:tcPr>
          <w:p w14:paraId="5AF6A151">
            <w:pPr>
              <w:widowControl/>
              <w:numPr>
                <w:ilvl w:val="0"/>
                <w:numId w:val="1"/>
              </w:numPr>
              <w:autoSpaceDE w:val="0"/>
              <w:autoSpaceDN w:val="0"/>
              <w:ind w:firstLine="640"/>
              <w:jc w:val="center"/>
              <w:rPr>
                <w:rFonts w:ascii="Arial" w:hAnsi="Arial" w:cs="Arial"/>
                <w:color w:val="000000" w:themeColor="text1"/>
                <w:szCs w:val="21"/>
              </w:rPr>
            </w:pPr>
            <w:r>
              <w:rPr>
                <w:rFonts w:ascii="Arial" w:hAnsi="Arial" w:cs="Arial"/>
                <w:color w:val="000000" w:themeColor="text1"/>
                <w:szCs w:val="21"/>
              </w:rPr>
              <w:t>≤</w:t>
            </w:r>
            <w:r>
              <w:rPr>
                <w:rFonts w:hint="eastAsia" w:ascii="Arial" w:hAnsi="Arial" w:cs="Arial"/>
                <w:color w:val="000000" w:themeColor="text1"/>
                <w:szCs w:val="21"/>
              </w:rPr>
              <w:t>24</w:t>
            </w:r>
          </w:p>
        </w:tc>
      </w:tr>
      <w:tr w14:paraId="1EEC7F0A">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202B8BC6">
            <w:pPr>
              <w:widowControl/>
              <w:numPr>
                <w:ilvl w:val="0"/>
                <w:numId w:val="1"/>
              </w:numPr>
              <w:autoSpaceDE w:val="0"/>
              <w:autoSpaceDN w:val="0"/>
              <w:ind w:firstLine="640"/>
              <w:jc w:val="center"/>
              <w:rPr>
                <w:rFonts w:ascii="Arial" w:hAnsi="Arial" w:cs="Arial"/>
                <w:szCs w:val="21"/>
              </w:rPr>
            </w:pPr>
            <w:r>
              <w:rPr>
                <w:rFonts w:ascii="Arial" w:hAnsi="Arial" w:cs="Arial"/>
                <w:szCs w:val="21"/>
              </w:rPr>
              <w:t>5</w:t>
            </w:r>
          </w:p>
        </w:tc>
        <w:tc>
          <w:tcPr>
            <w:tcW w:w="1608" w:type="pct"/>
            <w:tcBorders>
              <w:top w:val="nil"/>
              <w:left w:val="single" w:color="auto" w:sz="4" w:space="0"/>
              <w:bottom w:val="single" w:color="auto" w:sz="4" w:space="0"/>
              <w:right w:val="single" w:color="auto" w:sz="4" w:space="0"/>
            </w:tcBorders>
            <w:vAlign w:val="center"/>
          </w:tcPr>
          <w:p w14:paraId="49A78E5D">
            <w:pPr>
              <w:widowControl/>
              <w:numPr>
                <w:ilvl w:val="0"/>
                <w:numId w:val="1"/>
              </w:numPr>
              <w:autoSpaceDE w:val="0"/>
              <w:autoSpaceDN w:val="0"/>
              <w:ind w:firstLine="640"/>
              <w:jc w:val="center"/>
              <w:rPr>
                <w:rFonts w:ascii="Arial" w:hAnsi="Arial" w:cs="Arial"/>
                <w:szCs w:val="21"/>
              </w:rPr>
            </w:pPr>
            <w:r>
              <w:rPr>
                <w:rFonts w:ascii="Arial" w:hAnsi="Arial" w:cs="Arial"/>
                <w:szCs w:val="21"/>
              </w:rPr>
              <w:t>纤维长度-重量平均</w:t>
            </w:r>
          </w:p>
        </w:tc>
        <w:tc>
          <w:tcPr>
            <w:tcW w:w="1062" w:type="pct"/>
            <w:tcBorders>
              <w:top w:val="single" w:color="auto" w:sz="4" w:space="0"/>
              <w:left w:val="nil"/>
              <w:bottom w:val="single" w:color="auto" w:sz="4" w:space="0"/>
              <w:right w:val="single" w:color="auto" w:sz="4" w:space="0"/>
            </w:tcBorders>
            <w:vAlign w:val="center"/>
          </w:tcPr>
          <w:p w14:paraId="3FB3599F">
            <w:pPr>
              <w:widowControl/>
              <w:numPr>
                <w:ilvl w:val="0"/>
                <w:numId w:val="1"/>
              </w:numPr>
              <w:autoSpaceDE w:val="0"/>
              <w:autoSpaceDN w:val="0"/>
              <w:ind w:firstLine="640"/>
              <w:jc w:val="center"/>
              <w:rPr>
                <w:rFonts w:ascii="Arial" w:hAnsi="Arial" w:cs="Arial"/>
                <w:szCs w:val="21"/>
              </w:rPr>
            </w:pPr>
            <w:r>
              <w:rPr>
                <w:rFonts w:ascii="Arial" w:hAnsi="Arial" w:cs="Arial"/>
                <w:szCs w:val="21"/>
              </w:rPr>
              <w:t>mm</w:t>
            </w:r>
          </w:p>
        </w:tc>
        <w:tc>
          <w:tcPr>
            <w:tcW w:w="1859" w:type="pct"/>
            <w:tcBorders>
              <w:top w:val="nil"/>
              <w:left w:val="nil"/>
              <w:bottom w:val="single" w:color="auto" w:sz="4" w:space="0"/>
              <w:right w:val="single" w:color="auto" w:sz="4" w:space="0"/>
            </w:tcBorders>
            <w:noWrap/>
            <w:vAlign w:val="center"/>
          </w:tcPr>
          <w:p w14:paraId="20160B19">
            <w:pPr>
              <w:widowControl/>
              <w:numPr>
                <w:ilvl w:val="0"/>
                <w:numId w:val="1"/>
              </w:numPr>
              <w:autoSpaceDE w:val="0"/>
              <w:autoSpaceDN w:val="0"/>
              <w:ind w:firstLine="640"/>
              <w:jc w:val="center"/>
              <w:rPr>
                <w:rFonts w:ascii="Arial" w:hAnsi="Arial" w:cs="Arial"/>
                <w:szCs w:val="21"/>
              </w:rPr>
            </w:pPr>
            <w:r>
              <w:rPr>
                <w:rFonts w:ascii="Arial" w:hAnsi="Arial" w:cs="Arial"/>
                <w:szCs w:val="21"/>
              </w:rPr>
              <w:t>2.00-3.00</w:t>
            </w:r>
          </w:p>
        </w:tc>
      </w:tr>
      <w:tr w14:paraId="1835A167">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100A5F73">
            <w:pPr>
              <w:widowControl/>
              <w:numPr>
                <w:ilvl w:val="0"/>
                <w:numId w:val="1"/>
              </w:numPr>
              <w:autoSpaceDE w:val="0"/>
              <w:autoSpaceDN w:val="0"/>
              <w:ind w:firstLine="640"/>
              <w:jc w:val="center"/>
              <w:rPr>
                <w:rFonts w:ascii="Arial" w:hAnsi="Arial" w:cs="Arial"/>
                <w:szCs w:val="21"/>
              </w:rPr>
            </w:pPr>
            <w:r>
              <w:rPr>
                <w:rFonts w:hint="eastAsia" w:ascii="Arial" w:hAnsi="Arial" w:cs="Arial"/>
                <w:szCs w:val="21"/>
              </w:rPr>
              <w:t>6</w:t>
            </w:r>
          </w:p>
        </w:tc>
        <w:tc>
          <w:tcPr>
            <w:tcW w:w="1608" w:type="pct"/>
            <w:tcBorders>
              <w:top w:val="nil"/>
              <w:left w:val="single" w:color="auto" w:sz="4" w:space="0"/>
              <w:bottom w:val="single" w:color="auto" w:sz="4" w:space="0"/>
              <w:right w:val="single" w:color="auto" w:sz="4" w:space="0"/>
            </w:tcBorders>
            <w:vAlign w:val="center"/>
          </w:tcPr>
          <w:p w14:paraId="62BDB13A">
            <w:pPr>
              <w:widowControl/>
              <w:numPr>
                <w:ilvl w:val="0"/>
                <w:numId w:val="1"/>
              </w:numPr>
              <w:autoSpaceDE w:val="0"/>
              <w:autoSpaceDN w:val="0"/>
              <w:ind w:firstLine="640"/>
              <w:jc w:val="center"/>
              <w:rPr>
                <w:rFonts w:ascii="Arial" w:hAnsi="Arial" w:cs="Arial"/>
                <w:szCs w:val="21"/>
              </w:rPr>
            </w:pPr>
            <w:r>
              <w:rPr>
                <w:rFonts w:ascii="Arial" w:hAnsi="Arial" w:cs="Arial"/>
                <w:szCs w:val="21"/>
              </w:rPr>
              <w:t>荧光物质</w:t>
            </w:r>
          </w:p>
        </w:tc>
        <w:tc>
          <w:tcPr>
            <w:tcW w:w="1062" w:type="pct"/>
            <w:tcBorders>
              <w:top w:val="single" w:color="auto" w:sz="4" w:space="0"/>
              <w:left w:val="nil"/>
              <w:bottom w:val="single" w:color="auto" w:sz="4" w:space="0"/>
              <w:right w:val="single" w:color="auto" w:sz="4" w:space="0"/>
            </w:tcBorders>
            <w:vAlign w:val="center"/>
          </w:tcPr>
          <w:p w14:paraId="6C31DB4A">
            <w:pPr>
              <w:widowControl/>
              <w:numPr>
                <w:ilvl w:val="0"/>
                <w:numId w:val="1"/>
              </w:numPr>
              <w:autoSpaceDE w:val="0"/>
              <w:autoSpaceDN w:val="0"/>
              <w:ind w:firstLine="640"/>
              <w:jc w:val="center"/>
              <w:rPr>
                <w:rFonts w:ascii="Arial" w:hAnsi="Arial" w:cs="Arial"/>
                <w:szCs w:val="21"/>
              </w:rPr>
            </w:pPr>
            <w:r>
              <w:rPr>
                <w:rFonts w:ascii="Arial" w:hAnsi="Arial" w:cs="Arial"/>
                <w:szCs w:val="21"/>
              </w:rPr>
              <w:t>mm</w:t>
            </w:r>
            <w:r>
              <w:rPr>
                <w:rFonts w:ascii="Arial" w:hAnsi="Arial" w:cs="Arial"/>
                <w:szCs w:val="21"/>
                <w:vertAlign w:val="superscript"/>
              </w:rPr>
              <w:t>2</w:t>
            </w:r>
            <w:r>
              <w:rPr>
                <w:rFonts w:ascii="Arial" w:hAnsi="Arial" w:cs="Arial"/>
                <w:szCs w:val="21"/>
              </w:rPr>
              <w:t>/500g</w:t>
            </w:r>
          </w:p>
        </w:tc>
        <w:tc>
          <w:tcPr>
            <w:tcW w:w="1859" w:type="pct"/>
            <w:tcBorders>
              <w:top w:val="nil"/>
              <w:left w:val="nil"/>
              <w:bottom w:val="single" w:color="auto" w:sz="4" w:space="0"/>
              <w:right w:val="single" w:color="auto" w:sz="4" w:space="0"/>
            </w:tcBorders>
            <w:noWrap/>
            <w:vAlign w:val="center"/>
          </w:tcPr>
          <w:p w14:paraId="3969BDD3">
            <w:pPr>
              <w:widowControl/>
              <w:numPr>
                <w:ilvl w:val="0"/>
                <w:numId w:val="1"/>
              </w:numPr>
              <w:autoSpaceDE w:val="0"/>
              <w:autoSpaceDN w:val="0"/>
              <w:ind w:firstLine="640"/>
              <w:jc w:val="center"/>
              <w:rPr>
                <w:rFonts w:ascii="Arial" w:hAnsi="Arial" w:cs="Arial"/>
                <w:szCs w:val="21"/>
              </w:rPr>
            </w:pPr>
            <w:r>
              <w:rPr>
                <w:rFonts w:ascii="Arial" w:hAnsi="Arial" w:cs="Arial"/>
                <w:szCs w:val="21"/>
              </w:rPr>
              <w:t>≤10.0</w:t>
            </w:r>
            <w:r>
              <w:rPr>
                <w:rFonts w:ascii="Arial" w:hAnsi="Arial" w:cs="Arial"/>
                <w:szCs w:val="21"/>
              </w:rPr>
              <w:br w:type="textWrapping"/>
            </w:r>
            <w:r>
              <w:rPr>
                <w:rFonts w:ascii="Arial" w:hAnsi="Arial" w:cs="Arial"/>
                <w:szCs w:val="21"/>
              </w:rPr>
              <w:t>单个面积≤1.2mm</w:t>
            </w:r>
            <w:r>
              <w:rPr>
                <w:rFonts w:ascii="Arial" w:hAnsi="Arial" w:cs="Arial"/>
                <w:szCs w:val="21"/>
                <w:vertAlign w:val="superscript"/>
              </w:rPr>
              <w:t>2</w:t>
            </w:r>
          </w:p>
        </w:tc>
      </w:tr>
      <w:tr w14:paraId="3FCDF6C3">
        <w:tblPrEx>
          <w:tblCellMar>
            <w:top w:w="0" w:type="dxa"/>
            <w:left w:w="108" w:type="dxa"/>
            <w:bottom w:w="0" w:type="dxa"/>
            <w:right w:w="108" w:type="dxa"/>
          </w:tblCellMar>
        </w:tblPrEx>
        <w:trPr>
          <w:trHeight w:val="354" w:hRule="atLeast"/>
          <w:jc w:val="center"/>
        </w:trPr>
        <w:tc>
          <w:tcPr>
            <w:tcW w:w="471" w:type="pct"/>
            <w:tcBorders>
              <w:top w:val="nil"/>
              <w:left w:val="single" w:color="auto" w:sz="4" w:space="0"/>
              <w:bottom w:val="single" w:color="auto" w:sz="4" w:space="0"/>
              <w:right w:val="single" w:color="auto" w:sz="4" w:space="0"/>
            </w:tcBorders>
            <w:vAlign w:val="center"/>
          </w:tcPr>
          <w:p w14:paraId="6E2C58A0">
            <w:pPr>
              <w:widowControl/>
              <w:numPr>
                <w:ilvl w:val="0"/>
                <w:numId w:val="1"/>
              </w:numPr>
              <w:autoSpaceDE w:val="0"/>
              <w:autoSpaceDN w:val="0"/>
              <w:ind w:firstLine="640"/>
              <w:jc w:val="center"/>
              <w:rPr>
                <w:rFonts w:ascii="Arial" w:hAnsi="Arial" w:cs="Arial"/>
                <w:szCs w:val="21"/>
              </w:rPr>
            </w:pPr>
            <w:r>
              <w:rPr>
                <w:rFonts w:hint="eastAsia" w:ascii="Arial" w:hAnsi="Arial" w:cs="Arial"/>
                <w:szCs w:val="21"/>
              </w:rPr>
              <w:t>7</w:t>
            </w:r>
          </w:p>
        </w:tc>
        <w:tc>
          <w:tcPr>
            <w:tcW w:w="1608" w:type="pct"/>
            <w:tcBorders>
              <w:top w:val="nil"/>
              <w:left w:val="single" w:color="auto" w:sz="4" w:space="0"/>
              <w:bottom w:val="single" w:color="auto" w:sz="4" w:space="0"/>
              <w:right w:val="single" w:color="auto" w:sz="4" w:space="0"/>
            </w:tcBorders>
            <w:vAlign w:val="center"/>
          </w:tcPr>
          <w:p w14:paraId="0B7072B3">
            <w:pPr>
              <w:widowControl/>
              <w:numPr>
                <w:ilvl w:val="0"/>
                <w:numId w:val="1"/>
              </w:numPr>
              <w:autoSpaceDE w:val="0"/>
              <w:autoSpaceDN w:val="0"/>
              <w:ind w:firstLine="640"/>
              <w:jc w:val="center"/>
              <w:rPr>
                <w:rFonts w:ascii="Arial" w:hAnsi="Arial" w:cs="Arial"/>
                <w:szCs w:val="21"/>
              </w:rPr>
            </w:pPr>
            <w:r>
              <w:rPr>
                <w:rFonts w:ascii="Arial" w:hAnsi="Arial" w:cs="Arial"/>
                <w:szCs w:val="21"/>
              </w:rPr>
              <w:t>pH值</w:t>
            </w:r>
          </w:p>
        </w:tc>
        <w:tc>
          <w:tcPr>
            <w:tcW w:w="1062" w:type="pct"/>
            <w:tcBorders>
              <w:top w:val="single" w:color="auto" w:sz="4" w:space="0"/>
              <w:left w:val="nil"/>
              <w:bottom w:val="single" w:color="auto" w:sz="4" w:space="0"/>
              <w:right w:val="single" w:color="auto" w:sz="4" w:space="0"/>
            </w:tcBorders>
            <w:vAlign w:val="center"/>
          </w:tcPr>
          <w:p w14:paraId="56ADF0B9">
            <w:pPr>
              <w:widowControl/>
              <w:numPr>
                <w:ilvl w:val="0"/>
                <w:numId w:val="1"/>
              </w:numPr>
              <w:autoSpaceDE w:val="0"/>
              <w:autoSpaceDN w:val="0"/>
              <w:ind w:firstLine="640"/>
              <w:jc w:val="center"/>
              <w:rPr>
                <w:rFonts w:ascii="Arial" w:hAnsi="Arial" w:cs="Arial"/>
                <w:szCs w:val="21"/>
              </w:rPr>
            </w:pPr>
            <w:r>
              <w:rPr>
                <w:rFonts w:ascii="Arial" w:hAnsi="Arial" w:cs="Arial"/>
                <w:szCs w:val="21"/>
              </w:rPr>
              <w:t>----</w:t>
            </w:r>
          </w:p>
        </w:tc>
        <w:tc>
          <w:tcPr>
            <w:tcW w:w="1859" w:type="pct"/>
            <w:tcBorders>
              <w:top w:val="nil"/>
              <w:left w:val="nil"/>
              <w:bottom w:val="single" w:color="auto" w:sz="4" w:space="0"/>
              <w:right w:val="single" w:color="auto" w:sz="4" w:space="0"/>
            </w:tcBorders>
            <w:noWrap/>
            <w:vAlign w:val="center"/>
          </w:tcPr>
          <w:p w14:paraId="7D55F06E">
            <w:pPr>
              <w:widowControl/>
              <w:numPr>
                <w:ilvl w:val="0"/>
                <w:numId w:val="1"/>
              </w:numPr>
              <w:autoSpaceDE w:val="0"/>
              <w:autoSpaceDN w:val="0"/>
              <w:ind w:firstLine="640"/>
              <w:jc w:val="center"/>
              <w:rPr>
                <w:rFonts w:ascii="Arial" w:hAnsi="Arial" w:cs="Arial"/>
                <w:szCs w:val="21"/>
              </w:rPr>
            </w:pPr>
            <w:r>
              <w:rPr>
                <w:rFonts w:ascii="Arial" w:hAnsi="Arial" w:cs="Arial"/>
                <w:szCs w:val="21"/>
              </w:rPr>
              <w:t>7.0-8.0</w:t>
            </w:r>
          </w:p>
        </w:tc>
      </w:tr>
      <w:tr w14:paraId="2AE7684F">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371AC209">
            <w:pPr>
              <w:widowControl/>
              <w:numPr>
                <w:ilvl w:val="0"/>
                <w:numId w:val="1"/>
              </w:numPr>
              <w:autoSpaceDE w:val="0"/>
              <w:autoSpaceDN w:val="0"/>
              <w:ind w:firstLine="640"/>
              <w:jc w:val="center"/>
              <w:rPr>
                <w:rFonts w:ascii="Arial" w:hAnsi="Arial" w:cs="Arial"/>
                <w:szCs w:val="21"/>
              </w:rPr>
            </w:pPr>
            <w:r>
              <w:rPr>
                <w:rFonts w:hint="eastAsia" w:ascii="Arial" w:hAnsi="Arial" w:cs="Arial"/>
                <w:szCs w:val="21"/>
              </w:rPr>
              <w:t>8</w:t>
            </w:r>
          </w:p>
        </w:tc>
        <w:tc>
          <w:tcPr>
            <w:tcW w:w="1608" w:type="pct"/>
            <w:tcBorders>
              <w:top w:val="nil"/>
              <w:left w:val="single" w:color="auto" w:sz="4" w:space="0"/>
              <w:bottom w:val="single" w:color="auto" w:sz="4" w:space="0"/>
              <w:right w:val="single" w:color="auto" w:sz="4" w:space="0"/>
            </w:tcBorders>
            <w:vAlign w:val="center"/>
          </w:tcPr>
          <w:p w14:paraId="62EE1ED0">
            <w:pPr>
              <w:widowControl/>
              <w:numPr>
                <w:ilvl w:val="0"/>
                <w:numId w:val="1"/>
              </w:numPr>
              <w:autoSpaceDE w:val="0"/>
              <w:autoSpaceDN w:val="0"/>
              <w:ind w:firstLine="640"/>
              <w:jc w:val="center"/>
              <w:rPr>
                <w:rFonts w:ascii="Arial" w:hAnsi="Arial" w:cs="Arial"/>
                <w:szCs w:val="21"/>
              </w:rPr>
            </w:pPr>
            <w:r>
              <w:rPr>
                <w:rFonts w:ascii="Arial" w:hAnsi="Arial" w:cs="Arial"/>
                <w:szCs w:val="21"/>
              </w:rPr>
              <w:t>耐折度</w:t>
            </w:r>
          </w:p>
        </w:tc>
        <w:tc>
          <w:tcPr>
            <w:tcW w:w="1062" w:type="pct"/>
            <w:tcBorders>
              <w:top w:val="single" w:color="auto" w:sz="4" w:space="0"/>
              <w:left w:val="nil"/>
              <w:bottom w:val="single" w:color="auto" w:sz="4" w:space="0"/>
              <w:right w:val="single" w:color="auto" w:sz="4" w:space="0"/>
            </w:tcBorders>
            <w:vAlign w:val="center"/>
          </w:tcPr>
          <w:p w14:paraId="5BD7D99E">
            <w:pPr>
              <w:widowControl/>
              <w:numPr>
                <w:ilvl w:val="0"/>
                <w:numId w:val="1"/>
              </w:numPr>
              <w:autoSpaceDE w:val="0"/>
              <w:autoSpaceDN w:val="0"/>
              <w:ind w:firstLine="640"/>
              <w:jc w:val="center"/>
              <w:rPr>
                <w:rFonts w:ascii="Arial" w:hAnsi="Arial" w:cs="Arial"/>
                <w:szCs w:val="21"/>
              </w:rPr>
            </w:pPr>
            <w:r>
              <w:rPr>
                <w:rFonts w:ascii="Arial" w:hAnsi="Arial" w:cs="Arial"/>
                <w:szCs w:val="21"/>
              </w:rPr>
              <w:t>双次</w:t>
            </w:r>
          </w:p>
        </w:tc>
        <w:tc>
          <w:tcPr>
            <w:tcW w:w="1859" w:type="pct"/>
            <w:tcBorders>
              <w:top w:val="nil"/>
              <w:left w:val="nil"/>
              <w:bottom w:val="single" w:color="auto" w:sz="4" w:space="0"/>
              <w:right w:val="single" w:color="auto" w:sz="4" w:space="0"/>
            </w:tcBorders>
            <w:noWrap/>
            <w:vAlign w:val="center"/>
          </w:tcPr>
          <w:p w14:paraId="004E5F2F">
            <w:pPr>
              <w:widowControl/>
              <w:numPr>
                <w:ilvl w:val="0"/>
                <w:numId w:val="1"/>
              </w:numPr>
              <w:autoSpaceDE w:val="0"/>
              <w:autoSpaceDN w:val="0"/>
              <w:ind w:firstLine="640"/>
              <w:jc w:val="center"/>
              <w:rPr>
                <w:rFonts w:ascii="Arial" w:hAnsi="Arial" w:cs="Arial"/>
                <w:szCs w:val="21"/>
              </w:rPr>
            </w:pPr>
            <w:r>
              <w:rPr>
                <w:rFonts w:ascii="Arial" w:hAnsi="Arial" w:cs="Arial"/>
                <w:szCs w:val="21"/>
              </w:rPr>
              <w:t>≥800</w:t>
            </w:r>
          </w:p>
        </w:tc>
      </w:tr>
      <w:tr w14:paraId="47F8ED9D">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190B8152">
            <w:pPr>
              <w:widowControl/>
              <w:numPr>
                <w:ilvl w:val="0"/>
                <w:numId w:val="1"/>
              </w:numPr>
              <w:autoSpaceDE w:val="0"/>
              <w:autoSpaceDN w:val="0"/>
              <w:ind w:firstLine="640"/>
              <w:jc w:val="center"/>
              <w:rPr>
                <w:rFonts w:ascii="Arial" w:hAnsi="Arial" w:cs="Arial"/>
                <w:szCs w:val="21"/>
              </w:rPr>
            </w:pPr>
            <w:r>
              <w:rPr>
                <w:rFonts w:hint="eastAsia" w:ascii="Arial" w:hAnsi="Arial" w:cs="Arial"/>
                <w:szCs w:val="21"/>
              </w:rPr>
              <w:t>9</w:t>
            </w:r>
          </w:p>
        </w:tc>
        <w:tc>
          <w:tcPr>
            <w:tcW w:w="1608" w:type="pct"/>
            <w:tcBorders>
              <w:top w:val="nil"/>
              <w:left w:val="single" w:color="auto" w:sz="4" w:space="0"/>
              <w:bottom w:val="single" w:color="auto" w:sz="4" w:space="0"/>
              <w:right w:val="single" w:color="auto" w:sz="4" w:space="0"/>
            </w:tcBorders>
            <w:vAlign w:val="center"/>
          </w:tcPr>
          <w:p w14:paraId="5A8889C9">
            <w:pPr>
              <w:widowControl/>
              <w:numPr>
                <w:ilvl w:val="0"/>
                <w:numId w:val="1"/>
              </w:numPr>
              <w:autoSpaceDE w:val="0"/>
              <w:autoSpaceDN w:val="0"/>
              <w:ind w:firstLine="640"/>
              <w:jc w:val="center"/>
              <w:rPr>
                <w:rFonts w:ascii="Arial" w:hAnsi="Arial" w:cs="Arial"/>
                <w:szCs w:val="21"/>
              </w:rPr>
            </w:pPr>
            <w:r>
              <w:rPr>
                <w:rFonts w:ascii="Arial" w:hAnsi="Arial" w:cs="Arial"/>
                <w:szCs w:val="21"/>
              </w:rPr>
              <w:t>裂断长</w:t>
            </w:r>
          </w:p>
        </w:tc>
        <w:tc>
          <w:tcPr>
            <w:tcW w:w="1062" w:type="pct"/>
            <w:tcBorders>
              <w:top w:val="single" w:color="auto" w:sz="4" w:space="0"/>
              <w:left w:val="nil"/>
              <w:bottom w:val="single" w:color="auto" w:sz="4" w:space="0"/>
              <w:right w:val="single" w:color="auto" w:sz="4" w:space="0"/>
            </w:tcBorders>
            <w:vAlign w:val="center"/>
          </w:tcPr>
          <w:p w14:paraId="2452D916">
            <w:pPr>
              <w:widowControl/>
              <w:numPr>
                <w:ilvl w:val="0"/>
                <w:numId w:val="1"/>
              </w:numPr>
              <w:autoSpaceDE w:val="0"/>
              <w:autoSpaceDN w:val="0"/>
              <w:ind w:firstLine="640"/>
              <w:jc w:val="center"/>
              <w:rPr>
                <w:rFonts w:ascii="Arial" w:hAnsi="Arial" w:cs="Arial"/>
                <w:szCs w:val="21"/>
              </w:rPr>
            </w:pPr>
            <w:r>
              <w:rPr>
                <w:rFonts w:ascii="Arial" w:hAnsi="Arial" w:cs="Arial"/>
                <w:szCs w:val="21"/>
              </w:rPr>
              <w:t>km</w:t>
            </w:r>
          </w:p>
        </w:tc>
        <w:tc>
          <w:tcPr>
            <w:tcW w:w="1859" w:type="pct"/>
            <w:tcBorders>
              <w:top w:val="nil"/>
              <w:left w:val="nil"/>
              <w:bottom w:val="single" w:color="auto" w:sz="4" w:space="0"/>
              <w:right w:val="single" w:color="auto" w:sz="4" w:space="0"/>
            </w:tcBorders>
            <w:vAlign w:val="center"/>
          </w:tcPr>
          <w:p w14:paraId="0246EAED">
            <w:pPr>
              <w:widowControl/>
              <w:numPr>
                <w:ilvl w:val="0"/>
                <w:numId w:val="1"/>
              </w:numPr>
              <w:autoSpaceDE w:val="0"/>
              <w:autoSpaceDN w:val="0"/>
              <w:ind w:firstLine="640"/>
              <w:jc w:val="center"/>
              <w:rPr>
                <w:rFonts w:ascii="Arial" w:hAnsi="Arial" w:cs="Arial"/>
                <w:szCs w:val="21"/>
              </w:rPr>
            </w:pPr>
            <w:r>
              <w:rPr>
                <w:rFonts w:ascii="Arial" w:hAnsi="Arial" w:cs="Arial"/>
                <w:szCs w:val="21"/>
              </w:rPr>
              <w:t>≥3.90</w:t>
            </w:r>
          </w:p>
        </w:tc>
      </w:tr>
      <w:tr w14:paraId="5A836982">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42471A0F">
            <w:pPr>
              <w:widowControl/>
              <w:numPr>
                <w:ilvl w:val="0"/>
                <w:numId w:val="1"/>
              </w:numPr>
              <w:autoSpaceDE w:val="0"/>
              <w:autoSpaceDN w:val="0"/>
              <w:ind w:firstLine="640"/>
              <w:jc w:val="center"/>
              <w:rPr>
                <w:rFonts w:ascii="Arial" w:hAnsi="Arial" w:cs="Arial"/>
                <w:szCs w:val="21"/>
              </w:rPr>
            </w:pPr>
            <w:r>
              <w:rPr>
                <w:rFonts w:hint="eastAsia" w:ascii="Arial" w:hAnsi="Arial" w:cs="Arial"/>
                <w:szCs w:val="21"/>
              </w:rPr>
              <w:t>10</w:t>
            </w:r>
          </w:p>
        </w:tc>
        <w:tc>
          <w:tcPr>
            <w:tcW w:w="1608" w:type="pct"/>
            <w:tcBorders>
              <w:top w:val="nil"/>
              <w:left w:val="single" w:color="auto" w:sz="4" w:space="0"/>
              <w:bottom w:val="single" w:color="auto" w:sz="4" w:space="0"/>
              <w:right w:val="single" w:color="auto" w:sz="4" w:space="0"/>
            </w:tcBorders>
            <w:vAlign w:val="center"/>
          </w:tcPr>
          <w:p w14:paraId="50E781DB">
            <w:pPr>
              <w:widowControl/>
              <w:numPr>
                <w:ilvl w:val="0"/>
                <w:numId w:val="1"/>
              </w:numPr>
              <w:autoSpaceDE w:val="0"/>
              <w:autoSpaceDN w:val="0"/>
              <w:ind w:firstLine="640"/>
              <w:jc w:val="center"/>
              <w:rPr>
                <w:rFonts w:ascii="Arial" w:hAnsi="Arial" w:cs="Arial"/>
                <w:szCs w:val="21"/>
              </w:rPr>
            </w:pPr>
            <w:r>
              <w:rPr>
                <w:rFonts w:ascii="Arial" w:hAnsi="Arial" w:cs="Arial"/>
                <w:szCs w:val="21"/>
              </w:rPr>
              <w:t>颜色</w:t>
            </w:r>
          </w:p>
        </w:tc>
        <w:tc>
          <w:tcPr>
            <w:tcW w:w="1062" w:type="pct"/>
            <w:tcBorders>
              <w:top w:val="single" w:color="auto" w:sz="4" w:space="0"/>
              <w:left w:val="nil"/>
              <w:bottom w:val="single" w:color="auto" w:sz="4" w:space="0"/>
              <w:right w:val="single" w:color="auto" w:sz="4" w:space="0"/>
            </w:tcBorders>
            <w:vAlign w:val="center"/>
          </w:tcPr>
          <w:p w14:paraId="00CD3D5D">
            <w:pPr>
              <w:widowControl/>
              <w:numPr>
                <w:ilvl w:val="0"/>
                <w:numId w:val="1"/>
              </w:numPr>
              <w:autoSpaceDE w:val="0"/>
              <w:autoSpaceDN w:val="0"/>
              <w:ind w:firstLine="640"/>
              <w:jc w:val="center"/>
              <w:rPr>
                <w:rFonts w:ascii="Arial" w:hAnsi="Arial" w:cs="Arial"/>
                <w:szCs w:val="21"/>
              </w:rPr>
            </w:pPr>
            <w:r>
              <w:rPr>
                <w:rFonts w:ascii="Arial" w:hAnsi="Arial" w:cs="Arial"/>
                <w:szCs w:val="21"/>
              </w:rPr>
              <w:t>----</w:t>
            </w:r>
          </w:p>
        </w:tc>
        <w:tc>
          <w:tcPr>
            <w:tcW w:w="1859" w:type="pct"/>
            <w:tcBorders>
              <w:top w:val="nil"/>
              <w:left w:val="nil"/>
              <w:bottom w:val="single" w:color="auto" w:sz="4" w:space="0"/>
              <w:right w:val="single" w:color="auto" w:sz="4" w:space="0"/>
            </w:tcBorders>
            <w:vAlign w:val="center"/>
          </w:tcPr>
          <w:p w14:paraId="6CBA8D51">
            <w:pPr>
              <w:widowControl/>
              <w:numPr>
                <w:ilvl w:val="0"/>
                <w:numId w:val="1"/>
              </w:numPr>
              <w:autoSpaceDE w:val="0"/>
              <w:autoSpaceDN w:val="0"/>
              <w:ind w:left="-10" w:leftChars="-5" w:right="-10" w:rightChars="-5" w:firstLine="640"/>
              <w:jc w:val="left"/>
              <w:rPr>
                <w:rFonts w:ascii="Arial" w:hAnsi="Arial" w:cs="Arial"/>
                <w:szCs w:val="21"/>
              </w:rPr>
            </w:pPr>
            <w:r>
              <w:rPr>
                <w:rFonts w:ascii="Arial" w:hAnsi="Arial" w:cs="Arial"/>
                <w:szCs w:val="21"/>
              </w:rPr>
              <w:t>L：94.5±1.2</w:t>
            </w:r>
            <w:r>
              <w:rPr>
                <w:rFonts w:ascii="Arial" w:hAnsi="Arial" w:cs="Arial"/>
                <w:szCs w:val="21"/>
              </w:rPr>
              <w:br w:type="textWrapping"/>
            </w:r>
            <w:r>
              <w:rPr>
                <w:rFonts w:ascii="Arial" w:hAnsi="Arial" w:cs="Arial"/>
                <w:szCs w:val="21"/>
              </w:rPr>
              <w:t>a：-0.300±0.500</w:t>
            </w:r>
            <w:r>
              <w:rPr>
                <w:rFonts w:ascii="Arial" w:hAnsi="Arial" w:cs="Arial"/>
                <w:szCs w:val="21"/>
              </w:rPr>
              <w:br w:type="textWrapping"/>
            </w:r>
            <w:r>
              <w:rPr>
                <w:rFonts w:ascii="Arial" w:hAnsi="Arial" w:cs="Arial"/>
                <w:szCs w:val="21"/>
              </w:rPr>
              <w:t>b：5.00±0.70</w:t>
            </w:r>
          </w:p>
          <w:p w14:paraId="23B5BF10">
            <w:pPr>
              <w:widowControl/>
              <w:numPr>
                <w:ilvl w:val="0"/>
                <w:numId w:val="1"/>
              </w:numPr>
              <w:autoSpaceDE w:val="0"/>
              <w:autoSpaceDN w:val="0"/>
              <w:ind w:left="-10" w:leftChars="-5" w:right="-10" w:rightChars="-5" w:firstLine="640"/>
              <w:jc w:val="left"/>
              <w:rPr>
                <w:rFonts w:ascii="Arial" w:hAnsi="Arial" w:cs="Arial"/>
                <w:szCs w:val="21"/>
              </w:rPr>
            </w:pPr>
            <w:r>
              <w:rPr>
                <w:rFonts w:ascii="Arial" w:hAnsi="Arial" w:cs="Arial"/>
                <w:szCs w:val="21"/>
              </w:rPr>
              <w:t>△E≤1.4</w:t>
            </w:r>
          </w:p>
        </w:tc>
      </w:tr>
      <w:tr w14:paraId="7AC33149">
        <w:tblPrEx>
          <w:tblCellMar>
            <w:top w:w="0" w:type="dxa"/>
            <w:left w:w="108" w:type="dxa"/>
            <w:bottom w:w="0" w:type="dxa"/>
            <w:right w:w="108" w:type="dxa"/>
          </w:tblCellMar>
        </w:tblPrEx>
        <w:trPr>
          <w:trHeight w:val="296"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C89009F">
            <w:pPr>
              <w:widowControl/>
              <w:numPr>
                <w:ilvl w:val="0"/>
                <w:numId w:val="1"/>
              </w:numPr>
              <w:autoSpaceDE w:val="0"/>
              <w:autoSpaceDN w:val="0"/>
              <w:ind w:firstLine="640"/>
              <w:jc w:val="left"/>
              <w:rPr>
                <w:rFonts w:ascii="Arial" w:hAnsi="Arial" w:cs="Arial"/>
                <w:szCs w:val="21"/>
              </w:rPr>
            </w:pPr>
            <w:r>
              <w:rPr>
                <w:rFonts w:ascii="Arial" w:hAnsi="Arial" w:cs="Arial"/>
                <w:szCs w:val="21"/>
              </w:rPr>
              <w:t>要求：</w:t>
            </w:r>
          </w:p>
          <w:p w14:paraId="31C4A3FD">
            <w:pPr>
              <w:widowControl/>
              <w:numPr>
                <w:ilvl w:val="0"/>
                <w:numId w:val="1"/>
              </w:numPr>
              <w:autoSpaceDE w:val="0"/>
              <w:autoSpaceDN w:val="0"/>
              <w:ind w:firstLine="640"/>
              <w:jc w:val="left"/>
              <w:rPr>
                <w:rFonts w:ascii="Arial" w:hAnsi="Arial" w:cs="Arial"/>
                <w:szCs w:val="21"/>
              </w:rPr>
            </w:pPr>
            <w:r>
              <w:rPr>
                <w:rFonts w:ascii="Arial" w:hAnsi="Arial" w:cs="Arial"/>
                <w:szCs w:val="21"/>
              </w:rPr>
              <w:t>1.浆板不得含有化学纤维、无色荧光纤维、塑料胶带、胶皮、塑料片、塑料绳、各种有色纤维等异性纤维和杂物。</w:t>
            </w:r>
          </w:p>
          <w:p w14:paraId="3214349F">
            <w:pPr>
              <w:widowControl/>
              <w:numPr>
                <w:ilvl w:val="0"/>
                <w:numId w:val="1"/>
              </w:numPr>
              <w:autoSpaceDE w:val="0"/>
              <w:autoSpaceDN w:val="0"/>
              <w:ind w:left="-10" w:leftChars="-5" w:right="-10" w:rightChars="-5" w:firstLine="640"/>
              <w:jc w:val="left"/>
              <w:rPr>
                <w:rFonts w:ascii="Arial" w:hAnsi="Arial" w:cs="Arial"/>
                <w:szCs w:val="21"/>
              </w:rPr>
            </w:pPr>
            <w:r>
              <w:rPr>
                <w:rFonts w:ascii="Arial" w:hAnsi="Arial" w:cs="Arial"/>
                <w:szCs w:val="21"/>
              </w:rPr>
              <w:t>2.浆板无荧光背景。</w:t>
            </w:r>
          </w:p>
          <w:p w14:paraId="7AFF811D">
            <w:pPr>
              <w:widowControl/>
              <w:numPr>
                <w:ilvl w:val="0"/>
                <w:numId w:val="1"/>
              </w:numPr>
              <w:autoSpaceDE w:val="0"/>
              <w:autoSpaceDN w:val="0"/>
              <w:ind w:left="-10" w:leftChars="-5" w:right="-10" w:rightChars="-5" w:firstLine="640"/>
              <w:jc w:val="left"/>
              <w:rPr>
                <w:rFonts w:ascii="Arial" w:hAnsi="Arial" w:cs="Arial"/>
              </w:rPr>
            </w:pPr>
            <w:r>
              <w:rPr>
                <w:rFonts w:ascii="Arial" w:hAnsi="Arial" w:cs="Arial"/>
                <w:szCs w:val="21"/>
              </w:rPr>
              <w:t>3.浆板需为100%棉纤维。</w:t>
            </w:r>
          </w:p>
        </w:tc>
      </w:tr>
    </w:tbl>
    <w:p w14:paraId="66F48F06">
      <w:pPr>
        <w:spacing w:line="560" w:lineRule="exact"/>
        <w:ind w:firstLine="640" w:firstLineChars="200"/>
        <w:jc w:val="left"/>
        <w:outlineLvl w:val="3"/>
        <w:rPr>
          <w:rFonts w:ascii="仿宋" w:hAnsi="仿宋" w:eastAsia="仿宋" w:cs="Times New Roman"/>
          <w:sz w:val="32"/>
          <w:szCs w:val="32"/>
        </w:rPr>
      </w:pPr>
      <w:r>
        <w:rPr>
          <w:rFonts w:hint="eastAsia" w:ascii="仿宋" w:hAnsi="仿宋" w:eastAsia="仿宋" w:cs="Times New Roman"/>
          <w:sz w:val="32"/>
          <w:szCs w:val="32"/>
        </w:rPr>
        <w:t>（2）商务要求</w:t>
      </w:r>
    </w:p>
    <w:p w14:paraId="5FE6DCF3">
      <w:pPr>
        <w:spacing w:line="560" w:lineRule="exact"/>
        <w:ind w:firstLine="640" w:firstLineChars="200"/>
        <w:rPr>
          <w:rFonts w:ascii="仿宋" w:hAnsi="仿宋" w:eastAsia="仿宋" w:cs="Times New Roman"/>
          <w:iCs/>
          <w:sz w:val="32"/>
          <w:szCs w:val="32"/>
        </w:rPr>
      </w:pPr>
      <w:r>
        <w:rPr>
          <w:rFonts w:hint="eastAsia" w:ascii="仿宋" w:hAnsi="仿宋" w:eastAsia="仿宋" w:cs="Times New Roman"/>
          <w:iCs/>
          <w:sz w:val="32"/>
          <w:szCs w:val="32"/>
        </w:rPr>
        <w:t>本商务要求</w:t>
      </w:r>
      <w:r>
        <w:rPr>
          <w:rFonts w:ascii="仿宋" w:hAnsi="仿宋" w:eastAsia="仿宋" w:cs="Times New Roman"/>
          <w:iCs/>
          <w:sz w:val="32"/>
          <w:szCs w:val="32"/>
        </w:rPr>
        <w:t>共有“</w:t>
      </w:r>
      <w:r>
        <w:rPr>
          <w:rFonts w:hint="eastAsia" w:ascii="仿宋" w:hAnsi="仿宋" w:eastAsia="仿宋" w:cs="Times New Roman"/>
          <w:iCs/>
          <w:sz w:val="32"/>
          <w:szCs w:val="32"/>
        </w:rPr>
        <w:t>★</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rPr>
        <w:t xml:space="preserve">  5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rPr>
        <w:t xml:space="preserve"> 0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w:t>
      </w:r>
      <w:r>
        <w:rPr>
          <w:rFonts w:ascii="仿宋" w:hAnsi="仿宋" w:eastAsia="仿宋" w:cs="Times New Roman"/>
          <w:iCs/>
          <w:sz w:val="32"/>
          <w:szCs w:val="32"/>
        </w:rPr>
        <w:t>指标</w:t>
      </w:r>
      <w:r>
        <w:rPr>
          <w:rFonts w:hint="eastAsia" w:ascii="仿宋" w:hAnsi="仿宋" w:eastAsia="仿宋" w:cs="Times New Roman"/>
          <w:iCs/>
          <w:sz w:val="32"/>
          <w:szCs w:val="32"/>
          <w:u w:val="single"/>
        </w:rPr>
        <w:t xml:space="preserve"> </w:t>
      </w:r>
      <w:r>
        <w:rPr>
          <w:rFonts w:ascii="仿宋" w:hAnsi="仿宋" w:eastAsia="仿宋" w:cs="Times New Roman"/>
          <w:iCs/>
          <w:sz w:val="32"/>
          <w:szCs w:val="32"/>
          <w:u w:val="single"/>
        </w:rPr>
        <w:t xml:space="preserve"> </w:t>
      </w:r>
      <w:r>
        <w:rPr>
          <w:rFonts w:hint="eastAsia" w:ascii="仿宋" w:hAnsi="仿宋" w:eastAsia="仿宋" w:cs="Times New Roman"/>
          <w:iCs/>
          <w:sz w:val="32"/>
          <w:szCs w:val="32"/>
          <w:u w:val="single"/>
        </w:rPr>
        <w:t xml:space="preserve">1  </w:t>
      </w:r>
      <w:r>
        <w:rPr>
          <w:rFonts w:hint="eastAsia" w:ascii="仿宋" w:hAnsi="仿宋" w:eastAsia="仿宋" w:cs="Times New Roman"/>
          <w:iCs/>
          <w:sz w:val="32"/>
          <w:szCs w:val="32"/>
        </w:rPr>
        <w:t>项</w:t>
      </w:r>
    </w:p>
    <w:p w14:paraId="77BB9936">
      <w:pPr>
        <w:spacing w:line="360" w:lineRule="auto"/>
        <w:ind w:firstLine="640"/>
        <w:rPr>
          <w:rFonts w:ascii="仿宋" w:hAnsi="仿宋" w:eastAsia="仿宋" w:cs="Times New Roman"/>
          <w:iCs/>
          <w:sz w:val="32"/>
          <w:szCs w:val="32"/>
        </w:rPr>
      </w:pPr>
      <w:r>
        <w:rPr>
          <w:rFonts w:hint="eastAsia" w:ascii="仿宋" w:hAnsi="仿宋" w:eastAsia="仿宋" w:cs="Times New Roman"/>
          <w:iCs/>
          <w:sz w:val="32"/>
          <w:szCs w:val="32"/>
        </w:rPr>
        <w:t>A、服务要求</w:t>
      </w:r>
    </w:p>
    <w:tbl>
      <w:tblPr>
        <w:tblStyle w:val="16"/>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81"/>
        <w:gridCol w:w="1559"/>
        <w:gridCol w:w="3825"/>
        <w:gridCol w:w="1373"/>
      </w:tblGrid>
      <w:tr w14:paraId="7D96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846" w:type="dxa"/>
            <w:vAlign w:val="center"/>
          </w:tcPr>
          <w:p w14:paraId="72C2C582">
            <w:pPr>
              <w:ind w:firstLine="562"/>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1181" w:type="dxa"/>
            <w:vAlign w:val="center"/>
          </w:tcPr>
          <w:p w14:paraId="0EFEA9D8">
            <w:pPr>
              <w:ind w:firstLine="562"/>
              <w:jc w:val="center"/>
              <w:rPr>
                <w:rFonts w:ascii="仿宋" w:hAnsi="仿宋" w:eastAsia="仿宋" w:cs="Times New Roman"/>
                <w:b/>
                <w:sz w:val="28"/>
                <w:szCs w:val="28"/>
              </w:rPr>
            </w:pPr>
            <w:r>
              <w:rPr>
                <w:rFonts w:hint="eastAsia" w:ascii="仿宋" w:hAnsi="仿宋" w:eastAsia="仿宋" w:cs="Times New Roman"/>
                <w:b/>
                <w:sz w:val="28"/>
                <w:szCs w:val="28"/>
              </w:rPr>
              <w:t>重要性</w:t>
            </w:r>
          </w:p>
        </w:tc>
        <w:tc>
          <w:tcPr>
            <w:tcW w:w="1559" w:type="dxa"/>
            <w:vAlign w:val="center"/>
          </w:tcPr>
          <w:p w14:paraId="73E854DB">
            <w:pPr>
              <w:ind w:firstLine="562"/>
              <w:jc w:val="center"/>
              <w:rPr>
                <w:rFonts w:ascii="仿宋" w:hAnsi="仿宋" w:eastAsia="仿宋" w:cs="Times New Roman"/>
                <w:b/>
                <w:sz w:val="28"/>
                <w:szCs w:val="28"/>
              </w:rPr>
            </w:pPr>
            <w:r>
              <w:rPr>
                <w:rFonts w:hint="eastAsia" w:ascii="仿宋" w:hAnsi="仿宋" w:eastAsia="仿宋" w:cs="Times New Roman"/>
                <w:b/>
                <w:sz w:val="28"/>
                <w:szCs w:val="28"/>
              </w:rPr>
              <w:t>内容</w:t>
            </w:r>
          </w:p>
        </w:tc>
        <w:tc>
          <w:tcPr>
            <w:tcW w:w="3825" w:type="dxa"/>
            <w:vAlign w:val="center"/>
          </w:tcPr>
          <w:p w14:paraId="38D26F25">
            <w:pPr>
              <w:ind w:firstLine="562"/>
              <w:jc w:val="center"/>
              <w:rPr>
                <w:rFonts w:ascii="仿宋" w:hAnsi="仿宋" w:eastAsia="仿宋" w:cs="Times New Roman"/>
                <w:b/>
                <w:sz w:val="28"/>
                <w:szCs w:val="28"/>
              </w:rPr>
            </w:pPr>
            <w:r>
              <w:rPr>
                <w:rFonts w:hint="eastAsia" w:ascii="仿宋" w:hAnsi="仿宋" w:eastAsia="仿宋" w:cs="Times New Roman"/>
                <w:b/>
                <w:sz w:val="28"/>
                <w:szCs w:val="28"/>
              </w:rPr>
              <w:t>服务要求标准</w:t>
            </w:r>
          </w:p>
        </w:tc>
        <w:tc>
          <w:tcPr>
            <w:tcW w:w="1373" w:type="dxa"/>
            <w:vAlign w:val="center"/>
          </w:tcPr>
          <w:p w14:paraId="0077613C">
            <w:pPr>
              <w:ind w:firstLine="562"/>
              <w:jc w:val="center"/>
              <w:rPr>
                <w:rFonts w:ascii="仿宋" w:hAnsi="仿宋" w:eastAsia="仿宋" w:cs="Times New Roman"/>
                <w:b/>
                <w:sz w:val="28"/>
                <w:szCs w:val="28"/>
              </w:rPr>
            </w:pPr>
            <w:r>
              <w:rPr>
                <w:rFonts w:hint="eastAsia" w:ascii="仿宋" w:hAnsi="仿宋" w:eastAsia="仿宋" w:cs="宋体"/>
                <w:b/>
                <w:kern w:val="0"/>
                <w:sz w:val="28"/>
                <w:szCs w:val="28"/>
              </w:rPr>
              <w:t>是否</w:t>
            </w:r>
            <w:r>
              <w:rPr>
                <w:rFonts w:ascii="仿宋" w:hAnsi="仿宋" w:eastAsia="仿宋" w:cs="宋体"/>
                <w:b/>
                <w:kern w:val="0"/>
                <w:sz w:val="28"/>
                <w:szCs w:val="28"/>
              </w:rPr>
              <w:t>提供证明材料</w:t>
            </w:r>
            <w:r>
              <w:rPr>
                <w:rFonts w:hint="eastAsia" w:ascii="仿宋" w:hAnsi="仿宋" w:eastAsia="仿宋" w:cs="宋体"/>
                <w:b/>
                <w:kern w:val="0"/>
                <w:sz w:val="28"/>
                <w:szCs w:val="28"/>
              </w:rPr>
              <w:t>及方式</w:t>
            </w:r>
          </w:p>
        </w:tc>
      </w:tr>
      <w:tr w14:paraId="0E6D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A7F63B7">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1</w:t>
            </w:r>
          </w:p>
        </w:tc>
        <w:tc>
          <w:tcPr>
            <w:tcW w:w="1181" w:type="dxa"/>
            <w:vAlign w:val="center"/>
          </w:tcPr>
          <w:p w14:paraId="60ECC6A2">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441C9D06">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棉浆板生产厂家</w:t>
            </w:r>
          </w:p>
        </w:tc>
        <w:tc>
          <w:tcPr>
            <w:tcW w:w="3825" w:type="dxa"/>
            <w:vAlign w:val="center"/>
          </w:tcPr>
          <w:p w14:paraId="66BE1CEE">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sz w:val="28"/>
                <w:szCs w:val="28"/>
              </w:rPr>
              <w:t>棉浆板生产厂家</w:t>
            </w:r>
          </w:p>
        </w:tc>
        <w:tc>
          <w:tcPr>
            <w:tcW w:w="1373" w:type="dxa"/>
            <w:vAlign w:val="center"/>
          </w:tcPr>
          <w:p w14:paraId="7B1323A5">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7F72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9D7F293">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2</w:t>
            </w:r>
          </w:p>
        </w:tc>
        <w:tc>
          <w:tcPr>
            <w:tcW w:w="1181" w:type="dxa"/>
            <w:vAlign w:val="center"/>
          </w:tcPr>
          <w:p w14:paraId="1CCF905A">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1FAF1894">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服务要求</w:t>
            </w:r>
          </w:p>
        </w:tc>
        <w:tc>
          <w:tcPr>
            <w:tcW w:w="3825" w:type="dxa"/>
            <w:vAlign w:val="center"/>
          </w:tcPr>
          <w:p w14:paraId="003BA490">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sz w:val="28"/>
                <w:szCs w:val="28"/>
              </w:rPr>
              <w:t>采购要求中未尽描述的，为保证项目能正常有效运行所需要的技术要求，供应商应提供功能完整、全新、先进、优质的产品及其相应服务。</w:t>
            </w:r>
          </w:p>
        </w:tc>
        <w:tc>
          <w:tcPr>
            <w:tcW w:w="1373" w:type="dxa"/>
            <w:vAlign w:val="center"/>
          </w:tcPr>
          <w:p w14:paraId="04EB314F">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67A3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C04C163">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3</w:t>
            </w:r>
          </w:p>
        </w:tc>
        <w:tc>
          <w:tcPr>
            <w:tcW w:w="1181" w:type="dxa"/>
            <w:vAlign w:val="center"/>
          </w:tcPr>
          <w:p w14:paraId="4A1D26F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2E3CC7F7">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合同签订要求</w:t>
            </w:r>
          </w:p>
        </w:tc>
        <w:tc>
          <w:tcPr>
            <w:tcW w:w="3825" w:type="dxa"/>
            <w:vAlign w:val="center"/>
          </w:tcPr>
          <w:p w14:paraId="4CDFE617">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sz w:val="28"/>
                <w:szCs w:val="28"/>
              </w:rPr>
              <w:t>在合同签订后，招标方有权因为标准发生变化而提出一些补充要求。采购要求经招标方和中标方确认后作为订货合同的技术条件附件，与合同正文具有同等的法律效力。</w:t>
            </w:r>
          </w:p>
          <w:p w14:paraId="4053599D">
            <w:pPr>
              <w:widowControl/>
              <w:spacing w:line="360" w:lineRule="exact"/>
              <w:ind w:left="105" w:leftChars="50" w:right="105" w:rightChars="50" w:firstLine="560"/>
              <w:textAlignment w:val="center"/>
              <w:rPr>
                <w:rFonts w:ascii="仿宋" w:hAnsi="仿宋" w:eastAsia="仿宋" w:cs="仿宋"/>
                <w:sz w:val="28"/>
                <w:szCs w:val="28"/>
              </w:rPr>
            </w:pPr>
          </w:p>
        </w:tc>
        <w:tc>
          <w:tcPr>
            <w:tcW w:w="1373" w:type="dxa"/>
            <w:vAlign w:val="center"/>
          </w:tcPr>
          <w:p w14:paraId="6E3D9EB7">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3AF0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071FC01">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4</w:t>
            </w:r>
          </w:p>
        </w:tc>
        <w:tc>
          <w:tcPr>
            <w:tcW w:w="1181" w:type="dxa"/>
            <w:vAlign w:val="center"/>
          </w:tcPr>
          <w:p w14:paraId="1409BCB7">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28DEA262">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供货要求</w:t>
            </w:r>
          </w:p>
        </w:tc>
        <w:tc>
          <w:tcPr>
            <w:tcW w:w="3825" w:type="dxa"/>
            <w:vAlign w:val="center"/>
          </w:tcPr>
          <w:p w14:paraId="40288B6C">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sz w:val="28"/>
                <w:szCs w:val="28"/>
              </w:rPr>
              <w:t>本项目实施期间，具体供货时间安排以合同约定及实际送货通知为准。按招标方要求,将棉浆板送达到指定库房,供方应及时供货。</w:t>
            </w:r>
          </w:p>
        </w:tc>
        <w:tc>
          <w:tcPr>
            <w:tcW w:w="1373" w:type="dxa"/>
            <w:vAlign w:val="center"/>
          </w:tcPr>
          <w:p w14:paraId="714EBC14">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3CA8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4CEF616">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5</w:t>
            </w:r>
          </w:p>
        </w:tc>
        <w:tc>
          <w:tcPr>
            <w:tcW w:w="1181" w:type="dxa"/>
            <w:vAlign w:val="center"/>
          </w:tcPr>
          <w:p w14:paraId="6512A837">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47B533F5">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报价要求</w:t>
            </w:r>
          </w:p>
        </w:tc>
        <w:tc>
          <w:tcPr>
            <w:tcW w:w="3825" w:type="dxa"/>
            <w:vAlign w:val="center"/>
          </w:tcPr>
          <w:p w14:paraId="054A5264">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sz w:val="28"/>
                <w:szCs w:val="28"/>
              </w:rPr>
              <w:t>供应商应在综合考虑本技术要求基础上进行报价，报价应包含全面满足本技术要求的全部费用。</w:t>
            </w:r>
          </w:p>
        </w:tc>
        <w:tc>
          <w:tcPr>
            <w:tcW w:w="1373" w:type="dxa"/>
            <w:vAlign w:val="center"/>
          </w:tcPr>
          <w:p w14:paraId="1E536CD1">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42AB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D60D27D">
            <w:pPr>
              <w:widowControl/>
              <w:ind w:firstLine="560"/>
              <w:jc w:val="center"/>
              <w:textAlignment w:val="center"/>
              <w:rPr>
                <w:rFonts w:ascii="仿宋" w:hAnsi="仿宋" w:eastAsia="仿宋" w:cs="宋体"/>
                <w:sz w:val="28"/>
                <w:szCs w:val="28"/>
              </w:rPr>
            </w:pPr>
            <w:r>
              <w:rPr>
                <w:rFonts w:hint="eastAsia" w:ascii="仿宋" w:hAnsi="仿宋" w:eastAsia="仿宋" w:cs="宋体"/>
                <w:sz w:val="28"/>
                <w:szCs w:val="28"/>
              </w:rPr>
              <w:t>6</w:t>
            </w:r>
          </w:p>
        </w:tc>
        <w:tc>
          <w:tcPr>
            <w:tcW w:w="1181" w:type="dxa"/>
            <w:vAlign w:val="center"/>
          </w:tcPr>
          <w:p w14:paraId="080BB3E6">
            <w:pPr>
              <w:ind w:firstLine="560"/>
              <w:jc w:val="center"/>
              <w:rPr>
                <w:rFonts w:ascii="仿宋" w:hAnsi="仿宋" w:eastAsia="仿宋" w:cs="宋体"/>
                <w:sz w:val="28"/>
                <w:szCs w:val="28"/>
              </w:rPr>
            </w:pPr>
            <w:r>
              <w:rPr>
                <w:rFonts w:hint="eastAsia" w:ascii="宋体" w:hAnsi="宋体" w:eastAsia="宋体" w:cs="Times New Roman"/>
                <w:iCs/>
                <w:sz w:val="28"/>
                <w:szCs w:val="28"/>
              </w:rPr>
              <w:t>△</w:t>
            </w:r>
          </w:p>
        </w:tc>
        <w:tc>
          <w:tcPr>
            <w:tcW w:w="1559" w:type="dxa"/>
            <w:vAlign w:val="center"/>
          </w:tcPr>
          <w:p w14:paraId="4B33FA63">
            <w:pPr>
              <w:spacing w:line="360" w:lineRule="exact"/>
              <w:ind w:firstLine="560"/>
              <w:rPr>
                <w:rFonts w:ascii="仿宋" w:hAnsi="仿宋" w:eastAsia="仿宋" w:cs="仿宋"/>
                <w:sz w:val="28"/>
                <w:szCs w:val="28"/>
              </w:rPr>
            </w:pPr>
            <w:r>
              <w:rPr>
                <w:rFonts w:hint="eastAsia" w:ascii="仿宋" w:hAnsi="仿宋" w:eastAsia="仿宋" w:cs="仿宋"/>
                <w:sz w:val="28"/>
                <w:szCs w:val="28"/>
              </w:rPr>
              <w:t>投标人体系认证</w:t>
            </w:r>
          </w:p>
        </w:tc>
        <w:tc>
          <w:tcPr>
            <w:tcW w:w="3825" w:type="dxa"/>
            <w:vAlign w:val="center"/>
          </w:tcPr>
          <w:p w14:paraId="63FE8AFC">
            <w:pPr>
              <w:spacing w:line="360" w:lineRule="exact"/>
              <w:ind w:firstLine="560"/>
              <w:rPr>
                <w:rFonts w:ascii="仿宋" w:hAnsi="仿宋" w:eastAsia="仿宋" w:cs="仿宋"/>
                <w:sz w:val="28"/>
                <w:szCs w:val="28"/>
              </w:rPr>
            </w:pPr>
            <w:r>
              <w:rPr>
                <w:rFonts w:hint="eastAsia" w:ascii="仿宋" w:hAnsi="仿宋" w:eastAsia="仿宋" w:cs="仿宋"/>
                <w:sz w:val="28"/>
                <w:szCs w:val="28"/>
              </w:rPr>
              <w:t>投标人同时具备ISO9001质量管理体系、ISO14001环境保护管理体系、ISO45001职业健康管理体系认证证书。</w:t>
            </w:r>
          </w:p>
        </w:tc>
        <w:tc>
          <w:tcPr>
            <w:tcW w:w="1373" w:type="dxa"/>
          </w:tcPr>
          <w:p w14:paraId="10681865">
            <w:pPr>
              <w:spacing w:line="360" w:lineRule="exact"/>
              <w:ind w:firstLine="560"/>
              <w:rPr>
                <w:rFonts w:ascii="仿宋" w:hAnsi="仿宋" w:eastAsia="仿宋" w:cs="仿宋"/>
                <w:sz w:val="28"/>
                <w:szCs w:val="28"/>
              </w:rPr>
            </w:pPr>
            <w:r>
              <w:rPr>
                <w:rFonts w:hint="eastAsia" w:ascii="仿宋" w:hAnsi="仿宋" w:eastAsia="仿宋" w:cs="仿宋"/>
                <w:sz w:val="28"/>
                <w:szCs w:val="28"/>
              </w:rPr>
              <w:t>需提供有效期内的证书复印件或原件扫描件。</w:t>
            </w:r>
          </w:p>
        </w:tc>
      </w:tr>
    </w:tbl>
    <w:p w14:paraId="091D4C55">
      <w:pPr>
        <w:spacing w:line="360" w:lineRule="auto"/>
        <w:ind w:firstLine="640" w:firstLineChars="200"/>
        <w:rPr>
          <w:rFonts w:ascii="仿宋" w:hAnsi="仿宋" w:eastAsia="仿宋" w:cs="Times New Roman"/>
          <w:iCs/>
          <w:sz w:val="32"/>
          <w:szCs w:val="32"/>
        </w:rPr>
      </w:pPr>
      <w:r>
        <w:rPr>
          <w:rFonts w:ascii="仿宋" w:hAnsi="仿宋" w:eastAsia="仿宋" w:cs="Times New Roman"/>
          <w:iCs/>
          <w:sz w:val="32"/>
          <w:szCs w:val="32"/>
        </w:rPr>
        <w:t>B</w:t>
      </w:r>
      <w:r>
        <w:rPr>
          <w:rFonts w:hint="eastAsia" w:ascii="仿宋" w:hAnsi="仿宋" w:eastAsia="仿宋" w:cs="Times New Roman"/>
          <w:iCs/>
          <w:sz w:val="32"/>
          <w:szCs w:val="32"/>
        </w:rPr>
        <w:t>、付款方式</w:t>
      </w:r>
    </w:p>
    <w:tbl>
      <w:tblPr>
        <w:tblStyle w:val="16"/>
        <w:tblpPr w:leftFromText="180" w:rightFromText="180" w:vertAnchor="text" w:tblpY="1"/>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046"/>
        <w:gridCol w:w="1923"/>
        <w:gridCol w:w="1701"/>
        <w:gridCol w:w="1276"/>
        <w:gridCol w:w="992"/>
      </w:tblGrid>
      <w:tr w14:paraId="4E0B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846" w:type="dxa"/>
            <w:vAlign w:val="center"/>
          </w:tcPr>
          <w:p w14:paraId="25358F9D">
            <w:pPr>
              <w:widowControl/>
              <w:ind w:firstLine="562"/>
              <w:jc w:val="center"/>
              <w:textAlignment w:val="center"/>
              <w:rPr>
                <w:rFonts w:ascii="仿宋" w:hAnsi="仿宋" w:eastAsia="仿宋" w:cs="宋体"/>
                <w:b/>
                <w:kern w:val="0"/>
                <w:sz w:val="28"/>
                <w:szCs w:val="28"/>
              </w:rPr>
            </w:pPr>
            <w:r>
              <w:rPr>
                <w:rFonts w:hint="eastAsia" w:ascii="仿宋" w:hAnsi="仿宋" w:eastAsia="仿宋" w:cs="宋体"/>
                <w:b/>
                <w:kern w:val="0"/>
                <w:sz w:val="28"/>
                <w:szCs w:val="28"/>
              </w:rPr>
              <w:t>序号</w:t>
            </w:r>
          </w:p>
        </w:tc>
        <w:tc>
          <w:tcPr>
            <w:tcW w:w="2046" w:type="dxa"/>
            <w:vAlign w:val="center"/>
          </w:tcPr>
          <w:p w14:paraId="0B31E63F">
            <w:pPr>
              <w:ind w:firstLine="562"/>
              <w:jc w:val="center"/>
              <w:rPr>
                <w:rFonts w:ascii="仿宋" w:hAnsi="仿宋" w:eastAsia="仿宋" w:cs="Times New Roman"/>
                <w:b/>
                <w:sz w:val="28"/>
                <w:szCs w:val="28"/>
              </w:rPr>
            </w:pPr>
            <w:r>
              <w:rPr>
                <w:rFonts w:hint="eastAsia" w:ascii="仿宋" w:hAnsi="仿宋" w:eastAsia="仿宋" w:cs="Times New Roman"/>
                <w:b/>
                <w:sz w:val="28"/>
                <w:szCs w:val="28"/>
              </w:rPr>
              <w:t>付款节点（进度</w:t>
            </w:r>
            <w:r>
              <w:rPr>
                <w:rFonts w:ascii="仿宋" w:hAnsi="仿宋" w:eastAsia="仿宋" w:cs="Times New Roman"/>
                <w:b/>
                <w:sz w:val="28"/>
                <w:szCs w:val="28"/>
              </w:rPr>
              <w:t>）</w:t>
            </w:r>
          </w:p>
        </w:tc>
        <w:tc>
          <w:tcPr>
            <w:tcW w:w="1923" w:type="dxa"/>
            <w:vAlign w:val="center"/>
          </w:tcPr>
          <w:p w14:paraId="3FF7C2D1">
            <w:pPr>
              <w:ind w:firstLine="562"/>
              <w:jc w:val="center"/>
              <w:rPr>
                <w:rFonts w:ascii="仿宋" w:hAnsi="仿宋" w:eastAsia="仿宋" w:cs="Times New Roman"/>
                <w:b/>
                <w:sz w:val="28"/>
                <w:szCs w:val="28"/>
              </w:rPr>
            </w:pPr>
            <w:r>
              <w:rPr>
                <w:rFonts w:hint="eastAsia" w:ascii="仿宋" w:hAnsi="仿宋" w:eastAsia="仿宋" w:cs="Times New Roman"/>
                <w:b/>
                <w:sz w:val="28"/>
                <w:szCs w:val="28"/>
              </w:rPr>
              <w:t>付款条件</w:t>
            </w:r>
          </w:p>
        </w:tc>
        <w:tc>
          <w:tcPr>
            <w:tcW w:w="1701" w:type="dxa"/>
            <w:vAlign w:val="center"/>
          </w:tcPr>
          <w:p w14:paraId="630B6B03">
            <w:pPr>
              <w:ind w:firstLine="562"/>
              <w:jc w:val="center"/>
              <w:rPr>
                <w:rFonts w:ascii="仿宋" w:hAnsi="仿宋" w:eastAsia="仿宋" w:cs="Times New Roman"/>
                <w:b/>
                <w:sz w:val="28"/>
                <w:szCs w:val="28"/>
              </w:rPr>
            </w:pPr>
            <w:r>
              <w:rPr>
                <w:rFonts w:hint="eastAsia" w:ascii="仿宋" w:hAnsi="仿宋" w:eastAsia="仿宋" w:cs="Times New Roman"/>
                <w:b/>
                <w:sz w:val="28"/>
                <w:szCs w:val="28"/>
              </w:rPr>
              <w:t>付款比例（或金额）</w:t>
            </w:r>
          </w:p>
        </w:tc>
        <w:tc>
          <w:tcPr>
            <w:tcW w:w="1276" w:type="dxa"/>
          </w:tcPr>
          <w:p w14:paraId="3144E740">
            <w:pPr>
              <w:ind w:firstLine="562"/>
              <w:jc w:val="center"/>
              <w:rPr>
                <w:rFonts w:ascii="仿宋" w:hAnsi="仿宋" w:eastAsia="仿宋" w:cs="Times New Roman"/>
                <w:b/>
                <w:sz w:val="28"/>
                <w:szCs w:val="28"/>
              </w:rPr>
            </w:pPr>
            <w:r>
              <w:rPr>
                <w:rFonts w:hint="eastAsia" w:ascii="仿宋" w:hAnsi="仿宋" w:eastAsia="仿宋" w:cs="Times New Roman"/>
                <w:b/>
                <w:sz w:val="28"/>
                <w:szCs w:val="28"/>
              </w:rPr>
              <w:t>资金支付</w:t>
            </w:r>
            <w:r>
              <w:rPr>
                <w:rFonts w:ascii="仿宋" w:hAnsi="仿宋" w:eastAsia="仿宋" w:cs="Times New Roman"/>
                <w:b/>
                <w:sz w:val="28"/>
                <w:szCs w:val="28"/>
              </w:rPr>
              <w:t>方式</w:t>
            </w:r>
          </w:p>
        </w:tc>
        <w:tc>
          <w:tcPr>
            <w:tcW w:w="992" w:type="dxa"/>
            <w:vAlign w:val="center"/>
          </w:tcPr>
          <w:p w14:paraId="79822853">
            <w:pPr>
              <w:ind w:firstLine="562"/>
              <w:jc w:val="center"/>
              <w:rPr>
                <w:rFonts w:ascii="仿宋" w:hAnsi="仿宋" w:eastAsia="仿宋" w:cs="Times New Roman"/>
                <w:b/>
                <w:sz w:val="28"/>
                <w:szCs w:val="28"/>
              </w:rPr>
            </w:pPr>
            <w:r>
              <w:rPr>
                <w:rFonts w:hint="eastAsia" w:ascii="仿宋" w:hAnsi="仿宋" w:eastAsia="仿宋" w:cs="Times New Roman"/>
                <w:b/>
                <w:sz w:val="28"/>
                <w:szCs w:val="28"/>
              </w:rPr>
              <w:t>备注</w:t>
            </w:r>
          </w:p>
        </w:tc>
      </w:tr>
      <w:tr w14:paraId="3479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 w:hRule="atLeast"/>
        </w:trPr>
        <w:tc>
          <w:tcPr>
            <w:tcW w:w="846" w:type="dxa"/>
            <w:vAlign w:val="center"/>
          </w:tcPr>
          <w:p w14:paraId="7C1A7B1D">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1</w:t>
            </w:r>
          </w:p>
        </w:tc>
        <w:tc>
          <w:tcPr>
            <w:tcW w:w="2046" w:type="dxa"/>
            <w:vAlign w:val="center"/>
          </w:tcPr>
          <w:p w14:paraId="06506CE0">
            <w:pPr>
              <w:spacing w:line="360" w:lineRule="exact"/>
              <w:ind w:firstLine="560"/>
              <w:rPr>
                <w:rFonts w:ascii="仿宋" w:hAnsi="仿宋" w:eastAsia="仿宋" w:cs="仿宋"/>
                <w:sz w:val="28"/>
                <w:szCs w:val="28"/>
              </w:rPr>
            </w:pPr>
            <w:r>
              <w:rPr>
                <w:rFonts w:hint="eastAsia" w:ascii="仿宋" w:hAnsi="仿宋" w:eastAsia="仿宋" w:cs="仿宋"/>
                <w:sz w:val="28"/>
                <w:szCs w:val="28"/>
              </w:rPr>
              <w:t>投标人根据招标人实际需求数量送货,招标人依据实际收到投标人产品数量，每批订单到货验收合格并收到投标人开具的等额增值税专用发票后10个工作日内支付该批货物全部货款。</w:t>
            </w:r>
          </w:p>
        </w:tc>
        <w:tc>
          <w:tcPr>
            <w:tcW w:w="1923" w:type="dxa"/>
            <w:vAlign w:val="center"/>
          </w:tcPr>
          <w:p w14:paraId="6F15DB1C">
            <w:pPr>
              <w:spacing w:line="360" w:lineRule="exact"/>
              <w:ind w:firstLine="560"/>
              <w:rPr>
                <w:rFonts w:ascii="仿宋" w:hAnsi="仿宋" w:eastAsia="仿宋" w:cs="仿宋"/>
                <w:sz w:val="28"/>
                <w:szCs w:val="28"/>
              </w:rPr>
            </w:pPr>
            <w:r>
              <w:rPr>
                <w:rFonts w:hint="eastAsia" w:ascii="仿宋" w:hAnsi="仿宋" w:eastAsia="仿宋" w:cs="仿宋"/>
                <w:sz w:val="28"/>
                <w:szCs w:val="28"/>
              </w:rPr>
              <w:t>通过钞票纸生产企业原材料进厂检验，并收到投标人开具的等额增值税专用发票。</w:t>
            </w:r>
          </w:p>
        </w:tc>
        <w:tc>
          <w:tcPr>
            <w:tcW w:w="1701" w:type="dxa"/>
            <w:vAlign w:val="center"/>
          </w:tcPr>
          <w:p w14:paraId="6C1CF5E3">
            <w:pPr>
              <w:ind w:firstLine="560"/>
              <w:rPr>
                <w:rFonts w:ascii="仿宋" w:hAnsi="仿宋" w:eastAsia="仿宋" w:cs="Times New Roman"/>
                <w:sz w:val="28"/>
                <w:szCs w:val="28"/>
              </w:rPr>
            </w:pPr>
            <w:r>
              <w:rPr>
                <w:rFonts w:hint="eastAsia" w:ascii="仿宋" w:hAnsi="仿宋" w:eastAsia="仿宋"/>
                <w:sz w:val="28"/>
                <w:szCs w:val="28"/>
              </w:rPr>
              <w:t>100%</w:t>
            </w:r>
          </w:p>
        </w:tc>
        <w:tc>
          <w:tcPr>
            <w:tcW w:w="1276" w:type="dxa"/>
            <w:vAlign w:val="center"/>
          </w:tcPr>
          <w:p w14:paraId="58B00115">
            <w:pPr>
              <w:ind w:firstLine="560"/>
              <w:rPr>
                <w:rFonts w:ascii="仿宋" w:hAnsi="仿宋" w:eastAsia="仿宋" w:cs="Times New Roman"/>
                <w:sz w:val="28"/>
                <w:szCs w:val="28"/>
              </w:rPr>
            </w:pPr>
            <w:r>
              <w:rPr>
                <w:rFonts w:hint="eastAsia" w:ascii="仿宋" w:hAnsi="仿宋" w:eastAsia="仿宋"/>
                <w:sz w:val="28"/>
                <w:szCs w:val="28"/>
              </w:rPr>
              <w:t>转账</w:t>
            </w:r>
          </w:p>
        </w:tc>
        <w:tc>
          <w:tcPr>
            <w:tcW w:w="992" w:type="dxa"/>
            <w:vAlign w:val="center"/>
          </w:tcPr>
          <w:p w14:paraId="1C8083A9">
            <w:pPr>
              <w:ind w:firstLine="560"/>
              <w:rPr>
                <w:rFonts w:ascii="仿宋" w:hAnsi="仿宋" w:eastAsia="仿宋" w:cs="Times New Roman"/>
                <w:sz w:val="28"/>
                <w:szCs w:val="28"/>
              </w:rPr>
            </w:pPr>
          </w:p>
        </w:tc>
      </w:tr>
    </w:tbl>
    <w:p w14:paraId="06D8EEC8">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iCs/>
          <w:sz w:val="32"/>
          <w:szCs w:val="32"/>
        </w:rPr>
        <w:t>C、价格结算机制</w:t>
      </w:r>
    </w:p>
    <w:p w14:paraId="3DC018B4">
      <w:pPr>
        <w:pStyle w:val="23"/>
        <w:autoSpaceDE w:val="0"/>
        <w:autoSpaceDN w:val="0"/>
        <w:snapToGrid w:val="0"/>
        <w:spacing w:line="360" w:lineRule="auto"/>
        <w:ind w:firstLine="64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投标人须报出每吨棉短绒浆板的单价，按各中标供应商报出的单价执行。</w:t>
      </w:r>
    </w:p>
    <w:p w14:paraId="5B4FF106">
      <w:pPr>
        <w:pStyle w:val="23"/>
        <w:autoSpaceDE w:val="0"/>
        <w:autoSpaceDN w:val="0"/>
        <w:snapToGrid w:val="0"/>
        <w:spacing w:line="360" w:lineRule="auto"/>
        <w:ind w:firstLine="64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中标人实际供货时按货物结算单价乘以采购数量结算货款</w:t>
      </w:r>
      <w:r>
        <w:rPr>
          <w:rFonts w:ascii="仿宋" w:hAnsi="仿宋" w:eastAsia="仿宋" w:cs="仿宋"/>
          <w:sz w:val="32"/>
          <w:szCs w:val="32"/>
        </w:rPr>
        <w:t>。</w:t>
      </w:r>
    </w:p>
    <w:p w14:paraId="119A3BF1">
      <w:pPr>
        <w:pStyle w:val="23"/>
        <w:autoSpaceDE w:val="0"/>
        <w:autoSpaceDN w:val="0"/>
        <w:snapToGrid w:val="0"/>
        <w:spacing w:line="360" w:lineRule="auto"/>
        <w:ind w:firstLine="640"/>
        <w:rPr>
          <w:rFonts w:ascii="仿宋" w:hAnsi="仿宋" w:eastAsia="仿宋" w:cs="仿宋"/>
          <w:sz w:val="28"/>
          <w:szCs w:val="28"/>
        </w:rPr>
      </w:pPr>
      <w:r>
        <w:rPr>
          <w:rFonts w:ascii="仿宋" w:hAnsi="仿宋" w:eastAsia="仿宋" w:cs="仿宋"/>
          <w:sz w:val="32"/>
          <w:szCs w:val="32"/>
        </w:rPr>
        <w:t>3.</w:t>
      </w:r>
      <w:r>
        <w:rPr>
          <w:rFonts w:hint="eastAsia" w:ascii="仿宋" w:hAnsi="仿宋" w:eastAsia="仿宋" w:cs="仿宋"/>
          <w:sz w:val="32"/>
          <w:szCs w:val="32"/>
        </w:rPr>
        <w:t>各中标供应商执行各自的投标报价，且在合同执行过程中保持不变。</w:t>
      </w:r>
    </w:p>
    <w:p w14:paraId="064D3ADC">
      <w:pPr>
        <w:keepNext w:val="0"/>
        <w:keepLines w:val="0"/>
        <w:pageBreakBefore w:val="0"/>
        <w:widowControl w:val="0"/>
        <w:kinsoku/>
        <w:wordWrap/>
        <w:overflowPunct/>
        <w:topLinePunct w:val="0"/>
        <w:autoSpaceDE/>
        <w:autoSpaceDN/>
        <w:bidi w:val="0"/>
        <w:adjustRightInd w:val="0"/>
        <w:snapToGrid/>
        <w:spacing w:after="157" w:afterLines="50" w:line="560" w:lineRule="exact"/>
        <w:ind w:firstLine="640" w:firstLineChars="200"/>
        <w:jc w:val="left"/>
        <w:textAlignment w:val="auto"/>
        <w:outlineLvl w:val="1"/>
        <w:rPr>
          <w:rFonts w:hint="default" w:ascii="仿宋" w:hAnsi="仿宋" w:eastAsia="仿宋" w:cs="Times New Roman"/>
          <w:color w:val="auto"/>
          <w:sz w:val="32"/>
          <w:szCs w:val="32"/>
          <w:highlight w:val="none"/>
          <w:lang w:val="en-US" w:eastAsia="zh-CN"/>
        </w:rPr>
      </w:pPr>
    </w:p>
    <w:p w14:paraId="356C3624">
      <w:pPr>
        <w:jc w:val="left"/>
        <w:rPr>
          <w:rFonts w:ascii="楷体" w:hAnsi="楷体" w:eastAsia="楷体" w:cs="Times New Roman"/>
          <w:bCs/>
          <w:sz w:val="32"/>
          <w:szCs w:val="32"/>
        </w:rPr>
      </w:pPr>
    </w:p>
    <w:sectPr>
      <w:footerReference r:id="rId3" w:type="default"/>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9517D">
    <w:pPr>
      <w:pStyle w:val="9"/>
    </w:pPr>
  </w:p>
  <w:p w14:paraId="4D9E84EE">
    <w:pPr>
      <w:snapToGrid w:val="0"/>
      <w:spacing w:before="120"/>
      <w:ind w:firstLine="560"/>
      <w:jc w:val="right"/>
      <w:rPr>
        <w:rFonts w:ascii="宋体" w:hAnsi="宋体" w:eastAsia="宋体" w:cs="Times New Roman"/>
        <w:sz w:val="28"/>
        <w:szCs w:val="28"/>
        <w:lang w:val="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360" w:firstLine="0"/>
      </w:pPr>
      <w:rPr>
        <w:rFonts w:hint="eastAsia" w:ascii="黑体" w:hAnsi="Times New Roman" w:eastAsia="黑体"/>
        <w:b w:val="0"/>
        <w:i w:val="0"/>
        <w:sz w:val="21"/>
      </w:rPr>
    </w:lvl>
    <w:lvl w:ilvl="3" w:tentative="0">
      <w:start w:val="1"/>
      <w:numFmt w:val="decimal"/>
      <w:suff w:val="nothing"/>
      <w:lvlText w:val="%1%2.%3.%4　"/>
      <w:lvlJc w:val="left"/>
      <w:pPr>
        <w:ind w:left="198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3MjNhNGYyODRjNDg2MzliYzAxOTY0ZjEzZWU4OTEifQ=="/>
  </w:docVars>
  <w:rsids>
    <w:rsidRoot w:val="33D82F28"/>
    <w:rsid w:val="000078A6"/>
    <w:rsid w:val="000233A0"/>
    <w:rsid w:val="000239C1"/>
    <w:rsid w:val="00047A3B"/>
    <w:rsid w:val="00060CFD"/>
    <w:rsid w:val="0006360B"/>
    <w:rsid w:val="00067ECE"/>
    <w:rsid w:val="00073359"/>
    <w:rsid w:val="00090A37"/>
    <w:rsid w:val="000A2EB8"/>
    <w:rsid w:val="000A3B3F"/>
    <w:rsid w:val="000C6E60"/>
    <w:rsid w:val="000D3BD5"/>
    <w:rsid w:val="000D5B95"/>
    <w:rsid w:val="000E2177"/>
    <w:rsid w:val="000F1D28"/>
    <w:rsid w:val="000F35D3"/>
    <w:rsid w:val="0010305B"/>
    <w:rsid w:val="00105802"/>
    <w:rsid w:val="00117DAD"/>
    <w:rsid w:val="00135507"/>
    <w:rsid w:val="00135FE1"/>
    <w:rsid w:val="001361D8"/>
    <w:rsid w:val="00147F6D"/>
    <w:rsid w:val="001521B3"/>
    <w:rsid w:val="00156D65"/>
    <w:rsid w:val="00157CA0"/>
    <w:rsid w:val="00161070"/>
    <w:rsid w:val="00170693"/>
    <w:rsid w:val="001711A9"/>
    <w:rsid w:val="00195947"/>
    <w:rsid w:val="00197272"/>
    <w:rsid w:val="001B487D"/>
    <w:rsid w:val="001D21AF"/>
    <w:rsid w:val="001D4EF5"/>
    <w:rsid w:val="00215C29"/>
    <w:rsid w:val="002207C3"/>
    <w:rsid w:val="0023069C"/>
    <w:rsid w:val="0023519D"/>
    <w:rsid w:val="00236E2F"/>
    <w:rsid w:val="00273B62"/>
    <w:rsid w:val="002921F9"/>
    <w:rsid w:val="00296965"/>
    <w:rsid w:val="002B4029"/>
    <w:rsid w:val="002D5F8C"/>
    <w:rsid w:val="002E03F3"/>
    <w:rsid w:val="002E531D"/>
    <w:rsid w:val="002E6EF5"/>
    <w:rsid w:val="002F7462"/>
    <w:rsid w:val="003145B6"/>
    <w:rsid w:val="003164E5"/>
    <w:rsid w:val="00317690"/>
    <w:rsid w:val="0033371A"/>
    <w:rsid w:val="003439FA"/>
    <w:rsid w:val="003505F9"/>
    <w:rsid w:val="00355C6C"/>
    <w:rsid w:val="0035629B"/>
    <w:rsid w:val="003626EA"/>
    <w:rsid w:val="0036338A"/>
    <w:rsid w:val="00367292"/>
    <w:rsid w:val="00371112"/>
    <w:rsid w:val="003758F3"/>
    <w:rsid w:val="0038133E"/>
    <w:rsid w:val="003B67C2"/>
    <w:rsid w:val="003D0A92"/>
    <w:rsid w:val="00403DF3"/>
    <w:rsid w:val="00421576"/>
    <w:rsid w:val="004330BC"/>
    <w:rsid w:val="00437951"/>
    <w:rsid w:val="00463043"/>
    <w:rsid w:val="0047150B"/>
    <w:rsid w:val="00487E76"/>
    <w:rsid w:val="00495644"/>
    <w:rsid w:val="00497842"/>
    <w:rsid w:val="004A568B"/>
    <w:rsid w:val="004B4C23"/>
    <w:rsid w:val="004D48A9"/>
    <w:rsid w:val="004D4D52"/>
    <w:rsid w:val="004E6372"/>
    <w:rsid w:val="00502EA6"/>
    <w:rsid w:val="005035C2"/>
    <w:rsid w:val="005058C0"/>
    <w:rsid w:val="0051598B"/>
    <w:rsid w:val="00526422"/>
    <w:rsid w:val="00541A40"/>
    <w:rsid w:val="0054311F"/>
    <w:rsid w:val="0056001C"/>
    <w:rsid w:val="00561A5A"/>
    <w:rsid w:val="00561C61"/>
    <w:rsid w:val="005734F8"/>
    <w:rsid w:val="00575FB8"/>
    <w:rsid w:val="005873A6"/>
    <w:rsid w:val="005937E4"/>
    <w:rsid w:val="00594EBE"/>
    <w:rsid w:val="005954B5"/>
    <w:rsid w:val="005A4B1D"/>
    <w:rsid w:val="005A58DB"/>
    <w:rsid w:val="005A66DF"/>
    <w:rsid w:val="005B3E3E"/>
    <w:rsid w:val="005C18E4"/>
    <w:rsid w:val="005C48D7"/>
    <w:rsid w:val="005D7009"/>
    <w:rsid w:val="00605E89"/>
    <w:rsid w:val="00605FAC"/>
    <w:rsid w:val="00626504"/>
    <w:rsid w:val="00627A05"/>
    <w:rsid w:val="00633300"/>
    <w:rsid w:val="006334AC"/>
    <w:rsid w:val="00636FA5"/>
    <w:rsid w:val="00651BF1"/>
    <w:rsid w:val="00661518"/>
    <w:rsid w:val="006638C6"/>
    <w:rsid w:val="0067146A"/>
    <w:rsid w:val="00692A67"/>
    <w:rsid w:val="00692C40"/>
    <w:rsid w:val="006A63DF"/>
    <w:rsid w:val="006C0FE0"/>
    <w:rsid w:val="006E6F3A"/>
    <w:rsid w:val="006F4B4A"/>
    <w:rsid w:val="006F7ABA"/>
    <w:rsid w:val="006F7B29"/>
    <w:rsid w:val="00703BCE"/>
    <w:rsid w:val="007072ED"/>
    <w:rsid w:val="00714B92"/>
    <w:rsid w:val="007172A3"/>
    <w:rsid w:val="007174E1"/>
    <w:rsid w:val="007239CA"/>
    <w:rsid w:val="0072449E"/>
    <w:rsid w:val="00727B65"/>
    <w:rsid w:val="007571F0"/>
    <w:rsid w:val="00767044"/>
    <w:rsid w:val="00770E97"/>
    <w:rsid w:val="00773162"/>
    <w:rsid w:val="00780AEB"/>
    <w:rsid w:val="0078725B"/>
    <w:rsid w:val="00791E49"/>
    <w:rsid w:val="00792CFD"/>
    <w:rsid w:val="007B2BBD"/>
    <w:rsid w:val="007B3C18"/>
    <w:rsid w:val="007D665C"/>
    <w:rsid w:val="007E6171"/>
    <w:rsid w:val="007E6D9D"/>
    <w:rsid w:val="00806394"/>
    <w:rsid w:val="00810E93"/>
    <w:rsid w:val="00812B4B"/>
    <w:rsid w:val="00831317"/>
    <w:rsid w:val="00843AEB"/>
    <w:rsid w:val="00845DA7"/>
    <w:rsid w:val="00850B75"/>
    <w:rsid w:val="008679DB"/>
    <w:rsid w:val="00887AFF"/>
    <w:rsid w:val="00895F9D"/>
    <w:rsid w:val="00897DE4"/>
    <w:rsid w:val="008A1A28"/>
    <w:rsid w:val="008B5225"/>
    <w:rsid w:val="008C2933"/>
    <w:rsid w:val="008C32FD"/>
    <w:rsid w:val="008C719F"/>
    <w:rsid w:val="008D1908"/>
    <w:rsid w:val="008D2B14"/>
    <w:rsid w:val="008D333E"/>
    <w:rsid w:val="008D4532"/>
    <w:rsid w:val="008D5EFC"/>
    <w:rsid w:val="008E200C"/>
    <w:rsid w:val="008E3393"/>
    <w:rsid w:val="008E7199"/>
    <w:rsid w:val="008E74D4"/>
    <w:rsid w:val="008F0487"/>
    <w:rsid w:val="008F6D0A"/>
    <w:rsid w:val="00932A77"/>
    <w:rsid w:val="00941DFD"/>
    <w:rsid w:val="00942244"/>
    <w:rsid w:val="0094705C"/>
    <w:rsid w:val="00957A97"/>
    <w:rsid w:val="00960BC5"/>
    <w:rsid w:val="00973589"/>
    <w:rsid w:val="009746DF"/>
    <w:rsid w:val="00975249"/>
    <w:rsid w:val="009859C4"/>
    <w:rsid w:val="009B70E2"/>
    <w:rsid w:val="009B7C25"/>
    <w:rsid w:val="009C0A32"/>
    <w:rsid w:val="009C3FA9"/>
    <w:rsid w:val="009C4292"/>
    <w:rsid w:val="009C7E5F"/>
    <w:rsid w:val="009D2599"/>
    <w:rsid w:val="009F0B18"/>
    <w:rsid w:val="009F0D53"/>
    <w:rsid w:val="00A1011F"/>
    <w:rsid w:val="00A12870"/>
    <w:rsid w:val="00A13719"/>
    <w:rsid w:val="00A236CE"/>
    <w:rsid w:val="00A55D9D"/>
    <w:rsid w:val="00A60B94"/>
    <w:rsid w:val="00A71273"/>
    <w:rsid w:val="00A72360"/>
    <w:rsid w:val="00A725BE"/>
    <w:rsid w:val="00A77B53"/>
    <w:rsid w:val="00AA2DF7"/>
    <w:rsid w:val="00AE0732"/>
    <w:rsid w:val="00AE0A9D"/>
    <w:rsid w:val="00AE6CA5"/>
    <w:rsid w:val="00AE7838"/>
    <w:rsid w:val="00AF542D"/>
    <w:rsid w:val="00AF7354"/>
    <w:rsid w:val="00B117CB"/>
    <w:rsid w:val="00B12703"/>
    <w:rsid w:val="00B5119F"/>
    <w:rsid w:val="00B51D82"/>
    <w:rsid w:val="00B80829"/>
    <w:rsid w:val="00B92867"/>
    <w:rsid w:val="00B93B34"/>
    <w:rsid w:val="00BC6469"/>
    <w:rsid w:val="00BC7237"/>
    <w:rsid w:val="00BD06D6"/>
    <w:rsid w:val="00BF212C"/>
    <w:rsid w:val="00BF442F"/>
    <w:rsid w:val="00C01623"/>
    <w:rsid w:val="00C02D24"/>
    <w:rsid w:val="00C04B76"/>
    <w:rsid w:val="00C07B88"/>
    <w:rsid w:val="00C247A2"/>
    <w:rsid w:val="00C2626F"/>
    <w:rsid w:val="00C27ACD"/>
    <w:rsid w:val="00C51876"/>
    <w:rsid w:val="00C54469"/>
    <w:rsid w:val="00C7111C"/>
    <w:rsid w:val="00C81D4C"/>
    <w:rsid w:val="00CA0043"/>
    <w:rsid w:val="00CA6158"/>
    <w:rsid w:val="00CD42A7"/>
    <w:rsid w:val="00CE796F"/>
    <w:rsid w:val="00CE7F60"/>
    <w:rsid w:val="00D30F82"/>
    <w:rsid w:val="00D4272C"/>
    <w:rsid w:val="00D42DC8"/>
    <w:rsid w:val="00D60D26"/>
    <w:rsid w:val="00D652FC"/>
    <w:rsid w:val="00D676A3"/>
    <w:rsid w:val="00D71B7D"/>
    <w:rsid w:val="00D8331D"/>
    <w:rsid w:val="00D91DE5"/>
    <w:rsid w:val="00D92239"/>
    <w:rsid w:val="00DB0166"/>
    <w:rsid w:val="00DC225A"/>
    <w:rsid w:val="00DC30B6"/>
    <w:rsid w:val="00DD2FDF"/>
    <w:rsid w:val="00DD3516"/>
    <w:rsid w:val="00DF50FE"/>
    <w:rsid w:val="00DF5A7D"/>
    <w:rsid w:val="00E0033D"/>
    <w:rsid w:val="00E043DA"/>
    <w:rsid w:val="00E1608C"/>
    <w:rsid w:val="00E16DAC"/>
    <w:rsid w:val="00E23235"/>
    <w:rsid w:val="00E433DC"/>
    <w:rsid w:val="00E50DDD"/>
    <w:rsid w:val="00E52E4A"/>
    <w:rsid w:val="00E610AB"/>
    <w:rsid w:val="00E6163C"/>
    <w:rsid w:val="00E83806"/>
    <w:rsid w:val="00E91CC3"/>
    <w:rsid w:val="00E940E7"/>
    <w:rsid w:val="00EA7989"/>
    <w:rsid w:val="00EB1AAD"/>
    <w:rsid w:val="00EB4FF2"/>
    <w:rsid w:val="00EC24EE"/>
    <w:rsid w:val="00EE6AFC"/>
    <w:rsid w:val="00EF6EF4"/>
    <w:rsid w:val="00F06A0E"/>
    <w:rsid w:val="00F17197"/>
    <w:rsid w:val="00F26DCF"/>
    <w:rsid w:val="00F40FE2"/>
    <w:rsid w:val="00F45AD9"/>
    <w:rsid w:val="00F819E5"/>
    <w:rsid w:val="00F828B6"/>
    <w:rsid w:val="00F82A28"/>
    <w:rsid w:val="00F92551"/>
    <w:rsid w:val="00FA0BAC"/>
    <w:rsid w:val="00FB2A1E"/>
    <w:rsid w:val="00FC0237"/>
    <w:rsid w:val="00FD15D3"/>
    <w:rsid w:val="00FD3517"/>
    <w:rsid w:val="00FF7E81"/>
    <w:rsid w:val="026E0709"/>
    <w:rsid w:val="048A2567"/>
    <w:rsid w:val="06DD2972"/>
    <w:rsid w:val="06F25656"/>
    <w:rsid w:val="075B159E"/>
    <w:rsid w:val="0C45750F"/>
    <w:rsid w:val="0E21783C"/>
    <w:rsid w:val="0E5C3B69"/>
    <w:rsid w:val="0FE64614"/>
    <w:rsid w:val="10AD7B5A"/>
    <w:rsid w:val="11C97303"/>
    <w:rsid w:val="13A34548"/>
    <w:rsid w:val="151F1C6C"/>
    <w:rsid w:val="15267261"/>
    <w:rsid w:val="153D3BD4"/>
    <w:rsid w:val="16357513"/>
    <w:rsid w:val="17180827"/>
    <w:rsid w:val="177E548D"/>
    <w:rsid w:val="17B02BF4"/>
    <w:rsid w:val="1A76387A"/>
    <w:rsid w:val="1BC77335"/>
    <w:rsid w:val="1D5520CF"/>
    <w:rsid w:val="1EDB5C8F"/>
    <w:rsid w:val="20FA3A7C"/>
    <w:rsid w:val="2121003A"/>
    <w:rsid w:val="21CD34BF"/>
    <w:rsid w:val="21D40CD8"/>
    <w:rsid w:val="21F313F1"/>
    <w:rsid w:val="2345397D"/>
    <w:rsid w:val="23BC326A"/>
    <w:rsid w:val="24793C06"/>
    <w:rsid w:val="249C4E4A"/>
    <w:rsid w:val="25000982"/>
    <w:rsid w:val="26197C47"/>
    <w:rsid w:val="26EA7230"/>
    <w:rsid w:val="27C941A8"/>
    <w:rsid w:val="283161B9"/>
    <w:rsid w:val="28DF17A9"/>
    <w:rsid w:val="29E42D65"/>
    <w:rsid w:val="2B0A5203"/>
    <w:rsid w:val="2B7E5404"/>
    <w:rsid w:val="2CF972DD"/>
    <w:rsid w:val="2D491705"/>
    <w:rsid w:val="2E8D59BD"/>
    <w:rsid w:val="2EDC1D71"/>
    <w:rsid w:val="2EEC6788"/>
    <w:rsid w:val="2EF51C7A"/>
    <w:rsid w:val="30A75795"/>
    <w:rsid w:val="30F203C5"/>
    <w:rsid w:val="30FF6D10"/>
    <w:rsid w:val="318F44DB"/>
    <w:rsid w:val="31F60DF2"/>
    <w:rsid w:val="32506E1A"/>
    <w:rsid w:val="33446DD8"/>
    <w:rsid w:val="33D82F28"/>
    <w:rsid w:val="34E95B09"/>
    <w:rsid w:val="35C129EC"/>
    <w:rsid w:val="366432C6"/>
    <w:rsid w:val="36DD79AC"/>
    <w:rsid w:val="38594283"/>
    <w:rsid w:val="39541E97"/>
    <w:rsid w:val="39F92B0C"/>
    <w:rsid w:val="3A997671"/>
    <w:rsid w:val="3B3630C3"/>
    <w:rsid w:val="3B5129DA"/>
    <w:rsid w:val="3C56183C"/>
    <w:rsid w:val="3D394EF3"/>
    <w:rsid w:val="3ED911DE"/>
    <w:rsid w:val="3FC823E0"/>
    <w:rsid w:val="41211D8D"/>
    <w:rsid w:val="42B17DA4"/>
    <w:rsid w:val="433D79A0"/>
    <w:rsid w:val="443B262A"/>
    <w:rsid w:val="457D22AA"/>
    <w:rsid w:val="47A67F81"/>
    <w:rsid w:val="47CC49F7"/>
    <w:rsid w:val="4893018E"/>
    <w:rsid w:val="48F83E1C"/>
    <w:rsid w:val="497C50C6"/>
    <w:rsid w:val="49F27137"/>
    <w:rsid w:val="4A8D73CE"/>
    <w:rsid w:val="4AC1615B"/>
    <w:rsid w:val="4B3E350D"/>
    <w:rsid w:val="4C0C1C90"/>
    <w:rsid w:val="4C455A7F"/>
    <w:rsid w:val="4C8B0E43"/>
    <w:rsid w:val="4C96242A"/>
    <w:rsid w:val="4CA56F92"/>
    <w:rsid w:val="4CF02985"/>
    <w:rsid w:val="4DDA139E"/>
    <w:rsid w:val="4E841138"/>
    <w:rsid w:val="500D4CCA"/>
    <w:rsid w:val="50290039"/>
    <w:rsid w:val="515964BD"/>
    <w:rsid w:val="51F66981"/>
    <w:rsid w:val="52E27AD6"/>
    <w:rsid w:val="56E96850"/>
    <w:rsid w:val="586B115B"/>
    <w:rsid w:val="5890733E"/>
    <w:rsid w:val="58AA795D"/>
    <w:rsid w:val="58C1689A"/>
    <w:rsid w:val="59AD1613"/>
    <w:rsid w:val="5C1F540E"/>
    <w:rsid w:val="5C3E3E63"/>
    <w:rsid w:val="5E4B7549"/>
    <w:rsid w:val="5FB01C1F"/>
    <w:rsid w:val="60205367"/>
    <w:rsid w:val="603B5FBC"/>
    <w:rsid w:val="60DA3C57"/>
    <w:rsid w:val="616404C2"/>
    <w:rsid w:val="618747DB"/>
    <w:rsid w:val="627621B8"/>
    <w:rsid w:val="6337116C"/>
    <w:rsid w:val="65AB24B5"/>
    <w:rsid w:val="66EF5B2F"/>
    <w:rsid w:val="68B35723"/>
    <w:rsid w:val="6AB74751"/>
    <w:rsid w:val="6B5F66E9"/>
    <w:rsid w:val="6B8A6A7E"/>
    <w:rsid w:val="6C0C5B46"/>
    <w:rsid w:val="6C111C5C"/>
    <w:rsid w:val="6C322A0E"/>
    <w:rsid w:val="6D807596"/>
    <w:rsid w:val="6DD81224"/>
    <w:rsid w:val="6E1940D9"/>
    <w:rsid w:val="702262E6"/>
    <w:rsid w:val="710E3FA6"/>
    <w:rsid w:val="71D90E6F"/>
    <w:rsid w:val="73D04B05"/>
    <w:rsid w:val="74497B9C"/>
    <w:rsid w:val="75214BDD"/>
    <w:rsid w:val="75244B15"/>
    <w:rsid w:val="79CD2C51"/>
    <w:rsid w:val="7A911ED0"/>
    <w:rsid w:val="7B9769EB"/>
    <w:rsid w:val="7BF27482"/>
    <w:rsid w:val="7C4C0DA4"/>
    <w:rsid w:val="7D5A2AA6"/>
    <w:rsid w:val="7DC902A6"/>
    <w:rsid w:val="7E78065C"/>
    <w:rsid w:val="7F041786"/>
    <w:rsid w:val="7F2619A9"/>
    <w:rsid w:val="7F5C0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annotation text"/>
    <w:link w:val="29"/>
    <w:autoRedefine/>
    <w:unhideWhenUsed/>
    <w:qFormat/>
    <w:uiPriority w:val="0"/>
    <w:pPr>
      <w:widowControl w:val="0"/>
    </w:pPr>
    <w:rPr>
      <w:rFonts w:ascii="Times New Roman" w:hAnsi="Times New Roman" w:eastAsia="宋体" w:cs="Times New Roman"/>
      <w:kern w:val="2"/>
      <w:sz w:val="21"/>
      <w:szCs w:val="24"/>
      <w:lang w:val="en-US" w:eastAsia="zh-CN" w:bidi="ar-SA"/>
    </w:rPr>
  </w:style>
  <w:style w:type="paragraph" w:styleId="4">
    <w:name w:val="Body Text"/>
    <w:basedOn w:val="1"/>
    <w:link w:val="27"/>
    <w:qFormat/>
    <w:uiPriority w:val="0"/>
    <w:pPr>
      <w:spacing w:after="120"/>
    </w:pPr>
  </w:style>
  <w:style w:type="paragraph" w:styleId="5">
    <w:name w:val="Body Text Indent"/>
    <w:basedOn w:val="1"/>
    <w:unhideWhenUsed/>
    <w:qFormat/>
    <w:uiPriority w:val="99"/>
    <w:pPr>
      <w:spacing w:after="120"/>
      <w:ind w:left="420" w:leftChars="200"/>
    </w:pPr>
  </w:style>
  <w:style w:type="paragraph" w:styleId="6">
    <w:name w:val="Plain Text"/>
    <w:basedOn w:val="1"/>
    <w:qFormat/>
    <w:uiPriority w:val="0"/>
    <w:rPr>
      <w:rFonts w:ascii="宋体" w:hAnsi="Courier New"/>
      <w:szCs w:val="21"/>
    </w:rPr>
  </w:style>
  <w:style w:type="paragraph" w:styleId="7">
    <w:name w:val="Body Text Indent 2"/>
    <w:autoRedefine/>
    <w:unhideWhenUsed/>
    <w:qFormat/>
    <w:uiPriority w:val="99"/>
    <w:pPr>
      <w:widowControl w:val="0"/>
      <w:spacing w:line="360" w:lineRule="auto"/>
      <w:ind w:firstLine="600" w:firstLineChars="200"/>
      <w:jc w:val="both"/>
    </w:pPr>
    <w:rPr>
      <w:rFonts w:ascii="Times New Roman" w:hAnsi="Times New Roman" w:eastAsia="仿宋_GB2312" w:cs="Times New Roman"/>
      <w:kern w:val="2"/>
      <w:sz w:val="32"/>
      <w:lang w:val="en-US" w:eastAsia="zh-CN" w:bidi="ar-SA"/>
    </w:rPr>
  </w:style>
  <w:style w:type="paragraph" w:styleId="8">
    <w:name w:val="Balloon Text"/>
    <w:basedOn w:val="1"/>
    <w:link w:val="24"/>
    <w:qFormat/>
    <w:uiPriority w:val="0"/>
    <w:rPr>
      <w:sz w:val="18"/>
      <w:szCs w:val="18"/>
    </w:rPr>
  </w:style>
  <w:style w:type="paragraph" w:styleId="9">
    <w:name w:val="footer"/>
    <w:link w:val="39"/>
    <w:autoRedefine/>
    <w:qFormat/>
    <w:uiPriority w:val="0"/>
    <w:pPr>
      <w:widowControl w:val="0"/>
      <w:tabs>
        <w:tab w:val="center" w:pos="4153"/>
        <w:tab w:val="right" w:pos="8306"/>
      </w:tabs>
      <w:snapToGrid w:val="0"/>
    </w:pPr>
    <w:rPr>
      <w:rFonts w:asciiTheme="minorHAnsi" w:hAnsiTheme="minorHAnsi" w:eastAsiaTheme="minorEastAsia" w:cstheme="minorBidi"/>
      <w:kern w:val="2"/>
      <w:sz w:val="18"/>
      <w:szCs w:val="18"/>
      <w:lang w:val="en-US" w:eastAsia="zh-CN" w:bidi="ar-SA"/>
    </w:rPr>
  </w:style>
  <w:style w:type="paragraph" w:styleId="10">
    <w:name w:val="header"/>
    <w:basedOn w:val="1"/>
    <w:link w:val="22"/>
    <w:autoRedefine/>
    <w:qFormat/>
    <w:uiPriority w:val="0"/>
    <w:pPr>
      <w:tabs>
        <w:tab w:val="center" w:pos="4153"/>
        <w:tab w:val="right" w:pos="8306"/>
      </w:tabs>
      <w:snapToGrid w:val="0"/>
      <w:jc w:val="center"/>
    </w:pPr>
    <w:rPr>
      <w:sz w:val="18"/>
      <w:szCs w:val="18"/>
    </w:rPr>
  </w:style>
  <w:style w:type="paragraph" w:styleId="11">
    <w:name w:val="footnote text"/>
    <w:autoRedefine/>
    <w:unhideWhenUsed/>
    <w:qFormat/>
    <w:uiPriority w:val="99"/>
    <w:pPr>
      <w:widowControl w:val="0"/>
      <w:snapToGrid w:val="0"/>
    </w:pPr>
    <w:rPr>
      <w:rFonts w:ascii="Times New Roman" w:hAnsi="Times New Roman" w:eastAsia="仿宋_GB2312" w:cs="Times New Roman"/>
      <w:kern w:val="2"/>
      <w:sz w:val="18"/>
      <w:lang w:val="en-US" w:eastAsia="zh-CN" w:bidi="ar-SA"/>
    </w:rPr>
  </w:style>
  <w:style w:type="paragraph" w:styleId="12">
    <w:name w:val="Normal (Web)"/>
    <w:autoRedefine/>
    <w:unhideWhenUsed/>
    <w:qFormat/>
    <w:uiPriority w:val="99"/>
    <w:pPr>
      <w:spacing w:before="100" w:beforeAutospacing="1" w:after="100" w:afterAutospacing="1"/>
    </w:pPr>
    <w:rPr>
      <w:rFonts w:ascii="宋体" w:hAnsi="宋体" w:eastAsia="宋体" w:cs="宋体"/>
      <w:kern w:val="2"/>
      <w:sz w:val="24"/>
      <w:lang w:val="en-US" w:eastAsia="zh-CN" w:bidi="ar-SA"/>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paragraph" w:styleId="14">
    <w:name w:val="annotation subject"/>
    <w:basedOn w:val="3"/>
    <w:next w:val="3"/>
    <w:link w:val="30"/>
    <w:qFormat/>
    <w:uiPriority w:val="0"/>
    <w:rPr>
      <w:rFonts w:asciiTheme="minorHAnsi" w:hAnsiTheme="minorHAnsi" w:eastAsiaTheme="minorEastAsia" w:cstheme="minorBidi"/>
      <w:b/>
      <w:bCs/>
    </w:rPr>
  </w:style>
  <w:style w:type="paragraph" w:styleId="15">
    <w:name w:val="Body Text First Indent"/>
    <w:basedOn w:val="4"/>
    <w:qFormat/>
    <w:uiPriority w:val="0"/>
    <w:pPr>
      <w:ind w:firstLine="420" w:firstLineChars="100"/>
    </w:pPr>
    <w:rPr>
      <w:rFonts w:ascii="Times New Roman" w:hAnsi="Times New Roman"/>
    </w:rPr>
  </w:style>
  <w:style w:type="table" w:styleId="17">
    <w:name w:val="Table Grid"/>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Emphasis"/>
    <w:basedOn w:val="18"/>
    <w:qFormat/>
    <w:uiPriority w:val="0"/>
    <w:rPr>
      <w:i/>
    </w:rPr>
  </w:style>
  <w:style w:type="character" w:styleId="20">
    <w:name w:val="annotation reference"/>
    <w:basedOn w:val="18"/>
    <w:qFormat/>
    <w:uiPriority w:val="99"/>
    <w:rPr>
      <w:sz w:val="21"/>
      <w:szCs w:val="21"/>
    </w:rPr>
  </w:style>
  <w:style w:type="character" w:styleId="21">
    <w:name w:val="footnote reference"/>
    <w:autoRedefine/>
    <w:unhideWhenUsed/>
    <w:qFormat/>
    <w:uiPriority w:val="99"/>
    <w:rPr>
      <w:vertAlign w:val="superscript"/>
    </w:rPr>
  </w:style>
  <w:style w:type="character" w:customStyle="1" w:styleId="22">
    <w:name w:val="页眉 Char"/>
    <w:basedOn w:val="18"/>
    <w:link w:val="10"/>
    <w:autoRedefine/>
    <w:qFormat/>
    <w:uiPriority w:val="0"/>
    <w:rPr>
      <w:kern w:val="2"/>
      <w:sz w:val="18"/>
      <w:szCs w:val="18"/>
    </w:rPr>
  </w:style>
  <w:style w:type="paragraph" w:styleId="23">
    <w:name w:val="List Paragraph"/>
    <w:basedOn w:val="1"/>
    <w:autoRedefine/>
    <w:qFormat/>
    <w:uiPriority w:val="34"/>
    <w:pPr>
      <w:ind w:firstLine="420" w:firstLineChars="200"/>
    </w:pPr>
  </w:style>
  <w:style w:type="character" w:customStyle="1" w:styleId="24">
    <w:name w:val="批注框文本 Char"/>
    <w:basedOn w:val="18"/>
    <w:link w:val="8"/>
    <w:qFormat/>
    <w:uiPriority w:val="0"/>
    <w:rPr>
      <w:kern w:val="2"/>
      <w:sz w:val="18"/>
      <w:szCs w:val="18"/>
    </w:rPr>
  </w:style>
  <w:style w:type="paragraph" w:customStyle="1" w:styleId="25">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6">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27">
    <w:name w:val="正文文本 Char"/>
    <w:basedOn w:val="18"/>
    <w:link w:val="4"/>
    <w:qFormat/>
    <w:uiPriority w:val="0"/>
    <w:rPr>
      <w:rFonts w:asciiTheme="minorHAnsi" w:hAnsiTheme="minorHAnsi" w:eastAsiaTheme="minorEastAsia" w:cstheme="minorBidi"/>
      <w:kern w:val="2"/>
      <w:sz w:val="21"/>
      <w:szCs w:val="24"/>
    </w:rPr>
  </w:style>
  <w:style w:type="paragraph" w:customStyle="1" w:styleId="28">
    <w:name w:val="Table Paragraph"/>
    <w:basedOn w:val="1"/>
    <w:qFormat/>
    <w:uiPriority w:val="1"/>
    <w:rPr>
      <w:rFonts w:ascii="Times New Roman" w:hAnsi="Times New Roman"/>
    </w:rPr>
  </w:style>
  <w:style w:type="character" w:customStyle="1" w:styleId="29">
    <w:name w:val="批注文字 Char"/>
    <w:basedOn w:val="18"/>
    <w:link w:val="3"/>
    <w:qFormat/>
    <w:uiPriority w:val="0"/>
    <w:rPr>
      <w:kern w:val="2"/>
      <w:sz w:val="21"/>
      <w:szCs w:val="24"/>
    </w:rPr>
  </w:style>
  <w:style w:type="character" w:customStyle="1" w:styleId="30">
    <w:name w:val="批注主题 Char"/>
    <w:basedOn w:val="29"/>
    <w:link w:val="14"/>
    <w:qFormat/>
    <w:uiPriority w:val="0"/>
    <w:rPr>
      <w:rFonts w:asciiTheme="minorHAnsi" w:hAnsiTheme="minorHAnsi" w:eastAsiaTheme="minorEastAsia" w:cstheme="minorBidi"/>
      <w:b/>
      <w:bCs/>
    </w:rPr>
  </w:style>
  <w:style w:type="paragraph" w:customStyle="1" w:styleId="31">
    <w:name w:val="一级条标题"/>
    <w:basedOn w:val="1"/>
    <w:next w:val="1"/>
    <w:link w:val="36"/>
    <w:qFormat/>
    <w:uiPriority w:val="0"/>
    <w:pPr>
      <w:widowControl/>
      <w:ind w:left="360"/>
      <w:outlineLvl w:val="2"/>
    </w:pPr>
    <w:rPr>
      <w:rFonts w:ascii="黑体" w:eastAsia="黑体"/>
      <w:kern w:val="0"/>
      <w:sz w:val="20"/>
      <w:szCs w:val="20"/>
      <w:lang w:eastAsia="en-US"/>
    </w:rPr>
  </w:style>
  <w:style w:type="paragraph" w:customStyle="1" w:styleId="32">
    <w:name w:val="二级条标题"/>
    <w:basedOn w:val="31"/>
    <w:next w:val="1"/>
    <w:qFormat/>
    <w:uiPriority w:val="0"/>
    <w:pPr>
      <w:spacing w:beforeLines="50" w:afterLines="50"/>
      <w:ind w:left="567"/>
      <w:outlineLvl w:val="3"/>
    </w:pPr>
    <w:rPr>
      <w:sz w:val="21"/>
      <w:szCs w:val="21"/>
      <w:lang w:eastAsia="zh-CN"/>
    </w:rPr>
  </w:style>
  <w:style w:type="paragraph" w:customStyle="1" w:styleId="33">
    <w:name w:val="段"/>
    <w:link w:val="37"/>
    <w:qFormat/>
    <w:uiPriority w:val="0"/>
    <w:pPr>
      <w:tabs>
        <w:tab w:val="center" w:pos="4201"/>
        <w:tab w:val="right" w:leader="dot" w:pos="9298"/>
      </w:tabs>
      <w:autoSpaceDE w:val="0"/>
      <w:autoSpaceDN w:val="0"/>
      <w:spacing w:beforeLines="100" w:afterLines="100"/>
      <w:ind w:firstLine="420" w:firstLineChars="200"/>
      <w:jc w:val="both"/>
    </w:pPr>
    <w:rPr>
      <w:rFonts w:ascii="宋体" w:hAnsi="Times New Roman" w:eastAsia="宋体" w:cs="Times New Roman"/>
      <w:sz w:val="21"/>
      <w:lang w:val="en-US" w:eastAsia="zh-CN" w:bidi="ar-SA"/>
    </w:rPr>
  </w:style>
  <w:style w:type="paragraph" w:customStyle="1" w:styleId="34">
    <w:name w:val="四级条标题"/>
    <w:basedOn w:val="1"/>
    <w:next w:val="33"/>
    <w:qFormat/>
    <w:uiPriority w:val="0"/>
    <w:pPr>
      <w:widowControl/>
      <w:spacing w:beforeLines="50" w:afterLines="50"/>
      <w:outlineLvl w:val="5"/>
    </w:pPr>
    <w:rPr>
      <w:rFonts w:ascii="黑体" w:eastAsia="黑体"/>
      <w:kern w:val="0"/>
      <w:szCs w:val="21"/>
    </w:rPr>
  </w:style>
  <w:style w:type="paragraph" w:customStyle="1" w:styleId="35">
    <w:name w:val="章标题"/>
    <w:next w:val="33"/>
    <w:qFormat/>
    <w:uiPriority w:val="0"/>
    <w:pPr>
      <w:tabs>
        <w:tab w:val="left" w:pos="720"/>
      </w:tabs>
      <w:spacing w:beforeLines="100" w:afterLines="100"/>
      <w:ind w:left="720" w:hanging="720"/>
      <w:jc w:val="both"/>
      <w:outlineLvl w:val="1"/>
    </w:pPr>
    <w:rPr>
      <w:rFonts w:ascii="黑体" w:hAnsi="Times New Roman" w:eastAsia="黑体" w:cs="Times New Roman"/>
      <w:sz w:val="21"/>
      <w:lang w:val="en-US" w:eastAsia="zh-CN" w:bidi="ar-SA"/>
    </w:rPr>
  </w:style>
  <w:style w:type="character" w:customStyle="1" w:styleId="36">
    <w:name w:val="一级条标题 Char"/>
    <w:link w:val="31"/>
    <w:qFormat/>
    <w:uiPriority w:val="0"/>
    <w:rPr>
      <w:rFonts w:ascii="黑体" w:eastAsia="黑体" w:hAnsiTheme="minorHAnsi" w:cstheme="minorBidi"/>
      <w:lang w:eastAsia="en-US"/>
    </w:rPr>
  </w:style>
  <w:style w:type="character" w:customStyle="1" w:styleId="37">
    <w:name w:val="段 Char"/>
    <w:link w:val="33"/>
    <w:qFormat/>
    <w:uiPriority w:val="0"/>
    <w:rPr>
      <w:rFonts w:ascii="宋体"/>
      <w:sz w:val="21"/>
    </w:rPr>
  </w:style>
  <w:style w:type="paragraph" w:customStyle="1" w:styleId="38">
    <w:name w:val="修订2"/>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9">
    <w:name w:val="页脚 Char"/>
    <w:basedOn w:val="18"/>
    <w:link w:val="9"/>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89153-FB87-4F50-848A-3CC4B6BCED4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2318</Words>
  <Characters>2687</Characters>
  <Lines>917</Lines>
  <Paragraphs>258</Paragraphs>
  <TotalTime>0</TotalTime>
  <ScaleCrop>false</ScaleCrop>
  <LinksUpToDate>false</LinksUpToDate>
  <CharactersWithSpaces>2704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2025-07-29T03:08:00Z</dcterms:created>
  <dc:creator>zzc</dc:creator>
  <cp:lastModifiedBy>HyukkiAile</cp:lastModifiedBy>
  <dcterms:modified xsi:type="dcterms:W3CDTF">2026-09-01T07:49:00Z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3019D4BDC40F4D56A226A1B0F3CC28EB_13</vt:lpwstr>
  </property>
  <property fmtid="{D5CDD505-2E9C-101B-9397-08002B2CF9AE}" pid="4" name="KSOTemplateDocerSaveRecord">
    <vt:lpwstr>eyJoZGlkIjoiMjNmNDVjZTljNDQ3YzEwNzlkZDE3NmE3MGE3ZTBhZTgiLCJ1c2VySWQiOiI3ODQwNDM2MTIifQ==</vt:lpwstr>
  </property>
</Properties>
</file>