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需提供房产产权清晰、未涉及法律诉讼、不存在被查封、执行、拍卖的承诺书。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