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2026-2027年（两年）造币用镍带集中采购项目（包1）(二次)</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RH-WTGK2025088</w:t>
      </w:r>
      <w:r>
        <w:br/>
      </w:r>
      <w:r>
        <w:br/>
      </w:r>
      <w:r>
        <w:br/>
      </w:r>
    </w:p>
    <w:p>
      <w:pPr>
        <w:pStyle w:val="null3"/>
        <w:jc w:val="center"/>
      </w:pPr>
      <w:r>
        <w:rPr/>
        <w:t>中国人民银行集中采购中心</w:t>
      </w:r>
    </w:p>
    <w:p>
      <w:pPr>
        <w:pStyle w:val="null3"/>
        <w:jc w:val="center"/>
      </w:pPr>
      <w:r>
        <w:rPr/>
        <w:t>2025年10月21日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2026-2027年（两年）造币用镍带集中采购项目（包1）(二次)</w:t>
      </w:r>
      <w:r>
        <w:rPr/>
        <w:t xml:space="preserve"> ”（项目编号： </w:t>
      </w:r>
      <w:r>
        <w:rPr/>
        <w:t>RH-WTGK2025088</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镍带集中采购</w:t>
            </w:r>
          </w:p>
        </w:tc>
        <w:tc>
          <w:tcPr>
            <w:tcW w:type="dxa" w:w="639"/>
          </w:tcPr>
          <w:p>
            <w:pPr>
              <w:pStyle w:val="null3"/>
              <w:jc w:val="left"/>
            </w:pPr>
            <w:r>
              <w:rPr/>
              <w:t>A07010527 镍材</w:t>
            </w:r>
          </w:p>
        </w:tc>
        <w:tc>
          <w:tcPr>
            <w:tcW w:type="dxa" w:w="639"/>
          </w:tcPr>
          <w:p>
            <w:pPr>
              <w:pStyle w:val="null3"/>
              <w:jc w:val="left"/>
            </w:pPr>
            <w:r>
              <w:rPr/>
              <w:t>A07010527</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left"/>
            </w:pPr>
            <w:r>
              <w:rPr/>
              <w:t>数量1代表</w:t>
            </w:r>
            <w:r>
              <w:br/>
            </w:r>
            <w:r>
              <w:rPr/>
              <w:t xml:space="preserve"> 镍带200吨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010-88016272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 xml:space="preserve"> 李先生</w:t>
      </w:r>
    </w:p>
    <w:p>
      <w:pPr>
        <w:pStyle w:val="null3"/>
        <w:jc w:val="left"/>
      </w:pPr>
      <w:r>
        <w:rPr/>
        <w:t xml:space="preserve"> 联系电话（文件发放、开标前咨询）： </w:t>
      </w:r>
      <w:r>
        <w:rPr/>
        <w:t xml:space="preserve"> 66195317</w:t>
      </w:r>
    </w:p>
    <w:p>
      <w:pPr>
        <w:pStyle w:val="null3"/>
        <w:jc w:val="left"/>
      </w:pPr>
      <w:r>
        <w:rPr/>
        <w:t xml:space="preserve"> 联系人（开、评标咨询）： </w:t>
      </w:r>
      <w:r>
        <w:rPr/>
        <w:t>冯先生</w:t>
      </w:r>
    </w:p>
    <w:p>
      <w:pPr>
        <w:pStyle w:val="null3"/>
        <w:jc w:val="left"/>
      </w:pPr>
      <w:r>
        <w:rPr/>
        <w:t xml:space="preserve"> 联系电话（开、评标咨询）： </w:t>
      </w:r>
      <w:r>
        <w:rPr/>
        <w:t>66194772</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采购人应当自收到评标报告之日起５个工作日内，在评标报告确定的中标候选人名单中按顺序确定中标人。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宋体" w:hAnsi="宋体" w:cs="宋体" w:eastAsia="宋体"/>
                <w:sz w:val="21"/>
              </w:rPr>
              <w:t>在分项报价表中，规格型号、品牌、产地、制造商名称、单价为必填项，不允许填写</w:t>
            </w:r>
            <w:r>
              <w:rPr>
                <w:rFonts w:ascii="宋体" w:hAnsi="宋体" w:cs="宋体" w:eastAsia="宋体"/>
                <w:sz w:val="21"/>
              </w:rPr>
              <w:t>“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p>
            <w:pPr>
              <w:pStyle w:val="null3"/>
              <w:jc w:val="both"/>
            </w:pPr>
            <w:r>
              <w:rPr/>
              <w:t xml:space="preserve"> </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造币用镍带用于普通纪念币生产，采购人分2026-2027年（两年）造币用镍带集中采购（包1）（简称“包1”）、2026-2027年（两年）造币用镍带集中采购（包2）（简称“包2”）两个标包实施造币用镍带集中采购。包1预估两年采购数量200吨，上述数量为最高采购数量，根据采购人实际需求分批采购。本项目采购周期两年，送货到沈阳造币有限公司指定的白铜复合镍带加工生产厂家。镍带由投标人负责运输，运费（含保险费）由采购人承担。当镍带中标人同时也是造币用白铜复合镍带加工项目的中标人，并且中标人使用自产镍带进行白铜复合镍带加工，中标人自行承担自用镍带运费（含保险费）。</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《造币用镍带》（Q/SYB/J 2203.3508-2021）</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采购造币用镍带满足普通纪念币生产需要。 采购周期：合同签订生效之日起两年（或采购数量、采购金额达到限额，以先到者为准）。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货物名称及数量：2026-2027年（两年）造币用镍带集中采购（包1）为造币用镍带采购，预估两年采购数量200吨，上述数量为最高采购数量，根据采购人实际需求分批采购。 本项目采购人：沈阳造币有限公司 核心产品：造币用镍带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2026-2027年（两年）造币用镍带集中采购（包1）为造币用镍带采购，预估两年采购数量200吨，上述数量为最高采购数量，根据采购人实际需求分批采购。</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镍带是生产国家法定普通纪念币的重要原材料，也是中国印钞造币集团有限公司履职央行、服务行业不可或缺的生产资源。可靠、优质、高效的造币用镍带采购是维持行业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本技术要求共有“★”指标4个，”#”指标0个，“▲”指标0个。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牌号、状态及规格</w:t>
            </w:r>
          </w:p>
        </w:tc>
        <w:tc>
          <w:tcPr>
            <w:tcW w:type="dxa" w:w="1038"/>
          </w:tcPr>
          <w:p/>
        </w:tc>
        <w:tc>
          <w:tcPr>
            <w:tcW w:type="dxa" w:w="1038"/>
          </w:tcPr>
          <w:p>
            <w:pPr>
              <w:pStyle w:val="null3"/>
            </w:pPr>
            <w:r>
              <w:rPr/>
              <w:t xml:space="preserve">1.1  </w:t>
            </w:r>
            <w:r>
              <w:rPr/>
              <w:t>牌号、状态及规格应符合表</w:t>
            </w:r>
            <w:r>
              <w:rPr/>
              <w:t>1</w:t>
            </w:r>
            <w:r>
              <w:rPr/>
              <w:t>的规定。</w:t>
            </w:r>
          </w:p>
          <w:p>
            <w:pPr>
              <w:pStyle w:val="null3"/>
            </w:pPr>
            <w:r>
              <w:rPr/>
              <w:t>表</w:t>
            </w:r>
            <w:r>
              <w:rPr/>
              <w:t xml:space="preserve">1 </w:t>
            </w:r>
            <w:r>
              <w:rPr/>
              <w:t>牌号、状态及规格</w:t>
            </w:r>
          </w:p>
          <w:p>
            <w:pPr>
              <w:pStyle w:val="null3"/>
            </w:pPr>
            <w:r>
              <w:rPr/>
              <w:t>单位为毫米</w:t>
            </w:r>
          </w:p>
          <w:tbl>
            <w:tblPr>
              <w:tblBorders>
                <w:top w:val="single"/>
                <w:left w:val="single"/>
                <w:bottom w:val="single"/>
                <w:right w:val="single"/>
                <w:insideH w:val="single"/>
                <w:insideV w:val="single"/>
              </w:tblBorders>
            </w:tblPr>
            <w:tblGrid>
              <w:gridCol w:w="117"/>
              <w:gridCol w:w="117"/>
              <w:gridCol w:w="117"/>
              <w:gridCol w:w="117"/>
              <w:gridCol w:w="117"/>
              <w:gridCol w:w="117"/>
              <w:gridCol w:w="117"/>
            </w:tblGrid>
            <w:tr>
              <w:tc>
                <w:tcPr>
                  <w:tcW w:type="dxa" w:w="117"/>
                </w:tcPr>
                <w:p>
                  <w:pPr>
                    <w:pStyle w:val="null3"/>
                  </w:pPr>
                  <w:r>
                    <w:rPr/>
                    <w:t>牌号</w:t>
                  </w:r>
                </w:p>
              </w:tc>
              <w:tc>
                <w:tcPr>
                  <w:tcW w:type="dxa" w:w="117"/>
                </w:tcPr>
                <w:p>
                  <w:pPr>
                    <w:pStyle w:val="null3"/>
                  </w:pPr>
                  <w:r>
                    <w:rPr/>
                    <w:t>品种</w:t>
                  </w:r>
                </w:p>
              </w:tc>
              <w:tc>
                <w:tcPr>
                  <w:tcW w:type="dxa" w:w="117"/>
                </w:tcPr>
                <w:p>
                  <w:pPr>
                    <w:pStyle w:val="null3"/>
                  </w:pPr>
                  <w:r>
                    <w:rPr/>
                    <w:t>状态</w:t>
                  </w:r>
                </w:p>
              </w:tc>
              <w:tc>
                <w:tcPr>
                  <w:tcW w:type="dxa" w:w="117"/>
                </w:tcPr>
                <w:p>
                  <w:pPr>
                    <w:pStyle w:val="null3"/>
                  </w:pPr>
                  <w:r>
                    <w:rPr/>
                    <w:t>公称厚度</w:t>
                  </w:r>
                </w:p>
              </w:tc>
              <w:tc>
                <w:tcPr>
                  <w:tcW w:type="dxa" w:w="117"/>
                </w:tcPr>
                <w:p>
                  <w:pPr>
                    <w:pStyle w:val="null3"/>
                  </w:pPr>
                  <w:r>
                    <w:rPr/>
                    <w:t>厚度</w:t>
                  </w:r>
                  <w:r>
                    <w:rPr/>
                    <w:t>允许</w:t>
                  </w:r>
                </w:p>
                <w:p>
                  <w:pPr>
                    <w:pStyle w:val="null3"/>
                  </w:pPr>
                  <w:r>
                    <w:rPr/>
                    <w:t>偏差</w:t>
                  </w:r>
                </w:p>
              </w:tc>
              <w:tc>
                <w:tcPr>
                  <w:tcW w:type="dxa" w:w="117"/>
                </w:tcPr>
                <w:p>
                  <w:pPr>
                    <w:pStyle w:val="null3"/>
                  </w:pPr>
                  <w:r>
                    <w:rPr/>
                    <w:t>公称宽度</w:t>
                  </w:r>
                </w:p>
              </w:tc>
              <w:tc>
                <w:tcPr>
                  <w:tcW w:type="dxa" w:w="117"/>
                </w:tcPr>
                <w:p>
                  <w:pPr>
                    <w:pStyle w:val="null3"/>
                  </w:pPr>
                  <w:r>
                    <w:rPr/>
                    <w:t>允许偏差</w:t>
                  </w:r>
                </w:p>
              </w:tc>
            </w:tr>
            <w:tr>
              <w:tc>
                <w:tcPr>
                  <w:tcW w:type="dxa" w:w="117"/>
                </w:tcPr>
                <w:p>
                  <w:pPr>
                    <w:pStyle w:val="null3"/>
                  </w:pPr>
                  <w:r>
                    <w:rPr/>
                    <w:t>镍</w:t>
                  </w:r>
                  <w:r>
                    <w:rPr/>
                    <w:t>N6</w:t>
                  </w:r>
                </w:p>
              </w:tc>
              <w:tc>
                <w:tcPr>
                  <w:tcW w:type="dxa" w:w="117"/>
                </w:tcPr>
                <w:p>
                  <w:pPr>
                    <w:pStyle w:val="null3"/>
                  </w:pPr>
                  <w:r>
                    <w:rPr/>
                    <w:t>带材</w:t>
                  </w:r>
                </w:p>
              </w:tc>
              <w:tc>
                <w:tcPr>
                  <w:tcW w:type="dxa" w:w="117"/>
                </w:tcPr>
                <w:p>
                  <w:pPr>
                    <w:pStyle w:val="null3"/>
                  </w:pPr>
                  <w:r>
                    <w:rPr/>
                    <w:t>M</w:t>
                  </w:r>
                  <w:r>
                    <w:rPr/>
                    <w:t>（完</w:t>
                  </w:r>
                  <w:r>
                    <w:rPr/>
                    <w:t>全退火态</w:t>
                  </w:r>
                  <w:r>
                    <w:rPr/>
                    <w:t>）</w:t>
                  </w:r>
                </w:p>
                <w:p>
                  <w:pPr>
                    <w:pStyle w:val="null3"/>
                  </w:pPr>
                  <w:r>
                    <w:rPr/>
                    <w:t>80 HV</w:t>
                  </w:r>
                  <w:r>
                    <w:rPr/>
                    <w:t>5</w:t>
                  </w:r>
                  <w:r>
                    <w:rPr/>
                    <w:t>～</w:t>
                  </w:r>
                  <w:r>
                    <w:rPr/>
                    <w:t>110 HV</w:t>
                  </w:r>
                  <w:r>
                    <w:rPr/>
                    <w:t>5</w:t>
                  </w:r>
                </w:p>
              </w:tc>
              <w:tc>
                <w:tcPr>
                  <w:tcW w:type="dxa" w:w="117"/>
                </w:tcPr>
                <w:p>
                  <w:pPr>
                    <w:pStyle w:val="null3"/>
                  </w:pPr>
                  <w:r>
                    <w:rPr/>
                    <w:t>0.70</w:t>
                  </w:r>
                </w:p>
              </w:tc>
              <w:tc>
                <w:tcPr>
                  <w:tcW w:type="dxa" w:w="117"/>
                </w:tcPr>
                <w:p>
                  <w:pPr>
                    <w:pStyle w:val="null3"/>
                  </w:pPr>
                  <w:r>
                    <w:rPr/>
                    <w:t>±0.02</w:t>
                  </w:r>
                </w:p>
              </w:tc>
              <w:tc>
                <w:tcPr>
                  <w:tcW w:type="dxa" w:w="117"/>
                </w:tcPr>
                <w:p>
                  <w:pPr>
                    <w:pStyle w:val="null3"/>
                  </w:pPr>
                  <w:r>
                    <w:rPr/>
                    <w:t>205</w:t>
                  </w:r>
                  <w:r>
                    <w:rPr/>
                    <w:t>或</w:t>
                  </w:r>
                  <w:r>
                    <w:rPr/>
                    <w:t>304</w:t>
                  </w:r>
                </w:p>
              </w:tc>
              <w:tc>
                <w:tcPr>
                  <w:tcW w:type="dxa" w:w="117"/>
                </w:tcPr>
                <w:p>
                  <w:pPr>
                    <w:pStyle w:val="null3"/>
                  </w:pPr>
                  <w:r>
                    <w:rPr/>
                    <w:t>+</w:t>
                  </w:r>
                  <w:r>
                    <w:rPr/>
                    <w:t>1</w:t>
                  </w:r>
                  <w:r>
                    <w:rPr/>
                    <w:t>.00</w:t>
                  </w:r>
                </w:p>
                <w:p>
                  <w:pPr>
                    <w:pStyle w:val="null3"/>
                  </w:pPr>
                  <w:r>
                    <w:rPr/>
                    <w:t>0</w:t>
                  </w:r>
                  <w:r>
                    <w:rPr/>
                    <w:t>.</w:t>
                  </w:r>
                  <w:r>
                    <w:rPr/>
                    <w:t>0</w:t>
                  </w:r>
                  <w:r>
                    <w:rPr/>
                    <w:t>0</w:t>
                  </w:r>
                </w:p>
              </w:tc>
            </w:tr>
          </w:tbl>
          <w:p>
            <w:pPr>
              <w:pStyle w:val="null3"/>
            </w:pPr>
            <w:r>
              <w:rPr/>
              <w:t>标记示例：用</w:t>
            </w:r>
            <w:r>
              <w:rPr/>
              <w:t>N6</w:t>
            </w:r>
            <w:r>
              <w:rPr/>
              <w:t>制造的、完</w:t>
            </w:r>
            <w:r>
              <w:rPr/>
              <w:t>全退火态</w:t>
            </w:r>
            <w:r>
              <w:rPr/>
              <w:t>、厚度为</w:t>
            </w:r>
            <w:r>
              <w:rPr/>
              <w:t>0.70 mm</w:t>
            </w:r>
            <w:r>
              <w:rPr/>
              <w:t>、宽度为</w:t>
            </w:r>
            <w:r>
              <w:rPr/>
              <w:t>205 mm</w:t>
            </w:r>
            <w:r>
              <w:rPr/>
              <w:t>的带材标记</w:t>
            </w:r>
            <w:r>
              <w:br/>
            </w:r>
            <w:r>
              <w:rPr/>
              <w:t>为：带</w:t>
            </w:r>
            <w:r>
              <w:rPr/>
              <w:t>N6</w:t>
            </w:r>
            <w:r>
              <w:rPr/>
              <w:t xml:space="preserve">  M</w:t>
            </w:r>
            <w:r>
              <w:rPr/>
              <w:t xml:space="preserve">   </w:t>
            </w:r>
            <w:r>
              <w:rPr/>
              <w:t>0.70×205</w:t>
            </w:r>
          </w:p>
          <w:p>
            <w:pPr>
              <w:pStyle w:val="null3"/>
            </w:pPr>
            <w:r>
              <w:rPr/>
              <w:t xml:space="preserve">1.2  </w:t>
            </w:r>
            <w:r>
              <w:rPr/>
              <w:t>复合用的镍带卷内径为</w:t>
            </w:r>
            <w:r>
              <w:rPr/>
              <w:t>Φ500 mm±10 mm</w:t>
            </w:r>
            <w:r>
              <w:rPr/>
              <w:t>。</w:t>
            </w:r>
          </w:p>
          <w:p>
            <w:pPr>
              <w:pStyle w:val="null3"/>
            </w:pPr>
            <w:r>
              <w:rPr/>
              <w:t xml:space="preserve">1.3  </w:t>
            </w:r>
            <w:r>
              <w:rPr/>
              <w:t>宽度为</w:t>
            </w:r>
            <w:r>
              <w:rPr/>
              <w:t>205</w:t>
            </w:r>
            <w:r>
              <w:rPr/>
              <w:t xml:space="preserve"> </w:t>
            </w:r>
            <w:r>
              <w:rPr/>
              <w:t>mm</w:t>
            </w:r>
            <w:r>
              <w:rPr/>
              <w:t>的带材，每卷重量为</w:t>
            </w:r>
            <w:r>
              <w:rPr/>
              <w:t>200 kg±5 kg</w:t>
            </w:r>
            <w:r>
              <w:rPr/>
              <w:t>、</w:t>
            </w:r>
            <w:r>
              <w:rPr/>
              <w:t>400 kg±5</w:t>
            </w:r>
            <w:r>
              <w:rPr/>
              <w:t xml:space="preserve"> </w:t>
            </w:r>
            <w:r>
              <w:rPr/>
              <w:t>kg</w:t>
            </w:r>
            <w:r>
              <w:rPr/>
              <w:t>或</w:t>
            </w:r>
            <w:r>
              <w:rPr/>
              <w:t>400 kg</w:t>
            </w:r>
            <w:r>
              <w:rPr/>
              <w:t>的整数倍</w:t>
            </w:r>
            <w:r>
              <w:rPr/>
              <w:t>±10 kg</w:t>
            </w:r>
            <w:r>
              <w:rPr/>
              <w:t>。宽度为</w:t>
            </w:r>
            <w:r>
              <w:rPr/>
              <w:t>304 mm</w:t>
            </w:r>
            <w:r>
              <w:rPr/>
              <w:t>的带材，每卷重量为</w:t>
            </w:r>
            <w:r>
              <w:rPr/>
              <w:t>510 kg±10 kg</w:t>
            </w:r>
            <w:r>
              <w:rPr/>
              <w:t>或</w:t>
            </w:r>
            <w:r>
              <w:rPr/>
              <w:t>510 kg</w:t>
            </w:r>
            <w:r>
              <w:rPr/>
              <w:t>的整数倍</w:t>
            </w:r>
            <w:r>
              <w:rPr/>
              <w:t>±10</w:t>
            </w:r>
            <w:r>
              <w:rPr/>
              <w:t xml:space="preserve"> </w:t>
            </w:r>
            <w:r>
              <w:rPr/>
              <w:t>kg</w:t>
            </w:r>
            <w:r>
              <w:rPr/>
              <w:t>。</w:t>
            </w:r>
          </w:p>
          <w:p>
            <w:pPr>
              <w:pStyle w:val="null3"/>
            </w:pPr>
            <w:r>
              <w:rPr/>
              <w:t xml:space="preserve">1.4  </w:t>
            </w:r>
            <w:r>
              <w:rPr/>
              <w:t>带材的两边应切齐，不允许存在目视可见的毛刺，裂边和卷边。</w:t>
            </w:r>
          </w:p>
          <w:p>
            <w:pPr>
              <w:pStyle w:val="null3"/>
            </w:pPr>
            <w:r>
              <w:rPr/>
              <w:t xml:space="preserve">1.5  </w:t>
            </w:r>
            <w:r>
              <w:rPr/>
              <w:t>带材外形应平直，带材在长度方向上的不平度每米不大于</w:t>
            </w:r>
            <w:r>
              <w:rPr/>
              <w:t>10 mm</w:t>
            </w:r>
            <w:r>
              <w:rPr/>
              <w:t>或不大于长度的</w:t>
            </w:r>
            <w:r>
              <w:rPr/>
              <w:t>1%</w:t>
            </w:r>
            <w:r>
              <w:rPr/>
              <w:t>。</w:t>
            </w:r>
          </w:p>
          <w:p>
            <w:pPr>
              <w:pStyle w:val="null3"/>
            </w:pPr>
            <w:r>
              <w:rPr/>
              <w:t xml:space="preserve">1.6  </w:t>
            </w:r>
            <w:r>
              <w:rPr/>
              <w:t>带材侧弯不超过</w:t>
            </w:r>
            <w:r>
              <w:rPr/>
              <w:t>2</w:t>
            </w:r>
            <w:r>
              <w:rPr/>
              <w:t xml:space="preserve"> </w:t>
            </w:r>
            <w:r>
              <w:rPr/>
              <w:t>mm/m</w:t>
            </w:r>
            <w:r>
              <w:rPr/>
              <w:t>；带卷塔形度小于</w:t>
            </w:r>
            <w:r>
              <w:rPr/>
              <w:t>2 mm</w:t>
            </w:r>
            <w:r>
              <w:rPr/>
              <w:t>。</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带材的化学成分应符合表</w:t>
            </w:r>
            <w:r>
              <w:rPr/>
              <w:t>2</w:t>
            </w:r>
            <w:r>
              <w:rPr/>
              <w:t>的规定。</w:t>
            </w:r>
          </w:p>
          <w:p>
            <w:pPr>
              <w:pStyle w:val="null3"/>
            </w:pPr>
            <w:r>
              <w:rPr/>
              <w:t>表</w:t>
            </w:r>
            <w:r>
              <w:rPr/>
              <w:t xml:space="preserve">2 </w:t>
            </w:r>
            <w:r>
              <w:rPr/>
              <w:t>镍带主要化学成分                      单位重量百分比</w:t>
            </w:r>
          </w:p>
          <w:tbl>
            <w:tblPr>
              <w:tblBorders>
                <w:top w:val="single"/>
                <w:left w:val="single"/>
                <w:bottom w:val="single"/>
                <w:right w:val="single"/>
                <w:insideH w:val="single"/>
                <w:insideV w:val="single"/>
              </w:tblBorders>
            </w:tblPr>
            <w:tblGrid>
              <w:gridCol w:w="75"/>
              <w:gridCol w:w="75"/>
              <w:gridCol w:w="75"/>
              <w:gridCol w:w="75"/>
              <w:gridCol w:w="75"/>
              <w:gridCol w:w="75"/>
              <w:gridCol w:w="75"/>
              <w:gridCol w:w="75"/>
              <w:gridCol w:w="75"/>
              <w:gridCol w:w="75"/>
              <w:gridCol w:w="75"/>
            </w:tblGrid>
            <w:tr>
              <w:tc>
                <w:tcPr>
                  <w:tcW w:type="dxa" w:w="75"/>
                </w:tcPr>
                <w:p>
                  <w:pPr>
                    <w:pStyle w:val="null3"/>
                  </w:pPr>
                  <w:r>
                    <w:rPr/>
                    <w:t>牌号</w:t>
                  </w:r>
                </w:p>
              </w:tc>
              <w:tc>
                <w:tcPr>
                  <w:tcW w:type="dxa" w:w="75"/>
                </w:tcPr>
                <w:p>
                  <w:pPr>
                    <w:pStyle w:val="null3"/>
                  </w:pPr>
                  <w:r>
                    <w:rPr/>
                    <w:t>Ni+Co</w:t>
                  </w:r>
                </w:p>
              </w:tc>
              <w:tc>
                <w:tcPr>
                  <w:tcW w:type="dxa" w:w="75"/>
                </w:tcPr>
                <w:p>
                  <w:pPr>
                    <w:pStyle w:val="null3"/>
                  </w:pPr>
                  <w:r>
                    <w:rPr/>
                    <w:t>Cu</w:t>
                  </w:r>
                </w:p>
              </w:tc>
              <w:tc>
                <w:tcPr>
                  <w:tcW w:type="dxa" w:w="75"/>
                </w:tcPr>
                <w:p>
                  <w:pPr>
                    <w:pStyle w:val="null3"/>
                  </w:pPr>
                  <w:r>
                    <w:rPr/>
                    <w:t>Si</w:t>
                  </w:r>
                </w:p>
              </w:tc>
              <w:tc>
                <w:tcPr>
                  <w:tcW w:type="dxa" w:w="75"/>
                </w:tcPr>
                <w:p>
                  <w:pPr>
                    <w:pStyle w:val="null3"/>
                  </w:pPr>
                  <w:r>
                    <w:rPr/>
                    <w:t>Mn</w:t>
                  </w:r>
                </w:p>
              </w:tc>
              <w:tc>
                <w:tcPr>
                  <w:tcW w:type="dxa" w:w="75"/>
                </w:tcPr>
                <w:p>
                  <w:pPr>
                    <w:pStyle w:val="null3"/>
                  </w:pPr>
                  <w:r>
                    <w:rPr/>
                    <w:t>C</w:t>
                  </w:r>
                </w:p>
              </w:tc>
              <w:tc>
                <w:tcPr>
                  <w:tcW w:type="dxa" w:w="75"/>
                </w:tcPr>
                <w:p>
                  <w:pPr>
                    <w:pStyle w:val="null3"/>
                  </w:pPr>
                  <w:r>
                    <w:rPr/>
                    <w:t>Mg</w:t>
                  </w:r>
                </w:p>
              </w:tc>
              <w:tc>
                <w:tcPr>
                  <w:tcW w:type="dxa" w:w="75"/>
                </w:tcPr>
                <w:p>
                  <w:pPr>
                    <w:pStyle w:val="null3"/>
                  </w:pPr>
                  <w:r>
                    <w:rPr/>
                    <w:t>S</w:t>
                  </w:r>
                </w:p>
              </w:tc>
              <w:tc>
                <w:tcPr>
                  <w:tcW w:type="dxa" w:w="75"/>
                </w:tcPr>
                <w:p>
                  <w:pPr>
                    <w:pStyle w:val="null3"/>
                  </w:pPr>
                  <w:r>
                    <w:rPr/>
                    <w:t>P</w:t>
                  </w:r>
                </w:p>
              </w:tc>
              <w:tc>
                <w:tcPr>
                  <w:tcW w:type="dxa" w:w="75"/>
                </w:tcPr>
                <w:p>
                  <w:pPr>
                    <w:pStyle w:val="null3"/>
                  </w:pPr>
                  <w:r>
                    <w:rPr/>
                    <w:t>Fe</w:t>
                  </w:r>
                </w:p>
              </w:tc>
              <w:tc>
                <w:tcPr>
                  <w:tcW w:type="dxa" w:w="75"/>
                </w:tcPr>
                <w:p>
                  <w:pPr>
                    <w:pStyle w:val="null3"/>
                  </w:pPr>
                  <w:r>
                    <w:rPr/>
                    <w:t>杂质</w:t>
                  </w:r>
                </w:p>
                <w:p>
                  <w:pPr>
                    <w:pStyle w:val="null3"/>
                  </w:pPr>
                  <w:r>
                    <w:rPr/>
                    <w:t>总和</w:t>
                  </w:r>
                </w:p>
              </w:tc>
            </w:tr>
            <w:tr>
              <w:tc>
                <w:tcPr>
                  <w:tcW w:type="dxa" w:w="75"/>
                  <w:vMerge w:val="restart"/>
                </w:tcPr>
                <w:p>
                  <w:pPr>
                    <w:pStyle w:val="null3"/>
                  </w:pPr>
                  <w:r>
                    <w:rPr/>
                    <w:t>镍</w:t>
                  </w:r>
                  <w:r>
                    <w:rPr/>
                    <w:t>N6</w:t>
                  </w:r>
                </w:p>
              </w:tc>
              <w:tc>
                <w:tcPr>
                  <w:tcW w:type="dxa" w:w="75"/>
                </w:tcPr>
                <w:p>
                  <w:pPr>
                    <w:pStyle w:val="null3"/>
                  </w:pPr>
                  <w:r>
                    <w:rPr/>
                    <w:t>99.5</w:t>
                  </w:r>
                </w:p>
              </w:tc>
              <w:tc>
                <w:tcPr>
                  <w:tcW w:type="dxa" w:w="75"/>
                </w:tcPr>
                <w:p>
                  <w:pPr>
                    <w:pStyle w:val="null3"/>
                  </w:pPr>
                  <w:r>
                    <w:rPr/>
                    <w:t>－</w:t>
                  </w:r>
                </w:p>
              </w:tc>
              <w:tc>
                <w:tcPr>
                  <w:tcW w:type="dxa" w:w="75"/>
                </w:tcPr>
                <w:p>
                  <w:pPr>
                    <w:pStyle w:val="null3"/>
                  </w:pPr>
                  <w:r>
                    <w:rPr/>
                    <w:t>－</w:t>
                  </w:r>
                </w:p>
              </w:tc>
              <w:tc>
                <w:tcPr>
                  <w:tcW w:type="dxa" w:w="75"/>
                </w:tcPr>
                <w:p>
                  <w:pPr>
                    <w:pStyle w:val="null3"/>
                  </w:pPr>
                  <w:r>
                    <w:rPr/>
                    <w:t>－</w:t>
                  </w:r>
                </w:p>
              </w:tc>
              <w:tc>
                <w:tcPr>
                  <w:tcW w:type="dxa" w:w="75"/>
                </w:tcPr>
                <w:p>
                  <w:pPr>
                    <w:pStyle w:val="null3"/>
                  </w:pPr>
                  <w:r>
                    <w:rPr/>
                    <w:t>－</w:t>
                  </w:r>
                </w:p>
              </w:tc>
              <w:tc>
                <w:tcPr>
                  <w:tcW w:type="dxa" w:w="75"/>
                </w:tcPr>
                <w:p>
                  <w:pPr>
                    <w:pStyle w:val="null3"/>
                  </w:pPr>
                  <w:r>
                    <w:rPr/>
                    <w:t>－</w:t>
                  </w:r>
                </w:p>
              </w:tc>
              <w:tc>
                <w:tcPr>
                  <w:tcW w:type="dxa" w:w="75"/>
                </w:tcPr>
                <w:p>
                  <w:pPr>
                    <w:pStyle w:val="null3"/>
                  </w:pPr>
                  <w:r>
                    <w:rPr/>
                    <w:t>－</w:t>
                  </w:r>
                </w:p>
              </w:tc>
              <w:tc>
                <w:tcPr>
                  <w:tcW w:type="dxa" w:w="75"/>
                </w:tcPr>
                <w:p>
                  <w:pPr>
                    <w:pStyle w:val="null3"/>
                  </w:pPr>
                  <w:r>
                    <w:rPr/>
                    <w:t>－</w:t>
                  </w:r>
                </w:p>
              </w:tc>
              <w:tc>
                <w:tcPr>
                  <w:tcW w:type="dxa" w:w="75"/>
                </w:tcPr>
                <w:p>
                  <w:pPr>
                    <w:pStyle w:val="null3"/>
                  </w:pPr>
                  <w:r>
                    <w:rPr/>
                    <w:t>－</w:t>
                  </w:r>
                </w:p>
              </w:tc>
              <w:tc>
                <w:tcPr>
                  <w:tcW w:type="dxa" w:w="75"/>
                  <w:vMerge w:val="restart"/>
                </w:tcPr>
                <w:p>
                  <w:pPr>
                    <w:pStyle w:val="null3"/>
                  </w:pPr>
                  <w:r>
                    <w:rPr/>
                    <w:t>≤0.5</w:t>
                  </w:r>
                </w:p>
              </w:tc>
            </w:tr>
            <w:tr>
              <w:tc>
                <w:tcPr>
                  <w:tcW w:type="dxa" w:w="75"/>
                  <w:vMerge/>
                </w:tcPr>
                <w:p/>
              </w:tc>
              <w:tc>
                <w:tcPr>
                  <w:tcW w:type="dxa" w:w="75"/>
                </w:tcPr>
                <w:p>
                  <w:pPr>
                    <w:pStyle w:val="null3"/>
                  </w:pPr>
                  <w:r>
                    <w:rPr/>
                    <w:t>100.0</w:t>
                  </w:r>
                </w:p>
              </w:tc>
              <w:tc>
                <w:tcPr>
                  <w:tcW w:type="dxa" w:w="75"/>
                </w:tcPr>
                <w:p>
                  <w:pPr>
                    <w:pStyle w:val="null3"/>
                  </w:pPr>
                  <w:r>
                    <w:rPr/>
                    <w:t>0.06</w:t>
                  </w:r>
                </w:p>
              </w:tc>
              <w:tc>
                <w:tcPr>
                  <w:tcW w:type="dxa" w:w="75"/>
                </w:tcPr>
                <w:p>
                  <w:pPr>
                    <w:pStyle w:val="null3"/>
                  </w:pPr>
                  <w:r>
                    <w:rPr/>
                    <w:t>0.10</w:t>
                  </w:r>
                </w:p>
              </w:tc>
              <w:tc>
                <w:tcPr>
                  <w:tcW w:type="dxa" w:w="75"/>
                </w:tcPr>
                <w:p>
                  <w:pPr>
                    <w:pStyle w:val="null3"/>
                  </w:pPr>
                  <w:r>
                    <w:rPr/>
                    <w:t>0.05</w:t>
                  </w:r>
                </w:p>
              </w:tc>
              <w:tc>
                <w:tcPr>
                  <w:tcW w:type="dxa" w:w="75"/>
                </w:tcPr>
                <w:p>
                  <w:pPr>
                    <w:pStyle w:val="null3"/>
                  </w:pPr>
                  <w:r>
                    <w:rPr/>
                    <w:t>0.10</w:t>
                  </w:r>
                </w:p>
              </w:tc>
              <w:tc>
                <w:tcPr>
                  <w:tcW w:type="dxa" w:w="75"/>
                </w:tcPr>
                <w:p>
                  <w:pPr>
                    <w:pStyle w:val="null3"/>
                  </w:pPr>
                  <w:r>
                    <w:rPr/>
                    <w:t>0.10</w:t>
                  </w:r>
                </w:p>
              </w:tc>
              <w:tc>
                <w:tcPr>
                  <w:tcW w:type="dxa" w:w="75"/>
                </w:tcPr>
                <w:p>
                  <w:pPr>
                    <w:pStyle w:val="null3"/>
                  </w:pPr>
                  <w:r>
                    <w:rPr/>
                    <w:t>0.005</w:t>
                  </w:r>
                </w:p>
              </w:tc>
              <w:tc>
                <w:tcPr>
                  <w:tcW w:type="dxa" w:w="75"/>
                </w:tcPr>
                <w:p>
                  <w:pPr>
                    <w:pStyle w:val="null3"/>
                  </w:pPr>
                  <w:r>
                    <w:rPr/>
                    <w:t>0.002</w:t>
                  </w:r>
                </w:p>
              </w:tc>
              <w:tc>
                <w:tcPr>
                  <w:tcW w:type="dxa" w:w="75"/>
                </w:tcPr>
                <w:p>
                  <w:pPr>
                    <w:pStyle w:val="null3"/>
                  </w:pPr>
                  <w:r>
                    <w:rPr/>
                    <w:t>0.10</w:t>
                  </w:r>
                </w:p>
              </w:tc>
              <w:tc>
                <w:tcPr>
                  <w:tcW w:type="dxa" w:w="75"/>
                  <w:vMerge/>
                </w:tcPr>
                <w:p/>
              </w:tc>
            </w:tr>
          </w:tbl>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带材表面应光滑、清洁</w:t>
            </w:r>
            <w:r>
              <w:rPr/>
              <w:t>，</w:t>
            </w:r>
            <w:r>
              <w:rPr/>
              <w:t>不应有裂纹、气泡、起皮、起刺、分层、压折、绿锈和夹杂等缺陷。</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表面粗糙度</w:t>
            </w:r>
          </w:p>
        </w:tc>
        <w:tc>
          <w:tcPr>
            <w:tcW w:type="dxa" w:w="1038"/>
          </w:tcPr>
          <w:p/>
        </w:tc>
        <w:tc>
          <w:tcPr>
            <w:tcW w:type="dxa" w:w="1038"/>
          </w:tcPr>
          <w:p>
            <w:pPr>
              <w:pStyle w:val="null3"/>
            </w:pPr>
            <w:r>
              <w:rPr/>
              <w:t>带材表面粗糙度</w:t>
            </w:r>
            <w:r>
              <w:rPr/>
              <w:t>Ra</w:t>
            </w:r>
            <w:r>
              <w:rPr/>
              <w:t>≤</w:t>
            </w:r>
            <w:r>
              <w:rPr/>
              <w:t xml:space="preserve">0.4 </w:t>
            </w:r>
            <w:r>
              <w:rPr/>
              <w:t>μ</w:t>
            </w:r>
            <w:r>
              <w:rPr/>
              <w:t>m</w:t>
            </w:r>
            <w:r>
              <w:rPr/>
              <w:t>。</w:t>
            </w:r>
          </w:p>
        </w:tc>
        <w:tc>
          <w:tcPr>
            <w:tcW w:type="dxa" w:w="1038"/>
          </w:tcPr>
          <w:p>
            <w:pPr>
              <w:pStyle w:val="null3"/>
            </w:pPr>
            <w:r>
              <w:rPr/>
              <w:t>否</w:t>
            </w:r>
          </w:p>
        </w:tc>
        <w:tc>
          <w:tcPr>
            <w:tcW w:type="dxa" w:w="1038"/>
          </w:tcPr>
          <w:p/>
        </w:tc>
      </w:tr>
    </w:tbl>
    <w:p>
      <w:pPr>
        <w:pStyle w:val="null3"/>
        <w:jc w:val="both"/>
      </w:pPr>
      <w:r>
        <w:rPr/>
        <w:t>本商务要求共有“★”指标10个，”#”指标0个，“▲”指标0个。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试制带材费用结算规定</w:t>
            </w:r>
          </w:p>
        </w:tc>
        <w:tc>
          <w:tcPr>
            <w:tcW w:type="dxa" w:w="1038"/>
          </w:tcPr>
          <w:p/>
        </w:tc>
        <w:tc>
          <w:tcPr>
            <w:tcW w:type="dxa" w:w="1038"/>
          </w:tcPr>
          <w:p>
            <w:pPr>
              <w:pStyle w:val="null3"/>
            </w:pPr>
            <w:r>
              <w:rPr/>
              <w:t>合同签订后，中标人需要进行试制带材质量验证，如中标人通过试制带材质量验证，采购人按合同价格支付中标人到货带材试制费用，包括镍带费用、白铜带采购费用和白铜复合镍带加工费用。同时中标人负责将白铜复合镍带加工产生的废品和边废料全部返给采购人，运费由中标人承担。</w:t>
            </w:r>
            <w:r>
              <w:br/>
            </w:r>
            <w:r>
              <w:rPr/>
              <w:t xml:space="preserve"> 如中标人未通过试制带材质量验证，采购人对试制到货的带材及质量验证产生的边料、废品进行退货处理，要求中标人负责进行熔化销毁处理，采购人与中标人解除合同，试制带材的各种费用由中标人承担。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交货地点</w:t>
            </w:r>
          </w:p>
        </w:tc>
        <w:tc>
          <w:tcPr>
            <w:tcW w:type="dxa" w:w="1038"/>
          </w:tcPr>
          <w:p/>
        </w:tc>
        <w:tc>
          <w:tcPr>
            <w:tcW w:type="dxa" w:w="1038"/>
          </w:tcPr>
          <w:p>
            <w:pPr>
              <w:pStyle w:val="null3"/>
            </w:pPr>
            <w:r>
              <w:rPr/>
              <w:t>沈阳造币有限公司指定的白铜复合镍带加工生产厂家。</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造币用镍带运输保险由采购人承担。</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试制带材质量验证管理办法</w:t>
            </w:r>
          </w:p>
        </w:tc>
        <w:tc>
          <w:tcPr>
            <w:tcW w:type="dxa" w:w="1038"/>
          </w:tcPr>
          <w:p/>
        </w:tc>
        <w:tc>
          <w:tcPr>
            <w:tcW w:type="dxa" w:w="1038"/>
          </w:tcPr>
          <w:p>
            <w:pPr>
              <w:pStyle w:val="null3"/>
            </w:pPr>
            <w:r>
              <w:rPr/>
              <w:t>镍带试制带材质量验证管理办法如下：</w:t>
            </w:r>
          </w:p>
          <w:p>
            <w:pPr>
              <w:pStyle w:val="null3"/>
            </w:pPr>
            <w:r>
              <w:rPr/>
              <w:t>1. 试制数量</w:t>
            </w:r>
          </w:p>
          <w:p>
            <w:pPr>
              <w:pStyle w:val="null3"/>
            </w:pPr>
            <w:r>
              <w:rPr/>
              <w:t>1.1  带材质量验证阶段分为两个阶段，第一阶段为小批量试制（验证镍带数量小于1.6吨）。</w:t>
            </w:r>
          </w:p>
          <w:p>
            <w:pPr>
              <w:pStyle w:val="null3"/>
            </w:pPr>
            <w:r>
              <w:rPr/>
              <w:t>1.2 第二阶段为放量试制（验证带材数量小于4.5吨）。</w:t>
            </w:r>
          </w:p>
          <w:p>
            <w:pPr>
              <w:pStyle w:val="null3"/>
            </w:pPr>
            <w:r>
              <w:rPr/>
              <w:t>1.3 配合镍带使用企业调查分析质量验证阶段出现质量问题的原因及提供详实可靠的整改方案。</w:t>
            </w:r>
          </w:p>
          <w:p>
            <w:pPr>
              <w:pStyle w:val="null3"/>
            </w:pPr>
            <w:r>
              <w:rPr/>
              <w:t>1.4 要求镍带供应商负责从招标人白铜带供应商中选择一家采购与镍带复合数量相匹配的白铜带。</w:t>
            </w:r>
          </w:p>
          <w:p>
            <w:pPr>
              <w:pStyle w:val="null3"/>
            </w:pPr>
            <w:r>
              <w:rPr/>
              <w:t>1.5 要求镍带供应商负责从招标人白铜复合镍带加工供应商中选择一家进行白铜复合镍带加工。</w:t>
            </w:r>
          </w:p>
          <w:p>
            <w:pPr>
              <w:pStyle w:val="null3"/>
            </w:pPr>
            <w:r>
              <w:rPr/>
              <w:t>2. 质量验证要求及判定规则</w:t>
            </w:r>
          </w:p>
          <w:p>
            <w:pPr>
              <w:pStyle w:val="null3"/>
            </w:pPr>
            <w:r>
              <w:rPr/>
              <w:t>供应商试制带材在第一阶段质量验证中未出现质量问题，方可以进行第二阶段验证。第一阶段和第二阶段均未发现带材质量问题，则验证通过。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供应商将镍带和白铜带材运至复合厂家后，复合厂家根据《镍带供货技术要求》对每一卷镍带进行化学成分和性能测试，对每一卷镍带进行厚度、毛刺、表面质量检查，检验合格后方可投入使用，并将不符合要求的镍带退回给生产厂家,同时判定质量验证是否通过。</w:t>
            </w:r>
          </w:p>
          <w:p>
            <w:pPr>
              <w:pStyle w:val="null3"/>
            </w:pPr>
            <w:r>
              <w:rPr/>
              <w:t>3.2 供应商带材入厂检验合格后，复合厂家按照生产工艺规程进行生产加工至成品（复合带成品率不低于71%），加工过程中重点检验表面缺陷，如起皮、气泡、分层。发现表面缺陷后及时对缺陷进行分析，判断是否为原料带材（镍带）质量问题,同时判定质量验证是否通过。</w:t>
            </w:r>
          </w:p>
          <w:p>
            <w:pPr>
              <w:pStyle w:val="null3"/>
            </w:pPr>
            <w:r>
              <w:rPr/>
              <w:t>3.3 复合供应商负责根据上述第3.1、3.2条的要求进行试制带材的质量验证，并给采购人提供验证情况说明，并要求盖章。</w:t>
            </w:r>
          </w:p>
          <w:p>
            <w:pPr>
              <w:pStyle w:val="null3"/>
            </w:pPr>
            <w:r>
              <w:rPr/>
              <w:t>3.4带材加工至成品后，按照白铜复合镍带的标准要求，对每一卷白铜复合镍带带材取样测试性能，性能合格后，成品带材逐卷进行检验、包装、入库，作出特别标识以便发至采购人进行后续加工验证。</w:t>
            </w:r>
          </w:p>
          <w:p>
            <w:pPr>
              <w:pStyle w:val="null3"/>
            </w:pPr>
            <w:r>
              <w:rPr/>
              <w:t>由于供应商试制的镍带需进行白铜复合镍带加工，因此要求中标人采购白铜带材进行镍带质量验证。要求中标人从采购人白铜带材和白铜复合镍带加工供应商中分别选择白铜带材和白铜复合镍带加工供应商，并按白铜复合镍带加工供应商的要求采购与镍带数量匹配的白铜带材。</w:t>
            </w:r>
          </w:p>
          <w:p>
            <w:pPr>
              <w:pStyle w:val="null3"/>
            </w:pPr>
            <w:r>
              <w:rPr/>
              <w:t>中标人负责将试制的镍带和采购的白铜带同时发给选中的白铜复合镍带加工供应商进行白铜复合镍带加工，加工后中标人负责将白铜复合镍带带材运到采购人仓库。</w:t>
            </w:r>
          </w:p>
          <w:p>
            <w:pPr>
              <w:pStyle w:val="null3"/>
            </w:pPr>
          </w:p>
        </w:tc>
        <w:tc>
          <w:tcPr>
            <w:tcW w:type="dxa" w:w="1038"/>
          </w:tcPr>
          <w:p>
            <w:pPr>
              <w:pStyle w:val="null3"/>
            </w:pPr>
            <w:r>
              <w:rPr/>
              <w:t>否</w:t>
            </w:r>
          </w:p>
        </w:tc>
        <w:tc>
          <w:tcPr>
            <w:tcW w:type="dxa" w:w="1038"/>
          </w:tcP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合同签订生效之日起两年（或采购数量、采购金额达到限额，以先到者为准）。</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镍带验收标准</w:t>
            </w:r>
          </w:p>
        </w:tc>
        <w:tc>
          <w:tcPr>
            <w:tcW w:type="dxa" w:w="1038"/>
          </w:tcPr>
          <w:p/>
        </w:tc>
        <w:tc>
          <w:tcPr>
            <w:tcW w:type="dxa" w:w="1038"/>
          </w:tcPr>
          <w:p>
            <w:pPr>
              <w:pStyle w:val="null3"/>
            </w:pPr>
            <w:r>
              <w:rPr/>
              <w:t>1、采购人按照合同约定的履约验收方案进行验收，具体履约验收方案如下：</w:t>
            </w:r>
            <w:r>
              <w:br/>
            </w:r>
            <w:r>
              <w:rPr/>
              <w:t xml:space="preserve"> （1）验收主体</w:t>
            </w:r>
            <w:r>
              <w:br/>
            </w:r>
            <w:r>
              <w:rPr/>
              <w:t xml:space="preserve"> 采购人（需求部门） 沈阳造币有限公司物资管理部  </w:t>
            </w:r>
            <w:r>
              <w:br/>
            </w:r>
            <w:r>
              <w:rPr/>
              <w:t xml:space="preserve"> 采购人（需求部门）拟邀请（□本项目供应商 □第三方专业机构  □专家   □服务对象  ☑白铜复合镍带加工供应商）</w:t>
            </w:r>
            <w:r>
              <w:br/>
            </w:r>
            <w:r>
              <w:rPr/>
              <w:t xml:space="preserve"> （2）验收时间</w:t>
            </w:r>
            <w:r>
              <w:br/>
            </w:r>
            <w:r>
              <w:rPr/>
              <w:t xml:space="preserve"> 现场验收时间：自每批次货物到货后15个日历日内完成；</w:t>
            </w:r>
            <w:r>
              <w:br/>
            </w:r>
            <w:r>
              <w:rPr/>
              <w:t xml:space="preserve"> 理化指标复检验收时间：自每批次货物现场验收完成后15个日历日内完成；</w:t>
            </w:r>
            <w:r>
              <w:br/>
            </w:r>
            <w:r>
              <w:rPr/>
              <w:t xml:space="preserve"> 使用验收时间：自每批次货物使用完后10个日历日内完成。</w:t>
            </w:r>
            <w:r>
              <w:br/>
            </w:r>
            <w:r>
              <w:rPr/>
              <w:t xml:space="preserve"> （3）验收方式</w:t>
            </w:r>
            <w:r>
              <w:br/>
            </w:r>
            <w:r>
              <w:rPr/>
              <w:t xml:space="preserve"> 现场验收：交货时间的及时性和交货地点的准确性；品名、规格、数量、外观、包装、质保期、质检报告等客观验收。</w:t>
            </w:r>
            <w:r>
              <w:br/>
            </w:r>
            <w:r>
              <w:rPr/>
              <w:t xml:space="preserve"> 理化指标复检：各项理化指标复检验收。</w:t>
            </w:r>
            <w:r>
              <w:br/>
            </w:r>
            <w:r>
              <w:rPr/>
              <w:t xml:space="preserve"> 使用验收：使用过程中质量反馈。</w:t>
            </w:r>
            <w:r>
              <w:br/>
            </w:r>
            <w:r>
              <w:rPr/>
              <w:t xml:space="preserve"> （4）验收程序</w:t>
            </w:r>
            <w:r>
              <w:br/>
            </w:r>
            <w:r>
              <w:rPr/>
              <w:t xml:space="preserve"> 1.组批</w:t>
            </w:r>
            <w:r>
              <w:br/>
            </w:r>
            <w:r>
              <w:rPr/>
              <w:t xml:space="preserve"> 每批带材应由同一熔炼号、状态和规格的带卷组成。</w:t>
            </w:r>
            <w:r>
              <w:br/>
            </w:r>
            <w:r>
              <w:rPr/>
              <w:t xml:space="preserve"> 2.检验项目</w:t>
            </w:r>
            <w:r>
              <w:br/>
            </w:r>
            <w:r>
              <w:rPr/>
              <w:t xml:space="preserve"> ——每批带材厂家需按批提供化学成分、硬度、厚度、内径、宽度、抗拉强度、表面质量、表面粗糙度、带材不平度、侧弯及带卷塔形度等项目检测报告，每批次一个报告。</w:t>
            </w:r>
            <w:r>
              <w:br/>
            </w:r>
            <w:r>
              <w:rPr/>
              <w:t xml:space="preserve"> ——每批带材入白铜复合镍带加工厂家应进行化学成分、硬度、厚度、内径、宽度、表面质量的检验；带材重量、抗拉强度、不平度、侧弯及带卷塔形度由厂家保证，必要时检测。</w:t>
            </w:r>
            <w:r>
              <w:br/>
            </w:r>
            <w:r>
              <w:rPr/>
              <w:t xml:space="preserve"> 3.取样及判定标准</w:t>
            </w:r>
            <w:r>
              <w:br/>
            </w:r>
            <w:r>
              <w:rPr/>
              <w:t xml:space="preserve"> ——复合厂家每批带材首先确认镍带厂家质量检测报告，确认合格后方可接收并进行检测。</w:t>
            </w:r>
            <w:r>
              <w:br/>
            </w:r>
            <w:r>
              <w:rPr/>
              <w:t xml:space="preserve"> ——在带材头部取样，取样大小延长度方向不小于150mm或以供货单位预留位置为准。</w:t>
            </w:r>
            <w:r>
              <w:br/>
            </w:r>
            <w:r>
              <w:rPr/>
              <w:t xml:space="preserve"> ——每批带材任选一卷取一个试样，进行化学成分（主要进行Cu、Ni、Fe、Pb、P、Sb、Bi成分分析，必要时进行其他成分的分析）检验。若所取的试样的化学成分合格，视该批带材为合格品；若所取的试样化学成分不合格，进行重复验证。</w:t>
            </w:r>
            <w:r>
              <w:br/>
            </w:r>
            <w:r>
              <w:rPr/>
              <w:t xml:space="preserve"> ——每批带材任选一卷，取一个试样进行硬度检验。若所取的试样硬度合格，视该批带材为合格品；否则进行重复验证。</w:t>
            </w:r>
            <w:r>
              <w:br/>
            </w:r>
            <w:r>
              <w:rPr/>
              <w:t xml:space="preserve"> ——每批带材中任取一卷进行带材厚度、内径、宽度、表面质量和表面粗糙度检验，若不符合此标准的相关规定，则视该批带材为不合格。</w:t>
            </w:r>
            <w:r>
              <w:br/>
            </w:r>
            <w:r>
              <w:rPr/>
              <w:t xml:space="preserve"> ——根据产品报告确认带材抗拉强度、不平度、侧弯及带卷塔形度指标。</w:t>
            </w:r>
            <w:r>
              <w:br/>
            </w:r>
            <w:r>
              <w:rPr/>
              <w:t xml:space="preserve"> ——每卷带材复验带材毛重，按实际重量验收。</w:t>
            </w:r>
            <w:r>
              <w:br/>
            </w:r>
            <w:r>
              <w:rPr/>
              <w:t xml:space="preserve"> 4.重复验证</w:t>
            </w:r>
            <w:r>
              <w:br/>
            </w:r>
            <w:r>
              <w:rPr/>
              <w:t xml:space="preserve"> ——检测结果若有一个试样结果不合格，从该批中再取双倍试样进行复验，复验中若有一个试样不合格，则整批判废。</w:t>
            </w:r>
            <w:r>
              <w:br/>
            </w:r>
            <w:r>
              <w:rPr/>
              <w:t xml:space="preserve"> （5）验收内容</w:t>
            </w:r>
            <w:r>
              <w:br/>
            </w:r>
            <w:r>
              <w:rPr/>
              <w:t xml:space="preserve"> 1.交货时间的及时性和交货地点的准确性。</w:t>
            </w:r>
            <w:r>
              <w:br/>
            </w:r>
            <w:r>
              <w:rPr/>
              <w:t xml:space="preserve"> 2.交货名称、规格、数量、质保期。</w:t>
            </w:r>
            <w:r>
              <w:br/>
            </w:r>
            <w:r>
              <w:rPr/>
              <w:t xml:space="preserve"> 3.包装符合要求，货物无损，标识内容完整。</w:t>
            </w:r>
            <w:r>
              <w:br/>
            </w:r>
            <w:r>
              <w:rPr/>
              <w:t xml:space="preserve"> 4.厂家质检报告或合格证。</w:t>
            </w:r>
            <w:r>
              <w:br/>
            </w:r>
            <w:r>
              <w:rPr/>
              <w:t xml:space="preserve"> 5.理化指标检验。</w:t>
            </w:r>
            <w:r>
              <w:br/>
            </w:r>
            <w:r>
              <w:rPr/>
              <w:t xml:space="preserve"> 6.使用验收。</w:t>
            </w:r>
            <w:r>
              <w:br/>
            </w:r>
            <w:r>
              <w:rPr/>
              <w:t xml:space="preserve"> （6）验收标准</w:t>
            </w:r>
            <w:r>
              <w:br/>
            </w:r>
            <w:r>
              <w:rPr/>
              <w:t xml:space="preserve"> 交货时间：自下达订单之日起30个日历日内开始分批交货。</w:t>
            </w:r>
            <w:r>
              <w:br/>
            </w:r>
            <w:r>
              <w:rPr/>
              <w:t xml:space="preserve"> 交货地点：沈阳造币有限公司指定的白铜复合镍带加工厂家。</w:t>
            </w:r>
            <w:r>
              <w:br/>
            </w:r>
            <w:r>
              <w:rPr/>
              <w:t xml:space="preserve"> 现场验收：交货时间的及时性和交货地点的准确性；品名、规格、数量是否与订单要求相符，货物是否完好，包装方式是否符合要求，质保期是否在规定期限内，厂方质检报告是否与合同约定一致。</w:t>
            </w:r>
            <w:r>
              <w:br/>
            </w:r>
            <w:r>
              <w:rPr/>
              <w:t xml:space="preserve"> 理化指标复检验收：理化指标复检是否与合同约定一致。</w:t>
            </w:r>
            <w:r>
              <w:br/>
            </w:r>
            <w:r>
              <w:rPr/>
              <w:t xml:space="preserve"> 使用验收：使用过程中是否有质量问题反馈。</w:t>
            </w:r>
            <w:r>
              <w:br/>
            </w:r>
            <w:r>
              <w:rPr/>
              <w:t xml:space="preserve"> 2.每批送货时中标人必须提供出厂产品质量检验报告，检查合格后采购人方可收货；</w:t>
            </w:r>
            <w:r>
              <w:br/>
            </w:r>
            <w:r>
              <w:rPr/>
              <w:t xml:space="preserve"> 3.若验收时发现货物存在质量问题或其他缺陷的，则该货物视为不合格产品，中标人应当负责将该货物运回并调换或者退货，并承担调换或者退货所产生的费用；</w:t>
            </w:r>
            <w:r>
              <w:br/>
            </w:r>
            <w:r>
              <w:rPr/>
              <w:t xml:space="preserve"> 4.镍带重量的称差标准为千分之二，千分之二以内以发货方为准，超过千分之二以采购人现场称重为准；</w:t>
            </w:r>
          </w:p>
          <w:p>
            <w:pPr>
              <w:pStyle w:val="null3"/>
            </w:pPr>
            <w:r>
              <w:rPr/>
              <w:t>5.中标人必须严格执行合同到货数量要求，镍带实际到货总数量不允许超过采购人下达全部订单的采购总数量。</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包装和运输</w:t>
            </w:r>
          </w:p>
        </w:tc>
        <w:tc>
          <w:tcPr>
            <w:tcW w:type="dxa" w:w="1038"/>
          </w:tcPr>
          <w:p/>
        </w:tc>
        <w:tc>
          <w:tcPr>
            <w:tcW w:type="dxa" w:w="1038"/>
          </w:tcPr>
          <w:p>
            <w:pPr>
              <w:pStyle w:val="null3"/>
            </w:pPr>
            <w:r>
              <w:rPr/>
              <w:t>1.镍带的包装均应附有标识卡，其上需注明规格、状态、重量、批号、卷号、生产日期。不允许在卷内外表面粘贴标签，可在包装件的外部粘贴标签，应保证标识的可追溯性；</w:t>
            </w:r>
          </w:p>
          <w:p>
            <w:pPr>
              <w:pStyle w:val="null3"/>
            </w:pPr>
            <w:r>
              <w:rPr/>
              <w:t>2.按实际需求分批次供货；</w:t>
            </w:r>
          </w:p>
          <w:p>
            <w:pPr>
              <w:pStyle w:val="null3"/>
            </w:pPr>
            <w:r>
              <w:rPr/>
              <w:t>3.中标人运输时采取适当的防护和隔离措施，应防止碰伤、受潮和腐蚀，货物在运输中出现损毁、丢失等风险由中标人承担。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售后服务标准</w:t>
            </w:r>
          </w:p>
        </w:tc>
        <w:tc>
          <w:tcPr>
            <w:tcW w:type="dxa" w:w="1038"/>
          </w:tcPr>
          <w:p/>
        </w:tc>
        <w:tc>
          <w:tcPr>
            <w:tcW w:type="dxa" w:w="1038"/>
          </w:tcPr>
          <w:p>
            <w:pPr>
              <w:pStyle w:val="null3"/>
            </w:pPr>
            <w:r>
              <w:rPr/>
              <w:t>在质量保修期内，</w:t>
            </w:r>
            <w:r>
              <w:rPr/>
              <w:t>货物在使用过程中如出现质量问题或者不能达到使用要求</w:t>
            </w:r>
            <w:r>
              <w:rPr/>
              <w:t>，</w:t>
            </w:r>
            <w:r>
              <w:rPr/>
              <w:t>中标人</w:t>
            </w:r>
            <w:r>
              <w:rPr/>
              <w:t>应</w:t>
            </w:r>
            <w:r>
              <w:rPr/>
              <w:t>及时</w:t>
            </w:r>
            <w:r>
              <w:rPr/>
              <w:t>免费到</w:t>
            </w:r>
            <w:r>
              <w:rPr/>
              <w:t>采购人</w:t>
            </w:r>
            <w:r>
              <w:rPr/>
              <w:t>指定地点</w:t>
            </w:r>
            <w:r>
              <w:rPr/>
              <w:t>更换</w:t>
            </w:r>
            <w:r>
              <w:rPr/>
              <w:t>，一切费用由</w:t>
            </w:r>
            <w:r>
              <w:rPr/>
              <w:t>中标人</w:t>
            </w:r>
            <w:r>
              <w:rPr/>
              <w:t>承担。</w:t>
            </w:r>
          </w:p>
          <w:p>
            <w:pPr>
              <w:pStyle w:val="null3"/>
            </w:pPr>
            <w:r>
              <w:rPr/>
              <w:t>在质量保修期内，</w:t>
            </w:r>
            <w:r>
              <w:rPr/>
              <w:t>2小时内电话响应，48小时内上门服务。</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订单款</w:t>
            </w:r>
          </w:p>
        </w:tc>
        <w:tc>
          <w:tcPr>
            <w:tcW w:type="dxa" w:w="1384"/>
          </w:tcPr>
          <w:p>
            <w:pPr>
              <w:pStyle w:val="null3"/>
              <w:jc w:val="left"/>
            </w:pPr>
            <w:r>
              <w:rPr/>
              <w:t>中标人按要求发货到采购人指定白铜复合镍带加工厂家后，经过白铜复合镍带加工厂家检验合格并开具接收函后，中标人开具税率为 %的全额增值税专用发票，采购人在收到发票及接收函后10个工作日内给中标人支付全额货款（含运费）。</w:t>
            </w:r>
          </w:p>
        </w:tc>
        <w:tc>
          <w:tcPr>
            <w:tcW w:type="dxa" w:w="1384"/>
          </w:tcPr>
          <w:p>
            <w:pPr>
              <w:pStyle w:val="null3"/>
              <w:jc w:val="left"/>
            </w:pPr>
            <w:r>
              <w:rPr/>
              <w:t>100.00</w:t>
            </w:r>
            <w:r>
              <w:rPr/>
              <w:t>%</w:t>
            </w:r>
          </w:p>
        </w:tc>
        <w:tc>
          <w:tcPr>
            <w:tcW w:type="dxa" w:w="1384"/>
          </w:tcPr>
          <w:p>
            <w:pPr>
              <w:pStyle w:val="null3"/>
              <w:jc w:val="left"/>
            </w:pPr>
            <w:r>
              <w:rPr/>
              <w:t>银行转账</w:t>
            </w:r>
          </w:p>
        </w:tc>
        <w:tc>
          <w:tcPr>
            <w:tcW w:type="dxa" w:w="1384"/>
          </w:tcPr>
          <w:p>
            <w:pPr>
              <w:pStyle w:val="null3"/>
              <w:jc w:val="left"/>
            </w:pPr>
            <w:r>
              <w:rPr/>
              <w:t>带材分批到货后支付当批次带材货款（含运费）。</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 xml:space="preserve"> 现场验收时间：自每批次货物到货后15个日历日内完成； 理化指标复检验收时间：自每批次货物现场验收完成后15个日历日内完成； 使用验收时间：自每批次货物使用完后10个日历日内完成。</w:t>
      </w:r>
    </w:p>
    <w:p>
      <w:pPr>
        <w:pStyle w:val="null3"/>
      </w:pPr>
      <w:r>
        <w:rPr/>
        <w:t>（3）验收方式</w:t>
      </w:r>
      <w:r>
        <w:rPr>
          <w:u w:val="single"/>
        </w:rPr>
        <w:t>分阶段验收</w:t>
      </w:r>
    </w:p>
    <w:p>
      <w:pPr>
        <w:pStyle w:val="null3"/>
      </w:pPr>
      <w:r>
        <w:rPr/>
        <w:t>（4）验收程序</w:t>
      </w:r>
      <w:r>
        <w:rPr>
          <w:u w:val="single"/>
        </w:rPr>
        <w:t>1.组批 每批带材应由同一熔炼号、状态和规格的带卷组成。 2.检验项目 ——每批带材厂家需按批提供化学成分、硬度、厚度、内径、宽度、抗拉强度、表面质量、表面粗糙度、带材不平度、侧弯及带卷塔形度等项目检测报告，每批次一个报告。 ——每批带材入复合厂家应进行化学成分、硬度、厚度、内径、宽度、表面质量的检验；带材重量、抗拉强度、不平度、侧弯及带卷塔形度由厂家保证，必要时检测。 3.取样及判定标准 ——在带材头部取样，取样大小延长度方向不小于150mm或以供货单位预留位置为准。 ——每批带材任选一卷取一个试样，进行化学成分（主要进行Cu、Ni、Fe、Pb、P、Sb、Bi成分分析，必要时进行其他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——每批带材中任取一卷进行带材厚度、内径、宽度、表面质量和表面粗糙度检验，若不符合此标准的相关规定，则视该批带材为不合格。 ——根据产品报告确认带材抗拉强度、不平度、侧弯及带卷塔形度指标。 ——每卷带材复验带材毛重，按实际重量验收。 4.重复验证 ——检测结果若有一个试样结果不合格，从该批中再取双倍试样进行复验，复验中若有一个试样不合格，则整批判废。</w:t>
      </w:r>
    </w:p>
    <w:p>
      <w:pPr>
        <w:pStyle w:val="null3"/>
      </w:pPr>
      <w:r>
        <w:rPr/>
        <w:t>（5）验收内容</w:t>
      </w:r>
      <w:r>
        <w:rPr>
          <w:u w:val="single"/>
        </w:rPr>
        <w:t>1.交货时间的及时性和交货地点的准确性。 2.交货名称、规格、数量、保质期。 3.包装符合要求，货物无损，标识内容完整。 4.厂家质检报告或合格证。 5.理化指标检验。 6.使用效果验收。</w:t>
      </w:r>
    </w:p>
    <w:p>
      <w:pPr>
        <w:pStyle w:val="null3"/>
      </w:pPr>
      <w:r>
        <w:rPr/>
        <w:t>（6）验收标准</w:t>
      </w:r>
      <w:r>
        <w:rPr>
          <w:u w:val="single"/>
        </w:rPr>
        <w:t>交货时间：自下达订单之日起30个日历日内开始分批交货。 交货地点：沈阳造币有限公司指定的白铜复合镍带加工厂家。 现场验收：交货时间的及时性和交货地点的准确性；品名、规格、数量是否与订单要求相符，货物是否完好，包装方式是否符合要求，厂方质检报告是否与合同约定一致。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rFonts w:ascii="黑体" w:hAnsi="黑体" w:cs="黑体" w:eastAsia="黑体"/>
          <w:sz w:val="28"/>
        </w:rPr>
        <w:t>包1.报价要求</w:t>
      </w:r>
    </w:p>
    <w:tbl>
      <w:tblPr>
        <w:tblW w:w="0" w:type="auto"/>
        <w:tblBorders>
          <w:top w:val="none" w:color="000000" w:sz="4"/>
          <w:left w:val="none" w:color="000000" w:sz="4"/>
          <w:bottom w:val="none" w:color="000000" w:sz="4"/>
          <w:right w:val="none" w:color="000000" w:sz="4"/>
          <w:insideH w:val="none"/>
          <w:insideV w:val="none"/>
        </w:tblBorders>
      </w:tblPr>
      <w:tblGrid>
        <w:gridCol w:w="597"/>
        <w:gridCol w:w="950"/>
        <w:gridCol w:w="6745"/>
      </w:tblGrid>
      <w:tr>
        <w:tc>
          <w:tcPr>
            <w:tcW w:type="dxa" w:w="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6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6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投标人投标时需在《投标报价明细单》中分别报出造币用镍带加工费单价、同城运费单价、异地运费单价；同时需要算出本项目造币用镍带采购总价及运费总价，按权重计算后作为投标报价。</w:t>
            </w:r>
          </w:p>
          <w:p>
            <w:pPr>
              <w:pStyle w:val="null3"/>
            </w:pPr>
            <w:r>
              <w:rPr>
                <w:rFonts w:ascii="宋体" w:hAnsi="宋体" w:cs="宋体" w:eastAsia="宋体"/>
                <w:sz w:val="21"/>
              </w:rPr>
              <w:t>投标报价</w:t>
            </w:r>
            <w:r>
              <w:rPr>
                <w:rFonts w:ascii="宋体" w:hAnsi="宋体" w:cs="宋体" w:eastAsia="宋体"/>
                <w:sz w:val="21"/>
              </w:rPr>
              <w:t>=造币用镍带采购总价*0.95+造币用镍带运费总价*0.05</w:t>
            </w:r>
          </w:p>
          <w:p>
            <w:pPr>
              <w:pStyle w:val="null3"/>
              <w:jc w:val="left"/>
            </w:pPr>
            <w:r>
              <w:rPr>
                <w:rFonts w:ascii="宋体" w:hAnsi="宋体" w:cs="宋体" w:eastAsia="宋体"/>
                <w:sz w:val="21"/>
              </w:rPr>
              <w:t>在分项报价表中，规格型号、品牌、产地、制造商名称、单价为必填项，不允许填写</w:t>
            </w:r>
            <w:r>
              <w:rPr>
                <w:rFonts w:ascii="宋体" w:hAnsi="宋体" w:cs="宋体" w:eastAsia="宋体"/>
                <w:sz w:val="21"/>
              </w:rPr>
              <w:t>“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6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造币用镍带加工费最高限价为</w:t>
            </w:r>
            <w:r>
              <w:rPr>
                <w:rFonts w:ascii="宋体" w:hAnsi="宋体" w:cs="宋体" w:eastAsia="宋体"/>
                <w:sz w:val="21"/>
              </w:rPr>
              <w:t>41000元/吨（含税），同城运费最高限价为41元/吨、异地运费最高限价为0.31元/吨公里。以上价格均含税。</w:t>
            </w:r>
          </w:p>
          <w:p>
            <w:pPr>
              <w:pStyle w:val="null3"/>
              <w:jc w:val="left"/>
            </w:pPr>
            <w:r>
              <w:rPr>
                <w:rFonts w:ascii="宋体" w:hAnsi="宋体" w:cs="宋体" w:eastAsia="宋体"/>
                <w:sz w:val="21"/>
              </w:rPr>
              <w:t>投标人的造币用镍带加工费（含税）报价不能高于采购人设置的最高限价，同城运费与异地运费均不得高于采购人设置的最高限价。否则，将作为废标处理。</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6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1）投标人可以同时参与包1、包2两个包件的投标，可以兼投但不能兼中。每个投标人可同时参与所有包件投标，但仅能中标1个包件。评标委员会按照包件1、包件2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3家、开标后通过资格评审不足3家、评标时通过符合性审查不足3家等情形，该包件作废标处理。如出现包件流标时，采购人可以根据实际情况选择是否对流标包件重新进行招标。</w:t>
            </w:r>
            <w:r>
              <w:br/>
            </w:r>
            <w:r>
              <w:rPr>
                <w:rFonts w:ascii="&quot;times new roman&quot;" w:hAnsi="&quot;times new roman&quot;" w:cs="&quot;times new roman&quot;" w:eastAsia="&quot;times new roman&quot;"/>
                <w:sz w:val="19"/>
              </w:rPr>
              <w:t xml:space="preserve"> （2）如同一包件有两家或两家以上有效投标人投标报价相同且最低，则由评标委员会现场抽签确定中标候选人顺序。</w:t>
            </w:r>
            <w:r>
              <w:br/>
            </w:r>
            <w:r>
              <w:rPr>
                <w:rFonts w:ascii="&quot;times new roman&quot;" w:hAnsi="&quot;times new roman&quot;" w:cs="&quot;times new roman&quot;" w:eastAsia="&quot;times new roman&quot;"/>
                <w:sz w:val="19"/>
              </w:rPr>
              <w:t xml:space="preserve"> （3）2个包件的合同同时履行，如2个包件的供应商同时具备正式供货资格，采购人在下达每批采购订单时，按照2个包件采购总量的比例关系向2个包件的供应商下达采购订单；如有供应商未完成带材试制质量验证，则在该供应商具备正式供货资格之前，采购人向具备正式供货资格包件的供应商下达采购订单；当具备供货资格的供应商无法执行当批次订单时，无法执行的订单将分配给其他具备供货资格的供应商。两个包件之间的采购份额不得相互转让。</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6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合同签订后，试制和质量验证分为两个阶段。如供应商通过试制带材质量验证，则该供应商具备正式供货资格，采购人方可批量下达采购订单。</w:t>
            </w:r>
          </w:p>
          <w:p>
            <w:pPr>
              <w:pStyle w:val="null3"/>
              <w:jc w:val="left"/>
            </w:pPr>
            <w:r>
              <w:rPr>
                <w:rFonts w:ascii="宋体" w:hAnsi="宋体" w:cs="宋体" w:eastAsia="宋体"/>
                <w:sz w:val="21"/>
              </w:rPr>
              <w:t>由于中标人试制的镍带需进行白铜复合镍带加工，因此要求中标人采购白铜带材进行镍带质量验证。要求中标人从采购人白铜带材和白铜复合镍带加工供应商中分别选择白铜带材和白铜复合镍带加工供应商，并按白铜复合镍带加工供应商的要求采购与镍带数量匹配的白铜带材。</w:t>
            </w:r>
          </w:p>
          <w:p>
            <w:pPr>
              <w:pStyle w:val="null3"/>
              <w:jc w:val="left"/>
            </w:pPr>
            <w:r>
              <w:rPr>
                <w:rFonts w:ascii="宋体" w:hAnsi="宋体" w:cs="宋体" w:eastAsia="宋体"/>
                <w:sz w:val="21"/>
              </w:rPr>
              <w:t>中标人负责将试制的镍带和采购的白铜带同时发给选中的白铜复合镍带加工供应商进行白铜复合镍带加工，加工后中标人负责将白铜复合镍带带材运到采购人仓库。</w:t>
            </w:r>
          </w:p>
          <w:p>
            <w:pPr>
              <w:pStyle w:val="null3"/>
              <w:jc w:val="left"/>
            </w:pPr>
            <w:r>
              <w:rPr>
                <w:rFonts w:ascii="宋体" w:hAnsi="宋体" w:cs="宋体" w:eastAsia="宋体"/>
                <w:sz w:val="21"/>
              </w:rPr>
              <w:t>如中标人通过试制带材质量验证，采购人按合同价格支付中标人到货带材试制费用，包括镍带费用、白铜带采购费用和白铜复合镍带加工费用。同时中标人负责将白铜复合镍带加工产生的废品和边废料全部返给采购人，运费由中标人承担。</w:t>
            </w:r>
          </w:p>
          <w:p>
            <w:pPr>
              <w:pStyle w:val="null3"/>
              <w:jc w:val="left"/>
            </w:pPr>
            <w:r>
              <w:rPr>
                <w:rFonts w:ascii="宋体" w:hAnsi="宋体" w:cs="宋体" w:eastAsia="宋体"/>
                <w:sz w:val="21"/>
              </w:rPr>
              <w:t>如中标人未通过试制带材质量验证，采购人对试制到货的带材及质量验证产生的边料、废品进行退货处理，要求中标人负责进行熔化销毁处理，采购人与中标人解除合同，试制带材的各种费用由中标人承担。</w:t>
            </w:r>
          </w:p>
        </w:tc>
      </w:tr>
    </w:tbl>
    <w:p>
      <w:pPr>
        <w:pStyle w:val="null3"/>
        <w:ind w:firstLine="560"/>
        <w:jc w:val="left"/>
      </w:pPr>
      <w:r>
        <w:rPr/>
        <w:t>注：报价明细及承诺函见投标文件格式。</w:t>
      </w:r>
    </w:p>
    <w:p>
      <w:pPr>
        <w:pStyle w:val="null3"/>
        <w:ind w:firstLine="560"/>
        <w:jc w:val="left"/>
      </w:pPr>
      <w:r>
        <w:rPr/>
        <w:t xml:space="preserve"> </w:t>
      </w:r>
    </w:p>
    <w:p>
      <w:pPr>
        <w:pStyle w:val="null3"/>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详见附件：承诺函</w:t>
      </w:r>
    </w:p>
    <w:p>
      <w:pPr>
        <w:pStyle w:val="null3"/>
        <w:ind w:firstLine="960"/>
      </w:pPr>
      <w:r>
        <w:rPr/>
        <w:t>详见附件：投标报价明细单</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t xml:space="preserve"> </w:t>
      </w:r>
    </w:p>
    <w:p>
      <w:pPr>
        <w:pStyle w:val="null3"/>
        <w:jc w:val="both"/>
      </w:pPr>
      <w:r>
        <w:rPr>
          <w:rFonts w:ascii="黑体" w:hAnsi="黑体" w:cs="黑体" w:eastAsia="黑体"/>
          <w:sz w:val="44"/>
        </w:rPr>
        <w:t>造币用镍带采购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4"/>
          <w:b/>
          <w:shd w:fill="BEBEBE" w:val="clear"/>
        </w:rPr>
        <w:t>__</w:t>
      </w:r>
      <w:r>
        <w:rPr>
          <w:rFonts w:ascii="宋体" w:hAnsi="宋体" w:cs="宋体" w:eastAsia="宋体"/>
          <w:sz w:val="24"/>
          <w:b/>
          <w:u w:val="single"/>
          <w:shd w:fill="BEBEBE" w:val="clear"/>
        </w:rPr>
        <w:t>沈阳造币有限公司</w:t>
      </w:r>
      <w:r>
        <w:rPr>
          <w:rFonts w:ascii="calibri" w:hAnsi="calibri" w:cs="calibri" w:eastAsia="calibri"/>
          <w:sz w:val="24"/>
          <w:b/>
          <w:shd w:fill="BEBEBE" w:val="clear"/>
        </w:rPr>
        <w:t>__</w:t>
      </w:r>
      <w:r>
        <w:rPr>
          <w:rFonts w:ascii="calibri" w:hAnsi="calibri" w:cs="calibri" w:eastAsia="calibri"/>
          <w:sz w:val="21"/>
          <w:b/>
          <w:u w:val="single"/>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t>本合同由甲、乙双方经过平等友好协商，在真实、充分表达各自意愿的基础上，根据现行有效的相关法律法规签订，并由双方共同恪守。</w:t>
      </w:r>
      <w:r>
        <w:br/>
      </w:r>
      <w:r>
        <w:rPr/>
        <w:t xml:space="preserve"> 第1条定义</w:t>
      </w:r>
      <w:r>
        <w:br/>
      </w:r>
      <w:r>
        <w:rPr/>
        <w:t xml:space="preserve"> 除另有明确说明或上下文另有要求，在本合同中(包括附件，下同)，如有下列名词及术语均应具有本条所赋予的含义。</w:t>
      </w:r>
      <w:r>
        <w:br/>
      </w:r>
      <w:r>
        <w:rPr/>
        <w:t xml:space="preserve"> 1.1“合同”：系指甲、乙双方自愿签署、载明双方权利义务的协议，包括本合同、本合同所有附件、提及与本合同具有同等法律效力的所有文件以及日后对本合同做出的任何书面更改。</w:t>
      </w:r>
      <w:r>
        <w:br/>
      </w:r>
      <w:r>
        <w:rPr/>
        <w:t xml:space="preserve"> 1.2“货物”：系指乙方按照合同规定，应当向甲方交付的一定品种、数量、规格的产品。</w:t>
      </w:r>
      <w:r>
        <w:br/>
      </w:r>
      <w:r>
        <w:rPr/>
        <w:t xml:space="preserve"> 1.3“合同价款”：系指在乙方完全和适当地履行其合同义务后，甲方根据合同约定应支付给乙方的价款。在合同履行期间，若因国家政策或法律调整税率，导致合同价款中包含的税费调整，合同价款也随之调整。</w:t>
      </w:r>
      <w:r>
        <w:br/>
      </w:r>
      <w:r>
        <w:rPr/>
        <w:t xml:space="preserve"> 1.4“工作日”：系指除公休日和国家法定节假日外的日历天数，“日”是指日历天数。 </w:t>
      </w:r>
      <w:r>
        <w:br/>
      </w:r>
      <w:r>
        <w:rPr/>
        <w:t xml:space="preserve"> 1.5“交货”：系指乙方提供的所有货物到达甲方指定交货地点后，甲方和乙方对货物进行的交接和查验。</w:t>
      </w:r>
      <w:r>
        <w:br/>
      </w:r>
      <w:r>
        <w:rPr/>
        <w:t xml:space="preserve"> 1.6“质量保修期”或“质保期”：系指自货物到货验收合格之日起算，货物正常运行后双方约定的期限或有关标准、规定注明的期限，两者以先到期的为准。</w:t>
      </w:r>
      <w:r>
        <w:br/>
      </w:r>
      <w:r>
        <w:rPr/>
        <w:t xml:space="preserve"> 第2条合同标的物</w:t>
      </w:r>
      <w:r>
        <w:br/>
      </w:r>
      <w:r>
        <w:rPr/>
        <w:t xml:space="preserve"> 2.1本合同标的物情况具体见本合同附件  1  、附件 3 。</w:t>
      </w:r>
      <w:r>
        <w:br/>
      </w:r>
      <w:r>
        <w:rPr/>
        <w:t xml:space="preserve"> 2.2乙方供货的范围包括了本合同所列明的货物及与货物配套的专用安装材料、工具、备品备件、图纸等配件。在本合同履行过程中如发现有任何漏项和短缺，乙方应自费在甲方要求的时间内补齐，因此造成甲方的损失，由乙方负责赔偿。</w:t>
      </w:r>
      <w:r>
        <w:br/>
      </w:r>
      <w:r>
        <w:rPr/>
        <w:t xml:space="preserve"> 2.3乙方就其向甲方提供的货物应当具有完全处分权，不存在任何抵押、质押、担保或其他第三方权益，不会有任何第三方对该等货物主张任何权利。</w:t>
      </w:r>
      <w:r>
        <w:br/>
      </w:r>
      <w:r>
        <w:rPr/>
        <w:t xml:space="preserve"> 第3条合同价款</w:t>
      </w:r>
      <w:r>
        <w:br/>
      </w:r>
      <w:r>
        <w:rPr/>
        <w:t xml:space="preserve"> 3.1本合同价款选择如下方式  一  ：</w:t>
      </w:r>
      <w:r>
        <w:br/>
      </w:r>
      <w:r>
        <w:rPr/>
        <w:t xml:space="preserve"> 方式一：</w:t>
      </w:r>
      <w:r>
        <w:br/>
      </w:r>
      <w:r>
        <w:rPr/>
        <w:t xml:space="preserve"> （1）本合同采用综合单价包干的方式支付合同价款。</w:t>
      </w:r>
      <w:r>
        <w:br/>
      </w:r>
      <w:r>
        <w:rPr/>
        <w:t xml:space="preserve"> （2）带材采购所需的有色金属镍价格由甲方根据订单签约当日锁定的长江有色金属现货市场上午各相应1#金属镍均价确定。根据锁定的金属价格，核算出镍带单价，镍带单价=镍价+中标加工费+运费。同城运输是指在同一城市区域内的运输,异地运输距离为高德地图中走高速路线的距离。</w:t>
      </w:r>
      <w:r>
        <w:br/>
      </w:r>
      <w:r>
        <w:rPr/>
        <w:t xml:space="preserve"> （3）合同价款暂定总金额为：              元（大写：                元，其中不含税金额为         元，增值税金额为      元，增值税税率为     %），具体各项目单价详见合同附件     货物清单，货物单价已包含供货、仓储、装卸、验收、税费等一切费用；货物数量据实结算，实际数量以甲方验收合格的货物数量为准。合同实际结算金额不得超过合同价款暂定总金额。</w:t>
      </w:r>
      <w:r>
        <w:br/>
      </w:r>
      <w:r>
        <w:rPr/>
        <w:t xml:space="preserve"> （4）在本合同履行期间，不含税价格不因国家税率变化而变化，如遇国家税率调整，则价税合计的价格应相应调整，以开具发票时间为准。</w:t>
      </w:r>
      <w:r>
        <w:br/>
      </w:r>
      <w:r>
        <w:rPr/>
        <w:t xml:space="preserve"> 方式二：</w:t>
      </w:r>
      <w:r>
        <w:br/>
      </w:r>
      <w:r>
        <w:rPr/>
        <w:t xml:space="preserve"> （1）本合同采用综合总价包干的方式支付合同货款。合同价款总金额为：      /        元（大写：      /        元，其中不含税金额为     /    元，增值税金额为    /  元，增值税税率为 /  %），并已包含供货、仓储、装卸、验收、税费等一切费用。除本合同另有约定外，不论各项费用有无涨落，合同价款总金额均不再调整。</w:t>
      </w:r>
      <w:r>
        <w:br/>
      </w:r>
      <w:r>
        <w:rPr/>
        <w:t xml:space="preserve"> 合同履行过程中，若有经甲方事先书面确认的合同标的数量变更，实际结算的总价应以最终验收合格的实际货物的数量和本合同约定的单价为依据进行修正。</w:t>
      </w:r>
      <w:r>
        <w:br/>
      </w:r>
      <w:r>
        <w:rPr/>
        <w:t xml:space="preserve"> （2）在本合同履行期间，不含税价格不因国家税率变化而变化，如遇国家税率调整，则价税合计的价格应相应调整，以开具发票时间为准。</w:t>
      </w:r>
    </w:p>
    <w:p>
      <w:pPr>
        <w:pStyle w:val="null3"/>
      </w:pPr>
      <w:r>
        <w:rPr/>
        <w:t>第4条付款方式及期限</w:t>
      </w:r>
      <w:r>
        <w:br/>
      </w:r>
      <w:r>
        <w:rPr/>
        <w:t xml:space="preserve"> 4.1本合同采用以下第 二 种支付方式：</w:t>
      </w:r>
      <w:r>
        <w:br/>
      </w:r>
      <w:r>
        <w:rPr/>
        <w:t xml:space="preserve"> 方式一：一次性支付</w:t>
      </w:r>
      <w:r>
        <w:br/>
      </w:r>
      <w:r>
        <w:rPr/>
        <w:t xml:space="preserve"> 甲方对乙方交付的货物验收合格并在收到乙方开具的与合同价款总金额等额且合法有效的增值税专用发票后__/__个工作日内，一次性将全部合同价款支付至乙方指定的银行账户。</w:t>
      </w:r>
      <w:r>
        <w:br/>
      </w:r>
      <w:r>
        <w:rPr/>
        <w:t xml:space="preserve"> 方式二：分期支付</w:t>
      </w:r>
      <w:r>
        <w:br/>
      </w:r>
      <w:r>
        <w:rPr/>
        <w:t xml:space="preserve"> （1）甲方按照到货批次分期付款。</w:t>
      </w:r>
      <w:r>
        <w:br/>
      </w:r>
      <w:r>
        <w:rPr/>
        <w:t xml:space="preserve"> （2）乙方按要求发货到甲方指定白铜复合镍带加工厂家，经过白铜复合镍带加工厂家检验合格并开具《接收函》见附件1后，乙方开具税率为  %的全额增值税专用发票，甲方在收到发票及接收函后10个工作日内给乙方支付货款。</w:t>
      </w:r>
      <w:r>
        <w:br/>
      </w:r>
      <w:r>
        <w:rPr/>
        <w:t xml:space="preserve"> （3）甲、乙双方一致同意将合同价款总金额的 /  %，即人民币                     元（大写：人民币          /        元）作为质量保证金，货物质保期满且乙方向甲方提供与本次付款金额等额且合法有效的增值税专用发票后__/__个工作日内，甲方将质量保证金余额支付给乙方。质量保证金不计息。</w:t>
      </w:r>
    </w:p>
    <w:p>
      <w:pPr>
        <w:pStyle w:val="null3"/>
      </w:pPr>
      <w:r>
        <w:rPr/>
        <w:t>4.2甲方向乙方支付的合同价款、返还的履约保证金、质量保证金等均通过银行转账方式进行支付。</w:t>
      </w:r>
      <w:r>
        <w:br/>
      </w:r>
      <w:r>
        <w:rPr/>
        <w:t xml:space="preserve"> 4.3乙方的银行账号为：</w:t>
      </w:r>
      <w:r>
        <w:br/>
      </w:r>
      <w:r>
        <w:rPr/>
        <w:t xml:space="preserve"> 名称：                       </w:t>
      </w:r>
      <w:r>
        <w:br/>
      </w:r>
      <w:r>
        <w:rPr/>
        <w:t xml:space="preserve"> 税号：                       </w:t>
      </w:r>
      <w:r>
        <w:br/>
      </w:r>
      <w:r>
        <w:rPr/>
        <w:t xml:space="preserve"> 地址：                       </w:t>
      </w:r>
      <w:r>
        <w:br/>
      </w:r>
      <w:r>
        <w:rPr/>
        <w:t xml:space="preserve"> 电话：                       </w:t>
      </w:r>
      <w:r>
        <w:br/>
      </w:r>
      <w:r>
        <w:rPr/>
        <w:t xml:space="preserve"> 开户行：                       </w:t>
      </w:r>
      <w:r>
        <w:br/>
      </w:r>
      <w:r>
        <w:rPr/>
        <w:t xml:space="preserve"> 账号：                       </w:t>
      </w:r>
      <w:r>
        <w:br/>
      </w:r>
      <w:r>
        <w:rPr/>
        <w:t xml:space="preserve"> 乙方对上述账号各项内容予以确认，若乙方账号发生变化应提前五个工作日内书面通知甲方。如因乙方告知的账户内容不准确或发生变化而造成支付延迟、支付差错等情形，甲方不承担任何责任。</w:t>
      </w:r>
      <w:r>
        <w:br/>
      </w:r>
      <w:r>
        <w:rPr/>
        <w:t xml:space="preserve"> 4.4履约担保</w:t>
      </w:r>
      <w:r>
        <w:br/>
      </w:r>
      <w:r>
        <w:rPr/>
        <w:t xml:space="preserve"> 4.4.1乙方是否提供履约担保：是   否。</w:t>
      </w:r>
      <w:r>
        <w:br/>
      </w:r>
      <w:r>
        <w:rPr/>
        <w:t xml:space="preserve"> 4.4.2乙方必须在合同签订后申请预付款前向甲方提交履约担保。</w:t>
      </w:r>
      <w:r>
        <w:br/>
      </w:r>
      <w:r>
        <w:rPr/>
        <w:t xml:space="preserve"> 4.4.3乙方提供履约担保的金额及期限：乙方向甲方提供履约担保金额为合同总金额的  /  %，即：人民币          /       元（大写：/    元），期限至质保期满后   /  个工作日。</w:t>
      </w:r>
      <w:r>
        <w:br/>
      </w:r>
      <w:r>
        <w:rPr/>
        <w:t xml:space="preserve"> 4.4.4乙方提供履约担保形式选用履约保证金   银行保函。</w:t>
      </w:r>
      <w:r>
        <w:br/>
      </w:r>
      <w:r>
        <w:rPr/>
        <w:t xml:space="preserve"> 4.4.5如采用银行保函形式递交履约担保，应全部为国内商业银行不可撤销的无条件履约保函，保函内容及出具银行需先经甲方书面确认。</w:t>
      </w:r>
      <w:r>
        <w:br/>
      </w:r>
      <w:r>
        <w:rPr/>
        <w:t xml:space="preserve"> 4.4.6履约保证金的退还：如乙方在合同履行期间未发生任何违约行为，甲方将于质保期满后  / 个工作日内无息退还履约保证金。</w:t>
      </w:r>
      <w:r>
        <w:br/>
      </w:r>
      <w:r>
        <w:rPr/>
        <w:t xml:space="preserve"> 4.4.7未提供或约定履约担保的，甲方有权通过暂停支付合同价款的方式，要求乙方履行相关义务或承担责任。</w:t>
      </w:r>
      <w:r>
        <w:br/>
      </w:r>
      <w:r>
        <w:rPr/>
        <w:t xml:space="preserve"> 第5条交货</w:t>
      </w:r>
      <w:r>
        <w:br/>
      </w:r>
      <w:r>
        <w:rPr/>
        <w:t xml:space="preserve"> 5.1交货时间</w:t>
      </w:r>
      <w:r>
        <w:br/>
      </w:r>
      <w:r>
        <w:rPr/>
        <w:t xml:space="preserve"> 乙方应于甲方下达订单之日起30个日历日内开始分批交货。</w:t>
      </w:r>
      <w:r>
        <w:br/>
      </w:r>
      <w:r>
        <w:rPr/>
        <w:t xml:space="preserve"> 如遇甲方有急用货物订单，则乙方应于当日或以最短时间将甲方所订货物交至甲方指定地点。</w:t>
      </w:r>
      <w:r>
        <w:br/>
      </w:r>
      <w:r>
        <w:rPr/>
        <w:t xml:space="preserve"> 甲方保留随时调整交货时间的权利,如甲方要求推迟交货,则乙方应无条件同意并保管好货物；如甲方要求提前交货，应给予乙方一定的合理期限，乙方要求提前交货的，需事先取得甲方书面同意，否则甲方有权予以拒收。</w:t>
      </w:r>
      <w:r>
        <w:br/>
      </w:r>
      <w:r>
        <w:rPr/>
        <w:t xml:space="preserve"> 5.2交货地点为甲方指定区域  甲方指定的白铜复合镍带加工厂家。</w:t>
      </w:r>
      <w:r>
        <w:br/>
      </w:r>
      <w:r>
        <w:rPr/>
        <w:t xml:space="preserve"> 甲方变更交货地点的，应当在约定的交货之日前  5  个工作日书面通知乙方。非因甲方原因将货物错发交货地点或接货人的，乙方除应负责重新运交双方约定的交货地点和接货人外，还应承担甲方因此多支付的一切费用和逾期交货的违约金。</w:t>
      </w:r>
      <w:r>
        <w:br/>
      </w:r>
      <w:r>
        <w:rPr/>
        <w:t xml:space="preserve"> 5.3如因甲方原因要求延迟交货的，甲方应在约定的交货之日前  5  个工作日以书面形式通知乙方。</w:t>
      </w:r>
      <w:r>
        <w:br/>
      </w:r>
      <w:r>
        <w:rPr/>
        <w:t xml:space="preserve"> 5.4甲方需要组织乙方进行带材试制和质量验证，试制和质量验证分为两个阶段，见附件  2  镍带供应商试制带材质量验证管理办法。如乙方通过带材试制和质量验证，则该供应商具备正式供货资格，甲方可以批量从乙方采购带材。</w:t>
      </w:r>
      <w:r>
        <w:br/>
      </w:r>
      <w:r>
        <w:rPr/>
        <w:t xml:space="preserve"> 5.5供应商试制带材结算办法</w:t>
      </w:r>
      <w:r>
        <w:br/>
      </w:r>
      <w:r>
        <w:rPr/>
        <w:t xml:space="preserve"> 如乙方通过试制带材质量验证，甲方按合同价格支付乙方到货带材试制费用，包括镍带费用、白铜带采购费用和白铜复合镍带加工费用。同时乙方负责将白铜复合镍带加工产生的废品和边废料全部返给甲方，运费由乙方承担。如乙方未通过试制带材质量验证，甲方对试制到货的带材及质量验证产生的边料、废品进行退货处理，要求乙方负责进行熔化销毁处理，甲方与乙方解除合同，试制带材的各种费用由乙方承担。</w:t>
      </w:r>
      <w:r>
        <w:br/>
      </w:r>
      <w:r>
        <w:rPr/>
        <w:t xml:space="preserve"> 第6条货物运输（包括装卸）及包装</w:t>
      </w:r>
      <w:r>
        <w:br/>
      </w:r>
      <w:r>
        <w:rPr/>
        <w:t xml:space="preserve"> 6.1货物运输（包括装卸）、包装由乙方负责，运输费用由甲方负责。</w:t>
      </w:r>
      <w:r>
        <w:br/>
      </w:r>
      <w:r>
        <w:rPr/>
        <w:t xml:space="preserve"> 6.2货物在运输（包括装卸）中出现损毁、丢失等风险由乙方承担。</w:t>
      </w:r>
      <w:r>
        <w:br/>
      </w:r>
      <w:r>
        <w:rPr/>
        <w:t xml:space="preserve"> 6.3对于特殊物品（易燃、易爆、有毒物品及其他危险品和运输过程中对温度等环境因素和震动有特殊要求的货物或物品）必须特别标明其品名、性质、特殊保护措施、保存方法以及处理意外情况的方法。</w:t>
      </w:r>
      <w:r>
        <w:br/>
      </w:r>
      <w:r>
        <w:rPr/>
        <w:t xml:space="preserve"> 6.4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t xml:space="preserve"> 第7条验收</w:t>
      </w:r>
      <w:r>
        <w:br/>
      </w:r>
      <w:r>
        <w:rPr/>
        <w:t xml:space="preserve"> 7.1甲方指定白铜复合镍带加工厂家应在乙方将每批次的货物到场后进行验收，具体验收程序见附件  4  由双方相关工作人员共同清点货物并在附件 1  《接收函》上分别签字、盖章。乙方无正当理由不参与验收的，甲方指定白铜复合镍带加工厂家可自行验收。对甲方指定白铜复合镍带加工厂家出具的相关验收结果，乙方不得持有任何异议。自货物到货验收合格单签署之日起，货物损毁、丢失等风险由甲方承担。</w:t>
      </w:r>
      <w:r>
        <w:br/>
      </w:r>
      <w:r>
        <w:rPr/>
        <w:t xml:space="preserve"> 7.2若验收时发现货物存在质量问题或其他缺陷的，则该货物视为不合格产品，乙方应当负责将该货物从甲方处运回并调换或者退货，并承担调换或者退货所产生的费用。</w:t>
      </w:r>
      <w:r>
        <w:br/>
      </w:r>
      <w:r>
        <w:rPr/>
        <w:t xml:space="preserve"> 7.3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r>
        <w:br/>
      </w:r>
      <w:r>
        <w:rPr/>
        <w:t xml:space="preserve"> 7.4造币用镍带的称差标准为千分之二，千分之二以内以发货方为准，超过千分之二以双方现场称重为准。</w:t>
      </w:r>
      <w:r>
        <w:br/>
      </w:r>
      <w:r>
        <w:rPr/>
        <w:t xml:space="preserve"> 7.5乙方必须严格执行合同到货数量要求，镍带实际到货总数量不允许超过甲方下达全部订单的采购总数量。</w:t>
      </w:r>
      <w:r>
        <w:br/>
      </w:r>
      <w:r>
        <w:rPr/>
        <w:t xml:space="preserve"> 第8条质量条款</w:t>
      </w:r>
      <w:r>
        <w:br/>
      </w:r>
      <w:r>
        <w:rPr/>
        <w:t xml:space="preserve"> 8.1乙方应保证其向甲方交付货物的品种、规格、数量、质量等要符合甲方的要求。</w:t>
      </w:r>
      <w:r>
        <w:br/>
      </w:r>
      <w:r>
        <w:rPr/>
        <w:t xml:space="preserve"> 8.2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r>
        <w:br/>
      </w:r>
      <w:r>
        <w:rPr/>
        <w:t xml:space="preserve"> 8.3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r>
        <w:br/>
      </w:r>
      <w:r>
        <w:rPr/>
        <w:t xml:space="preserve"> 第9条售后服务</w:t>
      </w:r>
      <w:r>
        <w:br/>
      </w:r>
      <w:r>
        <w:rPr/>
        <w:t xml:space="preserve"> 9.1乙方提供的货物及服务须符合甲方提出的技术、服务要求，全部货物质量保修期为自全部货物经甲方验收合格之日起算。</w:t>
      </w:r>
      <w:r>
        <w:br/>
      </w:r>
      <w:r>
        <w:rPr/>
        <w:t xml:space="preserve"> 9.2在质量保修期内，如货物在使用过程中如出现质量问题或者不能达到甲方使用要求，乙方应及时免费上门维修或更换，2小时内电话响应，一切费用由乙方承担。乙方不能及时上门进行维修或更换的，甲方可自行或委托第三方进行维修或更换，由此产生的一切费用由乙方承担。如乙方拒绝承担，则甲方有权在返还质量保证金时予以扣除。</w:t>
      </w:r>
      <w:r>
        <w:br/>
      </w:r>
      <w:r>
        <w:rPr/>
        <w:t xml:space="preserve"> 9.3在质量保修期届满后，如货物损坏需维修，则乙方应根据市场价格中最为优惠的价格向甲方收取维修所需的材料成本费用，除此之外，不向甲方另行收取其他费用。该条款有效期为长期。</w:t>
      </w:r>
      <w:r>
        <w:br/>
      </w:r>
      <w:r>
        <w:rPr/>
        <w:t xml:space="preserve"> 9.4乙方需免费提供一定数量的随机备品、备件和工具（配备标准：至少提供1套备品、备件和工具）或根据损耗程度提供相应数量的备品、备件和工具。</w:t>
      </w:r>
      <w:r>
        <w:br/>
      </w:r>
      <w:r>
        <w:rPr/>
        <w:t xml:space="preserve"> 第10条所有权与风险转移</w:t>
      </w:r>
      <w:r>
        <w:br/>
      </w:r>
      <w:r>
        <w:rPr/>
        <w:t xml:space="preserve"> 10.1货物损坏、灭失的风险在签署附件  1 《接收函》之日起由乙方转移至甲方。</w:t>
      </w:r>
      <w:r>
        <w:br/>
      </w:r>
      <w:r>
        <w:rPr/>
        <w:t xml:space="preserve"> 10.2因乙方货物未能达到甲方要求导致甲方拒收的或者解除合同时，货物损坏、灭失的风险由乙方承担。</w:t>
      </w:r>
      <w:r>
        <w:br/>
      </w:r>
      <w:r>
        <w:rPr/>
        <w:t xml:space="preserve"> 10.3所有权与风险的转移，不影响因乙方不按约定履行本合同项下义务时，甲方要求其承担违约责任的权利。</w:t>
      </w:r>
      <w:r>
        <w:br/>
      </w:r>
      <w:r>
        <w:rPr/>
        <w:t xml:space="preserve"> 第11条知识产权</w:t>
      </w:r>
      <w:r>
        <w:br/>
      </w:r>
      <w:r>
        <w:rPr/>
        <w:t xml:space="preserve"> 11.1乙方应保证甲方不受由于使用乙方提供的货物（包括技术）而引起的因任何第三方的设计、工艺方案、技术资料、商标、专利等知识产权产生侵权索赔。</w:t>
      </w:r>
      <w:r>
        <w:br/>
      </w:r>
      <w:r>
        <w:rPr/>
        <w:t xml:space="preserve"> 11.2如果发生任何第三方的侵权指控，甲方有权通知乙方要求乙方负责与第三方交涉处理相关事宜，并承担一切由此引起的法律上和经济上的责任，从而使甲方免受由于第三方索赔从法律及经济责任上所造成的损害。</w:t>
      </w:r>
      <w:r>
        <w:br/>
      </w:r>
      <w:r>
        <w:rPr/>
        <w:t xml:space="preserve"> 11.3在发生索赔期间，乙方应保证以任何合理的方式避免甲方对货物的使用受到限制或为甲方更换其他同等类型的货物供甲方使用并承担因此产生的全部费用。</w:t>
      </w:r>
      <w:r>
        <w:br/>
      </w:r>
      <w:r>
        <w:rPr/>
        <w:t xml:space="preserve"> 11.4乙方应赔偿甲方因任何侵权索赔所遭受的损失。</w:t>
      </w:r>
      <w:r>
        <w:br/>
      </w:r>
      <w:r>
        <w:rPr/>
        <w:t xml:space="preserve"> 第12条违约责任</w:t>
      </w:r>
      <w:r>
        <w:br/>
      </w:r>
      <w:r>
        <w:rPr/>
        <w:t xml:space="preserve"> 12.1非因甲方原因导致乙方未能按本合同约定的交货时间交付货物的，或者交付的货物未能通过甲方验收，乙方应从逾期之日起每日按本合同价款总金额的 0.1  %向甲方支付违约金，逾期超过  10 个工作日的，甲方有权解除合同，乙方除退回甲方已支付款项外，须向甲方支付相当于本合同价款总金额  1 %的违约金。如前述违约金不足以赔偿甲方因乙方违约造成的损失，乙方应当予以赔偿。</w:t>
      </w:r>
      <w:r>
        <w:br/>
      </w:r>
      <w:r>
        <w:rPr/>
        <w:t xml:space="preserve"> 12.2乙方交付货物不符合合同约定的品牌、质量缺陷、规格、数量等要求，甲方有权选择（1）要求乙方按合同约定更换、补交货物，因此导致逾期的，乙方应按第12.1条约定承担逾期违约责任；（2）要求解除合同，拒绝接受乙方交付，乙方除退回甲方已付合同价款外，还须支付本合同价款总金额  1 %的违约金。如前述违约金不足以赔偿甲方因乙方违约造成的损失，甲乙方应当予以赔偿。</w:t>
      </w:r>
      <w:r>
        <w:br/>
      </w:r>
      <w:r>
        <w:rPr/>
        <w:t xml:space="preserve"> 12.3乙方如在质保期内未履行第9条售后服务的约定，每一次须向甲方支付违约金   5000   元，同时承担全部维修、更换费用。</w:t>
      </w:r>
      <w:r>
        <w:br/>
      </w:r>
      <w:r>
        <w:rPr/>
        <w:t xml:space="preserve"> 12.4如因乙方交付的货物存在质量问题或安全隐患导致甲方或第三人人身或财产损失的，乙方应承担一切法律责任。</w:t>
      </w:r>
      <w:r>
        <w:br/>
      </w:r>
      <w:r>
        <w:rPr/>
        <w:t xml:space="preserve"> 12.5乙方在安装过程中必须采取有效的安全措施，乙方员工必须具有相应的岗位资质和专业技术水平。由于乙方原因在安装过程中导致发生安全或其他事故，由此引发的安全责任和经济损失全部由乙方承担。</w:t>
      </w:r>
      <w:r>
        <w:br/>
      </w:r>
      <w:r>
        <w:rPr/>
        <w:t xml:space="preserve"> 12.6因乙方原因导致甲方对外承担法律责任的，甲方有权向乙方追偿，追偿范围包括但不限于甲方损失以及甲方为此而支出的调查费、鉴定费、仲裁费、诉讼费、保全费、律师费及其他合理费用等。</w:t>
      </w:r>
      <w:r>
        <w:br/>
      </w:r>
      <w:r>
        <w:rPr/>
        <w:t xml:space="preserve"> 12.7乙方违反本合同约定需支付违约金或承担赔偿责任的，甲方有权直接在乙方提交的履约保证金和/或质量保证金中予以扣除，扣除后不足本合同约定的违约金金额或不足以赔偿损失的，甲方有权要求乙方补足。  甲方依据前款约定扣除履约保证金和/或质量保证金，但双方未解除合同的，乙方应在甲方通知的时间内按本合同约定的金额补足履约保证金和/或质量保证金。</w:t>
      </w:r>
      <w:r>
        <w:br/>
      </w:r>
      <w:r>
        <w:rPr/>
        <w:t xml:space="preserve"> 12.8甲方未按合同约定支付货款，乙方有权延期发货，如延迟付款超过10个工作日后，再每延迟1个工作日须向乙方支付违约金   5000   元。</w:t>
      </w:r>
      <w:r>
        <w:br/>
      </w:r>
      <w:r>
        <w:rPr/>
        <w:t xml:space="preserve"> 第13条不可抗力</w:t>
      </w:r>
      <w:r>
        <w:br/>
      </w:r>
      <w:r>
        <w:rPr/>
        <w:t xml:space="preserve"> 13.1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t xml:space="preserve"> 13.2受到不可抗力影响的一方应在不可抗力事故发生后，尽快将所发生的不可抗力事件的情况通知另一方，并在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t xml:space="preserve"> 13.3如双方对不可抗力事件的影响估计将延续到  10  个工作日以上时，双方应通过友好协商解决本合同的执行问题（包括交货、安装、试运行和验收等问题）。</w:t>
      </w:r>
      <w:r>
        <w:br/>
      </w:r>
      <w:r>
        <w:rPr/>
        <w:t xml:space="preserve"> 第14条反商业贿赂</w:t>
      </w:r>
      <w:r>
        <w:br/>
      </w:r>
      <w:r>
        <w:rPr/>
        <w:t xml:space="preserve"> 14.1双方同意反对不正当竞争，拒绝商业索贿、行贿、受贿。</w:t>
      </w:r>
      <w:r>
        <w:br/>
      </w:r>
      <w:r>
        <w:rPr/>
        <w:t xml:space="preserve"> 14.2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  1   %作为违约金。</w:t>
      </w:r>
      <w:r>
        <w:br/>
      </w:r>
      <w:r>
        <w:rPr/>
        <w:t xml:space="preserve"> 14.3本合同无论由于何原因终止，在双方决定不再合作的情况下，乙方如存在前述商业贿赂行为，仍应当承担相应违约责任。</w:t>
      </w:r>
      <w:r>
        <w:br/>
      </w:r>
      <w:r>
        <w:rPr/>
        <w:t xml:space="preserve"> 第15条保密条款</w:t>
      </w:r>
      <w:r>
        <w:br/>
      </w:r>
      <w:r>
        <w:rPr/>
        <w:t xml:space="preserve"> 15.1甲乙双方对在履行本合同过程中知悉的对方的商业秘密负有保密义务，但非因一方原因导致的公开或因司法程序的原因公开、政府机构的要求造成商业秘密公开的除外。</w:t>
      </w:r>
      <w:r>
        <w:br/>
      </w:r>
      <w:r>
        <w:rPr/>
        <w:t xml:space="preserve"> 15.2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t xml:space="preserve"> 15.3本合同无论由于何原因终止，在双方决定不再合作的情况下，双方仍应对知悉的商业秘密负有保密义务。保密期限至乙方收到甲方出具的书面解密通知之日止。</w:t>
      </w:r>
      <w:r>
        <w:br/>
      </w:r>
      <w:r>
        <w:rPr/>
        <w:t xml:space="preserve"> 15.4任何一方未经对方事先书面允许，不得将保密信息用于本合同之外的目的、向第三方披露、使用、许可他人使用或以其他任何方式侵犯对方的商业秘密，否则，应向对方支付本合同价款总金额的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t xml:space="preserve"> 15.5乙方在履行本合同过程中，应保守国家秘密义务，签订保密承诺，具体要求见附件6。</w:t>
      </w:r>
      <w:r>
        <w:br/>
      </w:r>
      <w:r>
        <w:rPr/>
        <w:t xml:space="preserve"> 第16条合同的变更、修改和补充</w:t>
      </w:r>
      <w:r>
        <w:br/>
      </w:r>
      <w:r>
        <w:rPr/>
        <w:t xml:space="preserve"> 16.1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r>
        <w:br/>
      </w:r>
      <w:r>
        <w:rPr/>
        <w:t xml:space="preserve"> 16.2合同（附件）中注明的原材料、供应商、规格、产地、牌号、数量由于乙方原因发生变更的，需事先书面提交甲方确认同意，对此而引起对交货期的延迟影响，由乙方承担责任。</w:t>
      </w:r>
      <w:r>
        <w:br/>
      </w:r>
      <w:r>
        <w:rPr/>
        <w:t xml:space="preserve"> 16.3无论乙方提供的货物是按合同约定的要求或根据现场情况双方协商变更以及甲方要求变更的，乙方均不免除对货物应承担的责任。</w:t>
      </w:r>
      <w:r>
        <w:br/>
      </w:r>
      <w:r>
        <w:rPr/>
        <w:t xml:space="preserve"> 16.4在履行本合同的过程中如有未尽事宜，双方可以书面形式对本合同进行变更。附件、补充合同为本合同不可分割的一部分，与本合同具有同等法律效力。</w:t>
      </w:r>
      <w:r>
        <w:br/>
      </w:r>
      <w:r>
        <w:rPr/>
        <w:t xml:space="preserve"> 第17条通知</w:t>
      </w:r>
      <w:r>
        <w:br/>
      </w:r>
      <w:r>
        <w:rPr/>
        <w:t xml:space="preserve"> 17.1本合同项下双方的任何通知均应以书面方式做出，以专人送达、邮政特快专递（EMS）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t xml:space="preserve"> 17.2本合同项下的任何通知、报告或其他通信以及抄送给对方的副本，均应按本合同首页载明的注册地址、邮政编码、联系人、电话号码或双方根据本合同第17.3条书面形式通知对方的通讯地址或联络方式送达对方。</w:t>
      </w:r>
      <w:r>
        <w:br/>
      </w:r>
      <w:r>
        <w:rPr/>
        <w:t xml:space="preserve"> 17.3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t xml:space="preserve"> 17.4双方确认，双方发生争议后，若不能协商达成一致意见，按第19条约定的方式解决，人民法院或仲裁委员会按照17.2条或17.3条约定的方式进行送达的，双方不得提出异议。</w:t>
      </w:r>
      <w:r>
        <w:br/>
      </w:r>
      <w:r>
        <w:rPr/>
        <w:t xml:space="preserve"> 第18条法律适用</w:t>
      </w:r>
      <w:r>
        <w:br/>
      </w:r>
      <w:r>
        <w:rPr/>
        <w:t xml:space="preserve"> 18.1本合同的成立、生效、履行、解释、变更和终止等事项适用中华人民共和国的法律。仲裁裁决的终局的，对双方均有约束力。</w:t>
      </w:r>
      <w:r>
        <w:br/>
      </w:r>
      <w:r>
        <w:rPr/>
        <w:t xml:space="preserve"> 第19条争议解决</w:t>
      </w:r>
      <w:r>
        <w:br/>
      </w:r>
      <w:r>
        <w:rPr/>
        <w:t xml:space="preserve"> 19.1双方在履行本合同中发生的争议，由双方协商解决。协商不成的，任何一方均有权按以下第   （1）   种方式解决：</w:t>
      </w:r>
      <w:r>
        <w:br/>
      </w:r>
      <w:r>
        <w:rPr/>
        <w:t xml:space="preserve"> （1）向___甲方所在地__人民法院提起诉讼。诉讼费由败诉方承担。</w:t>
      </w:r>
      <w:r>
        <w:br/>
      </w:r>
      <w:r>
        <w:rPr/>
        <w:t xml:space="preserve"> （2）提交       仲裁委员会进行仲裁。仲裁裁决是终局的，对双方均有约束力。仲裁费用由败诉方承担。</w:t>
      </w:r>
      <w:r>
        <w:br/>
      </w:r>
      <w:r>
        <w:rPr/>
        <w:t xml:space="preserve"> 19.2守约方为实现本合同权利而支出的包括并不限于公告费、保全费、保函费、律师费、评估费等一切费用由违约方承担。</w:t>
      </w:r>
      <w:r>
        <w:br/>
      </w:r>
      <w:r>
        <w:rPr/>
        <w:t xml:space="preserve"> 19.3除因争议事项导致本合同完全不能履行或双方协商一致同意在争议解决期间中止合同履行，在争议解决期间，除争议事项外，双方应在其他一切方面继续履行本合同。</w:t>
      </w:r>
      <w:r>
        <w:br/>
      </w:r>
      <w:r>
        <w:rPr/>
        <w:t xml:space="preserve"> 第20条合同生效和终止</w:t>
      </w:r>
      <w:r>
        <w:br/>
      </w:r>
      <w:r>
        <w:rPr/>
        <w:t xml:space="preserve"> 20.1本合同自双方法定代表人/授权代表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t xml:space="preserve"> 20.2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t xml:space="preserve"> 20.3本合同有效期从合同生效之日起到质保期满并理赔（如有）完毕货款两清之日止。部分条款对有效期限存在特殊约定的，按照相关条款约定执行。</w:t>
      </w:r>
      <w:r>
        <w:br/>
      </w:r>
      <w:r>
        <w:rPr/>
        <w:t xml:space="preserve"> 第21条合同文本</w:t>
      </w:r>
      <w:r>
        <w:br/>
      </w:r>
      <w:r>
        <w:rPr/>
        <w:t xml:space="preserve"> 21.1本合同一式_柒_ 份，甲方持__肆 份，乙方持_叁_ 份，各份合同均具有同等法律效力。</w:t>
      </w:r>
      <w:r>
        <w:br/>
      </w:r>
      <w:r>
        <w:rPr/>
        <w:t xml:space="preserve"> 第22条合同文件构成</w:t>
      </w:r>
      <w:r>
        <w:br/>
      </w:r>
      <w:r>
        <w:rPr/>
        <w:t xml:space="preserve"> 22.1除本合同另有约定外，解释合同文件的优先顺序如下：</w:t>
      </w:r>
      <w:r>
        <w:br/>
      </w:r>
      <w:r>
        <w:rPr/>
        <w:t xml:space="preserve"> （1）本合同及其附件/合同协议书；</w:t>
      </w:r>
      <w:r>
        <w:br/>
      </w:r>
      <w:r>
        <w:rPr/>
        <w:t xml:space="preserve"> （2）中标通知书；</w:t>
      </w:r>
      <w:r>
        <w:br/>
      </w:r>
      <w:r>
        <w:rPr/>
        <w:t xml:space="preserve"> （3）投标文件及其附件（含评标期间的澄清文件和补充材料等）；</w:t>
      </w:r>
      <w:r>
        <w:br/>
      </w:r>
      <w:r>
        <w:rPr/>
        <w:t xml:space="preserve"> （4）招标文件及其附件（含招标答疑等）；</w:t>
      </w:r>
      <w:r>
        <w:br/>
      </w:r>
      <w:r>
        <w:rPr/>
        <w:t xml:space="preserve"> （5）质量和验收标准；</w:t>
      </w:r>
      <w:r>
        <w:br/>
      </w:r>
      <w:r>
        <w:rPr/>
        <w:t xml:space="preserve"> （6）第三方出具的产品检测证书；</w:t>
      </w:r>
      <w:r>
        <w:br/>
      </w:r>
      <w:r>
        <w:rPr/>
        <w:t xml:space="preserve"> （7）技术标准和要求、图纸；</w:t>
      </w:r>
      <w:r>
        <w:br/>
      </w:r>
      <w:r>
        <w:rPr/>
        <w:t xml:space="preserve"> （8）质量保证及售后服务承诺书；</w:t>
      </w:r>
      <w:r>
        <w:br/>
      </w:r>
      <w:r>
        <w:rPr/>
        <w:t xml:space="preserve"> （9）经双方确认进入本合同的其他文件。</w:t>
      </w:r>
      <w:r>
        <w:br/>
      </w:r>
      <w:r>
        <w:rPr/>
        <w:t xml:space="preserve"> 22.2上述各项合同文件包括合同当事人就该项合同文件所作出的补充和修改，属于同一类内容的文件，应以最新签署的为准。</w:t>
      </w:r>
      <w:r>
        <w:br/>
      </w:r>
      <w:r>
        <w:rPr/>
        <w:t xml:space="preserve"> 22.3在合同订立及履行过程中形成的与合同有关的文件均构成合同文件组成部分，并根据其性质确定优先解释顺序。</w:t>
      </w:r>
      <w:r>
        <w:br/>
      </w:r>
      <w:r>
        <w:rPr/>
        <w:t xml:space="preserve"> 第23条其他事项</w:t>
      </w:r>
      <w:r>
        <w:br/>
      </w:r>
      <w:r>
        <w:rPr/>
        <w:t xml:space="preserve"> 23.1本合同签署前形成的与本次交易相关的任何协议、合同或承诺如与本合同相冲突，均应以本合同为准。</w:t>
      </w:r>
      <w:r>
        <w:br/>
      </w:r>
      <w:r>
        <w:rPr/>
        <w:t xml:space="preserve"> 23.2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t xml:space="preserve"> 23.3本合同中所有条款的标题仅为查阅方便，在任何情况下均不得被解释为本合同之组成部分，或构成对其所指示之条款的限制。</w:t>
      </w:r>
      <w:r>
        <w:br/>
      </w:r>
      <w:r>
        <w:rPr/>
        <w:t xml:space="preserve"> 23.4本合同所填金额大小写不一致的，以大写金额为准。</w:t>
      </w:r>
      <w:r>
        <w:br/>
      </w:r>
      <w:r>
        <w:rPr/>
        <w:t xml:space="preserve"> 附件：</w:t>
      </w:r>
      <w:r>
        <w:br/>
      </w:r>
      <w:r>
        <w:rPr/>
        <w:t xml:space="preserve"> 1. 接收函                             </w:t>
      </w:r>
      <w:r>
        <w:br/>
      </w:r>
      <w:r>
        <w:rPr/>
        <w:t xml:space="preserve"> 2. 镍带供应商试制带材质量验证管理办法 </w:t>
      </w:r>
      <w:r>
        <w:br/>
      </w:r>
      <w:r>
        <w:rPr/>
        <w:t xml:space="preserve"> 3. 技术要求                            </w:t>
      </w:r>
      <w:r>
        <w:br/>
      </w:r>
      <w:r>
        <w:rPr/>
        <w:t xml:space="preserve"> 4. 履约验收方案                             </w:t>
      </w:r>
      <w:r>
        <w:br/>
      </w:r>
      <w:r>
        <w:rPr/>
        <w:t xml:space="preserve"> 5. 廉洁责任保证书                       </w:t>
      </w:r>
      <w:r>
        <w:br/>
      </w:r>
      <w:r>
        <w:rPr/>
        <w:t xml:space="preserve"> 6. 保密承诺书                           </w:t>
      </w:r>
      <w:r>
        <w:br/>
      </w:r>
      <w:r>
        <w:rPr/>
        <w:t xml:space="preserve"> 7. 质量保证承诺书                       </w:t>
      </w:r>
      <w:r>
        <w:br/>
      </w:r>
      <w:r>
        <w:rPr/>
        <w:t xml:space="preserve"> 8.廉洁交往告知书                        </w:t>
      </w:r>
      <w:r>
        <w:br/>
      </w:r>
      <w:r>
        <w:rPr/>
        <w:t xml:space="preserve"> （以下无正文）</w:t>
      </w:r>
    </w:p>
    <w:p>
      <w:pPr>
        <w:pStyle w:val="null3"/>
        <w:ind w:firstLine="480"/>
        <w:jc w:val="both"/>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接收函</w:t>
      </w:r>
    </w:p>
    <w:p>
      <w:pPr>
        <w:pStyle w:val="null3"/>
        <w:spacing w:before="150" w:after="150"/>
        <w:ind w:left="1080"/>
        <w:jc w:val="both"/>
      </w:pPr>
      <w:r>
        <w:rPr>
          <w:rFonts w:ascii="宋体" w:hAnsi="宋体" w:cs="宋体" w:eastAsia="宋体"/>
          <w:sz w:val="24"/>
        </w:rPr>
        <w:t>客户：沈阳造币有限公司</w:t>
      </w:r>
    </w:p>
    <w:p>
      <w:pPr>
        <w:pStyle w:val="null3"/>
        <w:spacing w:after="120"/>
        <w:jc w:val="left"/>
      </w:pPr>
      <w:r>
        <w:rPr>
          <w:rFonts w:ascii="宋体" w:hAnsi="宋体" w:cs="宋体" w:eastAsia="宋体"/>
          <w:sz w:val="24"/>
        </w:rPr>
        <w:t>生产厂家</w:t>
      </w:r>
      <w:r>
        <w:rPr>
          <w:rFonts w:ascii="宋体" w:hAnsi="宋体" w:cs="宋体" w:eastAsia="宋体"/>
          <w:sz w:val="24"/>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50"/>
        <w:gridCol w:w="1566"/>
        <w:gridCol w:w="1269"/>
        <w:gridCol w:w="756"/>
        <w:gridCol w:w="810"/>
        <w:gridCol w:w="1904"/>
        <w:gridCol w:w="1134"/>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材料号</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牌号</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厚度</w:t>
            </w:r>
            <w:r>
              <w:rPr>
                <w:rFonts w:ascii="calibri" w:hAnsi="calibri" w:cs="calibri" w:eastAsia="calibri"/>
                <w:sz w:val="24"/>
                <w:b/>
              </w:rPr>
              <w:t>mm</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宽度</w:t>
            </w:r>
            <w:r>
              <w:rPr>
                <w:rFonts w:ascii="calibri" w:hAnsi="calibri" w:cs="calibri" w:eastAsia="calibri"/>
                <w:sz w:val="24"/>
                <w:b/>
              </w:rPr>
              <w:t>mm</w:t>
            </w:r>
          </w:p>
        </w:tc>
        <w:tc>
          <w:tcPr>
            <w:tcW w:type="dxa" w:w="1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送货单重量</w:t>
            </w:r>
            <w:r>
              <w:rPr>
                <w:rFonts w:ascii="calibri" w:hAnsi="calibri" w:cs="calibri" w:eastAsia="calibri"/>
                <w:sz w:val="24"/>
                <w:b/>
              </w:rPr>
              <w:t>Kg</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3</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4</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5</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6</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7</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8</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9</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10</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11</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12</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13</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14</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15</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16</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17</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18</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19</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20</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宋体" w:hAnsi="宋体" w:cs="宋体" w:eastAsia="宋体"/>
          <w:sz w:val="24"/>
        </w:rPr>
        <w:t>验收结论：</w:t>
      </w:r>
    </w:p>
    <w:p>
      <w:pPr>
        <w:pStyle w:val="null3"/>
        <w:ind w:firstLine="5280"/>
        <w:jc w:val="both"/>
      </w:pPr>
      <w:r>
        <w:rPr>
          <w:rFonts w:ascii="宋体" w:hAnsi="宋体" w:cs="宋体" w:eastAsia="宋体"/>
          <w:sz w:val="24"/>
        </w:rPr>
        <w:t>接收人：</w:t>
      </w:r>
    </w:p>
    <w:p>
      <w:pPr>
        <w:pStyle w:val="null3"/>
        <w:ind w:firstLine="5280"/>
        <w:jc w:val="both"/>
      </w:pPr>
      <w:r>
        <w:rPr>
          <w:rFonts w:ascii="宋体" w:hAnsi="宋体" w:cs="宋体" w:eastAsia="宋体"/>
          <w:sz w:val="24"/>
        </w:rPr>
        <w:t>接收单位：盖章</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before="150" w:after="150"/>
        <w:ind w:left="105" w:right="105"/>
        <w:jc w:val="center"/>
        <w:outlineLvl w:val="1"/>
      </w:pPr>
      <w:r>
        <w:rPr>
          <w:rFonts w:ascii="宋体" w:hAnsi="宋体" w:cs="宋体" w:eastAsia="宋体"/>
          <w:sz w:val="24"/>
          <w:b/>
        </w:rPr>
        <w:t>镍带供应商试制带材质量验证管理办法</w:t>
      </w:r>
    </w:p>
    <w:p>
      <w:pPr>
        <w:pStyle w:val="null3"/>
        <w:ind w:firstLine="480"/>
        <w:jc w:val="both"/>
      </w:pPr>
      <w:r>
        <w:rPr>
          <w:rFonts w:ascii="calibri" w:hAnsi="calibri" w:cs="calibri" w:eastAsia="calibri"/>
          <w:sz w:val="24"/>
        </w:rPr>
        <w:t xml:space="preserve">1. </w:t>
      </w:r>
      <w:r>
        <w:rPr>
          <w:rFonts w:ascii="宋体" w:hAnsi="宋体" w:cs="宋体" w:eastAsia="宋体"/>
          <w:sz w:val="24"/>
        </w:rPr>
        <w:t>试制数量</w:t>
      </w:r>
    </w:p>
    <w:p>
      <w:pPr>
        <w:pStyle w:val="null3"/>
        <w:ind w:firstLine="480"/>
        <w:jc w:val="both"/>
      </w:pPr>
      <w:r>
        <w:rPr>
          <w:rFonts w:ascii="calibri" w:hAnsi="calibri" w:cs="calibri" w:eastAsia="calibri"/>
          <w:sz w:val="24"/>
        </w:rPr>
        <w:t xml:space="preserve">1.1  </w:t>
      </w:r>
      <w:r>
        <w:rPr>
          <w:rFonts w:ascii="宋体" w:hAnsi="宋体" w:cs="宋体" w:eastAsia="宋体"/>
          <w:sz w:val="24"/>
        </w:rPr>
        <w:t>供应商带材质量验证阶段分为两个阶段，第一阶段为小批量试制（验证镍带数量小于</w:t>
      </w:r>
      <w:r>
        <w:rPr>
          <w:rFonts w:ascii="calibri" w:hAnsi="calibri" w:cs="calibri" w:eastAsia="calibri"/>
          <w:sz w:val="24"/>
        </w:rPr>
        <w:t>1.6</w:t>
      </w:r>
      <w:r>
        <w:rPr>
          <w:rFonts w:ascii="宋体" w:hAnsi="宋体" w:cs="宋体" w:eastAsia="宋体"/>
          <w:sz w:val="24"/>
        </w:rPr>
        <w:t>吨）。</w:t>
      </w:r>
    </w:p>
    <w:p>
      <w:pPr>
        <w:pStyle w:val="null3"/>
        <w:ind w:firstLine="480"/>
        <w:jc w:val="both"/>
      </w:pPr>
      <w:r>
        <w:rPr>
          <w:rFonts w:ascii="calibri" w:hAnsi="calibri" w:cs="calibri" w:eastAsia="calibri"/>
          <w:sz w:val="24"/>
        </w:rPr>
        <w:t xml:space="preserve">1.2 </w:t>
      </w:r>
      <w:r>
        <w:rPr>
          <w:rFonts w:ascii="宋体" w:hAnsi="宋体" w:cs="宋体" w:eastAsia="宋体"/>
          <w:sz w:val="24"/>
        </w:rPr>
        <w:t>第二阶段为放量试制（验证带材数量小于</w:t>
      </w:r>
      <w:r>
        <w:rPr>
          <w:rFonts w:ascii="calibri" w:hAnsi="calibri" w:cs="calibri" w:eastAsia="calibri"/>
          <w:sz w:val="24"/>
        </w:rPr>
        <w:t>4.5</w:t>
      </w:r>
      <w:r>
        <w:rPr>
          <w:rFonts w:ascii="宋体" w:hAnsi="宋体" w:cs="宋体" w:eastAsia="宋体"/>
          <w:sz w:val="24"/>
        </w:rPr>
        <w:t>吨）。</w:t>
      </w:r>
    </w:p>
    <w:p>
      <w:pPr>
        <w:pStyle w:val="null3"/>
        <w:ind w:firstLine="480"/>
        <w:jc w:val="both"/>
      </w:pPr>
      <w:r>
        <w:rPr>
          <w:rFonts w:ascii="calibri" w:hAnsi="calibri" w:cs="calibri" w:eastAsia="calibri"/>
          <w:sz w:val="24"/>
        </w:rPr>
        <w:t xml:space="preserve">1.3 </w:t>
      </w:r>
      <w:r>
        <w:rPr>
          <w:rFonts w:ascii="宋体" w:hAnsi="宋体" w:cs="宋体" w:eastAsia="宋体"/>
          <w:sz w:val="24"/>
        </w:rPr>
        <w:t>配合镍带使用企业调查分析质量验证阶段出现质量问题的原因及提供详实可靠的整改方案。</w:t>
      </w:r>
    </w:p>
    <w:p>
      <w:pPr>
        <w:pStyle w:val="null3"/>
        <w:ind w:firstLine="480"/>
        <w:jc w:val="both"/>
      </w:pPr>
      <w:r>
        <w:rPr>
          <w:rFonts w:ascii="calibri" w:hAnsi="calibri" w:cs="calibri" w:eastAsia="calibri"/>
          <w:sz w:val="24"/>
        </w:rPr>
        <w:t xml:space="preserve">1.4 </w:t>
      </w:r>
      <w:r>
        <w:rPr>
          <w:rFonts w:ascii="宋体" w:hAnsi="宋体" w:cs="宋体" w:eastAsia="宋体"/>
          <w:sz w:val="24"/>
        </w:rPr>
        <w:t>要求镍带供应商负责从招标人白铜带供应商中选择一家采购与镍带复合数量相匹配的白铜带。</w:t>
      </w:r>
    </w:p>
    <w:p>
      <w:pPr>
        <w:pStyle w:val="null3"/>
        <w:ind w:firstLine="480"/>
        <w:jc w:val="both"/>
      </w:pPr>
      <w:r>
        <w:rPr>
          <w:rFonts w:ascii="calibri" w:hAnsi="calibri" w:cs="calibri" w:eastAsia="calibri"/>
          <w:sz w:val="24"/>
        </w:rPr>
        <w:t xml:space="preserve">1.5 </w:t>
      </w:r>
      <w:r>
        <w:rPr>
          <w:rFonts w:ascii="宋体" w:hAnsi="宋体" w:cs="宋体" w:eastAsia="宋体"/>
          <w:sz w:val="24"/>
        </w:rPr>
        <w:t>要求镍带供应商负责从招标人白铜复合镍带加工供应商中选择一家进行白铜复合镍带加工。</w:t>
      </w:r>
    </w:p>
    <w:p>
      <w:pPr>
        <w:pStyle w:val="null3"/>
        <w:ind w:firstLine="480"/>
        <w:jc w:val="both"/>
      </w:pPr>
      <w:r>
        <w:rPr>
          <w:rFonts w:ascii="calibri" w:hAnsi="calibri" w:cs="calibri" w:eastAsia="calibri"/>
          <w:sz w:val="24"/>
        </w:rPr>
        <w:t xml:space="preserve">2. </w:t>
      </w:r>
      <w:r>
        <w:rPr>
          <w:rFonts w:ascii="宋体" w:hAnsi="宋体" w:cs="宋体" w:eastAsia="宋体"/>
          <w:sz w:val="24"/>
        </w:rPr>
        <w:t>质量验证要求及判定规则</w:t>
      </w:r>
    </w:p>
    <w:p>
      <w:pPr>
        <w:pStyle w:val="null3"/>
        <w:ind w:firstLine="480"/>
        <w:jc w:val="both"/>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numPr>
          <w:ilvl w:val="0"/>
          <w:numId w:val="1"/>
        </w:numPr>
        <w:jc w:val="both"/>
      </w:pPr>
      <w:r>
        <w:rPr>
          <w:rFonts w:ascii="宋体" w:hAnsi="宋体" w:cs="宋体" w:eastAsia="宋体"/>
          <w:sz w:val="24"/>
        </w:rPr>
        <w:t>质量验证内容</w:t>
      </w:r>
    </w:p>
    <w:p>
      <w:pPr>
        <w:pStyle w:val="null3"/>
        <w:ind w:firstLine="480"/>
        <w:jc w:val="both"/>
      </w:pPr>
      <w:r>
        <w:rPr>
          <w:rFonts w:ascii="calibri" w:hAnsi="calibri" w:cs="calibri" w:eastAsia="calibri"/>
          <w:sz w:val="24"/>
        </w:rPr>
        <w:t xml:space="preserve">3.1 </w:t>
      </w:r>
      <w:r>
        <w:rPr>
          <w:rFonts w:ascii="宋体" w:hAnsi="宋体" w:cs="宋体" w:eastAsia="宋体"/>
          <w:sz w:val="24"/>
        </w:rPr>
        <w:t>供应商将镍带和白铜带材运至复合厂家后，复合厂家根据《镍带供货技术要求》对每一卷镍带进行化学成分和性能测试，对每一卷镍带进行厚度、毛刺、表面质量检查，检验合格后方可投入使用，并将不符合要求的镍带退回给生产厂家</w:t>
      </w:r>
      <w:r>
        <w:rPr>
          <w:rFonts w:ascii="calibri" w:hAnsi="calibri" w:cs="calibri" w:eastAsia="calibri"/>
          <w:sz w:val="24"/>
        </w:rPr>
        <w:t>,</w:t>
      </w:r>
      <w:r>
        <w:rPr>
          <w:rFonts w:ascii="宋体" w:hAnsi="宋体" w:cs="宋体" w:eastAsia="宋体"/>
          <w:sz w:val="24"/>
        </w:rPr>
        <w:t>同时判定质量验证是否通过。</w:t>
      </w:r>
    </w:p>
    <w:p>
      <w:pPr>
        <w:pStyle w:val="null3"/>
        <w:ind w:firstLine="480"/>
        <w:jc w:val="both"/>
      </w:pPr>
      <w:r>
        <w:rPr>
          <w:rFonts w:ascii="calibri" w:hAnsi="calibri" w:cs="calibri" w:eastAsia="calibri"/>
          <w:sz w:val="24"/>
        </w:rPr>
        <w:t xml:space="preserve">3.2 </w:t>
      </w:r>
      <w:r>
        <w:rPr>
          <w:rFonts w:ascii="宋体" w:hAnsi="宋体" w:cs="宋体" w:eastAsia="宋体"/>
          <w:sz w:val="24"/>
        </w:rPr>
        <w:t>供应商带材入厂检验合格后，复合厂家按照生产工艺规程进行生产加工至成品（复合带成品率不低于</w:t>
      </w:r>
      <w:r>
        <w:rPr>
          <w:rFonts w:ascii="calibri" w:hAnsi="calibri" w:cs="calibri" w:eastAsia="calibri"/>
          <w:sz w:val="24"/>
        </w:rPr>
        <w:t>71%</w:t>
      </w:r>
      <w:r>
        <w:rPr>
          <w:rFonts w:ascii="宋体" w:hAnsi="宋体" w:cs="宋体" w:eastAsia="宋体"/>
          <w:sz w:val="24"/>
        </w:rPr>
        <w:t>），加工过程中重点检验表面缺陷，如起皮、气泡、分层。发现表面缺陷后及时对缺陷进行分析，判断是否为原料带材（镍带）质量问题</w:t>
      </w:r>
      <w:r>
        <w:rPr>
          <w:rFonts w:ascii="calibri" w:hAnsi="calibri" w:cs="calibri" w:eastAsia="calibri"/>
          <w:sz w:val="24"/>
        </w:rPr>
        <w:t>,</w:t>
      </w:r>
      <w:r>
        <w:rPr>
          <w:rFonts w:ascii="宋体" w:hAnsi="宋体" w:cs="宋体" w:eastAsia="宋体"/>
          <w:sz w:val="24"/>
        </w:rPr>
        <w:t>同时判定质量验证是否通过。</w:t>
      </w:r>
    </w:p>
    <w:p>
      <w:pPr>
        <w:pStyle w:val="null3"/>
        <w:ind w:firstLine="480"/>
        <w:jc w:val="both"/>
      </w:pPr>
      <w:r>
        <w:rPr>
          <w:rFonts w:ascii="calibri" w:hAnsi="calibri" w:cs="calibri" w:eastAsia="calibri"/>
          <w:sz w:val="24"/>
        </w:rPr>
        <w:t xml:space="preserve">3.3 </w:t>
      </w:r>
      <w:r>
        <w:rPr>
          <w:rFonts w:ascii="宋体" w:hAnsi="宋体" w:cs="宋体" w:eastAsia="宋体"/>
          <w:sz w:val="24"/>
        </w:rPr>
        <w:t>复合供应商负责根据上述第</w:t>
      </w:r>
      <w:r>
        <w:rPr>
          <w:rFonts w:ascii="calibri" w:hAnsi="calibri" w:cs="calibri" w:eastAsia="calibri"/>
          <w:sz w:val="24"/>
        </w:rPr>
        <w:t>3.1</w:t>
      </w:r>
      <w:r>
        <w:rPr>
          <w:rFonts w:ascii="宋体" w:hAnsi="宋体" w:cs="宋体" w:eastAsia="宋体"/>
          <w:sz w:val="24"/>
        </w:rPr>
        <w:t>、</w:t>
      </w:r>
      <w:r>
        <w:rPr>
          <w:rFonts w:ascii="calibri" w:hAnsi="calibri" w:cs="calibri" w:eastAsia="calibri"/>
          <w:sz w:val="24"/>
        </w:rPr>
        <w:t>3.2</w:t>
      </w:r>
      <w:r>
        <w:rPr>
          <w:rFonts w:ascii="宋体" w:hAnsi="宋体" w:cs="宋体" w:eastAsia="宋体"/>
          <w:sz w:val="24"/>
        </w:rPr>
        <w:t>条的要求进行试制带材的质量验证，并给采购人提供验证情况说明，并要求盖章。</w:t>
      </w:r>
    </w:p>
    <w:p>
      <w:pPr>
        <w:pStyle w:val="null3"/>
        <w:ind w:firstLine="480"/>
        <w:jc w:val="both"/>
      </w:pPr>
      <w:r>
        <w:rPr>
          <w:rFonts w:ascii="calibri" w:hAnsi="calibri" w:cs="calibri" w:eastAsia="calibri"/>
          <w:sz w:val="24"/>
        </w:rPr>
        <w:t>3.4</w:t>
      </w:r>
      <w:r>
        <w:rPr>
          <w:rFonts w:ascii="宋体" w:hAnsi="宋体" w:cs="宋体" w:eastAsia="宋体"/>
          <w:sz w:val="24"/>
        </w:rPr>
        <w:t>带材加工至成品后，按照白铜复合镍带的标准要求，对每一卷白铜复合镍带带材取样测试性能，性能合格后，成品带材逐卷进行检验、包装、入库，作出特别标识以便发至采购人进行后续加工验证。</w:t>
      </w:r>
    </w:p>
    <w:p>
      <w:pPr>
        <w:pStyle w:val="null3"/>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spacing w:before="150" w:after="150"/>
        <w:ind w:left="1080"/>
        <w:jc w:val="center"/>
      </w:pPr>
      <w:r>
        <w:rPr>
          <w:rFonts w:ascii="宋体" w:hAnsi="宋体" w:cs="宋体" w:eastAsia="宋体"/>
          <w:sz w:val="24"/>
          <w:b/>
        </w:rPr>
        <w:t>技术要求</w:t>
      </w:r>
    </w:p>
    <w:p>
      <w:pPr>
        <w:pStyle w:val="null3"/>
        <w:jc w:val="both"/>
      </w:pPr>
      <w:r>
        <w:rPr>
          <w:rFonts w:ascii="times new roman, times, serif" w:hAnsi="times new roman, times, serif" w:cs="times new roman, times, serif" w:eastAsia="times new roman, times, serif"/>
          <w:sz w:val="21"/>
        </w:rPr>
        <w:t xml:space="preserve">1  </w:t>
      </w:r>
      <w:r>
        <w:rPr>
          <w:rFonts w:ascii="黑体" w:hAnsi="黑体" w:cs="黑体" w:eastAsia="黑体"/>
          <w:sz w:val="21"/>
        </w:rPr>
        <w:t>牌号、状态及规格</w:t>
      </w:r>
    </w:p>
    <w:p>
      <w:pPr>
        <w:pStyle w:val="null3"/>
        <w:spacing w:before="150" w:after="150"/>
      </w:pPr>
      <w:r>
        <w:rPr>
          <w:rFonts w:ascii="times new roman, times, serif" w:hAnsi="times new roman, times, serif" w:cs="times new roman, times, serif" w:eastAsia="times new roman, times, serif"/>
          <w:sz w:val="21"/>
        </w:rPr>
        <w:t xml:space="preserve">1.1  </w:t>
      </w:r>
      <w:r>
        <w:rPr>
          <w:rFonts w:ascii="宋体" w:hAnsi="宋体" w:cs="宋体" w:eastAsia="宋体"/>
          <w:sz w:val="21"/>
        </w:rPr>
        <w:t>牌号、状态及规格应符合表</w:t>
      </w:r>
      <w:r>
        <w:rPr>
          <w:rFonts w:ascii="&quot;times new roman&quot;" w:hAnsi="&quot;times new roman&quot;" w:cs="&quot;times new roman&quot;" w:eastAsia="&quot;times new roman&quot;"/>
          <w:sz w:val="21"/>
        </w:rPr>
        <w:t>1</w:t>
      </w:r>
      <w:r>
        <w:rPr>
          <w:rFonts w:ascii="宋体" w:hAnsi="宋体" w:cs="宋体" w:eastAsia="宋体"/>
          <w:sz w:val="21"/>
        </w:rPr>
        <w:t>的规定。</w:t>
      </w:r>
    </w:p>
    <w:p>
      <w:pPr>
        <w:pStyle w:val="null3"/>
        <w:jc w:val="center"/>
      </w:pPr>
      <w:r>
        <w:rPr>
          <w:rFonts w:ascii="黑体" w:hAnsi="黑体" w:cs="黑体" w:eastAsia="黑体"/>
          <w:sz w:val="21"/>
        </w:rPr>
        <w:t>表</w:t>
      </w:r>
      <w:r>
        <w:rPr>
          <w:rFonts w:ascii="calibri" w:hAnsi="calibri" w:cs="calibri" w:eastAsia="calibri"/>
          <w:sz w:val="21"/>
        </w:rPr>
        <w:t xml:space="preserve">1 </w:t>
      </w:r>
      <w:r>
        <w:rPr>
          <w:rFonts w:ascii="黑体" w:hAnsi="黑体" w:cs="黑体" w:eastAsia="黑体"/>
          <w:sz w:val="21"/>
        </w:rPr>
        <w:t>牌号、状态及规格</w:t>
      </w:r>
    </w:p>
    <w:p>
      <w:pPr>
        <w:pStyle w:val="null3"/>
        <w:ind w:left="315" w:right="345" w:firstLine="3822"/>
        <w:jc w:val="right"/>
      </w:pPr>
      <w:r>
        <w:rPr>
          <w:rFonts w:ascii="宋体" w:hAnsi="宋体" w:cs="宋体" w:eastAsia="宋体"/>
          <w:sz w:val="21"/>
        </w:rPr>
        <w:t>单位为毫米</w:t>
      </w:r>
    </w:p>
    <w:tbl>
      <w:tblPr>
        <w:tblW w:w="0" w:type="auto"/>
        <w:tblBorders>
          <w:top w:val="none" w:color="000000" w:sz="4"/>
          <w:left w:val="none" w:color="000000" w:sz="4"/>
          <w:bottom w:val="none" w:color="000000" w:sz="4"/>
          <w:right w:val="none" w:color="000000" w:sz="4"/>
          <w:insideH w:val="none"/>
          <w:insideV w:val="none"/>
        </w:tblBorders>
      </w:tblPr>
      <w:tblGrid>
        <w:gridCol w:w="1029"/>
        <w:gridCol w:w="1057"/>
        <w:gridCol w:w="1593"/>
        <w:gridCol w:w="1184"/>
        <w:gridCol w:w="1255"/>
        <w:gridCol w:w="987"/>
        <w:gridCol w:w="1142"/>
      </w:tblGrid>
      <w:tr>
        <w:tc>
          <w:tcPr>
            <w:tcW w:type="dxa" w:w="10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牌号</w:t>
            </w: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品种</w:t>
            </w:r>
          </w:p>
        </w:tc>
        <w:tc>
          <w:tcPr>
            <w:tcW w:type="dxa" w:w="1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状态</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公称厚度</w:t>
            </w:r>
          </w:p>
        </w:tc>
        <w:tc>
          <w:tcPr>
            <w:tcW w:type="dxa" w:w="1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厚度</w:t>
            </w:r>
            <w:r>
              <w:rPr>
                <w:rFonts w:ascii="宋体" w:hAnsi="宋体" w:cs="宋体" w:eastAsia="宋体"/>
                <w:sz w:val="21"/>
              </w:rPr>
              <w:t>允许偏差</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公称宽度</w:t>
            </w:r>
          </w:p>
        </w:tc>
        <w:tc>
          <w:tcPr>
            <w:tcW w:type="dxa" w:w="1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宽度</w:t>
            </w:r>
            <w:r>
              <w:rPr>
                <w:rFonts w:ascii="宋体" w:hAnsi="宋体" w:cs="宋体" w:eastAsia="宋体"/>
                <w:sz w:val="21"/>
              </w:rPr>
              <w:t>允许偏差</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镍</w:t>
            </w:r>
            <w:r>
              <w:rPr>
                <w:rFonts w:ascii="calibri" w:hAnsi="calibri" w:cs="calibri" w:eastAsia="calibri"/>
                <w:sz w:val="21"/>
              </w:rPr>
              <w:t>N6</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带材</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M</w:t>
            </w:r>
            <w:r>
              <w:rPr>
                <w:rFonts w:ascii="宋体" w:hAnsi="宋体" w:cs="宋体" w:eastAsia="宋体"/>
                <w:sz w:val="21"/>
              </w:rPr>
              <w:t>（完</w:t>
            </w:r>
            <w:r>
              <w:rPr>
                <w:rFonts w:ascii="宋体" w:hAnsi="宋体" w:cs="宋体" w:eastAsia="宋体"/>
                <w:sz w:val="21"/>
              </w:rPr>
              <w:t>全退火态</w:t>
            </w:r>
            <w:r>
              <w:rPr>
                <w:rFonts w:ascii="宋体" w:hAnsi="宋体" w:cs="宋体" w:eastAsia="宋体"/>
                <w:sz w:val="21"/>
              </w:rPr>
              <w:t>）</w:t>
            </w:r>
          </w:p>
          <w:p>
            <w:pPr>
              <w:pStyle w:val="null3"/>
              <w:jc w:val="center"/>
            </w:pPr>
            <w:r>
              <w:rPr>
                <w:rFonts w:ascii="calibri" w:hAnsi="calibri" w:cs="calibri" w:eastAsia="calibri"/>
                <w:sz w:val="21"/>
              </w:rPr>
              <w:t>80 HV</w:t>
            </w:r>
            <w:r>
              <w:rPr>
                <w:rFonts w:ascii="calibri" w:hAnsi="calibri" w:cs="calibri" w:eastAsia="calibri"/>
                <w:sz w:val="21"/>
              </w:rPr>
              <w:t>5</w:t>
            </w:r>
            <w:r>
              <w:rPr>
                <w:rFonts w:ascii="宋体" w:hAnsi="宋体" w:cs="宋体" w:eastAsia="宋体"/>
                <w:sz w:val="21"/>
              </w:rPr>
              <w:t>～</w:t>
            </w:r>
            <w:r>
              <w:rPr>
                <w:rFonts w:ascii="calibri" w:hAnsi="calibri" w:cs="calibri" w:eastAsia="calibri"/>
                <w:sz w:val="21"/>
              </w:rPr>
              <w:t>110 HV</w:t>
            </w:r>
            <w:r>
              <w:rPr>
                <w:rFonts w:ascii="calibri" w:hAnsi="calibri" w:cs="calibri" w:eastAsia="calibri"/>
                <w:sz w:val="21"/>
              </w:rPr>
              <w:t>5</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0.70</w:t>
            </w:r>
          </w:p>
        </w:tc>
        <w:tc>
          <w:tcPr>
            <w:tcW w:type="dxa" w:w="1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±0.02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205</w:t>
            </w:r>
            <w:r>
              <w:rPr>
                <w:rFonts w:ascii="宋体" w:hAnsi="宋体" w:cs="宋体" w:eastAsia="宋体"/>
                <w:sz w:val="21"/>
              </w:rPr>
              <w:t>或</w:t>
            </w:r>
            <w:r>
              <w:rPr>
                <w:rFonts w:ascii="calibri" w:hAnsi="calibri" w:cs="calibri" w:eastAsia="calibri"/>
                <w:sz w:val="21"/>
              </w:rPr>
              <w:t>304</w:t>
            </w:r>
          </w:p>
        </w:tc>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.00</w:t>
            </w:r>
          </w:p>
          <w:p>
            <w:pPr>
              <w:pStyle w:val="null3"/>
              <w:ind w:firstLine="420"/>
            </w:pP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w:t>
            </w:r>
          </w:p>
        </w:tc>
      </w:tr>
    </w:tbl>
    <w:p>
      <w:pPr>
        <w:pStyle w:val="null3"/>
        <w:ind w:firstLine="420"/>
      </w:pPr>
      <w:r>
        <w:rPr>
          <w:rFonts w:ascii="宋体" w:hAnsi="宋体" w:cs="宋体" w:eastAsia="宋体"/>
          <w:sz w:val="21"/>
        </w:rPr>
        <w:t>标记示例：用</w:t>
      </w:r>
      <w:r>
        <w:rPr>
          <w:rFonts w:ascii="&quot;times new roman&quot;" w:hAnsi="&quot;times new roman&quot;" w:cs="&quot;times new roman&quot;" w:eastAsia="&quot;times new roman&quot;"/>
          <w:sz w:val="21"/>
        </w:rPr>
        <w:t>N6</w:t>
      </w:r>
      <w:r>
        <w:rPr>
          <w:rFonts w:ascii="宋体" w:hAnsi="宋体" w:cs="宋体" w:eastAsia="宋体"/>
          <w:sz w:val="21"/>
        </w:rPr>
        <w:t>制造的、完</w:t>
      </w:r>
      <w:r>
        <w:rPr>
          <w:rFonts w:ascii="宋体" w:hAnsi="宋体" w:cs="宋体" w:eastAsia="宋体"/>
          <w:sz w:val="21"/>
        </w:rPr>
        <w:t>全退火态</w:t>
      </w:r>
      <w:r>
        <w:rPr>
          <w:rFonts w:ascii="宋体" w:hAnsi="宋体" w:cs="宋体" w:eastAsia="宋体"/>
          <w:sz w:val="21"/>
        </w:rPr>
        <w:t>、厚度为</w:t>
      </w:r>
      <w:r>
        <w:rPr>
          <w:rFonts w:ascii="&quot;times new roman&quot;" w:hAnsi="&quot;times new roman&quot;" w:cs="&quot;times new roman&quot;" w:eastAsia="&quot;times new roman&quot;"/>
          <w:sz w:val="21"/>
        </w:rPr>
        <w:t>0.70 mm</w:t>
      </w:r>
      <w:r>
        <w:rPr>
          <w:rFonts w:ascii="宋体" w:hAnsi="宋体" w:cs="宋体" w:eastAsia="宋体"/>
          <w:sz w:val="21"/>
        </w:rPr>
        <w:t>、宽度为</w:t>
      </w:r>
      <w:r>
        <w:rPr>
          <w:rFonts w:ascii="times new roman, times, serif" w:hAnsi="times new roman, times, serif" w:cs="times new roman, times, serif" w:eastAsia="times new roman, times, serif"/>
          <w:sz w:val="21"/>
        </w:rPr>
        <w:t>205 mm</w:t>
      </w:r>
      <w:r>
        <w:rPr>
          <w:rFonts w:ascii="宋体" w:hAnsi="宋体" w:cs="宋体" w:eastAsia="宋体"/>
          <w:sz w:val="21"/>
        </w:rPr>
        <w:t>的带材标记</w:t>
      </w:r>
      <w:r>
        <w:br/>
      </w:r>
      <w:r>
        <w:rPr>
          <w:rFonts w:ascii="宋体" w:hAnsi="宋体" w:cs="宋体" w:eastAsia="宋体"/>
          <w:sz w:val="21"/>
        </w:rPr>
        <w:t>为：带</w:t>
      </w:r>
      <w:r>
        <w:rPr>
          <w:rFonts w:ascii="&quot;times new roman&quot;" w:hAnsi="&quot;times new roman&quot;" w:cs="&quot;times new roman&quot;" w:eastAsia="&quot;times new roman&quot;"/>
          <w:sz w:val="21"/>
        </w:rPr>
        <w:t>N6</w:t>
      </w:r>
      <w:r>
        <w:rPr>
          <w:rFonts w:ascii="&quot;times new roman&quot;" w:hAnsi="&quot;times new roman&quot;" w:cs="&quot;times new roman&quot;" w:eastAsia="&quot;times new roman&quot;"/>
          <w:sz w:val="21"/>
        </w:rPr>
        <w:t xml:space="preserve">  M</w:t>
      </w:r>
      <w:r>
        <w:rPr/>
        <w:t xml:space="preserve">   </w:t>
      </w:r>
      <w:r>
        <w:rPr>
          <w:rFonts w:ascii="&quot;times new roman&quot;" w:hAnsi="&quot;times new roman&quot;" w:cs="&quot;times new roman&quot;" w:eastAsia="&quot;times new roman&quot;"/>
          <w:sz w:val="21"/>
        </w:rPr>
        <w:t>0.70×205</w:t>
      </w:r>
    </w:p>
    <w:p>
      <w:pPr>
        <w:pStyle w:val="null3"/>
        <w:spacing w:before="150" w:after="150"/>
      </w:pPr>
      <w:r>
        <w:rPr>
          <w:rFonts w:ascii="times new roman, times, serif" w:hAnsi="times new roman, times, serif" w:cs="times new roman, times, serif" w:eastAsia="times new roman, times, serif"/>
          <w:sz w:val="21"/>
        </w:rPr>
        <w:t xml:space="preserve">1.2  </w:t>
      </w:r>
      <w:r>
        <w:rPr>
          <w:rFonts w:ascii="宋体" w:hAnsi="宋体" w:cs="宋体" w:eastAsia="宋体"/>
          <w:sz w:val="21"/>
        </w:rPr>
        <w:t>复合用的镍带卷内径为</w:t>
      </w:r>
      <w:r>
        <w:rPr>
          <w:rFonts w:ascii="times new roman, times, serif" w:hAnsi="times new roman, times, serif" w:cs="times new roman, times, serif" w:eastAsia="times new roman, times, serif"/>
          <w:sz w:val="21"/>
        </w:rPr>
        <w:t>Φ500 mm±10 mm</w:t>
      </w:r>
      <w:r>
        <w:rPr>
          <w:rFonts w:ascii="宋体" w:hAnsi="宋体" w:cs="宋体" w:eastAsia="宋体"/>
          <w:sz w:val="21"/>
        </w:rPr>
        <w:t>。</w:t>
      </w:r>
    </w:p>
    <w:p>
      <w:pPr>
        <w:pStyle w:val="null3"/>
        <w:spacing w:before="150" w:after="150"/>
      </w:pPr>
      <w:r>
        <w:rPr>
          <w:rFonts w:ascii="times new roman, times, serif" w:hAnsi="times new roman, times, serif" w:cs="times new roman, times, serif" w:eastAsia="times new roman, times, serif"/>
          <w:sz w:val="21"/>
        </w:rPr>
        <w:t xml:space="preserve">1.3  </w:t>
      </w:r>
      <w:r>
        <w:rPr>
          <w:rFonts w:ascii="宋体" w:hAnsi="宋体" w:cs="宋体" w:eastAsia="宋体"/>
          <w:sz w:val="21"/>
        </w:rPr>
        <w:t>宽度为</w:t>
      </w:r>
      <w:r>
        <w:rPr>
          <w:rFonts w:ascii="&quot;times new roman&quot;" w:hAnsi="&quot;times new roman&quot;" w:cs="&quot;times new roman&quot;" w:eastAsia="&quot;times new roman&quot;"/>
          <w:sz w:val="21"/>
        </w:rPr>
        <w:t>205</w:t>
      </w:r>
      <w:r>
        <w:rPr/>
        <w:t xml:space="preserve"> </w:t>
      </w:r>
      <w:r>
        <w:rPr>
          <w:rFonts w:ascii="&quot;times new roman&quot;" w:hAnsi="&quot;times new roman&quot;" w:cs="&quot;times new roman&quot;" w:eastAsia="&quot;times new roman&quot;"/>
          <w:sz w:val="21"/>
        </w:rPr>
        <w:t>mm</w:t>
      </w:r>
      <w:r>
        <w:rPr>
          <w:rFonts w:ascii="宋体" w:hAnsi="宋体" w:cs="宋体" w:eastAsia="宋体"/>
          <w:sz w:val="21"/>
        </w:rPr>
        <w:t>的带材，每卷重量为</w:t>
      </w:r>
      <w:r>
        <w:rPr>
          <w:rFonts w:ascii="times new roman, times, serif" w:hAnsi="times new roman, times, serif" w:cs="times new roman, times, serif" w:eastAsia="times new roman, times, serif"/>
          <w:sz w:val="21"/>
        </w:rPr>
        <w:t>200 kg±5 kg</w:t>
      </w:r>
      <w:r>
        <w:rPr>
          <w:rFonts w:ascii="宋体" w:hAnsi="宋体" w:cs="宋体" w:eastAsia="宋体"/>
          <w:sz w:val="21"/>
        </w:rPr>
        <w:t>、</w:t>
      </w:r>
      <w:r>
        <w:rPr>
          <w:rFonts w:ascii="times new roman, times, serif" w:hAnsi="times new roman, times, serif" w:cs="times new roman, times, serif" w:eastAsia="times new roman, times, serif"/>
          <w:sz w:val="21"/>
        </w:rPr>
        <w:t>400 kg±5</w:t>
      </w:r>
      <w:r>
        <w:rPr/>
        <w:t xml:space="preserve"> </w:t>
      </w:r>
      <w:r>
        <w:rPr>
          <w:rFonts w:ascii="&quot;times new roman&quot;" w:hAnsi="&quot;times new roman&quot;" w:cs="&quot;times new roman&quot;" w:eastAsia="&quot;times new roman&quot;"/>
          <w:sz w:val="21"/>
        </w:rPr>
        <w:t>kg</w:t>
      </w:r>
      <w:r>
        <w:rPr>
          <w:rFonts w:ascii="宋体" w:hAnsi="宋体" w:cs="宋体" w:eastAsia="宋体"/>
          <w:sz w:val="21"/>
        </w:rPr>
        <w:t>或</w:t>
      </w:r>
      <w:r>
        <w:rPr>
          <w:rFonts w:ascii="times new roman, times, serif" w:hAnsi="times new roman, times, serif" w:cs="times new roman, times, serif" w:eastAsia="times new roman, times, serif"/>
          <w:sz w:val="21"/>
        </w:rPr>
        <w:t>400 kg</w:t>
      </w:r>
      <w:r>
        <w:rPr>
          <w:rFonts w:ascii="宋体" w:hAnsi="宋体" w:cs="宋体" w:eastAsia="宋体"/>
          <w:sz w:val="21"/>
        </w:rPr>
        <w:t>的整数倍</w:t>
      </w:r>
      <w:r>
        <w:rPr>
          <w:rFonts w:ascii="times new roman, times, serif" w:hAnsi="times new roman, times, serif" w:cs="times new roman, times, serif" w:eastAsia="times new roman, times, serif"/>
          <w:sz w:val="21"/>
        </w:rPr>
        <w:t>±10 kg</w:t>
      </w:r>
      <w:r>
        <w:rPr>
          <w:rFonts w:ascii="宋体" w:hAnsi="宋体" w:cs="宋体" w:eastAsia="宋体"/>
          <w:sz w:val="21"/>
        </w:rPr>
        <w:t>。宽度为</w:t>
      </w:r>
      <w:r>
        <w:rPr>
          <w:rFonts w:ascii="times new roman, times, serif" w:hAnsi="times new roman, times, serif" w:cs="times new roman, times, serif" w:eastAsia="times new roman, times, serif"/>
          <w:sz w:val="21"/>
        </w:rPr>
        <w:t>304 mm</w:t>
      </w:r>
      <w:r>
        <w:rPr>
          <w:rFonts w:ascii="宋体" w:hAnsi="宋体" w:cs="宋体" w:eastAsia="宋体"/>
          <w:sz w:val="21"/>
        </w:rPr>
        <w:t>的带材，每卷重量为</w:t>
      </w:r>
      <w:r>
        <w:rPr>
          <w:rFonts w:ascii="times new roman, times, serif" w:hAnsi="times new roman, times, serif" w:cs="times new roman, times, serif" w:eastAsia="times new roman, times, serif"/>
          <w:sz w:val="21"/>
        </w:rPr>
        <w:t>510 kg±10 kg</w:t>
      </w:r>
      <w:r>
        <w:rPr>
          <w:rFonts w:ascii="宋体" w:hAnsi="宋体" w:cs="宋体" w:eastAsia="宋体"/>
          <w:sz w:val="21"/>
        </w:rPr>
        <w:t>或</w:t>
      </w:r>
      <w:r>
        <w:rPr>
          <w:rFonts w:ascii="times new roman, times, serif" w:hAnsi="times new roman, times, serif" w:cs="times new roman, times, serif" w:eastAsia="times new roman, times, serif"/>
          <w:sz w:val="21"/>
        </w:rPr>
        <w:t>510 kg</w:t>
      </w:r>
      <w:r>
        <w:rPr>
          <w:rFonts w:ascii="宋体" w:hAnsi="宋体" w:cs="宋体" w:eastAsia="宋体"/>
          <w:sz w:val="21"/>
        </w:rPr>
        <w:t>的整数倍</w:t>
      </w:r>
      <w:r>
        <w:rPr>
          <w:rFonts w:ascii="times new roman, times, serif" w:hAnsi="times new roman, times, serif" w:cs="times new roman, times, serif" w:eastAsia="times new roman, times, serif"/>
          <w:sz w:val="21"/>
        </w:rPr>
        <w:t>±10</w:t>
      </w:r>
      <w:r>
        <w:rPr/>
        <w:t xml:space="preserve"> </w:t>
      </w:r>
      <w:r>
        <w:rPr>
          <w:rFonts w:ascii="&quot;times new roman&quot;" w:hAnsi="&quot;times new roman&quot;" w:cs="&quot;times new roman&quot;" w:eastAsia="&quot;times new roman&quot;"/>
          <w:sz w:val="21"/>
        </w:rPr>
        <w:t>kg</w:t>
      </w:r>
      <w:r>
        <w:rPr>
          <w:rFonts w:ascii="宋体" w:hAnsi="宋体" w:cs="宋体" w:eastAsia="宋体"/>
          <w:sz w:val="21"/>
        </w:rPr>
        <w:t>。</w:t>
      </w:r>
    </w:p>
    <w:p>
      <w:pPr>
        <w:pStyle w:val="null3"/>
        <w:spacing w:before="150" w:after="150"/>
      </w:pPr>
      <w:r>
        <w:rPr>
          <w:rFonts w:ascii="times new roman, times, serif" w:hAnsi="times new roman, times, serif" w:cs="times new roman, times, serif" w:eastAsia="times new roman, times, serif"/>
          <w:sz w:val="21"/>
        </w:rPr>
        <w:t xml:space="preserve">1.4  </w:t>
      </w:r>
      <w:r>
        <w:rPr>
          <w:rFonts w:ascii="宋体" w:hAnsi="宋体" w:cs="宋体" w:eastAsia="宋体"/>
          <w:sz w:val="21"/>
        </w:rPr>
        <w:t>带材的两边应切齐，不允许存在目视可见的毛刺，裂边和卷边。</w:t>
      </w:r>
    </w:p>
    <w:p>
      <w:pPr>
        <w:pStyle w:val="null3"/>
        <w:spacing w:before="150" w:after="150"/>
      </w:pPr>
      <w:r>
        <w:rPr>
          <w:rFonts w:ascii="times new roman, times, serif" w:hAnsi="times new roman, times, serif" w:cs="times new roman, times, serif" w:eastAsia="times new roman, times, serif"/>
          <w:sz w:val="21"/>
        </w:rPr>
        <w:t xml:space="preserve">1.5  </w:t>
      </w:r>
      <w:r>
        <w:rPr>
          <w:rFonts w:ascii="宋体" w:hAnsi="宋体" w:cs="宋体" w:eastAsia="宋体"/>
          <w:sz w:val="21"/>
        </w:rPr>
        <w:t>带材外形应平直，带材在长度方向上的不平度每米不大于</w:t>
      </w:r>
      <w:r>
        <w:rPr>
          <w:rFonts w:ascii="&quot;times new roman&quot;" w:hAnsi="&quot;times new roman&quot;" w:cs="&quot;times new roman&quot;" w:eastAsia="&quot;times new roman&quot;"/>
          <w:sz w:val="21"/>
        </w:rPr>
        <w:t>10 mm</w:t>
      </w:r>
      <w:r>
        <w:rPr>
          <w:rFonts w:ascii="宋体" w:hAnsi="宋体" w:cs="宋体" w:eastAsia="宋体"/>
          <w:sz w:val="21"/>
        </w:rPr>
        <w:t>或不大于长度的</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spacing w:before="150" w:after="150"/>
      </w:pPr>
      <w:r>
        <w:rPr>
          <w:rFonts w:ascii="times new roman, times, serif" w:hAnsi="times new roman, times, serif" w:cs="times new roman, times, serif" w:eastAsia="times new roman, times, serif"/>
          <w:sz w:val="21"/>
        </w:rPr>
        <w:t xml:space="preserve">1.6  </w:t>
      </w:r>
      <w:r>
        <w:rPr>
          <w:rFonts w:ascii="宋体" w:hAnsi="宋体" w:cs="宋体" w:eastAsia="宋体"/>
          <w:sz w:val="21"/>
        </w:rPr>
        <w:t>带材侧弯不超过</w:t>
      </w:r>
      <w:r>
        <w:rPr>
          <w:rFonts w:ascii="&quot;times new roman&quot;" w:hAnsi="&quot;times new roman&quot;" w:cs="&quot;times new roman&quot;" w:eastAsia="&quot;times new roman&quot;"/>
          <w:sz w:val="21"/>
        </w:rPr>
        <w:t>2</w:t>
      </w:r>
      <w:r>
        <w:rPr/>
        <w:t xml:space="preserve"> </w:t>
      </w:r>
      <w:r>
        <w:rPr>
          <w:rFonts w:ascii="&quot;times new roman&quot;" w:hAnsi="&quot;times new roman&quot;" w:cs="&quot;times new roman&quot;" w:eastAsia="&quot;times new roman&quot;"/>
          <w:sz w:val="21"/>
        </w:rPr>
        <w:t>mm/m</w:t>
      </w:r>
      <w:r>
        <w:rPr>
          <w:rFonts w:ascii="宋体" w:hAnsi="宋体" w:cs="宋体" w:eastAsia="宋体"/>
          <w:sz w:val="21"/>
        </w:rPr>
        <w:t>；带卷塔形度小于</w:t>
      </w:r>
      <w:r>
        <w:rPr>
          <w:rFonts w:ascii="times new roman, times, serif" w:hAnsi="times new roman, times, serif" w:cs="times new roman, times, serif" w:eastAsia="times new roman, times, serif"/>
          <w:sz w:val="21"/>
        </w:rPr>
        <w:t>2 mm</w:t>
      </w:r>
      <w:r>
        <w:rPr>
          <w:rFonts w:ascii="宋体" w:hAnsi="宋体" w:cs="宋体" w:eastAsia="宋体"/>
          <w:sz w:val="21"/>
        </w:rPr>
        <w:t>。</w:t>
      </w:r>
    </w:p>
    <w:p>
      <w:pPr>
        <w:pStyle w:val="null3"/>
        <w:spacing w:before="150" w:after="150"/>
      </w:pPr>
      <w:r>
        <w:rPr>
          <w:rFonts w:ascii="times new roman, times, serif" w:hAnsi="times new roman, times, serif" w:cs="times new roman, times, serif" w:eastAsia="times new roman, times, serif"/>
          <w:sz w:val="21"/>
        </w:rPr>
        <w:t xml:space="preserve">2  </w:t>
      </w:r>
      <w:r>
        <w:rPr>
          <w:rFonts w:ascii="黑体" w:hAnsi="黑体" w:cs="黑体" w:eastAsia="黑体"/>
          <w:sz w:val="21"/>
        </w:rPr>
        <w:t>化学成分</w:t>
      </w:r>
    </w:p>
    <w:p>
      <w:pPr>
        <w:pStyle w:val="null3"/>
        <w:ind w:firstLine="420"/>
      </w:pPr>
      <w:r>
        <w:rPr>
          <w:rFonts w:ascii="宋体" w:hAnsi="宋体" w:cs="宋体" w:eastAsia="宋体"/>
          <w:sz w:val="21"/>
        </w:rPr>
        <w:t>带材的化学成分应符合表</w:t>
      </w:r>
      <w:r>
        <w:rPr>
          <w:rFonts w:ascii="&quot;times new roman&quot;" w:hAnsi="&quot;times new roman&quot;" w:cs="&quot;times new roman&quot;" w:eastAsia="&quot;times new roman&quot;"/>
          <w:sz w:val="21"/>
        </w:rPr>
        <w:t>2</w:t>
      </w:r>
      <w:r>
        <w:rPr>
          <w:rFonts w:ascii="宋体" w:hAnsi="宋体" w:cs="宋体" w:eastAsia="宋体"/>
          <w:sz w:val="21"/>
        </w:rPr>
        <w:t>的规定。</w:t>
      </w:r>
    </w:p>
    <w:p>
      <w:pPr>
        <w:pStyle w:val="null3"/>
        <w:jc w:val="center"/>
      </w:pPr>
      <w:r>
        <w:rPr>
          <w:rFonts w:ascii="宋体" w:hAnsi="宋体" w:cs="宋体" w:eastAsia="宋体"/>
          <w:sz w:val="21"/>
        </w:rPr>
        <w:t>表</w:t>
      </w:r>
      <w:r>
        <w:rPr>
          <w:rFonts w:ascii="calibri" w:hAnsi="calibri" w:cs="calibri" w:eastAsia="calibri"/>
          <w:sz w:val="21"/>
        </w:rPr>
        <w:t xml:space="preserve">2 </w:t>
      </w:r>
      <w:r>
        <w:rPr>
          <w:rFonts w:ascii="宋体" w:hAnsi="宋体" w:cs="宋体" w:eastAsia="宋体"/>
          <w:sz w:val="21"/>
        </w:rPr>
        <w:t>镍带主要化学成分</w:t>
      </w:r>
    </w:p>
    <w:p>
      <w:pPr>
        <w:pStyle w:val="null3"/>
        <w:jc w:val="right"/>
      </w:pPr>
      <w:r>
        <w:rPr>
          <w:rFonts w:ascii="宋体" w:hAnsi="宋体" w:cs="宋体" w:eastAsia="宋体"/>
          <w:sz w:val="21"/>
        </w:rPr>
        <w:t>单位重量百分比</w:t>
      </w:r>
    </w:p>
    <w:tbl>
      <w:tblPr>
        <w:tblW w:w="0" w:type="auto"/>
        <w:tblBorders>
          <w:top w:val="none" w:color="000000" w:sz="4"/>
          <w:left w:val="none" w:color="000000" w:sz="4"/>
          <w:bottom w:val="none" w:color="000000" w:sz="4"/>
          <w:right w:val="none" w:color="000000" w:sz="4"/>
          <w:insideH w:val="none"/>
          <w:insideV w:val="none"/>
        </w:tblBorders>
      </w:tblPr>
      <w:tblGrid>
        <w:gridCol w:w="743"/>
        <w:gridCol w:w="743"/>
        <w:gridCol w:w="743"/>
        <w:gridCol w:w="743"/>
        <w:gridCol w:w="743"/>
        <w:gridCol w:w="743"/>
        <w:gridCol w:w="743"/>
        <w:gridCol w:w="743"/>
        <w:gridCol w:w="743"/>
        <w:gridCol w:w="743"/>
        <w:gridCol w:w="743"/>
      </w:tblGrid>
      <w:tr>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牌号</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Ni+Co</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Cu</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Si</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Mn</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C</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Mg</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S</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P</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Fe</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杂质</w:t>
            </w:r>
          </w:p>
          <w:p>
            <w:pPr>
              <w:pStyle w:val="null3"/>
              <w:ind w:left="-105" w:right="-105"/>
              <w:jc w:val="center"/>
            </w:pPr>
            <w:r>
              <w:rPr>
                <w:rFonts w:ascii="宋体" w:hAnsi="宋体" w:cs="宋体" w:eastAsia="宋体"/>
                <w:sz w:val="21"/>
              </w:rPr>
              <w:t>总和</w:t>
            </w:r>
          </w:p>
        </w:tc>
      </w:tr>
      <w:tr>
        <w:tc>
          <w:tcPr>
            <w:tcW w:type="dxa" w:w="7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镍</w:t>
            </w:r>
            <w:r>
              <w:rPr>
                <w:rFonts w:ascii="宋体" w:hAnsi="宋体" w:cs="宋体" w:eastAsia="宋体"/>
                <w:sz w:val="21"/>
              </w:rPr>
              <w:t>N6</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99.5</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w:t>
            </w:r>
          </w:p>
        </w:tc>
        <w:tc>
          <w:tcPr>
            <w:tcW w:type="dxa" w:w="7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≤0.5</w:t>
            </w:r>
          </w:p>
        </w:tc>
      </w:tr>
      <w:tr>
        <w:tc>
          <w:tcPr>
            <w:tcW w:type="dxa" w:w="743"/>
            <w:vMerge/>
            <w:tcBorders>
              <w:top w:val="none" w:color="000000" w:sz="4"/>
              <w:left w:val="single" w:color="000000" w:sz="4"/>
              <w:bottom w:val="single" w:color="000000" w:sz="4"/>
              <w:right w:val="single" w:color="000000" w:sz="4"/>
            </w:tcBorders>
          </w:tcP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100.0</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0.06</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0.10</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0.05</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0.10</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0.10</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0.005</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0.002</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0.10</w:t>
            </w:r>
          </w:p>
        </w:tc>
        <w:tc>
          <w:tcPr>
            <w:tcW w:type="dxa" w:w="743"/>
            <w:vMerge/>
            <w:tcBorders>
              <w:top w:val="none" w:color="000000" w:sz="4"/>
              <w:left w:val="single" w:color="000000" w:sz="4"/>
              <w:bottom w:val="single" w:color="000000" w:sz="4"/>
              <w:right w:val="single" w:color="000000" w:sz="4"/>
            </w:tcBorders>
          </w:tcPr>
          <w:p/>
        </w:tc>
      </w:tr>
    </w:tbl>
    <w:p>
      <w:pPr>
        <w:pStyle w:val="null3"/>
        <w:spacing w:before="150" w:after="150"/>
      </w:pPr>
      <w:r>
        <w:rPr>
          <w:rFonts w:ascii="times new roman, times, serif" w:hAnsi="times new roman, times, serif" w:cs="times new roman, times, serif" w:eastAsia="times new roman, times, serif"/>
          <w:sz w:val="21"/>
        </w:rPr>
        <w:t xml:space="preserve">3  </w:t>
      </w:r>
      <w:r>
        <w:rPr>
          <w:rFonts w:ascii="黑体" w:hAnsi="黑体" w:cs="黑体" w:eastAsia="黑体"/>
          <w:sz w:val="21"/>
        </w:rPr>
        <w:t>表面质量</w:t>
      </w:r>
    </w:p>
    <w:p>
      <w:pPr>
        <w:pStyle w:val="null3"/>
        <w:spacing w:before="150" w:after="150"/>
      </w:pPr>
      <w:r>
        <w:rPr>
          <w:rFonts w:ascii="宋体" w:hAnsi="宋体" w:cs="宋体" w:eastAsia="宋体"/>
          <w:sz w:val="21"/>
        </w:rPr>
        <w:t>带材表面应光滑、清洁</w:t>
      </w:r>
      <w:r>
        <w:rPr>
          <w:rFonts w:ascii="宋体" w:hAnsi="宋体" w:cs="宋体" w:eastAsia="宋体"/>
          <w:sz w:val="21"/>
        </w:rPr>
        <w:t>，</w:t>
      </w:r>
      <w:r>
        <w:rPr>
          <w:rFonts w:ascii="宋体" w:hAnsi="宋体" w:cs="宋体" w:eastAsia="宋体"/>
          <w:sz w:val="21"/>
        </w:rPr>
        <w:t>不应有裂纹、气泡、起皮、起刺、分层、压折、绿锈和夹杂等缺陷。</w:t>
      </w:r>
    </w:p>
    <w:p>
      <w:pPr>
        <w:pStyle w:val="null3"/>
        <w:spacing w:before="150" w:after="150"/>
      </w:pPr>
      <w:r>
        <w:rPr>
          <w:rFonts w:ascii="times new roman, times, serif" w:hAnsi="times new roman, times, serif" w:cs="times new roman, times, serif" w:eastAsia="times new roman, times, serif"/>
          <w:sz w:val="21"/>
        </w:rPr>
        <w:t xml:space="preserve">4  </w:t>
      </w:r>
      <w:r>
        <w:rPr>
          <w:rFonts w:ascii="黑体" w:hAnsi="黑体" w:cs="黑体" w:eastAsia="黑体"/>
          <w:sz w:val="21"/>
        </w:rPr>
        <w:t>带材</w:t>
      </w:r>
      <w:r>
        <w:rPr>
          <w:rFonts w:ascii="黑体" w:hAnsi="黑体" w:cs="黑体" w:eastAsia="黑体"/>
          <w:sz w:val="21"/>
        </w:rPr>
        <w:t>表面</w:t>
      </w:r>
      <w:r>
        <w:rPr>
          <w:rFonts w:ascii="黑体" w:hAnsi="黑体" w:cs="黑体" w:eastAsia="黑体"/>
          <w:sz w:val="21"/>
        </w:rPr>
        <w:t>粗糙度</w:t>
      </w:r>
    </w:p>
    <w:p>
      <w:pPr>
        <w:pStyle w:val="null3"/>
        <w:spacing w:before="150" w:after="150"/>
        <w:ind w:firstLine="420"/>
      </w:pPr>
      <w:r>
        <w:rPr>
          <w:rFonts w:ascii="宋体" w:hAnsi="宋体" w:cs="宋体" w:eastAsia="宋体"/>
          <w:sz w:val="21"/>
        </w:rPr>
        <w:t>带材表面粗糙度</w:t>
      </w:r>
      <w:r>
        <w:rPr>
          <w:rFonts w:ascii="&quot;times new roman&quot;" w:hAnsi="&quot;times new roman&quot;" w:cs="&quot;times new roman&quot;" w:eastAsia="&quot;times new roman&quot;"/>
          <w:sz w:val="21"/>
        </w:rPr>
        <w:t>Ra≤0.4 μm</w:t>
      </w:r>
      <w:r>
        <w:rPr>
          <w:rFonts w:ascii="宋体" w:hAnsi="宋体" w:cs="宋体" w:eastAsia="宋体"/>
          <w:sz w:val="21"/>
        </w:rPr>
        <w:t>。</w:t>
      </w:r>
    </w:p>
    <w:p>
      <w:pPr>
        <w:pStyle w:val="null3"/>
        <w:spacing w:after="120"/>
        <w:ind w:left="105" w:firstLine="21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20"/>
        <w:ind w:left="105" w:firstLine="240"/>
        <w:jc w:val="left"/>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w:t>
      </w:r>
      <w:r>
        <w:rPr>
          <w:rFonts w:ascii="宋体" w:hAnsi="宋体" w:cs="宋体" w:eastAsia="宋体"/>
          <w:sz w:val="24"/>
        </w:rPr>
        <w:t>验收主体</w:t>
      </w:r>
    </w:p>
    <w:p>
      <w:pPr>
        <w:pStyle w:val="null3"/>
        <w:ind w:left="720" w:firstLine="480"/>
      </w:pPr>
      <w:r>
        <w:rPr>
          <w:rFonts w:ascii="宋体" w:hAnsi="宋体" w:cs="宋体" w:eastAsia="宋体"/>
          <w:sz w:val="24"/>
        </w:rPr>
        <w:t>采购人（需求部门）</w:t>
      </w:r>
      <w:r>
        <w:rPr>
          <w:rFonts w:ascii="宋体" w:hAnsi="宋体" w:cs="宋体" w:eastAsia="宋体"/>
          <w:sz w:val="24"/>
          <w:u w:val="single"/>
        </w:rPr>
        <w:t xml:space="preserve"> </w:t>
      </w:r>
      <w:r>
        <w:rPr>
          <w:rFonts w:ascii="宋体" w:hAnsi="宋体" w:cs="宋体" w:eastAsia="宋体"/>
          <w:sz w:val="24"/>
          <w:u w:val="single"/>
        </w:rPr>
        <w:t>沈阳造币有限公司物资管理部</w:t>
      </w:r>
      <w:r>
        <w:rPr>
          <w:rFonts w:ascii="宋体" w:hAnsi="宋体" w:cs="宋体" w:eastAsia="宋体"/>
          <w:sz w:val="24"/>
          <w:u w:val="single"/>
        </w:rPr>
        <w:t xml:space="preserve">  </w:t>
      </w:r>
    </w:p>
    <w:p>
      <w:pPr>
        <w:pStyle w:val="null3"/>
        <w:ind w:left="720" w:firstLine="480"/>
      </w:pPr>
      <w:r>
        <w:rPr>
          <w:rFonts w:ascii="宋体" w:hAnsi="宋体" w:cs="宋体" w:eastAsia="宋体"/>
          <w:sz w:val="24"/>
        </w:rPr>
        <w:t>采购人（需求部门）拟邀请（</w:t>
      </w:r>
      <w:r>
        <w:rPr>
          <w:rFonts w:ascii="宋体" w:hAnsi="宋体" w:cs="宋体" w:eastAsia="宋体"/>
          <w:sz w:val="24"/>
        </w:rPr>
        <w:t>□本项目供应商 □第三方专业机构  □专家   □服务对象</w:t>
      </w:r>
      <w:r>
        <w:rPr/>
        <w:t xml:space="preserve"> </w:t>
      </w:r>
      <w:r>
        <w:rPr>
          <w:rFonts w:ascii="宋体" w:hAnsi="宋体" w:cs="宋体" w:eastAsia="宋体"/>
          <w:sz w:val="24"/>
        </w:rPr>
        <w:t>☑</w:t>
      </w:r>
      <w:r>
        <w:rPr>
          <w:rFonts w:ascii="宋体" w:hAnsi="宋体" w:cs="宋体" w:eastAsia="宋体"/>
          <w:sz w:val="24"/>
        </w:rPr>
        <w:t>白铜复合镍带加工供应商）</w:t>
      </w:r>
    </w:p>
    <w:p>
      <w:pPr>
        <w:pStyle w:val="null3"/>
        <w:ind w:left="720" w:firstLine="48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验收时</w:t>
      </w:r>
      <w:r>
        <w:rPr>
          <w:rFonts w:ascii="宋体" w:hAnsi="宋体" w:cs="宋体" w:eastAsia="宋体"/>
          <w:sz w:val="24"/>
        </w:rPr>
        <w:t>间</w:t>
      </w:r>
    </w:p>
    <w:p>
      <w:pPr>
        <w:pStyle w:val="null3"/>
        <w:ind w:left="720" w:firstLine="480"/>
      </w:pPr>
      <w:r>
        <w:rPr>
          <w:rFonts w:ascii="宋体" w:hAnsi="宋体" w:cs="宋体" w:eastAsia="宋体"/>
          <w:sz w:val="24"/>
        </w:rPr>
        <w:t>现场验收时间：自每批次货物到货后</w:t>
      </w:r>
      <w:r>
        <w:rPr>
          <w:rFonts w:ascii="calibri" w:hAnsi="calibri" w:cs="calibri" w:eastAsia="calibri"/>
          <w:sz w:val="24"/>
        </w:rPr>
        <w:t>15</w:t>
      </w:r>
      <w:r>
        <w:rPr>
          <w:rFonts w:ascii="宋体" w:hAnsi="宋体" w:cs="宋体" w:eastAsia="宋体"/>
          <w:sz w:val="24"/>
        </w:rPr>
        <w:t>个日历日内完成；</w:t>
      </w:r>
    </w:p>
    <w:p>
      <w:pPr>
        <w:pStyle w:val="null3"/>
        <w:ind w:left="720" w:firstLine="480"/>
      </w:pPr>
      <w:r>
        <w:rPr>
          <w:rFonts w:ascii="宋体" w:hAnsi="宋体" w:cs="宋体" w:eastAsia="宋体"/>
          <w:sz w:val="24"/>
        </w:rPr>
        <w:t>理化指标复检验收时间：自每批次货物现场验收完成后</w:t>
      </w:r>
      <w:r>
        <w:rPr>
          <w:rFonts w:ascii="calibri" w:hAnsi="calibri" w:cs="calibri" w:eastAsia="calibri"/>
          <w:sz w:val="24"/>
        </w:rPr>
        <w:t>15</w:t>
      </w:r>
      <w:r>
        <w:rPr>
          <w:rFonts w:ascii="宋体" w:hAnsi="宋体" w:cs="宋体" w:eastAsia="宋体"/>
          <w:sz w:val="24"/>
        </w:rPr>
        <w:t>个日历日内完成；</w:t>
      </w:r>
    </w:p>
    <w:p>
      <w:pPr>
        <w:pStyle w:val="null3"/>
        <w:ind w:left="720" w:firstLine="480"/>
      </w:pPr>
      <w:r>
        <w:rPr>
          <w:rFonts w:ascii="宋体" w:hAnsi="宋体" w:cs="宋体" w:eastAsia="宋体"/>
          <w:sz w:val="24"/>
        </w:rPr>
        <w:t>使用验收时间：自每批次货物使用完后</w:t>
      </w:r>
      <w:r>
        <w:rPr>
          <w:rFonts w:ascii="calibri" w:hAnsi="calibri" w:cs="calibri" w:eastAsia="calibri"/>
          <w:sz w:val="24"/>
        </w:rPr>
        <w:t>10</w:t>
      </w:r>
      <w:r>
        <w:rPr>
          <w:rFonts w:ascii="宋体" w:hAnsi="宋体" w:cs="宋体" w:eastAsia="宋体"/>
          <w:sz w:val="24"/>
        </w:rPr>
        <w:t>个日历日内完成。</w:t>
      </w:r>
    </w:p>
    <w:p>
      <w:pPr>
        <w:pStyle w:val="null3"/>
        <w:ind w:left="720" w:firstLine="480"/>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rPr>
        <w:t>验收</w:t>
      </w:r>
      <w:r>
        <w:rPr>
          <w:rFonts w:ascii="宋体" w:hAnsi="宋体" w:cs="宋体" w:eastAsia="宋体"/>
          <w:sz w:val="24"/>
        </w:rPr>
        <w:t>方式</w:t>
      </w:r>
    </w:p>
    <w:p>
      <w:pPr>
        <w:pStyle w:val="null3"/>
        <w:ind w:left="720" w:firstLine="480"/>
      </w:pPr>
      <w:r>
        <w:rPr>
          <w:rFonts w:ascii="宋体" w:hAnsi="宋体" w:cs="宋体" w:eastAsia="宋体"/>
          <w:sz w:val="24"/>
        </w:rPr>
        <w:t>现场验收：交货时间的及时性和交货地点的准确性；品名、规格、数量、外观、包装、质检报告等客观验收。</w:t>
      </w:r>
    </w:p>
    <w:p>
      <w:pPr>
        <w:pStyle w:val="null3"/>
        <w:ind w:left="720" w:firstLine="480"/>
      </w:pPr>
      <w:r>
        <w:rPr>
          <w:rFonts w:ascii="宋体" w:hAnsi="宋体" w:cs="宋体" w:eastAsia="宋体"/>
          <w:sz w:val="24"/>
        </w:rPr>
        <w:t>理化指标复检验收：各项理化指标复检验收。</w:t>
      </w:r>
    </w:p>
    <w:p>
      <w:pPr>
        <w:pStyle w:val="null3"/>
        <w:ind w:left="720" w:firstLine="480"/>
      </w:pPr>
      <w:r>
        <w:rPr>
          <w:rFonts w:ascii="宋体" w:hAnsi="宋体" w:cs="宋体" w:eastAsia="宋体"/>
          <w:sz w:val="24"/>
        </w:rPr>
        <w:t>使用验收：使用过程中质量反馈。</w:t>
      </w:r>
    </w:p>
    <w:p>
      <w:pPr>
        <w:pStyle w:val="null3"/>
        <w:ind w:left="720" w:firstLine="480"/>
      </w:pPr>
      <w:r>
        <w:rPr>
          <w:rFonts w:ascii="宋体" w:hAnsi="宋体" w:cs="宋体" w:eastAsia="宋体"/>
          <w:sz w:val="24"/>
        </w:rPr>
        <w:t>（</w:t>
      </w:r>
      <w:r>
        <w:rPr>
          <w:rFonts w:ascii="calibri" w:hAnsi="calibri" w:cs="calibri" w:eastAsia="calibri"/>
          <w:sz w:val="24"/>
        </w:rPr>
        <w:t>4</w:t>
      </w:r>
      <w:r>
        <w:rPr>
          <w:rFonts w:ascii="宋体" w:hAnsi="宋体" w:cs="宋体" w:eastAsia="宋体"/>
          <w:sz w:val="24"/>
        </w:rPr>
        <w:t>）</w:t>
      </w:r>
      <w:r>
        <w:rPr>
          <w:rFonts w:ascii="宋体" w:hAnsi="宋体" w:cs="宋体" w:eastAsia="宋体"/>
          <w:sz w:val="24"/>
        </w:rPr>
        <w:t>验收</w:t>
      </w:r>
      <w:r>
        <w:rPr>
          <w:rFonts w:ascii="宋体" w:hAnsi="宋体" w:cs="宋体" w:eastAsia="宋体"/>
          <w:sz w:val="24"/>
        </w:rPr>
        <w:t>程序</w:t>
      </w:r>
    </w:p>
    <w:p>
      <w:pPr>
        <w:pStyle w:val="null3"/>
        <w:ind w:left="720" w:firstLine="480"/>
      </w:pPr>
      <w:r>
        <w:rPr>
          <w:rFonts w:ascii="calibri" w:hAnsi="calibri" w:cs="calibri" w:eastAsia="calibri"/>
          <w:sz w:val="24"/>
        </w:rPr>
        <w:t>1.</w:t>
      </w:r>
      <w:r>
        <w:rPr>
          <w:rFonts w:ascii="宋体" w:hAnsi="宋体" w:cs="宋体" w:eastAsia="宋体"/>
          <w:sz w:val="24"/>
        </w:rPr>
        <w:t>组批</w:t>
      </w:r>
    </w:p>
    <w:p>
      <w:pPr>
        <w:pStyle w:val="null3"/>
        <w:ind w:left="720" w:firstLine="480"/>
      </w:pPr>
      <w:r>
        <w:rPr>
          <w:rFonts w:ascii="宋体" w:hAnsi="宋体" w:cs="宋体" w:eastAsia="宋体"/>
          <w:sz w:val="24"/>
        </w:rPr>
        <w:t>每批带材应由同一熔炼号、状态和规格的带卷组成</w:t>
      </w:r>
      <w:r>
        <w:rPr>
          <w:rFonts w:ascii="宋体" w:hAnsi="宋体" w:cs="宋体" w:eastAsia="宋体"/>
          <w:sz w:val="24"/>
        </w:rPr>
        <w:t>。</w:t>
      </w:r>
    </w:p>
    <w:p>
      <w:pPr>
        <w:pStyle w:val="null3"/>
        <w:ind w:left="720" w:firstLine="480"/>
      </w:pPr>
      <w:r>
        <w:rPr>
          <w:rFonts w:ascii="calibri" w:hAnsi="calibri" w:cs="calibri" w:eastAsia="calibri"/>
          <w:sz w:val="24"/>
        </w:rPr>
        <w:t>2.</w:t>
      </w:r>
      <w:r>
        <w:rPr>
          <w:rFonts w:ascii="宋体" w:hAnsi="宋体" w:cs="宋体" w:eastAsia="宋体"/>
          <w:sz w:val="24"/>
        </w:rPr>
        <w:t>检验项目</w:t>
      </w:r>
    </w:p>
    <w:p>
      <w:pPr>
        <w:pStyle w:val="null3"/>
        <w:ind w:left="720" w:firstLine="480"/>
      </w:pPr>
      <w:r>
        <w:rPr>
          <w:rFonts w:ascii="宋体" w:hAnsi="宋体" w:cs="宋体" w:eastAsia="宋体"/>
          <w:sz w:val="24"/>
        </w:rPr>
        <w:t>——每批带材厂家需按批提供化学成分、硬度、厚度、内径、宽度、抗拉强度、表面质量、表面粗糙度、带材不平度、侧弯及带卷塔形度等项目检测报告，每批次一个报告。</w:t>
      </w:r>
    </w:p>
    <w:p>
      <w:pPr>
        <w:pStyle w:val="null3"/>
        <w:ind w:left="720" w:firstLine="480"/>
      </w:pPr>
      <w:r>
        <w:rPr>
          <w:rFonts w:ascii="宋体" w:hAnsi="宋体" w:cs="宋体" w:eastAsia="宋体"/>
          <w:sz w:val="24"/>
        </w:rPr>
        <w:t>——每批带材入白铜复合镍带加工厂家应进行化学成分、硬度、厚度、内径、宽度、表面质量的检验；带材重量、抗拉强度、不平度、侧弯及带卷塔形度由厂家保证，必要时检测。</w:t>
      </w:r>
    </w:p>
    <w:p>
      <w:pPr>
        <w:pStyle w:val="null3"/>
        <w:ind w:left="720" w:firstLine="480"/>
      </w:pPr>
      <w:r>
        <w:rPr>
          <w:rFonts w:ascii="calibri" w:hAnsi="calibri" w:cs="calibri" w:eastAsia="calibri"/>
          <w:sz w:val="24"/>
        </w:rPr>
        <w:t>3.</w:t>
      </w:r>
      <w:r>
        <w:rPr>
          <w:rFonts w:ascii="宋体" w:hAnsi="宋体" w:cs="宋体" w:eastAsia="宋体"/>
          <w:sz w:val="24"/>
        </w:rPr>
        <w:t>取样及判定标准</w:t>
      </w:r>
    </w:p>
    <w:p>
      <w:pPr>
        <w:pStyle w:val="null3"/>
        <w:ind w:left="720" w:firstLine="480"/>
      </w:pPr>
      <w:r>
        <w:rPr>
          <w:rFonts w:ascii="宋体" w:hAnsi="宋体" w:cs="宋体" w:eastAsia="宋体"/>
          <w:sz w:val="24"/>
        </w:rPr>
        <w:t>——白铜复合镍带加工厂家每批带材首先确认镍带厂家质量检测报告，确认合格后方可接收并进行检测。</w:t>
      </w:r>
    </w:p>
    <w:p>
      <w:pPr>
        <w:pStyle w:val="null3"/>
        <w:ind w:left="720" w:firstLine="480"/>
      </w:pPr>
      <w:r>
        <w:rPr>
          <w:rFonts w:ascii="宋体" w:hAnsi="宋体" w:cs="宋体" w:eastAsia="宋体"/>
          <w:sz w:val="24"/>
        </w:rPr>
        <w:t>——在带材头部取样，取样大小延长度方向不小于</w:t>
      </w:r>
      <w:r>
        <w:rPr>
          <w:rFonts w:ascii="calibri" w:hAnsi="calibri" w:cs="calibri" w:eastAsia="calibri"/>
          <w:sz w:val="24"/>
        </w:rPr>
        <w:t>150mm</w:t>
      </w:r>
      <w:r>
        <w:rPr>
          <w:rFonts w:ascii="宋体" w:hAnsi="宋体" w:cs="宋体" w:eastAsia="宋体"/>
          <w:sz w:val="24"/>
        </w:rPr>
        <w:t>或以供货单位预留位置为准。</w:t>
      </w:r>
    </w:p>
    <w:p>
      <w:pPr>
        <w:pStyle w:val="null3"/>
        <w:ind w:left="720" w:firstLine="480"/>
      </w:pPr>
      <w:r>
        <w:rPr>
          <w:rFonts w:ascii="宋体" w:hAnsi="宋体" w:cs="宋体" w:eastAsia="宋体"/>
          <w:sz w:val="24"/>
        </w:rPr>
        <w:t>——每批带材任选一卷取一个试样，进行化学成分（主要进行</w:t>
      </w:r>
      <w:r>
        <w:rPr>
          <w:rFonts w:ascii="calibri" w:hAnsi="calibri" w:cs="calibri" w:eastAsia="calibri"/>
          <w:sz w:val="24"/>
        </w:rPr>
        <w:t>Cu</w:t>
      </w:r>
      <w:r>
        <w:rPr>
          <w:rFonts w:ascii="宋体" w:hAnsi="宋体" w:cs="宋体" w:eastAsia="宋体"/>
          <w:sz w:val="24"/>
        </w:rPr>
        <w:t>、</w:t>
      </w:r>
      <w:r>
        <w:rPr>
          <w:rFonts w:ascii="calibri" w:hAnsi="calibri" w:cs="calibri" w:eastAsia="calibri"/>
          <w:sz w:val="24"/>
        </w:rPr>
        <w:t>Ni</w:t>
      </w:r>
      <w:r>
        <w:rPr>
          <w:rFonts w:ascii="宋体" w:hAnsi="宋体" w:cs="宋体" w:eastAsia="宋体"/>
          <w:sz w:val="24"/>
        </w:rPr>
        <w:t>、</w:t>
      </w:r>
      <w:r>
        <w:rPr>
          <w:rFonts w:ascii="calibri" w:hAnsi="calibri" w:cs="calibri" w:eastAsia="calibri"/>
          <w:sz w:val="24"/>
        </w:rPr>
        <w:t>Fe</w:t>
      </w:r>
      <w:r>
        <w:rPr>
          <w:rFonts w:ascii="宋体" w:hAnsi="宋体" w:cs="宋体" w:eastAsia="宋体"/>
          <w:sz w:val="24"/>
        </w:rPr>
        <w:t>、</w:t>
      </w:r>
      <w:r>
        <w:rPr>
          <w:rFonts w:ascii="calibri" w:hAnsi="calibri" w:cs="calibri" w:eastAsia="calibri"/>
          <w:sz w:val="24"/>
        </w:rPr>
        <w:t>Pb</w:t>
      </w:r>
      <w:r>
        <w:rPr>
          <w:rFonts w:ascii="宋体" w:hAnsi="宋体" w:cs="宋体" w:eastAsia="宋体"/>
          <w:sz w:val="24"/>
        </w:rPr>
        <w:t>、</w:t>
      </w:r>
      <w:r>
        <w:rPr>
          <w:rFonts w:ascii="calibri" w:hAnsi="calibri" w:cs="calibri" w:eastAsia="calibri"/>
          <w:sz w:val="24"/>
        </w:rPr>
        <w:t>P</w:t>
      </w:r>
      <w:r>
        <w:rPr>
          <w:rFonts w:ascii="宋体" w:hAnsi="宋体" w:cs="宋体" w:eastAsia="宋体"/>
          <w:sz w:val="24"/>
        </w:rPr>
        <w:t>、</w:t>
      </w:r>
      <w:r>
        <w:rPr>
          <w:rFonts w:ascii="calibri" w:hAnsi="calibri" w:cs="calibri" w:eastAsia="calibri"/>
          <w:sz w:val="24"/>
        </w:rPr>
        <w:t>Sb</w:t>
      </w:r>
      <w:r>
        <w:rPr>
          <w:rFonts w:ascii="宋体" w:hAnsi="宋体" w:cs="宋体" w:eastAsia="宋体"/>
          <w:sz w:val="24"/>
        </w:rPr>
        <w:t>、</w:t>
      </w:r>
      <w:r>
        <w:rPr>
          <w:rFonts w:ascii="calibri" w:hAnsi="calibri" w:cs="calibri" w:eastAsia="calibri"/>
          <w:sz w:val="24"/>
        </w:rPr>
        <w:t>Bi</w:t>
      </w:r>
      <w:r>
        <w:rPr>
          <w:rFonts w:ascii="宋体" w:hAnsi="宋体" w:cs="宋体" w:eastAsia="宋体"/>
          <w:sz w:val="24"/>
        </w:rPr>
        <w:t>成分分析，必要时进行其他成分的分析）检验。若所取的试样的化学成分合格，视该批带材为合格品；若所取的试样化学成分不合格，进行重复验证。</w:t>
      </w:r>
    </w:p>
    <w:p>
      <w:pPr>
        <w:pStyle w:val="null3"/>
        <w:ind w:left="720" w:firstLine="480"/>
      </w:pPr>
      <w:r>
        <w:rPr>
          <w:rFonts w:ascii="宋体" w:hAnsi="宋体" w:cs="宋体" w:eastAsia="宋体"/>
          <w:sz w:val="24"/>
        </w:rPr>
        <w:t>——每批带材任选一卷，取一个试样进行硬度检验。若所取的试样硬度合格，视该批带材为合格品；否则进行重复验证。</w:t>
      </w:r>
    </w:p>
    <w:p>
      <w:pPr>
        <w:pStyle w:val="null3"/>
        <w:ind w:left="720" w:firstLine="480"/>
      </w:pPr>
      <w:r>
        <w:rPr>
          <w:rFonts w:ascii="宋体" w:hAnsi="宋体" w:cs="宋体" w:eastAsia="宋体"/>
          <w:sz w:val="24"/>
        </w:rPr>
        <w:t>——每批带材中任取一卷进行带材厚度、内径、宽度、表面质量和表面粗糙度检验，若不符合此标准的相关规定，则视该批带材为不合格。</w:t>
      </w:r>
    </w:p>
    <w:p>
      <w:pPr>
        <w:pStyle w:val="null3"/>
        <w:ind w:left="720" w:firstLine="480"/>
      </w:pPr>
      <w:r>
        <w:rPr>
          <w:rFonts w:ascii="宋体" w:hAnsi="宋体" w:cs="宋体" w:eastAsia="宋体"/>
          <w:sz w:val="24"/>
        </w:rPr>
        <w:t>——根据产品报告确认带材抗拉强度、不平度、侧弯及带卷塔形度指标。</w:t>
      </w:r>
    </w:p>
    <w:p>
      <w:pPr>
        <w:pStyle w:val="null3"/>
        <w:ind w:left="720" w:firstLine="480"/>
      </w:pPr>
      <w:r>
        <w:rPr>
          <w:rFonts w:ascii="宋体" w:hAnsi="宋体" w:cs="宋体" w:eastAsia="宋体"/>
          <w:sz w:val="24"/>
        </w:rPr>
        <w:t>——每卷带材复验带材毛重，按实际重量验收。</w:t>
      </w:r>
    </w:p>
    <w:p>
      <w:pPr>
        <w:pStyle w:val="null3"/>
        <w:ind w:left="720" w:firstLine="480"/>
      </w:pPr>
      <w:r>
        <w:rPr>
          <w:rFonts w:ascii="calibri" w:hAnsi="calibri" w:cs="calibri" w:eastAsia="calibri"/>
          <w:sz w:val="24"/>
        </w:rPr>
        <w:t>4.</w:t>
      </w:r>
      <w:r>
        <w:rPr>
          <w:rFonts w:ascii="宋体" w:hAnsi="宋体" w:cs="宋体" w:eastAsia="宋体"/>
          <w:sz w:val="24"/>
        </w:rPr>
        <w:t>重复验证</w:t>
      </w:r>
    </w:p>
    <w:p>
      <w:pPr>
        <w:pStyle w:val="null3"/>
        <w:ind w:left="720" w:firstLine="480"/>
      </w:pPr>
      <w:r>
        <w:rPr>
          <w:rFonts w:ascii="宋体" w:hAnsi="宋体" w:cs="宋体" w:eastAsia="宋体"/>
          <w:sz w:val="24"/>
        </w:rPr>
        <w:t>——检测结果若有一个试样结果不合格，从该批中再取双倍试样进行复验，复验中若有一个试样不合格，则整批判废。</w:t>
      </w:r>
    </w:p>
    <w:p>
      <w:pPr>
        <w:pStyle w:val="null3"/>
        <w:ind w:left="720" w:firstLine="480"/>
      </w:pPr>
      <w:r>
        <w:rPr>
          <w:rFonts w:ascii="宋体" w:hAnsi="宋体" w:cs="宋体" w:eastAsia="宋体"/>
          <w:sz w:val="24"/>
        </w:rPr>
        <w:t>（</w:t>
      </w:r>
      <w:r>
        <w:rPr>
          <w:rFonts w:ascii="calibri" w:hAnsi="calibri" w:cs="calibri" w:eastAsia="calibri"/>
          <w:sz w:val="24"/>
        </w:rPr>
        <w:t>5</w:t>
      </w:r>
      <w:r>
        <w:rPr>
          <w:rFonts w:ascii="宋体" w:hAnsi="宋体" w:cs="宋体" w:eastAsia="宋体"/>
          <w:sz w:val="24"/>
        </w:rPr>
        <w:t>）</w:t>
      </w:r>
      <w:r>
        <w:rPr>
          <w:rFonts w:ascii="宋体" w:hAnsi="宋体" w:cs="宋体" w:eastAsia="宋体"/>
          <w:sz w:val="24"/>
        </w:rPr>
        <w:t>验收</w:t>
      </w:r>
      <w:r>
        <w:rPr>
          <w:rFonts w:ascii="宋体" w:hAnsi="宋体" w:cs="宋体" w:eastAsia="宋体"/>
          <w:sz w:val="24"/>
        </w:rPr>
        <w:t>内容</w:t>
      </w:r>
    </w:p>
    <w:p>
      <w:pPr>
        <w:pStyle w:val="null3"/>
        <w:ind w:left="720" w:firstLine="480"/>
      </w:pPr>
      <w:r>
        <w:rPr>
          <w:rFonts w:ascii="calibri" w:hAnsi="calibri" w:cs="calibri" w:eastAsia="calibri"/>
          <w:sz w:val="24"/>
        </w:rPr>
        <w:t>1.</w:t>
      </w:r>
      <w:r>
        <w:rPr>
          <w:rFonts w:ascii="宋体" w:hAnsi="宋体" w:cs="宋体" w:eastAsia="宋体"/>
          <w:sz w:val="24"/>
        </w:rPr>
        <w:t>交货时间的及时性和交货地点的准确性。</w:t>
      </w:r>
    </w:p>
    <w:p>
      <w:pPr>
        <w:pStyle w:val="null3"/>
        <w:ind w:left="720" w:firstLine="480"/>
      </w:pPr>
      <w:r>
        <w:rPr>
          <w:rFonts w:ascii="calibri" w:hAnsi="calibri" w:cs="calibri" w:eastAsia="calibri"/>
          <w:sz w:val="24"/>
        </w:rPr>
        <w:t>2.</w:t>
      </w:r>
      <w:r>
        <w:rPr>
          <w:rFonts w:ascii="宋体" w:hAnsi="宋体" w:cs="宋体" w:eastAsia="宋体"/>
          <w:sz w:val="24"/>
        </w:rPr>
        <w:t>交货名称、规格、数量。</w:t>
      </w:r>
    </w:p>
    <w:p>
      <w:pPr>
        <w:pStyle w:val="null3"/>
        <w:ind w:left="720" w:firstLine="480"/>
      </w:pPr>
      <w:r>
        <w:rPr>
          <w:rFonts w:ascii="calibri" w:hAnsi="calibri" w:cs="calibri" w:eastAsia="calibri"/>
          <w:sz w:val="24"/>
        </w:rPr>
        <w:t>3.</w:t>
      </w:r>
      <w:r>
        <w:rPr>
          <w:rFonts w:ascii="宋体" w:hAnsi="宋体" w:cs="宋体" w:eastAsia="宋体"/>
          <w:sz w:val="24"/>
        </w:rPr>
        <w:t>包装符合要求，货物无损，标识内容完整。</w:t>
      </w:r>
    </w:p>
    <w:p>
      <w:pPr>
        <w:pStyle w:val="null3"/>
        <w:ind w:left="720" w:firstLine="480"/>
      </w:pPr>
      <w:r>
        <w:rPr>
          <w:rFonts w:ascii="calibri" w:hAnsi="calibri" w:cs="calibri" w:eastAsia="calibri"/>
          <w:sz w:val="24"/>
        </w:rPr>
        <w:t>4.</w:t>
      </w:r>
      <w:r>
        <w:rPr>
          <w:rFonts w:ascii="宋体" w:hAnsi="宋体" w:cs="宋体" w:eastAsia="宋体"/>
          <w:sz w:val="24"/>
        </w:rPr>
        <w:t>厂家质检报告或合格证。</w:t>
      </w:r>
    </w:p>
    <w:p>
      <w:pPr>
        <w:pStyle w:val="null3"/>
        <w:ind w:left="720" w:firstLine="480"/>
      </w:pPr>
      <w:r>
        <w:rPr>
          <w:rFonts w:ascii="calibri" w:hAnsi="calibri" w:cs="calibri" w:eastAsia="calibri"/>
          <w:sz w:val="24"/>
        </w:rPr>
        <w:t>5.</w:t>
      </w:r>
      <w:r>
        <w:rPr>
          <w:rFonts w:ascii="宋体" w:hAnsi="宋体" w:cs="宋体" w:eastAsia="宋体"/>
          <w:sz w:val="24"/>
        </w:rPr>
        <w:t>理化指标检验。</w:t>
      </w:r>
    </w:p>
    <w:p>
      <w:pPr>
        <w:pStyle w:val="null3"/>
        <w:ind w:left="720" w:firstLine="480"/>
      </w:pPr>
      <w:r>
        <w:rPr>
          <w:rFonts w:ascii="calibri" w:hAnsi="calibri" w:cs="calibri" w:eastAsia="calibri"/>
          <w:sz w:val="24"/>
        </w:rPr>
        <w:t>6.</w:t>
      </w:r>
      <w:r>
        <w:rPr>
          <w:rFonts w:ascii="宋体" w:hAnsi="宋体" w:cs="宋体" w:eastAsia="宋体"/>
          <w:sz w:val="24"/>
        </w:rPr>
        <w:t>使用效果验收。</w:t>
      </w:r>
    </w:p>
    <w:p>
      <w:pPr>
        <w:pStyle w:val="null3"/>
        <w:ind w:left="720" w:firstLine="480"/>
      </w:pPr>
      <w:r>
        <w:rPr>
          <w:rFonts w:ascii="宋体" w:hAnsi="宋体" w:cs="宋体" w:eastAsia="宋体"/>
          <w:sz w:val="24"/>
        </w:rPr>
        <w:t>（</w:t>
      </w:r>
      <w:r>
        <w:rPr>
          <w:rFonts w:ascii="calibri" w:hAnsi="calibri" w:cs="calibri" w:eastAsia="calibri"/>
          <w:sz w:val="24"/>
        </w:rPr>
        <w:t>6</w:t>
      </w:r>
      <w:r>
        <w:rPr>
          <w:rFonts w:ascii="宋体" w:hAnsi="宋体" w:cs="宋体" w:eastAsia="宋体"/>
          <w:sz w:val="24"/>
        </w:rPr>
        <w:t>）验收标准</w:t>
      </w:r>
    </w:p>
    <w:p>
      <w:pPr>
        <w:pStyle w:val="null3"/>
        <w:ind w:left="720" w:firstLine="480"/>
      </w:pPr>
      <w:r>
        <w:rPr>
          <w:rFonts w:ascii="宋体" w:hAnsi="宋体" w:cs="宋体" w:eastAsia="宋体"/>
          <w:sz w:val="24"/>
        </w:rPr>
        <w:t>交货时间：</w:t>
      </w:r>
      <w:r>
        <w:rPr>
          <w:rFonts w:ascii="宋体" w:hAnsi="宋体" w:cs="宋体" w:eastAsia="宋体"/>
          <w:sz w:val="24"/>
        </w:rPr>
        <w:t>自</w:t>
      </w:r>
      <w:r>
        <w:rPr>
          <w:rFonts w:ascii="宋体" w:hAnsi="宋体" w:cs="宋体" w:eastAsia="宋体"/>
          <w:sz w:val="24"/>
        </w:rPr>
        <w:t>下达订单之日</w:t>
      </w:r>
      <w:r>
        <w:rPr>
          <w:rFonts w:ascii="宋体" w:hAnsi="宋体" w:cs="宋体" w:eastAsia="宋体"/>
          <w:sz w:val="24"/>
        </w:rPr>
        <w:t>起</w:t>
      </w:r>
      <w:r>
        <w:rPr>
          <w:rFonts w:ascii="calibri" w:hAnsi="calibri" w:cs="calibri" w:eastAsia="calibri"/>
          <w:sz w:val="24"/>
        </w:rPr>
        <w:t>30</w:t>
      </w:r>
      <w:r>
        <w:rPr>
          <w:rFonts w:ascii="宋体" w:hAnsi="宋体" w:cs="宋体" w:eastAsia="宋体"/>
          <w:sz w:val="24"/>
        </w:rPr>
        <w:t>个日历日内</w:t>
      </w:r>
      <w:r>
        <w:rPr>
          <w:rFonts w:ascii="宋体" w:hAnsi="宋体" w:cs="宋体" w:eastAsia="宋体"/>
          <w:sz w:val="24"/>
        </w:rPr>
        <w:t>开始分批交货</w:t>
      </w:r>
      <w:r>
        <w:rPr>
          <w:rFonts w:ascii="宋体" w:hAnsi="宋体" w:cs="宋体" w:eastAsia="宋体"/>
          <w:sz w:val="24"/>
        </w:rPr>
        <w:t>。</w:t>
      </w:r>
    </w:p>
    <w:p>
      <w:pPr>
        <w:pStyle w:val="null3"/>
        <w:ind w:firstLine="1200"/>
        <w:jc w:val="both"/>
      </w:pPr>
      <w:r>
        <w:rPr>
          <w:rFonts w:ascii="宋体" w:hAnsi="宋体" w:cs="宋体" w:eastAsia="宋体"/>
          <w:sz w:val="24"/>
        </w:rPr>
        <w:t>交货地点：沈阳造币有限公司指定的白铜复合镍带加工厂家。</w:t>
      </w:r>
    </w:p>
    <w:p>
      <w:pPr>
        <w:pStyle w:val="null3"/>
        <w:ind w:left="720" w:firstLine="480"/>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ind w:left="720" w:firstLine="480"/>
      </w:pPr>
      <w:r>
        <w:rPr>
          <w:rFonts w:ascii="宋体" w:hAnsi="宋体" w:cs="宋体" w:eastAsia="宋体"/>
          <w:sz w:val="24"/>
        </w:rPr>
        <w:t>理化指标复检验收：理化指标复检是否与合同约定一致。</w:t>
      </w:r>
    </w:p>
    <w:p>
      <w:pPr>
        <w:pStyle w:val="null3"/>
        <w:ind w:left="720" w:firstLine="480"/>
      </w:pPr>
      <w:r>
        <w:rPr>
          <w:rFonts w:ascii="宋体" w:hAnsi="宋体" w:cs="宋体" w:eastAsia="宋体"/>
          <w:sz w:val="24"/>
        </w:rPr>
        <w:t>使用验收：使用过程中是否有质量问题反馈。</w:t>
      </w:r>
    </w:p>
    <w:p>
      <w:pPr>
        <w:pStyle w:val="null3"/>
        <w:spacing w:before="150" w:after="150"/>
        <w:ind w:left="1080"/>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after="120"/>
        <w:ind w:left="105"/>
        <w:jc w:val="left"/>
      </w:pPr>
      <w:r>
        <w:rPr>
          <w:rFonts w:ascii="宋体" w:hAnsi="宋体" w:cs="宋体" w:eastAsia="宋体"/>
          <w:sz w:val="32"/>
        </w:rPr>
        <w:t>廉洁责任保证书</w:t>
      </w:r>
    </w:p>
    <w:p>
      <w:pPr>
        <w:pStyle w:val="null3"/>
        <w:ind w:firstLine="482"/>
        <w:jc w:val="both"/>
      </w:pPr>
      <w:r>
        <w:rPr>
          <w:rFonts w:ascii="宋体" w:hAnsi="宋体" w:cs="宋体" w:eastAsia="宋体"/>
          <w:sz w:val="24"/>
          <w:b/>
        </w:rPr>
        <w:t>保证方：</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ind w:firstLine="480"/>
        <w:jc w:val="both"/>
      </w:pPr>
      <w:r>
        <w:rPr>
          <w:rFonts w:ascii="宋体" w:hAnsi="宋体" w:cs="宋体" w:eastAsia="宋体"/>
          <w:sz w:val="24"/>
        </w:rPr>
        <w:t>联系人：</w:t>
      </w:r>
      <w:r>
        <w:rPr>
          <w:rFonts w:ascii="宋体" w:hAnsi="宋体" w:cs="宋体" w:eastAsia="宋体"/>
          <w:sz w:val="24"/>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u w:val="single"/>
        </w:rPr>
        <w:t xml:space="preserve">  </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jc w:val="both"/>
      </w:pPr>
      <w:r>
        <w:rPr>
          <w:rFonts w:ascii="宋体" w:hAnsi="宋体" w:cs="宋体" w:eastAsia="宋体"/>
          <w:sz w:val="24"/>
        </w:rPr>
        <w:t>（以下无正文）</w:t>
      </w:r>
    </w:p>
    <w:p>
      <w:pPr>
        <w:pStyle w:val="null3"/>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jc w:val="both"/>
      </w:pPr>
      <w:r>
        <w:rPr>
          <w:rFonts w:ascii="宋体" w:hAnsi="宋体" w:cs="宋体" w:eastAsia="宋体"/>
          <w:sz w:val="24"/>
        </w:rPr>
        <w:t>授权代表（签字）：</w:t>
      </w:r>
    </w:p>
    <w:p>
      <w:pPr>
        <w:pStyle w:val="null3"/>
        <w:jc w:val="both"/>
      </w:pPr>
      <w:r>
        <w:rPr>
          <w:rFonts w:ascii="calibri" w:hAnsi="calibri" w:cs="calibri" w:eastAsia="calibri"/>
          <w:sz w:val="21"/>
        </w:rPr>
        <w:t xml:space="preserve">        </w:t>
      </w:r>
    </w:p>
    <w:p>
      <w:pPr>
        <w:pStyle w:val="null3"/>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jc w:val="center"/>
      </w:pPr>
      <w:r>
        <w:rPr>
          <w:rFonts w:ascii="宋体" w:hAnsi="宋体" w:cs="宋体" w:eastAsia="宋体"/>
          <w:sz w:val="32"/>
          <w:b/>
        </w:rPr>
        <w:t>保密承诺书</w:t>
      </w:r>
    </w:p>
    <w:p>
      <w:pPr>
        <w:pStyle w:val="null3"/>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ind w:firstLine="482"/>
        <w:jc w:val="both"/>
      </w:pPr>
      <w:r>
        <w:rPr>
          <w:rFonts w:ascii="宋体" w:hAnsi="宋体" w:cs="宋体" w:eastAsia="宋体"/>
          <w:sz w:val="24"/>
          <w:b/>
        </w:rPr>
        <w:t>一、定义</w:t>
      </w:r>
    </w:p>
    <w:p>
      <w:pPr>
        <w:pStyle w:val="null3"/>
        <w:ind w:firstLine="446"/>
        <w:jc w:val="both"/>
      </w:pPr>
      <w:r>
        <w:rPr>
          <w:rFonts w:ascii="宋体" w:hAnsi="宋体" w:cs="宋体" w:eastAsia="宋体"/>
          <w:sz w:val="24"/>
          <w:b/>
        </w:rPr>
        <w:t>涉密资料及信息：</w:t>
      </w:r>
    </w:p>
    <w:p>
      <w:pPr>
        <w:pStyle w:val="null3"/>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ind w:firstLine="555"/>
        <w:jc w:val="both"/>
      </w:pPr>
      <w:r>
        <w:rPr>
          <w:rFonts w:ascii="宋体" w:hAnsi="宋体" w:cs="宋体" w:eastAsia="宋体"/>
          <w:sz w:val="24"/>
        </w:rPr>
        <w:t>（三）其他因职务或业务等原因而可能直接或间接获得涉密资料及信息的有关人员。</w:t>
      </w:r>
    </w:p>
    <w:p>
      <w:pPr>
        <w:pStyle w:val="null3"/>
        <w:ind w:firstLine="723"/>
        <w:jc w:val="both"/>
      </w:pPr>
      <w:r>
        <w:rPr>
          <w:rFonts w:ascii="宋体" w:hAnsi="宋体" w:cs="宋体" w:eastAsia="宋体"/>
          <w:sz w:val="24"/>
          <w:b/>
        </w:rPr>
        <w:t>二、保密义务</w:t>
      </w:r>
    </w:p>
    <w:p>
      <w:pPr>
        <w:pStyle w:val="null3"/>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ind w:firstLine="602"/>
        <w:jc w:val="both"/>
      </w:pPr>
      <w:r>
        <w:rPr>
          <w:rFonts w:ascii="宋体" w:hAnsi="宋体" w:cs="宋体" w:eastAsia="宋体"/>
          <w:sz w:val="24"/>
          <w:b/>
        </w:rPr>
        <w:t>三、除外条款</w:t>
      </w:r>
    </w:p>
    <w:p>
      <w:pPr>
        <w:pStyle w:val="null3"/>
        <w:ind w:firstLine="555"/>
        <w:jc w:val="both"/>
      </w:pPr>
      <w:r>
        <w:rPr>
          <w:rFonts w:ascii="宋体" w:hAnsi="宋体" w:cs="宋体" w:eastAsia="宋体"/>
          <w:sz w:val="24"/>
        </w:rPr>
        <w:t>如果承诺方能够确定以下信息符合下列情形，则该信息不视为保密信息：</w:t>
      </w:r>
    </w:p>
    <w:p>
      <w:pPr>
        <w:pStyle w:val="null3"/>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ind w:firstLine="555"/>
        <w:jc w:val="both"/>
      </w:pPr>
      <w:r>
        <w:rPr>
          <w:rFonts w:ascii="宋体" w:hAnsi="宋体" w:cs="宋体" w:eastAsia="宋体"/>
          <w:sz w:val="24"/>
        </w:rPr>
        <w:t>（二）该信息通过产品发布、检查或者其他非接受方过错的方式为公众知悉；</w:t>
      </w:r>
    </w:p>
    <w:p>
      <w:pPr>
        <w:pStyle w:val="null3"/>
        <w:ind w:firstLine="555"/>
        <w:jc w:val="both"/>
      </w:pPr>
      <w:r>
        <w:rPr>
          <w:rFonts w:ascii="宋体" w:hAnsi="宋体" w:cs="宋体" w:eastAsia="宋体"/>
          <w:sz w:val="24"/>
        </w:rPr>
        <w:t>（三）该信息通过对被承诺方或任何其他不负有保密义务的第三方合法披露给承诺方；</w:t>
      </w:r>
    </w:p>
    <w:p>
      <w:pPr>
        <w:pStyle w:val="null3"/>
        <w:ind w:firstLine="555"/>
        <w:jc w:val="both"/>
      </w:pPr>
      <w:r>
        <w:rPr>
          <w:rFonts w:ascii="宋体" w:hAnsi="宋体" w:cs="宋体" w:eastAsia="宋体"/>
          <w:sz w:val="24"/>
        </w:rPr>
        <w:t>（四）该信息由承诺方不使用或参考任何保密信息而独立获得或开发；</w:t>
      </w:r>
    </w:p>
    <w:p>
      <w:pPr>
        <w:pStyle w:val="null3"/>
        <w:ind w:firstLine="555"/>
        <w:jc w:val="both"/>
      </w:pPr>
      <w:r>
        <w:rPr>
          <w:rFonts w:ascii="宋体" w:hAnsi="宋体" w:cs="宋体" w:eastAsia="宋体"/>
          <w:sz w:val="24"/>
        </w:rPr>
        <w:t>（五）该信息由被承诺方以不加以限制的书面授权准许披露。</w:t>
      </w:r>
    </w:p>
    <w:p>
      <w:pPr>
        <w:pStyle w:val="null3"/>
        <w:ind w:firstLine="602"/>
        <w:jc w:val="both"/>
      </w:pPr>
      <w:r>
        <w:rPr>
          <w:rFonts w:ascii="宋体" w:hAnsi="宋体" w:cs="宋体" w:eastAsia="宋体"/>
          <w:sz w:val="24"/>
          <w:b/>
        </w:rPr>
        <w:t>四、保密期限</w:t>
      </w:r>
    </w:p>
    <w:p>
      <w:pPr>
        <w:pStyle w:val="null3"/>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ind w:firstLine="602"/>
        <w:jc w:val="both"/>
      </w:pPr>
      <w:r>
        <w:rPr>
          <w:rFonts w:ascii="宋体" w:hAnsi="宋体" w:cs="宋体" w:eastAsia="宋体"/>
          <w:sz w:val="24"/>
          <w:b/>
        </w:rPr>
        <w:t>五、法律责任</w:t>
      </w:r>
    </w:p>
    <w:p>
      <w:pPr>
        <w:pStyle w:val="null3"/>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ind w:firstLine="602"/>
        <w:jc w:val="both"/>
      </w:pPr>
      <w:r>
        <w:rPr>
          <w:rFonts w:ascii="宋体" w:hAnsi="宋体" w:cs="宋体" w:eastAsia="宋体"/>
          <w:sz w:val="24"/>
          <w:b/>
        </w:rPr>
        <w:t>六、适用法律</w:t>
      </w:r>
    </w:p>
    <w:p>
      <w:pPr>
        <w:pStyle w:val="null3"/>
        <w:ind w:firstLine="555"/>
        <w:jc w:val="both"/>
      </w:pPr>
      <w:r>
        <w:rPr>
          <w:rFonts w:ascii="宋体" w:hAnsi="宋体" w:cs="宋体" w:eastAsia="宋体"/>
          <w:sz w:val="24"/>
        </w:rPr>
        <w:t>本承诺书的订立、解释和履行均适用中华人民共和国法律。</w:t>
      </w:r>
    </w:p>
    <w:p>
      <w:pPr>
        <w:pStyle w:val="null3"/>
        <w:ind w:firstLine="602"/>
        <w:jc w:val="both"/>
      </w:pPr>
      <w:r>
        <w:rPr>
          <w:rFonts w:ascii="宋体" w:hAnsi="宋体" w:cs="宋体" w:eastAsia="宋体"/>
          <w:sz w:val="24"/>
          <w:b/>
        </w:rPr>
        <w:t>七、争议解决</w:t>
      </w:r>
    </w:p>
    <w:p>
      <w:pPr>
        <w:pStyle w:val="null3"/>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被承诺方所在地</w:t>
      </w:r>
      <w:r>
        <w:rPr>
          <w:rFonts w:ascii="宋体" w:hAnsi="宋体" w:cs="宋体" w:eastAsia="宋体"/>
          <w:sz w:val="24"/>
          <w:u w:val="single"/>
        </w:rPr>
        <w:t xml:space="preserve">    </w:t>
      </w:r>
      <w:r>
        <w:rPr>
          <w:rFonts w:ascii="宋体" w:hAnsi="宋体" w:cs="宋体" w:eastAsia="宋体"/>
          <w:sz w:val="24"/>
        </w:rPr>
        <w:t>人民法院提起诉讼。</w:t>
      </w:r>
    </w:p>
    <w:p>
      <w:pPr>
        <w:pStyle w:val="null3"/>
        <w:ind w:firstLine="602"/>
        <w:jc w:val="both"/>
      </w:pPr>
      <w:r>
        <w:rPr>
          <w:rFonts w:ascii="宋体" w:hAnsi="宋体" w:cs="宋体" w:eastAsia="宋体"/>
          <w:sz w:val="24"/>
          <w:b/>
        </w:rPr>
        <w:t>八、法律效力</w:t>
      </w:r>
    </w:p>
    <w:p>
      <w:pPr>
        <w:pStyle w:val="null3"/>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ind w:firstLine="602"/>
        <w:jc w:val="both"/>
      </w:pPr>
      <w:r>
        <w:rPr>
          <w:rFonts w:ascii="宋体" w:hAnsi="宋体" w:cs="宋体" w:eastAsia="宋体"/>
          <w:sz w:val="24"/>
          <w:b/>
        </w:rPr>
        <w:t>九、其他</w:t>
      </w:r>
    </w:p>
    <w:p>
      <w:pPr>
        <w:pStyle w:val="null3"/>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jc w:val="both"/>
      </w:pPr>
      <w:r>
        <w:rPr>
          <w:rFonts w:ascii="宋体" w:hAnsi="宋体" w:cs="宋体" w:eastAsia="宋体"/>
          <w:sz w:val="24"/>
        </w:rPr>
        <w:t>（以下无正文）</w:t>
      </w:r>
    </w:p>
    <w:p>
      <w:pPr>
        <w:pStyle w:val="null3"/>
        <w:jc w:val="both"/>
      </w:pPr>
      <w:r>
        <w:rPr>
          <w:rFonts w:ascii="宋体" w:hAnsi="宋体" w:cs="宋体" w:eastAsia="宋体"/>
          <w:sz w:val="24"/>
        </w:rPr>
        <w:t>（本页无正文，为签署页）</w:t>
      </w:r>
    </w:p>
    <w:p>
      <w:pPr>
        <w:pStyle w:val="null3"/>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ind w:firstLine="555"/>
        <w:jc w:val="both"/>
      </w:pPr>
      <w:r>
        <w:rPr>
          <w:rFonts w:ascii="宋体" w:hAnsi="宋体" w:cs="宋体" w:eastAsia="宋体"/>
          <w:sz w:val="24"/>
        </w:rPr>
        <w:t>日期：</w:t>
      </w:r>
      <w:r>
        <w:rPr>
          <w:rFonts w:ascii="宋体" w:hAnsi="宋体" w:cs="宋体" w:eastAsia="宋体"/>
          <w:sz w:val="24"/>
        </w:rPr>
        <w:t xml:space="preserve">    </w:t>
      </w:r>
    </w:p>
    <w:p>
      <w:pPr>
        <w:pStyle w:val="null3"/>
        <w:spacing w:after="120"/>
        <w:ind w:left="105"/>
        <w:jc w:val="left"/>
      </w:pPr>
      <w:r>
        <w:rPr/>
        <w:t xml:space="preserve"> </w:t>
      </w:r>
    </w:p>
    <w:p>
      <w:pPr>
        <w:pStyle w:val="null3"/>
        <w:jc w:val="both"/>
      </w:pPr>
      <w:r>
        <w:rPr>
          <w:rFonts w:ascii="宋体" w:hAnsi="宋体" w:cs="宋体" w:eastAsia="宋体"/>
          <w:sz w:val="24"/>
          <w:b/>
        </w:rPr>
        <w:t>附件</w:t>
      </w:r>
      <w:r>
        <w:rPr>
          <w:rFonts w:ascii="calibri" w:hAnsi="calibri" w:cs="calibri" w:eastAsia="calibri"/>
          <w:sz w:val="24"/>
          <w:b/>
        </w:rPr>
        <w:t>7</w:t>
      </w:r>
    </w:p>
    <w:p>
      <w:pPr>
        <w:pStyle w:val="null3"/>
        <w:ind w:firstLine="3200"/>
        <w:jc w:val="both"/>
      </w:pPr>
      <w:r>
        <w:rPr>
          <w:rFonts w:ascii="宋体" w:hAnsi="宋体" w:cs="宋体" w:eastAsia="宋体"/>
          <w:sz w:val="32"/>
        </w:rPr>
        <w:t>质量保证承诺书</w:t>
      </w:r>
    </w:p>
    <w:p>
      <w:pPr>
        <w:pStyle w:val="null3"/>
        <w:ind w:firstLine="480"/>
        <w:jc w:val="both"/>
      </w:pPr>
      <w:r>
        <w:rPr>
          <w:rFonts w:ascii="宋体" w:hAnsi="宋体" w:cs="宋体" w:eastAsia="宋体"/>
          <w:sz w:val="24"/>
        </w:rPr>
        <w:t>为确保产品质量合格，保证产品安全，本公司特作以下承诺：</w:t>
      </w:r>
    </w:p>
    <w:p>
      <w:pPr>
        <w:pStyle w:val="null3"/>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ind w:firstLine="480"/>
        <w:jc w:val="both"/>
      </w:pPr>
      <w:r>
        <w:rPr>
          <w:rFonts w:ascii="宋体" w:hAnsi="宋体" w:cs="宋体" w:eastAsia="宋体"/>
          <w:sz w:val="24"/>
        </w:rPr>
        <w:t>响应单位名称（盖章）</w:t>
      </w:r>
    </w:p>
    <w:p>
      <w:pPr>
        <w:pStyle w:val="null3"/>
        <w:ind w:firstLine="480"/>
        <w:jc w:val="both"/>
      </w:pPr>
      <w:r>
        <w:rPr>
          <w:rFonts w:ascii="宋体" w:hAnsi="宋体" w:cs="宋体" w:eastAsia="宋体"/>
          <w:sz w:val="24"/>
        </w:rPr>
        <w:t>日期：</w:t>
      </w:r>
    </w:p>
    <w:p>
      <w:pPr>
        <w:pStyle w:val="null3"/>
        <w:spacing w:after="120"/>
        <w:ind w:left="105"/>
        <w:jc w:val="left"/>
      </w:pPr>
      <w:r>
        <w:rPr/>
        <w:t xml:space="preserve"> </w:t>
      </w:r>
    </w:p>
    <w:p>
      <w:pPr>
        <w:pStyle w:val="null3"/>
        <w:jc w:val="both"/>
      </w:pPr>
      <w:r>
        <w:rPr>
          <w:rFonts w:ascii="宋体" w:hAnsi="宋体" w:cs="宋体" w:eastAsia="宋体"/>
          <w:sz w:val="24"/>
          <w:b/>
        </w:rPr>
        <w:t>附件</w:t>
      </w:r>
      <w:r>
        <w:rPr>
          <w:rFonts w:ascii="宋体" w:hAnsi="宋体" w:cs="宋体" w:eastAsia="宋体"/>
          <w:sz w:val="24"/>
          <w:b/>
        </w:rPr>
        <w:t>8</w:t>
      </w:r>
    </w:p>
    <w:p>
      <w:pPr>
        <w:pStyle w:val="null3"/>
        <w:jc w:val="center"/>
      </w:pPr>
      <w:r>
        <w:rPr>
          <w:rFonts w:ascii="黑体" w:hAnsi="黑体" w:cs="黑体" w:eastAsia="黑体"/>
          <w:sz w:val="32"/>
        </w:rPr>
        <w:t>廉洁交往告知书</w:t>
      </w:r>
    </w:p>
    <w:p>
      <w:pPr>
        <w:pStyle w:val="null3"/>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ind w:firstLine="480"/>
        <w:jc w:val="both"/>
      </w:pPr>
      <w:r>
        <w:rPr>
          <w:rFonts w:ascii="宋体" w:hAnsi="宋体" w:cs="宋体" w:eastAsia="宋体"/>
          <w:sz w:val="24"/>
        </w:rPr>
        <w:t>一、向我司工作人员及其家属等特定关系人：</w:t>
      </w:r>
    </w:p>
    <w:p>
      <w:pPr>
        <w:pStyle w:val="null3"/>
        <w:ind w:firstLine="480"/>
        <w:jc w:val="both"/>
      </w:pPr>
      <w:r>
        <w:rPr>
          <w:rFonts w:ascii="宋体" w:hAnsi="宋体" w:cs="宋体" w:eastAsia="宋体"/>
          <w:sz w:val="24"/>
        </w:rPr>
        <w:t>（一）行贿、提供回扣；</w:t>
      </w:r>
    </w:p>
    <w:p>
      <w:pPr>
        <w:pStyle w:val="null3"/>
        <w:ind w:firstLine="480"/>
        <w:jc w:val="both"/>
      </w:pPr>
      <w:r>
        <w:rPr>
          <w:rFonts w:ascii="宋体" w:hAnsi="宋体" w:cs="宋体" w:eastAsia="宋体"/>
          <w:sz w:val="24"/>
        </w:rPr>
        <w:t>（二）安排宴请、住宿、旅游、健身、文体娱乐等活动；</w:t>
      </w:r>
    </w:p>
    <w:p>
      <w:pPr>
        <w:pStyle w:val="null3"/>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ind w:firstLine="480"/>
        <w:jc w:val="both"/>
      </w:pPr>
      <w:r>
        <w:rPr>
          <w:rFonts w:ascii="宋体" w:hAnsi="宋体" w:cs="宋体" w:eastAsia="宋体"/>
          <w:sz w:val="24"/>
        </w:rPr>
        <w:t>（四）出借钱款、房屋、车辆等，或以明显优于正常市场交易价格进行交易和提供服务；</w:t>
      </w:r>
    </w:p>
    <w:p>
      <w:pPr>
        <w:pStyle w:val="null3"/>
        <w:ind w:firstLine="480"/>
        <w:jc w:val="both"/>
      </w:pPr>
      <w:r>
        <w:rPr>
          <w:rFonts w:ascii="宋体" w:hAnsi="宋体" w:cs="宋体" w:eastAsia="宋体"/>
          <w:sz w:val="24"/>
        </w:rPr>
        <w:t>（五）报销或支付（代垫）应由个人承担的费用；</w:t>
      </w:r>
    </w:p>
    <w:p>
      <w:pPr>
        <w:pStyle w:val="null3"/>
        <w:ind w:firstLine="480"/>
        <w:jc w:val="both"/>
      </w:pPr>
      <w:r>
        <w:rPr>
          <w:rFonts w:ascii="宋体" w:hAnsi="宋体" w:cs="宋体" w:eastAsia="宋体"/>
          <w:sz w:val="24"/>
        </w:rPr>
        <w:t>二、让我司工作人员及其家属等特定关系人持有或变相持有股权（份）；</w:t>
      </w:r>
    </w:p>
    <w:p>
      <w:pPr>
        <w:pStyle w:val="null3"/>
        <w:ind w:firstLine="480"/>
        <w:jc w:val="both"/>
      </w:pPr>
      <w:r>
        <w:rPr>
          <w:rFonts w:ascii="宋体" w:hAnsi="宋体" w:cs="宋体" w:eastAsia="宋体"/>
          <w:sz w:val="24"/>
        </w:rPr>
        <w:t>三、与我司工作人员及其家属介绍的特定关系人从事招标采购、产品销售、管理咨询等经济活动；</w:t>
      </w:r>
    </w:p>
    <w:p>
      <w:pPr>
        <w:pStyle w:val="null3"/>
        <w:ind w:firstLine="480"/>
        <w:jc w:val="both"/>
      </w:pPr>
      <w:r>
        <w:rPr>
          <w:rFonts w:ascii="宋体" w:hAnsi="宋体" w:cs="宋体" w:eastAsia="宋体"/>
          <w:sz w:val="24"/>
        </w:rPr>
        <w:t>四、其他可能导致我司工作人员违反廉洁纪律、廉洁交往有关规定的行为；</w:t>
      </w:r>
    </w:p>
    <w:p>
      <w:pPr>
        <w:pStyle w:val="null3"/>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ind w:firstLine="480"/>
        <w:jc w:val="both"/>
      </w:pPr>
      <w:r>
        <w:rPr>
          <w:rFonts w:ascii="宋体" w:hAnsi="宋体" w:cs="宋体" w:eastAsia="宋体"/>
          <w:sz w:val="24"/>
        </w:rPr>
        <w:t>特此告知。</w:t>
      </w:r>
    </w:p>
    <w:p>
      <w:pPr>
        <w:pStyle w:val="null3"/>
        <w:ind w:firstLine="6720"/>
        <w:jc w:val="both"/>
      </w:pPr>
      <w:r>
        <w:rPr>
          <w:rFonts w:ascii="宋体" w:hAnsi="宋体" w:cs="宋体" w:eastAsia="宋体"/>
          <w:sz w:val="24"/>
        </w:rPr>
        <w:t>沈阳造币有限公司</w:t>
      </w:r>
    </w:p>
    <w:p>
      <w:pPr>
        <w:pStyle w:val="null3"/>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ind w:firstLine="480"/>
        <w:jc w:val="both"/>
      </w:pPr>
      <w:r>
        <w:rPr>
          <w:rFonts w:ascii="宋体" w:hAnsi="宋体" w:cs="宋体" w:eastAsia="宋体"/>
          <w:sz w:val="24"/>
        </w:rPr>
        <w:t>签收：</w:t>
      </w:r>
    </w:p>
    <w:p>
      <w:pPr>
        <w:pStyle w:val="null3"/>
        <w:jc w:val="left"/>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