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F1847C">
      <w:pPr>
        <w:snapToGrid w:val="0"/>
        <w:spacing w:line="520" w:lineRule="exact"/>
        <w:ind w:firstLine="560" w:firstLineChars="200"/>
        <w:jc w:val="left"/>
        <w:rPr>
          <w:rFonts w:ascii="黑体" w:hAnsi="黑体" w:eastAsia="黑体" w:cs="黑体"/>
          <w:sz w:val="28"/>
          <w:szCs w:val="28"/>
        </w:rPr>
      </w:pPr>
      <w:bookmarkStart w:id="0" w:name="_GoBack"/>
      <w:r>
        <w:rPr>
          <w:rFonts w:hint="eastAsia" w:ascii="黑体" w:hAnsi="黑体" w:eastAsia="黑体" w:cs="黑体"/>
          <w:sz w:val="28"/>
          <w:szCs w:val="28"/>
        </w:rPr>
        <w:t>包</w:t>
      </w:r>
      <w:r>
        <w:rPr>
          <w:rFonts w:hint="eastAsia" w:ascii="黑体" w:hAnsi="黑体" w:eastAsia="黑体" w:cs="黑体"/>
          <w:sz w:val="28"/>
          <w:szCs w:val="28"/>
          <w:lang w:val="en-US" w:eastAsia="zh-CN"/>
        </w:rPr>
        <w:t>2</w:t>
      </w:r>
      <w:r>
        <w:rPr>
          <w:rFonts w:hint="eastAsia" w:ascii="黑体" w:hAnsi="黑体" w:eastAsia="黑体" w:cs="黑体"/>
          <w:sz w:val="28"/>
          <w:szCs w:val="28"/>
        </w:rPr>
        <w:t>投标报价明细单</w:t>
      </w:r>
      <w:bookmarkEnd w:id="0"/>
    </w:p>
    <w:p w14:paraId="1EA586B4">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（1）投标报价</w:t>
      </w:r>
    </w:p>
    <w:p w14:paraId="312875EB">
      <w:pPr>
        <w:pStyle w:val="2"/>
        <w:spacing w:before="164"/>
        <w:ind w:right="102"/>
        <w:rPr>
          <w:rFonts w:ascii="宋体" w:hAnsi="宋体" w:eastAsia="宋体" w:cs="宋体"/>
          <w:b/>
          <w:bCs/>
          <w:sz w:val="28"/>
          <w:szCs w:val="28"/>
          <w:u w:val="single"/>
          <w:shd w:val="pct10" w:color="auto" w:fill="FFFFFF"/>
        </w:rPr>
      </w:pPr>
      <w:r>
        <w:rPr>
          <w:rFonts w:hint="eastAsia" w:ascii="仿宋_GB2312" w:hAnsi="Arial" w:eastAsia="仿宋_GB2312"/>
          <w:sz w:val="32"/>
          <w:szCs w:val="32"/>
        </w:rPr>
        <w:t>投标报价=造币用黄铜带采购总价*0.95+造币用黄铜带运费总价*0.05=</w:t>
      </w:r>
      <w:r>
        <w:rPr>
          <w:rFonts w:hint="eastAsia" w:ascii="仿宋_GB2312" w:hAnsi="Arial" w:eastAsia="仿宋_GB2312"/>
          <w:sz w:val="32"/>
          <w:szCs w:val="32"/>
          <w:u w:val="single"/>
        </w:rPr>
        <w:t xml:space="preserve">      </w:t>
      </w:r>
      <w:r>
        <w:rPr>
          <w:rFonts w:hint="eastAsia" w:ascii="仿宋_GB2312" w:hAnsi="Arial" w:eastAsia="仿宋_GB2312"/>
          <w:sz w:val="32"/>
          <w:szCs w:val="32"/>
        </w:rPr>
        <w:t>元</w:t>
      </w:r>
    </w:p>
    <w:p w14:paraId="4169073F">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（2）造币用黄铜带采购总价（以下价格均含税）</w:t>
      </w:r>
    </w:p>
    <w:tbl>
      <w:tblPr>
        <w:tblStyle w:val="5"/>
        <w:tblW w:w="100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4"/>
        <w:gridCol w:w="1004"/>
        <w:gridCol w:w="1005"/>
        <w:gridCol w:w="1004"/>
        <w:gridCol w:w="1004"/>
        <w:gridCol w:w="1005"/>
        <w:gridCol w:w="1005"/>
        <w:gridCol w:w="1004"/>
        <w:gridCol w:w="1004"/>
        <w:gridCol w:w="1005"/>
      </w:tblGrid>
      <w:tr w14:paraId="77BCE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4" w:type="dxa"/>
            <w:vAlign w:val="center"/>
          </w:tcPr>
          <w:p w14:paraId="163AD3BB">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报价项目</w:t>
            </w:r>
          </w:p>
        </w:tc>
        <w:tc>
          <w:tcPr>
            <w:tcW w:w="1004" w:type="dxa"/>
            <w:vAlign w:val="center"/>
          </w:tcPr>
          <w:p w14:paraId="0FE4FADF">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原料价</w:t>
            </w:r>
          </w:p>
          <w:p w14:paraId="22BF20F9">
            <w:pPr>
              <w:jc w:val="center"/>
              <w:rPr>
                <w:rFonts w:cs="仿宋_GB2312" w:asciiTheme="minorEastAsia" w:hAnsiTheme="minorEastAsia"/>
                <w:kern w:val="0"/>
                <w:sz w:val="20"/>
                <w:szCs w:val="21"/>
              </w:rPr>
            </w:pPr>
            <w:r>
              <w:rPr>
                <w:rFonts w:cs="Calibri" w:asciiTheme="minorEastAsia" w:hAnsiTheme="minorEastAsia"/>
                <w:kern w:val="0"/>
                <w:sz w:val="20"/>
                <w:szCs w:val="21"/>
              </w:rPr>
              <w:t>①</w:t>
            </w:r>
            <w:r>
              <w:rPr>
                <w:rFonts w:hint="eastAsia" w:cs="Calibri" w:asciiTheme="minorEastAsia" w:hAnsiTheme="minorEastAsia"/>
                <w:kern w:val="0"/>
                <w:sz w:val="20"/>
                <w:szCs w:val="21"/>
              </w:rPr>
              <w:t>（元/吨）</w:t>
            </w:r>
          </w:p>
        </w:tc>
        <w:tc>
          <w:tcPr>
            <w:tcW w:w="1005" w:type="dxa"/>
            <w:vAlign w:val="center"/>
          </w:tcPr>
          <w:p w14:paraId="4F697276">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金属损耗</w:t>
            </w:r>
            <w:r>
              <w:rPr>
                <w:rFonts w:cs="Calibri" w:asciiTheme="minorEastAsia" w:hAnsiTheme="minorEastAsia"/>
                <w:kern w:val="0"/>
                <w:sz w:val="20"/>
                <w:szCs w:val="21"/>
              </w:rPr>
              <w:t>②</w:t>
            </w:r>
            <w:r>
              <w:rPr>
                <w:rFonts w:hint="eastAsia" w:cs="Calibri" w:asciiTheme="minorEastAsia" w:hAnsiTheme="minorEastAsia"/>
                <w:kern w:val="0"/>
                <w:sz w:val="20"/>
                <w:szCs w:val="21"/>
              </w:rPr>
              <w:t>（%）</w:t>
            </w:r>
          </w:p>
        </w:tc>
        <w:tc>
          <w:tcPr>
            <w:tcW w:w="1004" w:type="dxa"/>
            <w:vAlign w:val="center"/>
          </w:tcPr>
          <w:p w14:paraId="4A2FBD36">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加工费</w:t>
            </w:r>
            <w:r>
              <w:rPr>
                <w:rFonts w:cs="Calibri" w:asciiTheme="minorEastAsia" w:hAnsiTheme="minorEastAsia"/>
                <w:kern w:val="0"/>
                <w:sz w:val="20"/>
                <w:szCs w:val="21"/>
              </w:rPr>
              <w:t>③</w:t>
            </w:r>
            <w:r>
              <w:rPr>
                <w:rFonts w:hint="eastAsia" w:cs="Calibri" w:asciiTheme="minorEastAsia" w:hAnsiTheme="minorEastAsia"/>
                <w:kern w:val="0"/>
                <w:sz w:val="20"/>
                <w:szCs w:val="21"/>
              </w:rPr>
              <w:t>（元/</w:t>
            </w:r>
            <w:r>
              <w:rPr>
                <w:rFonts w:hint="eastAsia" w:cs="仿宋_GB2312" w:asciiTheme="minorEastAsia" w:hAnsiTheme="minorEastAsia"/>
                <w:kern w:val="0"/>
                <w:sz w:val="20"/>
                <w:szCs w:val="21"/>
              </w:rPr>
              <w:t>吨</w:t>
            </w:r>
            <w:r>
              <w:rPr>
                <w:rFonts w:hint="eastAsia" w:cs="Calibri" w:asciiTheme="minorEastAsia" w:hAnsiTheme="minorEastAsia"/>
                <w:kern w:val="0"/>
                <w:sz w:val="20"/>
                <w:szCs w:val="21"/>
              </w:rPr>
              <w:t>）</w:t>
            </w:r>
          </w:p>
        </w:tc>
        <w:tc>
          <w:tcPr>
            <w:tcW w:w="1004" w:type="dxa"/>
            <w:vAlign w:val="center"/>
          </w:tcPr>
          <w:p w14:paraId="572F0646">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边废料回收比例</w:t>
            </w:r>
            <w:r>
              <w:rPr>
                <w:rFonts w:hint="eastAsia" w:cs="仿宋_GB2312" w:asciiTheme="minorEastAsia" w:hAnsiTheme="minorEastAsia"/>
                <w:kern w:val="0"/>
                <w:sz w:val="20"/>
                <w:szCs w:val="21"/>
              </w:rPr>
              <w:fldChar w:fldCharType="begin"/>
            </w:r>
            <w:r>
              <w:rPr>
                <w:rFonts w:hint="eastAsia" w:cs="仿宋_GB2312" w:asciiTheme="minorEastAsia" w:hAnsiTheme="minorEastAsia"/>
                <w:kern w:val="0"/>
                <w:sz w:val="20"/>
                <w:szCs w:val="21"/>
              </w:rPr>
              <w:instrText xml:space="preserve"> = 4 \* GB3 \* MERGEFORMAT </w:instrText>
            </w:r>
            <w:r>
              <w:rPr>
                <w:rFonts w:hint="eastAsia" w:cs="仿宋_GB2312" w:asciiTheme="minorEastAsia" w:hAnsiTheme="minorEastAsia"/>
                <w:kern w:val="0"/>
                <w:sz w:val="20"/>
                <w:szCs w:val="21"/>
              </w:rPr>
              <w:fldChar w:fldCharType="separate"/>
            </w:r>
            <w:r>
              <w:rPr>
                <w:rFonts w:asciiTheme="minorEastAsia" w:hAnsiTheme="minorEastAsia"/>
                <w:kern w:val="0"/>
                <w:sz w:val="20"/>
                <w:szCs w:val="21"/>
              </w:rPr>
              <w:t>④</w:t>
            </w:r>
            <w:r>
              <w:rPr>
                <w:rFonts w:hint="eastAsia" w:cs="仿宋_GB2312" w:asciiTheme="minorEastAsia" w:hAnsiTheme="minorEastAsia"/>
                <w:kern w:val="0"/>
                <w:sz w:val="20"/>
                <w:szCs w:val="21"/>
              </w:rPr>
              <w:fldChar w:fldCharType="end"/>
            </w:r>
            <w:r>
              <w:rPr>
                <w:rFonts w:hint="eastAsia" w:cs="仿宋_GB2312" w:asciiTheme="minorEastAsia" w:hAnsiTheme="minorEastAsia"/>
                <w:kern w:val="0"/>
                <w:sz w:val="20"/>
                <w:szCs w:val="21"/>
              </w:rPr>
              <w:t>（%）</w:t>
            </w:r>
          </w:p>
        </w:tc>
        <w:tc>
          <w:tcPr>
            <w:tcW w:w="1005" w:type="dxa"/>
            <w:vAlign w:val="center"/>
          </w:tcPr>
          <w:p w14:paraId="0F690E83">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加工费折算⑤=③+(85%-④)*100*84.48（元/吨）</w:t>
            </w:r>
          </w:p>
        </w:tc>
        <w:tc>
          <w:tcPr>
            <w:tcW w:w="1005" w:type="dxa"/>
          </w:tcPr>
          <w:p w14:paraId="08475405">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黄铜带合计单价⑥=</w:t>
            </w:r>
            <w:r>
              <w:rPr>
                <w:rFonts w:cs="Calibri" w:asciiTheme="minorEastAsia" w:hAnsiTheme="minorEastAsia"/>
                <w:kern w:val="0"/>
                <w:sz w:val="20"/>
                <w:szCs w:val="21"/>
              </w:rPr>
              <w:t>①</w:t>
            </w:r>
            <w:r>
              <w:rPr>
                <w:rFonts w:hint="eastAsia" w:cs="Calibri" w:asciiTheme="minorEastAsia" w:hAnsiTheme="minorEastAsia"/>
                <w:kern w:val="0"/>
                <w:sz w:val="20"/>
                <w:szCs w:val="21"/>
              </w:rPr>
              <w:t>*（1+</w:t>
            </w:r>
            <w:r>
              <w:rPr>
                <w:rFonts w:cs="Calibri" w:asciiTheme="minorEastAsia" w:hAnsiTheme="minorEastAsia"/>
                <w:kern w:val="0"/>
                <w:sz w:val="20"/>
                <w:szCs w:val="21"/>
              </w:rPr>
              <w:t>②</w:t>
            </w:r>
            <w:r>
              <w:rPr>
                <w:rFonts w:hint="eastAsia" w:cs="Calibri" w:asciiTheme="minorEastAsia" w:hAnsiTheme="minorEastAsia"/>
                <w:kern w:val="0"/>
                <w:sz w:val="20"/>
                <w:szCs w:val="21"/>
              </w:rPr>
              <w:t>）+⑤（元/吨）</w:t>
            </w:r>
          </w:p>
        </w:tc>
        <w:tc>
          <w:tcPr>
            <w:tcW w:w="1004" w:type="dxa"/>
            <w:vAlign w:val="center"/>
          </w:tcPr>
          <w:p w14:paraId="47729EB2">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采购数量⑦（吨）</w:t>
            </w:r>
          </w:p>
        </w:tc>
        <w:tc>
          <w:tcPr>
            <w:tcW w:w="1004" w:type="dxa"/>
            <w:vAlign w:val="center"/>
          </w:tcPr>
          <w:p w14:paraId="4F135B9D">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黄铜带采购总价</w:t>
            </w:r>
          </w:p>
          <w:p w14:paraId="701DEFED">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=⑥*⑦（元</w:t>
            </w:r>
            <w:r>
              <w:rPr>
                <w:rFonts w:hint="eastAsia" w:cs="宋体" w:asciiTheme="minorEastAsia" w:hAnsiTheme="minorEastAsia"/>
                <w:kern w:val="0"/>
                <w:sz w:val="20"/>
                <w:szCs w:val="21"/>
              </w:rPr>
              <w:t>）</w:t>
            </w:r>
          </w:p>
        </w:tc>
        <w:tc>
          <w:tcPr>
            <w:tcW w:w="1005" w:type="dxa"/>
            <w:vAlign w:val="center"/>
          </w:tcPr>
          <w:p w14:paraId="4E348C98">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税率</w:t>
            </w:r>
          </w:p>
        </w:tc>
      </w:tr>
      <w:tr w14:paraId="0CF9F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004" w:type="dxa"/>
            <w:vAlign w:val="center"/>
          </w:tcPr>
          <w:p w14:paraId="15640882">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造币用黄铜带采购</w:t>
            </w:r>
          </w:p>
        </w:tc>
        <w:tc>
          <w:tcPr>
            <w:tcW w:w="1004" w:type="dxa"/>
            <w:vAlign w:val="center"/>
          </w:tcPr>
          <w:p w14:paraId="3ED3F9D9">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65710</w:t>
            </w:r>
          </w:p>
        </w:tc>
        <w:tc>
          <w:tcPr>
            <w:tcW w:w="1005" w:type="dxa"/>
            <w:vAlign w:val="center"/>
          </w:tcPr>
          <w:p w14:paraId="7C63D931">
            <w:pPr>
              <w:jc w:val="center"/>
              <w:rPr>
                <w:rFonts w:cs="仿宋_GB2312" w:asciiTheme="minorEastAsia" w:hAnsiTheme="minorEastAsia"/>
                <w:kern w:val="0"/>
                <w:sz w:val="20"/>
                <w:szCs w:val="21"/>
              </w:rPr>
            </w:pPr>
          </w:p>
        </w:tc>
        <w:tc>
          <w:tcPr>
            <w:tcW w:w="1004" w:type="dxa"/>
            <w:vAlign w:val="center"/>
          </w:tcPr>
          <w:p w14:paraId="488CA7EB">
            <w:pPr>
              <w:jc w:val="center"/>
              <w:rPr>
                <w:rFonts w:cs="仿宋_GB2312" w:asciiTheme="minorEastAsia" w:hAnsiTheme="minorEastAsia"/>
                <w:kern w:val="0"/>
                <w:sz w:val="20"/>
                <w:szCs w:val="21"/>
              </w:rPr>
            </w:pPr>
          </w:p>
        </w:tc>
        <w:tc>
          <w:tcPr>
            <w:tcW w:w="1004" w:type="dxa"/>
            <w:vAlign w:val="center"/>
          </w:tcPr>
          <w:p w14:paraId="3B2B5815">
            <w:pPr>
              <w:jc w:val="center"/>
              <w:rPr>
                <w:rFonts w:cs="仿宋_GB2312" w:asciiTheme="minorEastAsia" w:hAnsiTheme="minorEastAsia"/>
                <w:kern w:val="0"/>
                <w:sz w:val="20"/>
                <w:szCs w:val="21"/>
              </w:rPr>
            </w:pPr>
          </w:p>
        </w:tc>
        <w:tc>
          <w:tcPr>
            <w:tcW w:w="1005" w:type="dxa"/>
          </w:tcPr>
          <w:p w14:paraId="2D60A4BD">
            <w:pPr>
              <w:jc w:val="center"/>
              <w:rPr>
                <w:rFonts w:cs="仿宋_GB2312" w:asciiTheme="minorEastAsia" w:hAnsiTheme="minorEastAsia"/>
                <w:kern w:val="0"/>
                <w:sz w:val="20"/>
                <w:szCs w:val="21"/>
              </w:rPr>
            </w:pPr>
          </w:p>
        </w:tc>
        <w:tc>
          <w:tcPr>
            <w:tcW w:w="1005" w:type="dxa"/>
          </w:tcPr>
          <w:p w14:paraId="6F8F9362">
            <w:pPr>
              <w:jc w:val="center"/>
              <w:rPr>
                <w:rFonts w:cs="仿宋_GB2312" w:asciiTheme="minorEastAsia" w:hAnsiTheme="minorEastAsia"/>
                <w:kern w:val="0"/>
                <w:sz w:val="20"/>
                <w:szCs w:val="21"/>
              </w:rPr>
            </w:pPr>
          </w:p>
        </w:tc>
        <w:tc>
          <w:tcPr>
            <w:tcW w:w="1004" w:type="dxa"/>
            <w:vAlign w:val="center"/>
          </w:tcPr>
          <w:p w14:paraId="59461846">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2300</w:t>
            </w:r>
          </w:p>
        </w:tc>
        <w:tc>
          <w:tcPr>
            <w:tcW w:w="1004" w:type="dxa"/>
            <w:vAlign w:val="center"/>
          </w:tcPr>
          <w:p w14:paraId="10153741">
            <w:pPr>
              <w:jc w:val="center"/>
              <w:rPr>
                <w:rFonts w:cs="仿宋_GB2312" w:asciiTheme="minorEastAsia" w:hAnsiTheme="minorEastAsia"/>
                <w:kern w:val="0"/>
                <w:sz w:val="20"/>
                <w:szCs w:val="21"/>
              </w:rPr>
            </w:pPr>
          </w:p>
        </w:tc>
        <w:tc>
          <w:tcPr>
            <w:tcW w:w="1005" w:type="dxa"/>
            <w:vAlign w:val="center"/>
          </w:tcPr>
          <w:p w14:paraId="072E2F00">
            <w:pPr>
              <w:jc w:val="center"/>
              <w:rPr>
                <w:rFonts w:cs="仿宋_GB2312" w:asciiTheme="minorEastAsia" w:hAnsiTheme="minorEastAsia"/>
                <w:kern w:val="0"/>
                <w:sz w:val="20"/>
                <w:szCs w:val="21"/>
              </w:rPr>
            </w:pPr>
          </w:p>
        </w:tc>
      </w:tr>
    </w:tbl>
    <w:p w14:paraId="37AB2C22">
      <w:pPr>
        <w:pStyle w:val="3"/>
        <w:spacing w:line="360" w:lineRule="auto"/>
        <w:rPr>
          <w:rFonts w:ascii="仿宋_GB2312" w:hAnsi="Arial" w:eastAsia="仿宋_GB2312"/>
          <w:sz w:val="32"/>
          <w:szCs w:val="32"/>
        </w:rPr>
      </w:pPr>
      <w:r>
        <w:rPr>
          <w:rFonts w:hint="eastAsia" w:ascii="仿宋_GB2312" w:hAnsi="Arial" w:eastAsia="仿宋_GB2312"/>
          <w:sz w:val="32"/>
          <w:szCs w:val="32"/>
        </w:rPr>
        <w:t>报价说明：</w:t>
      </w:r>
    </w:p>
    <w:p w14:paraId="60A9F7DF">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1.造币用黄铜带金属损耗最高限值为5.8%，加工费折算最高限价为8250元/吨（含税），边废料回收比例范围为75%～85%。</w:t>
      </w:r>
    </w:p>
    <w:p w14:paraId="2F4AE572">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2.投标人投标时需分别报出造币用黄铜带采购的金属损耗、加工费单价、边废料回收比例；同时需要算出本项目造币用黄铜带采购总价。</w:t>
      </w:r>
    </w:p>
    <w:p w14:paraId="1F9280B7">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3.采购人指定投标人在投标报价时造币用黄铜带的原料价为65710元/吨。履行合同时，实际金属原料价格、黄铜边料价格和黄铜碎屑价格均执行采购人具体订单下达当日锁定的长江有色金属现货市场上午各相应1#金属均价，按黄铜带材合金化学成分比例进行计算。黄铜边废料的化学成分与造币用黄铜带的化学成分相同。</w:t>
      </w:r>
    </w:p>
    <w:p w14:paraId="4C87F9EB">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4.本分项报价表中的黄铜带加工费、黄铜带合计单价、黄铜带采购总价均不包含运费；黄铜边料和碎屑回收由采购人负责运输和运费。</w:t>
      </w:r>
    </w:p>
    <w:p w14:paraId="148EDB53">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5.加工费折算公式中的84.48元/吨，为边废料回收比例（回收数量与采购数量的比例）每1%对应的单位损益金额。即：边废料回收比例每降低1%，对应数量边废料市场化销售经济损失均摊到回收总数量时为84.48元/吨。</w:t>
      </w:r>
    </w:p>
    <w:p w14:paraId="4A851D99">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（3）造币用黄铜带运费总价（以下价格均含税）</w:t>
      </w:r>
    </w:p>
    <w:tbl>
      <w:tblPr>
        <w:tblStyle w:val="5"/>
        <w:tblW w:w="952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4"/>
        <w:gridCol w:w="1004"/>
        <w:gridCol w:w="1130"/>
        <w:gridCol w:w="1130"/>
        <w:gridCol w:w="1131"/>
        <w:gridCol w:w="1130"/>
        <w:gridCol w:w="1130"/>
        <w:gridCol w:w="1131"/>
        <w:gridCol w:w="730"/>
      </w:tblGrid>
      <w:tr w14:paraId="7F4AC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4" w:type="dxa"/>
            <w:vAlign w:val="center"/>
          </w:tcPr>
          <w:p w14:paraId="35F9B0C9">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报价项目</w:t>
            </w:r>
          </w:p>
        </w:tc>
        <w:tc>
          <w:tcPr>
            <w:tcW w:w="1004" w:type="dxa"/>
            <w:vAlign w:val="center"/>
          </w:tcPr>
          <w:p w14:paraId="1E5E0ECA">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运输方式</w:t>
            </w:r>
          </w:p>
        </w:tc>
        <w:tc>
          <w:tcPr>
            <w:tcW w:w="1130" w:type="dxa"/>
            <w:vAlign w:val="center"/>
          </w:tcPr>
          <w:p w14:paraId="5AF68DB7">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同城运费单价①</w:t>
            </w:r>
            <w:r>
              <w:rPr>
                <w:rFonts w:hint="eastAsia" w:cs="Calibri" w:asciiTheme="minorEastAsia" w:hAnsiTheme="minorEastAsia"/>
                <w:kern w:val="0"/>
                <w:sz w:val="20"/>
                <w:szCs w:val="21"/>
              </w:rPr>
              <w:t>（元/</w:t>
            </w:r>
            <w:r>
              <w:rPr>
                <w:rFonts w:hint="eastAsia" w:cs="仿宋_GB2312" w:asciiTheme="minorEastAsia" w:hAnsiTheme="minorEastAsia"/>
                <w:kern w:val="0"/>
                <w:sz w:val="20"/>
                <w:szCs w:val="21"/>
              </w:rPr>
              <w:t>吨</w:t>
            </w:r>
            <w:r>
              <w:rPr>
                <w:rFonts w:hint="eastAsia" w:cs="Calibri" w:asciiTheme="minorEastAsia" w:hAnsiTheme="minorEastAsia"/>
                <w:kern w:val="0"/>
                <w:sz w:val="20"/>
                <w:szCs w:val="21"/>
              </w:rPr>
              <w:t>）</w:t>
            </w:r>
          </w:p>
        </w:tc>
        <w:tc>
          <w:tcPr>
            <w:tcW w:w="1130" w:type="dxa"/>
            <w:vAlign w:val="center"/>
          </w:tcPr>
          <w:p w14:paraId="4B4B160D">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异地运费单价②（元/吨公里）</w:t>
            </w:r>
          </w:p>
        </w:tc>
        <w:tc>
          <w:tcPr>
            <w:tcW w:w="1131" w:type="dxa"/>
            <w:vAlign w:val="center"/>
          </w:tcPr>
          <w:p w14:paraId="6293A980">
            <w:pPr>
              <w:ind w:left="5" w:leftChars="-14" w:hanging="34" w:hangingChars="17"/>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运输距离③</w:t>
            </w:r>
            <w:r>
              <w:rPr>
                <w:rFonts w:hint="eastAsia" w:cs="Calibri" w:asciiTheme="minorEastAsia" w:hAnsiTheme="minorEastAsia"/>
                <w:kern w:val="0"/>
                <w:sz w:val="20"/>
                <w:szCs w:val="21"/>
              </w:rPr>
              <w:t>（公里）</w:t>
            </w:r>
          </w:p>
        </w:tc>
        <w:tc>
          <w:tcPr>
            <w:tcW w:w="1130" w:type="dxa"/>
            <w:vAlign w:val="center"/>
          </w:tcPr>
          <w:p w14:paraId="5A2D4494">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运输数量④（吨）</w:t>
            </w:r>
          </w:p>
        </w:tc>
        <w:tc>
          <w:tcPr>
            <w:tcW w:w="1130" w:type="dxa"/>
            <w:vAlign w:val="center"/>
          </w:tcPr>
          <w:p w14:paraId="469F5C90">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同城运费总价=①*④（元</w:t>
            </w:r>
            <w:r>
              <w:rPr>
                <w:rFonts w:hint="eastAsia" w:cs="宋体" w:asciiTheme="minorEastAsia" w:hAnsiTheme="minorEastAsia"/>
                <w:kern w:val="0"/>
                <w:sz w:val="20"/>
                <w:szCs w:val="21"/>
              </w:rPr>
              <w:t>）</w:t>
            </w:r>
          </w:p>
        </w:tc>
        <w:tc>
          <w:tcPr>
            <w:tcW w:w="1131" w:type="dxa"/>
          </w:tcPr>
          <w:p w14:paraId="50B5FB8A">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异地运费总价=②*③*④（元）</w:t>
            </w:r>
          </w:p>
        </w:tc>
        <w:tc>
          <w:tcPr>
            <w:tcW w:w="730" w:type="dxa"/>
            <w:vAlign w:val="center"/>
          </w:tcPr>
          <w:p w14:paraId="4115E96A">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税率</w:t>
            </w:r>
          </w:p>
        </w:tc>
      </w:tr>
      <w:tr w14:paraId="408BE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04" w:type="dxa"/>
            <w:vMerge w:val="restart"/>
            <w:vAlign w:val="center"/>
          </w:tcPr>
          <w:p w14:paraId="03ACC4A0">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造币用黄铜带运费</w:t>
            </w:r>
          </w:p>
        </w:tc>
        <w:tc>
          <w:tcPr>
            <w:tcW w:w="1004" w:type="dxa"/>
            <w:vAlign w:val="center"/>
          </w:tcPr>
          <w:p w14:paraId="4E818020">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○同城</w:t>
            </w:r>
          </w:p>
        </w:tc>
        <w:tc>
          <w:tcPr>
            <w:tcW w:w="1130" w:type="dxa"/>
            <w:vAlign w:val="center"/>
          </w:tcPr>
          <w:p w14:paraId="2ACD2633">
            <w:pPr>
              <w:jc w:val="center"/>
              <w:rPr>
                <w:rFonts w:cs="仿宋_GB2312" w:asciiTheme="minorEastAsia" w:hAnsiTheme="minorEastAsia"/>
                <w:kern w:val="0"/>
                <w:sz w:val="20"/>
                <w:szCs w:val="21"/>
              </w:rPr>
            </w:pPr>
          </w:p>
        </w:tc>
        <w:tc>
          <w:tcPr>
            <w:tcW w:w="1130" w:type="dxa"/>
            <w:vAlign w:val="center"/>
          </w:tcPr>
          <w:p w14:paraId="35391746">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w:t>
            </w:r>
          </w:p>
        </w:tc>
        <w:tc>
          <w:tcPr>
            <w:tcW w:w="1131" w:type="dxa"/>
            <w:vAlign w:val="center"/>
          </w:tcPr>
          <w:p w14:paraId="14873BF9">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w:t>
            </w:r>
          </w:p>
        </w:tc>
        <w:tc>
          <w:tcPr>
            <w:tcW w:w="1130" w:type="dxa"/>
            <w:vAlign w:val="center"/>
          </w:tcPr>
          <w:p w14:paraId="139E7B08">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2300</w:t>
            </w:r>
          </w:p>
        </w:tc>
        <w:tc>
          <w:tcPr>
            <w:tcW w:w="1130" w:type="dxa"/>
            <w:vAlign w:val="center"/>
          </w:tcPr>
          <w:p w14:paraId="6C533559">
            <w:pPr>
              <w:jc w:val="center"/>
              <w:rPr>
                <w:rFonts w:cs="仿宋_GB2312" w:asciiTheme="minorEastAsia" w:hAnsiTheme="minorEastAsia"/>
                <w:kern w:val="0"/>
                <w:sz w:val="20"/>
                <w:szCs w:val="21"/>
              </w:rPr>
            </w:pPr>
          </w:p>
        </w:tc>
        <w:tc>
          <w:tcPr>
            <w:tcW w:w="1131" w:type="dxa"/>
            <w:vAlign w:val="center"/>
          </w:tcPr>
          <w:p w14:paraId="701AB115">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w:t>
            </w:r>
          </w:p>
        </w:tc>
        <w:tc>
          <w:tcPr>
            <w:tcW w:w="730" w:type="dxa"/>
            <w:vMerge w:val="restart"/>
            <w:vAlign w:val="center"/>
          </w:tcPr>
          <w:p w14:paraId="78D24253">
            <w:pPr>
              <w:jc w:val="center"/>
              <w:rPr>
                <w:rFonts w:cs="仿宋_GB2312" w:asciiTheme="minorEastAsia" w:hAnsiTheme="minorEastAsia"/>
                <w:kern w:val="0"/>
                <w:sz w:val="20"/>
                <w:szCs w:val="21"/>
              </w:rPr>
            </w:pPr>
          </w:p>
        </w:tc>
      </w:tr>
      <w:tr w14:paraId="2A9DA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04" w:type="dxa"/>
            <w:vMerge w:val="continue"/>
            <w:vAlign w:val="center"/>
          </w:tcPr>
          <w:p w14:paraId="6B0A9E20">
            <w:pPr>
              <w:jc w:val="center"/>
              <w:rPr>
                <w:rFonts w:cs="仿宋_GB2312" w:asciiTheme="minorEastAsia" w:hAnsiTheme="minorEastAsia"/>
                <w:kern w:val="0"/>
                <w:sz w:val="20"/>
                <w:szCs w:val="21"/>
              </w:rPr>
            </w:pPr>
          </w:p>
        </w:tc>
        <w:tc>
          <w:tcPr>
            <w:tcW w:w="1004" w:type="dxa"/>
            <w:vAlign w:val="center"/>
          </w:tcPr>
          <w:p w14:paraId="58441C84">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○异地</w:t>
            </w:r>
          </w:p>
        </w:tc>
        <w:tc>
          <w:tcPr>
            <w:tcW w:w="1130" w:type="dxa"/>
            <w:vAlign w:val="center"/>
          </w:tcPr>
          <w:p w14:paraId="5C0BA399">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w:t>
            </w:r>
          </w:p>
        </w:tc>
        <w:tc>
          <w:tcPr>
            <w:tcW w:w="1130" w:type="dxa"/>
            <w:vAlign w:val="center"/>
          </w:tcPr>
          <w:p w14:paraId="278DD4AB">
            <w:pPr>
              <w:jc w:val="center"/>
              <w:rPr>
                <w:rFonts w:cs="仿宋_GB2312" w:asciiTheme="minorEastAsia" w:hAnsiTheme="minorEastAsia"/>
                <w:kern w:val="0"/>
                <w:sz w:val="20"/>
                <w:szCs w:val="21"/>
              </w:rPr>
            </w:pPr>
          </w:p>
        </w:tc>
        <w:tc>
          <w:tcPr>
            <w:tcW w:w="1131" w:type="dxa"/>
            <w:vAlign w:val="center"/>
          </w:tcPr>
          <w:p w14:paraId="32265CA4">
            <w:pPr>
              <w:jc w:val="center"/>
              <w:rPr>
                <w:rFonts w:cs="仿宋_GB2312" w:asciiTheme="minorEastAsia" w:hAnsiTheme="minorEastAsia"/>
                <w:kern w:val="0"/>
                <w:sz w:val="20"/>
                <w:szCs w:val="21"/>
              </w:rPr>
            </w:pPr>
          </w:p>
        </w:tc>
        <w:tc>
          <w:tcPr>
            <w:tcW w:w="1130" w:type="dxa"/>
            <w:vAlign w:val="center"/>
          </w:tcPr>
          <w:p w14:paraId="692DEA11">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2300</w:t>
            </w:r>
          </w:p>
        </w:tc>
        <w:tc>
          <w:tcPr>
            <w:tcW w:w="1130" w:type="dxa"/>
            <w:vAlign w:val="center"/>
          </w:tcPr>
          <w:p w14:paraId="70FCC1AE">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w:t>
            </w:r>
          </w:p>
        </w:tc>
        <w:tc>
          <w:tcPr>
            <w:tcW w:w="1131" w:type="dxa"/>
            <w:vAlign w:val="center"/>
          </w:tcPr>
          <w:p w14:paraId="2ECDD8AE">
            <w:pPr>
              <w:jc w:val="center"/>
              <w:rPr>
                <w:rFonts w:cs="仿宋_GB2312" w:asciiTheme="minorEastAsia" w:hAnsiTheme="minorEastAsia"/>
                <w:kern w:val="0"/>
                <w:sz w:val="20"/>
                <w:szCs w:val="21"/>
              </w:rPr>
            </w:pPr>
          </w:p>
        </w:tc>
        <w:tc>
          <w:tcPr>
            <w:tcW w:w="730" w:type="dxa"/>
            <w:vMerge w:val="continue"/>
            <w:vAlign w:val="center"/>
          </w:tcPr>
          <w:p w14:paraId="2EB1C6BB">
            <w:pPr>
              <w:jc w:val="center"/>
              <w:rPr>
                <w:rFonts w:cs="仿宋_GB2312" w:asciiTheme="minorEastAsia" w:hAnsiTheme="minorEastAsia"/>
                <w:kern w:val="0"/>
                <w:sz w:val="20"/>
                <w:szCs w:val="21"/>
              </w:rPr>
            </w:pPr>
          </w:p>
        </w:tc>
      </w:tr>
    </w:tbl>
    <w:p w14:paraId="4274D9AC">
      <w:pPr>
        <w:pStyle w:val="3"/>
        <w:spacing w:line="360" w:lineRule="auto"/>
        <w:rPr>
          <w:rFonts w:ascii="仿宋_GB2312" w:hAnsi="Arial" w:eastAsia="仿宋_GB2312"/>
          <w:sz w:val="32"/>
          <w:szCs w:val="32"/>
        </w:rPr>
      </w:pPr>
      <w:r>
        <w:rPr>
          <w:rFonts w:hint="eastAsia" w:ascii="仿宋_GB2312" w:hAnsi="Arial" w:eastAsia="仿宋_GB2312"/>
          <w:sz w:val="32"/>
          <w:szCs w:val="32"/>
        </w:rPr>
        <w:t>报价说明：</w:t>
      </w:r>
    </w:p>
    <w:p w14:paraId="74F2CE6D">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1.造币用黄铜带同城运费最高限价为41元/吨、异地运费最高限价为0.31元/吨公里。以上价格均含税。</w:t>
      </w:r>
    </w:p>
    <w:p w14:paraId="33F8C0A9">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2.投标人投标时需根据采购人要求的送货地点，选择同城或异地两种运输方式之一，并按不同运输方式分别报出运费单价、运输距离，算出本项目造币用黄铜带运费总价作为投标报价。同时报出同城运费总价、异地运费总价时，以两个总价中的最低价作为有效报价。</w:t>
      </w:r>
    </w:p>
    <w:p w14:paraId="28C1E4E4">
      <w:r>
        <w:rPr>
          <w:rFonts w:hint="eastAsia" w:ascii="仿宋_GB2312" w:hAnsi="Arial" w:eastAsia="仿宋_GB2312"/>
          <w:sz w:val="32"/>
          <w:szCs w:val="32"/>
        </w:rPr>
        <w:t>3.异地运输距离为高德地图中走高速路线的距离。合同执行时，如实际运输距离小于投标人报出的运输距离，以实际运输距离为准；如实际运输距离大于投标人报出的运输距离，以投标人报出的运输距离为准。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816"/>
    <w:rsid w:val="000762D1"/>
    <w:rsid w:val="00E44816"/>
    <w:rsid w:val="1CF27A0B"/>
    <w:rsid w:val="5B1424D9"/>
    <w:rsid w:val="5D092915"/>
    <w:rsid w:val="7B0B4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7"/>
    <w:qFormat/>
    <w:uiPriority w:val="0"/>
    <w:pPr>
      <w:spacing w:after="120"/>
    </w:pPr>
  </w:style>
  <w:style w:type="paragraph" w:styleId="3">
    <w:name w:val="Body Text First Indent"/>
    <w:basedOn w:val="2"/>
    <w:link w:val="8"/>
    <w:qFormat/>
    <w:uiPriority w:val="0"/>
  </w:style>
  <w:style w:type="table" w:styleId="5">
    <w:name w:val="Table Grid"/>
    <w:qFormat/>
    <w:uiPriority w:val="5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正文文本 Char"/>
    <w:basedOn w:val="6"/>
    <w:link w:val="2"/>
    <w:qFormat/>
    <w:uiPriority w:val="0"/>
    <w:rPr>
      <w:szCs w:val="24"/>
    </w:rPr>
  </w:style>
  <w:style w:type="character" w:customStyle="1" w:styleId="8">
    <w:name w:val="正文首行缩进 Char"/>
    <w:basedOn w:val="7"/>
    <w:link w:val="3"/>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1402</Words>
  <Characters>1579</Characters>
  <Lines>10</Lines>
  <Paragraphs>2</Paragraphs>
  <TotalTime>1</TotalTime>
  <ScaleCrop>false</ScaleCrop>
  <LinksUpToDate>false</LinksUpToDate>
  <CharactersWithSpaces>1693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2025-09-26T02:57:00Z</dcterms:created>
  <dc:creator>刘代福</dc:creator>
  <cp:lastModifiedBy>lichangjin</cp:lastModifiedBy>
  <dcterms:modified xsi:type="dcterms:W3CDTF">2025-11-06T10:49:17Z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eyJoZGlkIjoiNDM2MmM3NjVkMjkzOGEzZDkzNzdjZDliOTNkYzU0YzEifQ==</vt:lpwstr>
  </property>
  <property fmtid="{D5CDD505-2E9C-101B-9397-08002B2CF9AE}" pid="4" name="ICV">
    <vt:lpwstr>2F54E923FC484DDD853ED11CE075BFAF_12</vt:lpwstr>
  </property>
</Properties>
</file>