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提供近三年（合同签订日期为2022年1月1日以来至投标截止日）签订的类似租用网络通讯线路项目案例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