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833DE">
      <w:pPr>
        <w:rPr>
          <w:rFonts w:eastAsia="黑体"/>
        </w:rPr>
      </w:pPr>
      <w:r>
        <w:rPr>
          <w:rFonts w:hint="eastAsia" w:ascii="宋体" w:hAnsi="宋体" w:eastAsia="宋体" w:cs="宋体"/>
          <w:b/>
          <w:bCs/>
          <w:sz w:val="24"/>
          <w:szCs w:val="44"/>
        </w:rPr>
        <w:t>附件6：包3投标报价明细单</w:t>
      </w:r>
    </w:p>
    <w:p w14:paraId="36EC505E">
      <w:pPr>
        <w:pStyle w:val="5"/>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（1）投标报价</w:t>
      </w:r>
    </w:p>
    <w:p w14:paraId="3DDA3024">
      <w:pPr>
        <w:pStyle w:val="2"/>
        <w:spacing w:before="164"/>
        <w:ind w:right="102"/>
        <w:rPr>
          <w:rFonts w:ascii="仿宋_GB2312" w:hAnsi="Arial" w:eastAsia="仿宋_GB2312"/>
          <w:sz w:val="32"/>
          <w:szCs w:val="32"/>
        </w:rPr>
      </w:pPr>
      <w:r>
        <w:rPr>
          <w:rFonts w:hint="eastAsia" w:ascii="仿宋_GB2312" w:hAnsi="Arial" w:eastAsia="仿宋_GB2312"/>
          <w:sz w:val="32"/>
          <w:szCs w:val="32"/>
        </w:rPr>
        <w:t>投标报价=造币用镍黄铜带采购总价*0.95+造币用镍黄铜带运费总价*0.05=</w:t>
      </w:r>
      <w:r>
        <w:rPr>
          <w:rFonts w:hint="eastAsia" w:ascii="仿宋_GB2312" w:hAnsi="Arial" w:eastAsia="仿宋_GB2312"/>
          <w:sz w:val="32"/>
          <w:szCs w:val="32"/>
          <w:u w:val="single"/>
        </w:rPr>
        <w:t xml:space="preserve">      </w:t>
      </w:r>
      <w:r>
        <w:rPr>
          <w:rFonts w:hint="eastAsia" w:ascii="仿宋_GB2312" w:hAnsi="Arial" w:eastAsia="仿宋_GB2312"/>
          <w:sz w:val="32"/>
          <w:szCs w:val="32"/>
        </w:rPr>
        <w:t>元</w:t>
      </w:r>
    </w:p>
    <w:p w14:paraId="353703DB">
      <w:pPr>
        <w:pStyle w:val="5"/>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（2）造币用镍黄铜带采购总价（以下价格均含税）</w:t>
      </w:r>
    </w:p>
    <w:tbl>
      <w:tblPr>
        <w:tblStyle w:val="7"/>
        <w:tblW w:w="913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1018"/>
        <w:gridCol w:w="1019"/>
        <w:gridCol w:w="1018"/>
        <w:gridCol w:w="1493"/>
        <w:gridCol w:w="1335"/>
        <w:gridCol w:w="1305"/>
        <w:gridCol w:w="930"/>
      </w:tblGrid>
      <w:tr w14:paraId="595B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 w:type="dxa"/>
            <w:vAlign w:val="center"/>
          </w:tcPr>
          <w:p w14:paraId="4BBF122A">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报价项目</w:t>
            </w:r>
          </w:p>
        </w:tc>
        <w:tc>
          <w:tcPr>
            <w:tcW w:w="1018" w:type="dxa"/>
            <w:vAlign w:val="center"/>
          </w:tcPr>
          <w:p w14:paraId="23B18EDB">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原料价</w:t>
            </w:r>
          </w:p>
          <w:p w14:paraId="6F07CD46">
            <w:pPr>
              <w:jc w:val="center"/>
              <w:rPr>
                <w:rFonts w:cs="仿宋_GB2312" w:asciiTheme="minorEastAsia" w:hAnsiTheme="minorEastAsia"/>
                <w:kern w:val="0"/>
                <w:sz w:val="20"/>
                <w:szCs w:val="21"/>
              </w:rPr>
            </w:pPr>
            <w:r>
              <w:rPr>
                <w:rFonts w:cs="Calibri" w:asciiTheme="minorEastAsia" w:hAnsiTheme="minorEastAsia"/>
                <w:kern w:val="0"/>
                <w:sz w:val="20"/>
                <w:szCs w:val="21"/>
              </w:rPr>
              <w:t>①</w:t>
            </w:r>
            <w:r>
              <w:rPr>
                <w:rFonts w:hint="eastAsia" w:cs="Calibri" w:asciiTheme="minorEastAsia" w:hAnsiTheme="minorEastAsia"/>
                <w:kern w:val="0"/>
                <w:sz w:val="20"/>
                <w:szCs w:val="21"/>
              </w:rPr>
              <w:t>（元/吨）</w:t>
            </w:r>
          </w:p>
        </w:tc>
        <w:tc>
          <w:tcPr>
            <w:tcW w:w="1019" w:type="dxa"/>
            <w:vAlign w:val="center"/>
          </w:tcPr>
          <w:p w14:paraId="7EE0E936">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金属损耗</w:t>
            </w:r>
            <w:r>
              <w:rPr>
                <w:rFonts w:cs="Calibri" w:asciiTheme="minorEastAsia" w:hAnsiTheme="minorEastAsia"/>
                <w:kern w:val="0"/>
                <w:sz w:val="20"/>
                <w:szCs w:val="21"/>
              </w:rPr>
              <w:t>②</w:t>
            </w:r>
            <w:r>
              <w:rPr>
                <w:rFonts w:hint="eastAsia" w:cs="Calibri" w:asciiTheme="minorEastAsia" w:hAnsiTheme="minorEastAsia"/>
                <w:kern w:val="0"/>
                <w:sz w:val="20"/>
                <w:szCs w:val="21"/>
              </w:rPr>
              <w:t>（%）</w:t>
            </w:r>
          </w:p>
        </w:tc>
        <w:tc>
          <w:tcPr>
            <w:tcW w:w="1018" w:type="dxa"/>
            <w:vAlign w:val="center"/>
          </w:tcPr>
          <w:p w14:paraId="4B238A1F">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加工费</w:t>
            </w:r>
            <w:r>
              <w:rPr>
                <w:rFonts w:cs="Calibri" w:asciiTheme="minorEastAsia" w:hAnsiTheme="minorEastAsia"/>
                <w:kern w:val="0"/>
                <w:sz w:val="20"/>
                <w:szCs w:val="21"/>
              </w:rPr>
              <w:t>③</w:t>
            </w:r>
            <w:r>
              <w:rPr>
                <w:rFonts w:hint="eastAsia" w:cs="Calibri" w:asciiTheme="minorEastAsia" w:hAnsiTheme="minorEastAsia"/>
                <w:kern w:val="0"/>
                <w:sz w:val="20"/>
                <w:szCs w:val="21"/>
              </w:rPr>
              <w:t>（元/</w:t>
            </w:r>
            <w:r>
              <w:rPr>
                <w:rFonts w:hint="eastAsia" w:cs="仿宋_GB2312" w:asciiTheme="minorEastAsia" w:hAnsiTheme="minorEastAsia"/>
                <w:kern w:val="0"/>
                <w:sz w:val="20"/>
                <w:szCs w:val="21"/>
              </w:rPr>
              <w:t>吨</w:t>
            </w:r>
            <w:r>
              <w:rPr>
                <w:rFonts w:hint="eastAsia" w:cs="Calibri" w:asciiTheme="minorEastAsia" w:hAnsiTheme="minorEastAsia"/>
                <w:kern w:val="0"/>
                <w:sz w:val="20"/>
                <w:szCs w:val="21"/>
              </w:rPr>
              <w:t>）</w:t>
            </w:r>
          </w:p>
        </w:tc>
        <w:tc>
          <w:tcPr>
            <w:tcW w:w="1493" w:type="dxa"/>
            <w:vAlign w:val="center"/>
          </w:tcPr>
          <w:p w14:paraId="57841437">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镍黄铜带合计单价</w:t>
            </w:r>
            <w:r>
              <w:rPr>
                <w:rFonts w:hint="eastAsia" w:ascii="宋体" w:hAnsi="宋体" w:eastAsia="宋体" w:cs="宋体"/>
                <w:kern w:val="0"/>
                <w:sz w:val="20"/>
                <w:szCs w:val="21"/>
              </w:rPr>
              <w:t>④</w:t>
            </w:r>
            <w:r>
              <w:rPr>
                <w:rFonts w:hint="eastAsia" w:cs="Calibri" w:asciiTheme="minorEastAsia" w:hAnsiTheme="minorEastAsia"/>
                <w:kern w:val="0"/>
                <w:sz w:val="20"/>
                <w:szCs w:val="21"/>
              </w:rPr>
              <w:t>=</w:t>
            </w:r>
            <w:r>
              <w:rPr>
                <w:rFonts w:cs="Calibri" w:asciiTheme="minorEastAsia" w:hAnsiTheme="minorEastAsia"/>
                <w:kern w:val="0"/>
                <w:sz w:val="20"/>
                <w:szCs w:val="21"/>
              </w:rPr>
              <w:t>①</w:t>
            </w:r>
            <w:r>
              <w:rPr>
                <w:rFonts w:hint="eastAsia" w:cs="Calibri" w:asciiTheme="minorEastAsia" w:hAnsiTheme="minorEastAsia"/>
                <w:kern w:val="0"/>
                <w:sz w:val="20"/>
                <w:szCs w:val="21"/>
              </w:rPr>
              <w:t>*（1+</w:t>
            </w:r>
            <w:r>
              <w:rPr>
                <w:rFonts w:cs="Calibri" w:asciiTheme="minorEastAsia" w:hAnsiTheme="minorEastAsia"/>
                <w:kern w:val="0"/>
                <w:sz w:val="20"/>
                <w:szCs w:val="21"/>
              </w:rPr>
              <w:t>②</w:t>
            </w:r>
            <w:r>
              <w:rPr>
                <w:rFonts w:hint="eastAsia" w:cs="Calibri" w:asciiTheme="minorEastAsia" w:hAnsiTheme="minorEastAsia"/>
                <w:kern w:val="0"/>
                <w:sz w:val="20"/>
                <w:szCs w:val="21"/>
              </w:rPr>
              <w:t>）+</w:t>
            </w:r>
            <w:r>
              <w:rPr>
                <w:rFonts w:cs="Calibri" w:asciiTheme="minorEastAsia" w:hAnsiTheme="minorEastAsia"/>
                <w:kern w:val="0"/>
                <w:sz w:val="20"/>
                <w:szCs w:val="21"/>
              </w:rPr>
              <w:t>③</w:t>
            </w:r>
            <w:r>
              <w:rPr>
                <w:rFonts w:hint="eastAsia" w:cs="仿宋_GB2312" w:asciiTheme="minorEastAsia" w:hAnsiTheme="minorEastAsia"/>
                <w:kern w:val="0"/>
                <w:sz w:val="20"/>
                <w:szCs w:val="21"/>
              </w:rPr>
              <w:t>（元/吨</w:t>
            </w:r>
            <w:r>
              <w:rPr>
                <w:rFonts w:hint="eastAsia" w:cs="Calibri" w:asciiTheme="minorEastAsia" w:hAnsiTheme="minorEastAsia"/>
                <w:kern w:val="0"/>
                <w:sz w:val="20"/>
                <w:szCs w:val="21"/>
              </w:rPr>
              <w:t>）</w:t>
            </w:r>
          </w:p>
        </w:tc>
        <w:tc>
          <w:tcPr>
            <w:tcW w:w="1335" w:type="dxa"/>
            <w:vAlign w:val="center"/>
          </w:tcPr>
          <w:p w14:paraId="73FC824A">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采购数量</w:t>
            </w:r>
          </w:p>
          <w:p w14:paraId="1622170D">
            <w:pPr>
              <w:jc w:val="center"/>
              <w:rPr>
                <w:rFonts w:cs="仿宋_GB2312" w:asciiTheme="minorEastAsia" w:hAnsiTheme="minorEastAsia"/>
                <w:kern w:val="0"/>
                <w:sz w:val="20"/>
                <w:szCs w:val="21"/>
              </w:rPr>
            </w:pPr>
            <w:r>
              <w:rPr>
                <w:rFonts w:hint="eastAsia" w:cs="Calibri" w:asciiTheme="minorEastAsia" w:hAnsiTheme="minorEastAsia"/>
                <w:kern w:val="0"/>
                <w:sz w:val="20"/>
                <w:szCs w:val="21"/>
              </w:rPr>
              <w:t>⑤</w:t>
            </w:r>
            <w:r>
              <w:rPr>
                <w:rFonts w:hint="eastAsia" w:cs="仿宋_GB2312" w:asciiTheme="minorEastAsia" w:hAnsiTheme="minorEastAsia"/>
                <w:kern w:val="0"/>
                <w:sz w:val="20"/>
                <w:szCs w:val="21"/>
              </w:rPr>
              <w:t>（吨）</w:t>
            </w:r>
          </w:p>
        </w:tc>
        <w:tc>
          <w:tcPr>
            <w:tcW w:w="1305" w:type="dxa"/>
            <w:vAlign w:val="center"/>
          </w:tcPr>
          <w:p w14:paraId="33FCDCF3">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镍黄铜带采购总价</w:t>
            </w:r>
          </w:p>
          <w:p w14:paraId="7F1F3537">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w:t>
            </w:r>
            <w:r>
              <w:rPr>
                <w:rFonts w:hint="eastAsia" w:ascii="宋体" w:hAnsi="宋体" w:eastAsia="宋体" w:cs="宋体"/>
                <w:kern w:val="0"/>
                <w:sz w:val="20"/>
                <w:szCs w:val="21"/>
              </w:rPr>
              <w:t>④</w:t>
            </w:r>
            <w:r>
              <w:rPr>
                <w:rFonts w:hint="eastAsia" w:ascii="宋体" w:eastAsia="宋体" w:cs="宋体"/>
                <w:kern w:val="0"/>
                <w:sz w:val="20"/>
                <w:szCs w:val="21"/>
                <w:lang w:val="zh-CN"/>
              </w:rPr>
              <w:t>*</w:t>
            </w:r>
            <w:r>
              <w:rPr>
                <w:rFonts w:hint="eastAsia" w:cs="Calibri" w:asciiTheme="minorEastAsia" w:hAnsiTheme="minorEastAsia"/>
                <w:kern w:val="0"/>
                <w:sz w:val="20"/>
                <w:szCs w:val="21"/>
              </w:rPr>
              <w:t>⑤</w:t>
            </w:r>
            <w:r>
              <w:rPr>
                <w:rFonts w:hint="eastAsia" w:cs="仿宋_GB2312" w:asciiTheme="minorEastAsia" w:hAnsiTheme="minorEastAsia"/>
                <w:kern w:val="0"/>
                <w:sz w:val="20"/>
                <w:szCs w:val="21"/>
              </w:rPr>
              <w:t>（元</w:t>
            </w:r>
            <w:r>
              <w:rPr>
                <w:rFonts w:hint="eastAsia" w:cs="宋体" w:asciiTheme="minorEastAsia" w:hAnsiTheme="minorEastAsia"/>
                <w:kern w:val="0"/>
                <w:sz w:val="20"/>
                <w:szCs w:val="21"/>
              </w:rPr>
              <w:t>）</w:t>
            </w:r>
          </w:p>
        </w:tc>
        <w:tc>
          <w:tcPr>
            <w:tcW w:w="930" w:type="dxa"/>
            <w:vAlign w:val="center"/>
          </w:tcPr>
          <w:p w14:paraId="23A39031">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税率</w:t>
            </w:r>
          </w:p>
        </w:tc>
      </w:tr>
      <w:tr w14:paraId="395C8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018" w:type="dxa"/>
            <w:vAlign w:val="center"/>
          </w:tcPr>
          <w:p w14:paraId="17298199">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造币镍黄铜带采购</w:t>
            </w:r>
          </w:p>
        </w:tc>
        <w:tc>
          <w:tcPr>
            <w:tcW w:w="1018" w:type="dxa"/>
            <w:vAlign w:val="center"/>
          </w:tcPr>
          <w:p w14:paraId="1527FE7F">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64327</w:t>
            </w:r>
          </w:p>
        </w:tc>
        <w:tc>
          <w:tcPr>
            <w:tcW w:w="1019" w:type="dxa"/>
            <w:vAlign w:val="center"/>
          </w:tcPr>
          <w:p w14:paraId="7172FBDB">
            <w:pPr>
              <w:jc w:val="center"/>
              <w:rPr>
                <w:rFonts w:cs="仿宋_GB2312" w:asciiTheme="minorEastAsia" w:hAnsiTheme="minorEastAsia"/>
                <w:kern w:val="0"/>
                <w:sz w:val="20"/>
                <w:szCs w:val="21"/>
              </w:rPr>
            </w:pPr>
          </w:p>
        </w:tc>
        <w:tc>
          <w:tcPr>
            <w:tcW w:w="1018" w:type="dxa"/>
            <w:vAlign w:val="center"/>
          </w:tcPr>
          <w:p w14:paraId="69199E21">
            <w:pPr>
              <w:jc w:val="center"/>
              <w:rPr>
                <w:rFonts w:cs="仿宋_GB2312" w:asciiTheme="minorEastAsia" w:hAnsiTheme="minorEastAsia"/>
                <w:kern w:val="0"/>
                <w:sz w:val="20"/>
                <w:szCs w:val="21"/>
              </w:rPr>
            </w:pPr>
          </w:p>
        </w:tc>
        <w:tc>
          <w:tcPr>
            <w:tcW w:w="1493" w:type="dxa"/>
            <w:vAlign w:val="center"/>
          </w:tcPr>
          <w:p w14:paraId="197E6E59">
            <w:pPr>
              <w:jc w:val="center"/>
              <w:rPr>
                <w:rFonts w:cs="仿宋_GB2312" w:asciiTheme="minorEastAsia" w:hAnsiTheme="minorEastAsia"/>
                <w:kern w:val="0"/>
                <w:sz w:val="20"/>
                <w:szCs w:val="21"/>
              </w:rPr>
            </w:pPr>
          </w:p>
        </w:tc>
        <w:tc>
          <w:tcPr>
            <w:tcW w:w="1335" w:type="dxa"/>
            <w:vAlign w:val="center"/>
          </w:tcPr>
          <w:p w14:paraId="32565FF6">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200</w:t>
            </w:r>
          </w:p>
        </w:tc>
        <w:tc>
          <w:tcPr>
            <w:tcW w:w="1305" w:type="dxa"/>
            <w:vAlign w:val="center"/>
          </w:tcPr>
          <w:p w14:paraId="202B5439">
            <w:pPr>
              <w:jc w:val="center"/>
              <w:rPr>
                <w:rFonts w:cs="仿宋_GB2312" w:asciiTheme="minorEastAsia" w:hAnsiTheme="minorEastAsia"/>
                <w:kern w:val="0"/>
                <w:sz w:val="20"/>
                <w:szCs w:val="21"/>
              </w:rPr>
            </w:pPr>
          </w:p>
        </w:tc>
        <w:tc>
          <w:tcPr>
            <w:tcW w:w="930" w:type="dxa"/>
            <w:vAlign w:val="center"/>
          </w:tcPr>
          <w:p w14:paraId="36691D5D">
            <w:pPr>
              <w:jc w:val="center"/>
              <w:rPr>
                <w:rFonts w:cs="仿宋_GB2312" w:asciiTheme="minorEastAsia" w:hAnsiTheme="minorEastAsia"/>
                <w:kern w:val="0"/>
                <w:sz w:val="20"/>
                <w:szCs w:val="21"/>
              </w:rPr>
            </w:pPr>
          </w:p>
        </w:tc>
      </w:tr>
    </w:tbl>
    <w:p w14:paraId="0F7B01CC">
      <w:pPr>
        <w:spacing w:line="560" w:lineRule="exact"/>
        <w:rPr>
          <w:rFonts w:ascii="仿宋_GB2312" w:hAnsi="Arial" w:eastAsia="仿宋_GB2312"/>
          <w:sz w:val="32"/>
          <w:szCs w:val="32"/>
        </w:rPr>
      </w:pPr>
      <w:r>
        <w:rPr>
          <w:rFonts w:hint="eastAsia" w:ascii="仿宋_GB2312" w:hAnsi="Arial" w:eastAsia="仿宋_GB2312"/>
          <w:sz w:val="32"/>
          <w:szCs w:val="32"/>
        </w:rPr>
        <w:t>报价说明：</w:t>
      </w:r>
    </w:p>
    <w:p w14:paraId="1D063BC4">
      <w:pPr>
        <w:pStyle w:val="5"/>
        <w:numPr>
          <w:ilvl w:val="255"/>
          <w:numId w:val="0"/>
        </w:numPr>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1.造币用镍黄铜带金属损耗最高限值为5.3%；造币用镍黄铜带加工费最高限价为12000元/吨。投标人投标时需分别报出造币用镍黄铜带采购的金属损耗、加工费单价；同时需要算出本项目造币用镍黄铜带采购总价。</w:t>
      </w:r>
    </w:p>
    <w:p w14:paraId="63C66042">
      <w:pPr>
        <w:pStyle w:val="5"/>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2.采购人指定投标人在投标报价时造币用镍黄铜带的原料价为64327元/吨。履行合同时，实际金属原料价格、镍黄铜带和白铜复合黄铜边废料原料价格均执行采购人具体订单签约当日锁定的长江有色金属现货市场上午各相应1#金属均价，按镍黄铜带、白铜复合黄铜边废料对应合金化学成分比例进行计算。白铜复合黄铜边废料的化学成分</w:t>
      </w:r>
      <w:r>
        <w:rPr>
          <w:rFonts w:hint="eastAsia" w:ascii="仿宋_GB2312" w:hAnsi="Arial" w:eastAsia="仿宋_GB2312"/>
          <w:sz w:val="32"/>
          <w:szCs w:val="32"/>
          <w:lang w:eastAsia="zh-CN"/>
        </w:rPr>
        <w:t>中间值</w:t>
      </w:r>
      <w:bookmarkStart w:id="0" w:name="_GoBack"/>
      <w:bookmarkEnd w:id="0"/>
      <w:r>
        <w:rPr>
          <w:rFonts w:hint="eastAsia" w:ascii="仿宋_GB2312" w:hAnsi="Arial" w:eastAsia="仿宋_GB2312"/>
          <w:sz w:val="32"/>
          <w:szCs w:val="32"/>
        </w:rPr>
        <w:t>如下：铜含量69.6%、镍含量3.6%、锌含量26.8%。</w:t>
      </w:r>
    </w:p>
    <w:p w14:paraId="3B3CD298">
      <w:pPr>
        <w:pStyle w:val="5"/>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3.本分项报价表中的金属损耗、镍黄铜带加工费、镍黄铜带合计单价和镍黄铜带采购合计总价均不包含运费。白铜复合黄铜边料和白铜复合黄铜碎屑回收由采购人负责运输和运费。</w:t>
      </w:r>
    </w:p>
    <w:p w14:paraId="663F70DC">
      <w:pPr>
        <w:pStyle w:val="2"/>
        <w:spacing w:before="151"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（3）造币用镍黄铜带运费总价（以下价格均含税）</w:t>
      </w:r>
    </w:p>
    <w:tbl>
      <w:tblPr>
        <w:tblStyle w:val="7"/>
        <w:tblW w:w="935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004"/>
        <w:gridCol w:w="1270"/>
        <w:gridCol w:w="1270"/>
        <w:gridCol w:w="1270"/>
        <w:gridCol w:w="1271"/>
        <w:gridCol w:w="1275"/>
        <w:gridCol w:w="993"/>
      </w:tblGrid>
      <w:tr w14:paraId="5CABF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 w:type="dxa"/>
            <w:vAlign w:val="center"/>
          </w:tcPr>
          <w:p w14:paraId="48F22E42">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报价项目</w:t>
            </w:r>
          </w:p>
        </w:tc>
        <w:tc>
          <w:tcPr>
            <w:tcW w:w="1004" w:type="dxa"/>
            <w:vAlign w:val="center"/>
          </w:tcPr>
          <w:p w14:paraId="7BB4C065">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运输方式</w:t>
            </w:r>
          </w:p>
        </w:tc>
        <w:tc>
          <w:tcPr>
            <w:tcW w:w="1270" w:type="dxa"/>
            <w:vAlign w:val="center"/>
          </w:tcPr>
          <w:p w14:paraId="6EC8F484">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同城运费单价①</w:t>
            </w:r>
            <w:r>
              <w:rPr>
                <w:rFonts w:hint="eastAsia" w:cs="Calibri" w:asciiTheme="minorEastAsia" w:hAnsiTheme="minorEastAsia"/>
                <w:kern w:val="0"/>
                <w:sz w:val="20"/>
                <w:szCs w:val="21"/>
              </w:rPr>
              <w:t>（元/</w:t>
            </w:r>
            <w:r>
              <w:rPr>
                <w:rFonts w:hint="eastAsia" w:cs="仿宋_GB2312" w:asciiTheme="minorEastAsia" w:hAnsiTheme="minorEastAsia"/>
                <w:kern w:val="0"/>
                <w:sz w:val="20"/>
                <w:szCs w:val="21"/>
              </w:rPr>
              <w:t>吨</w:t>
            </w:r>
            <w:r>
              <w:rPr>
                <w:rFonts w:hint="eastAsia" w:cs="Calibri" w:asciiTheme="minorEastAsia" w:hAnsiTheme="minorEastAsia"/>
                <w:kern w:val="0"/>
                <w:sz w:val="20"/>
                <w:szCs w:val="21"/>
              </w:rPr>
              <w:t>）</w:t>
            </w:r>
          </w:p>
        </w:tc>
        <w:tc>
          <w:tcPr>
            <w:tcW w:w="1270" w:type="dxa"/>
            <w:vAlign w:val="center"/>
          </w:tcPr>
          <w:p w14:paraId="470518D2">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异地运费单价②（元/吨公里）</w:t>
            </w:r>
          </w:p>
        </w:tc>
        <w:tc>
          <w:tcPr>
            <w:tcW w:w="1270" w:type="dxa"/>
            <w:vAlign w:val="center"/>
          </w:tcPr>
          <w:p w14:paraId="3CB98EE6">
            <w:pPr>
              <w:ind w:left="5" w:leftChars="-14" w:hanging="34" w:hangingChars="17"/>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运输距离③</w:t>
            </w:r>
            <w:r>
              <w:rPr>
                <w:rFonts w:hint="eastAsia" w:cs="Calibri" w:asciiTheme="minorEastAsia" w:hAnsiTheme="minorEastAsia"/>
                <w:kern w:val="0"/>
                <w:sz w:val="20"/>
                <w:szCs w:val="21"/>
              </w:rPr>
              <w:t>（公里）</w:t>
            </w:r>
          </w:p>
        </w:tc>
        <w:tc>
          <w:tcPr>
            <w:tcW w:w="1271" w:type="dxa"/>
            <w:vAlign w:val="center"/>
          </w:tcPr>
          <w:p w14:paraId="284C6658">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运输数量④（吨）</w:t>
            </w:r>
          </w:p>
        </w:tc>
        <w:tc>
          <w:tcPr>
            <w:tcW w:w="1275" w:type="dxa"/>
            <w:vAlign w:val="center"/>
          </w:tcPr>
          <w:p w14:paraId="7B641817">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运费总价=①*④+②*③*④（元</w:t>
            </w:r>
            <w:r>
              <w:rPr>
                <w:rFonts w:hint="eastAsia" w:cs="宋体" w:asciiTheme="minorEastAsia" w:hAnsiTheme="minorEastAsia"/>
                <w:kern w:val="0"/>
                <w:sz w:val="20"/>
                <w:szCs w:val="21"/>
              </w:rPr>
              <w:t>）</w:t>
            </w:r>
          </w:p>
        </w:tc>
        <w:tc>
          <w:tcPr>
            <w:tcW w:w="993" w:type="dxa"/>
            <w:vAlign w:val="center"/>
          </w:tcPr>
          <w:p w14:paraId="37BAE071">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税率</w:t>
            </w:r>
          </w:p>
        </w:tc>
      </w:tr>
      <w:tr w14:paraId="2038F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04" w:type="dxa"/>
            <w:vMerge w:val="restart"/>
            <w:vAlign w:val="center"/>
          </w:tcPr>
          <w:p w14:paraId="5FB49486">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造币用镍黄铜带运费</w:t>
            </w:r>
          </w:p>
        </w:tc>
        <w:tc>
          <w:tcPr>
            <w:tcW w:w="1004" w:type="dxa"/>
            <w:vAlign w:val="center"/>
          </w:tcPr>
          <w:p w14:paraId="698A26A9">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同城</w:t>
            </w:r>
          </w:p>
        </w:tc>
        <w:tc>
          <w:tcPr>
            <w:tcW w:w="1270" w:type="dxa"/>
            <w:vAlign w:val="center"/>
          </w:tcPr>
          <w:p w14:paraId="39F56B9F">
            <w:pPr>
              <w:jc w:val="center"/>
              <w:rPr>
                <w:rFonts w:cs="仿宋_GB2312" w:asciiTheme="minorEastAsia" w:hAnsiTheme="minorEastAsia"/>
                <w:kern w:val="0"/>
                <w:sz w:val="20"/>
                <w:szCs w:val="21"/>
              </w:rPr>
            </w:pPr>
          </w:p>
        </w:tc>
        <w:tc>
          <w:tcPr>
            <w:tcW w:w="1270" w:type="dxa"/>
            <w:vAlign w:val="center"/>
          </w:tcPr>
          <w:p w14:paraId="3FF19DEC">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w:t>
            </w:r>
          </w:p>
        </w:tc>
        <w:tc>
          <w:tcPr>
            <w:tcW w:w="1270" w:type="dxa"/>
            <w:vAlign w:val="center"/>
          </w:tcPr>
          <w:p w14:paraId="3A751DFF">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w:t>
            </w:r>
          </w:p>
        </w:tc>
        <w:tc>
          <w:tcPr>
            <w:tcW w:w="1271" w:type="dxa"/>
            <w:vAlign w:val="center"/>
          </w:tcPr>
          <w:p w14:paraId="1000D71B">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50</w:t>
            </w:r>
          </w:p>
        </w:tc>
        <w:tc>
          <w:tcPr>
            <w:tcW w:w="1275" w:type="dxa"/>
            <w:vMerge w:val="restart"/>
            <w:vAlign w:val="center"/>
          </w:tcPr>
          <w:p w14:paraId="2E79739C">
            <w:pPr>
              <w:jc w:val="center"/>
              <w:rPr>
                <w:rFonts w:cs="仿宋_GB2312" w:asciiTheme="minorEastAsia" w:hAnsiTheme="minorEastAsia"/>
                <w:kern w:val="0"/>
                <w:sz w:val="20"/>
                <w:szCs w:val="21"/>
              </w:rPr>
            </w:pPr>
          </w:p>
        </w:tc>
        <w:tc>
          <w:tcPr>
            <w:tcW w:w="993" w:type="dxa"/>
            <w:vMerge w:val="restart"/>
            <w:vAlign w:val="center"/>
          </w:tcPr>
          <w:p w14:paraId="3204C9FB">
            <w:pPr>
              <w:jc w:val="center"/>
              <w:rPr>
                <w:rFonts w:cs="仿宋_GB2312" w:asciiTheme="minorEastAsia" w:hAnsiTheme="minorEastAsia"/>
                <w:kern w:val="0"/>
                <w:sz w:val="20"/>
                <w:szCs w:val="21"/>
              </w:rPr>
            </w:pPr>
          </w:p>
        </w:tc>
      </w:tr>
      <w:tr w14:paraId="5304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04" w:type="dxa"/>
            <w:vMerge w:val="continue"/>
            <w:vAlign w:val="center"/>
          </w:tcPr>
          <w:p w14:paraId="19A6A606">
            <w:pPr>
              <w:jc w:val="center"/>
              <w:rPr>
                <w:rFonts w:cs="仿宋_GB2312" w:asciiTheme="minorEastAsia" w:hAnsiTheme="minorEastAsia"/>
                <w:kern w:val="0"/>
                <w:sz w:val="20"/>
                <w:szCs w:val="21"/>
              </w:rPr>
            </w:pPr>
          </w:p>
        </w:tc>
        <w:tc>
          <w:tcPr>
            <w:tcW w:w="1004" w:type="dxa"/>
            <w:vAlign w:val="center"/>
          </w:tcPr>
          <w:p w14:paraId="14EA5539">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异地</w:t>
            </w:r>
          </w:p>
        </w:tc>
        <w:tc>
          <w:tcPr>
            <w:tcW w:w="1270" w:type="dxa"/>
            <w:vAlign w:val="center"/>
          </w:tcPr>
          <w:p w14:paraId="480500D5">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w:t>
            </w:r>
          </w:p>
        </w:tc>
        <w:tc>
          <w:tcPr>
            <w:tcW w:w="1270" w:type="dxa"/>
            <w:vAlign w:val="center"/>
          </w:tcPr>
          <w:p w14:paraId="46EA5EED">
            <w:pPr>
              <w:jc w:val="center"/>
              <w:rPr>
                <w:rFonts w:cs="仿宋_GB2312" w:asciiTheme="minorEastAsia" w:hAnsiTheme="minorEastAsia"/>
                <w:kern w:val="0"/>
                <w:sz w:val="20"/>
                <w:szCs w:val="21"/>
              </w:rPr>
            </w:pPr>
          </w:p>
        </w:tc>
        <w:tc>
          <w:tcPr>
            <w:tcW w:w="1270" w:type="dxa"/>
            <w:vAlign w:val="center"/>
          </w:tcPr>
          <w:p w14:paraId="6C673367">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1000</w:t>
            </w:r>
          </w:p>
        </w:tc>
        <w:tc>
          <w:tcPr>
            <w:tcW w:w="1271" w:type="dxa"/>
            <w:vAlign w:val="center"/>
          </w:tcPr>
          <w:p w14:paraId="79922AD4">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150</w:t>
            </w:r>
          </w:p>
        </w:tc>
        <w:tc>
          <w:tcPr>
            <w:tcW w:w="1275" w:type="dxa"/>
            <w:vMerge w:val="continue"/>
            <w:vAlign w:val="center"/>
          </w:tcPr>
          <w:p w14:paraId="7FE0A785">
            <w:pPr>
              <w:jc w:val="center"/>
              <w:rPr>
                <w:rFonts w:cs="仿宋_GB2312" w:asciiTheme="minorEastAsia" w:hAnsiTheme="minorEastAsia"/>
                <w:kern w:val="0"/>
                <w:sz w:val="20"/>
                <w:szCs w:val="21"/>
              </w:rPr>
            </w:pPr>
          </w:p>
        </w:tc>
        <w:tc>
          <w:tcPr>
            <w:tcW w:w="993" w:type="dxa"/>
            <w:vMerge w:val="continue"/>
            <w:vAlign w:val="center"/>
          </w:tcPr>
          <w:p w14:paraId="54031A98">
            <w:pPr>
              <w:jc w:val="center"/>
              <w:rPr>
                <w:rFonts w:cs="仿宋_GB2312" w:asciiTheme="minorEastAsia" w:hAnsiTheme="minorEastAsia"/>
                <w:kern w:val="0"/>
                <w:sz w:val="20"/>
                <w:szCs w:val="21"/>
              </w:rPr>
            </w:pPr>
          </w:p>
        </w:tc>
      </w:tr>
    </w:tbl>
    <w:p w14:paraId="4BAF7F65">
      <w:pPr>
        <w:spacing w:line="560" w:lineRule="exact"/>
        <w:rPr>
          <w:rFonts w:ascii="仿宋_GB2312" w:hAnsi="Arial" w:eastAsia="仿宋_GB2312"/>
          <w:sz w:val="32"/>
          <w:szCs w:val="32"/>
        </w:rPr>
      </w:pPr>
      <w:r>
        <w:rPr>
          <w:rFonts w:hint="eastAsia" w:ascii="仿宋_GB2312" w:hAnsi="Arial" w:eastAsia="仿宋_GB2312"/>
          <w:sz w:val="32"/>
          <w:szCs w:val="32"/>
        </w:rPr>
        <w:t>报价说明：</w:t>
      </w:r>
    </w:p>
    <w:p w14:paraId="55B20DA1">
      <w:pPr>
        <w:pStyle w:val="5"/>
        <w:autoSpaceDE w:val="0"/>
        <w:autoSpaceDN w:val="0"/>
        <w:adjustRightInd w:val="0"/>
        <w:snapToGrid w:val="0"/>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1.造币用镍黄铜带的同城运费最高限价为41元/吨、异地运费最高限价为0.31元/吨公里。以上价格均含税。</w:t>
      </w:r>
    </w:p>
    <w:p w14:paraId="6F225743">
      <w:pPr>
        <w:pStyle w:val="5"/>
        <w:autoSpaceDE w:val="0"/>
        <w:autoSpaceDN w:val="0"/>
        <w:adjustRightInd w:val="0"/>
        <w:snapToGrid w:val="0"/>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2.投标人投标时需根据采购人预设的运输方式、运输距离及其对应的运输数量，分别报出同城运费单价、异地运费单价，算出本项目造币用镍黄铜带运费总价。</w:t>
      </w:r>
    </w:p>
    <w:p w14:paraId="69CBA3FE">
      <w:pPr>
        <w:pStyle w:val="5"/>
        <w:autoSpaceDE w:val="0"/>
        <w:autoSpaceDN w:val="0"/>
        <w:adjustRightInd w:val="0"/>
        <w:snapToGrid w:val="0"/>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3.同城与异地运输的运输数量、异地运输距离，均依据市场调研潜在供应商情况进行预设。</w:t>
      </w:r>
    </w:p>
    <w:p w14:paraId="10D9867F">
      <w:pPr>
        <w:pStyle w:val="5"/>
        <w:spacing w:line="360" w:lineRule="auto"/>
        <w:ind w:firstLine="640" w:firstLineChars="200"/>
      </w:pPr>
      <w:r>
        <w:rPr>
          <w:rFonts w:hint="eastAsia" w:ascii="仿宋_GB2312" w:hAnsi="Arial" w:eastAsia="仿宋_GB2312"/>
          <w:sz w:val="32"/>
          <w:szCs w:val="32"/>
        </w:rPr>
        <w:t>4.合同执行时，异地运输距离以高德地图中走高速路线的实际距离计算。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5607"/>
    <w:rsid w:val="00094BFE"/>
    <w:rsid w:val="00154BA4"/>
    <w:rsid w:val="001B13EF"/>
    <w:rsid w:val="003D0C51"/>
    <w:rsid w:val="00413DA6"/>
    <w:rsid w:val="00532141"/>
    <w:rsid w:val="006E1FE3"/>
    <w:rsid w:val="00A713FB"/>
    <w:rsid w:val="00B85607"/>
    <w:rsid w:val="00FD3BFE"/>
    <w:rsid w:val="07007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9"/>
    <w:qFormat/>
    <w:uiPriority w:val="0"/>
    <w:pPr>
      <w:spacing w:after="120"/>
    </w:p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link w:val="10"/>
    <w:qFormat/>
    <w:uiPriority w:val="0"/>
  </w:style>
  <w:style w:type="table" w:styleId="7">
    <w:name w:val="Table Grid"/>
    <w:qFormat/>
    <w:uiPriority w:val="5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正文文本 Char"/>
    <w:basedOn w:val="8"/>
    <w:link w:val="2"/>
    <w:qFormat/>
    <w:uiPriority w:val="0"/>
    <w:rPr>
      <w:szCs w:val="24"/>
    </w:rPr>
  </w:style>
  <w:style w:type="character" w:customStyle="1" w:styleId="10">
    <w:name w:val="正文首行缩进 Char"/>
    <w:basedOn w:val="9"/>
    <w:link w:val="5"/>
    <w:qFormat/>
    <w:uiPriority w:val="0"/>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811</Words>
  <Characters>868</Characters>
  <Lines>6</Lines>
  <Paragraphs>1</Paragraphs>
  <TotalTime>0</TotalTime>
  <ScaleCrop>false</ScaleCrop>
  <LinksUpToDate>false</LinksUpToDate>
  <CharactersWithSpaces>874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2025-09-26T02:50:00Z</dcterms:created>
  <dc:creator>刘代福</dc:creator>
  <cp:lastModifiedBy>华杰</cp:lastModifiedBy>
  <dcterms:modified xsi:type="dcterms:W3CDTF">2025-12-19T02:50:42Z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eyJoZGlkIjoiM2Y4NmM0YmI1NzQ1ZTdlMzJmY2U3ZDhiNDBlNmVkODQiLCJ1c2VySWQiOiI0NjE1NDU4MzUifQ==</vt:lpwstr>
  </property>
  <property fmtid="{D5CDD505-2E9C-101B-9397-08002B2CF9AE}" pid="3" name="KSOProductBuildVer">
    <vt:lpwstr>2052-12.1.0.24034</vt:lpwstr>
  </property>
  <property fmtid="{D5CDD505-2E9C-101B-9397-08002B2CF9AE}" pid="4" name="ICV">
    <vt:lpwstr>6188C5BEBAC24D6FAA02A835B1BBF96A_12</vt:lpwstr>
  </property>
</Properties>
</file>