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成方金科2025年服务器、网络安全设备及超融合虚拟化软件采购项目（包1）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RH-WTGK2025098-1</w:t>
      </w:r>
      <w:r>
        <w:br/>
      </w:r>
      <w:r>
        <w:br/>
      </w:r>
      <w:r>
        <w:br/>
      </w:r>
    </w:p>
    <w:p>
      <w:pPr>
        <w:pStyle w:val="null3"/>
        <w:jc w:val="center"/>
      </w:pPr>
      <w:r>
        <w:rPr/>
        <w:t>中国人民银行集中采购中心</w:t>
      </w:r>
    </w:p>
    <w:p>
      <w:pPr>
        <w:pStyle w:val="null3"/>
        <w:jc w:val="center"/>
      </w:pPr>
      <w:r>
        <w:rPr/>
        <w:t>2026年01月14日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成方金科2025年服务器、网络安全设备及超融合虚拟化软件采购项目（包1）</w:t>
      </w:r>
      <w:r>
        <w:rPr/>
        <w:t xml:space="preserve"> ”（项目编号： </w:t>
      </w:r>
      <w:r>
        <w:rPr/>
        <w:t>RH-WTGK2025098-1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22,668,800.00</w:t>
      </w:r>
    </w:p>
    <w:p>
      <w:pPr>
        <w:pStyle w:val="null3"/>
        <w:jc w:val="left"/>
      </w:pPr>
      <w:r>
        <w:rPr/>
        <w:t>采购包最高限价（元）: 22,668,800.00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2路X86服务器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112.00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19,868,800.00</w:t>
            </w:r>
          </w:p>
        </w:tc>
        <w:tc>
          <w:tcPr>
            <w:tcW w:type="dxa" w:w="593"/>
          </w:tcPr>
          <w:p/>
        </w:tc>
      </w:tr>
      <w:tr>
        <w:tc>
          <w:tcPr>
            <w:tcW w:type="dxa" w:w="593"/>
          </w:tcPr>
          <w:p>
            <w:pPr>
              <w:pStyle w:val="null3"/>
              <w:jc w:val="left"/>
            </w:pPr>
            <w:r>
              <w:rPr/>
              <w:t>2</w:t>
            </w:r>
          </w:p>
        </w:tc>
        <w:tc>
          <w:tcPr>
            <w:tcW w:type="dxa" w:w="593"/>
          </w:tcPr>
          <w:p>
            <w:pPr>
              <w:pStyle w:val="null3"/>
              <w:jc w:val="left"/>
            </w:pPr>
            <w:r>
              <w:rPr/>
              <w:t>超融合虚拟化软件</w:t>
            </w:r>
          </w:p>
        </w:tc>
        <w:tc>
          <w:tcPr>
            <w:tcW w:type="dxa" w:w="593"/>
          </w:tcPr>
          <w:p>
            <w:pPr>
              <w:pStyle w:val="null3"/>
              <w:jc w:val="left"/>
            </w:pPr>
            <w:r>
              <w:rPr/>
              <w:t>A08060301 基础软件</w:t>
            </w:r>
          </w:p>
        </w:tc>
        <w:tc>
          <w:tcPr>
            <w:tcW w:type="dxa" w:w="593"/>
          </w:tcPr>
          <w:p>
            <w:pPr>
              <w:pStyle w:val="null3"/>
              <w:jc w:val="left"/>
            </w:pPr>
            <w:r>
              <w:rPr/>
              <w:t>A08060301</w:t>
            </w:r>
          </w:p>
        </w:tc>
        <w:tc>
          <w:tcPr>
            <w:tcW w:type="dxa" w:w="593"/>
          </w:tcPr>
          <w:p>
            <w:pPr>
              <w:pStyle w:val="null3"/>
              <w:jc w:val="left"/>
            </w:pPr>
            <w:r>
              <w:rPr/>
              <w:t>货物</w:t>
            </w:r>
          </w:p>
        </w:tc>
        <w:tc>
          <w:tcPr>
            <w:tcW w:type="dxa" w:w="593"/>
          </w:tcPr>
          <w:p>
            <w:pPr>
              <w:pStyle w:val="null3"/>
              <w:jc w:val="left"/>
            </w:pPr>
            <w:r>
              <w:rPr/>
              <w:t>套</w:t>
            </w:r>
          </w:p>
        </w:tc>
        <w:tc>
          <w:tcPr>
            <w:tcW w:type="dxa" w:w="593"/>
          </w:tcPr>
          <w:p>
            <w:pPr>
              <w:pStyle w:val="null3"/>
              <w:jc w:val="right"/>
            </w:pPr>
            <w:r>
              <w:rPr/>
              <w:t>1.00</w:t>
            </w:r>
          </w:p>
        </w:tc>
        <w:tc>
          <w:tcPr>
            <w:tcW w:type="dxa" w:w="593"/>
          </w:tcPr>
          <w:p>
            <w:pPr>
              <w:pStyle w:val="null3"/>
              <w:jc w:val="left"/>
            </w:pPr>
            <w:r>
              <w:rPr/>
              <w:t>软件和信息技术服务业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2,800,000.00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成方金融科技有限公司</w:t>
      </w:r>
    </w:p>
    <w:p>
      <w:pPr>
        <w:pStyle w:val="null3"/>
        <w:jc w:val="left"/>
      </w:pPr>
      <w:r>
        <w:rPr/>
        <w:t xml:space="preserve"> 地址： </w:t>
      </w:r>
      <w:r>
        <w:rPr/>
        <w:t>北京市西城区金融大街37号9层</w:t>
      </w:r>
    </w:p>
    <w:p>
      <w:pPr>
        <w:pStyle w:val="null3"/>
        <w:jc w:val="left"/>
      </w:pPr>
      <w:r>
        <w:rPr/>
        <w:t xml:space="preserve"> 邮编： </w:t>
      </w:r>
      <w:r>
        <w:rPr/>
        <w:t>100031</w:t>
      </w:r>
    </w:p>
    <w:p>
      <w:pPr>
        <w:pStyle w:val="null3"/>
        <w:jc w:val="left"/>
      </w:pPr>
      <w:r>
        <w:rPr/>
        <w:t xml:space="preserve"> 联系人： </w:t>
      </w:r>
      <w:r>
        <w:rPr/>
        <w:t>张骞予</w:t>
      </w:r>
    </w:p>
    <w:p>
      <w:pPr>
        <w:pStyle w:val="null3"/>
        <w:jc w:val="left"/>
      </w:pPr>
      <w:r>
        <w:rPr/>
        <w:t xml:space="preserve"> 联系电话： </w:t>
      </w:r>
      <w:r>
        <w:rPr/>
        <w:t>010-82186516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采购人确定中标（成交）供应商。</w:t>
            </w:r>
          </w:p>
          <w:p>
            <w:pPr>
              <w:pStyle w:val="null3"/>
            </w:pPr>
            <w:r>
              <w:rPr/>
              <w:t>采购人依法自行确定中标（成交）供应商。</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为满足公司开发测试环境使用需求，拟采购服务器、网络安全设备及超融合虚拟化软件。</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采购服务器、网络安全软硬件设备及超融合虚拟化软件</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包1： 1.X86服务器:112台 2.超融虚拟化软件1套（280C） 包2： 1.ARM服务器28台 包3： 1.千兆网络交换机18台 2.万兆网络交换机18台 3.防火墙2台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成方金融科技有限公司总公司</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本技术要求共有“★”指标91个，”#”指标23个，“▲”指标41个。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CPU信息</w:t>
            </w:r>
          </w:p>
        </w:tc>
        <w:tc>
          <w:tcPr>
            <w:tcW w:type="dxa" w:w="1038"/>
          </w:tcPr>
          <w:p>
            <w:pPr>
              <w:pStyle w:val="null3"/>
            </w:pPr>
            <w:r>
              <w:rPr/>
              <w:t>实配CPU主频≥2.5GHz，每路 CPU≥32 核处理器。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主板支持的CPU 和内存情况</w:t>
            </w:r>
          </w:p>
        </w:tc>
        <w:tc>
          <w:tcPr>
            <w:tcW w:type="dxa" w:w="1038"/>
          </w:tcPr>
          <w:p>
            <w:pPr>
              <w:pStyle w:val="null3"/>
            </w:pPr>
            <w:r>
              <w:rPr/>
              <w:t>CPU：实配2路X86架构处理器；内存：实际容量≥1TB，单条内存≥64GB，内存频率≥4800MTs。</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主板内存槽数量</w:t>
            </w:r>
          </w:p>
        </w:tc>
        <w:tc>
          <w:tcPr>
            <w:tcW w:type="dxa" w:w="1038"/>
          </w:tcPr>
          <w:p>
            <w:pPr>
              <w:pStyle w:val="null3"/>
            </w:pPr>
            <w:r>
              <w:rPr/>
              <w:t>内存槽位支持≥16</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主板存储接口</w:t>
            </w:r>
          </w:p>
        </w:tc>
        <w:tc>
          <w:tcPr>
            <w:tcW w:type="dxa" w:w="1038"/>
          </w:tcPr>
          <w:p>
            <w:pPr>
              <w:pStyle w:val="null3"/>
            </w:pPr>
            <w:r>
              <w:rPr/>
              <w:t>支持 SATA、SAS、M.2等存储接口</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主板PCIe 插槽数量及规格</w:t>
            </w:r>
          </w:p>
        </w:tc>
        <w:tc>
          <w:tcPr>
            <w:tcW w:type="dxa" w:w="1038"/>
          </w:tcPr>
          <w:p>
            <w:pPr>
              <w:pStyle w:val="null3"/>
            </w:pPr>
            <w:r>
              <w:rPr/>
              <w:t>可用PCIE槽位数不少于6个。</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2路X86服务器</w:t>
            </w:r>
          </w:p>
        </w:tc>
        <w:tc>
          <w:tcPr>
            <w:tcW w:type="dxa" w:w="1038"/>
          </w:tcPr>
          <w:p/>
        </w:tc>
        <w:tc>
          <w:tcPr>
            <w:tcW w:type="dxa" w:w="1038"/>
          </w:tcPr>
          <w:p>
            <w:pPr>
              <w:pStyle w:val="null3"/>
            </w:pPr>
            <w:r>
              <w:rPr/>
              <w:t>产品规格-主板规格</w:t>
            </w:r>
          </w:p>
        </w:tc>
        <w:tc>
          <w:tcPr>
            <w:tcW w:type="dxa" w:w="1038"/>
          </w:tcPr>
          <w:p>
            <w:pPr>
              <w:pStyle w:val="null3"/>
            </w:pPr>
            <w:r>
              <w:rPr/>
              <w:t>特殊孔位及接口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2路X86服务器</w:t>
            </w:r>
          </w:p>
        </w:tc>
        <w:tc>
          <w:tcPr>
            <w:tcW w:type="dxa" w:w="1038"/>
          </w:tcPr>
          <w:p/>
        </w:tc>
        <w:tc>
          <w:tcPr>
            <w:tcW w:type="dxa" w:w="1038"/>
          </w:tcPr>
          <w:p>
            <w:pPr>
              <w:pStyle w:val="null3"/>
            </w:pPr>
            <w:r>
              <w:rPr/>
              <w:t>产品规格-主板规格</w:t>
            </w:r>
          </w:p>
        </w:tc>
        <w:tc>
          <w:tcPr>
            <w:tcW w:type="dxa" w:w="1038"/>
          </w:tcPr>
          <w:p>
            <w:pPr>
              <w:pStyle w:val="null3"/>
            </w:pPr>
            <w:r>
              <w:rPr/>
              <w:t>板载网络接口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2路X86服务器</w:t>
            </w:r>
          </w:p>
        </w:tc>
        <w:tc>
          <w:tcPr>
            <w:tcW w:type="dxa" w:w="1038"/>
          </w:tcPr>
          <w:p/>
        </w:tc>
        <w:tc>
          <w:tcPr>
            <w:tcW w:type="dxa" w:w="1038"/>
          </w:tcPr>
          <w:p>
            <w:pPr>
              <w:pStyle w:val="null3"/>
            </w:pPr>
            <w:r>
              <w:rPr/>
              <w:t>产品规格-主板规格</w:t>
            </w:r>
          </w:p>
        </w:tc>
        <w:tc>
          <w:tcPr>
            <w:tcW w:type="dxa" w:w="1038"/>
          </w:tcPr>
          <w:p>
            <w:pPr>
              <w:pStyle w:val="null3"/>
            </w:pPr>
            <w:r>
              <w:rPr/>
              <w:t>主板OCP 插槽数量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内存数量</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内存规格</w:t>
            </w:r>
          </w:p>
        </w:tc>
        <w:tc>
          <w:tcPr>
            <w:tcW w:type="dxa" w:w="1038"/>
          </w:tcPr>
          <w:p>
            <w:pPr>
              <w:pStyle w:val="null3"/>
            </w:pPr>
            <w:r>
              <w:rPr/>
              <w:t>≥DDR5，具备高级ECC等功能，单台物理内存品牌型号一致。</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 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2路X86服务器</w:t>
            </w:r>
          </w:p>
        </w:tc>
        <w:tc>
          <w:tcPr>
            <w:tcW w:type="dxa" w:w="1038"/>
          </w:tcPr>
          <w:p/>
        </w:tc>
        <w:tc>
          <w:tcPr>
            <w:tcW w:type="dxa" w:w="1038"/>
          </w:tcPr>
          <w:p>
            <w:pPr>
              <w:pStyle w:val="null3"/>
            </w:pPr>
            <w:r>
              <w:rPr/>
              <w:t>产品规格-存储规格</w:t>
            </w:r>
          </w:p>
        </w:tc>
        <w:tc>
          <w:tcPr>
            <w:tcW w:type="dxa" w:w="1038"/>
          </w:tcPr>
          <w:p>
            <w:pPr>
              <w:pStyle w:val="null3"/>
            </w:pPr>
            <w:r>
              <w:rPr/>
              <w:t>硬盘类型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硬磁盘实配容量</w:t>
            </w:r>
          </w:p>
        </w:tc>
        <w:tc>
          <w:tcPr>
            <w:tcW w:type="dxa" w:w="1038"/>
          </w:tcPr>
          <w:p>
            <w:pPr>
              <w:pStyle w:val="null3"/>
            </w:pPr>
            <w:r>
              <w:rPr/>
              <w:t>960 SATA SSD硬盘 DWPD≥1（5年）3.84T SATA SSD硬盘 DWPD≥3（5年）；8T SATA HDD 6Gb/s 硬盘。</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2路X86服务器</w:t>
            </w:r>
          </w:p>
        </w:tc>
        <w:tc>
          <w:tcPr>
            <w:tcW w:type="dxa" w:w="1038"/>
          </w:tcPr>
          <w:p/>
        </w:tc>
        <w:tc>
          <w:tcPr>
            <w:tcW w:type="dxa" w:w="1038"/>
          </w:tcPr>
          <w:p>
            <w:pPr>
              <w:pStyle w:val="null3"/>
            </w:pPr>
            <w:r>
              <w:rPr/>
              <w:t>产品规格-存储规格</w:t>
            </w:r>
          </w:p>
        </w:tc>
        <w:tc>
          <w:tcPr>
            <w:tcW w:type="dxa" w:w="1038"/>
          </w:tcPr>
          <w:p>
            <w:pPr>
              <w:pStyle w:val="null3"/>
            </w:pPr>
            <w:r>
              <w:rPr/>
              <w:t>硬盘接口类型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硬盘实配数量</w:t>
            </w:r>
          </w:p>
        </w:tc>
        <w:tc>
          <w:tcPr>
            <w:tcW w:type="dxa" w:w="1038"/>
          </w:tcPr>
          <w:p>
            <w:pPr>
              <w:pStyle w:val="null3"/>
            </w:pPr>
            <w:r>
              <w:rPr/>
              <w:t>≥960G SATA SSD硬盘 2块；≥3.84T SATA SSD硬盘 2块；≥8T SATA HDD硬盘 8块。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硬盘插槽数量及规格</w:t>
            </w:r>
          </w:p>
        </w:tc>
        <w:tc>
          <w:tcPr>
            <w:tcW w:type="dxa" w:w="1038"/>
          </w:tcPr>
          <w:p>
            <w:pPr>
              <w:pStyle w:val="null3"/>
            </w:pPr>
            <w:r>
              <w:rPr/>
              <w:t>2.5 英寸或3.5 英寸硬盘，硬盘槽位数不少于14。</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2路X86服务器</w:t>
            </w:r>
          </w:p>
        </w:tc>
        <w:tc>
          <w:tcPr>
            <w:tcW w:type="dxa" w:w="1038"/>
          </w:tcPr>
          <w:p/>
        </w:tc>
        <w:tc>
          <w:tcPr>
            <w:tcW w:type="dxa" w:w="1038"/>
          </w:tcPr>
          <w:p>
            <w:pPr>
              <w:pStyle w:val="null3"/>
            </w:pPr>
            <w:r>
              <w:rPr/>
              <w:t>产品规格-存储规格</w:t>
            </w:r>
          </w:p>
        </w:tc>
        <w:tc>
          <w:tcPr>
            <w:tcW w:type="dxa" w:w="1038"/>
          </w:tcPr>
          <w:p>
            <w:pPr>
              <w:pStyle w:val="null3"/>
            </w:pPr>
            <w:r>
              <w:rPr/>
              <w:t>硬盘其他参数要求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2路X86服务器</w:t>
            </w:r>
          </w:p>
        </w:tc>
        <w:tc>
          <w:tcPr>
            <w:tcW w:type="dxa" w:w="1038"/>
          </w:tcPr>
          <w:p/>
        </w:tc>
        <w:tc>
          <w:tcPr>
            <w:tcW w:type="dxa" w:w="1038"/>
          </w:tcPr>
          <w:p>
            <w:pPr>
              <w:pStyle w:val="null3"/>
            </w:pPr>
            <w:r>
              <w:rPr/>
              <w:t>产品规格-RAID卡规格（若支持RAID卡）</w:t>
            </w:r>
          </w:p>
        </w:tc>
        <w:tc>
          <w:tcPr>
            <w:tcW w:type="dxa" w:w="1038"/>
          </w:tcPr>
          <w:p>
            <w:pPr>
              <w:pStyle w:val="null3"/>
            </w:pPr>
            <w:r>
              <w:rPr/>
              <w:t>RAID 卡支持的 SAS接口数</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2路X86服务器</w:t>
            </w:r>
          </w:p>
        </w:tc>
        <w:tc>
          <w:tcPr>
            <w:tcW w:type="dxa" w:w="1038"/>
          </w:tcPr>
          <w:p/>
        </w:tc>
        <w:tc>
          <w:tcPr>
            <w:tcW w:type="dxa" w:w="1038"/>
          </w:tcPr>
          <w:p>
            <w:pPr>
              <w:pStyle w:val="null3"/>
            </w:pPr>
            <w:r>
              <w:rPr/>
              <w:t>产品规格-SAS 直通卡规格(若支持SAS直通卡)</w:t>
            </w:r>
          </w:p>
        </w:tc>
        <w:tc>
          <w:tcPr>
            <w:tcW w:type="dxa" w:w="1038"/>
          </w:tcPr>
          <w:p>
            <w:pPr>
              <w:pStyle w:val="null3"/>
            </w:pPr>
            <w:r>
              <w:rPr/>
              <w:t>SAS 直通卡 SAS 接口数量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2路X86服务器</w:t>
            </w:r>
          </w:p>
        </w:tc>
        <w:tc>
          <w:tcPr>
            <w:tcW w:type="dxa" w:w="1038"/>
          </w:tcPr>
          <w:p/>
        </w:tc>
        <w:tc>
          <w:tcPr>
            <w:tcW w:type="dxa" w:w="1038"/>
          </w:tcPr>
          <w:p>
            <w:pPr>
              <w:pStyle w:val="null3"/>
            </w:pPr>
            <w:r>
              <w:rPr/>
              <w:t>产品规格-HBA卡规格(若支持HBA直通卡)</w:t>
            </w:r>
          </w:p>
        </w:tc>
        <w:tc>
          <w:tcPr>
            <w:tcW w:type="dxa" w:w="1038"/>
          </w:tcPr>
          <w:p>
            <w:pPr>
              <w:pStyle w:val="null3"/>
            </w:pPr>
            <w:r>
              <w:rPr/>
              <w:t>HBA 卡端口数量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产品规格-网络规格</w:t>
            </w:r>
          </w:p>
        </w:tc>
        <w:tc>
          <w:tcPr>
            <w:tcW w:type="dxa" w:w="1038"/>
          </w:tcPr>
          <w:p>
            <w:pPr>
              <w:pStyle w:val="null3"/>
            </w:pPr>
            <w:r>
              <w:rPr/>
              <w:t>网口速率和数量</w:t>
            </w:r>
          </w:p>
        </w:tc>
        <w:tc>
          <w:tcPr>
            <w:tcW w:type="dxa" w:w="1038"/>
          </w:tcPr>
          <w:p>
            <w:pPr>
              <w:pStyle w:val="null3"/>
            </w:pPr>
            <w:r>
              <w:rPr/>
              <w:t>双口25GE 光口独立网卡，配置25GE光模块，支持RDMA协议，2块;</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2路X86服务器</w:t>
            </w:r>
          </w:p>
        </w:tc>
        <w:tc>
          <w:tcPr>
            <w:tcW w:type="dxa" w:w="1038"/>
          </w:tcPr>
          <w:p/>
        </w:tc>
        <w:tc>
          <w:tcPr>
            <w:tcW w:type="dxa" w:w="1038"/>
          </w:tcPr>
          <w:p>
            <w:pPr>
              <w:pStyle w:val="null3"/>
            </w:pPr>
            <w:r>
              <w:rPr/>
              <w:t>产品规格-网络规格</w:t>
            </w:r>
          </w:p>
        </w:tc>
        <w:tc>
          <w:tcPr>
            <w:tcW w:type="dxa" w:w="1038"/>
          </w:tcPr>
          <w:p>
            <w:pPr>
              <w:pStyle w:val="null3"/>
            </w:pPr>
            <w:r>
              <w:rPr/>
              <w:t>存储型服务器网口速率和数量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2路X86服务器</w:t>
            </w:r>
          </w:p>
        </w:tc>
        <w:tc>
          <w:tcPr>
            <w:tcW w:type="dxa" w:w="1038"/>
          </w:tcPr>
          <w:p/>
        </w:tc>
        <w:tc>
          <w:tcPr>
            <w:tcW w:type="dxa" w:w="1038"/>
          </w:tcPr>
          <w:p>
            <w:pPr>
              <w:pStyle w:val="null3"/>
            </w:pPr>
            <w:r>
              <w:rPr/>
              <w:t>产品规格-网络规格</w:t>
            </w:r>
          </w:p>
        </w:tc>
        <w:tc>
          <w:tcPr>
            <w:tcW w:type="dxa" w:w="1038"/>
          </w:tcPr>
          <w:p>
            <w:pPr>
              <w:pStyle w:val="null3"/>
            </w:pPr>
            <w:r>
              <w:rPr/>
              <w:t>独立网卡网口数量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2路X86服务器</w:t>
            </w:r>
          </w:p>
        </w:tc>
        <w:tc>
          <w:tcPr>
            <w:tcW w:type="dxa" w:w="1038"/>
          </w:tcPr>
          <w:p/>
        </w:tc>
        <w:tc>
          <w:tcPr>
            <w:tcW w:type="dxa" w:w="1038"/>
          </w:tcPr>
          <w:p>
            <w:pPr>
              <w:pStyle w:val="null3"/>
            </w:pPr>
            <w:r>
              <w:rPr/>
              <w:t>产品规格-网络规格</w:t>
            </w:r>
          </w:p>
        </w:tc>
        <w:tc>
          <w:tcPr>
            <w:tcW w:type="dxa" w:w="1038"/>
          </w:tcPr>
          <w:p>
            <w:pPr>
              <w:pStyle w:val="null3"/>
            </w:pPr>
            <w:r>
              <w:rPr/>
              <w:t>独立网卡接口类型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2路X86服务器</w:t>
            </w:r>
          </w:p>
        </w:tc>
        <w:tc>
          <w:tcPr>
            <w:tcW w:type="dxa" w:w="1038"/>
          </w:tcPr>
          <w:p/>
        </w:tc>
        <w:tc>
          <w:tcPr>
            <w:tcW w:type="dxa" w:w="1038"/>
          </w:tcPr>
          <w:p>
            <w:pPr>
              <w:pStyle w:val="null3"/>
            </w:pPr>
            <w:r>
              <w:rPr/>
              <w:t>产品规格-网络规格</w:t>
            </w:r>
          </w:p>
        </w:tc>
        <w:tc>
          <w:tcPr>
            <w:tcW w:type="dxa" w:w="1038"/>
          </w:tcPr>
          <w:p>
            <w:pPr>
              <w:pStyle w:val="null3"/>
            </w:pPr>
            <w:r>
              <w:rPr/>
              <w:t>板载网卡接口类型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显示接口</w:t>
            </w:r>
          </w:p>
        </w:tc>
        <w:tc>
          <w:tcPr>
            <w:tcW w:type="dxa" w:w="1038"/>
          </w:tcPr>
          <w:p>
            <w:pPr>
              <w:pStyle w:val="null3"/>
            </w:pPr>
            <w:r>
              <w:rPr/>
              <w:t>显示接口类型至少提供VGA</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USB 接口</w:t>
            </w:r>
          </w:p>
        </w:tc>
        <w:tc>
          <w:tcPr>
            <w:tcW w:type="dxa" w:w="1038"/>
          </w:tcPr>
          <w:p>
            <w:pPr>
              <w:pStyle w:val="null3"/>
            </w:pPr>
            <w:r>
              <w:rPr/>
              <w:t>至少配备2个USB 接口，如USB2.0、USB3.0 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2路X86服务器</w:t>
            </w:r>
          </w:p>
        </w:tc>
        <w:tc>
          <w:tcPr>
            <w:tcW w:type="dxa" w:w="1038"/>
          </w:tcPr>
          <w:p/>
        </w:tc>
        <w:tc>
          <w:tcPr>
            <w:tcW w:type="dxa" w:w="1038"/>
          </w:tcPr>
          <w:p>
            <w:pPr>
              <w:pStyle w:val="null3"/>
            </w:pPr>
            <w:r>
              <w:rPr/>
              <w:t>产品规格-外部接口规格</w:t>
            </w:r>
          </w:p>
        </w:tc>
        <w:tc>
          <w:tcPr>
            <w:tcW w:type="dxa" w:w="1038"/>
          </w:tcPr>
          <w:p>
            <w:pPr>
              <w:pStyle w:val="null3"/>
            </w:pPr>
            <w:r>
              <w:rPr/>
              <w:t>特殊接口及孔位</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2路X86服务器</w:t>
            </w:r>
          </w:p>
        </w:tc>
        <w:tc>
          <w:tcPr>
            <w:tcW w:type="dxa" w:w="1038"/>
          </w:tcPr>
          <w:p/>
        </w:tc>
        <w:tc>
          <w:tcPr>
            <w:tcW w:type="dxa" w:w="1038"/>
          </w:tcPr>
          <w:p>
            <w:pPr>
              <w:pStyle w:val="null3"/>
            </w:pPr>
            <w:r>
              <w:rPr/>
              <w:t>产品规格-外部接口规格</w:t>
            </w:r>
          </w:p>
        </w:tc>
        <w:tc>
          <w:tcPr>
            <w:tcW w:type="dxa" w:w="1038"/>
          </w:tcPr>
          <w:p>
            <w:pPr>
              <w:pStyle w:val="null3"/>
            </w:pPr>
            <w:r>
              <w:rPr/>
              <w:t>其他接口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2路X86服务器</w:t>
            </w:r>
          </w:p>
        </w:tc>
        <w:tc>
          <w:tcPr>
            <w:tcW w:type="dxa" w:w="1038"/>
          </w:tcPr>
          <w:p/>
        </w:tc>
        <w:tc>
          <w:tcPr>
            <w:tcW w:type="dxa" w:w="1038"/>
          </w:tcPr>
          <w:p>
            <w:pPr>
              <w:pStyle w:val="null3"/>
            </w:pPr>
            <w:r>
              <w:rPr/>
              <w:t>产品规格-电源规格</w:t>
            </w:r>
          </w:p>
        </w:tc>
        <w:tc>
          <w:tcPr>
            <w:tcW w:type="dxa" w:w="1038"/>
          </w:tcPr>
          <w:p>
            <w:pPr>
              <w:pStyle w:val="null3"/>
            </w:pPr>
            <w:r>
              <w:rPr/>
              <w:t>电源冗余模式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电源功率</w:t>
            </w:r>
          </w:p>
        </w:tc>
        <w:tc>
          <w:tcPr>
            <w:tcW w:type="dxa" w:w="1038"/>
          </w:tcPr>
          <w:p>
            <w:pPr>
              <w:pStyle w:val="null3"/>
            </w:pPr>
            <w:r>
              <w:rPr/>
              <w:t>支持N+N冗余配置，且可保证单路供电运行，满足处理器满载时的需求。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2路X86服务器</w:t>
            </w:r>
          </w:p>
        </w:tc>
        <w:tc>
          <w:tcPr>
            <w:tcW w:type="dxa" w:w="1038"/>
          </w:tcPr>
          <w:p/>
        </w:tc>
        <w:tc>
          <w:tcPr>
            <w:tcW w:type="dxa" w:w="1038"/>
          </w:tcPr>
          <w:p>
            <w:pPr>
              <w:pStyle w:val="null3"/>
            </w:pPr>
            <w:r>
              <w:rPr/>
              <w:t>产品规格-电源规格</w:t>
            </w:r>
          </w:p>
        </w:tc>
        <w:tc>
          <w:tcPr>
            <w:tcW w:type="dxa" w:w="1038"/>
          </w:tcPr>
          <w:p>
            <w:pPr>
              <w:pStyle w:val="null3"/>
            </w:pPr>
            <w:r>
              <w:rPr/>
              <w:t>电源指示灯</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产品表面不应有明显的凹痕、划伤、裂缝、变形和污染等。表面涂层均匀，不应起泡、龟裂、脱落和磨损，金属零部件无锈蚀及其它机械损伤。</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尺寸（高×宽×深）</w:t>
            </w:r>
          </w:p>
        </w:tc>
        <w:tc>
          <w:tcPr>
            <w:tcW w:type="dxa" w:w="1038"/>
          </w:tcPr>
          <w:p>
            <w:pPr>
              <w:pStyle w:val="null3"/>
            </w:pPr>
            <w:r>
              <w:rPr/>
              <w:t>标准19寸机架式服务器并配置导轨或托盘，高度2U。</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2路X86服务器</w:t>
            </w:r>
          </w:p>
        </w:tc>
        <w:tc>
          <w:tcPr>
            <w:tcW w:type="dxa" w:w="1038"/>
          </w:tcPr>
          <w:p/>
        </w:tc>
        <w:tc>
          <w:tcPr>
            <w:tcW w:type="dxa" w:w="1038"/>
          </w:tcPr>
          <w:p>
            <w:pPr>
              <w:pStyle w:val="null3"/>
            </w:pPr>
            <w:r>
              <w:rPr/>
              <w:t>产品规格-整机规格</w:t>
            </w:r>
          </w:p>
        </w:tc>
        <w:tc>
          <w:tcPr>
            <w:tcW w:type="dxa" w:w="1038"/>
          </w:tcPr>
          <w:p>
            <w:pPr>
              <w:pStyle w:val="null3"/>
            </w:pPr>
            <w:r>
              <w:rPr/>
              <w:t>服务器导轨</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2路X86服务器</w:t>
            </w:r>
          </w:p>
        </w:tc>
        <w:tc>
          <w:tcPr>
            <w:tcW w:type="dxa" w:w="1038"/>
          </w:tcPr>
          <w:p/>
        </w:tc>
        <w:tc>
          <w:tcPr>
            <w:tcW w:type="dxa" w:w="1038"/>
          </w:tcPr>
          <w:p>
            <w:pPr>
              <w:pStyle w:val="null3"/>
            </w:pPr>
            <w:r>
              <w:rPr/>
              <w:t>产品规格-整机规格</w:t>
            </w:r>
          </w:p>
        </w:tc>
        <w:tc>
          <w:tcPr>
            <w:tcW w:type="dxa" w:w="1038"/>
          </w:tcPr>
          <w:p>
            <w:pPr>
              <w:pStyle w:val="null3"/>
            </w:pPr>
            <w:r>
              <w:rPr/>
              <w:t>CPU 个数与机柜高度单位(U) 比</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环境适应性</w:t>
            </w:r>
          </w:p>
        </w:tc>
        <w:tc>
          <w:tcPr>
            <w:tcW w:type="dxa" w:w="1038"/>
          </w:tcPr>
          <w:p>
            <w:pPr>
              <w:pStyle w:val="null3"/>
            </w:pPr>
            <w:r>
              <w:rPr/>
              <w:t>气候环境适应性应符合GB/T9813.3 的有关规定，工作温度 10～35℃，贮存运输温度-40～55℃；工作相对湿度 35%～80%，贮存运输相对湿度 20％～93%（40℃）；大气压86～106kPa。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2路X86服务器</w:t>
            </w:r>
          </w:p>
        </w:tc>
        <w:tc>
          <w:tcPr>
            <w:tcW w:type="dxa" w:w="1038"/>
          </w:tcPr>
          <w:p/>
        </w:tc>
        <w:tc>
          <w:tcPr>
            <w:tcW w:type="dxa" w:w="1038"/>
          </w:tcPr>
          <w:p>
            <w:pPr>
              <w:pStyle w:val="null3"/>
            </w:pPr>
            <w:r>
              <w:rPr/>
              <w:t>产品规格-整机规格</w:t>
            </w:r>
          </w:p>
        </w:tc>
        <w:tc>
          <w:tcPr>
            <w:tcW w:type="dxa" w:w="1038"/>
          </w:tcPr>
          <w:p>
            <w:pPr>
              <w:pStyle w:val="null3"/>
            </w:pPr>
            <w:r>
              <w:rPr/>
              <w:t>特殊机型环境适应性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2路X86服务器</w:t>
            </w:r>
          </w:p>
        </w:tc>
        <w:tc>
          <w:tcPr>
            <w:tcW w:type="dxa" w:w="1038"/>
          </w:tcPr>
          <w:p/>
        </w:tc>
        <w:tc>
          <w:tcPr>
            <w:tcW w:type="dxa" w:w="1038"/>
          </w:tcPr>
          <w:p>
            <w:pPr>
              <w:pStyle w:val="null3"/>
            </w:pPr>
            <w:r>
              <w:rPr/>
              <w:t>产品规格-AI计算单元规格</w:t>
            </w:r>
          </w:p>
        </w:tc>
        <w:tc>
          <w:tcPr>
            <w:tcW w:type="dxa" w:w="1038"/>
          </w:tcPr>
          <w:p>
            <w:pPr>
              <w:pStyle w:val="null3"/>
            </w:pPr>
            <w:r>
              <w:rPr/>
              <w:t>AI计算单元</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2路X86服务器</w:t>
            </w:r>
          </w:p>
        </w:tc>
        <w:tc>
          <w:tcPr>
            <w:tcW w:type="dxa" w:w="1038"/>
          </w:tcPr>
          <w:p/>
        </w:tc>
        <w:tc>
          <w:tcPr>
            <w:tcW w:type="dxa" w:w="1038"/>
          </w:tcPr>
          <w:p>
            <w:pPr>
              <w:pStyle w:val="null3"/>
            </w:pPr>
            <w:r>
              <w:rPr/>
              <w:t>产品规格-AI计算单元规格</w:t>
            </w:r>
          </w:p>
        </w:tc>
        <w:tc>
          <w:tcPr>
            <w:tcW w:type="dxa" w:w="1038"/>
          </w:tcPr>
          <w:p>
            <w:pPr>
              <w:pStyle w:val="null3"/>
            </w:pPr>
            <w:r>
              <w:rPr/>
              <w:t>一键式迁移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产品规格-机柜规格</w:t>
            </w:r>
          </w:p>
        </w:tc>
        <w:tc>
          <w:tcPr>
            <w:tcW w:type="dxa" w:w="1038"/>
          </w:tcPr>
          <w:p>
            <w:pPr>
              <w:pStyle w:val="null3"/>
            </w:pPr>
            <w:r>
              <w:rPr/>
              <w:t>机柜尺寸</w:t>
            </w:r>
          </w:p>
        </w:tc>
        <w:tc>
          <w:tcPr>
            <w:tcW w:type="dxa" w:w="1038"/>
          </w:tcPr>
          <w:p>
            <w:pPr>
              <w:pStyle w:val="null3"/>
            </w:pPr>
            <w:r>
              <w:rPr/>
              <w:t>无需配备机柜，所投产品可放入标准19寸机柜。</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2路X86服务器</w:t>
            </w:r>
          </w:p>
        </w:tc>
        <w:tc>
          <w:tcPr>
            <w:tcW w:type="dxa" w:w="1038"/>
          </w:tcPr>
          <w:p/>
        </w:tc>
        <w:tc>
          <w:tcPr>
            <w:tcW w:type="dxa" w:w="1038"/>
          </w:tcPr>
          <w:p>
            <w:pPr>
              <w:pStyle w:val="null3"/>
            </w:pPr>
            <w:r>
              <w:rPr/>
              <w:t>产品规格-机柜规格</w:t>
            </w:r>
          </w:p>
        </w:tc>
        <w:tc>
          <w:tcPr>
            <w:tcW w:type="dxa" w:w="1038"/>
          </w:tcPr>
          <w:p>
            <w:pPr>
              <w:pStyle w:val="null3"/>
            </w:pPr>
            <w:r>
              <w:rPr/>
              <w:t>机柜管理板</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2路X86服务器</w:t>
            </w:r>
          </w:p>
        </w:tc>
        <w:tc>
          <w:tcPr>
            <w:tcW w:type="dxa" w:w="1038"/>
          </w:tcPr>
          <w:p/>
        </w:tc>
        <w:tc>
          <w:tcPr>
            <w:tcW w:type="dxa" w:w="1038"/>
          </w:tcPr>
          <w:p>
            <w:pPr>
              <w:pStyle w:val="null3"/>
            </w:pPr>
            <w:r>
              <w:rPr/>
              <w:t>产品规格-机柜规格</w:t>
            </w:r>
          </w:p>
        </w:tc>
        <w:tc>
          <w:tcPr>
            <w:tcW w:type="dxa" w:w="1038"/>
          </w:tcPr>
          <w:p>
            <w:pPr>
              <w:pStyle w:val="null3"/>
            </w:pPr>
            <w:r>
              <w:rPr/>
              <w:t>机柜电源规格</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功能要求-主板功能</w:t>
            </w:r>
          </w:p>
        </w:tc>
        <w:tc>
          <w:tcPr>
            <w:tcW w:type="dxa" w:w="1038"/>
          </w:tcPr>
          <w:p>
            <w:pPr>
              <w:pStyle w:val="null3"/>
            </w:pPr>
            <w:r>
              <w:rPr/>
              <w:t>主板外部接口种类</w:t>
            </w:r>
          </w:p>
        </w:tc>
        <w:tc>
          <w:tcPr>
            <w:tcW w:type="dxa" w:w="1038"/>
          </w:tcPr>
          <w:p>
            <w:pPr>
              <w:pStyle w:val="null3"/>
            </w:pPr>
            <w:r>
              <w:rPr/>
              <w:t>支持USB、显示、BMC管理等接口。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2路X86服务器</w:t>
            </w:r>
          </w:p>
        </w:tc>
        <w:tc>
          <w:tcPr>
            <w:tcW w:type="dxa" w:w="1038"/>
          </w:tcPr>
          <w:p/>
        </w:tc>
        <w:tc>
          <w:tcPr>
            <w:tcW w:type="dxa" w:w="1038"/>
          </w:tcPr>
          <w:p>
            <w:pPr>
              <w:pStyle w:val="null3"/>
            </w:pPr>
            <w:r>
              <w:rPr/>
              <w:t>功能要求-主板功能</w:t>
            </w:r>
          </w:p>
        </w:tc>
        <w:tc>
          <w:tcPr>
            <w:tcW w:type="dxa" w:w="1038"/>
          </w:tcPr>
          <w:p>
            <w:pPr>
              <w:pStyle w:val="null3"/>
            </w:pPr>
            <w:r>
              <w:rPr/>
              <w:t>主板防烧板设计</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2路X86服务器</w:t>
            </w:r>
          </w:p>
        </w:tc>
        <w:tc>
          <w:tcPr>
            <w:tcW w:type="dxa" w:w="1038"/>
          </w:tcPr>
          <w:p/>
        </w:tc>
        <w:tc>
          <w:tcPr>
            <w:tcW w:type="dxa" w:w="1038"/>
          </w:tcPr>
          <w:p>
            <w:pPr>
              <w:pStyle w:val="null3"/>
            </w:pPr>
            <w:r>
              <w:rPr/>
              <w:t>功能要求-主板功能</w:t>
            </w:r>
          </w:p>
        </w:tc>
        <w:tc>
          <w:tcPr>
            <w:tcW w:type="dxa" w:w="1038"/>
          </w:tcPr>
          <w:p>
            <w:pPr>
              <w:pStyle w:val="null3"/>
            </w:pPr>
            <w:r>
              <w:rPr/>
              <w:t>扩展功能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 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 GM/T 0028 的相关规定；实配 CPU 内置安全处理器，基于国密算法进行加密、层次化逐级认证，保障系统安全启动，要求提供证明材料并加盖投标人公章。</w:t>
            </w:r>
          </w:p>
        </w:tc>
        <w:tc>
          <w:tcPr>
            <w:tcW w:type="dxa" w:w="1038"/>
          </w:tcPr>
          <w:p>
            <w:pPr>
              <w:pStyle w:val="null3"/>
            </w:pPr>
            <w:r>
              <w:rPr/>
              <w:t>是</w:t>
            </w:r>
          </w:p>
        </w:tc>
        <w:tc>
          <w:tcPr>
            <w:tcW w:type="dxa" w:w="1038"/>
          </w:tcPr>
          <w:p>
            <w:pPr>
              <w:pStyle w:val="null3"/>
            </w:pPr>
            <w:r>
              <w:rPr/>
              <w:t>提供产品官方截图，并加盖投标人公章。</w:t>
            </w:r>
          </w:p>
        </w:tc>
      </w:tr>
      <w:tr>
        <w:tc>
          <w:tcPr>
            <w:tcW w:type="dxa" w:w="1038"/>
          </w:tcPr>
          <w:p>
            <w:pPr>
              <w:pStyle w:val="null3"/>
            </w:pPr>
            <w:r>
              <w:rPr/>
              <w:t>54</w:t>
            </w:r>
          </w:p>
        </w:tc>
        <w:tc>
          <w:tcPr>
            <w:tcW w:type="dxa" w:w="1038"/>
          </w:tcPr>
          <w:p>
            <w:pPr>
              <w:pStyle w:val="null3"/>
            </w:pPr>
            <w:r>
              <w:rPr/>
              <w:t>2路X86服务器</w:t>
            </w:r>
          </w:p>
        </w:tc>
        <w:tc>
          <w:tcPr>
            <w:tcW w:type="dxa" w:w="1038"/>
          </w:tcPr>
          <w:p/>
        </w:tc>
        <w:tc>
          <w:tcPr>
            <w:tcW w:type="dxa" w:w="1038"/>
          </w:tcPr>
          <w:p>
            <w:pPr>
              <w:pStyle w:val="null3"/>
            </w:pPr>
            <w:r>
              <w:rPr/>
              <w:t>功能要求-存储功能</w:t>
            </w:r>
          </w:p>
        </w:tc>
        <w:tc>
          <w:tcPr>
            <w:tcW w:type="dxa" w:w="1038"/>
          </w:tcPr>
          <w:p>
            <w:pPr>
              <w:pStyle w:val="null3"/>
            </w:pPr>
            <w:r>
              <w:rPr/>
              <w:t>内存校验</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2路X86服务器</w:t>
            </w:r>
          </w:p>
        </w:tc>
        <w:tc>
          <w:tcPr>
            <w:tcW w:type="dxa" w:w="1038"/>
          </w:tcPr>
          <w:p/>
        </w:tc>
        <w:tc>
          <w:tcPr>
            <w:tcW w:type="dxa" w:w="1038"/>
          </w:tcPr>
          <w:p>
            <w:pPr>
              <w:pStyle w:val="null3"/>
            </w:pPr>
            <w:r>
              <w:rPr/>
              <w:t>功能要求-存储功能</w:t>
            </w:r>
          </w:p>
        </w:tc>
        <w:tc>
          <w:tcPr>
            <w:tcW w:type="dxa" w:w="1038"/>
          </w:tcPr>
          <w:p>
            <w:pPr>
              <w:pStyle w:val="null3"/>
            </w:pPr>
            <w:r>
              <w:rPr/>
              <w:t>SATA SSD NAND 健康状态上报</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2路X86服务器</w:t>
            </w:r>
          </w:p>
        </w:tc>
        <w:tc>
          <w:tcPr>
            <w:tcW w:type="dxa" w:w="1038"/>
          </w:tcPr>
          <w:p/>
        </w:tc>
        <w:tc>
          <w:tcPr>
            <w:tcW w:type="dxa" w:w="1038"/>
          </w:tcPr>
          <w:p>
            <w:pPr>
              <w:pStyle w:val="null3"/>
            </w:pPr>
            <w:r>
              <w:rPr/>
              <w:t>功能要求-存储功能</w:t>
            </w:r>
          </w:p>
        </w:tc>
        <w:tc>
          <w:tcPr>
            <w:tcW w:type="dxa" w:w="1038"/>
          </w:tcPr>
          <w:p>
            <w:pPr>
              <w:pStyle w:val="null3"/>
            </w:pPr>
            <w:r>
              <w:rPr/>
              <w:t>SATA SSD单 die 故障隔离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2路X86服务器</w:t>
            </w:r>
          </w:p>
        </w:tc>
        <w:tc>
          <w:tcPr>
            <w:tcW w:type="dxa" w:w="1038"/>
          </w:tcPr>
          <w:p/>
        </w:tc>
        <w:tc>
          <w:tcPr>
            <w:tcW w:type="dxa" w:w="1038"/>
          </w:tcPr>
          <w:p>
            <w:pPr>
              <w:pStyle w:val="null3"/>
            </w:pPr>
            <w:r>
              <w:rPr/>
              <w:t>功能要求-RAID卡功能（若支持RAID卡）</w:t>
            </w:r>
          </w:p>
        </w:tc>
        <w:tc>
          <w:tcPr>
            <w:tcW w:type="dxa" w:w="1038"/>
          </w:tcPr>
          <w:p>
            <w:pPr>
              <w:pStyle w:val="null3"/>
            </w:pPr>
            <w:r>
              <w:rPr/>
              <w:t>RAID卡RAID级别支持</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2路X86服务器</w:t>
            </w:r>
          </w:p>
        </w:tc>
        <w:tc>
          <w:tcPr>
            <w:tcW w:type="dxa" w:w="1038"/>
          </w:tcPr>
          <w:p/>
        </w:tc>
        <w:tc>
          <w:tcPr>
            <w:tcW w:type="dxa" w:w="1038"/>
          </w:tcPr>
          <w:p>
            <w:pPr>
              <w:pStyle w:val="null3"/>
            </w:pPr>
            <w:r>
              <w:rPr/>
              <w:t>功能要求-RAID卡功能（若支持RAID卡）</w:t>
            </w:r>
          </w:p>
        </w:tc>
        <w:tc>
          <w:tcPr>
            <w:tcW w:type="dxa" w:w="1038"/>
          </w:tcPr>
          <w:p>
            <w:pPr>
              <w:pStyle w:val="null3"/>
            </w:pPr>
            <w:r>
              <w:rPr/>
              <w:t>RAID 卡BBU 单元</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2路X86服务器</w:t>
            </w:r>
          </w:p>
        </w:tc>
        <w:tc>
          <w:tcPr>
            <w:tcW w:type="dxa" w:w="1038"/>
          </w:tcPr>
          <w:p/>
        </w:tc>
        <w:tc>
          <w:tcPr>
            <w:tcW w:type="dxa" w:w="1038"/>
          </w:tcPr>
          <w:p>
            <w:pPr>
              <w:pStyle w:val="null3"/>
            </w:pPr>
            <w:r>
              <w:rPr/>
              <w:t>功能要求-光驱功能</w:t>
            </w:r>
          </w:p>
        </w:tc>
        <w:tc>
          <w:tcPr>
            <w:tcW w:type="dxa" w:w="1038"/>
          </w:tcPr>
          <w:p>
            <w:pPr>
              <w:pStyle w:val="null3"/>
            </w:pPr>
            <w:r>
              <w:rPr/>
              <w:t>光驱类型（是否支持 RW，以及光盘类型CD/DVD）</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功能要求-整机功能</w:t>
            </w:r>
          </w:p>
        </w:tc>
        <w:tc>
          <w:tcPr>
            <w:tcW w:type="dxa" w:w="1038"/>
          </w:tcPr>
          <w:p>
            <w:pPr>
              <w:pStyle w:val="null3"/>
            </w:pPr>
            <w:r>
              <w:rPr/>
              <w:t>散热方式</w:t>
            </w:r>
          </w:p>
        </w:tc>
        <w:tc>
          <w:tcPr>
            <w:tcW w:type="dxa" w:w="1038"/>
          </w:tcPr>
          <w:p>
            <w:pPr>
              <w:pStyle w:val="null3"/>
            </w:pPr>
            <w:r>
              <w:rPr/>
              <w:t>支持风冷或液冷等散热方式，风扇数量满配，风扇支持冗余热插拔功能。</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2路X86服务器</w:t>
            </w:r>
          </w:p>
        </w:tc>
        <w:tc>
          <w:tcPr>
            <w:tcW w:type="dxa" w:w="1038"/>
          </w:tcPr>
          <w:p/>
        </w:tc>
        <w:tc>
          <w:tcPr>
            <w:tcW w:type="dxa" w:w="1038"/>
          </w:tcPr>
          <w:p>
            <w:pPr>
              <w:pStyle w:val="null3"/>
            </w:pPr>
            <w:r>
              <w:rPr/>
              <w:t>功能要求-整机功能</w:t>
            </w:r>
          </w:p>
        </w:tc>
        <w:tc>
          <w:tcPr>
            <w:tcW w:type="dxa" w:w="1038"/>
          </w:tcPr>
          <w:p>
            <w:pPr>
              <w:pStyle w:val="null3"/>
            </w:pPr>
            <w:r>
              <w:rPr/>
              <w:t>其他功能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BMC 固件基础功能</w:t>
            </w:r>
          </w:p>
        </w:tc>
        <w:tc>
          <w:tcPr>
            <w:tcW w:type="dxa" w:w="1038"/>
          </w:tcPr>
          <w:p>
            <w:pPr>
              <w:pStyle w:val="null3"/>
            </w:pPr>
            <w:r>
              <w:rPr/>
              <w:t>1）支持DHCP 设置网络功能；2）支持静态IP 设置网络功能；3）支持设备日志记录，包括但不限于登录日志、操作日志和报警日志等功能；4）支持日志信息导出和记录删除功能；5)支持通过管理接口向外输出准确的报警信息功能；6)设备的BMC 管理软件应能够按报警的严重程度进行区分；7)支持IPMI2.0、SNMP 或Redfish 等接口功能；8)支持键盘、鼠标和视频的重定向、文本控制台的重定向、远程虚拟媒体、高可靠的硬件监控和管理功能；9)支持基于网络开启、关闭和重启设备的功能，并查询当前设备开机运行状态；10)支持故障提示功能，并可通过接口读取服务器故障信息；11)支持基于网络的固件更新功能，6包括BMC 和BIOS 等；12)支持基于网络安装操作系统的功能，并可通过网络控制台访问设备；13)支持通过本地的硬盘或光驱等存储设备，基于网络完成设备的操作系统安装功能；14)支持通过浏览器打开管理界面并登录功能；15)支持设置口令策略功能；16)支持访问权限设置功能，并通过日志记录访问事件；17)支持对出厂默认的用户名及口令进行安全保护功能，并提供默认口令修改提示；18)支持读取设备主板的工作环境温度功能；19)支持读取服务器CPU 等核心器件的温度功能；20)支持通过外部管理工具进行 BMC参数设置的功能，并可基于网络通过外部管理工具对BMC 进行管理；21)应支持固件版本查询、固件升级；22)支持基于网络实现开关机和复位控制的功能；23)BMC 启动时间应不超过 180s，实现功能包括网络、IPMI、散热、传感器服务可用；24)支持BMC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2路X86服务器</w:t>
            </w:r>
          </w:p>
        </w:tc>
        <w:tc>
          <w:tcPr>
            <w:tcW w:type="dxa" w:w="1038"/>
          </w:tcPr>
          <w:p/>
        </w:tc>
        <w:tc>
          <w:tcPr>
            <w:tcW w:type="dxa" w:w="1038"/>
          </w:tcPr>
          <w:p>
            <w:pPr>
              <w:pStyle w:val="null3"/>
            </w:pPr>
            <w:r>
              <w:rPr/>
              <w:t>功能要求-管理系统功能</w:t>
            </w:r>
          </w:p>
        </w:tc>
        <w:tc>
          <w:tcPr>
            <w:tcW w:type="dxa" w:w="1038"/>
          </w:tcPr>
          <w:p>
            <w:pPr>
              <w:pStyle w:val="null3"/>
            </w:pPr>
            <w:r>
              <w:rPr/>
              <w:t>BMC固件增强功能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BIOS固件基础功能</w:t>
            </w:r>
          </w:p>
        </w:tc>
        <w:tc>
          <w:tcPr>
            <w:tcW w:type="dxa" w:w="1038"/>
          </w:tcPr>
          <w:p>
            <w:pPr>
              <w:pStyle w:val="null3"/>
            </w:pPr>
            <w:r>
              <w:rPr/>
              <w:t>1）支持查看固件版本、内存信息、主板信息、处理器信息和系统时间信息功能；2）支持上电初始化界面显示 CPU 信息、内存信息、固件版本和部分快捷键信息功能；3）支持设置界面中英文显示切换功能；4）支持查看 PCIe 设备信息，SATA 设备信息功能；5）支持操作系统安装和引导功能， 并向操作系统提供计算机主板信息和服务接口；6）支持设置启动顺序，并按照设置的启动顺序启动功能；7）支持安全启动功能；8）支持设置口令、修改口令、验证口令功能；9）支持板载显示控制或独立显卡的显示控制功能；10）支持 RAID 识别和启动功能；11）支持串口重定向功能；12）支持固件更新功能；13）支持 BIOS 固件设置的恢复出厂功能；14）支持网络引导启用和关闭功能。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2路X86服务器</w:t>
            </w:r>
          </w:p>
        </w:tc>
        <w:tc>
          <w:tcPr>
            <w:tcW w:type="dxa" w:w="1038"/>
          </w:tcPr>
          <w:p/>
        </w:tc>
        <w:tc>
          <w:tcPr>
            <w:tcW w:type="dxa" w:w="1038"/>
          </w:tcPr>
          <w:p>
            <w:pPr>
              <w:pStyle w:val="null3"/>
            </w:pPr>
            <w:r>
              <w:rPr/>
              <w:t>功能要求-操作系统及驱动功能</w:t>
            </w:r>
          </w:p>
        </w:tc>
        <w:tc>
          <w:tcPr>
            <w:tcW w:type="dxa" w:w="1038"/>
          </w:tcPr>
          <w:p>
            <w:pPr>
              <w:pStyle w:val="null3"/>
            </w:pPr>
            <w:r>
              <w:rPr/>
              <w:t>操作系统级驱动的升级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支持访问控制、安全审计、网络接入鉴别等功能；操作系统其他功能应满足操作系统政府采购需求标准中的指标要求。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功能要求-中文信息处理功能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2路X86服务器</w:t>
            </w:r>
          </w:p>
        </w:tc>
        <w:tc>
          <w:tcPr>
            <w:tcW w:type="dxa" w:w="1038"/>
          </w:tcPr>
          <w:p/>
        </w:tc>
        <w:tc>
          <w:tcPr>
            <w:tcW w:type="dxa" w:w="1038"/>
          </w:tcPr>
          <w:p>
            <w:pPr>
              <w:pStyle w:val="null3"/>
            </w:pPr>
            <w:r>
              <w:rPr/>
              <w:t>功能要求-机柜功能</w:t>
            </w:r>
          </w:p>
        </w:tc>
        <w:tc>
          <w:tcPr>
            <w:tcW w:type="dxa" w:w="1038"/>
          </w:tcPr>
          <w:p>
            <w:pPr>
              <w:pStyle w:val="null3"/>
            </w:pPr>
            <w:r>
              <w:rPr/>
              <w:t>机柜管理功能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2路X86服务器</w:t>
            </w:r>
          </w:p>
        </w:tc>
        <w:tc>
          <w:tcPr>
            <w:tcW w:type="dxa" w:w="1038"/>
          </w:tcPr>
          <w:p/>
        </w:tc>
        <w:tc>
          <w:tcPr>
            <w:tcW w:type="dxa" w:w="1038"/>
          </w:tcPr>
          <w:p>
            <w:pPr>
              <w:pStyle w:val="null3"/>
            </w:pPr>
            <w:r>
              <w:rPr/>
              <w:t>功能要求-机柜功能</w:t>
            </w:r>
          </w:p>
        </w:tc>
        <w:tc>
          <w:tcPr>
            <w:tcW w:type="dxa" w:w="1038"/>
          </w:tcPr>
          <w:p>
            <w:pPr>
              <w:pStyle w:val="null3"/>
            </w:pPr>
            <w:r>
              <w:rPr/>
              <w:t>机柜通信方式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2路X86服务器</w:t>
            </w:r>
          </w:p>
        </w:tc>
        <w:tc>
          <w:tcPr>
            <w:tcW w:type="dxa" w:w="1038"/>
          </w:tcPr>
          <w:p/>
        </w:tc>
        <w:tc>
          <w:tcPr>
            <w:tcW w:type="dxa" w:w="1038"/>
          </w:tcPr>
          <w:p>
            <w:pPr>
              <w:pStyle w:val="null3"/>
            </w:pPr>
            <w:r>
              <w:rPr/>
              <w:t>功能要求-机柜功能</w:t>
            </w:r>
          </w:p>
        </w:tc>
        <w:tc>
          <w:tcPr>
            <w:tcW w:type="dxa" w:w="1038"/>
          </w:tcPr>
          <w:p>
            <w:pPr>
              <w:pStyle w:val="null3"/>
            </w:pPr>
            <w:r>
              <w:rPr/>
              <w:t>多集群作业管理</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内存故障智能预测和自愈修复</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硬盘故障智能预测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PCIe 链路故障智能诊断</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内存故障隔离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内存、PCIe 卡的故障精准告警功能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异常下电关键数据保护</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BMC/BIOS固件双镜像保护</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CPU 核重启隔离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内存地址隔离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内存存储阵列替换</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2路X86服务器</w:t>
            </w:r>
          </w:p>
        </w:tc>
        <w:tc>
          <w:tcPr>
            <w:tcW w:type="dxa" w:w="1038"/>
          </w:tcPr>
          <w:p/>
        </w:tc>
        <w:tc>
          <w:tcPr>
            <w:tcW w:type="dxa" w:w="1038"/>
          </w:tcPr>
          <w:p>
            <w:pPr>
              <w:pStyle w:val="null3"/>
            </w:pPr>
            <w:r>
              <w:rPr/>
              <w:t>安全要求-固件安全要求</w:t>
            </w:r>
          </w:p>
        </w:tc>
        <w:tc>
          <w:tcPr>
            <w:tcW w:type="dxa" w:w="1038"/>
          </w:tcPr>
          <w:p>
            <w:pPr>
              <w:pStyle w:val="null3"/>
            </w:pPr>
            <w:r>
              <w:rPr/>
              <w:t>安全启动</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2路X86服务器</w:t>
            </w:r>
          </w:p>
        </w:tc>
        <w:tc>
          <w:tcPr>
            <w:tcW w:type="dxa" w:w="1038"/>
          </w:tcPr>
          <w:p/>
        </w:tc>
        <w:tc>
          <w:tcPr>
            <w:tcW w:type="dxa" w:w="1038"/>
          </w:tcPr>
          <w:p>
            <w:pPr>
              <w:pStyle w:val="null3"/>
            </w:pPr>
            <w:r>
              <w:rPr/>
              <w:t>安全要求-系统安全要求</w:t>
            </w:r>
          </w:p>
        </w:tc>
        <w:tc>
          <w:tcPr>
            <w:tcW w:type="dxa" w:w="1038"/>
          </w:tcPr>
          <w:p>
            <w:pPr>
              <w:pStyle w:val="null3"/>
            </w:pPr>
            <w:r>
              <w:rPr/>
              <w:t>Syslog双向鉴别</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2路X86服务器</w:t>
            </w:r>
          </w:p>
        </w:tc>
        <w:tc>
          <w:tcPr>
            <w:tcW w:type="dxa" w:w="1038"/>
          </w:tcPr>
          <w:p/>
        </w:tc>
        <w:tc>
          <w:tcPr>
            <w:tcW w:type="dxa" w:w="1038"/>
          </w:tcPr>
          <w:p>
            <w:pPr>
              <w:pStyle w:val="null3"/>
            </w:pPr>
            <w:r>
              <w:rPr/>
              <w:t>安全要求-系统安全要求</w:t>
            </w:r>
          </w:p>
        </w:tc>
        <w:tc>
          <w:tcPr>
            <w:tcW w:type="dxa" w:w="1038"/>
          </w:tcPr>
          <w:p>
            <w:pPr>
              <w:pStyle w:val="null3"/>
            </w:pPr>
            <w:r>
              <w:rPr/>
              <w:t>双因素鉴别</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2路X86服务器</w:t>
            </w:r>
          </w:p>
        </w:tc>
        <w:tc>
          <w:tcPr>
            <w:tcW w:type="dxa" w:w="1038"/>
          </w:tcPr>
          <w:p/>
        </w:tc>
        <w:tc>
          <w:tcPr>
            <w:tcW w:type="dxa" w:w="1038"/>
          </w:tcPr>
          <w:p>
            <w:pPr>
              <w:pStyle w:val="null3"/>
            </w:pPr>
            <w:r>
              <w:rPr/>
              <w:t>安全要求-系统安全要求</w:t>
            </w:r>
          </w:p>
        </w:tc>
        <w:tc>
          <w:tcPr>
            <w:tcW w:type="dxa" w:w="1038"/>
          </w:tcPr>
          <w:p>
            <w:pPr>
              <w:pStyle w:val="null3"/>
            </w:pPr>
            <w:r>
              <w:rPr/>
              <w:t>匿名化用户告警接收邮箱</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 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敏感信息安全加密传输</w:t>
            </w:r>
          </w:p>
        </w:tc>
        <w:tc>
          <w:tcPr>
            <w:tcW w:type="dxa" w:w="1038"/>
          </w:tcPr>
          <w:p>
            <w:pPr>
              <w:pStyle w:val="null3"/>
            </w:pPr>
            <w:r>
              <w:rPr/>
              <w:t>支持使用安全的传输加密协议（如SSH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研发过程安全</w:t>
            </w:r>
          </w:p>
        </w:tc>
        <w:tc>
          <w:tcPr>
            <w:tcW w:type="dxa" w:w="1038"/>
          </w:tcPr>
          <w:p>
            <w:pPr>
              <w:pStyle w:val="null3"/>
            </w:pPr>
            <w:r>
              <w:rPr/>
              <w:t>投标人承诺，生产商已建立从需求、设计、开发、测试、维护端到端的开发流程管理机制，输出和保存开发流程中每个阶段的产品需求清单、设计文档、开发文档、测试记录等材料，保证各个流程可追溯。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2路X86服务器</w:t>
            </w:r>
          </w:p>
        </w:tc>
        <w:tc>
          <w:tcPr>
            <w:tcW w:type="dxa" w:w="1038"/>
          </w:tcPr>
          <w:p/>
        </w:tc>
        <w:tc>
          <w:tcPr>
            <w:tcW w:type="dxa" w:w="1038"/>
          </w:tcPr>
          <w:p>
            <w:pPr>
              <w:pStyle w:val="null3"/>
            </w:pPr>
            <w:r>
              <w:rPr/>
              <w:t>安全要求-信息安全要求</w:t>
            </w:r>
          </w:p>
        </w:tc>
        <w:tc>
          <w:tcPr>
            <w:tcW w:type="dxa" w:w="1038"/>
          </w:tcPr>
          <w:p>
            <w:pPr>
              <w:pStyle w:val="null3"/>
            </w:pPr>
            <w:r>
              <w:rPr/>
              <w:t>漏洞管理</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2路X86服务器</w:t>
            </w:r>
          </w:p>
        </w:tc>
        <w:tc>
          <w:tcPr>
            <w:tcW w:type="dxa" w:w="1038"/>
          </w:tcPr>
          <w:p/>
        </w:tc>
        <w:tc>
          <w:tcPr>
            <w:tcW w:type="dxa" w:w="1038"/>
          </w:tcPr>
          <w:p>
            <w:pPr>
              <w:pStyle w:val="null3"/>
            </w:pPr>
            <w:r>
              <w:rPr/>
              <w:t>安全要求-信息安全要求</w:t>
            </w:r>
          </w:p>
        </w:tc>
        <w:tc>
          <w:tcPr>
            <w:tcW w:type="dxa" w:w="1038"/>
          </w:tcPr>
          <w:p>
            <w:pPr>
              <w:pStyle w:val="null3"/>
            </w:pPr>
            <w:r>
              <w:rPr/>
              <w:t>网络关键设备服务器要求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2路X86服务器</w:t>
            </w:r>
          </w:p>
        </w:tc>
        <w:tc>
          <w:tcPr>
            <w:tcW w:type="dxa" w:w="1038"/>
          </w:tcPr>
          <w:p/>
        </w:tc>
        <w:tc>
          <w:tcPr>
            <w:tcW w:type="dxa" w:w="1038"/>
          </w:tcPr>
          <w:p>
            <w:pPr>
              <w:pStyle w:val="null3"/>
            </w:pPr>
            <w:r>
              <w:rPr/>
              <w:t>安全要求-信息安全要求</w:t>
            </w:r>
          </w:p>
        </w:tc>
        <w:tc>
          <w:tcPr>
            <w:tcW w:type="dxa" w:w="1038"/>
          </w:tcPr>
          <w:p>
            <w:pPr>
              <w:pStyle w:val="null3"/>
            </w:pPr>
            <w:r>
              <w:rPr/>
              <w:t>增强要求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安全要求-限用物质的限量要求</w:t>
            </w:r>
          </w:p>
        </w:tc>
        <w:tc>
          <w:tcPr>
            <w:tcW w:type="dxa" w:w="1038"/>
          </w:tcPr>
          <w:p>
            <w:pPr>
              <w:pStyle w:val="null3"/>
            </w:pPr>
            <w:r>
              <w:rPr/>
              <w:t>限用物质的限量要求</w:t>
            </w:r>
          </w:p>
        </w:tc>
        <w:tc>
          <w:tcPr>
            <w:tcW w:type="dxa" w:w="1038"/>
          </w:tcPr>
          <w:p>
            <w:pPr>
              <w:pStyle w:val="null3"/>
            </w:pPr>
            <w:r>
              <w:rPr/>
              <w:t>限用物质的限量应符合GB/T 26572 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CPU 主频</w:t>
            </w:r>
          </w:p>
        </w:tc>
        <w:tc>
          <w:tcPr>
            <w:tcW w:type="dxa" w:w="1038"/>
          </w:tcPr>
          <w:p>
            <w:pPr>
              <w:pStyle w:val="null3"/>
            </w:pPr>
            <w:r>
              <w:rPr/>
              <w:t>≥2.5GHz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核数</w:t>
            </w:r>
          </w:p>
        </w:tc>
        <w:tc>
          <w:tcPr>
            <w:tcW w:type="dxa" w:w="1038"/>
          </w:tcPr>
          <w:p>
            <w:pPr>
              <w:pStyle w:val="null3"/>
            </w:pPr>
            <w:r>
              <w:rPr/>
              <w:t>≥32</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末级缓存容量</w:t>
            </w:r>
          </w:p>
        </w:tc>
        <w:tc>
          <w:tcPr>
            <w:tcW w:type="dxa" w:w="1038"/>
          </w:tcPr>
          <w:p>
            <w:pPr>
              <w:pStyle w:val="null3"/>
            </w:pPr>
            <w:r>
              <w:rPr/>
              <w:t>≥64MB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2路X86服务器</w:t>
            </w:r>
          </w:p>
        </w:tc>
        <w:tc>
          <w:tcPr>
            <w:tcW w:type="dxa" w:w="1038"/>
          </w:tcPr>
          <w:p/>
        </w:tc>
        <w:tc>
          <w:tcPr>
            <w:tcW w:type="dxa" w:w="1038"/>
          </w:tcPr>
          <w:p>
            <w:pPr>
              <w:pStyle w:val="null3"/>
            </w:pPr>
            <w:r>
              <w:rPr/>
              <w:t>性能要求-内存性能</w:t>
            </w:r>
          </w:p>
        </w:tc>
        <w:tc>
          <w:tcPr>
            <w:tcW w:type="dxa" w:w="1038"/>
          </w:tcPr>
          <w:p>
            <w:pPr>
              <w:pStyle w:val="null3"/>
            </w:pPr>
            <w:r>
              <w:rPr/>
              <w:t>单内存模块容量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性能要求-内存性能</w:t>
            </w:r>
          </w:p>
        </w:tc>
        <w:tc>
          <w:tcPr>
            <w:tcW w:type="dxa" w:w="1038"/>
          </w:tcPr>
          <w:p>
            <w:pPr>
              <w:pStyle w:val="null3"/>
            </w:pPr>
            <w:r>
              <w:rPr/>
              <w:t>内存速率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2路X86服务器</w:t>
            </w:r>
          </w:p>
        </w:tc>
        <w:tc>
          <w:tcPr>
            <w:tcW w:type="dxa" w:w="1038"/>
          </w:tcPr>
          <w:p/>
        </w:tc>
        <w:tc>
          <w:tcPr>
            <w:tcW w:type="dxa" w:w="1038"/>
          </w:tcPr>
          <w:p>
            <w:pPr>
              <w:pStyle w:val="null3"/>
            </w:pPr>
            <w:r>
              <w:rPr/>
              <w:t>性能要求-存储性能</w:t>
            </w:r>
          </w:p>
        </w:tc>
        <w:tc>
          <w:tcPr>
            <w:tcW w:type="dxa" w:w="1038"/>
          </w:tcPr>
          <w:p>
            <w:pPr>
              <w:pStyle w:val="null3"/>
            </w:pPr>
            <w:r>
              <w:rPr/>
              <w:t>硬盘转速</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性能要求-RAID卡性能</w:t>
            </w:r>
          </w:p>
        </w:tc>
        <w:tc>
          <w:tcPr>
            <w:tcW w:type="dxa" w:w="1038"/>
          </w:tcPr>
          <w:p>
            <w:pPr>
              <w:pStyle w:val="null3"/>
            </w:pPr>
            <w:r>
              <w:rPr/>
              <w:t>RAID卡缓存容量大小</w:t>
            </w:r>
          </w:p>
        </w:tc>
        <w:tc>
          <w:tcPr>
            <w:tcW w:type="dxa" w:w="1038"/>
          </w:tcPr>
          <w:p>
            <w:pPr>
              <w:pStyle w:val="null3"/>
            </w:pPr>
            <w:r>
              <w:rPr/>
              <w:t>配置磁盘阵列卡不小于2块，2块系统盘使用独立的阵列卡，其他磁盘不得使用与系统盘相同的阵列卡，≥8口独立SAS RAID控制器，支持RAID0/1/5/6/10，磁盘直通模式，速率≥6G/s，Cache 缓存≥4GB，支持掉电保护。</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性能要求-FC HBA卡性能</w:t>
            </w:r>
          </w:p>
        </w:tc>
        <w:tc>
          <w:tcPr>
            <w:tcW w:type="dxa" w:w="1038"/>
          </w:tcPr>
          <w:p>
            <w:pPr>
              <w:pStyle w:val="null3"/>
            </w:pPr>
            <w:r>
              <w:rPr/>
              <w:t>FC HBA卡速率</w:t>
            </w:r>
          </w:p>
        </w:tc>
        <w:tc>
          <w:tcPr>
            <w:tcW w:type="dxa" w:w="1038"/>
          </w:tcPr>
          <w:p>
            <w:pPr>
              <w:pStyle w:val="null3"/>
            </w:pPr>
            <w:r>
              <w:rPr/>
              <w:t>不低于16Gb HBA卡（向下兼容），2块。</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2路X86服务器</w:t>
            </w:r>
          </w:p>
        </w:tc>
        <w:tc>
          <w:tcPr>
            <w:tcW w:type="dxa" w:w="1038"/>
          </w:tcPr>
          <w:p/>
        </w:tc>
        <w:tc>
          <w:tcPr>
            <w:tcW w:type="dxa" w:w="1038"/>
          </w:tcPr>
          <w:p>
            <w:pPr>
              <w:pStyle w:val="null3"/>
            </w:pPr>
            <w:r>
              <w:rPr/>
              <w:t>性能要求-网络性能</w:t>
            </w:r>
          </w:p>
        </w:tc>
        <w:tc>
          <w:tcPr>
            <w:tcW w:type="dxa" w:w="1038"/>
          </w:tcPr>
          <w:p>
            <w:pPr>
              <w:pStyle w:val="null3"/>
            </w:pPr>
            <w:r>
              <w:rPr/>
              <w:t>独立网卡速率</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2路X86服务器</w:t>
            </w:r>
          </w:p>
        </w:tc>
        <w:tc>
          <w:tcPr>
            <w:tcW w:type="dxa" w:w="1038"/>
          </w:tcPr>
          <w:p/>
        </w:tc>
        <w:tc>
          <w:tcPr>
            <w:tcW w:type="dxa" w:w="1038"/>
          </w:tcPr>
          <w:p>
            <w:pPr>
              <w:pStyle w:val="null3"/>
            </w:pPr>
            <w:r>
              <w:rPr/>
              <w:t>性能要求-网络性能</w:t>
            </w:r>
          </w:p>
        </w:tc>
        <w:tc>
          <w:tcPr>
            <w:tcW w:type="dxa" w:w="1038"/>
          </w:tcPr>
          <w:p>
            <w:pPr>
              <w:pStyle w:val="null3"/>
            </w:pPr>
            <w:r>
              <w:rPr/>
              <w:t>板载网卡速率</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性能要求-电源能耗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2路X86服务器</w:t>
            </w:r>
          </w:p>
        </w:tc>
        <w:tc>
          <w:tcPr>
            <w:tcW w:type="dxa" w:w="1038"/>
          </w:tcPr>
          <w:p/>
        </w:tc>
        <w:tc>
          <w:tcPr>
            <w:tcW w:type="dxa" w:w="1038"/>
          </w:tcPr>
          <w:p>
            <w:pPr>
              <w:pStyle w:val="null3"/>
            </w:pPr>
            <w:r>
              <w:rPr/>
              <w:t>兼容要求-部件兼容性要求</w:t>
            </w:r>
          </w:p>
        </w:tc>
        <w:tc>
          <w:tcPr>
            <w:tcW w:type="dxa" w:w="1038"/>
          </w:tcPr>
          <w:p>
            <w:pPr>
              <w:pStyle w:val="null3"/>
            </w:pPr>
            <w:r>
              <w:rPr/>
              <w:t>FC HBA卡兼容性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2路X86服务器</w:t>
            </w:r>
          </w:p>
        </w:tc>
        <w:tc>
          <w:tcPr>
            <w:tcW w:type="dxa" w:w="1038"/>
          </w:tcPr>
          <w:p/>
        </w:tc>
        <w:tc>
          <w:tcPr>
            <w:tcW w:type="dxa" w:w="1038"/>
          </w:tcPr>
          <w:p>
            <w:pPr>
              <w:pStyle w:val="null3"/>
            </w:pPr>
            <w:r>
              <w:rPr/>
              <w:t>兼容要求-部件兼容性要求</w:t>
            </w:r>
          </w:p>
        </w:tc>
        <w:tc>
          <w:tcPr>
            <w:tcW w:type="dxa" w:w="1038"/>
          </w:tcPr>
          <w:p>
            <w:pPr>
              <w:pStyle w:val="null3"/>
            </w:pPr>
            <w:r>
              <w:rPr/>
              <w:t>RAID卡兼容性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网卡兼容</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功能卡兼容性</w:t>
            </w:r>
          </w:p>
        </w:tc>
        <w:tc>
          <w:tcPr>
            <w:tcW w:type="dxa" w:w="1038"/>
          </w:tcPr>
          <w:p>
            <w:pPr>
              <w:pStyle w:val="null3"/>
            </w:pPr>
            <w:r>
              <w:rPr/>
              <w:t>内置或适配符合PCIe 的功能卡，如： 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兼容要求-外设兼容性</w:t>
            </w:r>
          </w:p>
        </w:tc>
        <w:tc>
          <w:tcPr>
            <w:tcW w:type="dxa" w:w="1038"/>
          </w:tcPr>
          <w:p>
            <w:pPr>
              <w:pStyle w:val="null3"/>
            </w:pPr>
            <w:r>
              <w:rPr/>
              <w:t>外设兼容性</w:t>
            </w:r>
          </w:p>
        </w:tc>
        <w:tc>
          <w:tcPr>
            <w:tcW w:type="dxa" w:w="1038"/>
          </w:tcPr>
          <w:p>
            <w:pPr>
              <w:pStyle w:val="null3"/>
            </w:pPr>
            <w:r>
              <w:rPr/>
              <w:t>兼容多种主流生产商的外部设备， 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2路X86服务器</w:t>
            </w:r>
          </w:p>
        </w:tc>
        <w:tc>
          <w:tcPr>
            <w:tcW w:type="dxa" w:w="1038"/>
          </w:tcPr>
          <w:p/>
        </w:tc>
        <w:tc>
          <w:tcPr>
            <w:tcW w:type="dxa" w:w="1038"/>
          </w:tcPr>
          <w:p>
            <w:pPr>
              <w:pStyle w:val="null3"/>
            </w:pPr>
            <w:r>
              <w:rPr/>
              <w:t>兼容要求-软件兼容性</w:t>
            </w:r>
          </w:p>
        </w:tc>
        <w:tc>
          <w:tcPr>
            <w:tcW w:type="dxa" w:w="1038"/>
          </w:tcPr>
          <w:p>
            <w:pPr>
              <w:pStyle w:val="null3"/>
            </w:pPr>
            <w:r>
              <w:rPr/>
              <w:t>虚拟化软件兼容</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2路X86服务器</w:t>
            </w:r>
          </w:p>
        </w:tc>
        <w:tc>
          <w:tcPr>
            <w:tcW w:type="dxa" w:w="1038"/>
          </w:tcPr>
          <w:p/>
        </w:tc>
        <w:tc>
          <w:tcPr>
            <w:tcW w:type="dxa" w:w="1038"/>
          </w:tcPr>
          <w:p>
            <w:pPr>
              <w:pStyle w:val="null3"/>
            </w:pPr>
            <w:r>
              <w:rPr/>
              <w:t>可靠性要求-存储可靠性要求</w:t>
            </w:r>
          </w:p>
        </w:tc>
        <w:tc>
          <w:tcPr>
            <w:tcW w:type="dxa" w:w="1038"/>
          </w:tcPr>
          <w:p>
            <w:pPr>
              <w:pStyle w:val="null3"/>
            </w:pPr>
            <w:r>
              <w:rPr/>
              <w:t>SATA SSD可靠性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整机可靠性</w:t>
            </w:r>
          </w:p>
        </w:tc>
        <w:tc>
          <w:tcPr>
            <w:tcW w:type="dxa" w:w="1038"/>
          </w:tcPr>
          <w:p>
            <w:pPr>
              <w:pStyle w:val="null3"/>
            </w:pPr>
            <w:r>
              <w:rPr/>
              <w:t>m1 值（MTBF的不可接受值）不得低于 100000h。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服务响应</w:t>
            </w:r>
          </w:p>
        </w:tc>
        <w:tc>
          <w:tcPr>
            <w:tcW w:type="dxa" w:w="1038"/>
          </w:tcPr>
          <w:p>
            <w:pPr>
              <w:pStyle w:val="null3"/>
            </w:pPr>
            <w:r>
              <w:rPr/>
              <w:t>a）提供电话、电子邮件、远程连接等多种形式服务；b）提供同城 4h、异地 12h 技术响应服务，2 个工作日解决问题，对于未能解决的问题和故障应提供可行的升级方案，并提供周转设备；c）建立全国技术服务体系和服务 团体，符合专业服务体系标准要求， 提供原厂中文服务；d）服务周期内提供产品的维修、换件和升级服务。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培训服务</w:t>
            </w:r>
          </w:p>
        </w:tc>
        <w:tc>
          <w:tcPr>
            <w:tcW w:type="dxa" w:w="1038"/>
          </w:tcPr>
          <w:p>
            <w:pPr>
              <w:pStyle w:val="null3"/>
            </w:pPr>
            <w:r>
              <w:rPr/>
              <w:t>投标人提供培训材料、产品手册、培训视频等培训相关内容。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服务要求-服务周期</w:t>
            </w:r>
          </w:p>
        </w:tc>
        <w:tc>
          <w:tcPr>
            <w:tcW w:type="dxa" w:w="1038"/>
          </w:tcPr>
          <w:p>
            <w:pPr>
              <w:pStyle w:val="null3"/>
            </w:pPr>
            <w:r>
              <w:rPr/>
              <w:t>服务周期</w:t>
            </w:r>
          </w:p>
        </w:tc>
        <w:tc>
          <w:tcPr>
            <w:tcW w:type="dxa" w:w="1038"/>
          </w:tcPr>
          <w:p>
            <w:pPr>
              <w:pStyle w:val="null3"/>
            </w:pPr>
            <w:r>
              <w:rPr/>
              <w:t>提供5年原厂质保服务，5×8×4小时工程师带备件上门的原厂质保服务，硬盘免回收;在质保服务年限内，提供每年2次原厂巡检服务。</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132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工具要求</w:t>
            </w:r>
          </w:p>
        </w:tc>
        <w:tc>
          <w:tcPr>
            <w:tcW w:type="dxa" w:w="1038"/>
          </w:tcPr>
          <w:p>
            <w:pPr>
              <w:pStyle w:val="null3"/>
            </w:pPr>
            <w:r>
              <w:rPr/>
              <w:t>投标人提供设置服务器硬件、辅助操作系统安装等功能的辅助工具和管理软件。且随附软件应具有合法授权或版权。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2路X86服务器</w:t>
            </w:r>
          </w:p>
        </w:tc>
        <w:tc>
          <w:tcPr>
            <w:tcW w:type="dxa" w:w="1038"/>
          </w:tcPr>
          <w:p/>
        </w:tc>
        <w:tc>
          <w:tcPr>
            <w:tcW w:type="dxa" w:w="1038"/>
          </w:tcPr>
          <w:p>
            <w:pPr>
              <w:pStyle w:val="null3"/>
            </w:pPr>
            <w:r>
              <w:rPr/>
              <w:t>服务要求-服务工具要求</w:t>
            </w:r>
          </w:p>
        </w:tc>
        <w:tc>
          <w:tcPr>
            <w:tcW w:type="dxa" w:w="1038"/>
          </w:tcPr>
          <w:p>
            <w:pPr>
              <w:pStyle w:val="null3"/>
            </w:pPr>
            <w:r>
              <w:rPr/>
              <w:t>辅助工具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驱动安装升级指引</w:t>
            </w:r>
          </w:p>
        </w:tc>
        <w:tc>
          <w:tcPr>
            <w:tcW w:type="dxa" w:w="1038"/>
          </w:tcPr>
          <w:p>
            <w:pPr>
              <w:pStyle w:val="null3"/>
            </w:pPr>
            <w:r>
              <w:rPr/>
              <w:t>投标人提供出厂安装的配件所需的驱动程序，形式包括但不限于驱动光盘、驱动下载链接等。其他配件应提供指引。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2路X86服务器</w:t>
            </w:r>
          </w:p>
        </w:tc>
        <w:tc>
          <w:tcPr>
            <w:tcW w:type="dxa" w:w="1038"/>
          </w:tcPr>
          <w:p/>
        </w:tc>
        <w:tc>
          <w:tcPr>
            <w:tcW w:type="dxa" w:w="1038"/>
          </w:tcPr>
          <w:p>
            <w:pPr>
              <w:pStyle w:val="null3"/>
            </w:pPr>
            <w:r>
              <w:rPr/>
              <w:t>服务要求-服务工具要求</w:t>
            </w:r>
          </w:p>
        </w:tc>
        <w:tc>
          <w:tcPr>
            <w:tcW w:type="dxa" w:w="1038"/>
          </w:tcPr>
          <w:p>
            <w:pPr>
              <w:pStyle w:val="null3"/>
            </w:pPr>
            <w:r>
              <w:rPr/>
              <w:t>随机附开盖工具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2路X86服务器</w:t>
            </w:r>
          </w:p>
        </w:tc>
        <w:tc>
          <w:tcPr>
            <w:tcW w:type="dxa" w:w="1038"/>
          </w:tcPr>
          <w:p/>
        </w:tc>
        <w:tc>
          <w:tcPr>
            <w:tcW w:type="dxa" w:w="1038"/>
          </w:tcPr>
          <w:p>
            <w:pPr>
              <w:pStyle w:val="null3"/>
            </w:pPr>
            <w:r>
              <w:rPr/>
              <w:t>服务要求-服务工具要求</w:t>
            </w:r>
          </w:p>
        </w:tc>
        <w:tc>
          <w:tcPr>
            <w:tcW w:type="dxa" w:w="1038"/>
          </w:tcPr>
          <w:p>
            <w:pPr>
              <w:pStyle w:val="null3"/>
            </w:pPr>
            <w:r>
              <w:rPr/>
              <w:t>代码迁移工具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2路X86服务器</w:t>
            </w:r>
          </w:p>
        </w:tc>
        <w:tc>
          <w:tcPr>
            <w:tcW w:type="dxa" w:w="1038"/>
          </w:tcPr>
          <w:p/>
        </w:tc>
        <w:tc>
          <w:tcPr>
            <w:tcW w:type="dxa" w:w="1038"/>
          </w:tcPr>
          <w:p>
            <w:pPr>
              <w:pStyle w:val="null3"/>
            </w:pPr>
            <w:r>
              <w:rPr/>
              <w:t>服务要求-服务工具要求</w:t>
            </w:r>
          </w:p>
        </w:tc>
        <w:tc>
          <w:tcPr>
            <w:tcW w:type="dxa" w:w="1038"/>
          </w:tcPr>
          <w:p>
            <w:pPr>
              <w:pStyle w:val="null3"/>
            </w:pPr>
            <w:r>
              <w:rPr/>
              <w:t>性能分析工具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2路X86服务器</w:t>
            </w:r>
          </w:p>
        </w:tc>
        <w:tc>
          <w:tcPr>
            <w:tcW w:type="dxa" w:w="1038"/>
          </w:tcPr>
          <w:p/>
        </w:tc>
        <w:tc>
          <w:tcPr>
            <w:tcW w:type="dxa" w:w="1038"/>
          </w:tcPr>
          <w:p>
            <w:pPr>
              <w:pStyle w:val="null3"/>
            </w:pPr>
            <w:r>
              <w:rPr/>
              <w:t>服务要求-服务工具要求</w:t>
            </w:r>
          </w:p>
        </w:tc>
        <w:tc>
          <w:tcPr>
            <w:tcW w:type="dxa" w:w="1038"/>
          </w:tcPr>
          <w:p>
            <w:pPr>
              <w:pStyle w:val="null3"/>
            </w:pPr>
            <w:r>
              <w:rPr/>
              <w:t>跨架构平台应用兼容</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厂家升级产品软件与扩容服务</w:t>
            </w:r>
          </w:p>
        </w:tc>
        <w:tc>
          <w:tcPr>
            <w:tcW w:type="dxa" w:w="1038"/>
          </w:tcPr>
          <w:p>
            <w:pPr>
              <w:pStyle w:val="null3"/>
            </w:pPr>
            <w:r>
              <w:rPr/>
              <w:t>投标人提供原厂级的部件/软件产品升级和扩容能力。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2路X86服务器</w:t>
            </w:r>
          </w:p>
        </w:tc>
        <w:tc>
          <w:tcPr>
            <w:tcW w:type="dxa" w:w="1038"/>
          </w:tcPr>
          <w:p/>
        </w:tc>
        <w:tc>
          <w:tcPr>
            <w:tcW w:type="dxa" w:w="1038"/>
          </w:tcPr>
          <w:p>
            <w:pPr>
              <w:pStyle w:val="null3"/>
            </w:pPr>
            <w:r>
              <w:rPr/>
              <w:t>服务要求-增值服务</w:t>
            </w:r>
          </w:p>
        </w:tc>
        <w:tc>
          <w:tcPr>
            <w:tcW w:type="dxa" w:w="1038"/>
          </w:tcPr>
          <w:p>
            <w:pPr>
              <w:pStyle w:val="null3"/>
            </w:pPr>
            <w:r>
              <w:rPr/>
              <w:t>服务保障升级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提供上门服务</w:t>
            </w:r>
          </w:p>
        </w:tc>
        <w:tc>
          <w:tcPr>
            <w:tcW w:type="dxa" w:w="1038"/>
          </w:tcPr>
          <w:p>
            <w:pPr>
              <w:pStyle w:val="null3"/>
            </w:pPr>
            <w:r>
              <w:rPr/>
              <w:t>投标人具备提供上门服务的能力。</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2路X86服务器</w:t>
            </w:r>
          </w:p>
        </w:tc>
        <w:tc>
          <w:tcPr>
            <w:tcW w:type="dxa" w:w="1038"/>
          </w:tcPr>
          <w:p/>
        </w:tc>
        <w:tc>
          <w:tcPr>
            <w:tcW w:type="dxa" w:w="1038"/>
          </w:tcPr>
          <w:p>
            <w:pPr>
              <w:pStyle w:val="null3"/>
            </w:pPr>
            <w:r>
              <w:rPr/>
              <w:t>服务要求-增值服务</w:t>
            </w:r>
          </w:p>
        </w:tc>
        <w:tc>
          <w:tcPr>
            <w:tcW w:type="dxa" w:w="1038"/>
          </w:tcPr>
          <w:p>
            <w:pPr>
              <w:pStyle w:val="null3"/>
            </w:pPr>
            <w:r>
              <w:rPr/>
              <w:t>业务场景性能优化服务及整体架构升级服务</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2路X86服务器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供应能力证明</w:t>
            </w:r>
          </w:p>
        </w:tc>
        <w:tc>
          <w:tcPr>
            <w:tcW w:type="dxa" w:w="1038"/>
          </w:tcPr>
          <w:p>
            <w:pPr>
              <w:pStyle w:val="null3"/>
            </w:pPr>
            <w:r>
              <w:rPr/>
              <w:t>投标人提供服务器CPU原厂提供的针对本项目的供应链稳定承诺书，确保产品的关键部件在产品服务周期内稳定供货。</w:t>
            </w:r>
          </w:p>
        </w:tc>
        <w:tc>
          <w:tcPr>
            <w:tcW w:type="dxa" w:w="1038"/>
          </w:tcPr>
          <w:p>
            <w:pPr>
              <w:pStyle w:val="null3"/>
            </w:pPr>
            <w:r>
              <w:rPr/>
              <w:t>是</w:t>
            </w:r>
          </w:p>
        </w:tc>
        <w:tc>
          <w:tcPr>
            <w:tcW w:type="dxa" w:w="1038"/>
          </w:tcPr>
          <w:p>
            <w:pPr>
              <w:pStyle w:val="null3"/>
            </w:pPr>
            <w:r>
              <w:rPr/>
              <w:t>提供承诺书并加盖投标人公章。</w:t>
            </w:r>
          </w:p>
        </w:tc>
      </w:tr>
      <w:tr>
        <w:tc>
          <w:tcPr>
            <w:tcW w:type="dxa" w:w="1038"/>
          </w:tcPr>
          <w:p>
            <w:pPr>
              <w:pStyle w:val="null3"/>
            </w:pPr>
            <w:r>
              <w:rPr/>
              <w:t>146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配置要求</w:t>
            </w:r>
          </w:p>
        </w:tc>
        <w:tc>
          <w:tcPr>
            <w:tcW w:type="dxa" w:w="1038"/>
          </w:tcPr>
          <w:p>
            <w:pPr>
              <w:pStyle w:val="null3"/>
            </w:pPr>
            <w:r>
              <w:rPr/>
              <w:t>配置指标要求</w:t>
            </w:r>
          </w:p>
        </w:tc>
        <w:tc>
          <w:tcPr>
            <w:tcW w:type="dxa" w:w="1038"/>
          </w:tcPr>
          <w:p>
            <w:pPr>
              <w:pStyle w:val="null3"/>
            </w:pPr>
            <w:r>
              <w:rPr/>
              <w:t>配置本项目所需的超融合虚拟化管理平台软件授权，共节点280个物理CPU授权，授权为永久授权。超融合虚拟化管理平台软件不限配置套数。超融合虚拟化管理平台软件为厂商发布的全功能最高等级的版本（如标准版、企业版、企业增强版，应选用企业增强版）。虚拟化管理平台和底层资源池的虚拟化软件（计算虚拟化、网络虚拟化、存储虚拟化）均为同一厂商品牌提供，并可以支持扩展同一品牌的网络和安全虚拟化（如负载均衡等）功能组件，以保证平台的扩展性和兼容性。</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架构及部署要求</w:t>
            </w:r>
          </w:p>
        </w:tc>
        <w:tc>
          <w:tcPr>
            <w:tcW w:type="dxa" w:w="1038"/>
          </w:tcPr>
          <w:p>
            <w:pPr>
              <w:pStyle w:val="null3"/>
            </w:pPr>
            <w:r>
              <w:rPr/>
              <w:t>基本要求</w:t>
            </w:r>
          </w:p>
        </w:tc>
        <w:tc>
          <w:tcPr>
            <w:tcW w:type="dxa" w:w="1038"/>
          </w:tcPr>
          <w:p>
            <w:pPr>
              <w:pStyle w:val="null3"/>
            </w:pPr>
            <w:r>
              <w:rPr/>
              <w:t>采用分布式、全冗余架构设计、高可靠集群模式部署方式，支持SSD读写缓存，不存在单点故障，在通用Intel服务器、国芯ARM服务器、国芯海光服务器均可部署。</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架构及部署要求</w:t>
            </w:r>
          </w:p>
        </w:tc>
        <w:tc>
          <w:tcPr>
            <w:tcW w:type="dxa" w:w="1038"/>
          </w:tcPr>
          <w:p>
            <w:pPr>
              <w:pStyle w:val="null3"/>
            </w:pPr>
            <w:r>
              <w:rPr/>
              <w:t>基本要求</w:t>
            </w:r>
          </w:p>
        </w:tc>
        <w:tc>
          <w:tcPr>
            <w:tcW w:type="dxa" w:w="1038"/>
          </w:tcPr>
          <w:p>
            <w:pPr>
              <w:pStyle w:val="null3"/>
            </w:pPr>
            <w:r>
              <w:rPr/>
              <w:t>虚拟化产品架构基于KVM技术，拥有独立的虚拟化资源管理界面（非云运营管理）。</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架构及部署要求</w:t>
            </w:r>
          </w:p>
        </w:tc>
        <w:tc>
          <w:tcPr>
            <w:tcW w:type="dxa" w:w="1038"/>
          </w:tcPr>
          <w:p>
            <w:pPr>
              <w:pStyle w:val="null3"/>
            </w:pPr>
            <w:r>
              <w:rPr/>
              <w:t>基本要求</w:t>
            </w:r>
          </w:p>
        </w:tc>
        <w:tc>
          <w:tcPr>
            <w:tcW w:type="dxa" w:w="1038"/>
          </w:tcPr>
          <w:p>
            <w:pPr>
              <w:pStyle w:val="null3"/>
            </w:pPr>
            <w:r>
              <w:rPr/>
              <w:t>管理平台直接支持管理虚拟化集群、集群节点，无需借助额外的管理工具管理计算虚拟化、存储虚拟化、网络虚拟化。</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性能要求</w:t>
            </w:r>
          </w:p>
        </w:tc>
        <w:tc>
          <w:tcPr>
            <w:tcW w:type="dxa" w:w="1038"/>
          </w:tcPr>
          <w:p>
            <w:pPr>
              <w:pStyle w:val="null3"/>
            </w:pPr>
            <w:r>
              <w:rPr/>
              <w:t>单个集群支持物理服务器不少于32个，同时支持在线增加物理服务器，每个集群虚拟机不少于2000个；每套虚拟化管理中心能够管理不小于10000个VM（虚拟机）的扩展规模。每个虚拟机支持的CPU数量≥64个vCPU，≥16块虚拟磁盘（含CDROM），≥8块虚拟网卡，支持的内存≥1TB。分布式存储集群规模：能够支持的节点数≥32，容量≥2PB，不限单节点容量，集群IOPS（4KB随机写）≥5万。</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性能要求</w:t>
            </w:r>
          </w:p>
        </w:tc>
        <w:tc>
          <w:tcPr>
            <w:tcW w:type="dxa" w:w="1038"/>
          </w:tcPr>
          <w:p>
            <w:pPr>
              <w:pStyle w:val="null3"/>
            </w:pPr>
            <w:r>
              <w:rPr/>
              <w:t>CPU虚拟化损耗比例不高于10%；内存虚拟化损耗比例不高于10%。</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性能要求</w:t>
            </w:r>
          </w:p>
        </w:tc>
        <w:tc>
          <w:tcPr>
            <w:tcW w:type="dxa" w:w="1038"/>
          </w:tcPr>
          <w:p>
            <w:pPr>
              <w:pStyle w:val="null3"/>
            </w:pPr>
            <w:r>
              <w:rPr/>
              <w:t>虚拟机热迁移并行作业不低于2台，热迁移中断时间不高于0.5s。</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性能要求</w:t>
            </w:r>
          </w:p>
        </w:tc>
        <w:tc>
          <w:tcPr>
            <w:tcW w:type="dxa" w:w="1038"/>
          </w:tcPr>
          <w:p>
            <w:pPr>
              <w:pStyle w:val="null3"/>
            </w:pPr>
            <w:r>
              <w:rPr/>
              <w:t>性能要求</w:t>
            </w:r>
          </w:p>
        </w:tc>
        <w:tc>
          <w:tcPr>
            <w:tcW w:type="dxa" w:w="1038"/>
          </w:tcPr>
          <w:p>
            <w:pPr>
              <w:pStyle w:val="null3"/>
            </w:pPr>
            <w:r>
              <w:rPr/>
              <w:t>集群中虚拟机HA切换时间不高于60s；集群中管理节点HA切换时间不高于5min。</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满足现有的网络环境，即分布式存储集群的前端网络通过传统网络为计算资源提供服务；集群中的服务器通过传统网络实现内部业务数据交换；通过管理网络对集群进行管理。其中集群业务网络和管理网络可以复用使用。针对不同网络可进行流量控制。</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兼容市场上主流硬件平台，包括X86服务器、国芯ARM芯片服务器和国芯海光服务器，并提供兼容性列表。节点升级、扩容、缩容的过程中用户可以选择自行增加、删减硬件部件。</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无需借助第三方工具，可以通过管理平台界面将虚拟机从VMware批量迁移至本虚拟化平台。</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支持多种存储对接协议，支持通过ISCSI、iSER、NVMe over RoCE、FC、FC-NVMe协议对接外部集中式、分布式存储，需兼容当前市场主流厂商。</w:t>
            </w:r>
          </w:p>
        </w:tc>
        <w:tc>
          <w:tcPr>
            <w:tcW w:type="dxa" w:w="1038"/>
          </w:tcPr>
          <w:p>
            <w:pPr>
              <w:pStyle w:val="null3"/>
            </w:pPr>
            <w:r>
              <w:rPr/>
              <w:t>是</w:t>
            </w:r>
          </w:p>
        </w:tc>
        <w:tc>
          <w:tcPr>
            <w:tcW w:type="dxa" w:w="1038"/>
          </w:tcPr>
          <w:p>
            <w:pPr>
              <w:pStyle w:val="null3"/>
            </w:pPr>
            <w:r>
              <w:rPr/>
              <w:t>提供产品界面截图或测试报告，并加盖投标人公章。</w:t>
            </w:r>
          </w:p>
        </w:tc>
      </w:tr>
      <w:tr>
        <w:tc>
          <w:tcPr>
            <w:tcW w:type="dxa" w:w="1038"/>
          </w:tcPr>
          <w:p>
            <w:pPr>
              <w:pStyle w:val="null3"/>
            </w:pPr>
            <w:r>
              <w:rPr/>
              <w:t>158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兼容现有市场上主流的网卡和HBA卡产品；需兼容当前市场主流的HBA卡厂商。</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兼容性要求</w:t>
            </w:r>
          </w:p>
        </w:tc>
        <w:tc>
          <w:tcPr>
            <w:tcW w:type="dxa" w:w="1038"/>
          </w:tcPr>
          <w:p>
            <w:pPr>
              <w:pStyle w:val="null3"/>
            </w:pPr>
            <w:r>
              <w:rPr/>
              <w:t>支持同一集群中异构服务器品牌和配置。</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计算虚拟化兼容性要求</w:t>
            </w:r>
          </w:p>
        </w:tc>
        <w:tc>
          <w:tcPr>
            <w:tcW w:type="dxa" w:w="1038"/>
          </w:tcPr>
          <w:p>
            <w:pPr>
              <w:pStyle w:val="null3"/>
            </w:pPr>
            <w:r>
              <w:rPr/>
              <w:t>兼容不少于5个国产操作系统，包括并不限于统信UOS、银河麒麟等。</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计算虚拟化兼容性要求</w:t>
            </w:r>
          </w:p>
        </w:tc>
        <w:tc>
          <w:tcPr>
            <w:tcW w:type="dxa" w:w="1038"/>
          </w:tcPr>
          <w:p>
            <w:pPr>
              <w:pStyle w:val="null3"/>
            </w:pPr>
            <w:r>
              <w:rPr/>
              <w:t>兼容</w:t>
            </w:r>
            <w:r>
              <w:rPr/>
              <w:t>5</w:t>
            </w:r>
            <w:r>
              <w:rPr/>
              <w:t>个及以上厂商的数据库</w:t>
            </w:r>
            <w:r>
              <w:rPr/>
              <w:t>和</w:t>
            </w:r>
            <w:r>
              <w:rPr/>
              <w:t>中间件</w:t>
            </w:r>
            <w:r>
              <w:rPr/>
              <w:t>产品</w:t>
            </w:r>
            <w:r>
              <w:rPr/>
              <w:t>。</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兼容性要求</w:t>
            </w:r>
          </w:p>
        </w:tc>
        <w:tc>
          <w:tcPr>
            <w:tcW w:type="dxa" w:w="1038"/>
          </w:tcPr>
          <w:p>
            <w:pPr>
              <w:pStyle w:val="null3"/>
            </w:pPr>
            <w:r>
              <w:rPr/>
              <w:t>存储虚拟化兼容性要求</w:t>
            </w:r>
          </w:p>
        </w:tc>
        <w:tc>
          <w:tcPr>
            <w:tcW w:type="dxa" w:w="1038"/>
          </w:tcPr>
          <w:p>
            <w:pPr>
              <w:pStyle w:val="null3"/>
            </w:pPr>
            <w:r>
              <w:rPr/>
              <w:t>支持集群中不同存储介质分别建立资源池。</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可扩展性要求</w:t>
            </w:r>
          </w:p>
        </w:tc>
        <w:tc>
          <w:tcPr>
            <w:tcW w:type="dxa" w:w="1038"/>
          </w:tcPr>
          <w:p>
            <w:pPr>
              <w:pStyle w:val="null3"/>
            </w:pPr>
            <w:r>
              <w:rPr/>
              <w:t>计算虚拟化资源可扩展要求</w:t>
            </w:r>
          </w:p>
        </w:tc>
        <w:tc>
          <w:tcPr>
            <w:tcW w:type="dxa" w:w="1038"/>
          </w:tcPr>
          <w:p>
            <w:pPr>
              <w:pStyle w:val="null3"/>
            </w:pPr>
            <w:r>
              <w:rPr/>
              <w:t>支持平滑的平台迭代升级维护，节点扩容不影响业务系统正常运行，具备资源动态扩展、资源快速供应、资源灵活调配等。支持在线添加物理机、LUN，实现资源的扩容。</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可扩展性要求</w:t>
            </w:r>
          </w:p>
        </w:tc>
        <w:tc>
          <w:tcPr>
            <w:tcW w:type="dxa" w:w="1038"/>
          </w:tcPr>
          <w:p>
            <w:pPr>
              <w:pStyle w:val="null3"/>
            </w:pPr>
            <w:r>
              <w:rPr/>
              <w:t>存储虚拟化资源可扩展要求</w:t>
            </w:r>
          </w:p>
        </w:tc>
        <w:tc>
          <w:tcPr>
            <w:tcW w:type="dxa" w:w="1038"/>
          </w:tcPr>
          <w:p>
            <w:pPr>
              <w:pStyle w:val="null3"/>
            </w:pPr>
            <w:r>
              <w:rPr/>
              <w:t>支持随着系统规模（节点数量）的增加，系统性能和容量线性提升。支持卷在线扩展，在不中断业务的情况下进行卷级扩容，能实现磁盘的批量扩容。新增磁盘或者节点后，系统可自动实现数据均衡，保障资源的平衡利用。</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虚拟机具有独立的虚拟资源（CPU、内存、网卡、存储），可以指定单独的IP地址、MAC地址等，在操作系统支持的前提下实现CPU、内存、磁盘及网卡的热添加，支持虚拟机在线动态增加CPU个数。支持虚拟机的创建、开关机、恢复、重启、删除、克隆、快照、备份、迁移、导出等资源全生命周期管理。</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在业务不间断访问的前提下，跨资源池迁移（包括计算资源池、存储资源池）。支持虚拟机在线迁移（运行状态下迁移）和离线迁移（关闭状态下迁移）；支持多种迁移方式，支持主流虚拟化平台虚拟机在线迁移，以及物理机业务迁移至虚拟机；支持虚拟机跨集群迁移、虚拟机批量迁移、集群内虚拟机有共享存储池的条件下，都可以在不中断用户使用和不丢失服务的情况下在服务器之间实时迁移虚拟机，保障业务连续性。提供虚拟机历史所有的迁移日志的集中查看，包括源主机、目标主机、迁移耗时、时间、日志类型、触发类型等信息。</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支持精细化的虚拟机迁移控制，通过网络流量控制，可限制虚拟机迁移速度或独享迁移网络。</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虚拟机之间隔离保护，任意虚拟机发生故障均不会影响同一个物理机上的其它虚拟机运行，以保障系统平台的安全性。虚拟机支持物理机的全部功能，如具有自己的资源（内存、CPU、网卡、存储），支持指定单独的IP地址、MAC地址等。</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DRS动态资源调整功能，管理员根据业务的负载策略和规划，支持根据CPU、内存的利用率监控阈值、持续时间和间隔灵活设置资源调整策略,实现主机资源利用率自动均衡；集群具备可基于CPU、内存等资源利用率进行动态资源调度功能。</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对宿主机生命周期管理，包括添加、修改、进入/退出维护模式、关闭、重启、删除等基本操作。支持查询宿主机的IP地址、维护状态、CPU信息（内核/线程/型号/主频）、服务器型号、虚拟机数量及运行分布、运行时间等信息。</w:t>
            </w:r>
          </w:p>
        </w:tc>
        <w:tc>
          <w:tcPr>
            <w:tcW w:type="dxa" w:w="1038"/>
          </w:tcPr>
          <w:p>
            <w:pPr>
              <w:pStyle w:val="null3"/>
            </w:pPr>
            <w:r>
              <w:rPr/>
              <w:t>是</w:t>
            </w:r>
          </w:p>
        </w:tc>
        <w:tc>
          <w:tcPr>
            <w:tcW w:type="dxa" w:w="1038"/>
          </w:tcPr>
          <w:p>
            <w:pPr>
              <w:pStyle w:val="null3"/>
            </w:pPr>
            <w:r>
              <w:rPr/>
              <w:t>提供产品界面截图或测试报告，并加盖投标人公章。</w:t>
            </w:r>
          </w:p>
        </w:tc>
      </w:tr>
      <w:tr>
        <w:tc>
          <w:tcPr>
            <w:tcW w:type="dxa" w:w="1038"/>
          </w:tcPr>
          <w:p>
            <w:pPr>
              <w:pStyle w:val="null3"/>
            </w:pPr>
            <w:r>
              <w:rPr/>
              <w:t>171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支持一键开启和关闭数据中心内、集群内的所有虚拟机。</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支持X86、ARM等架构下计算资源超分，单台宿主机之上的虚拟机vCPU可大于实际物理资源配置。</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支持大内存页和DPDK加速功能，支持虚拟机NUMA感知功能，保证虚拟机OS的NUMA与主机的NUMA拓扑保持一致。</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在当前主流应用芯片等多种芯片架构上均支持多种虚拟机部署方式，包括支持通过ISO系统介质创建虚拟机，完成全新操作系统安装；支持通过已有存储卷创建虚拟机；支持通过虚拟机镜像（模板）部署虚拟机。</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可由集中式存储（FC）或分布式存储（IP）作为共享存储；</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功能性指标要求</w:t>
            </w:r>
          </w:p>
        </w:tc>
        <w:tc>
          <w:tcPr>
            <w:tcW w:type="dxa" w:w="1038"/>
          </w:tcPr>
          <w:p>
            <w:pPr>
              <w:pStyle w:val="null3"/>
            </w:pPr>
            <w:r>
              <w:rPr/>
              <w:t>支持设置手工和定时快照，在线删除快照时可合并增量数据，无需等待关机后再执行。包括X86、ARM架构均支持虚拟机快照基本管理功能，包括在线、离线创建及还原快照。</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tc>
        <w:tc>
          <w:tcPr>
            <w:tcW w:type="dxa" w:w="1038"/>
          </w:tcPr>
          <w:p>
            <w:pPr>
              <w:pStyle w:val="null3"/>
            </w:pPr>
            <w:r>
              <w:rPr/>
              <w:t>支持包含指定磁盘数据的磁盘快照功能。</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tc>
        <w:tc>
          <w:tcPr>
            <w:tcW w:type="dxa" w:w="1038"/>
          </w:tcPr>
          <w:p>
            <w:pPr>
              <w:pStyle w:val="null3"/>
            </w:pPr>
            <w:r>
              <w:rPr/>
              <w:t>为满足日益增长的容器资源需求，要求同一个虚拟化节点支持同时运行虚拟机和容器计算资源。</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tc>
        <w:tc>
          <w:tcPr>
            <w:tcW w:type="dxa" w:w="1038"/>
          </w:tcPr>
          <w:p>
            <w:pPr>
              <w:pStyle w:val="null3"/>
            </w:pPr>
            <w:r>
              <w:rPr/>
              <w:t>支持容器实例的全生命周期管理，如创建、编辑、重启、迁移、HA等，以及事件的查看，控制台操作等；支持容器镜像仓库的管理，支持系统内置镜像库与第三方镜像库管理，容器与虚拟机均由超融合管理平台统一运维。</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易用性要求</w:t>
            </w:r>
          </w:p>
        </w:tc>
        <w:tc>
          <w:tcPr>
            <w:tcW w:type="dxa" w:w="1038"/>
          </w:tcPr>
          <w:p>
            <w:pPr>
              <w:pStyle w:val="null3"/>
            </w:pPr>
            <w:r>
              <w:rPr/>
              <w:t>提供B/S虚拟机控制台使用方式。支持快速查看、删除和批量删除长时间未使用且处于关闭状态的虚拟机，进行资源利用率统计，提升资源利用率。支持还原虚拟机到指定还原点状态，基于备份功能，虚拟机误删不影响还原功能，降低人为误操作带来的损失。</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易用性要求</w:t>
            </w:r>
          </w:p>
        </w:tc>
        <w:tc>
          <w:tcPr>
            <w:tcW w:type="dxa" w:w="1038"/>
          </w:tcPr>
          <w:p>
            <w:pPr>
              <w:pStyle w:val="null3"/>
            </w:pPr>
            <w:r>
              <w:rPr/>
              <w:t>支持配置USB设备直通，虚拟机可以访问主机上的USB设备；支持设置USB重定向，虚拟机跨主机迁移后仍能访问源主机的USB设备。支持管理界面设置从硬盘、光驱、网络等设备的引导顺序优先级。</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易用性要求</w:t>
            </w:r>
          </w:p>
        </w:tc>
        <w:tc>
          <w:tcPr>
            <w:tcW w:type="dxa" w:w="1038"/>
          </w:tcPr>
          <w:p>
            <w:pPr>
              <w:pStyle w:val="null3"/>
            </w:pPr>
            <w:r>
              <w:rPr/>
              <w:t>提供回收站功能，虚拟机等资源实例被删除后放置到回收站，允许再次恢复使用或彻底销毁资源，支持批量操作；支持设置回收策略，以及设置实例在回收站的保留时间。</w:t>
            </w:r>
          </w:p>
        </w:tc>
        <w:tc>
          <w:tcPr>
            <w:tcW w:type="dxa" w:w="1038"/>
          </w:tcPr>
          <w:p>
            <w:pPr>
              <w:pStyle w:val="null3"/>
            </w:pPr>
            <w:r>
              <w:rPr/>
              <w:t>否</w:t>
            </w:r>
          </w:p>
        </w:tc>
        <w:tc>
          <w:tcPr>
            <w:tcW w:type="dxa" w:w="1038"/>
          </w:tcPr>
          <w:p/>
        </w:tc>
      </w:tr>
      <w:tr>
        <w:tc>
          <w:tcPr>
            <w:tcW w:type="dxa" w:w="1038"/>
          </w:tcPr>
          <w:p>
            <w:pPr>
              <w:pStyle w:val="null3"/>
            </w:pPr>
            <w:r>
              <w:rPr/>
              <w:t>183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计算虚拟化</w:t>
            </w:r>
          </w:p>
        </w:tc>
        <w:tc>
          <w:tcPr>
            <w:tcW w:type="dxa" w:w="1038"/>
          </w:tcPr>
          <w:p>
            <w:pPr>
              <w:pStyle w:val="null3"/>
            </w:pPr>
            <w:r>
              <w:rPr/>
              <w:t>易用性要求</w:t>
            </w:r>
          </w:p>
        </w:tc>
        <w:tc>
          <w:tcPr>
            <w:tcW w:type="dxa" w:w="1038"/>
          </w:tcPr>
          <w:p>
            <w:pPr>
              <w:pStyle w:val="null3"/>
            </w:pPr>
            <w:r>
              <w:rPr/>
              <w:t>支持图形管理界面为运行中的虚拟机设置IP地址（不需重启虚拟机生效），帮助简化IP地址配置的复杂度。</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功能性要求</w:t>
            </w:r>
          </w:p>
        </w:tc>
        <w:tc>
          <w:tcPr>
            <w:tcW w:type="dxa" w:w="1038"/>
          </w:tcPr>
          <w:p>
            <w:pPr>
              <w:pStyle w:val="null3"/>
            </w:pPr>
            <w:r>
              <w:rPr/>
              <w:t>支持多种存储类型，包括本地目录、FC SAN、iSCSI SAN、NFS、分布式存储、共享文件系统等类型，管理界面提供便捷的设备IP接入配置和存储空间扫描，以及灵活将存储资源与宿主机关联；支持统一查看虚拟化平台接入的存储池列表，支持查看指定宿主机关联的存储池以及存储卷信息。支持存储池生命周期管理功能，支持增加、修改、删除存储池等操作。</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功能性要求</w:t>
            </w:r>
          </w:p>
        </w:tc>
        <w:tc>
          <w:tcPr>
            <w:tcW w:type="dxa" w:w="1038"/>
          </w:tcPr>
          <w:p>
            <w:pPr>
              <w:pStyle w:val="null3"/>
            </w:pPr>
            <w:r>
              <w:rPr/>
              <w:t>兼容IDE、SCSI、VIRTIO 磁盘协议；支持虚拟磁盘空间自动回收功能，无需对虚拟机文件系统进行任何改动。</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块存储功能要求</w:t>
            </w:r>
          </w:p>
        </w:tc>
        <w:tc>
          <w:tcPr>
            <w:tcW w:type="dxa" w:w="1038"/>
          </w:tcPr>
          <w:p>
            <w:pPr>
              <w:pStyle w:val="null3"/>
            </w:pPr>
            <w:r>
              <w:rPr/>
              <w:t>卷管理：支持卷管理操作，精简配置，按写入有效数据容量分配实际空间，在线扩容；支持卷QoS，支持在线调整QoS，实时生效。</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块存储功能要求</w:t>
            </w:r>
          </w:p>
        </w:tc>
        <w:tc>
          <w:tcPr>
            <w:tcW w:type="dxa" w:w="1038"/>
          </w:tcPr>
          <w:p>
            <w:pPr>
              <w:pStyle w:val="null3"/>
            </w:pPr>
            <w:r>
              <w:rPr/>
              <w:t>快照和克隆：支持秒级快照；支持快速克隆、完整克隆等多种克隆方式，实现虚拟机秒级启动。使用 ROW(Redirect on Write)快照技术，在连续快照/克隆负载下，性能变化幅度小于5%。</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块存储功能要求</w:t>
            </w:r>
          </w:p>
        </w:tc>
        <w:tc>
          <w:tcPr>
            <w:tcW w:type="dxa" w:w="1038"/>
          </w:tcPr>
          <w:p>
            <w:pPr>
              <w:pStyle w:val="null3"/>
            </w:pPr>
            <w:r>
              <w:rPr/>
              <w:t>支持冗余链路；支持iSCSI，FC和KVM原生访问，允许外部物理主机或应用通过标准的iSCSI接口访问虚拟存储，实现Server SAN和IP SAN的融合。</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数据保护：元数据采用分布式保护机制，分布在不同节点，在节点意外掉电、断网、宕机情况下，系统数据不会丢失，不会影响业务系统正常运行，并且不需要额外硬件对内存中元数据提供保护。</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副本策略及数据一致性要求：支持2~3副本数，支持在线修改副本数，采用条带化数据多副本机制保证数据可靠性，存储节点内不需要使用独立的热备盘，副本策略可任意选择。同一数据的多个副本能够分散到不同的磁盘/节点存储，各副本间保证数据的强一致性，支持多个副本的容错机制，副本数量可基于存储池或磁盘灵活设置。或支持多种纠删码保护机制，采用优选的EC算法，以少量的冗余信息保证数据可靠性，以CPU 计算时间换取空间，比多副本机制获得更多的有效存储容量。</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支持显示SSD物理磁盘磨损度寿命，运维用户可根据提示及时更换硬盘，避免导致系统故障，便于运维人员对指定磁盘进行维护更换。</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支持自定义存储策略，包括存储精简配置。存储策略的颗粒度可以具体到存储卷（LUN）等。</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端到端校验：所有存取请求携带校验并连同数据存储到介质，保证数据端到端的正确性。</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功能性指标要求</w:t>
            </w:r>
          </w:p>
        </w:tc>
        <w:tc>
          <w:tcPr>
            <w:tcW w:type="dxa" w:w="1038"/>
          </w:tcPr>
          <w:p>
            <w:pPr>
              <w:pStyle w:val="null3"/>
            </w:pPr>
            <w:r>
              <w:rPr/>
              <w:t>数据恢复QoS：在数据较长时间处于不一致状态时，例如节点丢失或副本丢失，系统会自动触发数据重建恢复。</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易用性指标要求</w:t>
            </w:r>
          </w:p>
        </w:tc>
        <w:tc>
          <w:tcPr>
            <w:tcW w:type="dxa" w:w="1038"/>
          </w:tcPr>
          <w:p>
            <w:pPr>
              <w:pStyle w:val="null3"/>
            </w:pPr>
            <w:r>
              <w:rPr/>
              <w:t>数据自动重建：支持数据自动重建机制，当主机或者磁盘故障后，自动利用集群内空闲磁盘空间，将故障数据重新恢复，能够快速恢复副本的完整性和冗余度，确保用户数据的可靠性和安全性。在数据自动重建过程中应有机制保障业务数据的正常使用。</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存储虚拟化</w:t>
            </w:r>
          </w:p>
        </w:tc>
        <w:tc>
          <w:tcPr>
            <w:tcW w:type="dxa" w:w="1038"/>
          </w:tcPr>
          <w:p>
            <w:pPr>
              <w:pStyle w:val="null3"/>
            </w:pPr>
            <w:r>
              <w:rPr/>
              <w:t>易用性指标要求</w:t>
            </w:r>
          </w:p>
        </w:tc>
        <w:tc>
          <w:tcPr>
            <w:tcW w:type="dxa" w:w="1038"/>
          </w:tcPr>
          <w:p>
            <w:pPr>
              <w:pStyle w:val="null3"/>
            </w:pPr>
            <w:r>
              <w:rPr/>
              <w:t>支持数据分层，提供好的读写性能，并支持对重要虚拟机提供性能保护。</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功能性要求</w:t>
            </w:r>
          </w:p>
        </w:tc>
        <w:tc>
          <w:tcPr>
            <w:tcW w:type="dxa" w:w="1038"/>
          </w:tcPr>
          <w:p>
            <w:pPr>
              <w:pStyle w:val="null3"/>
            </w:pPr>
            <w:r>
              <w:rPr/>
              <w:t>虚拟机之间的通信可以配置为通过同一主机的私有虚拟交换网络、不同主机之间的虚拟交换网络以及物理网卡和物理网络交换机的外部网络进行通信；提供虚拟交换机配置管理能力，单块网卡能够支持承载多个VLAN网络，且虚拟交换机要求基于主流的OpenvSwitch技术实现；在虚拟网络中基于IP和端口实现对集群内同主机和不同主机上虚拟间各类协议的访问控制。</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支持查看指定虚拟交换机的虚拟端口信息，包括虚拟端口对应的虚拟机、收发流量信息等。</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支持创建和管理分布式虚拟交换机，支持同一物理机上VM之间的网络隔离（支持VLAN）；支持基于虚拟交换机内置标准的NETflow协议，可以通过协议分析软件来分析目标IP和端口的流量信息。</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支持通过管理界面聚合绑定单个或多个物理网口（即BOND），无需命令行配置，支持查看物理网卡接口的活动状态、速率等信息。</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支持创建分布式虚拟防火墙，基于虚拟机构建安全防火墙，当虚拟机在不同的物理节点之间迁移时，安全策略随之移动。防火墙可根据源\目的IP和端口设置防火墙规则，支持TCP/UDP/ICMP或任意协议；支持配置安全组或同类功能，根据虚拟机出\入口的协议和端口范围设置安全组之间或安全组到网段之间的访问规则。</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提供负载均衡能力，支持单节点或双节点高可用部署，提供4层流量分发能力，支持最小连接/轮询/源IP等多种负载均衡策略，支持ping\http\https\tcp\等健康监控检查方式。</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网络虚拟化</w:t>
            </w:r>
          </w:p>
        </w:tc>
        <w:tc>
          <w:tcPr>
            <w:tcW w:type="dxa" w:w="1038"/>
          </w:tcPr>
          <w:p>
            <w:pPr>
              <w:pStyle w:val="null3"/>
            </w:pPr>
            <w:r>
              <w:rPr/>
              <w:t>可用性要求</w:t>
            </w:r>
          </w:p>
        </w:tc>
        <w:tc>
          <w:tcPr>
            <w:tcW w:type="dxa" w:w="1038"/>
          </w:tcPr>
          <w:p>
            <w:pPr>
              <w:pStyle w:val="null3"/>
            </w:pPr>
            <w:r>
              <w:rPr/>
              <w:t>虚拟机网卡支持virtio高速网卡、SR-IOV网卡等多种类型；支持启用/断开网络连接。</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安全可靠性要求</w:t>
            </w:r>
          </w:p>
        </w:tc>
        <w:tc>
          <w:tcPr>
            <w:tcW w:type="dxa" w:w="1038"/>
          </w:tcPr>
          <w:p>
            <w:pPr>
              <w:pStyle w:val="null3"/>
            </w:pPr>
            <w:r>
              <w:rPr/>
              <w:t>高可用性要求</w:t>
            </w:r>
          </w:p>
        </w:tc>
        <w:tc>
          <w:tcPr>
            <w:tcW w:type="dxa" w:w="1038"/>
          </w:tcPr>
          <w:p>
            <w:pPr>
              <w:pStyle w:val="null3"/>
            </w:pPr>
            <w:r>
              <w:rPr/>
              <w:t>为保证系统架构的可靠性，超融合虚拟化管理平台软件应具备较高的可用性，至少满足单台服务器或因硬盘、网卡、CPU等部件故障而不影响虚拟化平台和业务系统正常运行。</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安全可靠性要求</w:t>
            </w:r>
          </w:p>
        </w:tc>
        <w:tc>
          <w:tcPr>
            <w:tcW w:type="dxa" w:w="1038"/>
          </w:tcPr>
          <w:p>
            <w:pPr>
              <w:pStyle w:val="null3"/>
            </w:pPr>
            <w:r>
              <w:rPr/>
              <w:t>高可用性要求</w:t>
            </w:r>
          </w:p>
        </w:tc>
        <w:tc>
          <w:tcPr>
            <w:tcW w:type="dxa" w:w="1038"/>
          </w:tcPr>
          <w:p>
            <w:pPr>
              <w:pStyle w:val="null3"/>
            </w:pPr>
            <w:r>
              <w:rPr/>
              <w:t>支持全局HA功能，支持主机HA、虚拟机HA等高可用模式；支持集群HA高可用，故障主机上的虚拟机自动在集群内的其它宿主机上恢复运行；支持IPMI、存储心跳等多种检测和隔离方式，实现存储多路径功能；支持单个磁盘或单个存储节点故障时，不会导致数据的丢失或不可访问；支持单个网络端口故障或链路故障时提供自动切换的能力，保证业务访问的连续性。</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安全可靠性要求</w:t>
            </w:r>
          </w:p>
        </w:tc>
        <w:tc>
          <w:tcPr>
            <w:tcW w:type="dxa" w:w="1038"/>
          </w:tcPr>
          <w:p>
            <w:pPr>
              <w:pStyle w:val="null3"/>
            </w:pPr>
            <w:r>
              <w:rPr/>
              <w:t>高可用性要求</w:t>
            </w:r>
          </w:p>
        </w:tc>
        <w:tc>
          <w:tcPr>
            <w:tcW w:type="dxa" w:w="1038"/>
          </w:tcPr>
          <w:p>
            <w:pPr>
              <w:pStyle w:val="null3"/>
            </w:pPr>
            <w:r>
              <w:rPr/>
              <w:t>支持超融合虚拟化管理平台软件主备或分布式部署提升可靠性，保证平台管理能力的连续性；当单台管理节点出现故障时，不影响业务的运行以及HA高可用等能力，包括如不影响虚拟机的正常运行及其对外的网络连通性等，不影响虚拟机的创建、删除，虚拟化管理中心可通过简单重新安装等方式快速恢复对虚拟化平台的管理。对物理机上虚拟机信息的存放不依赖于虚拟化管理中心。</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安全可靠性要求</w:t>
            </w:r>
          </w:p>
        </w:tc>
        <w:tc>
          <w:tcPr>
            <w:tcW w:type="dxa" w:w="1038"/>
          </w:tcPr>
          <w:p>
            <w:pPr>
              <w:pStyle w:val="null3"/>
            </w:pPr>
            <w:r>
              <w:rPr/>
              <w:t>安全性要求</w:t>
            </w:r>
          </w:p>
        </w:tc>
        <w:tc>
          <w:tcPr>
            <w:tcW w:type="dxa" w:w="1038"/>
          </w:tcPr>
          <w:p>
            <w:pPr>
              <w:pStyle w:val="null3"/>
            </w:pPr>
            <w:r>
              <w:rPr/>
              <w:t>支持不少于三种用户身份角色，至少包括管理员、操作员、审计员角色；支持基于角色的访问控制，通过权限角色划分，保护系统访问安全；记录所有系统操作、维护、IP信息等。</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安全可靠性要求</w:t>
            </w:r>
          </w:p>
        </w:tc>
        <w:tc>
          <w:tcPr>
            <w:tcW w:type="dxa" w:w="1038"/>
          </w:tcPr>
          <w:p>
            <w:pPr>
              <w:pStyle w:val="null3"/>
            </w:pPr>
            <w:r>
              <w:rPr/>
              <w:t>安全性要求</w:t>
            </w:r>
          </w:p>
        </w:tc>
        <w:tc>
          <w:tcPr>
            <w:tcW w:type="dxa" w:w="1038"/>
          </w:tcPr>
          <w:p>
            <w:pPr>
              <w:pStyle w:val="null3"/>
            </w:pPr>
            <w:r>
              <w:rPr/>
              <w:t>支持与采购人提供的双因素认证系统对接。</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虚拟化管理中心为统一的中文界面管理软件，必须支持对所管理虚拟机的监控和管理功能（对虚拟机执行启动、重启、关机控制操作，对物理服务器执行启动、重启、关机控制操作）。</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具备虚拟化平台的各个层面的性能监控，包括主机集群、主机、虚拟机的性能健康状况，实时数据统计并记录历史数据，容量计量等。</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支持多种类型指标监控告警，用户可自定义告警阈值，内置指标默认阈值无需手工新建。支持告警等级配置。包括但不限于以下指标的监控告警：CPU、内存、存储；网络情况监控；磁盘使用率；存储介质读写IOPS和延迟监控。</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支持资源报表分类一键导出，包括资源池、集群、宿主机、虚拟机等维度，报表内应当包含资源运行状态、资源总量及使用状态、系统版本等信息。</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支持图形化界面进行系统配置管理，提供可以直接读取的资源分配率及资源使用率统计，包含CPU、内存、存储等；提供对系统当前配置信息的查看功能，版本管理、许可管理等功能；对节点可以执行添加，删除以及配置管理等操作；对存储池可执行创建、删除、扩展等操作。</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支持可视化运维：（1）支持展示资源运行状态、容量趋势、资源告警、负载TopN等统计信息；（2）支持查询虚拟化平台资源拓扑图，动态展示虚拟化资源池、集群、宿主机、虚拟机的关联关系。支持独立的大屏模块展示资源运行状态、资源告警、负载TopN等统计信息；（3）支持存储管理界面显示，基本信息包括：硬盘名称、状态、容量、已使用容量、硬盘介质、IO利用率等；（4）支持展示实时监控存储池IO流量情况，掌握系统准确情况。</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提供在线p2v、v2v迁移工具，支持业界主流的操作系统、公有云平台、虚拟化平台。包括但不限于VMware、Hyper-V等平台的迁移功能，提升被迁移业务平台的普适性、降低业务上云的难度，降低运维工作量。</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虚拟化管理中心提供API等管理接口，可以与第三方管理软件结合或二次开发。服务内容包括但不限于以下工作：提供管理控制台图形界面的定制开发、提供自动化运维脚本和工具的定制开发、提供与采购人其他系统对接的定制开发。</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事件通知：支持系统和用户触发产生的关键事件日志，包括记录重要的系统触发、操作员行为触发及系统关键事件等（系统触发如服务器、硬盘离线上线、存储池重平衡等，用户行为触发如创建、修改、删除资源等），便于排错、审计和跟踪，方便用户全方面掌控存储运行情况。同时支持事件日志导出。</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支持自定义告警通知，支持集成邮件和SNMP监控。</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监控和管理要求</w:t>
            </w:r>
          </w:p>
        </w:tc>
        <w:tc>
          <w:tcPr>
            <w:tcW w:type="dxa" w:w="1038"/>
          </w:tcPr>
          <w:p>
            <w:pPr>
              <w:pStyle w:val="null3"/>
            </w:pPr>
            <w:r>
              <w:rPr/>
              <w:t>监控和管理要求</w:t>
            </w:r>
          </w:p>
        </w:tc>
        <w:tc>
          <w:tcPr>
            <w:tcW w:type="dxa" w:w="1038"/>
          </w:tcPr>
          <w:p>
            <w:pPr>
              <w:pStyle w:val="null3"/>
            </w:pPr>
            <w:r>
              <w:rPr/>
              <w:t>全局搜索：支持对系统内所有资源的主机名、IP、类型、状态等进行信息搜索，列表信息排序及相应字段的过滤，允许快速访问关键资源。</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备份要求</w:t>
            </w:r>
          </w:p>
        </w:tc>
        <w:tc>
          <w:tcPr>
            <w:tcW w:type="dxa" w:w="1038"/>
          </w:tcPr>
          <w:p>
            <w:pPr>
              <w:pStyle w:val="null3"/>
            </w:pPr>
            <w:r>
              <w:rPr/>
              <w:t>备份要求</w:t>
            </w:r>
          </w:p>
        </w:tc>
        <w:tc>
          <w:tcPr>
            <w:tcW w:type="dxa" w:w="1038"/>
          </w:tcPr>
          <w:p>
            <w:pPr>
              <w:pStyle w:val="null3"/>
            </w:pPr>
            <w:r>
              <w:rPr/>
              <w:t>支持提供虚拟机的备份功能，制定备份策略，提供备份接口，能够与第三方备份软件兼容，对虚拟机进行集中备份。兼容现有市场上主流的第三方备份软件等，提供兼容性列表。</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备份要求</w:t>
            </w:r>
          </w:p>
        </w:tc>
        <w:tc>
          <w:tcPr>
            <w:tcW w:type="dxa" w:w="1038"/>
          </w:tcPr>
          <w:p>
            <w:pPr>
              <w:pStyle w:val="null3"/>
            </w:pPr>
            <w:r>
              <w:rPr/>
              <w:t>备份要求</w:t>
            </w:r>
          </w:p>
        </w:tc>
        <w:tc>
          <w:tcPr>
            <w:tcW w:type="dxa" w:w="1038"/>
          </w:tcPr>
          <w:p>
            <w:pPr>
              <w:pStyle w:val="null3"/>
            </w:pPr>
            <w:r>
              <w:rPr/>
              <w:t>策略驱动备份：通过时间频率，间隔策略，支持将保护资源备份到其他存储系统；支持用户灵活配置备份策略，可自定义备份文件保留时间。</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备份要求</w:t>
            </w:r>
          </w:p>
        </w:tc>
        <w:tc>
          <w:tcPr>
            <w:tcW w:type="dxa" w:w="1038"/>
          </w:tcPr>
          <w:p>
            <w:pPr>
              <w:pStyle w:val="null3"/>
            </w:pPr>
            <w:r>
              <w:rPr/>
              <w:t>备份要求</w:t>
            </w:r>
          </w:p>
        </w:tc>
        <w:tc>
          <w:tcPr>
            <w:tcW w:type="dxa" w:w="1038"/>
          </w:tcPr>
          <w:p>
            <w:pPr>
              <w:pStyle w:val="null3"/>
            </w:pPr>
            <w:r>
              <w:rPr/>
              <w:t>灾备恢复：可通过指定的保护平台获取备份的数据</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资质要求</w:t>
            </w:r>
          </w:p>
        </w:tc>
        <w:tc>
          <w:tcPr>
            <w:tcW w:type="dxa" w:w="1038"/>
          </w:tcPr>
          <w:p>
            <w:pPr>
              <w:pStyle w:val="null3"/>
            </w:pPr>
            <w:r>
              <w:rPr/>
              <w:t>产品资质</w:t>
            </w:r>
          </w:p>
        </w:tc>
        <w:tc>
          <w:tcPr>
            <w:tcW w:type="dxa" w:w="1038"/>
          </w:tcPr>
          <w:p>
            <w:pPr>
              <w:pStyle w:val="null3"/>
            </w:pPr>
            <w:r>
              <w:rPr/>
              <w:t>非OEM产品，要求计算虚拟化软件、存储虚拟化软件、网络虚拟化软件等属于同一品牌且完全自主研发，不接受第三方软件的整合，以保证功能的可靠性；厂家无任何官方材料（包括但不限于官方网站，技术白皮书，宣传材料等）宣称基于开源软件开发。</w:t>
            </w:r>
          </w:p>
        </w:tc>
        <w:tc>
          <w:tcPr>
            <w:tcW w:type="dxa" w:w="1038"/>
          </w:tcPr>
          <w:p>
            <w:pPr>
              <w:pStyle w:val="null3"/>
            </w:pPr>
            <w:r>
              <w:rPr/>
              <w:t>是</w:t>
            </w:r>
          </w:p>
        </w:tc>
        <w:tc>
          <w:tcPr>
            <w:tcW w:type="dxa" w:w="1038"/>
          </w:tcPr>
          <w:p>
            <w:pPr>
              <w:pStyle w:val="null3"/>
            </w:pPr>
            <w:r>
              <w:rPr/>
              <w:t>提供中华人民共和国国家版权局颁发的相关软件著作权证明并加盖投标人公章。</w:t>
            </w:r>
          </w:p>
        </w:tc>
      </w:tr>
      <w:tr>
        <w:tc>
          <w:tcPr>
            <w:tcW w:type="dxa" w:w="1038"/>
          </w:tcPr>
          <w:p>
            <w:pPr>
              <w:pStyle w:val="null3"/>
            </w:pPr>
            <w:r>
              <w:rPr/>
              <w:t>224</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资质要求</w:t>
            </w:r>
          </w:p>
        </w:tc>
        <w:tc>
          <w:tcPr>
            <w:tcW w:type="dxa" w:w="1038"/>
          </w:tcPr>
          <w:p>
            <w:pPr>
              <w:pStyle w:val="null3"/>
            </w:pPr>
            <w:r>
              <w:rPr/>
              <w:t>信创检测报告</w:t>
            </w:r>
          </w:p>
        </w:tc>
        <w:tc>
          <w:tcPr>
            <w:tcW w:type="dxa" w:w="1038"/>
          </w:tcPr>
          <w:p>
            <w:pPr>
              <w:pStyle w:val="null3"/>
            </w:pPr>
            <w:r>
              <w:rPr/>
              <w:t>提供工信部直属权威检测机构出具的超融合管理平台在信创平台的检测报告。</w:t>
            </w:r>
          </w:p>
        </w:tc>
        <w:tc>
          <w:tcPr>
            <w:tcW w:type="dxa" w:w="1038"/>
          </w:tcPr>
          <w:p>
            <w:pPr>
              <w:pStyle w:val="null3"/>
            </w:pPr>
            <w:r>
              <w:rPr/>
              <w:t>是</w:t>
            </w:r>
          </w:p>
        </w:tc>
        <w:tc>
          <w:tcPr>
            <w:tcW w:type="dxa" w:w="1038"/>
          </w:tcPr>
          <w:p>
            <w:pPr>
              <w:pStyle w:val="null3"/>
            </w:pPr>
            <w:r>
              <w:rPr/>
              <w:t>提供检测报告加盖投标人公章。</w:t>
            </w:r>
          </w:p>
        </w:tc>
      </w:tr>
      <w:tr>
        <w:tc>
          <w:tcPr>
            <w:tcW w:type="dxa" w:w="1038"/>
          </w:tcPr>
          <w:p>
            <w:pPr>
              <w:pStyle w:val="null3"/>
            </w:pPr>
            <w:r>
              <w:rPr/>
              <w:t>225</w:t>
            </w:r>
          </w:p>
        </w:tc>
        <w:tc>
          <w:tcPr>
            <w:tcW w:type="dxa" w:w="1038"/>
          </w:tcPr>
          <w:p>
            <w:pPr>
              <w:pStyle w:val="null3"/>
            </w:pPr>
            <w:r>
              <w:rPr/>
              <w:t>超融合虚拟化软件</w:t>
            </w:r>
          </w:p>
        </w:tc>
        <w:tc>
          <w:tcPr>
            <w:tcW w:type="dxa" w:w="1038"/>
          </w:tcPr>
          <w:p>
            <w:pPr>
              <w:pStyle w:val="null3"/>
            </w:pPr>
            <w:r>
              <w:rPr/>
              <w:t>#</w:t>
            </w:r>
          </w:p>
        </w:tc>
        <w:tc>
          <w:tcPr>
            <w:tcW w:type="dxa" w:w="1038"/>
          </w:tcPr>
          <w:p>
            <w:pPr>
              <w:pStyle w:val="null3"/>
            </w:pPr>
            <w:r>
              <w:rPr/>
              <w:t>资质要求</w:t>
            </w:r>
          </w:p>
        </w:tc>
        <w:tc>
          <w:tcPr>
            <w:tcW w:type="dxa" w:w="1038"/>
          </w:tcPr>
          <w:p>
            <w:pPr>
              <w:pStyle w:val="null3"/>
            </w:pPr>
            <w:r>
              <w:rPr/>
              <w:t>代码自主率</w:t>
            </w:r>
          </w:p>
        </w:tc>
        <w:tc>
          <w:tcPr>
            <w:tcW w:type="dxa" w:w="1038"/>
          </w:tcPr>
          <w:p>
            <w:pPr>
              <w:pStyle w:val="null3"/>
            </w:pPr>
            <w:r>
              <w:rPr/>
              <w:t>分别提供工信部直属权威检测机构2023年1月1日后出具的超融合系统及分布式存储系统代码自主率（ “未识别开源代码比例” ）检测报告，整体代码自主率不得低于90%（按行数或文件数统计）</w:t>
            </w:r>
          </w:p>
        </w:tc>
        <w:tc>
          <w:tcPr>
            <w:tcW w:type="dxa" w:w="1038"/>
          </w:tcPr>
          <w:p>
            <w:pPr>
              <w:pStyle w:val="null3"/>
            </w:pPr>
            <w:r>
              <w:rPr/>
              <w:t>是</w:t>
            </w:r>
          </w:p>
        </w:tc>
        <w:tc>
          <w:tcPr>
            <w:tcW w:type="dxa" w:w="1038"/>
          </w:tcPr>
          <w:p>
            <w:pPr>
              <w:pStyle w:val="null3"/>
            </w:pPr>
            <w:r>
              <w:rPr/>
              <w:t>提供检测报告加盖投标人公章。</w:t>
            </w:r>
          </w:p>
        </w:tc>
      </w:tr>
    </w:tbl>
    <w:p>
      <w:pPr>
        <w:pStyle w:val="null3"/>
        <w:jc w:val="both"/>
      </w:pPr>
      <w:r>
        <w:rPr/>
        <w:t>本商务要求共有“★”指标8个，”#”指标2个，“▲”指标7个。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交付货物和时间</w:t>
            </w:r>
          </w:p>
        </w:tc>
        <w:tc>
          <w:tcPr>
            <w:tcW w:type="dxa" w:w="1038"/>
          </w:tcPr>
          <w:p/>
        </w:tc>
        <w:tc>
          <w:tcPr>
            <w:tcW w:type="dxa" w:w="1038"/>
          </w:tcPr>
          <w:p>
            <w:pPr>
              <w:pStyle w:val="null3"/>
            </w:pPr>
            <w:r>
              <w:rPr/>
              <w:t>总公司与投标人签订上述产品的采购合同，投标人应在合同签订之日后按甲方要求30个工作日内提供所有产品，投标人派专人按照要求将货物运至招标人要求的最终目的地之时，视为货物的交付时间。</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交付地点</w:t>
            </w:r>
          </w:p>
        </w:tc>
        <w:tc>
          <w:tcPr>
            <w:tcW w:type="dxa" w:w="1038"/>
          </w:tcPr>
          <w:p/>
        </w:tc>
        <w:tc>
          <w:tcPr>
            <w:tcW w:type="dxa" w:w="1038"/>
          </w:tcPr>
          <w:p>
            <w:pPr>
              <w:pStyle w:val="null3"/>
            </w:pPr>
            <w:r>
              <w:rPr/>
              <w:t>招标人指定地点：交付地点为北京、无锡，按照甲方要求进行交付。</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根据《财政部发展改革委生态环境部市场监管总局关于调整优化节能产品、环境标志产品政府采购执行机制的通知》（财库〔</w:t>
            </w:r>
            <w:r>
              <w:rPr/>
              <w:t>2019〕9号）、《关于印发环境标志产品政府采购品目清单的通知》（财库〔2019〕18号）、《关于印发节能产品政府采购品目清单的通知》（财库〔2019〕19号），国家市场监督管理总局公告16号文有关规定，</w:t>
            </w:r>
            <w:r>
              <w:rPr/>
              <w:t>服务器属于《环境标志产品政府采购品目清单》中产品，投标时请提供所投产品的相关证书</w:t>
            </w:r>
            <w:r>
              <w:rPr/>
              <w:t>。</w:t>
            </w:r>
          </w:p>
        </w:tc>
        <w:tc>
          <w:tcPr>
            <w:tcW w:type="dxa" w:w="1038"/>
          </w:tcPr>
          <w:p>
            <w:pPr>
              <w:pStyle w:val="null3"/>
            </w:pPr>
            <w:r>
              <w:rPr/>
              <w:t>是</w:t>
            </w:r>
          </w:p>
        </w:tc>
        <w:tc>
          <w:tcPr>
            <w:tcW w:type="dxa" w:w="1038"/>
          </w:tcPr>
          <w:p>
            <w:pPr>
              <w:pStyle w:val="null3"/>
            </w:pPr>
            <w:r>
              <w:rPr/>
              <w:t>是，提供相关证书。</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质量保证</w:t>
            </w:r>
          </w:p>
        </w:tc>
        <w:tc>
          <w:tcPr>
            <w:tcW w:type="dxa" w:w="1038"/>
          </w:tcPr>
          <w:p/>
        </w:tc>
        <w:tc>
          <w:tcPr>
            <w:tcW w:type="dxa" w:w="1038"/>
          </w:tcPr>
          <w:p>
            <w:pPr>
              <w:pStyle w:val="null3"/>
            </w:pPr>
            <w:r>
              <w:rPr/>
              <w:t>1、提供的合同货物为全新的、完整的、未开封的、未使用过的货物，并且保证其性能和质量与合同规定相符。提供的技术资料是完整的、清晰和准确的。 2、提供的货物符合中华人民共和国国家相关标准、相关行业标准、合同技术规范以及原厂商质量标准，并在出厂前通过原厂商质量测试和检验。 3、在不增加新功能的情况下免费提供新软件的许可使用权。 4、提供准确、充足的技术服务及必要的技术培训，以满足安装、试运行、性能测试、运转及维护的要求。 5、在收到各报修或技术服务要求的通知后，承诺质量保证期内免费维修更换有缺陷的货物、部件或提供相应的质量保证期服务；如质量保证期外需投标人提供同等服务，投标人可以收取成本费（服务分项价格应不高于本期合同约定）。对造成招标人损失的，招标人保留索赔的权利。 6、在收到报修或技术服务要求的通知后，没有按照服务承诺弥补缺陷，招标人可采取必要的补救措施，但风险和费用应由投标人承担。同时，招标人仍有权根据合同规定向投标人行使其他权利。 7、投标人承诺货物不存在任何质量瑕疵和权利瑕疵。</w:t>
            </w:r>
          </w:p>
        </w:tc>
        <w:tc>
          <w:tcPr>
            <w:tcW w:type="dxa" w:w="1038"/>
          </w:tcPr>
          <w:p>
            <w:pPr>
              <w:pStyle w:val="null3"/>
            </w:pPr>
            <w:r>
              <w:rPr/>
              <w:t>是</w:t>
            </w:r>
          </w:p>
        </w:tc>
        <w:tc>
          <w:tcPr>
            <w:tcW w:type="dxa" w:w="1038"/>
          </w:tcPr>
          <w:p>
            <w:pPr>
              <w:pStyle w:val="null3"/>
            </w:pPr>
            <w:r>
              <w:rPr/>
              <w:t>是，提供服务承诺函并加盖投标人公章。</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包装及标记</w:t>
            </w:r>
          </w:p>
        </w:tc>
        <w:tc>
          <w:tcPr>
            <w:tcW w:type="dxa" w:w="1038"/>
          </w:tcPr>
          <w:p/>
        </w:tc>
        <w:tc>
          <w:tcPr>
            <w:tcW w:type="dxa" w:w="1038"/>
          </w:tcPr>
          <w:p>
            <w:pPr>
              <w:pStyle w:val="null3"/>
            </w:pPr>
            <w:r>
              <w:rPr/>
              <w:t>1、投标人提供的产品外包装必须小心恰当及坚固，适合长途运输需要，并具有防潮、防湿、防锈、防蚀和防震动的作用。 2、投标人应以醒目的中文印刷字体在各包装箱上标明通用规范的运输标记或标志，如项目名称、货物名称与合同号以及招标人和投标人双方名称等相关信息。 3、每个箱子侧面应清楚标明交货地点的全称；装箱单应清楚注明每个站点总箱数（如果分站点交货）；投标人应对包装箱内每件辅件进行标签，标明“备件”或“工具”及具体名称，并注明合同号、箱号及安装站。招标人有权不接收未按上述规定包装的合同设备、技术文件等。 4、有关的技术资料如样本、图纸、操作手册、维修指南及服务手册、产品产地证明书、质量保证书和系统操作说明书等应清晰、正确、完整，并应随同货物一起发运。</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到货验收</w:t>
            </w:r>
          </w:p>
        </w:tc>
        <w:tc>
          <w:tcPr>
            <w:tcW w:type="dxa" w:w="1038"/>
          </w:tcPr>
          <w:p/>
        </w:tc>
        <w:tc>
          <w:tcPr>
            <w:tcW w:type="dxa" w:w="1038"/>
          </w:tcPr>
          <w:p>
            <w:pPr>
              <w:pStyle w:val="null3"/>
            </w:pPr>
            <w:r>
              <w:rPr/>
              <w:t>1、货物运抵交货地点后，按照招标人要求，由招标人和投标人根据合同的规定及投标人提交的发货证明，对全部设备的品牌、型号、规格、数量、外型、包装及资料、装箱单、保修单、随箱介质等文件进行开箱检查验收，查验的内容包括货物包装、外观、数量等，如有异议应当场提出；如无异议，参与验货的双方应签署《到货验收合格单》，即为货物正式交付。货物正式交付之前，如果发生丢失、损害或毁坏等风险和费用，应由投标人承担。 2、投标人承诺提供设备是合同签订后按照最新的生产标准出厂的产品,若验货时发现货物数量不足或规格与合同规定不符，或开箱时虽然货物外包装完好无损但箱内货物短缺或损伤，由投标人负责免费解决，招标人保留索赔及退货权利，有权拒绝接收或决定暂时收取该批次货物，并在发现后及时记录，双方当场签字，作为投标人补/换货的依据。投标人应当在10日内补/换货，并按前述各项要求交付及验收。 3、货物交付后需在10个工作日内完成到货验收，如通过，双方签署《到货验收合格单》。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初步验收（安装调试验收）</w:t>
            </w:r>
          </w:p>
        </w:tc>
        <w:tc>
          <w:tcPr>
            <w:tcW w:type="dxa" w:w="1038"/>
          </w:tcPr>
          <w:p/>
        </w:tc>
        <w:tc>
          <w:tcPr>
            <w:tcW w:type="dxa" w:w="1038"/>
          </w:tcPr>
          <w:p>
            <w:pPr>
              <w:pStyle w:val="null3"/>
            </w:pPr>
            <w:r>
              <w:rPr/>
              <w:t>1、按照投标人要求完成进场、上架、加电测试，确认产品能正常工作。设备上架、加电以及本次项目涉及产品的集成服务可根据招标人需要由投标人完成。所有货物的加电（power on）自检验测试必须在其它测试前成功完成。若自检验不能正常通过，视为产品不合格。 2、设备安装调试完成后，投标人向招标人提供一份详细的验收报告，包括该产品系统联合调试成功、可正常运转的测量数据和资料，经过招标人的认可后，由招标人组织初验。初验合格后，双方签署《安装调试验收合格单》。 3、如果合同货物中的任何部分不能按照合同规定通过初验，投标人将采取一切补救措施以使初步验收测试能够在招标人要求的期限内进行，再次初验由投标人负担费用。投标人应根据合同的规定对再次初验造成的招标人的损失进行赔偿。产品测试中出现性能指标或功能上不符合要求的，或测试中出现不符合要求的严重质量问题时，招标人有权拒绝接收并保留索赔的权利。 4、自《到货验收合格单》签订之日起，需在30个工作日内完成初步验收。 初步验收完成后，进入不少于3个月不超过6个月的连续试运行。</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最终验收</w:t>
            </w:r>
          </w:p>
        </w:tc>
        <w:tc>
          <w:tcPr>
            <w:tcW w:type="dxa" w:w="1038"/>
          </w:tcPr>
          <w:p/>
        </w:tc>
        <w:tc>
          <w:tcPr>
            <w:tcW w:type="dxa" w:w="1038"/>
          </w:tcPr>
          <w:p>
            <w:pPr>
              <w:pStyle w:val="null3"/>
            </w:pPr>
            <w:r>
              <w:rPr/>
              <w:t>1、试运行期满可以进行终验。最终验收合格的条件必须至少满足以下3个要求：已提供了合同的全部产品和资料；试运行时间满足合同要求；性能测试和试运行时出现的问题已被解决。终验合格后，双方签署《最终验收合格单》。 2、如果合同货物中的任何部分不能通过最终验收，投标人将采取一切补救措施以使最终验收能够尽快再次进行，再次终验由投标人负担费用。投标人应根据合同的规定对再次终验造成的招标人的损失进行赔偿。如果最终验收失败次数超过3次或超过合同规定的有关期限，招标人有权拒绝验收，并按投标人违约处理。招标人除有权没收投标人履约保证金外，还有权追索由此造成工期延误而给招标人带来的经济损失。如果导致合同不能继续执行，招标人有权按退货索赔程序处理。 自《安装调试验收合格单》签订之日起，需在180个日历日内完成最终验收。</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1、质量保证期：从双方签署《安装调试验收合格单》起5年。投标人承诺所有硬件质保期内免费保修。 2、根据采购要求、设备需求及服务需求等制定备品备件供应方案（质保期内），并详细列出名称、类型、性能、数量、提供地点、放置地点、服务条款等内容，且必须是原设备厂商提供的原厂全新备件。 3、承诺在质量保证期内提供部分备用设备易损部件长期存放在招标人现场，以便在设备发生故障时能及时更换。 4、承诺原厂商在质保期内提供零配件的安装服务，质量保证期内安装的任何零配件必须是其厂家原产的或是经其认可的；所有的替代零配件必须是新的未使用和未经修复的,除非招标人提供书面许可，否则不可使用此范围外的其他（非新的）配件。</w:t>
            </w:r>
          </w:p>
        </w:tc>
        <w:tc>
          <w:tcPr>
            <w:tcW w:type="dxa" w:w="1038"/>
          </w:tcPr>
          <w:p>
            <w:pPr>
              <w:pStyle w:val="null3"/>
            </w:pPr>
            <w:r>
              <w:rPr/>
              <w:t>是</w:t>
            </w:r>
          </w:p>
        </w:tc>
        <w:tc>
          <w:tcPr>
            <w:tcW w:type="dxa" w:w="1038"/>
          </w:tcPr>
          <w:p>
            <w:pPr>
              <w:pStyle w:val="null3"/>
            </w:pPr>
            <w:r>
              <w:rPr/>
              <w:t>是，提供承诺函并加盖投标人公章。</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技术支持服务</w:t>
            </w:r>
          </w:p>
        </w:tc>
        <w:tc>
          <w:tcPr>
            <w:tcW w:type="dxa" w:w="1038"/>
          </w:tcPr>
          <w:p/>
        </w:tc>
        <w:tc>
          <w:tcPr>
            <w:tcW w:type="dxa" w:w="1038"/>
          </w:tcPr>
          <w:p>
            <w:pPr>
              <w:pStyle w:val="null3"/>
            </w:pPr>
            <w:r>
              <w:rPr/>
              <w:t>1、投标人承诺5年原厂软硬件技术支持服务：提供5年5×8×4小时原厂软硬件技术支持服务。硬件原厂制造商承诺所有硬件过免费保修期后按原价维修（按投标货物价格数量表所列价格，更换零部件的按合同签订时的零部件价格），响应速度同保修期响应速度。 2、投标人承诺提供7*24小时互联网/电子邮件技术支持、7*24小时远程电话支持；对招标人提出的预防性维护要求应在2小时内做出实质性响应，及时解决系统运行中的问题。对招标人提出的故障性维护要求应在0.5小时内做出实质性响应。（或在招标人要求的期限内及时解决系统运行中的问题。否则，由此而带来的损失，由投标人承担相应责任）。 3、对业务的正常运行造成重大影响的问题，如系统崩溃、无法启动、拒绝连接等，投标人需提供应急方案，方案至少包括以下内容：系统运行过程中如果发生故障，设备故障恢复时间在4小时内；招标人可要求投标人到现场提供服务，投标人必须在2小时内到达现场，故障修复时间应在4小时以内，并确保紧急故障下立即提供现场恢复服务；在接到招标人的故障通知后，若投标人未能按时到达，招标人有权要求乙方赔偿；系统运行过程中如果发生故障，投标人需启动公司的多层技术资源支持，帮助招标人排查问题，直到问题最终获得妥善处理；对于招标人系统的重要问题，投标人至少每天汇报一次问题解决情况；在整个系统设计没有单点故障的情况下，故障恢复期间应确保系统不中断。 4、投标人必须及时向招标人通报本产品中所采用软件产品的升级情况及升级建议，若招标人需要对软件升级，投标人应免费提供升级版本和相应的支持服务。如果因技术投标人未及时提供升级建议而给招标人带来损失，由投标人负责承担相应责任。对于原厂即将不再提供技术支持和维护升级的软件，需至少提前一年书面正式通知招标人。 5、协助招标人完成该产品日常维护工作,具体包括但不限于下述内容：所有设备产品技术支持服务；技术咨询服务；现场技术支持服务；不限次数的现场逻辑变更或配置服务；相关方案编写；产品升级服务（包括bug修复、现有版本升级等）、运行情况检查、性能调优、故障排除及故障排除所需要的原厂备件免费更换（含备件本身），其中，运行情况检查（深度巡检）服务每年至少提供2次，巡检时间由招标人指定；性能调优服务则须根据招标人调优需求来提供。</w:t>
            </w:r>
          </w:p>
        </w:tc>
        <w:tc>
          <w:tcPr>
            <w:tcW w:type="dxa" w:w="1038"/>
          </w:tcPr>
          <w:p>
            <w:pPr>
              <w:pStyle w:val="null3"/>
            </w:pPr>
            <w:r>
              <w:rPr/>
              <w:t>是</w:t>
            </w:r>
          </w:p>
        </w:tc>
        <w:tc>
          <w:tcPr>
            <w:tcW w:type="dxa" w:w="1038"/>
          </w:tcPr>
          <w:p>
            <w:pPr>
              <w:pStyle w:val="null3"/>
            </w:pPr>
            <w:r>
              <w:rPr/>
              <w:t>是，提供承诺函并加盖投标人公章。</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技术服务团队</w:t>
            </w:r>
          </w:p>
        </w:tc>
        <w:tc>
          <w:tcPr>
            <w:tcW w:type="dxa" w:w="1038"/>
          </w:tcPr>
          <w:p/>
        </w:tc>
        <w:tc>
          <w:tcPr>
            <w:tcW w:type="dxa" w:w="1038"/>
          </w:tcPr>
          <w:p>
            <w:pPr>
              <w:pStyle w:val="null3"/>
            </w:pPr>
            <w:r>
              <w:rPr/>
              <w:t>1、投标人应派遣有经验的技术人员组成项目组完成实施技术服务，包括但不限于文档编写、验证测试、设备安装、软硬件的调试和调优服务等。投标人需提供工作小组成员名单及联系方式（包括电话、手机、传真及电子邮件等），并且确定本项目的项目主管、集成人员、技术支持和售后服务人员，说明每个人的职责和角色，并体现在投标文件中。工作小组至少由5人组成，包括项目经理1人和至少技术人员4名。其中项目经理需8年以上工作经验，至少有两个以上和本项目同等规模的项目管理经验，技术人员需具备三年以上工作经验、相关专业技能和产品认证，技术人员需在投标人有1年以上的工作经验，对所投设备有一定了解，可对故障进行快速分析定位。项目实施过程中主要人员原则上不允许更换，如需更换，必须经招标人同意，且更换的人员必须与被更换人员具有相同的能力。整个项目周期内投标人主动更换项目小组人员不得超过总人数的50%。 2、投标人应安排技术人员，根据投标人需求完成各系统项目技术文档编写工作，包括但不限于规划、设计、实施、测试、上线、运维维护等技术手册。 3、投标人根据招标人需求提供项目组成员名单及联系方式（包括手机及电子邮件等），提供项目组成员资质、在本公司工作年限、社保等证明资料。 4、投标人项目组应协助、配合招标人的工作，按照招标人提出并经招标人同意的技术要求和实施计划要求，配合其开展工程实施工作。在工程实施过程中，服从招标人的统一管理，严格执行相关管理制度和标准规范，协调原广商技术人员参与工程实施。</w:t>
            </w:r>
          </w:p>
        </w:tc>
        <w:tc>
          <w:tcPr>
            <w:tcW w:type="dxa" w:w="1038"/>
          </w:tcPr>
          <w:p>
            <w:pPr>
              <w:pStyle w:val="null3"/>
            </w:pPr>
            <w:r>
              <w:rPr/>
              <w:t>是</w:t>
            </w:r>
          </w:p>
        </w:tc>
        <w:tc>
          <w:tcPr>
            <w:tcW w:type="dxa" w:w="1038"/>
          </w:tcPr>
          <w:p>
            <w:pPr>
              <w:pStyle w:val="null3"/>
            </w:pPr>
            <w:r>
              <w:rPr/>
              <w:t>是，提供承诺函并加盖投标人公章。</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产品技术培训</w:t>
            </w:r>
          </w:p>
        </w:tc>
        <w:tc>
          <w:tcPr>
            <w:tcW w:type="dxa" w:w="1038"/>
          </w:tcPr>
          <w:p/>
        </w:tc>
        <w:tc>
          <w:tcPr>
            <w:tcW w:type="dxa" w:w="1038"/>
          </w:tcPr>
          <w:p>
            <w:pPr>
              <w:pStyle w:val="null3"/>
            </w:pPr>
            <w:r>
              <w:rPr/>
              <w:t>承诺针对中标产品进行技术培训，包括但不限于开关机操作、健康检查、管理配置、故障排查等。</w:t>
            </w:r>
          </w:p>
        </w:tc>
        <w:tc>
          <w:tcPr>
            <w:tcW w:type="dxa" w:w="1038"/>
          </w:tcPr>
          <w:p>
            <w:pPr>
              <w:pStyle w:val="null3"/>
            </w:pPr>
            <w:r>
              <w:rPr/>
              <w:t>是</w:t>
            </w:r>
          </w:p>
        </w:tc>
        <w:tc>
          <w:tcPr>
            <w:tcW w:type="dxa" w:w="1038"/>
          </w:tcPr>
          <w:p>
            <w:pPr>
              <w:pStyle w:val="null3"/>
            </w:pPr>
            <w:r>
              <w:rPr/>
              <w:t>是，提供承诺函并加盖投标人公章。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所投产品案例</w:t>
            </w:r>
          </w:p>
        </w:tc>
        <w:tc>
          <w:tcPr>
            <w:tcW w:type="dxa" w:w="1038"/>
          </w:tcPr>
          <w:p/>
        </w:tc>
        <w:tc>
          <w:tcPr>
            <w:tcW w:type="dxa" w:w="1038"/>
          </w:tcPr>
          <w:p>
            <w:pPr>
              <w:pStyle w:val="null3"/>
            </w:pPr>
            <w:r>
              <w:rPr/>
              <w:t>投标人提供本标段所投产品自2020年1月1日起（以合同签订时间为准）的案例。 1、所投X86服务器同型号或同系列产品的任一应用案例，单个项目案例不低于100台。 2、所投超融合虚拟化软件同类产品的任一应用案例，单个项目案例不低于200C（单位为物理CPU颗数）</w:t>
            </w:r>
          </w:p>
        </w:tc>
        <w:tc>
          <w:tcPr>
            <w:tcW w:type="dxa" w:w="1038"/>
          </w:tcPr>
          <w:p>
            <w:pPr>
              <w:pStyle w:val="null3"/>
            </w:pPr>
            <w:r>
              <w:rPr/>
              <w:t>是</w:t>
            </w:r>
          </w:p>
        </w:tc>
        <w:tc>
          <w:tcPr>
            <w:tcW w:type="dxa" w:w="1038"/>
          </w:tcPr>
          <w:p>
            <w:pPr>
              <w:pStyle w:val="null3"/>
            </w:pPr>
            <w:r>
              <w:rPr/>
              <w:t>是，提供案例证明材料（采购合同关键页复印件），并加盖投标人公章。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资质情况</w:t>
            </w:r>
          </w:p>
        </w:tc>
        <w:tc>
          <w:tcPr>
            <w:tcW w:type="dxa" w:w="1038"/>
          </w:tcPr>
          <w:p/>
        </w:tc>
        <w:tc>
          <w:tcPr>
            <w:tcW w:type="dxa" w:w="1038"/>
          </w:tcPr>
          <w:p>
            <w:pPr>
              <w:pStyle w:val="null3"/>
            </w:pPr>
            <w:r>
              <w:rPr/>
              <w:t>投标人所投核心产品原厂商具有ISO9001系列质量管理体系认证、ISO20000服务管理体系认证和ITSS服务资质证明认证。</w:t>
            </w:r>
          </w:p>
        </w:tc>
        <w:tc>
          <w:tcPr>
            <w:tcW w:type="dxa" w:w="1038"/>
          </w:tcPr>
          <w:p>
            <w:pPr>
              <w:pStyle w:val="null3"/>
            </w:pPr>
            <w:r>
              <w:rPr/>
              <w:t>是</w:t>
            </w:r>
          </w:p>
        </w:tc>
        <w:tc>
          <w:tcPr>
            <w:tcW w:type="dxa" w:w="1038"/>
          </w:tcPr>
          <w:p>
            <w:pPr>
              <w:pStyle w:val="null3"/>
            </w:pPr>
            <w:r>
              <w:rPr/>
              <w:t>是，提供证书复印件。</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授权情况</w:t>
            </w:r>
          </w:p>
        </w:tc>
        <w:tc>
          <w:tcPr>
            <w:tcW w:type="dxa" w:w="1038"/>
          </w:tcPr>
          <w:p/>
        </w:tc>
        <w:tc>
          <w:tcPr>
            <w:tcW w:type="dxa" w:w="1038"/>
          </w:tcPr>
          <w:p>
            <w:pPr>
              <w:pStyle w:val="null3"/>
            </w:pPr>
            <w:r>
              <w:rPr/>
              <w:t>1、投标人出具所投产品的原厂商授权书原件，并加盖原厂商公章。 2、投标人出具所投产品的原厂商服务承诺函原件，并加盖原厂商公章。 3、投标人出具所投产品关键芯片（CPU 芯片）的生产厂商对本项目的芯片授权书，并加盖CPU厂商公章。</w:t>
            </w:r>
          </w:p>
        </w:tc>
        <w:tc>
          <w:tcPr>
            <w:tcW w:type="dxa" w:w="1038"/>
          </w:tcPr>
          <w:p>
            <w:pPr>
              <w:pStyle w:val="null3"/>
            </w:pPr>
            <w:r>
              <w:rPr/>
              <w:t>是</w:t>
            </w:r>
          </w:p>
        </w:tc>
        <w:tc>
          <w:tcPr>
            <w:tcW w:type="dxa" w:w="1038"/>
          </w:tcPr>
          <w:p>
            <w:pPr>
              <w:pStyle w:val="null3"/>
            </w:pPr>
            <w:r>
              <w:rPr/>
              <w:t>是，提供原厂授权或承诺函，并加盖原厂公章。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t>投标人提供详细、合理、可行的实施方案，实施方案应包括总体设计方案、实施计划与里程碑、项目质量管理、项目风险管理、售后服务方案等五部分。</w:t>
            </w:r>
          </w:p>
        </w:tc>
        <w:tc>
          <w:tcPr>
            <w:tcW w:type="dxa" w:w="1038"/>
          </w:tcPr>
          <w:p>
            <w:pPr>
              <w:pStyle w:val="null3"/>
            </w:pPr>
            <w:r>
              <w:rPr/>
              <w:t>是</w:t>
            </w:r>
          </w:p>
        </w:tc>
        <w:tc>
          <w:tcPr>
            <w:tcW w:type="dxa" w:w="1038"/>
          </w:tcPr>
          <w:p>
            <w:pPr>
              <w:pStyle w:val="null3"/>
            </w:pPr>
            <w:r>
              <w:rPr/>
              <w:t>是，提供实施方案，并加盖投标人公章。</w:t>
            </w:r>
          </w:p>
        </w:tc>
      </w:tr>
      <w:tr>
        <w:tc>
          <w:tcPr>
            <w:tcW w:type="dxa" w:w="1038"/>
          </w:tcPr>
          <w:p>
            <w:pPr>
              <w:pStyle w:val="null3"/>
            </w:pPr>
            <w:r>
              <w:rPr/>
              <w:t>17</w:t>
            </w:r>
          </w:p>
        </w:tc>
        <w:tc>
          <w:tcPr>
            <w:tcW w:type="dxa" w:w="1038"/>
          </w:tcPr>
          <w:p/>
        </w:tc>
        <w:tc>
          <w:tcPr>
            <w:tcW w:type="dxa" w:w="1038"/>
          </w:tcPr>
          <w:p>
            <w:pPr>
              <w:pStyle w:val="null3"/>
            </w:pPr>
            <w:r>
              <w:rPr/>
              <w:t>▲</w:t>
            </w:r>
          </w:p>
        </w:tc>
        <w:tc>
          <w:tcPr>
            <w:tcW w:type="dxa" w:w="1038"/>
          </w:tcPr>
          <w:p>
            <w:pPr>
              <w:pStyle w:val="null3"/>
            </w:pPr>
            <w:r>
              <w:rPr/>
              <w:t>售后服务</w:t>
            </w:r>
          </w:p>
        </w:tc>
        <w:tc>
          <w:tcPr>
            <w:tcW w:type="dxa" w:w="1038"/>
          </w:tcPr>
          <w:p/>
        </w:tc>
        <w:tc>
          <w:tcPr>
            <w:tcW w:type="dxa" w:w="1038"/>
          </w:tcPr>
          <w:p>
            <w:pPr>
              <w:pStyle w:val="null3"/>
            </w:pPr>
            <w:r>
              <w:rPr/>
              <w:t>投标人</w:t>
            </w:r>
            <w:r>
              <w:rPr/>
              <w:t>承诺</w:t>
            </w:r>
            <w:r>
              <w:rPr/>
              <w:t>所投产品</w:t>
            </w:r>
            <w:r>
              <w:rPr/>
              <w:t>提供</w:t>
            </w:r>
            <w:r>
              <w:rPr/>
              <w:t>5年原厂维保服务基础上，免费提供更长时间的原厂维保服务。</w:t>
            </w:r>
          </w:p>
        </w:tc>
        <w:tc>
          <w:tcPr>
            <w:tcW w:type="dxa" w:w="1038"/>
          </w:tcPr>
          <w:p>
            <w:pPr>
              <w:pStyle w:val="null3"/>
            </w:pPr>
            <w:r>
              <w:rPr/>
              <w:t>是</w:t>
            </w:r>
          </w:p>
        </w:tc>
        <w:tc>
          <w:tcPr>
            <w:tcW w:type="dxa" w:w="1038"/>
          </w:tcPr>
          <w:p>
            <w:pPr>
              <w:pStyle w:val="null3"/>
            </w:pPr>
            <w:r>
              <w:rPr/>
              <w:t>是，提供承诺函，并加盖原厂公章。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到货验收付款</w:t>
            </w:r>
          </w:p>
        </w:tc>
        <w:tc>
          <w:tcPr>
            <w:tcW w:type="dxa" w:w="1384"/>
          </w:tcPr>
          <w:p>
            <w:pPr>
              <w:pStyle w:val="null3"/>
              <w:jc w:val="left"/>
            </w:pPr>
            <w:r>
              <w:rPr/>
              <w:t>合同所列全部货物送达甲方指定地点，甲方对货物进行到货验收，合格后出具《到货验收合格单》，甲方在收到乙方提供的与本次付款金额等值的增值税专用发票后十（10）个工作日内，向乙方支付合同总金额的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初步验收付款</w:t>
            </w:r>
          </w:p>
        </w:tc>
        <w:tc>
          <w:tcPr>
            <w:tcW w:type="dxa" w:w="1384"/>
          </w:tcPr>
          <w:p>
            <w:pPr>
              <w:pStyle w:val="null3"/>
              <w:jc w:val="left"/>
            </w:pPr>
            <w:r>
              <w:rPr/>
              <w:t>合同所列全部货物完成安装、调试等服务，甲方对货物进行初步验收，合格后出具《安装调试验收合格单》，甲方在收到乙方提供的与本次付款金额等值的增值税专用发票后十（10）个工作日内，向乙方支付合同总金额的 40% （百分之四十）。</w:t>
            </w:r>
          </w:p>
        </w:tc>
        <w:tc>
          <w:tcPr>
            <w:tcW w:type="dxa" w:w="1384"/>
          </w:tcPr>
          <w:p>
            <w:pPr>
              <w:pStyle w:val="null3"/>
              <w:jc w:val="left"/>
            </w:pPr>
            <w:r>
              <w:rPr/>
              <w:t>40.00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最终验收付款</w:t>
            </w:r>
          </w:p>
        </w:tc>
        <w:tc>
          <w:tcPr>
            <w:tcW w:type="dxa" w:w="1384"/>
          </w:tcPr>
          <w:p>
            <w:pPr>
              <w:pStyle w:val="null3"/>
              <w:jc w:val="left"/>
            </w:pPr>
            <w:r>
              <w:rPr/>
              <w:t>试运行完成后，甲方对货物进行最终验收，合格后出具《最终验收合格单》，甲方在收到乙方提供的与本次付款金额等值的增值税专用发票后十（10）个工作日内，向乙方支付合同总金额的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成方金融科技有限公司</w:t>
      </w:r>
    </w:p>
    <w:p>
      <w:pPr>
        <w:pStyle w:val="null3"/>
      </w:pPr>
      <w:r>
        <w:rPr/>
        <w:t>采购人（需求部门）拟邀请（</w:t>
      </w:r>
      <w:r>
        <w:rPr/>
        <w:t>）</w:t>
      </w:r>
    </w:p>
    <w:p>
      <w:pPr>
        <w:pStyle w:val="null3"/>
      </w:pPr>
      <w:r>
        <w:rPr/>
        <w:t>（2）验收时间</w:t>
      </w:r>
      <w:r>
        <w:rPr>
          <w:u w:val="single"/>
        </w:rPr>
        <w:t>交货时间：合同签订之日后按甲方要求30个工作日内提供所有产品。货物交付后10个工作日内完成到货验收，双方签署《到货验收合格单》。 初步验收时间：设备到货验收并安装调试完成后，甲方进行初步验收，合格后出具《安装调试验收合格单》。自《到货验收合格单》签订之日起，30个工作日内完成初步验收。 最终验收时间：试运行完成后，甲方对货物进行最终验收，合格后出具《最终验收合格单》。自《安装调试验收合格单》签订之日起，180个日历日内完成最终验收。 免费质量保证期：自开具《安装调试验收合格单》后起算起5年。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到货验收： 货物运抵本合同确定的交货地点后，按照甲方要求，由甲方和乙方根据合同的规定及乙方提交的发货证明，对全部设备的品牌、型号、规格、数量、外型、包装及资料、装箱单、保修单、随箱介质等文件进行开箱检查验收，查验的内容包括货物包装、外观、数量等，如有异议应当场提出；如无异议，参与验收的双方应签署《到货验收合格单》，即为货物正式交付。货物正式交付之前，如果发生丢失、损害或毁坏等风险和费用，应由乙方承担。 货物交付后需在10个工作日内完成到货验收，通过后双方签署《到货验收合格单》。 初步验收（安装调试验收）： 按照甲方要求完成进场、上架、加电测试，确认产品能正常工作。设备上架、加电以及本次项目涉及产品的集成服务可根据甲方需要由乙方完成。所有货物的加电（power on）自检验测试必须在其它测试前成功完成。若自检验不能正常通过，视为产品不合格。 设备安装调试完成后，乙方向甲方提供一份详细的验收报告，包括该产品系统联合调试成功、可正常运转的测量数据和资料，经过甲方认可后，由甲方组织初验。初验合格后，双方签署《安装调试验收合格单》。 自《到货验收合格单》签订之日起，需在30个工作日内完成初步验收。 初步验收完成后，进入不少于3个月不超过6个月的连续试运行。 最终验收： 试运行期满可以进行终验。最终验收合格的条件必须至少满足以下3个要求：（a）已提供了合同的全部产品和资料；（b）试运行时间满足合同要求；（c）性能测试和试运行时出现的问题已被解决。终验合格后，双方签署《最终验收合格单》。 自《安装调试验收合格单》签订之日起，需在180个日历日内完成最终验收。</w:t>
      </w:r>
    </w:p>
    <w:p>
      <w:pPr>
        <w:pStyle w:val="null3"/>
      </w:pPr>
      <w:r>
        <w:rPr/>
        <w:t>（5）验收内容</w:t>
      </w:r>
      <w:r>
        <w:rPr>
          <w:u w:val="single"/>
        </w:rPr>
        <w:t>同（4）</w:t>
      </w:r>
    </w:p>
    <w:p>
      <w:pPr>
        <w:pStyle w:val="null3"/>
      </w:pPr>
      <w:r>
        <w:rPr/>
        <w:t>（6）验收标准</w:t>
      </w:r>
      <w:r>
        <w:rPr>
          <w:u w:val="single"/>
        </w:rPr>
        <w:t>同（4）</w:t>
      </w:r>
    </w:p>
    <w:p>
      <w:pPr>
        <w:pStyle w:val="null3"/>
      </w:pPr>
      <w:r>
        <w:rPr/>
        <w:t>（7）其他事项（如有）</w:t>
      </w:r>
      <w:r>
        <w:rPr>
          <w:u w:val="single"/>
        </w:rPr>
        <w:t>/</w:t>
      </w:r>
      <w:r>
        <w:br/>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商务部分20.00分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实施方案</w:t>
            </w:r>
          </w:p>
        </w:tc>
        <w:tc>
          <w:tcPr>
            <w:tcW w:type="dxa" w:w="2769"/>
          </w:tcPr>
          <w:p>
            <w:pPr>
              <w:pStyle w:val="null3"/>
            </w:pPr>
            <w:r>
              <w:rPr/>
              <w:t>根据投标人提供的实施方案，就实施方案要素（总体设计方案、实施计划与里程碑、项目质量管理、项目风险管理、售后服务方案等五部分）齐全程度打分： 1.实施方案五部分要素齐全，得3分； 2.实施方案要素缺一部分，得2 分； 3.实施方案要素缺两部分，得1分； 4.实施方案要素缺三部分及以上，或未提供实施方案，得0 分。 本项指标为客观评价，满分3分。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满足技术指标情况</w:t>
            </w:r>
          </w:p>
        </w:tc>
        <w:tc>
          <w:tcPr>
            <w:tcW w:type="dxa" w:w="2769"/>
          </w:tcPr>
          <w:p>
            <w:pPr>
              <w:pStyle w:val="null3"/>
            </w:pPr>
            <w:r>
              <w:rPr/>
              <w:t>投标人需针对（四）技术商务要求中的（1）技术要求进行逐项应答： （1）不满足任何1条★（星号）条款的投标将被拒绝，不进入下一步评审； （2）每满足1条#（#号）条款的，得0.5分； （3）每满足1条△（△号）条款的，得0.4分； 本项最低得0分，最高得27.9分。</w:t>
            </w:r>
          </w:p>
        </w:tc>
        <w:tc>
          <w:tcPr>
            <w:tcW w:type="dxa" w:w="692"/>
          </w:tcPr>
          <w:p>
            <w:pPr>
              <w:pStyle w:val="null3"/>
              <w:jc w:val="right"/>
            </w:pPr>
            <w:r>
              <w:rPr/>
              <w:t>27.90</w:t>
            </w:r>
          </w:p>
        </w:tc>
        <w:tc>
          <w:tcPr>
            <w:tcW w:type="dxa" w:w="692"/>
          </w:tcPr>
          <w:p>
            <w:pPr>
              <w:pStyle w:val="null3"/>
            </w:pPr>
            <w:r>
              <w:rPr/>
              <w:t>客观</w:t>
            </w:r>
          </w:p>
        </w:tc>
      </w:tr>
      <w:tr>
        <w:tc>
          <w:tcPr>
            <w:tcW w:type="dxa" w:w="692"/>
            <w:vMerge/>
          </w:tcPr>
          <w:p/>
        </w:tc>
        <w:tc>
          <w:tcPr>
            <w:tcW w:type="dxa" w:w="2076"/>
          </w:tcPr>
          <w:p>
            <w:pPr>
              <w:pStyle w:val="null3"/>
            </w:pPr>
            <w:r>
              <w:rPr/>
              <w:t>满足商务指标情况</w:t>
            </w:r>
          </w:p>
        </w:tc>
        <w:tc>
          <w:tcPr>
            <w:tcW w:type="dxa" w:w="2769"/>
          </w:tcPr>
          <w:p>
            <w:pPr>
              <w:pStyle w:val="null3"/>
            </w:pPr>
            <w:r>
              <w:rPr/>
              <w:t>投标人需针对（四）技术商务要求中的（2）商务要求进行逐项应答： （1）不满足任何1条★（星号）条款的投标将被拒绝，不进入下一步评审； （2）每满足1条#（#号）条款的，得1.5分； （3）每满足1条△（△号）条款的（除商务要求第3、13至17项），得1.1分。； 本项最低得0分，最高得4.1分。</w:t>
            </w:r>
          </w:p>
        </w:tc>
        <w:tc>
          <w:tcPr>
            <w:tcW w:type="dxa" w:w="692"/>
          </w:tcPr>
          <w:p>
            <w:pPr>
              <w:pStyle w:val="null3"/>
              <w:jc w:val="right"/>
            </w:pPr>
            <w:r>
              <w:rPr/>
              <w:t>4.10</w:t>
            </w:r>
          </w:p>
        </w:tc>
        <w:tc>
          <w:tcPr>
            <w:tcW w:type="dxa" w:w="692"/>
          </w:tcPr>
          <w:p>
            <w:pPr>
              <w:pStyle w:val="null3"/>
            </w:pPr>
            <w:r>
              <w:rPr/>
              <w:t>客观</w:t>
            </w:r>
          </w:p>
        </w:tc>
      </w:tr>
      <w:tr>
        <w:tc>
          <w:tcPr>
            <w:tcW w:type="dxa" w:w="692"/>
            <w:vMerge/>
          </w:tcPr>
          <w:p/>
        </w:tc>
        <w:tc>
          <w:tcPr>
            <w:tcW w:type="dxa" w:w="2076"/>
          </w:tcPr>
          <w:p>
            <w:pPr>
              <w:pStyle w:val="null3"/>
            </w:pPr>
            <w:r>
              <w:rPr/>
              <w:t>售后服务</w:t>
            </w:r>
          </w:p>
        </w:tc>
        <w:tc>
          <w:tcPr>
            <w:tcW w:type="dxa" w:w="2769"/>
          </w:tcPr>
          <w:p>
            <w:pPr>
              <w:pStyle w:val="null3"/>
            </w:pPr>
            <w:r>
              <w:rPr/>
              <w:t>5年原厂质保服务基础上，所有投标产品每多1年免费原厂质保服务加2.5分，最多得5分。注：需要提供加盖原厂公章的承诺函，否则视为无效。</w:t>
            </w:r>
          </w:p>
        </w:tc>
        <w:tc>
          <w:tcPr>
            <w:tcW w:type="dxa" w:w="692"/>
          </w:tcPr>
          <w:p>
            <w:pPr>
              <w:pStyle w:val="null3"/>
              <w:jc w:val="right"/>
            </w:pPr>
            <w:r>
              <w:rPr/>
              <w:t>5.00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所投产品案例</w:t>
            </w:r>
          </w:p>
        </w:tc>
        <w:tc>
          <w:tcPr>
            <w:tcW w:type="dxa" w:w="2769"/>
          </w:tcPr>
          <w:p>
            <w:pPr>
              <w:pStyle w:val="null3"/>
            </w:pPr>
            <w:r>
              <w:rPr/>
              <w:t>根据提供本标段所投产品自2020年1月1日起（以合同签订时间为准）的案例情况，进行评分。 1.所投X86服务器同品牌，同型号或同系列产品的任一应用案例，单个项目案例不低于100台，每有1个案例得2分，最高得6分。 2.所投超融合虚拟化软件同品牌，同类产品的任一应用案例，单个项目案例不低于200C（单位为物理CPU颗数），每有1个有效案例得1分，最高得3分。 注： 1.同一甲方（同一甲方指的是XXX有限公司与其分公司，即XXX公司及其XXX分公司、XXX 分公司）案例不重复计分，合同乙方可以不是投标人；同一框架协议内所有订单视为一个案例。 2.案例证明材料应包含合同关键页复印件，复印件须能体现采供双方名称、盖章、采购数量、能够体现型号或系列以及性能的产品描述（如合同中未能体现该内容，可以在业绩合同后单独附型号、系列、性能的说明）、服务内容、服务时间等，加盖投标人公章。 3.以上案例均须提供所投设备与应用案例属于“同品牌，同型号或同系列”的原厂说明或证明文件，并加盖原厂公章；如未提供有效的证明材料，或专家无法依据所提供的材料判断是否得分的情况，一律按照不得分处理。</w:t>
            </w:r>
          </w:p>
        </w:tc>
        <w:tc>
          <w:tcPr>
            <w:tcW w:type="dxa" w:w="692"/>
          </w:tcPr>
          <w:p>
            <w:pPr>
              <w:pStyle w:val="null3"/>
              <w:jc w:val="right"/>
            </w:pPr>
            <w:r>
              <w:rPr/>
              <w:t>9.00</w:t>
            </w:r>
          </w:p>
        </w:tc>
        <w:tc>
          <w:tcPr>
            <w:tcW w:type="dxa" w:w="692"/>
          </w:tcPr>
          <w:p>
            <w:pPr>
              <w:pStyle w:val="null3"/>
            </w:pPr>
            <w:r>
              <w:rPr/>
              <w:t>客观</w:t>
            </w:r>
          </w:p>
        </w:tc>
      </w:tr>
      <w:tr>
        <w:tc>
          <w:tcPr>
            <w:tcW w:type="dxa" w:w="692"/>
            <w:vMerge/>
          </w:tcPr>
          <w:p/>
        </w:tc>
        <w:tc>
          <w:tcPr>
            <w:tcW w:type="dxa" w:w="2076"/>
          </w:tcPr>
          <w:p>
            <w:pPr>
              <w:pStyle w:val="null3"/>
            </w:pPr>
            <w:r>
              <w:rPr/>
              <w:t>资质情况</w:t>
            </w:r>
          </w:p>
        </w:tc>
        <w:tc>
          <w:tcPr>
            <w:tcW w:type="dxa" w:w="2769"/>
          </w:tcPr>
          <w:p>
            <w:pPr>
              <w:pStyle w:val="null3"/>
            </w:pPr>
            <w:r>
              <w:rPr/>
              <w:t>（1）所投核心产品原厂商具有ISO9001系列质量管理体系认证和ISO20000服务管理体系认证，每有1个有效证书，得0.5分，本项最高得1分； （2）投标人具备ITSS服务资质证明认证，得2分。 注：须提供证书复印件，否则视为无效。</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授权情况</w:t>
            </w:r>
          </w:p>
        </w:tc>
        <w:tc>
          <w:tcPr>
            <w:tcW w:type="dxa" w:w="2769"/>
          </w:tcPr>
          <w:p>
            <w:pPr>
              <w:pStyle w:val="null3"/>
            </w:pPr>
            <w:r>
              <w:rPr/>
              <w:t>（1）投标人如出具所投产品的原厂商授权书原件，并加盖原厂商公章，得2分，否则0分； （2）投标人如出具所投产品的原厂商服务承诺函原件，并加盖原厂商公章，得2分，否则0分；（3）投标人如出具所投产品关键芯片（CPU 芯片）的生产厂商对本项目的芯片授权书，并加盖CPU厂商公章，得3分，否则0分。</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环保要求</w:t>
            </w:r>
          </w:p>
        </w:tc>
        <w:tc>
          <w:tcPr>
            <w:tcW w:type="dxa" w:w="2769"/>
          </w:tcPr>
          <w:p>
            <w:pPr>
              <w:pStyle w:val="null3"/>
            </w:pPr>
            <w:r>
              <w:rPr/>
              <w:t>根据《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国家市场监督管理总局公告16号文有关规定， 服务器属于《环境标志产品政府采购品目清单》中产品， 提供了投标产品获得国家确定的认证机构出具的、处于有效期内的环境标志产品认证证书的，得 1 分，否则得 0 分。 注:投标人须提供其所投产品有效认证证书复印件并加盖投标人公章，否则不予认可。 说明: 1.在本处提供的证明材料如与投标人所投产品内容(品牌、型号、规格等)不符，视为无效。 2.如提供虚假材料，投标人须承担相应法律责任。 3.环境标志产品品目清单登陆中国政府采购网(www.ccgp.gov.cn)查询关于印发环境标志产品政府采购品目清单的通知(财库〔2019〕18 号)。</w:t>
            </w:r>
          </w:p>
        </w:tc>
        <w:tc>
          <w:tcPr>
            <w:tcW w:type="dxa" w:w="692"/>
          </w:tcPr>
          <w:p>
            <w:pPr>
              <w:pStyle w:val="null3"/>
              <w:jc w:val="right"/>
            </w:pPr>
            <w:r>
              <w:rPr/>
              <w:t>1.00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按如下公式计算得出各投标人的价格得分： 报价得分=（评分基准价/投标报价）×40，得分保留小数点后两位。 注：满足招标文件要求且投标人价格最低的投标报价为评分基准价。</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详见附件：技术条款第53条证明文件</w:t>
      </w:r>
    </w:p>
    <w:p>
      <w:pPr>
        <w:pStyle w:val="null3"/>
        <w:ind w:firstLine="960"/>
      </w:pPr>
      <w:r>
        <w:rPr/>
        <w:t>详见附件：技术条款第131条证明文件</w:t>
      </w:r>
    </w:p>
    <w:p>
      <w:pPr>
        <w:pStyle w:val="null3"/>
        <w:ind w:firstLine="960"/>
      </w:pPr>
      <w:r>
        <w:rPr/>
        <w:t>详见附件：技术条款第145条证明文件</w:t>
      </w:r>
    </w:p>
    <w:p>
      <w:pPr>
        <w:pStyle w:val="null3"/>
        <w:ind w:firstLine="960"/>
      </w:pPr>
      <w:r>
        <w:rPr/>
        <w:t>详见附件：技术条款第157条证明文件</w:t>
      </w:r>
    </w:p>
    <w:p>
      <w:pPr>
        <w:pStyle w:val="null3"/>
        <w:ind w:firstLine="960"/>
      </w:pPr>
      <w:r>
        <w:rPr/>
        <w:t>详见附件：技术条款第170条证明文件</w:t>
      </w:r>
    </w:p>
    <w:p>
      <w:pPr>
        <w:pStyle w:val="null3"/>
        <w:ind w:firstLine="960"/>
      </w:pPr>
      <w:r>
        <w:rPr/>
        <w:t>详见附件：技术条款第223条证明文件</w:t>
      </w:r>
    </w:p>
    <w:p>
      <w:pPr>
        <w:pStyle w:val="null3"/>
        <w:ind w:firstLine="960"/>
      </w:pPr>
      <w:r>
        <w:rPr/>
        <w:t>详见附件：技术条款第224条证明文件</w:t>
      </w:r>
    </w:p>
    <w:p>
      <w:pPr>
        <w:pStyle w:val="null3"/>
        <w:ind w:firstLine="960"/>
      </w:pPr>
      <w:r>
        <w:rPr/>
        <w:t>详见附件：技术条款第225条证明文件</w:t>
      </w:r>
    </w:p>
    <w:p>
      <w:pPr>
        <w:pStyle w:val="null3"/>
        <w:ind w:firstLine="960"/>
      </w:pPr>
      <w:r>
        <w:rPr/>
        <w:t>详见附件：商务条款第3条证明文件</w:t>
      </w:r>
    </w:p>
    <w:p>
      <w:pPr>
        <w:pStyle w:val="null3"/>
        <w:ind w:firstLine="960"/>
      </w:pPr>
      <w:r>
        <w:rPr/>
        <w:t>详见附件：商务条款第4条证明文件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详见附件：商务条款第17条证明文件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楷体" w:hAnsi="楷体" w:cs="楷体" w:eastAsia="楷体"/>
          <w:sz w:val="52"/>
          <w:b/>
        </w:rPr>
        <w:t>成方</w:t>
      </w:r>
      <w:r>
        <w:rPr>
          <w:rFonts w:ascii="楷体" w:hAnsi="楷体" w:cs="楷体" w:eastAsia="楷体"/>
          <w:sz w:val="52"/>
          <w:b/>
        </w:rPr>
        <w:t>金融科技有限公司</w:t>
      </w:r>
      <w:r>
        <w:br/>
      </w:r>
      <w:r>
        <w:rPr>
          <w:rFonts w:ascii="calibri" w:hAnsi="calibri" w:cs="calibri" w:eastAsia="calibri"/>
          <w:sz w:val="52"/>
          <w:b/>
        </w:rPr>
        <w:t>X86</w:t>
      </w:r>
      <w:r>
        <w:rPr>
          <w:rFonts w:ascii="楷体" w:hAnsi="楷体" w:cs="楷体" w:eastAsia="楷体"/>
          <w:sz w:val="52"/>
          <w:b/>
        </w:rPr>
        <w:t>服务器及虚拟化软件采购</w:t>
      </w:r>
      <w:r>
        <w:rPr>
          <w:rFonts w:ascii="楷体" w:hAnsi="楷体" w:cs="楷体" w:eastAsia="楷体"/>
          <w:sz w:val="52"/>
          <w:b/>
        </w:rPr>
        <w:t>项目</w:t>
      </w:r>
      <w:r>
        <w:br/>
      </w:r>
      <w:r>
        <w:rPr>
          <w:rFonts w:ascii="楷体" w:hAnsi="楷体" w:cs="楷体" w:eastAsia="楷体"/>
          <w:sz w:val="52"/>
          <w:b/>
        </w:rPr>
        <w:t>采购合同</w:t>
      </w:r>
    </w:p>
    <w:p>
      <w:pPr>
        <w:pStyle w:val="null3"/>
        <w:jc w:val="center"/>
      </w:pPr>
      <w:r>
        <w:rPr>
          <w:rFonts w:ascii="仿宋" w:hAnsi="仿宋" w:cs="仿宋" w:eastAsia="仿宋"/>
          <w:sz w:val="32"/>
        </w:rPr>
        <w:t>合同编号：</w:t>
      </w:r>
      <w:r>
        <w:rPr>
          <w:rFonts w:ascii="仿宋" w:hAnsi="仿宋" w:cs="仿宋" w:eastAsia="仿宋"/>
          <w:sz w:val="32"/>
        </w:rPr>
        <w:t>PT</w:t>
      </w:r>
      <w:r>
        <w:rPr>
          <w:rFonts w:ascii="仿宋" w:hAnsi="仿宋" w:cs="仿宋" w:eastAsia="仿宋"/>
          <w:sz w:val="32"/>
        </w:rPr>
        <w:t>202</w:t>
      </w:r>
      <w:r>
        <w:rPr>
          <w:rFonts w:ascii="仿宋" w:hAnsi="仿宋" w:cs="仿宋" w:eastAsia="仿宋"/>
          <w:sz w:val="32"/>
        </w:rPr>
        <w:t>X</w:t>
      </w:r>
      <w:r>
        <w:rPr>
          <w:rFonts w:ascii="仿宋" w:hAnsi="仿宋" w:cs="仿宋" w:eastAsia="仿宋"/>
          <w:sz w:val="32"/>
        </w:rPr>
        <w:t>0</w:t>
      </w:r>
      <w:r>
        <w:rPr>
          <w:rFonts w:ascii="仿宋" w:hAnsi="仿宋" w:cs="仿宋" w:eastAsia="仿宋"/>
          <w:sz w:val="32"/>
        </w:rPr>
        <w:t>XX</w:t>
      </w:r>
    </w:p>
    <w:p>
      <w:pPr>
        <w:pStyle w:val="null3"/>
        <w:jc w:val="center"/>
      </w:pPr>
      <w:r>
        <w:rPr>
          <w:rFonts w:ascii="仿宋" w:hAnsi="仿宋" w:cs="仿宋" w:eastAsia="仿宋"/>
          <w:sz w:val="30"/>
          <w:b/>
        </w:rPr>
        <w:t>甲方：成方金融科技有限公司</w:t>
      </w:r>
    </w:p>
    <w:p>
      <w:pPr>
        <w:pStyle w:val="null3"/>
        <w:jc w:val="center"/>
      </w:pPr>
      <w:r>
        <w:rPr>
          <w:rFonts w:ascii="仿宋" w:hAnsi="仿宋" w:cs="仿宋" w:eastAsia="仿宋"/>
          <w:sz w:val="30"/>
          <w:b/>
        </w:rPr>
        <w:t>乙方：</w:t>
      </w:r>
    </w:p>
    <w:p>
      <w:pPr>
        <w:pStyle w:val="null3"/>
      </w:pPr>
      <w:r>
        <w:rPr>
          <w:rFonts w:ascii="仿宋" w:hAnsi="仿宋" w:cs="仿宋" w:eastAsia="仿宋"/>
          <w:sz w:val="24"/>
          <w:b/>
        </w:rPr>
        <w:t>【信息页】</w:t>
      </w:r>
    </w:p>
    <w:p>
      <w:pPr>
        <w:pStyle w:val="null3"/>
        <w:jc w:val="both"/>
      </w:pPr>
      <w:r>
        <w:rPr>
          <w:rFonts w:ascii="仿宋" w:hAnsi="仿宋" w:cs="仿宋" w:eastAsia="仿宋"/>
          <w:sz w:val="24"/>
        </w:rPr>
        <w:t>甲方：成方金融科技有限公司</w:t>
      </w:r>
    </w:p>
    <w:p>
      <w:pPr>
        <w:pStyle w:val="null3"/>
        <w:jc w:val="both"/>
      </w:pPr>
      <w:r>
        <w:rPr>
          <w:rFonts w:ascii="仿宋" w:hAnsi="仿宋" w:cs="仿宋" w:eastAsia="仿宋"/>
          <w:sz w:val="24"/>
        </w:rPr>
        <w:t>法定代表人：罗永忠</w:t>
      </w:r>
    </w:p>
    <w:p>
      <w:pPr>
        <w:pStyle w:val="null3"/>
        <w:jc w:val="both"/>
      </w:pPr>
      <w:r>
        <w:rPr>
          <w:rFonts w:ascii="仿宋" w:hAnsi="仿宋" w:cs="仿宋" w:eastAsia="仿宋"/>
          <w:sz w:val="24"/>
        </w:rPr>
        <w:t>纳税人识别号：</w:t>
      </w:r>
      <w:r>
        <w:rPr>
          <w:rFonts w:ascii="仿宋" w:hAnsi="仿宋" w:cs="仿宋" w:eastAsia="仿宋"/>
          <w:sz w:val="24"/>
        </w:rPr>
        <w:t>91110102MA01TX5Y6Y</w:t>
      </w:r>
    </w:p>
    <w:p>
      <w:pPr>
        <w:pStyle w:val="null3"/>
        <w:jc w:val="both"/>
      </w:pPr>
      <w:r>
        <w:rPr>
          <w:rFonts w:ascii="仿宋" w:hAnsi="仿宋" w:cs="仿宋" w:eastAsia="仿宋"/>
          <w:sz w:val="24"/>
        </w:rPr>
        <w:t>注册地址：北京市西城区德胜门外大街</w:t>
      </w:r>
      <w:r>
        <w:rPr>
          <w:rFonts w:ascii="仿宋" w:hAnsi="仿宋" w:cs="仿宋" w:eastAsia="仿宋"/>
          <w:sz w:val="24"/>
        </w:rPr>
        <w:t>81号11层1101</w:t>
      </w:r>
    </w:p>
    <w:p>
      <w:pPr>
        <w:pStyle w:val="null3"/>
        <w:jc w:val="both"/>
      </w:pPr>
      <w:r>
        <w:rPr>
          <w:rFonts w:ascii="仿宋" w:hAnsi="仿宋" w:cs="仿宋" w:eastAsia="仿宋"/>
          <w:sz w:val="24"/>
        </w:rPr>
        <w:t>联系电话：</w:t>
      </w:r>
      <w:r>
        <w:rPr>
          <w:rFonts w:ascii="仿宋" w:hAnsi="仿宋" w:cs="仿宋" w:eastAsia="仿宋"/>
          <w:sz w:val="24"/>
        </w:rPr>
        <w:t>010-82186527</w:t>
      </w:r>
    </w:p>
    <w:p>
      <w:pPr>
        <w:pStyle w:val="null3"/>
        <w:jc w:val="both"/>
      </w:pPr>
      <w:r>
        <w:rPr>
          <w:rFonts w:ascii="仿宋" w:hAnsi="仿宋" w:cs="仿宋" w:eastAsia="仿宋"/>
          <w:sz w:val="24"/>
        </w:rPr>
        <w:t>开户银行：招商银行股份有限公司北京分行营业部</w:t>
      </w:r>
    </w:p>
    <w:p>
      <w:pPr>
        <w:pStyle w:val="null3"/>
        <w:jc w:val="both"/>
      </w:pPr>
      <w:r>
        <w:rPr>
          <w:rFonts w:ascii="仿宋" w:hAnsi="仿宋" w:cs="仿宋" w:eastAsia="仿宋"/>
          <w:sz w:val="24"/>
        </w:rPr>
        <w:t>银行账号：</w:t>
      </w:r>
      <w:r>
        <w:rPr>
          <w:rFonts w:ascii="仿宋" w:hAnsi="仿宋" w:cs="仿宋" w:eastAsia="仿宋"/>
          <w:sz w:val="24"/>
        </w:rPr>
        <w:t>122912218910201</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法定代表人：</w:t>
      </w:r>
    </w:p>
    <w:p>
      <w:pPr>
        <w:pStyle w:val="null3"/>
        <w:jc w:val="both"/>
      </w:pPr>
      <w:r>
        <w:rPr>
          <w:rFonts w:ascii="仿宋" w:hAnsi="仿宋" w:cs="仿宋" w:eastAsia="仿宋"/>
          <w:sz w:val="24"/>
        </w:rPr>
        <w:t>账户名称：</w:t>
      </w:r>
    </w:p>
    <w:p>
      <w:pPr>
        <w:pStyle w:val="null3"/>
        <w:jc w:val="both"/>
      </w:pPr>
      <w:r>
        <w:rPr>
          <w:rFonts w:ascii="仿宋" w:hAnsi="仿宋" w:cs="仿宋" w:eastAsia="仿宋"/>
          <w:sz w:val="24"/>
        </w:rPr>
        <w:t>开户银行：</w:t>
      </w:r>
    </w:p>
    <w:p>
      <w:pPr>
        <w:pStyle w:val="null3"/>
        <w:jc w:val="both"/>
      </w:pPr>
      <w:r>
        <w:rPr>
          <w:rFonts w:ascii="仿宋" w:hAnsi="仿宋" w:cs="仿宋" w:eastAsia="仿宋"/>
          <w:sz w:val="24"/>
        </w:rPr>
        <w:t>银行账号：</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联系地址：</w:t>
      </w:r>
    </w:p>
    <w:p>
      <w:pPr>
        <w:pStyle w:val="null3"/>
      </w:pPr>
      <w:r>
        <w:rPr>
          <w:rFonts w:ascii="仿宋" w:hAnsi="仿宋" w:cs="仿宋" w:eastAsia="仿宋"/>
          <w:sz w:val="24"/>
        </w:rPr>
        <w:t>根据《中华人民共和国民法典》及相关法律法规之规定，</w:t>
      </w:r>
      <w:r>
        <w:rPr>
          <w:rFonts w:ascii="仿宋" w:hAnsi="仿宋" w:cs="仿宋" w:eastAsia="仿宋"/>
          <w:sz w:val="24"/>
        </w:rPr>
        <w:t>甲乙双方就</w:t>
      </w:r>
      <w:r>
        <w:rPr>
          <w:rFonts w:ascii="仿宋" w:hAnsi="仿宋" w:cs="仿宋" w:eastAsia="仿宋"/>
          <w:sz w:val="24"/>
        </w:rPr>
        <w:t>成方金融科技有限公司</w:t>
      </w:r>
      <w:r>
        <w:rPr>
          <w:rFonts w:ascii="仿宋" w:hAnsi="仿宋" w:cs="仿宋" w:eastAsia="仿宋"/>
          <w:sz w:val="24"/>
        </w:rPr>
        <w:t>XX采购项目项目（以下简称“本项目”）</w:t>
      </w:r>
      <w:r>
        <w:rPr>
          <w:rFonts w:ascii="仿宋" w:hAnsi="仿宋" w:cs="仿宋" w:eastAsia="仿宋"/>
          <w:sz w:val="24"/>
        </w:rPr>
        <w:t>相关事项，</w:t>
      </w:r>
      <w:r>
        <w:rPr>
          <w:rFonts w:ascii="仿宋" w:hAnsi="仿宋" w:cs="仿宋" w:eastAsia="仿宋"/>
          <w:sz w:val="24"/>
        </w:rPr>
        <w:t>本着平等互利、诚实信用的原则，</w:t>
      </w:r>
      <w:r>
        <w:rPr>
          <w:rFonts w:ascii="仿宋" w:hAnsi="仿宋" w:cs="仿宋" w:eastAsia="仿宋"/>
          <w:sz w:val="24"/>
        </w:rPr>
        <w:t>经协商一致，</w:t>
      </w:r>
      <w:r>
        <w:rPr>
          <w:rFonts w:ascii="仿宋" w:hAnsi="仿宋" w:cs="仿宋" w:eastAsia="仿宋"/>
          <w:sz w:val="24"/>
        </w:rPr>
        <w:t>现授权各自代表按照下述条款签订本合同</w:t>
      </w:r>
      <w:r>
        <w:rPr>
          <w:rFonts w:ascii="仿宋" w:hAnsi="仿宋" w:cs="仿宋" w:eastAsia="仿宋"/>
          <w:sz w:val="24"/>
        </w:rPr>
        <w:t>，以资双方信守执行。</w:t>
      </w:r>
    </w:p>
    <w:p>
      <w:pPr>
        <w:pStyle w:val="null3"/>
        <w:spacing w:before="150"/>
        <w:ind w:firstLine="482"/>
        <w:jc w:val="both"/>
      </w:pPr>
      <w:r>
        <w:rPr>
          <w:rFonts w:ascii="仿宋" w:hAnsi="仿宋" w:cs="仿宋" w:eastAsia="仿宋"/>
          <w:sz w:val="24"/>
          <w:b/>
        </w:rPr>
        <w:t>第一条</w:t>
      </w:r>
      <w:r>
        <w:rPr>
          <w:rFonts w:ascii="仿宋" w:hAnsi="仿宋" w:cs="仿宋" w:eastAsia="仿宋"/>
          <w:sz w:val="24"/>
          <w:b/>
        </w:rPr>
        <w:t>合同的组成</w:t>
      </w:r>
    </w:p>
    <w:p>
      <w:pPr>
        <w:pStyle w:val="null3"/>
        <w:ind w:firstLine="480"/>
        <w:jc w:val="both"/>
      </w:pPr>
      <w:r>
        <w:rPr>
          <w:rFonts w:ascii="仿宋" w:hAnsi="仿宋" w:cs="仿宋" w:eastAsia="仿宋"/>
          <w:sz w:val="24"/>
        </w:rPr>
        <w:t>1.1 下述文件是构成本合同不可分割的部分:</w:t>
      </w:r>
    </w:p>
    <w:p>
      <w:pPr>
        <w:pStyle w:val="null3"/>
        <w:ind w:firstLine="480"/>
        <w:jc w:val="both"/>
      </w:pPr>
      <w:r>
        <w:rPr>
          <w:rFonts w:ascii="仿宋" w:hAnsi="仿宋" w:cs="仿宋" w:eastAsia="仿宋"/>
          <w:sz w:val="24"/>
        </w:rPr>
        <w:t>（</w:t>
      </w:r>
      <w:r>
        <w:rPr>
          <w:rFonts w:ascii="仿宋" w:hAnsi="仿宋" w:cs="仿宋" w:eastAsia="仿宋"/>
          <w:sz w:val="24"/>
        </w:rPr>
        <w:t>1）本合同条款及其所有附件；</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calibri" w:hAnsi="calibri" w:cs="calibri" w:eastAsia="calibri"/>
          <w:sz w:val="21"/>
        </w:rPr>
        <w:t xml:space="preserve"> </w:t>
      </w:r>
      <w:r>
        <w:rPr>
          <w:rFonts w:ascii="仿宋" w:hAnsi="仿宋" w:cs="仿宋" w:eastAsia="仿宋"/>
          <w:sz w:val="24"/>
        </w:rPr>
        <w:t>经双方法定代表人或其授权代表签字并加盖单位公章确认的补充协议。</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）甲方的</w:t>
      </w:r>
      <w:r>
        <w:rPr>
          <w:rFonts w:ascii="仿宋" w:hAnsi="仿宋" w:cs="仿宋" w:eastAsia="仿宋"/>
          <w:sz w:val="24"/>
        </w:rPr>
        <w:t>采购</w:t>
      </w:r>
      <w:r>
        <w:rPr>
          <w:rFonts w:ascii="仿宋" w:hAnsi="仿宋" w:cs="仿宋" w:eastAsia="仿宋"/>
          <w:sz w:val="24"/>
        </w:rPr>
        <w:t>文件及澄清文件；</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）乙方的响应文件及质疑解答文件；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）成交通知书；</w:t>
      </w:r>
    </w:p>
    <w:p>
      <w:pPr>
        <w:pStyle w:val="null3"/>
        <w:ind w:firstLine="480"/>
        <w:jc w:val="both"/>
      </w:pPr>
      <w:r>
        <w:rPr>
          <w:rFonts w:ascii="仿宋" w:hAnsi="仿宋" w:cs="仿宋" w:eastAsia="仿宋"/>
          <w:sz w:val="24"/>
        </w:rPr>
        <w:t>（</w:t>
      </w:r>
      <w:r>
        <w:rPr>
          <w:rFonts w:ascii="仿宋" w:hAnsi="仿宋" w:cs="仿宋" w:eastAsia="仿宋"/>
          <w:sz w:val="24"/>
        </w:rPr>
        <w:t>6</w:t>
      </w:r>
      <w:r>
        <w:rPr>
          <w:rFonts w:ascii="仿宋" w:hAnsi="仿宋" w:cs="仿宋" w:eastAsia="仿宋"/>
          <w:sz w:val="24"/>
        </w:rPr>
        <w:t>）法定代表人授权书；</w:t>
      </w:r>
    </w:p>
    <w:p>
      <w:pPr>
        <w:pStyle w:val="null3"/>
        <w:ind w:firstLine="480"/>
        <w:jc w:val="both"/>
      </w:pPr>
      <w:r>
        <w:rPr>
          <w:rFonts w:ascii="仿宋" w:hAnsi="仿宋" w:cs="仿宋" w:eastAsia="仿宋"/>
          <w:sz w:val="24"/>
        </w:rPr>
        <w:t>（</w:t>
      </w:r>
      <w:r>
        <w:rPr>
          <w:rFonts w:ascii="仿宋" w:hAnsi="仿宋" w:cs="仿宋" w:eastAsia="仿宋"/>
          <w:sz w:val="24"/>
        </w:rPr>
        <w:t>7</w:t>
      </w:r>
      <w:r>
        <w:rPr>
          <w:rFonts w:ascii="仿宋" w:hAnsi="仿宋" w:cs="仿宋" w:eastAsia="仿宋"/>
          <w:sz w:val="24"/>
        </w:rPr>
        <w:t>）双方与合同有关的往来信函、传真经双方法定代表人或其授权代表签字并加盖单位公章确认后</w:t>
      </w:r>
      <w:r>
        <w:rPr>
          <w:rFonts w:ascii="仿宋" w:hAnsi="仿宋" w:cs="仿宋" w:eastAsia="仿宋"/>
          <w:sz w:val="24"/>
        </w:rPr>
        <w:t>，</w:t>
      </w:r>
      <w:r>
        <w:rPr>
          <w:rFonts w:ascii="仿宋" w:hAnsi="仿宋" w:cs="仿宋" w:eastAsia="仿宋"/>
          <w:sz w:val="24"/>
        </w:rPr>
        <w:t>视为本合同的组成部分；</w:t>
      </w:r>
    </w:p>
    <w:p>
      <w:pPr>
        <w:pStyle w:val="null3"/>
        <w:ind w:firstLine="480"/>
        <w:jc w:val="both"/>
      </w:pPr>
      <w:r>
        <w:rPr>
          <w:rFonts w:ascii="仿宋" w:hAnsi="仿宋" w:cs="仿宋" w:eastAsia="仿宋"/>
          <w:sz w:val="24"/>
        </w:rPr>
        <w:t>1.2 如果乙方的响应文件及质疑解答文件内容违背或低于甲方采购文件要求或任何可能导致影响当次采购目的的情形，均应当被视为乙方自动放弃响应文件及质疑解答文件中相应部分而同意以采购文件相应内容为准。如果乙方的响应文件及质疑解答文件内容高于甲方采购文件要求，则以乙方的响应文件及质疑解答文件内容为准。如果合同条款与合同附件有矛盾之处，以合同条款内容为准。如果合同附件之间有矛盾之处，以有利于甲方的附件内容为准。</w:t>
      </w:r>
    </w:p>
    <w:p>
      <w:pPr>
        <w:pStyle w:val="null3"/>
        <w:ind w:firstLine="480"/>
        <w:jc w:val="both"/>
      </w:pPr>
      <w:r>
        <w:rPr>
          <w:rFonts w:ascii="仿宋" w:hAnsi="仿宋" w:cs="仿宋" w:eastAsia="仿宋"/>
          <w:sz w:val="24"/>
        </w:rPr>
        <w:t>1.3 上述合同文件应能够相互解释、相互说明。如合同文件之间出现不一致，除本合同另有约定外，1.1条第（1）款至（6）款的排列顺序</w:t>
      </w:r>
      <w:r>
        <w:rPr>
          <w:rFonts w:ascii="仿宋" w:hAnsi="仿宋" w:cs="仿宋" w:eastAsia="仿宋"/>
          <w:sz w:val="24"/>
        </w:rPr>
        <w:t>即为</w:t>
      </w:r>
      <w:r>
        <w:rPr>
          <w:rFonts w:ascii="仿宋" w:hAnsi="仿宋" w:cs="仿宋" w:eastAsia="仿宋"/>
          <w:sz w:val="24"/>
        </w:rPr>
        <w:t>合同文件的优先解释顺序。</w:t>
      </w:r>
      <w:r>
        <w:rPr>
          <w:rFonts w:ascii="仿宋" w:hAnsi="仿宋" w:cs="仿宋" w:eastAsia="仿宋"/>
          <w:sz w:val="24"/>
        </w:rPr>
        <w:t>若</w:t>
      </w:r>
      <w:r>
        <w:rPr>
          <w:rFonts w:ascii="仿宋" w:hAnsi="仿宋" w:cs="仿宋" w:eastAsia="仿宋"/>
          <w:sz w:val="24"/>
        </w:rPr>
        <w:t>第（</w:t>
      </w:r>
      <w:r>
        <w:rPr>
          <w:rFonts w:ascii="仿宋" w:hAnsi="仿宋" w:cs="仿宋" w:eastAsia="仿宋"/>
          <w:sz w:val="24"/>
        </w:rPr>
        <w:t>2</w:t>
      </w:r>
      <w:r>
        <w:rPr>
          <w:rFonts w:ascii="仿宋" w:hAnsi="仿宋" w:cs="仿宋" w:eastAsia="仿宋"/>
          <w:sz w:val="24"/>
        </w:rPr>
        <w:t>）款中双方达成的补充协议</w:t>
      </w:r>
      <w:r>
        <w:rPr>
          <w:rFonts w:ascii="仿宋" w:hAnsi="仿宋" w:cs="仿宋" w:eastAsia="仿宋"/>
          <w:sz w:val="24"/>
        </w:rPr>
        <w:t>内容</w:t>
      </w:r>
      <w:r>
        <w:rPr>
          <w:rFonts w:ascii="仿宋" w:hAnsi="仿宋" w:cs="仿宋" w:eastAsia="仿宋"/>
          <w:sz w:val="24"/>
        </w:rPr>
        <w:t>与原合同存在不一致，以签订日期在后的为准。</w:t>
      </w:r>
    </w:p>
    <w:p>
      <w:pPr>
        <w:pStyle w:val="null3"/>
        <w:spacing w:before="150"/>
        <w:ind w:firstLine="482"/>
        <w:jc w:val="both"/>
      </w:pPr>
      <w:r>
        <w:rPr>
          <w:rFonts w:ascii="仿宋" w:hAnsi="仿宋" w:cs="仿宋" w:eastAsia="仿宋"/>
          <w:sz w:val="24"/>
          <w:b/>
        </w:rPr>
        <w:t>第二条</w:t>
      </w:r>
      <w:r>
        <w:rPr>
          <w:rFonts w:ascii="仿宋" w:hAnsi="仿宋" w:cs="仿宋" w:eastAsia="仿宋"/>
          <w:sz w:val="24"/>
          <w:b/>
        </w:rPr>
        <w:t>合同标的</w:t>
      </w:r>
    </w:p>
    <w:p>
      <w:pPr>
        <w:pStyle w:val="null3"/>
        <w:ind w:firstLine="480"/>
        <w:jc w:val="both"/>
      </w:pPr>
      <w:r>
        <w:rPr>
          <w:rFonts w:ascii="仿宋" w:hAnsi="仿宋" w:cs="仿宋" w:eastAsia="仿宋"/>
          <w:sz w:val="24"/>
        </w:rPr>
        <w:t>就</w:t>
      </w:r>
      <w:r>
        <w:rPr>
          <w:rFonts w:ascii="仿宋" w:hAnsi="仿宋" w:cs="仿宋" w:eastAsia="仿宋"/>
          <w:sz w:val="24"/>
        </w:rPr>
        <w:t>本</w:t>
      </w:r>
      <w:r>
        <w:rPr>
          <w:rFonts w:ascii="仿宋" w:hAnsi="仿宋" w:cs="仿宋" w:eastAsia="仿宋"/>
          <w:sz w:val="24"/>
        </w:rPr>
        <w:t>项目</w:t>
      </w:r>
      <w:r>
        <w:rPr>
          <w:rFonts w:ascii="仿宋" w:hAnsi="仿宋" w:cs="仿宋" w:eastAsia="仿宋"/>
          <w:sz w:val="24"/>
        </w:rPr>
        <w:t>，</w:t>
      </w:r>
      <w:r>
        <w:rPr>
          <w:rFonts w:ascii="仿宋" w:hAnsi="仿宋" w:cs="仿宋" w:eastAsia="仿宋"/>
          <w:sz w:val="24"/>
        </w:rPr>
        <w:t>乙方</w:t>
      </w:r>
      <w:r>
        <w:rPr>
          <w:rFonts w:ascii="仿宋" w:hAnsi="仿宋" w:cs="仿宋" w:eastAsia="仿宋"/>
          <w:sz w:val="24"/>
        </w:rPr>
        <w:t>向甲方</w:t>
      </w:r>
      <w:r>
        <w:rPr>
          <w:rFonts w:ascii="仿宋" w:hAnsi="仿宋" w:cs="仿宋" w:eastAsia="仿宋"/>
          <w:sz w:val="24"/>
        </w:rPr>
        <w:t>所提供的</w:t>
      </w:r>
      <w:r>
        <w:rPr>
          <w:rFonts w:ascii="仿宋" w:hAnsi="仿宋" w:cs="仿宋" w:eastAsia="仿宋"/>
          <w:sz w:val="24"/>
        </w:rPr>
        <w:t>产品、</w:t>
      </w:r>
      <w:r>
        <w:rPr>
          <w:rFonts w:ascii="仿宋" w:hAnsi="仿宋" w:cs="仿宋" w:eastAsia="仿宋"/>
          <w:sz w:val="24"/>
        </w:rPr>
        <w:t>服务内容及质量要求应满足本合同所规定的规范、服务要求及乙方对甲方的各项承诺。</w:t>
      </w:r>
      <w:r>
        <w:rPr>
          <w:rFonts w:ascii="仿宋" w:hAnsi="仿宋" w:cs="仿宋" w:eastAsia="仿宋"/>
          <w:sz w:val="24"/>
        </w:rPr>
        <w:t>产品及</w:t>
      </w:r>
      <w:r>
        <w:rPr>
          <w:rFonts w:ascii="仿宋" w:hAnsi="仿宋" w:cs="仿宋" w:eastAsia="仿宋"/>
          <w:sz w:val="24"/>
        </w:rPr>
        <w:t>服务具体要求等详见附件采购需求书，如</w:t>
      </w:r>
      <w:r>
        <w:rPr>
          <w:rFonts w:ascii="仿宋" w:hAnsi="仿宋" w:cs="仿宋" w:eastAsia="仿宋"/>
          <w:sz w:val="24"/>
        </w:rPr>
        <w:t>乙方承诺</w:t>
      </w:r>
      <w:r>
        <w:rPr>
          <w:rFonts w:ascii="仿宋" w:hAnsi="仿宋" w:cs="仿宋" w:eastAsia="仿宋"/>
          <w:sz w:val="24"/>
        </w:rPr>
        <w:t>提供更高技术或性能指标的产品或服务，</w:t>
      </w:r>
      <w:r>
        <w:rPr>
          <w:rFonts w:ascii="仿宋" w:hAnsi="仿宋" w:cs="仿宋" w:eastAsia="仿宋"/>
          <w:sz w:val="24"/>
        </w:rPr>
        <w:t>则以乙方承诺</w:t>
      </w:r>
      <w:r>
        <w:rPr>
          <w:rFonts w:ascii="仿宋" w:hAnsi="仿宋" w:cs="仿宋" w:eastAsia="仿宋"/>
          <w:sz w:val="24"/>
        </w:rPr>
        <w:t>为准。</w:t>
      </w:r>
    </w:p>
    <w:p>
      <w:pPr>
        <w:pStyle w:val="null3"/>
        <w:ind w:firstLine="480"/>
        <w:jc w:val="both"/>
      </w:pPr>
      <w:r>
        <w:rPr>
          <w:rFonts w:ascii="仿宋" w:hAnsi="仿宋" w:cs="仿宋" w:eastAsia="仿宋"/>
          <w:sz w:val="24"/>
        </w:rPr>
        <w:t>2</w:t>
      </w:r>
      <w:r>
        <w:rPr>
          <w:rFonts w:ascii="仿宋" w:hAnsi="仿宋" w:cs="仿宋" w:eastAsia="仿宋"/>
          <w:sz w:val="24"/>
        </w:rPr>
        <w:t>.1</w:t>
      </w:r>
      <w:r>
        <w:rPr>
          <w:rFonts w:ascii="仿宋" w:hAnsi="仿宋" w:cs="仿宋" w:eastAsia="仿宋"/>
          <w:sz w:val="24"/>
          <w:b/>
        </w:rPr>
        <w:t>交付时间</w:t>
      </w:r>
      <w:r>
        <w:rPr>
          <w:rFonts w:ascii="仿宋" w:hAnsi="仿宋" w:cs="仿宋" w:eastAsia="仿宋"/>
          <w:sz w:val="24"/>
        </w:rPr>
        <w:t>：</w:t>
      </w:r>
      <w:r>
        <w:rPr>
          <w:rFonts w:ascii="仿宋" w:hAnsi="仿宋" w:cs="仿宋" w:eastAsia="仿宋"/>
          <w:sz w:val="24"/>
        </w:rPr>
        <w:t>乙</w:t>
      </w:r>
      <w:r>
        <w:rPr>
          <w:rFonts w:ascii="仿宋" w:hAnsi="仿宋" w:cs="仿宋" w:eastAsia="仿宋"/>
          <w:sz w:val="24"/>
        </w:rPr>
        <w:t>方应在本合同签订之日起30个工作日内提供所有产品，乙方派专人按照合同要求将货物运至甲方要求的最终目的地并经甲方确认之时，视为货物的交付时间。</w:t>
      </w:r>
    </w:p>
    <w:p>
      <w:pPr>
        <w:pStyle w:val="null3"/>
        <w:ind w:firstLine="480"/>
        <w:jc w:val="both"/>
      </w:pPr>
      <w:r>
        <w:rPr>
          <w:rFonts w:ascii="仿宋" w:hAnsi="仿宋" w:cs="仿宋" w:eastAsia="仿宋"/>
          <w:sz w:val="24"/>
        </w:rPr>
        <w:t xml:space="preserve">2.2 </w:t>
      </w:r>
      <w:r>
        <w:rPr>
          <w:rFonts w:ascii="仿宋" w:hAnsi="仿宋" w:cs="仿宋" w:eastAsia="仿宋"/>
          <w:sz w:val="24"/>
          <w:b/>
        </w:rPr>
        <w:t>交付地点</w:t>
      </w:r>
      <w:r>
        <w:rPr>
          <w:rFonts w:ascii="仿宋" w:hAnsi="仿宋" w:cs="仿宋" w:eastAsia="仿宋"/>
          <w:sz w:val="24"/>
        </w:rPr>
        <w:t>：</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b/>
        </w:rPr>
        <w:t>交付要求</w:t>
      </w:r>
      <w:r>
        <w:rPr>
          <w:rFonts w:ascii="仿宋" w:hAnsi="仿宋" w:cs="仿宋" w:eastAsia="仿宋"/>
          <w:sz w:val="24"/>
        </w:rPr>
        <w:t>：</w:t>
      </w:r>
      <w:r>
        <w:rPr>
          <w:rFonts w:ascii="仿宋" w:hAnsi="仿宋" w:cs="仿宋" w:eastAsia="仿宋"/>
          <w:sz w:val="24"/>
        </w:rPr>
        <w:t>乙方应随同货物交付的同时向甲方提交标明货物内容的明细单以及合同要求的相关文件，包括但不限于合同货物、全部配件、装箱单、生产厂家的检验证书、质量合格证书（由生产厂商签发）、原产地出厂证明文件原件、产品使用说明书、保修单及其它应当随箱的技术资料等。</w:t>
      </w:r>
    </w:p>
    <w:p>
      <w:pPr>
        <w:pStyle w:val="null3"/>
        <w:spacing w:after="150"/>
        <w:ind w:firstLine="480"/>
        <w:jc w:val="both"/>
      </w:pPr>
      <w:r>
        <w:rPr>
          <w:rFonts w:ascii="仿宋" w:hAnsi="仿宋" w:cs="仿宋" w:eastAsia="仿宋"/>
          <w:sz w:val="24"/>
        </w:rPr>
        <w:t>2</w:t>
      </w:r>
      <w:r>
        <w:rPr>
          <w:rFonts w:ascii="仿宋" w:hAnsi="仿宋" w:cs="仿宋" w:eastAsia="仿宋"/>
          <w:sz w:val="24"/>
        </w:rPr>
        <w:t xml:space="preserve">.4 </w:t>
      </w:r>
      <w:r>
        <w:rPr>
          <w:rFonts w:ascii="仿宋" w:hAnsi="仿宋" w:cs="仿宋" w:eastAsia="仿宋"/>
          <w:sz w:val="24"/>
          <w:b/>
        </w:rPr>
        <w:t>本合同</w:t>
      </w:r>
      <w:r>
        <w:rPr>
          <w:rFonts w:ascii="仿宋" w:hAnsi="仿宋" w:cs="仿宋" w:eastAsia="仿宋"/>
          <w:sz w:val="24"/>
          <w:b/>
        </w:rPr>
        <w:t>标的明细如下</w:t>
      </w:r>
      <w:r>
        <w:rPr>
          <w:rFonts w:ascii="仿宋" w:hAnsi="仿宋" w:cs="仿宋" w:eastAsia="仿宋"/>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89"/>
        <w:gridCol w:w="1593"/>
        <w:gridCol w:w="1535"/>
        <w:gridCol w:w="1140"/>
        <w:gridCol w:w="1593"/>
        <w:gridCol w:w="1623"/>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品牌、型号</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单价（元</w:t>
            </w:r>
            <w:r>
              <w:rPr>
                <w:rFonts w:ascii="仿宋" w:hAnsi="仿宋" w:cs="仿宋" w:eastAsia="仿宋"/>
                <w:sz w:val="24"/>
              </w:rPr>
              <w:t>/台）</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小计（元）</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总价</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元（含税）</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备注</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4"/>
          <w:b/>
        </w:rPr>
        <w:t>第</w:t>
      </w:r>
      <w:r>
        <w:rPr>
          <w:rFonts w:ascii="仿宋" w:hAnsi="仿宋" w:cs="仿宋" w:eastAsia="仿宋"/>
          <w:sz w:val="24"/>
          <w:b/>
        </w:rPr>
        <w:t>三</w:t>
      </w:r>
      <w:r>
        <w:rPr>
          <w:rFonts w:ascii="仿宋" w:hAnsi="仿宋" w:cs="仿宋" w:eastAsia="仿宋"/>
          <w:sz w:val="24"/>
          <w:b/>
        </w:rPr>
        <w:t>条</w:t>
      </w:r>
      <w:r>
        <w:rPr>
          <w:rFonts w:ascii="仿宋" w:hAnsi="仿宋" w:cs="仿宋" w:eastAsia="仿宋"/>
          <w:sz w:val="24"/>
          <w:b/>
        </w:rPr>
        <w:t>合同金额及付款方式</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本合同总金额</w:t>
      </w:r>
      <w:r>
        <w:rPr>
          <w:rFonts w:ascii="仿宋" w:hAnsi="仿宋" w:cs="仿宋" w:eastAsia="仿宋"/>
          <w:sz w:val="24"/>
        </w:rPr>
        <w:t>：人民币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元整，大写：人民币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合同总价为固定不变价，包括税金、包装费、运输费、保险费等与履行本合同义务有关的所有费用，包括但不限于税款、包装费、运输费、劳务费等全部费用。</w:t>
      </w:r>
      <w:r>
        <w:rPr>
          <w:rFonts w:ascii="仿宋" w:hAnsi="仿宋" w:cs="仿宋" w:eastAsia="仿宋"/>
          <w:sz w:val="24"/>
        </w:rPr>
        <w:t>无论合同是否提及，合同总金额均包括了甲方依据本合同应向乙方支付的全部价款，甲方无须额外支付其他任何报酬或费用。</w:t>
      </w:r>
    </w:p>
    <w:p>
      <w:pPr>
        <w:pStyle w:val="null3"/>
        <w:ind w:firstLine="480"/>
        <w:jc w:val="both"/>
      </w:pPr>
      <w:r>
        <w:rPr>
          <w:rFonts w:ascii="仿宋" w:hAnsi="仿宋" w:cs="仿宋" w:eastAsia="仿宋"/>
          <w:sz w:val="24"/>
        </w:rPr>
        <w:t>【如有据实结算部分，请在本项列明，并在</w:t>
      </w:r>
      <w:r>
        <w:rPr>
          <w:rFonts w:ascii="仿宋" w:hAnsi="仿宋" w:cs="仿宋" w:eastAsia="仿宋"/>
          <w:sz w:val="24"/>
        </w:rPr>
        <w:t>3</w:t>
      </w:r>
      <w:r>
        <w:rPr>
          <w:rFonts w:ascii="仿宋" w:hAnsi="仿宋" w:cs="仿宋" w:eastAsia="仿宋"/>
          <w:sz w:val="24"/>
        </w:rPr>
        <w:t>.2</w:t>
      </w:r>
      <w:r>
        <w:rPr>
          <w:rFonts w:ascii="仿宋" w:hAnsi="仿宋" w:cs="仿宋" w:eastAsia="仿宋"/>
          <w:sz w:val="24"/>
        </w:rPr>
        <w:t>中明确相应的验收及付款时间。例如：履约过程中实际发生的</w:t>
      </w:r>
      <w:r>
        <w:rPr>
          <w:rFonts w:ascii="仿宋" w:hAnsi="仿宋" w:cs="仿宋" w:eastAsia="仿宋"/>
          <w:sz w:val="24"/>
        </w:rPr>
        <w:t>XX费用根据甲方验收的数量及本合同第二条约定的单价据实结算，据实结算数量不超过</w:t>
      </w:r>
      <w:r>
        <w:rPr>
          <w:rFonts w:ascii="calibri" w:hAnsi="calibri" w:cs="calibri" w:eastAsia="calibri"/>
          <w:sz w:val="21"/>
          <w:u w:val="single"/>
        </w:rPr>
        <w:t xml:space="preserve">     </w:t>
      </w:r>
      <w:r>
        <w:rPr>
          <w:rFonts w:ascii="仿宋" w:hAnsi="仿宋" w:cs="仿宋" w:eastAsia="仿宋"/>
          <w:sz w:val="24"/>
        </w:rPr>
        <w:t>台，据实结算金额不超过人民币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圆整）。如不涉及请删除此条】</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本合同按如下方式及比例支付：</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第一笔付款</w:t>
      </w:r>
    </w:p>
    <w:p>
      <w:pPr>
        <w:pStyle w:val="null3"/>
        <w:ind w:firstLine="480"/>
        <w:jc w:val="both"/>
      </w:pPr>
      <w:r>
        <w:rPr>
          <w:rFonts w:ascii="仿宋" w:hAnsi="仿宋" w:cs="仿宋" w:eastAsia="仿宋"/>
          <w:sz w:val="24"/>
        </w:rPr>
        <w:t>到货验收：</w:t>
      </w:r>
      <w:r>
        <w:rPr>
          <w:rFonts w:ascii="仿宋" w:hAnsi="仿宋" w:cs="仿宋" w:eastAsia="仿宋"/>
          <w:sz w:val="24"/>
        </w:rPr>
        <w:t>按甲方要求，合同所列全部产品到达甲方指定地点后，</w:t>
      </w:r>
      <w:r>
        <w:rPr>
          <w:rFonts w:ascii="仿宋" w:hAnsi="仿宋" w:cs="仿宋" w:eastAsia="仿宋"/>
          <w:sz w:val="24"/>
        </w:rPr>
        <w:t>甲方对货物进行到货验收，合格后出具《到货验收合格单》。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w:t>
      </w:r>
      <w:r>
        <w:rPr>
          <w:rFonts w:ascii="仿宋" w:hAnsi="仿宋" w:cs="仿宋" w:eastAsia="仿宋"/>
          <w:sz w:val="24"/>
        </w:rPr>
        <w:t>合同总金额的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第二笔付款</w:t>
      </w:r>
    </w:p>
    <w:p>
      <w:pPr>
        <w:pStyle w:val="null3"/>
        <w:ind w:firstLine="480"/>
        <w:jc w:val="both"/>
      </w:pPr>
      <w:r>
        <w:rPr>
          <w:rFonts w:ascii="仿宋" w:hAnsi="仿宋" w:cs="仿宋" w:eastAsia="仿宋"/>
          <w:sz w:val="24"/>
        </w:rPr>
        <w:t>初步验收：合同所列全部产品完成安装、调试等服务，甲方对货物进行设备安装调试验收，合格后出具《安装调试验收合格单》。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个工作日内，向乙方支付合同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40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仿宋" w:hAnsi="仿宋" w:cs="仿宋" w:eastAsia="仿宋"/>
          <w:sz w:val="24"/>
        </w:rPr>
        <w:t>3</w:t>
      </w:r>
      <w:r>
        <w:rPr>
          <w:rFonts w:ascii="calibri" w:hAnsi="calibri" w:cs="calibri" w:eastAsia="calibri"/>
          <w:sz w:val="21"/>
        </w:rPr>
        <w:t xml:space="preserve"> </w:t>
      </w:r>
      <w:r>
        <w:rPr>
          <w:rFonts w:ascii="仿宋" w:hAnsi="仿宋" w:cs="仿宋" w:eastAsia="仿宋"/>
          <w:sz w:val="24"/>
          <w:b/>
        </w:rPr>
        <w:t>第三笔付款</w:t>
      </w:r>
    </w:p>
    <w:p>
      <w:pPr>
        <w:pStyle w:val="null3"/>
        <w:ind w:firstLine="480"/>
        <w:jc w:val="both"/>
      </w:pPr>
      <w:r>
        <w:rPr>
          <w:rFonts w:ascii="仿宋" w:hAnsi="仿宋" w:cs="仿宋" w:eastAsia="仿宋"/>
          <w:sz w:val="24"/>
        </w:rPr>
        <w:t>最终验收</w:t>
      </w:r>
      <w:r>
        <w:rPr>
          <w:rFonts w:ascii="仿宋" w:hAnsi="仿宋" w:cs="仿宋" w:eastAsia="仿宋"/>
          <w:sz w:val="24"/>
          <w:b/>
        </w:rPr>
        <w:t>：</w:t>
      </w:r>
      <w:r>
        <w:rPr>
          <w:rFonts w:ascii="仿宋" w:hAnsi="仿宋" w:cs="仿宋" w:eastAsia="仿宋"/>
          <w:sz w:val="24"/>
        </w:rPr>
        <w:t>设备试运行</w:t>
      </w:r>
      <w:r>
        <w:rPr>
          <w:rFonts w:ascii="仿宋" w:hAnsi="仿宋" w:cs="仿宋" w:eastAsia="仿宋"/>
          <w:sz w:val="24"/>
        </w:rPr>
        <w:t>合格</w:t>
      </w:r>
      <w:r>
        <w:rPr>
          <w:rFonts w:ascii="仿宋" w:hAnsi="仿宋" w:cs="仿宋" w:eastAsia="仿宋"/>
          <w:sz w:val="24"/>
        </w:rPr>
        <w:t>后，甲方对货物进行最终验收，合格后出具《最终验收合格单》。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双方的银行账户等信息以本合同信息页提供的为准。任何一方如需改变上述信息，应提前</w:t>
      </w:r>
      <w:r>
        <w:rPr>
          <w:rFonts w:ascii="仿宋" w:hAnsi="仿宋" w:cs="仿宋" w:eastAsia="仿宋"/>
          <w:sz w:val="24"/>
        </w:rPr>
        <w:t>10日书面通知另一方并得到对方确认。如乙方未按本合同规定通知甲方或未获得甲方确认而未收到付款，甲方不再承担付款义务或任何责任。</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如乙方根据本合同约定有责任向甲方支付违约金、赔偿金时，甲方有权直接从上述付款中扣除该等款项并于事后通知乙方，该情形下应当视为甲方已经依约履行了合同约定的付款义务，而所扣乙方的款项金额未达到乙方依照其责任所应当向甲方支付的金额时，乙方仍应向甲方补足。同时，若乙方对甲方的扣款有异议而不能协商解决时，乙方应依照本合同关于解决争议的约定方式解决。但在存在或解决相关争议的期间，乙方不得停滞或减缓其合同的履行，否则因乙方停滞或减缓合同的履行所造成的任何损失均应当向甲方全部赔偿。</w:t>
      </w:r>
    </w:p>
    <w:p>
      <w:pPr>
        <w:pStyle w:val="null3"/>
        <w:spacing w:before="150"/>
        <w:ind w:firstLine="482"/>
        <w:jc w:val="both"/>
      </w:pPr>
      <w:r>
        <w:rPr>
          <w:rFonts w:ascii="仿宋" w:hAnsi="仿宋" w:cs="仿宋" w:eastAsia="仿宋"/>
          <w:sz w:val="24"/>
          <w:b/>
        </w:rPr>
        <w:t>第四条</w:t>
      </w:r>
      <w:r>
        <w:rPr>
          <w:rFonts w:ascii="仿宋" w:hAnsi="仿宋" w:cs="仿宋" w:eastAsia="仿宋"/>
          <w:sz w:val="24"/>
          <w:b/>
        </w:rPr>
        <w:t>质量保证</w:t>
      </w:r>
    </w:p>
    <w:p>
      <w:pPr>
        <w:pStyle w:val="null3"/>
        <w:ind w:firstLine="480"/>
        <w:jc w:val="both"/>
      </w:pPr>
      <w:r>
        <w:rPr>
          <w:rFonts w:ascii="仿宋" w:hAnsi="仿宋" w:cs="仿宋" w:eastAsia="仿宋"/>
          <w:sz w:val="24"/>
        </w:rPr>
        <w:t>4</w:t>
      </w:r>
      <w:r>
        <w:rPr>
          <w:rFonts w:ascii="仿宋" w:hAnsi="仿宋" w:cs="仿宋" w:eastAsia="仿宋"/>
          <w:sz w:val="24"/>
        </w:rPr>
        <w:t>.1 乙方保证其向甲方提供的合同货物为全新的、完整的、未开封的、未使用过的货物，并且保证其性能和质量与合同规定相符。乙方保证其所提供的技术资料是完整的、清晰和准确的，且符合本合同及附件的有关规定。</w:t>
      </w:r>
    </w:p>
    <w:p>
      <w:pPr>
        <w:pStyle w:val="null3"/>
        <w:ind w:firstLine="480"/>
        <w:jc w:val="both"/>
      </w:pPr>
      <w:r>
        <w:rPr>
          <w:rFonts w:ascii="仿宋" w:hAnsi="仿宋" w:cs="仿宋" w:eastAsia="仿宋"/>
          <w:sz w:val="24"/>
        </w:rPr>
        <w:t>4</w:t>
      </w:r>
      <w:r>
        <w:rPr>
          <w:rFonts w:ascii="仿宋" w:hAnsi="仿宋" w:cs="仿宋" w:eastAsia="仿宋"/>
          <w:sz w:val="24"/>
        </w:rPr>
        <w:t>.2 乙方保证提供的货物符合中华人民共和国国家相关标准、相关行业标准、合同技术规范以及原厂商质量标准，并在出厂前通过原厂商质量测试和检验。</w:t>
      </w:r>
    </w:p>
    <w:p>
      <w:pPr>
        <w:pStyle w:val="null3"/>
        <w:ind w:firstLine="480"/>
        <w:jc w:val="both"/>
      </w:pPr>
      <w:r>
        <w:rPr>
          <w:rFonts w:ascii="仿宋" w:hAnsi="仿宋" w:cs="仿宋" w:eastAsia="仿宋"/>
          <w:sz w:val="24"/>
        </w:rPr>
        <w:t>4</w:t>
      </w:r>
      <w:r>
        <w:rPr>
          <w:rFonts w:ascii="仿宋" w:hAnsi="仿宋" w:cs="仿宋" w:eastAsia="仿宋"/>
          <w:sz w:val="24"/>
        </w:rPr>
        <w:t>.3 如果乙方软件升级，甲方将免费获得新软件的许可使用权。</w:t>
      </w:r>
    </w:p>
    <w:p>
      <w:pPr>
        <w:pStyle w:val="null3"/>
        <w:ind w:firstLine="480"/>
        <w:jc w:val="both"/>
      </w:pPr>
      <w:r>
        <w:rPr>
          <w:rFonts w:ascii="仿宋" w:hAnsi="仿宋" w:cs="仿宋" w:eastAsia="仿宋"/>
          <w:sz w:val="24"/>
        </w:rPr>
        <w:t>4</w:t>
      </w:r>
      <w:r>
        <w:rPr>
          <w:rFonts w:ascii="仿宋" w:hAnsi="仿宋" w:cs="仿宋" w:eastAsia="仿宋"/>
          <w:sz w:val="24"/>
        </w:rPr>
        <w:t>.4 乙方保证按照甲方要求及时派出合格的技术人员提供准确、充足的技术服务及必要的技术培训，以满足本合同规定的安装、试运行、性能测试、运转及维护的要求。</w:t>
      </w:r>
      <w:r>
        <w:rPr>
          <w:rFonts w:ascii="仿宋" w:hAnsi="仿宋" w:cs="仿宋" w:eastAsia="仿宋"/>
          <w:sz w:val="24"/>
        </w:rPr>
        <w:t>培训的次数为【】，每次时长为【】，具体日期以甲方通知为准，同时甲方无需支付任何培训费用。</w:t>
      </w:r>
    </w:p>
    <w:p>
      <w:pPr>
        <w:pStyle w:val="null3"/>
        <w:ind w:firstLine="480"/>
        <w:jc w:val="both"/>
      </w:pPr>
      <w:r>
        <w:rPr>
          <w:rFonts w:ascii="仿宋" w:hAnsi="仿宋" w:cs="仿宋" w:eastAsia="仿宋"/>
          <w:sz w:val="24"/>
        </w:rPr>
        <w:t>4</w:t>
      </w:r>
      <w:r>
        <w:rPr>
          <w:rFonts w:ascii="仿宋" w:hAnsi="仿宋" w:cs="仿宋" w:eastAsia="仿宋"/>
          <w:sz w:val="24"/>
        </w:rPr>
        <w:t>.5 乙方应在收到各报修或技术服务要求的通知后，按照服务承诺，质量保证期内免费维修更换有缺陷的货物、部件或提供相应的质量保证期服务；</w:t>
      </w:r>
      <w:r>
        <w:rPr>
          <w:rFonts w:ascii="仿宋" w:hAnsi="仿宋" w:cs="仿宋" w:eastAsia="仿宋"/>
          <w:sz w:val="24"/>
        </w:rPr>
        <w:t>如</w:t>
      </w:r>
      <w:r>
        <w:rPr>
          <w:rFonts w:ascii="仿宋" w:hAnsi="仿宋" w:cs="仿宋" w:eastAsia="仿宋"/>
          <w:sz w:val="24"/>
        </w:rPr>
        <w:t>质量保证期外</w:t>
      </w:r>
      <w:r>
        <w:rPr>
          <w:rFonts w:ascii="仿宋" w:hAnsi="仿宋" w:cs="仿宋" w:eastAsia="仿宋"/>
          <w:sz w:val="24"/>
        </w:rPr>
        <w:t>需乙方</w:t>
      </w:r>
      <w:r>
        <w:rPr>
          <w:rFonts w:ascii="仿宋" w:hAnsi="仿宋" w:cs="仿宋" w:eastAsia="仿宋"/>
          <w:sz w:val="24"/>
        </w:rPr>
        <w:t>提供同等服务，</w:t>
      </w:r>
      <w:r>
        <w:rPr>
          <w:rFonts w:ascii="仿宋" w:hAnsi="仿宋" w:cs="仿宋" w:eastAsia="仿宋"/>
          <w:sz w:val="24"/>
        </w:rPr>
        <w:t>乙方</w:t>
      </w:r>
      <w:r>
        <w:rPr>
          <w:rFonts w:ascii="仿宋" w:hAnsi="仿宋" w:cs="仿宋" w:eastAsia="仿宋"/>
          <w:sz w:val="24"/>
        </w:rPr>
        <w:t>可以收取成本费（服务分项价格应不高于本期合同约定）。对造成甲方损失的，甲方保留索赔的权利。</w:t>
      </w:r>
    </w:p>
    <w:p>
      <w:pPr>
        <w:pStyle w:val="null3"/>
        <w:ind w:firstLine="480"/>
        <w:jc w:val="both"/>
      </w:pPr>
      <w:r>
        <w:rPr>
          <w:rFonts w:ascii="仿宋" w:hAnsi="仿宋" w:cs="仿宋" w:eastAsia="仿宋"/>
          <w:sz w:val="24"/>
        </w:rPr>
        <w:t>4</w:t>
      </w:r>
      <w:r>
        <w:rPr>
          <w:rFonts w:ascii="仿宋" w:hAnsi="仿宋" w:cs="仿宋" w:eastAsia="仿宋"/>
          <w:sz w:val="24"/>
        </w:rPr>
        <w:t>.6 如果乙方在收到报修或技术服务要求的通知后，没有按照服务承诺弥补缺陷，甲方可采取必要的补救措施，但风险和费用应由乙方承担</w:t>
      </w:r>
      <w:r>
        <w:rPr>
          <w:rFonts w:ascii="仿宋" w:hAnsi="仿宋" w:cs="仿宋" w:eastAsia="仿宋"/>
          <w:sz w:val="24"/>
        </w:rPr>
        <w:t>。</w:t>
      </w:r>
      <w:r>
        <w:rPr>
          <w:rFonts w:ascii="仿宋" w:hAnsi="仿宋" w:cs="仿宋" w:eastAsia="仿宋"/>
          <w:sz w:val="24"/>
        </w:rPr>
        <w:t>同时，甲方仍有权根据合同规定向乙方行使其他权利。</w:t>
      </w:r>
    </w:p>
    <w:p>
      <w:pPr>
        <w:pStyle w:val="null3"/>
        <w:ind w:firstLine="480"/>
        <w:jc w:val="both"/>
      </w:pPr>
      <w:r>
        <w:rPr>
          <w:rFonts w:ascii="仿宋" w:hAnsi="仿宋" w:cs="仿宋" w:eastAsia="仿宋"/>
          <w:sz w:val="24"/>
        </w:rPr>
        <w:t>4</w:t>
      </w:r>
      <w:r>
        <w:rPr>
          <w:rFonts w:ascii="仿宋" w:hAnsi="仿宋" w:cs="仿宋" w:eastAsia="仿宋"/>
          <w:sz w:val="24"/>
        </w:rPr>
        <w:t>.7 乙方保证货物不存在任何质量瑕疵和权利瑕疵。</w:t>
      </w:r>
    </w:p>
    <w:p>
      <w:pPr>
        <w:pStyle w:val="null3"/>
        <w:spacing w:before="150"/>
        <w:ind w:firstLine="482"/>
        <w:jc w:val="both"/>
      </w:pPr>
      <w:r>
        <w:rPr>
          <w:rFonts w:ascii="仿宋" w:hAnsi="仿宋" w:cs="仿宋" w:eastAsia="仿宋"/>
          <w:sz w:val="24"/>
          <w:b/>
        </w:rPr>
        <w:t>第五条</w:t>
      </w:r>
      <w:r>
        <w:rPr>
          <w:rFonts w:ascii="仿宋" w:hAnsi="仿宋" w:cs="仿宋" w:eastAsia="仿宋"/>
          <w:sz w:val="24"/>
          <w:b/>
        </w:rPr>
        <w:t>包装及标记</w:t>
      </w:r>
    </w:p>
    <w:p>
      <w:pPr>
        <w:pStyle w:val="null3"/>
        <w:ind w:firstLine="480"/>
        <w:jc w:val="both"/>
      </w:pPr>
      <w:r>
        <w:rPr>
          <w:rFonts w:ascii="仿宋" w:hAnsi="仿宋" w:cs="仿宋" w:eastAsia="仿宋"/>
          <w:sz w:val="24"/>
        </w:rPr>
        <w:t>5</w:t>
      </w:r>
      <w:r>
        <w:rPr>
          <w:rFonts w:ascii="仿宋" w:hAnsi="仿宋" w:cs="仿宋" w:eastAsia="仿宋"/>
          <w:sz w:val="24"/>
        </w:rPr>
        <w:t xml:space="preserve">.1 </w:t>
      </w:r>
      <w:r>
        <w:rPr>
          <w:rFonts w:ascii="仿宋" w:hAnsi="仿宋" w:cs="仿宋" w:eastAsia="仿宋"/>
          <w:sz w:val="24"/>
        </w:rPr>
        <w:t>乙方提供的产品外包装必须小心恰当及坚固，适合长途运输需要，并具有防潮、防湿、防锈、防蚀和防震动的作用，以确保产品不受损，包装费用由乙方自行承担。</w:t>
      </w:r>
    </w:p>
    <w:p>
      <w:pPr>
        <w:pStyle w:val="null3"/>
        <w:ind w:firstLine="480"/>
        <w:jc w:val="both"/>
      </w:pPr>
      <w:r>
        <w:rPr>
          <w:rFonts w:ascii="仿宋" w:hAnsi="仿宋" w:cs="仿宋" w:eastAsia="仿宋"/>
          <w:sz w:val="24"/>
        </w:rPr>
        <w:t>5</w:t>
      </w:r>
      <w:r>
        <w:rPr>
          <w:rFonts w:ascii="仿宋" w:hAnsi="仿宋" w:cs="仿宋" w:eastAsia="仿宋"/>
          <w:sz w:val="24"/>
        </w:rPr>
        <w:t>.2 乙方应以醒目的中文印刷字体在各包装箱上标明通用规范的运输标记或标志，如项目名称、货物名称与合同号以及甲乙双方名称等相关信息。</w:t>
      </w:r>
    </w:p>
    <w:p>
      <w:pPr>
        <w:pStyle w:val="null3"/>
        <w:ind w:firstLine="480"/>
        <w:jc w:val="both"/>
      </w:pPr>
      <w:r>
        <w:rPr>
          <w:rFonts w:ascii="仿宋" w:hAnsi="仿宋" w:cs="仿宋" w:eastAsia="仿宋"/>
          <w:sz w:val="24"/>
        </w:rPr>
        <w:t>5</w:t>
      </w:r>
      <w:r>
        <w:rPr>
          <w:rFonts w:ascii="仿宋" w:hAnsi="仿宋" w:cs="仿宋" w:eastAsia="仿宋"/>
          <w:sz w:val="24"/>
        </w:rPr>
        <w:t>.3 每个箱子侧面应清楚标明交货地点的全称；装箱单应清楚注明每个站点总箱数（如果分站点交货）；乙方应对包装箱内每件辅件进行标签，标明“备件”或“工具”及具体名称，并注明合同号、箱号及安装站。甲方有权不接收未按上述规定包装的合同设备、技术文件</w:t>
      </w:r>
      <w:r>
        <w:rPr>
          <w:rFonts w:ascii="仿宋" w:hAnsi="仿宋" w:cs="仿宋" w:eastAsia="仿宋"/>
          <w:sz w:val="24"/>
        </w:rPr>
        <w:t>等</w:t>
      </w:r>
      <w:r>
        <w:rPr>
          <w:rFonts w:ascii="仿宋" w:hAnsi="仿宋" w:cs="仿宋" w:eastAsia="仿宋"/>
          <w:sz w:val="24"/>
        </w:rPr>
        <w:t>。</w:t>
      </w:r>
    </w:p>
    <w:p>
      <w:pPr>
        <w:pStyle w:val="null3"/>
        <w:ind w:firstLine="480"/>
        <w:jc w:val="both"/>
      </w:pPr>
      <w:r>
        <w:rPr>
          <w:rFonts w:ascii="仿宋" w:hAnsi="仿宋" w:cs="仿宋" w:eastAsia="仿宋"/>
          <w:sz w:val="24"/>
        </w:rPr>
        <w:t>5</w:t>
      </w:r>
      <w:r>
        <w:rPr>
          <w:rFonts w:ascii="仿宋" w:hAnsi="仿宋" w:cs="仿宋" w:eastAsia="仿宋"/>
          <w:sz w:val="24"/>
        </w:rPr>
        <w:t>.4 有关的技术资料如样本、图纸、操作手册、维修指南及服务手册、产品产地证明书、质量保证书和系统操作说明书</w:t>
      </w:r>
      <w:r>
        <w:rPr>
          <w:rFonts w:ascii="仿宋" w:hAnsi="仿宋" w:cs="仿宋" w:eastAsia="仿宋"/>
          <w:sz w:val="24"/>
        </w:rPr>
        <w:t>、保修书</w:t>
      </w:r>
      <w:r>
        <w:rPr>
          <w:rFonts w:ascii="仿宋" w:hAnsi="仿宋" w:cs="仿宋" w:eastAsia="仿宋"/>
          <w:sz w:val="24"/>
        </w:rPr>
        <w:t>等应清晰、正确、完整，并应随同货物一起发运。</w:t>
      </w:r>
    </w:p>
    <w:p>
      <w:pPr>
        <w:pStyle w:val="null3"/>
        <w:spacing w:before="150"/>
        <w:ind w:firstLine="482"/>
        <w:jc w:val="both"/>
      </w:pPr>
      <w:r>
        <w:rPr>
          <w:rFonts w:ascii="仿宋" w:hAnsi="仿宋" w:cs="仿宋" w:eastAsia="仿宋"/>
          <w:sz w:val="24"/>
          <w:b/>
        </w:rPr>
        <w:t>第六条</w:t>
      </w:r>
      <w:r>
        <w:rPr>
          <w:rFonts w:ascii="仿宋" w:hAnsi="仿宋" w:cs="仿宋" w:eastAsia="仿宋"/>
          <w:sz w:val="24"/>
          <w:b/>
        </w:rPr>
        <w:t>货物的验收</w:t>
      </w:r>
    </w:p>
    <w:p>
      <w:pPr>
        <w:pStyle w:val="null3"/>
        <w:ind w:firstLine="480"/>
        <w:jc w:val="both"/>
      </w:pPr>
      <w:r>
        <w:rPr>
          <w:rFonts w:ascii="仿宋" w:hAnsi="仿宋" w:cs="仿宋" w:eastAsia="仿宋"/>
          <w:sz w:val="24"/>
        </w:rPr>
        <w:t xml:space="preserve">6.1 </w:t>
      </w:r>
      <w:r>
        <w:rPr>
          <w:rFonts w:ascii="仿宋" w:hAnsi="仿宋" w:cs="仿宋" w:eastAsia="仿宋"/>
          <w:sz w:val="24"/>
          <w:b/>
        </w:rPr>
        <w:t>到货验收</w:t>
      </w:r>
    </w:p>
    <w:p>
      <w:pPr>
        <w:pStyle w:val="null3"/>
        <w:ind w:firstLine="420"/>
        <w:jc w:val="both"/>
      </w:pPr>
      <w:r>
        <w:rPr>
          <w:rFonts w:ascii="仿宋" w:hAnsi="仿宋" w:cs="仿宋" w:eastAsia="仿宋"/>
          <w:sz w:val="24"/>
        </w:rPr>
        <w:t>（</w:t>
      </w:r>
      <w:r>
        <w:rPr>
          <w:rFonts w:ascii="仿宋" w:hAnsi="仿宋" w:cs="仿宋" w:eastAsia="仿宋"/>
          <w:sz w:val="24"/>
        </w:rPr>
        <w:t>1）货物运抵本合同确定的交货地点后，按照甲方要求，由甲方和乙方根据合同的规定及乙方提交的发货证明，对全部设备的品牌、型号、规格、数量、外形、包装及资料、装箱单、保修单、随箱介质等文件进行开箱检查验收，查验的内容包括货物包装、外观、数量等，如有异议应当场提出；如无异议，参与验收的双方应签署</w:t>
      </w:r>
      <w:r>
        <w:rPr>
          <w:rFonts w:ascii="仿宋" w:hAnsi="仿宋" w:cs="仿宋" w:eastAsia="仿宋"/>
          <w:sz w:val="24"/>
        </w:rPr>
        <w:t>《</w:t>
      </w:r>
      <w:r>
        <w:rPr>
          <w:rFonts w:ascii="仿宋" w:hAnsi="仿宋" w:cs="仿宋" w:eastAsia="仿宋"/>
          <w:sz w:val="24"/>
        </w:rPr>
        <w:t>到货验收合格单》</w:t>
      </w:r>
      <w:r>
        <w:rPr>
          <w:rFonts w:ascii="仿宋" w:hAnsi="仿宋" w:cs="仿宋" w:eastAsia="仿宋"/>
          <w:sz w:val="24"/>
        </w:rPr>
        <w:t>，即为货物正式交付。货物正式交付之前，如果发生丢失、损害或毁坏等风险和费用，应由乙方承担。</w:t>
      </w:r>
    </w:p>
    <w:p>
      <w:pPr>
        <w:pStyle w:val="null3"/>
        <w:ind w:firstLine="480"/>
        <w:jc w:val="both"/>
      </w:pPr>
      <w:r>
        <w:rPr>
          <w:rFonts w:ascii="仿宋" w:hAnsi="仿宋" w:cs="仿宋" w:eastAsia="仿宋"/>
          <w:sz w:val="24"/>
        </w:rPr>
        <w:t>（</w:t>
      </w:r>
      <w:r>
        <w:rPr>
          <w:rFonts w:ascii="仿宋" w:hAnsi="仿宋" w:cs="仿宋" w:eastAsia="仿宋"/>
          <w:sz w:val="24"/>
        </w:rPr>
        <w:t>2）乙方必须保证提供设备是合同签订后按照最新的生产标准出厂的产品</w:t>
      </w:r>
      <w:r>
        <w:rPr>
          <w:rFonts w:ascii="仿宋" w:hAnsi="仿宋" w:cs="仿宋" w:eastAsia="仿宋"/>
          <w:sz w:val="24"/>
        </w:rPr>
        <w:t>,若验货时发现货物数量不足或规格与合同规定不符，或开箱时虽然货物外包装完好无损但箱内货物短缺或损伤，由</w:t>
      </w:r>
      <w:r>
        <w:rPr>
          <w:rFonts w:ascii="仿宋" w:hAnsi="仿宋" w:cs="仿宋" w:eastAsia="仿宋"/>
          <w:sz w:val="24"/>
        </w:rPr>
        <w:t>乙方</w:t>
      </w:r>
      <w:r>
        <w:rPr>
          <w:rFonts w:ascii="仿宋" w:hAnsi="仿宋" w:cs="仿宋" w:eastAsia="仿宋"/>
          <w:sz w:val="24"/>
        </w:rPr>
        <w:t>负责免费解决，</w:t>
      </w:r>
      <w:r>
        <w:rPr>
          <w:rFonts w:ascii="仿宋" w:hAnsi="仿宋" w:cs="仿宋" w:eastAsia="仿宋"/>
          <w:sz w:val="24"/>
        </w:rPr>
        <w:t>甲方</w:t>
      </w:r>
      <w:r>
        <w:rPr>
          <w:rFonts w:ascii="仿宋" w:hAnsi="仿宋" w:cs="仿宋" w:eastAsia="仿宋"/>
          <w:sz w:val="24"/>
        </w:rPr>
        <w:t>保留索赔及退货权利，有权拒绝接收或决定暂时收取该批次货物，并在发现后及时记录，双方当场签字，作为</w:t>
      </w:r>
      <w:r>
        <w:rPr>
          <w:rFonts w:ascii="仿宋" w:hAnsi="仿宋" w:cs="仿宋" w:eastAsia="仿宋"/>
          <w:sz w:val="24"/>
        </w:rPr>
        <w:t>乙方</w:t>
      </w:r>
      <w:r>
        <w:rPr>
          <w:rFonts w:ascii="仿宋" w:hAnsi="仿宋" w:cs="仿宋" w:eastAsia="仿宋"/>
          <w:sz w:val="24"/>
        </w:rPr>
        <w:t>补</w:t>
      </w:r>
      <w:r>
        <w:rPr>
          <w:rFonts w:ascii="仿宋" w:hAnsi="仿宋" w:cs="仿宋" w:eastAsia="仿宋"/>
          <w:sz w:val="24"/>
        </w:rPr>
        <w:t>/换货的依据。</w:t>
      </w:r>
      <w:r>
        <w:rPr>
          <w:rFonts w:ascii="仿宋" w:hAnsi="仿宋" w:cs="仿宋" w:eastAsia="仿宋"/>
          <w:sz w:val="24"/>
        </w:rPr>
        <w:t>乙方</w:t>
      </w:r>
      <w:r>
        <w:rPr>
          <w:rFonts w:ascii="仿宋" w:hAnsi="仿宋" w:cs="仿宋" w:eastAsia="仿宋"/>
          <w:sz w:val="24"/>
        </w:rPr>
        <w:t>应当在</w:t>
      </w:r>
      <w:r>
        <w:rPr>
          <w:rFonts w:ascii="仿宋" w:hAnsi="仿宋" w:cs="仿宋" w:eastAsia="仿宋"/>
          <w:sz w:val="24"/>
        </w:rPr>
        <w:t>10日内补/换货，并按前述各项要求交付及验收。</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货物交付后需在</w:t>
      </w:r>
      <w:r>
        <w:rPr>
          <w:rFonts w:ascii="仿宋" w:hAnsi="仿宋" w:cs="仿宋" w:eastAsia="仿宋"/>
          <w:sz w:val="24"/>
        </w:rPr>
        <w:t>10个工作日内完成到货验收，如通过，双方签署《到货验收合格单》</w:t>
      </w:r>
      <w:r>
        <w:rPr>
          <w:rFonts w:ascii="仿宋" w:hAnsi="仿宋" w:cs="仿宋" w:eastAsia="仿宋"/>
          <w:sz w:val="24"/>
        </w:rPr>
        <w:t>。</w:t>
      </w:r>
    </w:p>
    <w:p>
      <w:pPr>
        <w:pStyle w:val="null3"/>
        <w:ind w:firstLine="420"/>
        <w:jc w:val="both"/>
      </w:pPr>
      <w:r>
        <w:rPr>
          <w:rFonts w:ascii="仿宋" w:hAnsi="仿宋" w:cs="仿宋" w:eastAsia="仿宋"/>
          <w:sz w:val="24"/>
        </w:rPr>
        <w:t xml:space="preserve">6.2 </w:t>
      </w:r>
      <w:r>
        <w:rPr>
          <w:rFonts w:ascii="仿宋" w:hAnsi="仿宋" w:cs="仿宋" w:eastAsia="仿宋"/>
          <w:sz w:val="24"/>
          <w:b/>
        </w:rPr>
        <w:t>初步</w:t>
      </w:r>
      <w:r>
        <w:rPr>
          <w:rFonts w:ascii="仿宋" w:hAnsi="仿宋" w:cs="仿宋" w:eastAsia="仿宋"/>
          <w:sz w:val="24"/>
          <w:b/>
        </w:rPr>
        <w:t>验收</w:t>
      </w:r>
    </w:p>
    <w:p>
      <w:pPr>
        <w:pStyle w:val="null3"/>
        <w:ind w:firstLine="480"/>
        <w:jc w:val="both"/>
      </w:pPr>
      <w:r>
        <w:rPr>
          <w:rFonts w:ascii="仿宋" w:hAnsi="仿宋" w:cs="仿宋" w:eastAsia="仿宋"/>
          <w:sz w:val="24"/>
        </w:rPr>
        <w:t>（</w:t>
      </w:r>
      <w:r>
        <w:rPr>
          <w:rFonts w:ascii="仿宋" w:hAnsi="仿宋" w:cs="仿宋" w:eastAsia="仿宋"/>
          <w:sz w:val="24"/>
        </w:rPr>
        <w:t>1）按照甲方要求完成进场、上架、加电测试。对货物进行加电测试，确认产品能正常工作。设备上架、加电以及本次项目涉及产品的集成服务可根据甲方需要由乙方完成。所有货物的加电（</w:t>
      </w:r>
      <w:r>
        <w:rPr>
          <w:rFonts w:ascii="仿宋" w:hAnsi="仿宋" w:cs="仿宋" w:eastAsia="仿宋"/>
          <w:sz w:val="24"/>
        </w:rPr>
        <w:t>power on）自检验测试必须在其它测试前成功完成。若自检验不能正常通过，视为产品不合格。</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设备安装调试完成后</w:t>
      </w:r>
      <w:r>
        <w:rPr>
          <w:rFonts w:ascii="仿宋" w:hAnsi="仿宋" w:cs="仿宋" w:eastAsia="仿宋"/>
          <w:sz w:val="24"/>
        </w:rPr>
        <w:t>，</w:t>
      </w:r>
      <w:r>
        <w:rPr>
          <w:rFonts w:ascii="仿宋" w:hAnsi="仿宋" w:cs="仿宋" w:eastAsia="仿宋"/>
          <w:sz w:val="24"/>
        </w:rPr>
        <w:t>乙方</w:t>
      </w:r>
      <w:r>
        <w:rPr>
          <w:rFonts w:ascii="仿宋" w:hAnsi="仿宋" w:cs="仿宋" w:eastAsia="仿宋"/>
          <w:sz w:val="24"/>
        </w:rPr>
        <w:t>向</w:t>
      </w:r>
      <w:r>
        <w:rPr>
          <w:rFonts w:ascii="仿宋" w:hAnsi="仿宋" w:cs="仿宋" w:eastAsia="仿宋"/>
          <w:sz w:val="24"/>
        </w:rPr>
        <w:t>甲方</w:t>
      </w:r>
      <w:r>
        <w:rPr>
          <w:rFonts w:ascii="仿宋" w:hAnsi="仿宋" w:cs="仿宋" w:eastAsia="仿宋"/>
          <w:sz w:val="24"/>
        </w:rPr>
        <w:t>提供一份详细的验收报告，包括该产品系统联合调试成功、可正常运转的测量数据和资料，经过</w:t>
      </w:r>
      <w:r>
        <w:rPr>
          <w:rFonts w:ascii="仿宋" w:hAnsi="仿宋" w:cs="仿宋" w:eastAsia="仿宋"/>
          <w:sz w:val="24"/>
        </w:rPr>
        <w:t>甲方</w:t>
      </w:r>
      <w:r>
        <w:rPr>
          <w:rFonts w:ascii="仿宋" w:hAnsi="仿宋" w:cs="仿宋" w:eastAsia="仿宋"/>
          <w:sz w:val="24"/>
        </w:rPr>
        <w:t>认可后，由</w:t>
      </w:r>
      <w:r>
        <w:rPr>
          <w:rFonts w:ascii="仿宋" w:hAnsi="仿宋" w:cs="仿宋" w:eastAsia="仿宋"/>
          <w:sz w:val="24"/>
        </w:rPr>
        <w:t>甲方</w:t>
      </w:r>
      <w:r>
        <w:rPr>
          <w:rFonts w:ascii="仿宋" w:hAnsi="仿宋" w:cs="仿宋" w:eastAsia="仿宋"/>
          <w:sz w:val="24"/>
        </w:rPr>
        <w:t>组织初验。</w:t>
      </w:r>
      <w:r>
        <w:rPr>
          <w:rFonts w:ascii="仿宋" w:hAnsi="仿宋" w:cs="仿宋" w:eastAsia="仿宋"/>
          <w:sz w:val="24"/>
        </w:rPr>
        <w:t>安装调试验收</w:t>
      </w:r>
      <w:r>
        <w:rPr>
          <w:rFonts w:ascii="仿宋" w:hAnsi="仿宋" w:cs="仿宋" w:eastAsia="仿宋"/>
          <w:sz w:val="24"/>
        </w:rPr>
        <w:t>合格后，由</w:t>
      </w:r>
      <w:r>
        <w:rPr>
          <w:rFonts w:ascii="仿宋" w:hAnsi="仿宋" w:cs="仿宋" w:eastAsia="仿宋"/>
          <w:sz w:val="24"/>
        </w:rPr>
        <w:t>甲方出具《安装调试</w:t>
      </w:r>
      <w:r>
        <w:rPr>
          <w:rFonts w:ascii="仿宋" w:hAnsi="仿宋" w:cs="仿宋" w:eastAsia="仿宋"/>
          <w:sz w:val="24"/>
        </w:rPr>
        <w:t>验收合格单</w:t>
      </w:r>
      <w:r>
        <w:rPr>
          <w:rFonts w:ascii="仿宋" w:hAnsi="仿宋" w:cs="仿宋" w:eastAsia="仿宋"/>
          <w:sz w:val="24"/>
        </w:rPr>
        <w:t>》</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3）如果合同货物中的任何部分不能按照合同规定通过安装调试验收，乙方将采取一切补救措施以使初步验收测试能够在甲方要求的期限内进行，再次验收测试由乙方负担费用。乙方应根据合同的规定对再次验收测试造成的甲方的损失进行赔偿。产品测试中出现性能指标或功能上不符合要求的，或测试中出现不符合要求的严重质量问题时，甲方有权拒绝接收并保留索赔的权利。</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自《到货验收合格单》签订之日起，需在</w:t>
      </w:r>
      <w:r>
        <w:rPr>
          <w:rFonts w:ascii="仿宋" w:hAnsi="仿宋" w:cs="仿宋" w:eastAsia="仿宋"/>
          <w:sz w:val="24"/>
        </w:rPr>
        <w:t>30个工作日内完成初步验收。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w:t>
      </w:r>
      <w:r>
        <w:rPr>
          <w:rFonts w:ascii="仿宋" w:hAnsi="仿宋" w:cs="仿宋" w:eastAsia="仿宋"/>
          <w:sz w:val="24"/>
        </w:rPr>
        <w:t>安装调试验收合格后，进入不少于</w:t>
      </w:r>
      <w:r>
        <w:rPr>
          <w:rFonts w:ascii="仿宋" w:hAnsi="仿宋" w:cs="仿宋" w:eastAsia="仿宋"/>
          <w:sz w:val="24"/>
        </w:rPr>
        <w:t>3个月不超过6个月的连续试运行。</w:t>
      </w:r>
    </w:p>
    <w:p>
      <w:pPr>
        <w:pStyle w:val="null3"/>
        <w:ind w:firstLine="480"/>
        <w:jc w:val="both"/>
      </w:pPr>
      <w:r>
        <w:rPr>
          <w:rFonts w:ascii="仿宋" w:hAnsi="仿宋" w:cs="仿宋" w:eastAsia="仿宋"/>
          <w:sz w:val="24"/>
        </w:rPr>
        <w:t>6</w:t>
      </w:r>
      <w:r>
        <w:rPr>
          <w:rFonts w:ascii="仿宋" w:hAnsi="仿宋" w:cs="仿宋" w:eastAsia="仿宋"/>
          <w:sz w:val="24"/>
        </w:rPr>
        <w:t xml:space="preserve">.3 </w:t>
      </w:r>
      <w:r>
        <w:rPr>
          <w:rFonts w:ascii="仿宋" w:hAnsi="仿宋" w:cs="仿宋" w:eastAsia="仿宋"/>
          <w:sz w:val="24"/>
          <w:b/>
        </w:rPr>
        <w:t>最终验收</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试运行</w:t>
      </w:r>
      <w:r>
        <w:rPr>
          <w:rFonts w:ascii="仿宋" w:hAnsi="仿宋" w:cs="仿宋" w:eastAsia="仿宋"/>
          <w:sz w:val="24"/>
        </w:rPr>
        <w:t>期满可以进行终验。</w:t>
      </w:r>
      <w:r>
        <w:rPr>
          <w:rFonts w:ascii="仿宋" w:hAnsi="仿宋" w:cs="仿宋" w:eastAsia="仿宋"/>
          <w:sz w:val="24"/>
        </w:rPr>
        <w:t>最终验收合格的条件必须至少满足以下</w:t>
      </w:r>
      <w:r>
        <w:rPr>
          <w:rFonts w:ascii="仿宋" w:hAnsi="仿宋" w:cs="仿宋" w:eastAsia="仿宋"/>
          <w:sz w:val="24"/>
        </w:rPr>
        <w:t>3个要求：（a）已提供了合同的全部产品和资料；（b）最终验收阶段的试运行时间满足合同要求；（c）性能测试和试运行时出现的问题已被解决。终验合格后，</w:t>
      </w:r>
      <w:r>
        <w:rPr>
          <w:rFonts w:ascii="仿宋" w:hAnsi="仿宋" w:cs="仿宋" w:eastAsia="仿宋"/>
          <w:sz w:val="24"/>
        </w:rPr>
        <w:t>双方签署</w:t>
      </w:r>
      <w:r>
        <w:rPr>
          <w:rFonts w:ascii="仿宋" w:hAnsi="仿宋" w:cs="仿宋" w:eastAsia="仿宋"/>
          <w:sz w:val="24"/>
        </w:rPr>
        <w:t>《最终验收合格单》。</w:t>
      </w:r>
    </w:p>
    <w:p>
      <w:pPr>
        <w:pStyle w:val="null3"/>
        <w:ind w:firstLine="480"/>
        <w:jc w:val="both"/>
      </w:pPr>
      <w:r>
        <w:rPr>
          <w:rFonts w:ascii="仿宋" w:hAnsi="仿宋" w:cs="仿宋" w:eastAsia="仿宋"/>
          <w:sz w:val="24"/>
        </w:rPr>
        <w:t>（</w:t>
      </w:r>
      <w:r>
        <w:rPr>
          <w:rFonts w:ascii="仿宋" w:hAnsi="仿宋" w:cs="仿宋" w:eastAsia="仿宋"/>
          <w:sz w:val="24"/>
        </w:rPr>
        <w:t>2）如果合同货物中的任何部分不能通过最终验收，乙方将采取一切补救措施以使最终验收测试能够尽快再次进行，再次最终验收测试由乙方负担费用。乙方应根据合同的规定对再次终验造成的甲方</w:t>
      </w:r>
      <w:r>
        <w:rPr>
          <w:rFonts w:ascii="仿宋" w:hAnsi="仿宋" w:cs="仿宋" w:eastAsia="仿宋"/>
          <w:sz w:val="24"/>
        </w:rPr>
        <w:t>的损失进行赔偿。如果最终验收失败次数超过</w:t>
      </w:r>
      <w:r>
        <w:rPr>
          <w:rFonts w:ascii="仿宋" w:hAnsi="仿宋" w:cs="仿宋" w:eastAsia="仿宋"/>
          <w:sz w:val="24"/>
        </w:rPr>
        <w:t>3</w:t>
      </w:r>
      <w:r>
        <w:rPr>
          <w:rFonts w:ascii="仿宋" w:hAnsi="仿宋" w:cs="仿宋" w:eastAsia="仿宋"/>
          <w:sz w:val="24"/>
        </w:rPr>
        <w:t>次或超过合同规定的有关期限，</w:t>
      </w:r>
      <w:r>
        <w:rPr>
          <w:rFonts w:ascii="仿宋" w:hAnsi="仿宋" w:cs="仿宋" w:eastAsia="仿宋"/>
          <w:sz w:val="24"/>
        </w:rPr>
        <w:t>甲方</w:t>
      </w:r>
      <w:r>
        <w:rPr>
          <w:rFonts w:ascii="仿宋" w:hAnsi="仿宋" w:cs="仿宋" w:eastAsia="仿宋"/>
          <w:sz w:val="24"/>
        </w:rPr>
        <w:t>有权拒绝验收，并按</w:t>
      </w:r>
      <w:r>
        <w:rPr>
          <w:rFonts w:ascii="仿宋" w:hAnsi="仿宋" w:cs="仿宋" w:eastAsia="仿宋"/>
          <w:sz w:val="24"/>
        </w:rPr>
        <w:t>乙方</w:t>
      </w:r>
      <w:r>
        <w:rPr>
          <w:rFonts w:ascii="仿宋" w:hAnsi="仿宋" w:cs="仿宋" w:eastAsia="仿宋"/>
          <w:sz w:val="24"/>
        </w:rPr>
        <w:t>违约处理。</w:t>
      </w:r>
      <w:r>
        <w:rPr>
          <w:rFonts w:ascii="仿宋" w:hAnsi="仿宋" w:cs="仿宋" w:eastAsia="仿宋"/>
          <w:sz w:val="24"/>
        </w:rPr>
        <w:t>甲方</w:t>
      </w:r>
      <w:r>
        <w:rPr>
          <w:rFonts w:ascii="仿宋" w:hAnsi="仿宋" w:cs="仿宋" w:eastAsia="仿宋"/>
          <w:sz w:val="24"/>
        </w:rPr>
        <w:t>除有权没收</w:t>
      </w:r>
      <w:r>
        <w:rPr>
          <w:rFonts w:ascii="仿宋" w:hAnsi="仿宋" w:cs="仿宋" w:eastAsia="仿宋"/>
          <w:sz w:val="24"/>
        </w:rPr>
        <w:t>乙方</w:t>
      </w:r>
      <w:r>
        <w:rPr>
          <w:rFonts w:ascii="仿宋" w:hAnsi="仿宋" w:cs="仿宋" w:eastAsia="仿宋"/>
          <w:sz w:val="24"/>
        </w:rPr>
        <w:t>履约保证金外，还有权追索由此造成工期延误而给</w:t>
      </w:r>
      <w:r>
        <w:rPr>
          <w:rFonts w:ascii="仿宋" w:hAnsi="仿宋" w:cs="仿宋" w:eastAsia="仿宋"/>
          <w:sz w:val="24"/>
        </w:rPr>
        <w:t>甲方</w:t>
      </w:r>
      <w:r>
        <w:rPr>
          <w:rFonts w:ascii="仿宋" w:hAnsi="仿宋" w:cs="仿宋" w:eastAsia="仿宋"/>
          <w:sz w:val="24"/>
        </w:rPr>
        <w:t>带来的经济损失。如果导致合同不能继续执行</w:t>
      </w:r>
      <w:r>
        <w:rPr>
          <w:rFonts w:ascii="仿宋" w:hAnsi="仿宋" w:cs="仿宋" w:eastAsia="仿宋"/>
          <w:sz w:val="24"/>
        </w:rPr>
        <w:t>甲方</w:t>
      </w:r>
      <w:r>
        <w:rPr>
          <w:rFonts w:ascii="仿宋" w:hAnsi="仿宋" w:cs="仿宋" w:eastAsia="仿宋"/>
          <w:sz w:val="24"/>
        </w:rPr>
        <w:t>有权按退货索赔程序处理。</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自《安装调试验收合格单》签订之日起，需在</w:t>
      </w:r>
      <w:r>
        <w:rPr>
          <w:rFonts w:ascii="仿宋" w:hAnsi="仿宋" w:cs="仿宋" w:eastAsia="仿宋"/>
          <w:sz w:val="24"/>
        </w:rPr>
        <w:t>180个日历日内完成最终验收。</w:t>
      </w:r>
    </w:p>
    <w:p>
      <w:pPr>
        <w:pStyle w:val="null3"/>
        <w:spacing w:before="150"/>
        <w:ind w:firstLine="482"/>
        <w:jc w:val="both"/>
      </w:pPr>
      <w:r>
        <w:rPr>
          <w:rFonts w:ascii="仿宋" w:hAnsi="仿宋" w:cs="仿宋" w:eastAsia="仿宋"/>
          <w:sz w:val="24"/>
          <w:b/>
        </w:rPr>
        <w:t>第七条</w:t>
      </w:r>
      <w:r>
        <w:rPr>
          <w:rFonts w:ascii="仿宋" w:hAnsi="仿宋" w:cs="仿宋" w:eastAsia="仿宋"/>
          <w:sz w:val="24"/>
          <w:b/>
        </w:rPr>
        <w:t>技术服务</w:t>
      </w:r>
    </w:p>
    <w:p>
      <w:pPr>
        <w:pStyle w:val="null3"/>
        <w:ind w:firstLine="480"/>
        <w:jc w:val="both"/>
      </w:pPr>
      <w:r>
        <w:rPr>
          <w:rFonts w:ascii="仿宋" w:hAnsi="仿宋" w:cs="仿宋" w:eastAsia="仿宋"/>
          <w:sz w:val="24"/>
        </w:rPr>
        <w:t xml:space="preserve">7.1 </w:t>
      </w:r>
      <w:r>
        <w:rPr>
          <w:rFonts w:ascii="仿宋" w:hAnsi="仿宋" w:cs="仿宋" w:eastAsia="仿宋"/>
          <w:sz w:val="24"/>
          <w:b/>
        </w:rPr>
        <w:t>质保服务</w:t>
      </w:r>
    </w:p>
    <w:p>
      <w:pPr>
        <w:pStyle w:val="null3"/>
        <w:ind w:firstLine="480"/>
        <w:jc w:val="both"/>
      </w:pPr>
      <w:r>
        <w:rPr>
          <w:rFonts w:ascii="仿宋" w:hAnsi="仿宋" w:cs="仿宋" w:eastAsia="仿宋"/>
          <w:sz w:val="24"/>
        </w:rPr>
        <w:t>（</w:t>
      </w:r>
      <w:r>
        <w:rPr>
          <w:rFonts w:ascii="仿宋" w:hAnsi="仿宋" w:cs="仿宋" w:eastAsia="仿宋"/>
          <w:sz w:val="24"/>
        </w:rPr>
        <w:t>1）原厂制造商承诺所有硬件质保期内免费保修</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2）根据采购要求、设备需求及服务需求等制定备品备件供应方案（质保期内），并详细列出名称、类型、性能、数量、提供地点、放置地点、服务条款等内容，且必须是原设备厂商提供的原厂全新备件。</w:t>
      </w:r>
    </w:p>
    <w:p>
      <w:pPr>
        <w:pStyle w:val="null3"/>
        <w:ind w:firstLine="480"/>
        <w:jc w:val="both"/>
      </w:pPr>
      <w:r>
        <w:rPr>
          <w:rFonts w:ascii="仿宋" w:hAnsi="仿宋" w:cs="仿宋" w:eastAsia="仿宋"/>
          <w:sz w:val="24"/>
        </w:rPr>
        <w:t>（</w:t>
      </w:r>
      <w:r>
        <w:rPr>
          <w:rFonts w:ascii="仿宋" w:hAnsi="仿宋" w:cs="仿宋" w:eastAsia="仿宋"/>
          <w:sz w:val="24"/>
        </w:rPr>
        <w:t>3）在质量保证期内提供部分备用设备易损部件长期存放在</w:t>
      </w:r>
      <w:r>
        <w:rPr>
          <w:rFonts w:ascii="仿宋" w:hAnsi="仿宋" w:cs="仿宋" w:eastAsia="仿宋"/>
          <w:sz w:val="24"/>
        </w:rPr>
        <w:t>甲方</w:t>
      </w:r>
      <w:r>
        <w:rPr>
          <w:rFonts w:ascii="仿宋" w:hAnsi="仿宋" w:cs="仿宋" w:eastAsia="仿宋"/>
          <w:sz w:val="24"/>
        </w:rPr>
        <w:t>现场，以便在设备发生故障时能及时更换。</w:t>
      </w:r>
    </w:p>
    <w:p>
      <w:pPr>
        <w:pStyle w:val="null3"/>
        <w:ind w:firstLine="480"/>
        <w:jc w:val="both"/>
      </w:pPr>
      <w:r>
        <w:rPr>
          <w:rFonts w:ascii="仿宋" w:hAnsi="仿宋" w:cs="仿宋" w:eastAsia="仿宋"/>
          <w:sz w:val="24"/>
        </w:rPr>
        <w:t>（</w:t>
      </w:r>
      <w:r>
        <w:rPr>
          <w:rFonts w:ascii="仿宋" w:hAnsi="仿宋" w:cs="仿宋" w:eastAsia="仿宋"/>
          <w:sz w:val="24"/>
        </w:rPr>
        <w:t>4）保证原厂商在质保期内提供零配件的安装服务，质量保证期内安装的任何零配件必须是其厂家原产的或是经其认可的；所有的替代零配件必须是新的未使用和未经修复的,除非</w:t>
      </w:r>
      <w:r>
        <w:rPr>
          <w:rFonts w:ascii="仿宋" w:hAnsi="仿宋" w:cs="仿宋" w:eastAsia="仿宋"/>
          <w:sz w:val="24"/>
        </w:rPr>
        <w:t>甲方</w:t>
      </w:r>
      <w:r>
        <w:rPr>
          <w:rFonts w:ascii="仿宋" w:hAnsi="仿宋" w:cs="仿宋" w:eastAsia="仿宋"/>
          <w:sz w:val="24"/>
        </w:rPr>
        <w:t>提供书面许可，否则不可使用此范围外的其他（非新的）配件；</w:t>
      </w:r>
    </w:p>
    <w:p>
      <w:pPr>
        <w:pStyle w:val="null3"/>
        <w:ind w:firstLine="480"/>
        <w:jc w:val="both"/>
      </w:pPr>
      <w:r>
        <w:rPr>
          <w:rFonts w:ascii="仿宋" w:hAnsi="仿宋" w:cs="仿宋" w:eastAsia="仿宋"/>
          <w:sz w:val="24"/>
        </w:rPr>
        <w:t>7.</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技术支持服务</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提供承诺</w:t>
      </w:r>
      <w:r>
        <w:rPr>
          <w:rFonts w:ascii="仿宋" w:hAnsi="仿宋" w:cs="仿宋" w:eastAsia="仿宋"/>
          <w:sz w:val="24"/>
        </w:rPr>
        <w:t>5年原厂软硬件技术支持服务：提供5年5×8×4小时</w:t>
      </w:r>
      <w:r>
        <w:rPr>
          <w:rFonts w:ascii="仿宋" w:hAnsi="仿宋" w:cs="仿宋" w:eastAsia="仿宋"/>
          <w:sz w:val="24"/>
        </w:rPr>
        <w:t>原厂软硬件技术支持服务：硬件原厂制造商承诺所有硬件过免费保修期后按原价维修（按投标货物价格数量表所列价格，更换零部件的按合同签订时的零部件价格），响应速度同保修期响应速度。</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乙方应提供</w:t>
      </w:r>
      <w:r>
        <w:rPr>
          <w:rFonts w:ascii="仿宋" w:hAnsi="仿宋" w:cs="仿宋" w:eastAsia="仿宋"/>
          <w:sz w:val="24"/>
        </w:rPr>
        <w:t>7</w:t>
      </w:r>
      <w:r>
        <w:rPr>
          <w:rFonts w:ascii="仿宋" w:hAnsi="仿宋" w:cs="仿宋" w:eastAsia="仿宋"/>
          <w:sz w:val="24"/>
        </w:rPr>
        <w:t>天</w:t>
      </w:r>
      <w:r>
        <w:rPr>
          <w:rFonts w:ascii="仿宋" w:hAnsi="仿宋" w:cs="仿宋" w:eastAsia="仿宋"/>
          <w:sz w:val="24"/>
        </w:rPr>
        <w:t>*24小时互联网/电子邮件技术支持、7</w:t>
      </w:r>
      <w:r>
        <w:rPr>
          <w:rFonts w:ascii="仿宋" w:hAnsi="仿宋" w:cs="仿宋" w:eastAsia="仿宋"/>
          <w:sz w:val="24"/>
        </w:rPr>
        <w:t>天</w:t>
      </w:r>
      <w:r>
        <w:rPr>
          <w:rFonts w:ascii="仿宋" w:hAnsi="仿宋" w:cs="仿宋" w:eastAsia="仿宋"/>
          <w:sz w:val="24"/>
        </w:rPr>
        <w:t>*24小时远程电话支持；对</w:t>
      </w:r>
      <w:r>
        <w:rPr>
          <w:rFonts w:ascii="仿宋" w:hAnsi="仿宋" w:cs="仿宋" w:eastAsia="仿宋"/>
          <w:sz w:val="24"/>
        </w:rPr>
        <w:t>甲方</w:t>
      </w:r>
      <w:r>
        <w:rPr>
          <w:rFonts w:ascii="仿宋" w:hAnsi="仿宋" w:cs="仿宋" w:eastAsia="仿宋"/>
          <w:sz w:val="24"/>
        </w:rPr>
        <w:t>提出的预防性维护要求应在</w:t>
      </w:r>
      <w:r>
        <w:rPr>
          <w:rFonts w:ascii="仿宋" w:hAnsi="仿宋" w:cs="仿宋" w:eastAsia="仿宋"/>
          <w:sz w:val="24"/>
        </w:rPr>
        <w:t>2小时内做出实质性响应，及时解决系统运行中的问题。对</w:t>
      </w:r>
      <w:r>
        <w:rPr>
          <w:rFonts w:ascii="仿宋" w:hAnsi="仿宋" w:cs="仿宋" w:eastAsia="仿宋"/>
          <w:sz w:val="24"/>
        </w:rPr>
        <w:t>甲方</w:t>
      </w:r>
      <w:r>
        <w:rPr>
          <w:rFonts w:ascii="仿宋" w:hAnsi="仿宋" w:cs="仿宋" w:eastAsia="仿宋"/>
          <w:sz w:val="24"/>
        </w:rPr>
        <w:t>提出的故障性维护要求应在</w:t>
      </w:r>
      <w:r>
        <w:rPr>
          <w:rFonts w:ascii="仿宋" w:hAnsi="仿宋" w:cs="仿宋" w:eastAsia="仿宋"/>
          <w:sz w:val="24"/>
        </w:rPr>
        <w:t>0.5小时内做出实质性响应。（或在</w:t>
      </w:r>
      <w:r>
        <w:rPr>
          <w:rFonts w:ascii="仿宋" w:hAnsi="仿宋" w:cs="仿宋" w:eastAsia="仿宋"/>
          <w:sz w:val="24"/>
        </w:rPr>
        <w:t>甲方</w:t>
      </w:r>
      <w:r>
        <w:rPr>
          <w:rFonts w:ascii="仿宋" w:hAnsi="仿宋" w:cs="仿宋" w:eastAsia="仿宋"/>
          <w:sz w:val="24"/>
        </w:rPr>
        <w:t>要求的期限内及时解决系统运行中的问题。否则，由此而带来的损失，由</w:t>
      </w:r>
      <w:r>
        <w:rPr>
          <w:rFonts w:ascii="仿宋" w:hAnsi="仿宋" w:cs="仿宋" w:eastAsia="仿宋"/>
          <w:sz w:val="24"/>
        </w:rPr>
        <w:t>乙方</w:t>
      </w:r>
      <w:r>
        <w:rPr>
          <w:rFonts w:ascii="仿宋" w:hAnsi="仿宋" w:cs="仿宋" w:eastAsia="仿宋"/>
          <w:sz w:val="24"/>
        </w:rPr>
        <w:t>承担相应责任）。</w:t>
      </w:r>
    </w:p>
    <w:p>
      <w:pPr>
        <w:pStyle w:val="null3"/>
        <w:ind w:firstLine="480"/>
        <w:jc w:val="both"/>
      </w:pPr>
      <w:r>
        <w:rPr>
          <w:rFonts w:ascii="仿宋" w:hAnsi="仿宋" w:cs="仿宋" w:eastAsia="仿宋"/>
          <w:sz w:val="24"/>
        </w:rPr>
        <w:t>（</w:t>
      </w:r>
      <w:r>
        <w:rPr>
          <w:rFonts w:ascii="仿宋" w:hAnsi="仿宋" w:cs="仿宋" w:eastAsia="仿宋"/>
          <w:sz w:val="24"/>
        </w:rPr>
        <w:t>3）对业务的正常运行造成重大影响的问题</w:t>
      </w:r>
      <w:r>
        <w:rPr>
          <w:rFonts w:ascii="仿宋" w:hAnsi="仿宋" w:cs="仿宋" w:eastAsia="仿宋"/>
          <w:sz w:val="24"/>
        </w:rPr>
        <w:t>，</w:t>
      </w:r>
      <w:r>
        <w:rPr>
          <w:rFonts w:ascii="仿宋" w:hAnsi="仿宋" w:cs="仿宋" w:eastAsia="仿宋"/>
          <w:sz w:val="24"/>
        </w:rPr>
        <w:t>如系统崩溃、无法启动、拒绝连接等</w:t>
      </w:r>
      <w:r>
        <w:rPr>
          <w:rFonts w:ascii="仿宋" w:hAnsi="仿宋" w:cs="仿宋" w:eastAsia="仿宋"/>
          <w:sz w:val="24"/>
        </w:rPr>
        <w:t>，乙方需提供应急方案，方案至少包括以下内容：系统运行过程中如果发生故障，设备故障恢复时间在</w:t>
      </w:r>
      <w:r>
        <w:rPr>
          <w:rFonts w:ascii="仿宋" w:hAnsi="仿宋" w:cs="仿宋" w:eastAsia="仿宋"/>
          <w:sz w:val="24"/>
        </w:rPr>
        <w:t>4小时内</w:t>
      </w:r>
      <w:r>
        <w:rPr>
          <w:rFonts w:ascii="仿宋" w:hAnsi="仿宋" w:cs="仿宋" w:eastAsia="仿宋"/>
          <w:sz w:val="24"/>
        </w:rPr>
        <w:t>；甲方</w:t>
      </w:r>
      <w:r>
        <w:rPr>
          <w:rFonts w:ascii="仿宋" w:hAnsi="仿宋" w:cs="仿宋" w:eastAsia="仿宋"/>
          <w:sz w:val="24"/>
        </w:rPr>
        <w:t>可要求</w:t>
      </w:r>
      <w:r>
        <w:rPr>
          <w:rFonts w:ascii="仿宋" w:hAnsi="仿宋" w:cs="仿宋" w:eastAsia="仿宋"/>
          <w:sz w:val="24"/>
        </w:rPr>
        <w:t>乙方</w:t>
      </w:r>
      <w:r>
        <w:rPr>
          <w:rFonts w:ascii="仿宋" w:hAnsi="仿宋" w:cs="仿宋" w:eastAsia="仿宋"/>
          <w:sz w:val="24"/>
        </w:rPr>
        <w:t>到现场提供服务，</w:t>
      </w:r>
      <w:r>
        <w:rPr>
          <w:rFonts w:ascii="仿宋" w:hAnsi="仿宋" w:cs="仿宋" w:eastAsia="仿宋"/>
          <w:sz w:val="24"/>
        </w:rPr>
        <w:t>乙方</w:t>
      </w:r>
      <w:r>
        <w:rPr>
          <w:rFonts w:ascii="仿宋" w:hAnsi="仿宋" w:cs="仿宋" w:eastAsia="仿宋"/>
          <w:sz w:val="24"/>
        </w:rPr>
        <w:t>必须在</w:t>
      </w:r>
      <w:r>
        <w:rPr>
          <w:rFonts w:ascii="仿宋" w:hAnsi="仿宋" w:cs="仿宋" w:eastAsia="仿宋"/>
          <w:sz w:val="24"/>
        </w:rPr>
        <w:t>2小时内到达现场，故障修复时间应在4小时以内，并确保紧急故障下立即提供现场恢复服务</w:t>
      </w:r>
      <w:r>
        <w:rPr>
          <w:rFonts w:ascii="仿宋" w:hAnsi="仿宋" w:cs="仿宋" w:eastAsia="仿宋"/>
          <w:sz w:val="24"/>
        </w:rPr>
        <w:t>；</w:t>
      </w:r>
      <w:r>
        <w:rPr>
          <w:rFonts w:ascii="仿宋" w:hAnsi="仿宋" w:cs="仿宋" w:eastAsia="仿宋"/>
          <w:sz w:val="24"/>
        </w:rPr>
        <w:t>在接到</w:t>
      </w:r>
      <w:r>
        <w:rPr>
          <w:rFonts w:ascii="仿宋" w:hAnsi="仿宋" w:cs="仿宋" w:eastAsia="仿宋"/>
          <w:sz w:val="24"/>
        </w:rPr>
        <w:t>甲方</w:t>
      </w:r>
      <w:r>
        <w:rPr>
          <w:rFonts w:ascii="仿宋" w:hAnsi="仿宋" w:cs="仿宋" w:eastAsia="仿宋"/>
          <w:sz w:val="24"/>
        </w:rPr>
        <w:t>的故障通知后，若</w:t>
      </w:r>
      <w:r>
        <w:rPr>
          <w:rFonts w:ascii="仿宋" w:hAnsi="仿宋" w:cs="仿宋" w:eastAsia="仿宋"/>
          <w:sz w:val="24"/>
        </w:rPr>
        <w:t>乙方</w:t>
      </w:r>
      <w:r>
        <w:rPr>
          <w:rFonts w:ascii="仿宋" w:hAnsi="仿宋" w:cs="仿宋" w:eastAsia="仿宋"/>
          <w:sz w:val="24"/>
        </w:rPr>
        <w:t>未能按时到达，</w:t>
      </w:r>
      <w:r>
        <w:rPr>
          <w:rFonts w:ascii="仿宋" w:hAnsi="仿宋" w:cs="仿宋" w:eastAsia="仿宋"/>
          <w:sz w:val="24"/>
        </w:rPr>
        <w:t>甲方</w:t>
      </w:r>
      <w:r>
        <w:rPr>
          <w:rFonts w:ascii="仿宋" w:hAnsi="仿宋" w:cs="仿宋" w:eastAsia="仿宋"/>
          <w:sz w:val="24"/>
        </w:rPr>
        <w:t>有权要求</w:t>
      </w:r>
      <w:r>
        <w:rPr>
          <w:rFonts w:ascii="仿宋" w:hAnsi="仿宋" w:cs="仿宋" w:eastAsia="仿宋"/>
          <w:sz w:val="24"/>
        </w:rPr>
        <w:t>乙方</w:t>
      </w:r>
      <w:r>
        <w:rPr>
          <w:rFonts w:ascii="仿宋" w:hAnsi="仿宋" w:cs="仿宋" w:eastAsia="仿宋"/>
          <w:sz w:val="24"/>
        </w:rPr>
        <w:t>赔偿</w:t>
      </w:r>
      <w:r>
        <w:rPr>
          <w:rFonts w:ascii="仿宋" w:hAnsi="仿宋" w:cs="仿宋" w:eastAsia="仿宋"/>
          <w:sz w:val="24"/>
        </w:rPr>
        <w:t>；</w:t>
      </w:r>
      <w:r>
        <w:rPr>
          <w:rFonts w:ascii="仿宋" w:hAnsi="仿宋" w:cs="仿宋" w:eastAsia="仿宋"/>
          <w:sz w:val="24"/>
        </w:rPr>
        <w:t>系统运行过程中如果发生故障，</w:t>
      </w:r>
      <w:r>
        <w:rPr>
          <w:rFonts w:ascii="仿宋" w:hAnsi="仿宋" w:cs="仿宋" w:eastAsia="仿宋"/>
          <w:sz w:val="24"/>
        </w:rPr>
        <w:t>乙方</w:t>
      </w:r>
      <w:r>
        <w:rPr>
          <w:rFonts w:ascii="仿宋" w:hAnsi="仿宋" w:cs="仿宋" w:eastAsia="仿宋"/>
          <w:sz w:val="24"/>
        </w:rPr>
        <w:t>需启动公司的多层技术资源支持，帮助</w:t>
      </w:r>
      <w:r>
        <w:rPr>
          <w:rFonts w:ascii="仿宋" w:hAnsi="仿宋" w:cs="仿宋" w:eastAsia="仿宋"/>
          <w:sz w:val="24"/>
        </w:rPr>
        <w:t>甲方</w:t>
      </w:r>
      <w:r>
        <w:rPr>
          <w:rFonts w:ascii="仿宋" w:hAnsi="仿宋" w:cs="仿宋" w:eastAsia="仿宋"/>
          <w:sz w:val="24"/>
        </w:rPr>
        <w:t>排查问题，</w:t>
      </w:r>
      <w:r>
        <w:rPr>
          <w:rFonts w:ascii="仿宋" w:hAnsi="仿宋" w:cs="仿宋" w:eastAsia="仿宋"/>
          <w:sz w:val="24"/>
        </w:rPr>
        <w:t>直到</w:t>
      </w:r>
      <w:r>
        <w:rPr>
          <w:rFonts w:ascii="仿宋" w:hAnsi="仿宋" w:cs="仿宋" w:eastAsia="仿宋"/>
          <w:sz w:val="24"/>
        </w:rPr>
        <w:t>问题最终获得妥善处理</w:t>
      </w:r>
      <w:r>
        <w:rPr>
          <w:rFonts w:ascii="仿宋" w:hAnsi="仿宋" w:cs="仿宋" w:eastAsia="仿宋"/>
          <w:sz w:val="24"/>
        </w:rPr>
        <w:t>；</w:t>
      </w:r>
      <w:r>
        <w:rPr>
          <w:rFonts w:ascii="仿宋" w:hAnsi="仿宋" w:cs="仿宋" w:eastAsia="仿宋"/>
          <w:sz w:val="24"/>
        </w:rPr>
        <w:t>对于</w:t>
      </w:r>
      <w:r>
        <w:rPr>
          <w:rFonts w:ascii="仿宋" w:hAnsi="仿宋" w:cs="仿宋" w:eastAsia="仿宋"/>
          <w:sz w:val="24"/>
        </w:rPr>
        <w:t>甲方</w:t>
      </w:r>
      <w:r>
        <w:rPr>
          <w:rFonts w:ascii="仿宋" w:hAnsi="仿宋" w:cs="仿宋" w:eastAsia="仿宋"/>
          <w:sz w:val="24"/>
        </w:rPr>
        <w:t>系统的重要问题，</w:t>
      </w:r>
      <w:r>
        <w:rPr>
          <w:rFonts w:ascii="仿宋" w:hAnsi="仿宋" w:cs="仿宋" w:eastAsia="仿宋"/>
          <w:sz w:val="24"/>
        </w:rPr>
        <w:t>乙方</w:t>
      </w:r>
      <w:r>
        <w:rPr>
          <w:rFonts w:ascii="仿宋" w:hAnsi="仿宋" w:cs="仿宋" w:eastAsia="仿宋"/>
          <w:sz w:val="24"/>
        </w:rPr>
        <w:t>至</w:t>
      </w:r>
      <w:r>
        <w:rPr>
          <w:rFonts w:ascii="仿宋" w:hAnsi="仿宋" w:cs="仿宋" w:eastAsia="仿宋"/>
          <w:sz w:val="24"/>
        </w:rPr>
        <w:t>少每天汇报一次问题解决情况；在整个系统设计没有单点故障的情况下，故障恢复期间应确保系统不中断。</w:t>
      </w:r>
    </w:p>
    <w:p>
      <w:pPr>
        <w:pStyle w:val="null3"/>
        <w:ind w:firstLine="480"/>
        <w:jc w:val="both"/>
      </w:pPr>
      <w:r>
        <w:rPr>
          <w:rFonts w:ascii="仿宋" w:hAnsi="仿宋" w:cs="仿宋" w:eastAsia="仿宋"/>
          <w:sz w:val="24"/>
        </w:rPr>
        <w:t>（</w:t>
      </w:r>
      <w:r>
        <w:rPr>
          <w:rFonts w:ascii="仿宋" w:hAnsi="仿宋" w:cs="仿宋" w:eastAsia="仿宋"/>
          <w:sz w:val="24"/>
        </w:rPr>
        <w:t>4）乙方必须及时向甲方通报本产品中所采用软件产品的升级情况及升级建议，若甲方需要对软件升级，乙方应免费提供升级版本和相应的支持服务。如果因技术乙方未及时提供升级建议而给甲方带来损失，由乙方负责承担相应责任。对于原厂即将不再提供技术支持和维护升级的软件，需至少提前一年书面正式通知甲方。</w:t>
      </w:r>
    </w:p>
    <w:p>
      <w:pPr>
        <w:pStyle w:val="null3"/>
        <w:ind w:firstLine="480"/>
        <w:jc w:val="both"/>
      </w:pPr>
      <w:r>
        <w:rPr>
          <w:rFonts w:ascii="仿宋" w:hAnsi="仿宋" w:cs="仿宋" w:eastAsia="仿宋"/>
          <w:sz w:val="24"/>
        </w:rPr>
        <w:t>（</w:t>
      </w:r>
      <w:r>
        <w:rPr>
          <w:rFonts w:ascii="仿宋" w:hAnsi="仿宋" w:cs="仿宋" w:eastAsia="仿宋"/>
          <w:sz w:val="24"/>
        </w:rPr>
        <w:t>5）协助甲方完成该产品日常维护工作</w:t>
      </w:r>
      <w:r>
        <w:rPr>
          <w:rFonts w:ascii="仿宋" w:hAnsi="仿宋" w:cs="仿宋" w:eastAsia="仿宋"/>
          <w:sz w:val="24"/>
        </w:rPr>
        <w:t>,具体包括但不限于下述内容：所有设备产品技术支持服务；技术咨询服务；现场技术支持服务；电话及电子邮件支持服务；不限次数的现场逻辑变更或配置服务；相关方案编写；产品升级服务（包括bug修复、现有版本升级等）、运行情况检查、性能调优、故障排除及故障排除所需要的原厂备件免费更换（含备件本身）</w:t>
      </w:r>
      <w:r>
        <w:rPr>
          <w:rFonts w:ascii="仿宋" w:hAnsi="仿宋" w:cs="仿宋" w:eastAsia="仿宋"/>
          <w:sz w:val="24"/>
        </w:rPr>
        <w:t>等</w:t>
      </w:r>
      <w:r>
        <w:rPr>
          <w:rFonts w:ascii="仿宋" w:hAnsi="仿宋" w:cs="仿宋" w:eastAsia="仿宋"/>
          <w:sz w:val="24"/>
        </w:rPr>
        <w:t>，</w:t>
      </w:r>
      <w:r>
        <w:rPr>
          <w:rFonts w:ascii="仿宋" w:hAnsi="仿宋" w:cs="仿宋" w:eastAsia="仿宋"/>
          <w:sz w:val="24"/>
        </w:rPr>
        <w:t>其中，运行情况检查（深度巡检）服务每年至少提供</w:t>
      </w:r>
      <w:r>
        <w:rPr>
          <w:rFonts w:ascii="仿宋" w:hAnsi="仿宋" w:cs="仿宋" w:eastAsia="仿宋"/>
          <w:sz w:val="24"/>
        </w:rPr>
        <w:t>2次，巡检时间由</w:t>
      </w:r>
      <w:r>
        <w:rPr>
          <w:rFonts w:ascii="仿宋" w:hAnsi="仿宋" w:cs="仿宋" w:eastAsia="仿宋"/>
          <w:sz w:val="24"/>
        </w:rPr>
        <w:t>甲方</w:t>
      </w:r>
      <w:r>
        <w:rPr>
          <w:rFonts w:ascii="仿宋" w:hAnsi="仿宋" w:cs="仿宋" w:eastAsia="仿宋"/>
          <w:sz w:val="24"/>
        </w:rPr>
        <w:t>指定；性能调优服务则须根据</w:t>
      </w:r>
      <w:r>
        <w:rPr>
          <w:rFonts w:ascii="仿宋" w:hAnsi="仿宋" w:cs="仿宋" w:eastAsia="仿宋"/>
          <w:sz w:val="24"/>
        </w:rPr>
        <w:t>甲方</w:t>
      </w:r>
      <w:r>
        <w:rPr>
          <w:rFonts w:ascii="仿宋" w:hAnsi="仿宋" w:cs="仿宋" w:eastAsia="仿宋"/>
          <w:sz w:val="24"/>
        </w:rPr>
        <w:t>调优需求来提供</w:t>
      </w:r>
      <w:r>
        <w:rPr>
          <w:rFonts w:ascii="仿宋" w:hAnsi="仿宋" w:cs="仿宋" w:eastAsia="仿宋"/>
          <w:sz w:val="24"/>
        </w:rPr>
        <w:t>。</w:t>
      </w:r>
    </w:p>
    <w:p>
      <w:pPr>
        <w:pStyle w:val="null3"/>
        <w:ind w:firstLine="480"/>
        <w:jc w:val="both"/>
      </w:pPr>
      <w:r>
        <w:rPr>
          <w:rFonts w:ascii="仿宋" w:hAnsi="仿宋" w:cs="仿宋" w:eastAsia="仿宋"/>
          <w:sz w:val="24"/>
        </w:rPr>
        <w:t xml:space="preserve">7.3 </w:t>
      </w:r>
      <w:r>
        <w:rPr>
          <w:rFonts w:ascii="仿宋" w:hAnsi="仿宋" w:cs="仿宋" w:eastAsia="仿宋"/>
          <w:sz w:val="24"/>
          <w:b/>
        </w:rPr>
        <w:t>技术服务团队</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乙方</w:t>
      </w:r>
      <w:r>
        <w:rPr>
          <w:rFonts w:ascii="仿宋" w:hAnsi="仿宋" w:cs="仿宋" w:eastAsia="仿宋"/>
          <w:sz w:val="24"/>
        </w:rPr>
        <w:t>应派遣有经验的技术人员组成项目组完成实施技术服务，包括但不限于文档编写、验证测试、设备安装、软硬件的调试和调优服务等。</w:t>
      </w:r>
      <w:r>
        <w:rPr>
          <w:rFonts w:ascii="仿宋" w:hAnsi="仿宋" w:cs="仿宋" w:eastAsia="仿宋"/>
          <w:sz w:val="24"/>
        </w:rPr>
        <w:t>乙方</w:t>
      </w:r>
      <w:r>
        <w:rPr>
          <w:rFonts w:ascii="仿宋" w:hAnsi="仿宋" w:cs="仿宋" w:eastAsia="仿宋"/>
          <w:sz w:val="24"/>
        </w:rPr>
        <w:t>需提供工作小组成员名单及联系方式（包括电话、手机、传真及电子邮件等）并且确定本项目的项目主管、集成人员、技术支持和售后服务人员，说明每个人的职责和角色</w:t>
      </w:r>
      <w:r>
        <w:rPr>
          <w:rFonts w:ascii="仿宋" w:hAnsi="仿宋" w:cs="仿宋" w:eastAsia="仿宋"/>
          <w:sz w:val="24"/>
        </w:rPr>
        <w:t>，并注明主要人员</w:t>
      </w:r>
      <w:r>
        <w:rPr>
          <w:rFonts w:ascii="仿宋" w:hAnsi="仿宋" w:cs="仿宋" w:eastAsia="仿宋"/>
          <w:sz w:val="24"/>
        </w:rPr>
        <w:t>。项目实施过程中主要人员原则上不允许更换，如需更换，</w:t>
      </w:r>
      <w:r>
        <w:rPr>
          <w:rFonts w:ascii="仿宋" w:hAnsi="仿宋" w:cs="仿宋" w:eastAsia="仿宋"/>
          <w:sz w:val="24"/>
        </w:rPr>
        <w:t>除项目负责人</w:t>
      </w:r>
      <w:r>
        <w:rPr>
          <w:rFonts w:ascii="仿宋" w:hAnsi="仿宋" w:cs="仿宋" w:eastAsia="仿宋"/>
          <w:sz w:val="24"/>
        </w:rPr>
        <w:t>须提前一个月申请</w:t>
      </w:r>
      <w:r>
        <w:rPr>
          <w:rFonts w:ascii="仿宋" w:hAnsi="仿宋" w:cs="仿宋" w:eastAsia="仿宋"/>
          <w:sz w:val="24"/>
        </w:rPr>
        <w:t>外，其他人员的更换，乙方</w:t>
      </w:r>
      <w:r>
        <w:rPr>
          <w:rFonts w:ascii="仿宋" w:hAnsi="仿宋" w:cs="仿宋" w:eastAsia="仿宋"/>
          <w:sz w:val="24"/>
        </w:rPr>
        <w:t>必须</w:t>
      </w:r>
      <w:r>
        <w:rPr>
          <w:rFonts w:ascii="仿宋" w:hAnsi="仿宋" w:cs="仿宋" w:eastAsia="仿宋"/>
          <w:sz w:val="24"/>
        </w:rPr>
        <w:t>提前三个工作日向甲方提出书面申请，</w:t>
      </w:r>
      <w:r>
        <w:rPr>
          <w:rFonts w:ascii="仿宋" w:hAnsi="仿宋" w:cs="仿宋" w:eastAsia="仿宋"/>
          <w:sz w:val="24"/>
        </w:rPr>
        <w:t>经</w:t>
      </w:r>
      <w:r>
        <w:rPr>
          <w:rFonts w:ascii="仿宋" w:hAnsi="仿宋" w:cs="仿宋" w:eastAsia="仿宋"/>
          <w:sz w:val="24"/>
        </w:rPr>
        <w:t>甲方</w:t>
      </w:r>
      <w:r>
        <w:rPr>
          <w:rFonts w:ascii="仿宋" w:hAnsi="仿宋" w:cs="仿宋" w:eastAsia="仿宋"/>
          <w:sz w:val="24"/>
        </w:rPr>
        <w:t>同意且更换的人员必须与被更换人员具有相同的能力</w:t>
      </w:r>
      <w:r>
        <w:rPr>
          <w:rFonts w:ascii="仿宋" w:hAnsi="仿宋" w:cs="仿宋" w:eastAsia="仿宋"/>
          <w:sz w:val="24"/>
        </w:rPr>
        <w:t>时方可更换</w:t>
      </w:r>
      <w:r>
        <w:rPr>
          <w:rFonts w:ascii="仿宋" w:hAnsi="仿宋" w:cs="仿宋" w:eastAsia="仿宋"/>
          <w:sz w:val="24"/>
        </w:rPr>
        <w:t>。整个项目周期内</w:t>
      </w:r>
      <w:r>
        <w:rPr>
          <w:rFonts w:ascii="仿宋" w:hAnsi="仿宋" w:cs="仿宋" w:eastAsia="仿宋"/>
          <w:sz w:val="24"/>
        </w:rPr>
        <w:t>乙方</w:t>
      </w:r>
      <w:r>
        <w:rPr>
          <w:rFonts w:ascii="仿宋" w:hAnsi="仿宋" w:cs="仿宋" w:eastAsia="仿宋"/>
          <w:sz w:val="24"/>
        </w:rPr>
        <w:t>主动更换项目小组人员不得超过总人数的</w:t>
      </w:r>
      <w:r>
        <w:rPr>
          <w:rFonts w:ascii="仿宋" w:hAnsi="仿宋" w:cs="仿宋" w:eastAsia="仿宋"/>
          <w:sz w:val="24"/>
        </w:rPr>
        <w:t>50%。</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w:t>
      </w:r>
      <w:r>
        <w:rPr>
          <w:rFonts w:ascii="仿宋" w:hAnsi="仿宋" w:cs="仿宋" w:eastAsia="仿宋"/>
          <w:sz w:val="24"/>
        </w:rPr>
        <w:t>应安排技术人员，</w:t>
      </w:r>
      <w:r>
        <w:rPr>
          <w:rFonts w:ascii="仿宋" w:hAnsi="仿宋" w:cs="仿宋" w:eastAsia="仿宋"/>
          <w:sz w:val="24"/>
        </w:rPr>
        <w:t>根据甲方需求</w:t>
      </w:r>
      <w:r>
        <w:rPr>
          <w:rFonts w:ascii="仿宋" w:hAnsi="仿宋" w:cs="仿宋" w:eastAsia="仿宋"/>
          <w:sz w:val="24"/>
        </w:rPr>
        <w:t>完成各系统项目技术文档编写工作，包括但不限于规划、设计、实施、测试、上线、运维维护等技术手册。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乙方</w:t>
      </w:r>
      <w:r>
        <w:rPr>
          <w:rFonts w:ascii="仿宋" w:hAnsi="仿宋" w:cs="仿宋" w:eastAsia="仿宋"/>
          <w:sz w:val="24"/>
        </w:rPr>
        <w:t>需</w:t>
      </w:r>
      <w:r>
        <w:rPr>
          <w:rFonts w:ascii="仿宋" w:hAnsi="仿宋" w:cs="仿宋" w:eastAsia="仿宋"/>
          <w:sz w:val="24"/>
        </w:rPr>
        <w:t>根据甲方需求</w:t>
      </w:r>
      <w:r>
        <w:rPr>
          <w:rFonts w:ascii="仿宋" w:hAnsi="仿宋" w:cs="仿宋" w:eastAsia="仿宋"/>
          <w:sz w:val="24"/>
        </w:rPr>
        <w:t>提供项目组成员名单及联系方式（包括手机及电子邮件等），提供项目组成员资质、在本公司工作年限、社保等证明资料。</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项目组应协助、配合甲方的工作，按照甲方提出并经甲方同意的技术要求和实施计划要求，配合其开展工程实施工作。在工程实施过程中，服从甲方的统一管理，严格执行相关管理制度和标准规范，协调原广商技术人员参与工程实施。</w:t>
      </w:r>
    </w:p>
    <w:p>
      <w:pPr>
        <w:pStyle w:val="null3"/>
        <w:ind w:firstLine="480"/>
        <w:jc w:val="both"/>
      </w:pPr>
      <w:r>
        <w:rPr>
          <w:rFonts w:ascii="仿宋" w:hAnsi="仿宋" w:cs="仿宋" w:eastAsia="仿宋"/>
          <w:sz w:val="24"/>
        </w:rPr>
        <w:t>7.</w:t>
      </w:r>
      <w:r>
        <w:rPr>
          <w:rFonts w:ascii="仿宋" w:hAnsi="仿宋" w:cs="仿宋" w:eastAsia="仿宋"/>
          <w:sz w:val="24"/>
        </w:rPr>
        <w:t>4</w:t>
      </w:r>
      <w:r>
        <w:rPr>
          <w:rFonts w:ascii="calibri" w:hAnsi="calibri" w:cs="calibri" w:eastAsia="calibri"/>
          <w:sz w:val="21"/>
        </w:rPr>
        <w:t xml:space="preserve"> </w:t>
      </w:r>
      <w:r>
        <w:rPr>
          <w:rFonts w:ascii="仿宋" w:hAnsi="仿宋" w:cs="仿宋" w:eastAsia="仿宋"/>
          <w:sz w:val="24"/>
          <w:b/>
        </w:rPr>
        <w:t>产品技术培训</w:t>
      </w:r>
    </w:p>
    <w:p>
      <w:pPr>
        <w:pStyle w:val="null3"/>
        <w:ind w:firstLine="480"/>
        <w:jc w:val="both"/>
      </w:pPr>
      <w:r>
        <w:rPr>
          <w:rFonts w:ascii="仿宋" w:hAnsi="仿宋" w:cs="仿宋" w:eastAsia="仿宋"/>
          <w:sz w:val="24"/>
        </w:rPr>
        <w:t>乙方需要针对中标产品向甲方免费提供技术培训，包括但不限于开关机操作、健康检查、管理配置、故障排查等。</w:t>
      </w:r>
    </w:p>
    <w:p>
      <w:pPr>
        <w:pStyle w:val="null3"/>
        <w:spacing w:before="150"/>
        <w:ind w:firstLine="482"/>
        <w:jc w:val="both"/>
      </w:pPr>
      <w:r>
        <w:rPr>
          <w:rFonts w:ascii="仿宋" w:hAnsi="仿宋" w:cs="仿宋" w:eastAsia="仿宋"/>
          <w:sz w:val="24"/>
          <w:b/>
        </w:rPr>
        <w:t>第八条</w:t>
      </w:r>
      <w:r>
        <w:rPr>
          <w:rFonts w:ascii="仿宋" w:hAnsi="仿宋" w:cs="仿宋" w:eastAsia="仿宋"/>
          <w:sz w:val="24"/>
          <w:b/>
        </w:rPr>
        <w:t>违约责任</w:t>
      </w:r>
    </w:p>
    <w:p>
      <w:pPr>
        <w:pStyle w:val="null3"/>
        <w:ind w:firstLine="480"/>
        <w:jc w:val="both"/>
      </w:pPr>
      <w:r>
        <w:rPr>
          <w:rFonts w:ascii="仿宋" w:hAnsi="仿宋" w:cs="仿宋" w:eastAsia="仿宋"/>
          <w:sz w:val="24"/>
        </w:rPr>
        <w:t>8</w:t>
      </w:r>
      <w:r>
        <w:rPr>
          <w:rFonts w:ascii="仿宋" w:hAnsi="仿宋" w:cs="仿宋" w:eastAsia="仿宋"/>
          <w:sz w:val="24"/>
        </w:rPr>
        <w:t>.1 乙方</w:t>
      </w:r>
      <w:r>
        <w:rPr>
          <w:rFonts w:ascii="仿宋" w:hAnsi="仿宋" w:cs="仿宋" w:eastAsia="仿宋"/>
          <w:sz w:val="24"/>
        </w:rPr>
        <w:t>提供的服务不满足附件三重要性为</w:t>
      </w:r>
      <w:r>
        <w:rPr>
          <w:rFonts w:ascii="仿宋" w:hAnsi="仿宋" w:cs="仿宋" w:eastAsia="仿宋"/>
          <w:sz w:val="24"/>
        </w:rPr>
        <w:t>“★”项或出具承诺函的“#”项的任何技术要求的，每项按合同总金额5%的比例向甲方支付违约金，</w:t>
      </w:r>
      <w:r>
        <w:rPr>
          <w:rFonts w:ascii="仿宋" w:hAnsi="仿宋" w:cs="仿宋" w:eastAsia="仿宋"/>
          <w:sz w:val="24"/>
        </w:rPr>
        <w:t>并赔偿给甲方造成的损失，</w:t>
      </w:r>
      <w:r>
        <w:rPr>
          <w:rFonts w:ascii="仿宋" w:hAnsi="仿宋" w:cs="仿宋" w:eastAsia="仿宋"/>
          <w:sz w:val="24"/>
        </w:rPr>
        <w:t>同时甲方有权解除合同</w:t>
      </w:r>
      <w:r>
        <w:rPr>
          <w:rFonts w:ascii="仿宋" w:hAnsi="仿宋" w:cs="仿宋" w:eastAsia="仿宋"/>
          <w:sz w:val="24"/>
        </w:rPr>
        <w:t>，且无需承担任何责任</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rPr>
        <w:t>如因乙方原因不能完全履约提供合同所列产品的，乙方应在接到甲方书面通知二十（</w:t>
      </w:r>
      <w:r>
        <w:rPr>
          <w:rFonts w:ascii="仿宋" w:hAnsi="仿宋" w:cs="仿宋" w:eastAsia="仿宋"/>
          <w:sz w:val="24"/>
        </w:rPr>
        <w:t>20）个工作日内退还甲方已经支付的全部费用，按合同总额的5%向甲方支付违约金，并承担由此给甲方造成的一切损失</w:t>
      </w:r>
      <w:r>
        <w:rPr>
          <w:rFonts w:ascii="宋体" w:hAnsi="宋体" w:cs="宋体" w:eastAsia="宋体"/>
          <w:sz w:val="21"/>
        </w:rPr>
        <w:t>。</w:t>
      </w:r>
    </w:p>
    <w:p>
      <w:pPr>
        <w:pStyle w:val="null3"/>
        <w:ind w:firstLine="480"/>
        <w:jc w:val="both"/>
      </w:pPr>
      <w:r>
        <w:rPr>
          <w:rFonts w:ascii="仿宋" w:hAnsi="仿宋" w:cs="仿宋" w:eastAsia="仿宋"/>
          <w:sz w:val="24"/>
        </w:rPr>
        <w:t xml:space="preserve">8.3 </w:t>
      </w:r>
      <w:r>
        <w:rPr>
          <w:rFonts w:ascii="仿宋" w:hAnsi="仿宋" w:cs="仿宋" w:eastAsia="仿宋"/>
          <w:sz w:val="24"/>
        </w:rPr>
        <w:t>乙方逾期交货的，或者乙方逾期完成</w:t>
      </w:r>
      <w:r>
        <w:rPr>
          <w:rFonts w:ascii="仿宋" w:hAnsi="仿宋" w:cs="仿宋" w:eastAsia="仿宋"/>
          <w:sz w:val="24"/>
        </w:rPr>
        <w:t>安装调试服务及验收</w:t>
      </w:r>
      <w:r>
        <w:rPr>
          <w:rFonts w:ascii="仿宋" w:hAnsi="仿宋" w:cs="仿宋" w:eastAsia="仿宋"/>
          <w:sz w:val="24"/>
        </w:rPr>
        <w:t>，或者逾期完成</w:t>
      </w:r>
      <w:r>
        <w:rPr>
          <w:rFonts w:ascii="仿宋" w:hAnsi="仿宋" w:cs="仿宋" w:eastAsia="仿宋"/>
          <w:sz w:val="24"/>
        </w:rPr>
        <w:t>最终验收</w:t>
      </w:r>
      <w:r>
        <w:rPr>
          <w:rFonts w:ascii="仿宋" w:hAnsi="仿宋" w:cs="仿宋" w:eastAsia="仿宋"/>
          <w:sz w:val="24"/>
        </w:rPr>
        <w:t>等的，每逾期</w:t>
      </w:r>
      <w:r>
        <w:rPr>
          <w:rFonts w:ascii="仿宋" w:hAnsi="仿宋" w:cs="仿宋" w:eastAsia="仿宋"/>
          <w:sz w:val="24"/>
        </w:rPr>
        <w:t>1日，按照合同总金额</w:t>
      </w:r>
      <w:r>
        <w:rPr>
          <w:rFonts w:ascii="仿宋" w:hAnsi="仿宋" w:cs="仿宋" w:eastAsia="仿宋"/>
          <w:sz w:val="24"/>
        </w:rPr>
        <w:t>1.5‰</w:t>
      </w:r>
      <w:r>
        <w:rPr>
          <w:rFonts w:ascii="仿宋" w:hAnsi="仿宋" w:cs="仿宋" w:eastAsia="仿宋"/>
          <w:sz w:val="24"/>
        </w:rPr>
        <w:t>的比例向甲方支付违约金，</w:t>
      </w:r>
      <w:r>
        <w:rPr>
          <w:rFonts w:ascii="仿宋" w:hAnsi="仿宋" w:cs="仿宋" w:eastAsia="仿宋"/>
          <w:sz w:val="24"/>
        </w:rPr>
        <w:t>并赔偿给甲方造成的损失</w:t>
      </w:r>
      <w:r>
        <w:rPr>
          <w:rFonts w:ascii="仿宋" w:hAnsi="仿宋" w:cs="仿宋" w:eastAsia="仿宋"/>
          <w:sz w:val="24"/>
        </w:rPr>
        <w:t>。逾期超过</w:t>
      </w:r>
      <w:r>
        <w:rPr>
          <w:rFonts w:ascii="仿宋" w:hAnsi="仿宋" w:cs="仿宋" w:eastAsia="仿宋"/>
          <w:sz w:val="24"/>
        </w:rPr>
        <w:t>1</w:t>
      </w:r>
      <w:r>
        <w:rPr>
          <w:rFonts w:ascii="仿宋" w:hAnsi="仿宋" w:cs="仿宋" w:eastAsia="仿宋"/>
          <w:sz w:val="24"/>
        </w:rPr>
        <w:t>0</w:t>
      </w:r>
      <w:r>
        <w:rPr>
          <w:rFonts w:ascii="仿宋" w:hAnsi="仿宋" w:cs="仿宋" w:eastAsia="仿宋"/>
          <w:sz w:val="24"/>
        </w:rPr>
        <w:t>日，视为乙方根本违约，甲方有权解除合同，并要求乙方按照合同总金额的</w:t>
      </w:r>
      <w:r>
        <w:rPr>
          <w:rFonts w:ascii="仿宋" w:hAnsi="仿宋" w:cs="仿宋" w:eastAsia="仿宋"/>
          <w:sz w:val="24"/>
        </w:rPr>
        <w:t>3</w:t>
      </w:r>
      <w:r>
        <w:rPr>
          <w:rFonts w:ascii="仿宋" w:hAnsi="仿宋" w:cs="仿宋" w:eastAsia="仿宋"/>
          <w:sz w:val="24"/>
        </w:rPr>
        <w:t>0</w:t>
      </w:r>
      <w:r>
        <w:rPr>
          <w:rFonts w:ascii="仿宋" w:hAnsi="仿宋" w:cs="仿宋" w:eastAsia="仿宋"/>
          <w:sz w:val="24"/>
        </w:rPr>
        <w:t>%向甲方支付违约金，乙方还应</w:t>
      </w:r>
      <w:r>
        <w:rPr>
          <w:rFonts w:ascii="仿宋" w:hAnsi="仿宋" w:cs="仿宋" w:eastAsia="仿宋"/>
          <w:sz w:val="24"/>
        </w:rPr>
        <w:t>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.4 乙方未按照约定时间响应甲方服务需求的，每逾期响应或延期到场1</w:t>
      </w:r>
      <w:r>
        <w:rPr>
          <w:rFonts w:ascii="仿宋" w:hAnsi="仿宋" w:cs="仿宋" w:eastAsia="仿宋"/>
          <w:sz w:val="24"/>
        </w:rPr>
        <w:t>日</w:t>
      </w:r>
      <w:r>
        <w:rPr>
          <w:rFonts w:ascii="仿宋" w:hAnsi="仿宋" w:cs="仿宋" w:eastAsia="仿宋"/>
          <w:sz w:val="24"/>
        </w:rPr>
        <w:t>，</w:t>
      </w:r>
      <w:r>
        <w:rPr>
          <w:rFonts w:ascii="仿宋" w:hAnsi="仿宋" w:cs="仿宋" w:eastAsia="仿宋"/>
          <w:sz w:val="24"/>
        </w:rPr>
        <w:t>按照</w:t>
      </w:r>
      <w:r>
        <w:rPr>
          <w:rFonts w:ascii="仿宋" w:hAnsi="仿宋" w:cs="仿宋" w:eastAsia="仿宋"/>
          <w:sz w:val="24"/>
        </w:rPr>
        <w:t>合同总金额</w:t>
      </w:r>
      <w:r>
        <w:rPr>
          <w:rFonts w:ascii="仿宋" w:hAnsi="仿宋" w:cs="仿宋" w:eastAsia="仿宋"/>
          <w:sz w:val="24"/>
        </w:rPr>
        <w:t>的</w:t>
      </w:r>
      <w:r>
        <w:rPr>
          <w:rFonts w:ascii="仿宋" w:hAnsi="仿宋" w:cs="仿宋" w:eastAsia="仿宋"/>
          <w:sz w:val="24"/>
        </w:rPr>
        <w:t>1.5‰承担违约责任，累计超过10日，视为乙方根本违约，甲方有权解除合同。</w:t>
      </w:r>
    </w:p>
    <w:p>
      <w:pPr>
        <w:pStyle w:val="null3"/>
        <w:ind w:firstLine="480"/>
        <w:jc w:val="both"/>
      </w:pPr>
      <w:r>
        <w:rPr>
          <w:rFonts w:ascii="仿宋" w:hAnsi="仿宋" w:cs="仿宋" w:eastAsia="仿宋"/>
          <w:sz w:val="24"/>
        </w:rPr>
        <w:t>8</w:t>
      </w:r>
      <w:r>
        <w:rPr>
          <w:rFonts w:ascii="仿宋" w:hAnsi="仿宋" w:cs="仿宋" w:eastAsia="仿宋"/>
          <w:sz w:val="24"/>
        </w:rPr>
        <w:t>.5 乙方违反其维护、培训</w:t>
      </w:r>
      <w:r>
        <w:rPr>
          <w:rFonts w:ascii="仿宋" w:hAnsi="仿宋" w:cs="仿宋" w:eastAsia="仿宋"/>
          <w:sz w:val="24"/>
        </w:rPr>
        <w:t>及合同其他义务的</w:t>
      </w:r>
      <w:r>
        <w:rPr>
          <w:rFonts w:ascii="仿宋" w:hAnsi="仿宋" w:cs="仿宋" w:eastAsia="仿宋"/>
          <w:sz w:val="24"/>
        </w:rPr>
        <w:t>，</w:t>
      </w:r>
      <w:r>
        <w:rPr>
          <w:rFonts w:ascii="仿宋" w:hAnsi="仿宋" w:cs="仿宋" w:eastAsia="仿宋"/>
          <w:sz w:val="24"/>
        </w:rPr>
        <w:t>除本合同另行约定违约责任外，</w:t>
      </w:r>
      <w:r>
        <w:rPr>
          <w:rFonts w:ascii="仿宋" w:hAnsi="仿宋" w:cs="仿宋" w:eastAsia="仿宋"/>
          <w:sz w:val="24"/>
        </w:rPr>
        <w:t>应按合同总金额</w:t>
      </w:r>
      <w:r>
        <w:rPr>
          <w:rFonts w:ascii="仿宋" w:hAnsi="仿宋" w:cs="仿宋" w:eastAsia="仿宋"/>
          <w:sz w:val="24"/>
        </w:rPr>
        <w:t>1%的比例向甲方支付违约金</w:t>
      </w:r>
      <w:r>
        <w:rPr>
          <w:rFonts w:ascii="仿宋" w:hAnsi="仿宋" w:cs="仿宋" w:eastAsia="仿宋"/>
          <w:sz w:val="24"/>
        </w:rPr>
        <w:t>，并赔偿给甲方造成的</w:t>
      </w:r>
      <w:r>
        <w:rPr>
          <w:rFonts w:ascii="仿宋" w:hAnsi="仿宋" w:cs="仿宋" w:eastAsia="仿宋"/>
          <w:sz w:val="24"/>
        </w:rPr>
        <w:t>损失。</w:t>
      </w:r>
    </w:p>
    <w:p>
      <w:pPr>
        <w:pStyle w:val="null3"/>
        <w:ind w:firstLine="480"/>
        <w:jc w:val="both"/>
      </w:pPr>
      <w:r>
        <w:rPr>
          <w:rFonts w:ascii="仿宋" w:hAnsi="仿宋" w:cs="仿宋" w:eastAsia="仿宋"/>
          <w:sz w:val="24"/>
        </w:rPr>
        <w:t>8</w:t>
      </w:r>
      <w:r>
        <w:rPr>
          <w:rFonts w:ascii="仿宋" w:hAnsi="仿宋" w:cs="仿宋" w:eastAsia="仿宋"/>
          <w:sz w:val="24"/>
        </w:rPr>
        <w:t>.6 乙方需按照本项目要求指定1名团队负责人，在服务周期内全程组织参与相关工作。如更换团队负责人，</w:t>
      </w:r>
      <w:r>
        <w:rPr>
          <w:rFonts w:ascii="仿宋" w:hAnsi="仿宋" w:cs="仿宋" w:eastAsia="仿宋"/>
          <w:sz w:val="24"/>
        </w:rPr>
        <w:t>须提前一个月向甲方书面申请并征得甲方书面同意，否则扣除合同总金额的</w:t>
      </w:r>
      <w:r>
        <w:rPr>
          <w:rFonts w:ascii="仿宋" w:hAnsi="仿宋" w:cs="仿宋" w:eastAsia="仿宋"/>
          <w:sz w:val="24"/>
        </w:rPr>
        <w:t>5%</w:t>
      </w:r>
      <w:r>
        <w:rPr>
          <w:rFonts w:ascii="仿宋" w:hAnsi="仿宋" w:cs="仿宋" w:eastAsia="仿宋"/>
          <w:sz w:val="24"/>
        </w:rPr>
        <w:t>作为违约金</w:t>
      </w:r>
      <w:r>
        <w:rPr>
          <w:rFonts w:ascii="仿宋" w:hAnsi="仿宋" w:cs="仿宋" w:eastAsia="仿宋"/>
          <w:sz w:val="24"/>
        </w:rPr>
        <w:t>。服务周期内</w:t>
      </w:r>
      <w:r>
        <w:rPr>
          <w:rFonts w:ascii="仿宋" w:hAnsi="仿宋" w:cs="仿宋" w:eastAsia="仿宋"/>
          <w:sz w:val="24"/>
        </w:rPr>
        <w:t>团队负责人</w:t>
      </w:r>
      <w:r>
        <w:rPr>
          <w:rFonts w:ascii="仿宋" w:hAnsi="仿宋" w:cs="仿宋" w:eastAsia="仿宋"/>
          <w:sz w:val="24"/>
        </w:rPr>
        <w:t>更换</w:t>
      </w:r>
      <w:r>
        <w:rPr>
          <w:rFonts w:ascii="仿宋" w:hAnsi="仿宋" w:cs="仿宋" w:eastAsia="仿宋"/>
          <w:sz w:val="24"/>
        </w:rPr>
        <w:t>2次（不含）以上，每再更换1次将扣除合同总金额的5%</w:t>
      </w:r>
      <w:r>
        <w:rPr>
          <w:rFonts w:ascii="仿宋" w:hAnsi="仿宋" w:cs="仿宋" w:eastAsia="仿宋"/>
          <w:sz w:val="24"/>
        </w:rPr>
        <w:t>作为违约金</w:t>
      </w:r>
      <w:r>
        <w:rPr>
          <w:rFonts w:ascii="仿宋" w:hAnsi="仿宋" w:cs="仿宋" w:eastAsia="仿宋"/>
          <w:sz w:val="24"/>
        </w:rPr>
        <w:t>，即自第</w:t>
      </w:r>
      <w:r>
        <w:rPr>
          <w:rFonts w:ascii="仿宋" w:hAnsi="仿宋" w:cs="仿宋" w:eastAsia="仿宋"/>
          <w:sz w:val="24"/>
        </w:rPr>
        <w:t>3次（含）更换，</w:t>
      </w:r>
      <w:r>
        <w:rPr>
          <w:rFonts w:ascii="仿宋" w:hAnsi="仿宋" w:cs="仿宋" w:eastAsia="仿宋"/>
          <w:sz w:val="24"/>
        </w:rPr>
        <w:t>每更换一次</w:t>
      </w:r>
      <w:r>
        <w:rPr>
          <w:rFonts w:ascii="仿宋" w:hAnsi="仿宋" w:cs="仿宋" w:eastAsia="仿宋"/>
          <w:sz w:val="24"/>
        </w:rPr>
        <w:t>扣除合同总金额</w:t>
      </w:r>
      <w:r>
        <w:rPr>
          <w:rFonts w:ascii="仿宋" w:hAnsi="仿宋" w:cs="仿宋" w:eastAsia="仿宋"/>
          <w:sz w:val="24"/>
        </w:rPr>
        <w:t>5%/次作为违约金。</w:t>
      </w:r>
    </w:p>
    <w:p>
      <w:pPr>
        <w:pStyle w:val="null3"/>
        <w:ind w:firstLine="480"/>
        <w:jc w:val="both"/>
      </w:pPr>
      <w:r>
        <w:rPr>
          <w:rFonts w:ascii="仿宋" w:hAnsi="仿宋" w:cs="仿宋" w:eastAsia="仿宋"/>
          <w:sz w:val="24"/>
        </w:rPr>
        <w:t>8</w:t>
      </w:r>
      <w:r>
        <w:rPr>
          <w:rFonts w:ascii="仿宋" w:hAnsi="仿宋" w:cs="仿宋" w:eastAsia="仿宋"/>
          <w:sz w:val="24"/>
        </w:rPr>
        <w:t>.7 甲方对乙方的有效投诉超过3次（不含）以上,乙方每次应按合同总金额的</w:t>
      </w:r>
      <w:r>
        <w:rPr>
          <w:rFonts w:ascii="仿宋" w:hAnsi="仿宋" w:cs="仿宋" w:eastAsia="仿宋"/>
          <w:sz w:val="24"/>
        </w:rPr>
        <w:t>2</w:t>
      </w:r>
      <w:r>
        <w:rPr>
          <w:rFonts w:ascii="仿宋" w:hAnsi="仿宋" w:cs="仿宋" w:eastAsia="仿宋"/>
          <w:sz w:val="24"/>
        </w:rPr>
        <w:t>‰</w:t>
      </w:r>
      <w:r>
        <w:rPr>
          <w:rFonts w:ascii="仿宋" w:hAnsi="仿宋" w:cs="仿宋" w:eastAsia="仿宋"/>
          <w:sz w:val="24"/>
        </w:rPr>
        <w:t>向甲方支付违约金。有效投诉是指乙方未按照合同及附件规定的方式、时间提供技术服务等</w:t>
      </w:r>
      <w:r>
        <w:rPr>
          <w:rFonts w:ascii="仿宋" w:hAnsi="仿宋" w:cs="仿宋" w:eastAsia="仿宋"/>
          <w:sz w:val="24"/>
        </w:rPr>
        <w:t>,</w:t>
      </w:r>
      <w:r>
        <w:rPr>
          <w:rFonts w:ascii="仿宋" w:hAnsi="仿宋" w:cs="仿宋" w:eastAsia="仿宋"/>
          <w:sz w:val="24"/>
        </w:rPr>
        <w:t>以及甲方对乙方的服务人员及任何相关服务提出异议等。</w:t>
      </w:r>
    </w:p>
    <w:p>
      <w:pPr>
        <w:pStyle w:val="null3"/>
        <w:ind w:firstLine="480"/>
        <w:jc w:val="both"/>
      </w:pPr>
      <w:r>
        <w:rPr>
          <w:rFonts w:ascii="仿宋" w:hAnsi="仿宋" w:cs="仿宋" w:eastAsia="仿宋"/>
          <w:sz w:val="24"/>
        </w:rPr>
        <w:t>8</w:t>
      </w:r>
      <w:r>
        <w:rPr>
          <w:rFonts w:ascii="仿宋" w:hAnsi="仿宋" w:cs="仿宋" w:eastAsia="仿宋"/>
          <w:sz w:val="24"/>
        </w:rPr>
        <w:t>.8 乙方或乙方技术人员在提供服务时或提供服务外造成甲方设施、材料及甲方客户、物品损坏或损失的，由乙方承担所有的赔偿责任。</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9</w:t>
      </w:r>
      <w:r>
        <w:rPr>
          <w:rFonts w:ascii="calibri" w:hAnsi="calibri" w:cs="calibri" w:eastAsia="calibri"/>
          <w:sz w:val="21"/>
        </w:rPr>
        <w:t xml:space="preserve"> </w:t>
      </w:r>
      <w:r>
        <w:rPr>
          <w:rFonts w:ascii="仿宋" w:hAnsi="仿宋" w:cs="仿宋" w:eastAsia="仿宋"/>
          <w:sz w:val="24"/>
        </w:rPr>
        <w:t>乙方应确保其提供的服务不会对甲方产生不利影响。如果因此给甲方造成不利影响，或影响甲方的正常工作，乙方应赔偿甲方因此而遭受的一切损失。</w:t>
      </w:r>
    </w:p>
    <w:p>
      <w:pPr>
        <w:pStyle w:val="null3"/>
        <w:ind w:firstLine="480"/>
        <w:jc w:val="both"/>
      </w:pPr>
      <w:r>
        <w:rPr>
          <w:rFonts w:ascii="仿宋" w:hAnsi="仿宋" w:cs="仿宋" w:eastAsia="仿宋"/>
          <w:sz w:val="24"/>
        </w:rPr>
        <w:t>8</w:t>
      </w:r>
      <w:r>
        <w:rPr>
          <w:rFonts w:ascii="仿宋" w:hAnsi="仿宋" w:cs="仿宋" w:eastAsia="仿宋"/>
          <w:sz w:val="24"/>
        </w:rPr>
        <w:t xml:space="preserve">.10 </w:t>
      </w:r>
      <w:r>
        <w:rPr>
          <w:rFonts w:ascii="仿宋" w:hAnsi="仿宋" w:cs="仿宋" w:eastAsia="仿宋"/>
          <w:sz w:val="24"/>
        </w:rPr>
        <w:t>乙方违反本合同保密约定或保密承诺书（附件一）任一条款的，甲方有权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w:t>
      </w:r>
      <w:r>
        <w:rPr>
          <w:rFonts w:ascii="仿宋" w:hAnsi="仿宋" w:cs="仿宋" w:eastAsia="仿宋"/>
          <w:sz w:val="24"/>
        </w:rPr>
        <w:t>1 乙方违反本合同廉洁共建承诺书（附件二）任一条款的，</w:t>
      </w:r>
      <w:r>
        <w:rPr>
          <w:rFonts w:ascii="仿宋" w:hAnsi="仿宋" w:cs="仿宋" w:eastAsia="仿宋"/>
          <w:sz w:val="24"/>
        </w:rPr>
        <w:t>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 xml:space="preserve">8.12 </w:t>
      </w:r>
      <w:r>
        <w:rPr>
          <w:rFonts w:ascii="仿宋" w:hAnsi="仿宋" w:cs="仿宋" w:eastAsia="仿宋"/>
          <w:sz w:val="24"/>
        </w:rPr>
        <w:t>乙方未按约定擅自将本合同项下权利义务转包或分包给第三方的，甲方有权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20个工作日内向甲方支付合同金额5%的违约金，</w:t>
      </w:r>
      <w:r>
        <w:rPr>
          <w:rFonts w:ascii="仿宋" w:hAnsi="仿宋" w:cs="仿宋" w:eastAsia="仿宋"/>
          <w:sz w:val="24"/>
        </w:rPr>
        <w:t>并赔偿给甲方造成的损失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13 乙方出现上述任一违约情形，或出现向人民银行系统单位进行商业贿赂、列入失信被执行人等情形的，甲方有权解除合同，由此造成甲方的损失由乙方赔偿，且甲方有权报告上级主管部门。乙方承诺如出现上述情况，未来不再参与甲方采购活动。</w:t>
      </w:r>
    </w:p>
    <w:p>
      <w:pPr>
        <w:pStyle w:val="null3"/>
        <w:ind w:firstLine="480"/>
        <w:jc w:val="both"/>
      </w:pPr>
      <w:r>
        <w:rPr>
          <w:rFonts w:ascii="仿宋" w:hAnsi="仿宋" w:cs="仿宋" w:eastAsia="仿宋"/>
          <w:sz w:val="24"/>
        </w:rPr>
        <w:t>8</w:t>
      </w:r>
      <w:r>
        <w:rPr>
          <w:rFonts w:ascii="仿宋" w:hAnsi="仿宋" w:cs="仿宋" w:eastAsia="仿宋"/>
          <w:sz w:val="24"/>
        </w:rPr>
        <w:t>.14 如果违约方在收到守约方关于违约金额的正式书面通知两周内没有答复，则守约方提出的违约金额将视为被违约方接受。</w:t>
      </w:r>
    </w:p>
    <w:p>
      <w:pPr>
        <w:pStyle w:val="null3"/>
        <w:ind w:firstLine="480"/>
        <w:jc w:val="both"/>
      </w:pPr>
      <w:r>
        <w:rPr>
          <w:rFonts w:ascii="仿宋" w:hAnsi="仿宋" w:cs="仿宋" w:eastAsia="仿宋"/>
          <w:sz w:val="24"/>
        </w:rPr>
        <w:t>8</w:t>
      </w:r>
      <w:r>
        <w:rPr>
          <w:rFonts w:ascii="仿宋" w:hAnsi="仿宋" w:cs="仿宋" w:eastAsia="仿宋"/>
          <w:sz w:val="24"/>
        </w:rPr>
        <w:t>.15 任何一方在其违约情形出现之后的3个月内未采取合理有效的补救措施，另一方有权解除合同并提出索赔，双方将根据《中华人民共和国民法典》处理善后事宜。</w:t>
      </w:r>
    </w:p>
    <w:p>
      <w:pPr>
        <w:pStyle w:val="null3"/>
        <w:ind w:firstLine="480"/>
        <w:jc w:val="both"/>
      </w:pPr>
      <w:r>
        <w:rPr>
          <w:rFonts w:ascii="仿宋" w:hAnsi="仿宋" w:cs="仿宋" w:eastAsia="仿宋"/>
          <w:sz w:val="24"/>
        </w:rPr>
        <w:t>8</w:t>
      </w:r>
      <w:r>
        <w:rPr>
          <w:rFonts w:ascii="仿宋" w:hAnsi="仿宋" w:cs="仿宋" w:eastAsia="仿宋"/>
          <w:sz w:val="24"/>
        </w:rPr>
        <w:t>.16 乙方存在违约行为的，除承担违约金外，还应赔偿给甲方造成的损失。</w:t>
      </w:r>
      <w:r>
        <w:rPr>
          <w:rFonts w:ascii="仿宋" w:hAnsi="仿宋" w:cs="仿宋" w:eastAsia="仿宋"/>
          <w:sz w:val="24"/>
        </w:rPr>
        <w:t>该等甲方损失包括但不限于诉讼费、仲裁费、律师费、调查费、第三方主张的赔偿金以及其他因此支付的合理开支。</w:t>
      </w:r>
      <w:r>
        <w:rPr>
          <w:rFonts w:ascii="仿宋" w:hAnsi="仿宋" w:cs="仿宋" w:eastAsia="仿宋"/>
          <w:sz w:val="24"/>
        </w:rPr>
        <w:t>此外，甲方有权直接从未支付款项中扣除相应金额的款项作为乙方应支付的违约金或赔偿金。</w:t>
      </w:r>
    </w:p>
    <w:p>
      <w:pPr>
        <w:pStyle w:val="null3"/>
        <w:ind w:firstLine="480"/>
        <w:jc w:val="both"/>
      </w:pPr>
      <w:r>
        <w:rPr>
          <w:rFonts w:ascii="仿宋" w:hAnsi="仿宋" w:cs="仿宋" w:eastAsia="仿宋"/>
          <w:sz w:val="24"/>
        </w:rPr>
        <w:t>8</w:t>
      </w:r>
      <w:r>
        <w:rPr>
          <w:rFonts w:ascii="仿宋" w:hAnsi="仿宋" w:cs="仿宋" w:eastAsia="仿宋"/>
          <w:sz w:val="24"/>
        </w:rPr>
        <w:t>.17 甲乙双方承担违约责任并不影响双方继续履行合同未履行的部分。</w:t>
      </w:r>
    </w:p>
    <w:p>
      <w:pPr>
        <w:pStyle w:val="null3"/>
        <w:spacing w:before="150"/>
        <w:ind w:firstLine="482"/>
        <w:jc w:val="both"/>
      </w:pPr>
      <w:r>
        <w:rPr>
          <w:rFonts w:ascii="仿宋" w:hAnsi="仿宋" w:cs="仿宋" w:eastAsia="仿宋"/>
          <w:sz w:val="24"/>
          <w:b/>
        </w:rPr>
        <w:t>第九条</w:t>
      </w:r>
      <w:r>
        <w:rPr>
          <w:rFonts w:ascii="仿宋" w:hAnsi="仿宋" w:cs="仿宋" w:eastAsia="仿宋"/>
          <w:sz w:val="24"/>
          <w:b/>
        </w:rPr>
        <w:t>保密约定</w:t>
      </w:r>
    </w:p>
    <w:p>
      <w:pPr>
        <w:pStyle w:val="null3"/>
        <w:ind w:firstLine="480"/>
        <w:jc w:val="both"/>
      </w:pPr>
      <w:r>
        <w:rPr>
          <w:rFonts w:ascii="仿宋" w:hAnsi="仿宋" w:cs="仿宋" w:eastAsia="仿宋"/>
          <w:sz w:val="24"/>
        </w:rPr>
        <w:t>9.1 任何一方均应对在本合同履行过程中知悉的有关对方的商业、国家等秘密承担保密义务。除经秘密所有方的同意或法律、法规另有规定，相对方不得向本合同以外的任何第三人提供、泄漏上述秘密，由此给秘密所有方造成损失的，责任方应承担相应责任。</w:t>
      </w:r>
    </w:p>
    <w:p>
      <w:pPr>
        <w:pStyle w:val="null3"/>
        <w:ind w:firstLine="480"/>
        <w:jc w:val="both"/>
      </w:pPr>
      <w:r>
        <w:rPr>
          <w:rFonts w:ascii="仿宋" w:hAnsi="仿宋" w:cs="仿宋" w:eastAsia="仿宋"/>
          <w:sz w:val="24"/>
        </w:rPr>
        <w:t>9</w:t>
      </w:r>
      <w:r>
        <w:rPr>
          <w:rFonts w:ascii="仿宋" w:hAnsi="仿宋" w:cs="仿宋" w:eastAsia="仿宋"/>
          <w:sz w:val="24"/>
        </w:rPr>
        <w:t>.2 除合同本身以外，由甲方提供给乙方的所有资料始终为甲方的财产，乙方应于合同义务履行完毕后将上述资料包括副本退还给甲方。</w:t>
      </w:r>
    </w:p>
    <w:p>
      <w:pPr>
        <w:pStyle w:val="null3"/>
        <w:ind w:firstLine="480"/>
        <w:jc w:val="both"/>
      </w:pPr>
      <w:r>
        <w:rPr>
          <w:rFonts w:ascii="仿宋" w:hAnsi="仿宋" w:cs="仿宋" w:eastAsia="仿宋"/>
          <w:sz w:val="24"/>
        </w:rPr>
        <w:t>9</w:t>
      </w:r>
      <w:r>
        <w:rPr>
          <w:rFonts w:ascii="仿宋" w:hAnsi="仿宋" w:cs="仿宋" w:eastAsia="仿宋"/>
          <w:sz w:val="24"/>
        </w:rPr>
        <w:t>.3 甲方在合同履行过程中涉及到乙方使用人民银行内部资料、信息时，应向乙方明确其内部资料、信息的保密范围、保密期限。</w:t>
      </w:r>
    </w:p>
    <w:p>
      <w:pPr>
        <w:pStyle w:val="null3"/>
        <w:ind w:firstLine="480"/>
        <w:jc w:val="both"/>
      </w:pPr>
      <w:r>
        <w:rPr>
          <w:rFonts w:ascii="仿宋" w:hAnsi="仿宋" w:cs="仿宋" w:eastAsia="仿宋"/>
          <w:sz w:val="24"/>
        </w:rPr>
        <w:t>9.</w:t>
      </w:r>
      <w:r>
        <w:rPr>
          <w:rFonts w:ascii="仿宋" w:hAnsi="仿宋" w:cs="仿宋" w:eastAsia="仿宋"/>
          <w:sz w:val="24"/>
        </w:rPr>
        <w:t xml:space="preserve">4 </w:t>
      </w:r>
      <w:r>
        <w:rPr>
          <w:rFonts w:ascii="仿宋" w:hAnsi="仿宋" w:cs="仿宋" w:eastAsia="仿宋"/>
          <w:sz w:val="24"/>
        </w:rPr>
        <w:t>乙方应严守甲方的秘密，不经甲方批准不得以任何的形式将甲方资料及信息带出工作现场及透露给第三方。</w:t>
      </w:r>
    </w:p>
    <w:p>
      <w:pPr>
        <w:pStyle w:val="null3"/>
        <w:ind w:firstLine="480"/>
        <w:jc w:val="both"/>
      </w:pPr>
      <w:r>
        <w:rPr>
          <w:rFonts w:ascii="仿宋" w:hAnsi="仿宋" w:cs="仿宋" w:eastAsia="仿宋"/>
          <w:sz w:val="24"/>
        </w:rPr>
        <w:t>9.</w:t>
      </w:r>
      <w:r>
        <w:rPr>
          <w:rFonts w:ascii="仿宋" w:hAnsi="仿宋" w:cs="仿宋" w:eastAsia="仿宋"/>
          <w:sz w:val="24"/>
        </w:rPr>
        <w:t xml:space="preserve">5 </w:t>
      </w:r>
      <w:r>
        <w:rPr>
          <w:rFonts w:ascii="仿宋" w:hAnsi="仿宋" w:cs="仿宋" w:eastAsia="仿宋"/>
          <w:sz w:val="24"/>
        </w:rPr>
        <w:t>乙方应与甲方签订保密承诺书（附件一），严格遵守甲方及相关单位的保密规定及要求，对本单位参与人员出具保密承诺书，并要求在规定的保密期内不发生失泄密。如果参与人员在规定的保密期内发生失泄密行为，乙方应承担全部责任，并采取有效措施防止泄密进一步扩大。</w:t>
      </w:r>
    </w:p>
    <w:p>
      <w:pPr>
        <w:pStyle w:val="null3"/>
        <w:ind w:firstLine="480"/>
        <w:jc w:val="both"/>
      </w:pPr>
      <w:r>
        <w:rPr>
          <w:rFonts w:ascii="仿宋" w:hAnsi="仿宋" w:cs="仿宋" w:eastAsia="仿宋"/>
          <w:sz w:val="24"/>
        </w:rPr>
        <w:t>9</w:t>
      </w:r>
      <w:r>
        <w:rPr>
          <w:rFonts w:ascii="仿宋" w:hAnsi="仿宋" w:cs="仿宋" w:eastAsia="仿宋"/>
          <w:sz w:val="24"/>
        </w:rPr>
        <w:t>.6 不论合同是否解除或终止，本条款持续有效。</w:t>
      </w:r>
    </w:p>
    <w:p>
      <w:pPr>
        <w:pStyle w:val="null3"/>
        <w:spacing w:before="150"/>
        <w:ind w:firstLine="482"/>
        <w:jc w:val="both"/>
      </w:pPr>
      <w:r>
        <w:rPr>
          <w:rFonts w:ascii="仿宋" w:hAnsi="仿宋" w:cs="仿宋" w:eastAsia="仿宋"/>
          <w:sz w:val="24"/>
          <w:b/>
        </w:rPr>
        <w:t>第十条</w:t>
      </w:r>
      <w:r>
        <w:rPr>
          <w:rFonts w:ascii="仿宋" w:hAnsi="仿宋" w:cs="仿宋" w:eastAsia="仿宋"/>
          <w:sz w:val="24"/>
          <w:b/>
        </w:rPr>
        <w:t>不可抗力</w:t>
      </w:r>
    </w:p>
    <w:p>
      <w:pPr>
        <w:pStyle w:val="null3"/>
        <w:ind w:firstLine="480"/>
        <w:jc w:val="both"/>
      </w:pPr>
      <w:r>
        <w:rPr>
          <w:rFonts w:ascii="仿宋" w:hAnsi="仿宋" w:cs="仿宋" w:eastAsia="仿宋"/>
          <w:sz w:val="24"/>
        </w:rPr>
        <w:t>不可抗力系指合同双方缔结合同时所不能预见、并且它的发生及其后果是不能克服和不能避免的，并导致合同不能履行或部分不能履行的客观情况（如战争、火灾、洪水、台风、地震等重大自然灾害、疫情以及法律、法规、政策变化），受影响方应立即通知另一方，并于事件发生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个日历日内将有效的证明文件用特快专递给对方确认。如果不可抗力因素的影响将持续</w:t>
      </w:r>
      <w:r>
        <w:rPr>
          <w:rFonts w:ascii="仿宋" w:hAnsi="仿宋" w:cs="仿宋" w:eastAsia="仿宋"/>
          <w:sz w:val="24"/>
        </w:rPr>
        <w:t>6</w:t>
      </w:r>
      <w:r>
        <w:rPr>
          <w:rFonts w:ascii="仿宋" w:hAnsi="仿宋" w:cs="仿宋" w:eastAsia="仿宋"/>
          <w:sz w:val="24"/>
        </w:rPr>
        <w:t>0</w:t>
      </w:r>
      <w:r>
        <w:rPr>
          <w:rFonts w:ascii="仿宋" w:hAnsi="仿宋" w:cs="仿宋" w:eastAsia="仿宋"/>
          <w:sz w:val="24"/>
        </w:rPr>
        <w:t>个日历日以上，甲乙双方应该通过友好谈判的方式，就本合同的进一步实施尽快达成协议。</w:t>
      </w:r>
    </w:p>
    <w:p>
      <w:pPr>
        <w:pStyle w:val="null3"/>
        <w:spacing w:before="150"/>
        <w:ind w:firstLine="482"/>
        <w:jc w:val="both"/>
      </w:pPr>
      <w:r>
        <w:rPr>
          <w:rFonts w:ascii="仿宋" w:hAnsi="仿宋" w:cs="仿宋" w:eastAsia="仿宋"/>
          <w:sz w:val="24"/>
          <w:b/>
        </w:rPr>
        <w:t>第十一条</w:t>
      </w:r>
      <w:r>
        <w:rPr>
          <w:rFonts w:ascii="仿宋" w:hAnsi="仿宋" w:cs="仿宋" w:eastAsia="仿宋"/>
          <w:sz w:val="24"/>
          <w:b/>
        </w:rPr>
        <w:t>争议解决</w:t>
      </w:r>
    </w:p>
    <w:p>
      <w:pPr>
        <w:pStyle w:val="null3"/>
        <w:ind w:firstLine="480"/>
        <w:jc w:val="both"/>
      </w:pPr>
      <w:r>
        <w:rPr>
          <w:rFonts w:ascii="仿宋" w:hAnsi="仿宋" w:cs="仿宋" w:eastAsia="仿宋"/>
          <w:sz w:val="24"/>
        </w:rPr>
        <w:t>1</w:t>
      </w:r>
      <w:r>
        <w:rPr>
          <w:rFonts w:ascii="仿宋" w:hAnsi="仿宋" w:cs="仿宋" w:eastAsia="仿宋"/>
          <w:sz w:val="24"/>
        </w:rPr>
        <w:t>1</w:t>
      </w:r>
      <w:r>
        <w:rPr>
          <w:rFonts w:ascii="仿宋" w:hAnsi="仿宋" w:cs="仿宋" w:eastAsia="仿宋"/>
          <w:sz w:val="24"/>
        </w:rPr>
        <w:t>.1 在执行本合同中所发生的争端，或与本合同有关的一切争端，甲乙双方应通过协商解决。如通过协商方式仍不能解决争议，</w:t>
      </w:r>
      <w:r>
        <w:rPr>
          <w:rFonts w:ascii="仿宋" w:hAnsi="仿宋" w:cs="仿宋" w:eastAsia="仿宋"/>
          <w:sz w:val="24"/>
        </w:rPr>
        <w:t>双方均有权</w:t>
      </w:r>
      <w:r>
        <w:rPr>
          <w:rFonts w:ascii="仿宋" w:hAnsi="仿宋" w:cs="仿宋" w:eastAsia="仿宋"/>
          <w:sz w:val="24"/>
        </w:rPr>
        <w:t>将争端提交北京仲裁委员会仲裁。仲裁应根据《中华人民共和国仲裁法》的规定，按照北京仲裁委员会当时有效的仲裁规则进行。仲裁裁决应为终局裁决，对双方均有约束力。</w:t>
      </w:r>
    </w:p>
    <w:p>
      <w:pPr>
        <w:pStyle w:val="null3"/>
        <w:ind w:firstLine="480"/>
        <w:jc w:val="both"/>
      </w:pPr>
      <w:r>
        <w:rPr>
          <w:rFonts w:ascii="仿宋" w:hAnsi="仿宋" w:cs="仿宋" w:eastAsia="仿宋"/>
          <w:sz w:val="24"/>
        </w:rPr>
        <w:t>1</w:t>
      </w:r>
      <w:r>
        <w:rPr>
          <w:rFonts w:ascii="仿宋" w:hAnsi="仿宋" w:cs="仿宋" w:eastAsia="仿宋"/>
          <w:sz w:val="24"/>
        </w:rPr>
        <w:t xml:space="preserve">1.2 </w:t>
      </w:r>
      <w:r>
        <w:rPr>
          <w:rFonts w:ascii="仿宋" w:hAnsi="仿宋" w:cs="仿宋" w:eastAsia="仿宋"/>
          <w:sz w:val="24"/>
        </w:rPr>
        <w:t>在仲裁期间，除正在进行仲裁部分外，本合同其他部分应继续执行。</w:t>
      </w:r>
    </w:p>
    <w:p>
      <w:pPr>
        <w:pStyle w:val="null3"/>
        <w:spacing w:before="150"/>
        <w:ind w:firstLine="482"/>
        <w:jc w:val="both"/>
      </w:pPr>
      <w:r>
        <w:rPr>
          <w:rFonts w:ascii="仿宋" w:hAnsi="仿宋" w:cs="仿宋" w:eastAsia="仿宋"/>
          <w:sz w:val="24"/>
          <w:b/>
        </w:rPr>
        <w:t>第十二条</w:t>
      </w:r>
      <w:r>
        <w:rPr>
          <w:rFonts w:ascii="仿宋" w:hAnsi="仿宋" w:cs="仿宋" w:eastAsia="仿宋"/>
          <w:sz w:val="24"/>
          <w:b/>
        </w:rPr>
        <w:t>合同的终止</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.1 甲乙双方均不得单方面随意变更或解除合同。出现下列情况时本合同自行终止：</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本合同正常履行完毕；</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甲乙双方在不违反法律、法规规定的情况下协议终止本合同的履行；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不可抗力导致本合同无法履行或履行不必要时，合同自不可抗力发生之日起终止；</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一方不履行合同条款，造成另一方无法执行合同协议，协商又不能求得解决，责任方赔偿损失后，合同终止。</w:t>
      </w:r>
    </w:p>
    <w:p>
      <w:pPr>
        <w:pStyle w:val="null3"/>
        <w:ind w:firstLine="480"/>
        <w:jc w:val="both"/>
      </w:pPr>
      <w:r>
        <w:rPr>
          <w:rFonts w:ascii="仿宋" w:hAnsi="仿宋" w:cs="仿宋" w:eastAsia="仿宋"/>
          <w:sz w:val="24"/>
        </w:rPr>
        <w:t>（</w:t>
      </w:r>
      <w:r>
        <w:rPr>
          <w:rFonts w:ascii="仿宋" w:hAnsi="仿宋" w:cs="仿宋" w:eastAsia="仿宋"/>
          <w:sz w:val="24"/>
        </w:rPr>
        <w:t>5）其他合同约定或法律规定终止合同的情形。</w:t>
      </w:r>
    </w:p>
    <w:p>
      <w:pPr>
        <w:pStyle w:val="null3"/>
        <w:ind w:firstLine="480"/>
        <w:jc w:val="both"/>
      </w:pPr>
      <w:r>
        <w:rPr>
          <w:rFonts w:ascii="仿宋" w:hAnsi="仿宋" w:cs="仿宋" w:eastAsia="仿宋"/>
          <w:sz w:val="24"/>
        </w:rPr>
        <w:t>1</w:t>
      </w:r>
      <w:r>
        <w:rPr>
          <w:rFonts w:ascii="仿宋" w:hAnsi="仿宋" w:cs="仿宋" w:eastAsia="仿宋"/>
          <w:sz w:val="24"/>
        </w:rPr>
        <w:t xml:space="preserve">2.2 </w:t>
      </w:r>
      <w:r>
        <w:rPr>
          <w:rFonts w:ascii="仿宋" w:hAnsi="仿宋" w:cs="仿宋" w:eastAsia="仿宋"/>
          <w:sz w:val="24"/>
        </w:rPr>
        <w:t>本项目服务有效期内，</w:t>
      </w:r>
      <w:r>
        <w:rPr>
          <w:rFonts w:ascii="仿宋" w:hAnsi="仿宋" w:cs="仿宋" w:eastAsia="仿宋"/>
          <w:sz w:val="24"/>
        </w:rPr>
        <w:t>甲方有权根据对乙方服务考核结果决定是否终止合同。若甲方在解除合同后未能及时与新的供应商签订服务合同，需延长一定服务期限，则乙方应根据甲方要求延长服务期限，延长服务期以合同到期日起</w:t>
      </w:r>
      <w:r>
        <w:rPr>
          <w:rFonts w:ascii="仿宋" w:hAnsi="仿宋" w:cs="仿宋" w:eastAsia="仿宋"/>
          <w:sz w:val="24"/>
        </w:rPr>
        <w:t>30日为限。当出现以下情形（不限于下列情形）时，即使乙方年度服务评价达标，甲方仍可以在年度服务期满时终止合同：</w:t>
      </w:r>
    </w:p>
    <w:p>
      <w:pPr>
        <w:pStyle w:val="null3"/>
        <w:ind w:firstLine="480"/>
        <w:jc w:val="both"/>
      </w:pPr>
      <w:r>
        <w:rPr>
          <w:rFonts w:ascii="仿宋" w:hAnsi="仿宋" w:cs="仿宋" w:eastAsia="仿宋"/>
          <w:sz w:val="24"/>
        </w:rPr>
        <w:t>（</w:t>
      </w:r>
      <w:r>
        <w:rPr>
          <w:rFonts w:ascii="仿宋" w:hAnsi="仿宋" w:cs="仿宋" w:eastAsia="仿宋"/>
          <w:sz w:val="24"/>
        </w:rPr>
        <w:t>1）因突发性政策调整或变动，甲方预算或需求发生较大变化，无法继续购买乙方服务；</w:t>
      </w:r>
    </w:p>
    <w:p>
      <w:pPr>
        <w:pStyle w:val="null3"/>
        <w:ind w:firstLine="480"/>
        <w:jc w:val="both"/>
      </w:pPr>
      <w:r>
        <w:rPr>
          <w:rFonts w:ascii="仿宋" w:hAnsi="仿宋" w:cs="仿宋" w:eastAsia="仿宋"/>
          <w:sz w:val="24"/>
        </w:rPr>
        <w:t>（</w:t>
      </w:r>
      <w:r>
        <w:rPr>
          <w:rFonts w:ascii="仿宋" w:hAnsi="仿宋" w:cs="仿宋" w:eastAsia="仿宋"/>
          <w:sz w:val="24"/>
        </w:rPr>
        <w:t>2）其他影响甲方继续履行合同的客观情况。</w:t>
      </w:r>
    </w:p>
    <w:p>
      <w:pPr>
        <w:pStyle w:val="null3"/>
        <w:ind w:firstLine="480"/>
        <w:jc w:val="both"/>
      </w:pPr>
      <w:r>
        <w:rPr>
          <w:rFonts w:ascii="仿宋" w:hAnsi="仿宋" w:cs="仿宋" w:eastAsia="仿宋"/>
          <w:sz w:val="24"/>
        </w:rPr>
        <w:t xml:space="preserve">12.3 </w:t>
      </w:r>
      <w:r>
        <w:rPr>
          <w:rFonts w:ascii="仿宋" w:hAnsi="仿宋" w:cs="仿宋" w:eastAsia="仿宋"/>
          <w:sz w:val="24"/>
        </w:rPr>
        <w:t>若甲方发现项目存在重大风险问题时，甲方有权立即终止合同。</w:t>
      </w:r>
    </w:p>
    <w:p>
      <w:pPr>
        <w:pStyle w:val="null3"/>
        <w:ind w:firstLine="480"/>
        <w:jc w:val="both"/>
      </w:pPr>
      <w:r>
        <w:rPr>
          <w:rFonts w:ascii="仿宋" w:hAnsi="仿宋" w:cs="仿宋" w:eastAsia="仿宋"/>
          <w:sz w:val="24"/>
        </w:rPr>
        <w:t>12</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合同的终止并不影响甲乙双方承担其他法律责任。</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w:t>
      </w:r>
      <w:r>
        <w:rPr>
          <w:rFonts w:ascii="仿宋" w:hAnsi="仿宋" w:cs="仿宋" w:eastAsia="仿宋"/>
          <w:sz w:val="24"/>
        </w:rPr>
        <w:t>5</w:t>
      </w:r>
      <w:r>
        <w:rPr>
          <w:rFonts w:ascii="仿宋" w:hAnsi="仿宋" w:cs="仿宋" w:eastAsia="仿宋"/>
          <w:sz w:val="24"/>
        </w:rPr>
        <w:t xml:space="preserve"> </w:t>
      </w:r>
      <w:r>
        <w:rPr>
          <w:rFonts w:ascii="仿宋" w:hAnsi="仿宋" w:cs="仿宋" w:eastAsia="仿宋"/>
          <w:sz w:val="24"/>
        </w:rPr>
        <w:t>过渡期内双方应履行交接处置义务。</w:t>
      </w:r>
    </w:p>
    <w:p>
      <w:pPr>
        <w:pStyle w:val="null3"/>
        <w:spacing w:before="150"/>
        <w:ind w:firstLine="482"/>
        <w:jc w:val="both"/>
      </w:pPr>
      <w:r>
        <w:rPr>
          <w:rFonts w:ascii="仿宋" w:hAnsi="仿宋" w:cs="仿宋" w:eastAsia="仿宋"/>
          <w:sz w:val="24"/>
          <w:b/>
        </w:rPr>
        <w:t>第十三条</w:t>
      </w:r>
      <w:r>
        <w:rPr>
          <w:rFonts w:ascii="仿宋" w:hAnsi="仿宋" w:cs="仿宋" w:eastAsia="仿宋"/>
          <w:sz w:val="24"/>
          <w:b/>
        </w:rPr>
        <w:t>其他</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 xml:space="preserve">1 </w:t>
      </w:r>
      <w:r>
        <w:rPr>
          <w:rFonts w:ascii="仿宋" w:hAnsi="仿宋" w:cs="仿宋" w:eastAsia="仿宋"/>
          <w:sz w:val="24"/>
        </w:rPr>
        <w:t>本合同如有未尽事宜，须经双方共同协商，签订书面补充协议，与本合同具有同等法律效力。当补充协议与主合同发生冲突时以签订在后的补充协议为准。</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本合同及其附件一式肆份，甲方持贰份，乙方持贰份</w:t>
      </w:r>
      <w:r>
        <w:rPr>
          <w:rFonts w:ascii="仿宋" w:hAnsi="仿宋" w:cs="仿宋" w:eastAsia="仿宋"/>
          <w:sz w:val="24"/>
        </w:rPr>
        <w:t>,经双方法定代表人或其授权代表签字并加盖单位公章时开始生效。</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合同附件：本合同附件是合同不可分割的组成部分，与合同正文具有同等法律效力。当附件与主合同发生冲突时以主合同为准。</w:t>
      </w:r>
    </w:p>
    <w:p>
      <w:pPr>
        <w:pStyle w:val="null3"/>
        <w:ind w:firstLine="480"/>
        <w:jc w:val="both"/>
      </w:pPr>
      <w:r>
        <w:rPr>
          <w:rFonts w:ascii="仿宋" w:hAnsi="仿宋" w:cs="仿宋" w:eastAsia="仿宋"/>
          <w:sz w:val="24"/>
        </w:rPr>
        <w:t>附件一：保密承诺书</w:t>
      </w:r>
    </w:p>
    <w:p>
      <w:pPr>
        <w:pStyle w:val="null3"/>
        <w:ind w:firstLine="480"/>
        <w:jc w:val="both"/>
      </w:pPr>
      <w:r>
        <w:rPr>
          <w:rFonts w:ascii="仿宋" w:hAnsi="仿宋" w:cs="仿宋" w:eastAsia="仿宋"/>
          <w:sz w:val="24"/>
        </w:rPr>
        <w:t>附件二：廉洁共建承诺书</w:t>
      </w:r>
    </w:p>
    <w:p>
      <w:pPr>
        <w:pStyle w:val="null3"/>
        <w:ind w:firstLine="480"/>
        <w:jc w:val="both"/>
      </w:pPr>
      <w:r>
        <w:rPr>
          <w:rFonts w:ascii="仿宋" w:hAnsi="仿宋" w:cs="仿宋" w:eastAsia="仿宋"/>
          <w:sz w:val="24"/>
        </w:rPr>
        <w:t>附件三：项目需求书</w:t>
      </w:r>
    </w:p>
    <w:p>
      <w:pPr>
        <w:pStyle w:val="null3"/>
        <w:ind w:firstLine="480"/>
        <w:jc w:val="both"/>
      </w:pPr>
      <w:r>
        <w:rPr>
          <w:rFonts w:ascii="仿宋" w:hAnsi="仿宋" w:cs="仿宋" w:eastAsia="仿宋"/>
          <w:sz w:val="24"/>
        </w:rPr>
        <w:t>附件四：设备到货验收合格单</w:t>
      </w:r>
    </w:p>
    <w:p>
      <w:pPr>
        <w:pStyle w:val="null3"/>
        <w:ind w:firstLine="480"/>
        <w:jc w:val="both"/>
      </w:pPr>
      <w:r>
        <w:rPr>
          <w:rFonts w:ascii="仿宋" w:hAnsi="仿宋" w:cs="仿宋" w:eastAsia="仿宋"/>
          <w:sz w:val="24"/>
        </w:rPr>
        <w:t>附件五：设备安装调试验收合格单</w:t>
      </w:r>
    </w:p>
    <w:p>
      <w:pPr>
        <w:pStyle w:val="null3"/>
        <w:ind w:firstLine="480"/>
        <w:jc w:val="both"/>
      </w:pPr>
      <w:r>
        <w:rPr>
          <w:rFonts w:ascii="仿宋" w:hAnsi="仿宋" w:cs="仿宋" w:eastAsia="仿宋"/>
          <w:sz w:val="24"/>
        </w:rPr>
        <w:t>附件六：设备最终验收合格单</w:t>
      </w:r>
    </w:p>
    <w:p>
      <w:pPr>
        <w:pStyle w:val="null3"/>
      </w:pPr>
      <w:r>
        <w:rPr>
          <w:rFonts w:ascii="仿宋" w:hAnsi="仿宋" w:cs="仿宋" w:eastAsia="仿宋"/>
          <w:sz w:val="24"/>
          <w:b/>
        </w:rPr>
        <w:t>【签字页】</w:t>
      </w:r>
    </w:p>
    <w:p>
      <w:pPr>
        <w:pStyle w:val="null3"/>
        <w:ind w:firstLine="480"/>
        <w:jc w:val="both"/>
      </w:pPr>
      <w:r>
        <w:rPr>
          <w:rFonts w:ascii="仿宋" w:hAnsi="仿宋" w:cs="仿宋" w:eastAsia="仿宋"/>
          <w:sz w:val="24"/>
        </w:rPr>
        <w:t>甲方：成方金融科技有限公司（盖章）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ind w:firstLine="480"/>
        <w:jc w:val="both"/>
      </w:pPr>
      <w:r>
        <w:rPr>
          <w:rFonts w:ascii="仿宋" w:hAnsi="仿宋" w:cs="仿宋" w:eastAsia="仿宋"/>
          <w:sz w:val="24"/>
        </w:rPr>
        <w:t>乙方：</w:t>
      </w:r>
      <w:r>
        <w:rPr>
          <w:rFonts w:ascii="仿宋" w:hAnsi="仿宋" w:cs="仿宋" w:eastAsia="仿宋"/>
          <w:sz w:val="24"/>
        </w:rPr>
        <w:t>_____________________（盖章）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jc w:val="both"/>
      </w:pPr>
      <w:r>
        <w:rPr>
          <w:rFonts w:ascii="仿宋" w:hAnsi="仿宋" w:cs="仿宋" w:eastAsia="仿宋"/>
          <w:sz w:val="24"/>
        </w:rPr>
        <w:t>附件一</w:t>
      </w:r>
    </w:p>
    <w:p>
      <w:pPr>
        <w:pStyle w:val="null3"/>
      </w:pPr>
      <w:r>
        <w:rPr/>
        <w:t xml:space="preserve"> </w:t>
      </w:r>
    </w:p>
    <w:p>
      <w:pPr>
        <w:pStyle w:val="null3"/>
        <w:jc w:val="center"/>
      </w:pPr>
      <w:r>
        <w:rPr>
          <w:rFonts w:ascii="仿宋" w:hAnsi="仿宋" w:cs="仿宋" w:eastAsia="仿宋"/>
          <w:sz w:val="28"/>
          <w:b/>
        </w:rPr>
        <w:t>保密承诺书</w:t>
      </w:r>
    </w:p>
    <w:p>
      <w:pPr>
        <w:pStyle w:val="null3"/>
        <w:jc w:val="both"/>
      </w:pPr>
      <w:r>
        <w:rPr>
          <w:rFonts w:ascii="仿宋" w:hAnsi="仿宋" w:cs="仿宋" w:eastAsia="仿宋"/>
          <w:sz w:val="24"/>
          <w:shd w:fill="FFFFFF" w:val="clear"/>
        </w:rPr>
        <w:t>成方金融科技有限公司（以下简称甲方）：</w:t>
      </w:r>
    </w:p>
    <w:p>
      <w:pPr>
        <w:pStyle w:val="null3"/>
        <w:ind w:firstLine="480"/>
        <w:jc w:val="both"/>
      </w:pPr>
      <w:r>
        <w:rPr>
          <w:rFonts w:ascii="仿宋" w:hAnsi="仿宋" w:cs="仿宋" w:eastAsia="仿宋"/>
          <w:sz w:val="24"/>
          <w:shd w:fill="FFFFFF" w:val="clear"/>
        </w:rPr>
        <w:t>我方现就本合同有关保密义务事项做出如下承诺：</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我方理解</w:t>
      </w:r>
      <w:r>
        <w:rPr>
          <w:rFonts w:ascii="仿宋" w:hAnsi="仿宋" w:cs="仿宋" w:eastAsia="仿宋"/>
          <w:sz w:val="24"/>
          <w:shd w:fill="FFFFFF" w:val="clear"/>
        </w:rPr>
        <w:t>并承认</w:t>
      </w:r>
      <w:r>
        <w:rPr>
          <w:rFonts w:ascii="仿宋" w:hAnsi="仿宋" w:cs="仿宋" w:eastAsia="仿宋"/>
          <w:sz w:val="24"/>
          <w:shd w:fill="FFFFFF" w:val="clear"/>
        </w:rPr>
        <w:t>，甲方的专有信息、保密信息和商业秘密信息（以下统称</w:t>
      </w:r>
      <w:r>
        <w:rPr>
          <w:rFonts w:ascii="仿宋" w:hAnsi="仿宋" w:cs="仿宋" w:eastAsia="仿宋"/>
          <w:sz w:val="24"/>
          <w:shd w:fill="FFFFFF" w:val="clear"/>
        </w:rPr>
        <w:t>“</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”）是指甲方拥有或持有的、不为外界所公知的、与甲方或甲方的关联公司业务、服务、产品相关的信息，由甲方或其关联公司在本</w:t>
      </w:r>
      <w:r>
        <w:rPr>
          <w:rFonts w:ascii="仿宋" w:hAnsi="仿宋" w:cs="仿宋" w:eastAsia="仿宋"/>
          <w:sz w:val="24"/>
          <w:shd w:fill="FFFFFF" w:val="clear"/>
        </w:rPr>
        <w:t>承诺书</w:t>
      </w:r>
      <w:r>
        <w:rPr>
          <w:rFonts w:ascii="仿宋" w:hAnsi="仿宋" w:cs="仿宋" w:eastAsia="仿宋"/>
          <w:sz w:val="24"/>
          <w:shd w:fill="FFFFFF" w:val="clear"/>
        </w:rPr>
        <w:t>签署前或之后披露给乙方的：所有技术信息、经营信息，包括但不限于服务器上的数据、</w:t>
      </w:r>
      <w:r>
        <w:rPr>
          <w:rFonts w:ascii="仿宋" w:hAnsi="仿宋" w:cs="仿宋" w:eastAsia="仿宋"/>
          <w:sz w:val="24"/>
          <w:shd w:fill="FFFFFF" w:val="clear"/>
        </w:rPr>
        <w:t>源代码、</w:t>
      </w:r>
      <w:r>
        <w:rPr>
          <w:rFonts w:ascii="仿宋" w:hAnsi="仿宋" w:cs="仿宋" w:eastAsia="仿宋"/>
          <w:sz w:val="24"/>
          <w:shd w:fill="FFFFFF" w:val="clear"/>
        </w:rPr>
        <w:t>甲方网站数据、用户行为数据及轨迹、技术图纸、技术方案、技术指标、计算机软件、数据库、研究开发记录、技术报告、检测报告、实验数据、试验结果、操作手册、技术文档、相关的函电、客户信息、员工信息、产品设计、款式、样品、样机、模型、模具、费用预算、定价政策、商业计划和战略、广告方案及策划、初始创意等；无论这些信息是以书面、口头、图形、电磁还是其他任何形式披露。数据系指由或者为了甲方而创建、获得、收集、集合或存档的一切信息的记录，包括个人信息。</w:t>
      </w:r>
    </w:p>
    <w:p>
      <w:pPr>
        <w:pStyle w:val="null3"/>
        <w:ind w:firstLine="480"/>
        <w:jc w:val="both"/>
      </w:pPr>
      <w:r>
        <w:rPr>
          <w:rFonts w:ascii="仿宋" w:hAnsi="仿宋" w:cs="仿宋" w:eastAsia="仿宋"/>
          <w:sz w:val="24"/>
          <w:shd w:fill="FFFFFF" w:val="clear"/>
        </w:rPr>
        <w:t>2</w:t>
      </w:r>
      <w:r>
        <w:rPr>
          <w:rFonts w:ascii="仿宋" w:hAnsi="仿宋" w:cs="仿宋" w:eastAsia="仿宋"/>
          <w:sz w:val="24"/>
          <w:shd w:fill="FFFFFF" w:val="clear"/>
        </w:rPr>
        <w:t>.我方保证，未经甲方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pStyle w:val="null3"/>
        <w:ind w:firstLine="480"/>
        <w:jc w:val="both"/>
      </w:pP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，根据一般的商业判断或惯例，在某些情况下，</w:t>
      </w:r>
      <w:r>
        <w:rPr>
          <w:rFonts w:ascii="仿宋" w:hAnsi="仿宋" w:cs="仿宋" w:eastAsia="仿宋"/>
          <w:sz w:val="24"/>
          <w:shd w:fill="FFFFFF" w:val="clear"/>
        </w:rPr>
        <w:t>甲方</w:t>
      </w:r>
      <w:r>
        <w:rPr>
          <w:rFonts w:ascii="仿宋" w:hAnsi="仿宋" w:cs="仿宋" w:eastAsia="仿宋"/>
          <w:sz w:val="24"/>
          <w:shd w:fill="FFFFFF" w:val="clear"/>
        </w:rPr>
        <w:t>与</w:t>
      </w:r>
      <w:r>
        <w:rPr>
          <w:rFonts w:ascii="仿宋" w:hAnsi="仿宋" w:cs="仿宋" w:eastAsia="仿宋"/>
          <w:sz w:val="24"/>
          <w:shd w:fill="FFFFFF" w:val="clear"/>
        </w:rPr>
        <w:t>我方</w:t>
      </w:r>
      <w:r>
        <w:rPr>
          <w:rFonts w:ascii="仿宋" w:hAnsi="仿宋" w:cs="仿宋" w:eastAsia="仿宋"/>
          <w:sz w:val="24"/>
          <w:shd w:fill="FFFFFF" w:val="clear"/>
        </w:rPr>
        <w:t>进行沟通、交流的行为本身也是一种</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我方</w:t>
      </w:r>
      <w:r>
        <w:rPr>
          <w:rFonts w:ascii="仿宋" w:hAnsi="仿宋" w:cs="仿宋" w:eastAsia="仿宋"/>
          <w:sz w:val="24"/>
          <w:shd w:fill="FFFFFF" w:val="clear"/>
        </w:rPr>
        <w:t>也将对此予以严格保密</w:t>
      </w:r>
      <w:r>
        <w:rPr>
          <w:rFonts w:ascii="仿宋" w:hAnsi="仿宋" w:cs="仿宋" w:eastAsia="仿宋"/>
          <w:sz w:val="24"/>
          <w:shd w:fill="FFFFFF" w:val="clear"/>
        </w:rPr>
        <w:t>。</w:t>
      </w:r>
    </w:p>
    <w:p>
      <w:pPr>
        <w:pStyle w:val="null3"/>
        <w:ind w:firstLine="480"/>
        <w:jc w:val="both"/>
      </w:pPr>
      <w:r>
        <w:rPr>
          <w:rFonts w:ascii="仿宋" w:hAnsi="仿宋" w:cs="仿宋" w:eastAsia="仿宋"/>
          <w:sz w:val="24"/>
        </w:rPr>
        <w:t>4.</w:t>
      </w:r>
      <w:r>
        <w:rPr>
          <w:rFonts w:ascii="仿宋" w:hAnsi="仿宋" w:cs="仿宋" w:eastAsia="仿宋"/>
          <w:sz w:val="24"/>
        </w:rPr>
        <w:t>我方保证，</w:t>
      </w:r>
      <w:r>
        <w:rPr>
          <w:rFonts w:ascii="仿宋" w:hAnsi="仿宋" w:cs="仿宋" w:eastAsia="仿宋"/>
          <w:sz w:val="24"/>
        </w:rPr>
        <w:t>自甲方向</w:t>
      </w:r>
      <w:r>
        <w:rPr>
          <w:rFonts w:ascii="仿宋" w:hAnsi="仿宋" w:cs="仿宋" w:eastAsia="仿宋"/>
          <w:sz w:val="24"/>
        </w:rPr>
        <w:t>我方</w:t>
      </w:r>
      <w:r>
        <w:rPr>
          <w:rFonts w:ascii="仿宋" w:hAnsi="仿宋" w:cs="仿宋" w:eastAsia="仿宋"/>
          <w:sz w:val="24"/>
        </w:rPr>
        <w:t>披露或</w:t>
      </w:r>
      <w:r>
        <w:rPr>
          <w:rFonts w:ascii="仿宋" w:hAnsi="仿宋" w:cs="仿宋" w:eastAsia="仿宋"/>
          <w:sz w:val="24"/>
        </w:rPr>
        <w:t>我方</w:t>
      </w:r>
      <w:r>
        <w:rPr>
          <w:rFonts w:ascii="仿宋" w:hAnsi="仿宋" w:cs="仿宋" w:eastAsia="仿宋"/>
          <w:sz w:val="24"/>
        </w:rPr>
        <w:t>以其他方式合法知悉甲方的</w:t>
      </w:r>
      <w:r>
        <w:rPr>
          <w:rFonts w:ascii="仿宋" w:hAnsi="仿宋" w:cs="仿宋" w:eastAsia="仿宋"/>
          <w:sz w:val="24"/>
        </w:rPr>
        <w:t>敏感信息</w:t>
      </w:r>
      <w:r>
        <w:rPr>
          <w:rFonts w:ascii="仿宋" w:hAnsi="仿宋" w:cs="仿宋" w:eastAsia="仿宋"/>
          <w:sz w:val="24"/>
        </w:rPr>
        <w:t>之日起开始承担保密义务。</w:t>
      </w:r>
      <w:r>
        <w:rPr>
          <w:rFonts w:ascii="仿宋" w:hAnsi="仿宋" w:cs="仿宋" w:eastAsia="仿宋"/>
          <w:sz w:val="24"/>
        </w:rPr>
        <w:t>我方</w:t>
      </w:r>
      <w:r>
        <w:rPr>
          <w:rFonts w:ascii="仿宋" w:hAnsi="仿宋" w:cs="仿宋" w:eastAsia="仿宋"/>
          <w:sz w:val="24"/>
        </w:rPr>
        <w:t>应对所有包含</w:t>
      </w:r>
      <w:r>
        <w:rPr>
          <w:rFonts w:ascii="仿宋" w:hAnsi="仿宋" w:cs="仿宋" w:eastAsia="仿宋"/>
          <w:sz w:val="24"/>
        </w:rPr>
        <w:t>敏感</w:t>
      </w:r>
      <w:r>
        <w:rPr>
          <w:rFonts w:ascii="仿宋" w:hAnsi="仿宋" w:cs="仿宋" w:eastAsia="仿宋"/>
          <w:sz w:val="24"/>
        </w:rPr>
        <w:t>信息的文件和记录进行妥善保管和存放，以确保相关文件和记录不会被窃取、泄漏或毁损。</w:t>
      </w:r>
    </w:p>
    <w:p>
      <w:pPr>
        <w:pStyle w:val="null3"/>
        <w:ind w:firstLine="480"/>
        <w:jc w:val="both"/>
      </w:pPr>
      <w:r>
        <w:rPr>
          <w:rFonts w:ascii="仿宋" w:hAnsi="仿宋" w:cs="仿宋" w:eastAsia="仿宋"/>
          <w:sz w:val="24"/>
        </w:rPr>
        <w:t>5.</w:t>
      </w:r>
      <w:r>
        <w:rPr>
          <w:rFonts w:ascii="仿宋" w:hAnsi="仿宋" w:cs="仿宋" w:eastAsia="仿宋"/>
          <w:sz w:val="24"/>
        </w:rPr>
        <w:t>我方保证，</w:t>
      </w:r>
      <w:r>
        <w:rPr>
          <w:rFonts w:ascii="仿宋" w:hAnsi="仿宋" w:cs="仿宋" w:eastAsia="仿宋"/>
          <w:sz w:val="24"/>
        </w:rPr>
        <w:t>在与甲方合作期间，严格遵守甲方的所有成文或不成文的保密规章、制度和惯例。甲方的保密规章、制度没有规定或规定不明确的，</w:t>
      </w:r>
      <w:r>
        <w:rPr>
          <w:rFonts w:ascii="仿宋" w:hAnsi="仿宋" w:cs="仿宋" w:eastAsia="仿宋"/>
          <w:sz w:val="24"/>
        </w:rPr>
        <w:t>我方</w:t>
      </w:r>
      <w:r>
        <w:rPr>
          <w:rFonts w:ascii="仿宋" w:hAnsi="仿宋" w:cs="仿宋" w:eastAsia="仿宋"/>
          <w:sz w:val="24"/>
        </w:rPr>
        <w:t>应本着谨慎、诚实的原则，采取任何必要的、合理的措施保守其知悉的甲方的</w:t>
      </w:r>
      <w:r>
        <w:rPr>
          <w:rFonts w:ascii="仿宋" w:hAnsi="仿宋" w:cs="仿宋" w:eastAsia="仿宋"/>
          <w:sz w:val="24"/>
        </w:rPr>
        <w:t>敏感信息</w:t>
      </w:r>
      <w:r>
        <w:rPr>
          <w:rFonts w:ascii="仿宋" w:hAnsi="仿宋" w:cs="仿宋" w:eastAsia="仿宋"/>
          <w:sz w:val="24"/>
        </w:rPr>
        <w:t>和</w:t>
      </w:r>
      <w:r>
        <w:rPr>
          <w:rFonts w:ascii="仿宋" w:hAnsi="仿宋" w:cs="仿宋" w:eastAsia="仿宋"/>
          <w:sz w:val="24"/>
        </w:rPr>
        <w:t>工作成果</w:t>
      </w:r>
      <w:r>
        <w:rPr>
          <w:rFonts w:ascii="仿宋" w:hAnsi="仿宋" w:cs="仿宋" w:eastAsia="仿宋"/>
          <w:sz w:val="24"/>
        </w:rPr>
        <w:t>，且其采取保密措施的标准至少不得低于</w:t>
      </w:r>
      <w:r>
        <w:rPr>
          <w:rFonts w:ascii="仿宋" w:hAnsi="仿宋" w:cs="仿宋" w:eastAsia="仿宋"/>
          <w:sz w:val="24"/>
        </w:rPr>
        <w:t>我方</w:t>
      </w:r>
      <w:r>
        <w:rPr>
          <w:rFonts w:ascii="仿宋" w:hAnsi="仿宋" w:cs="仿宋" w:eastAsia="仿宋"/>
          <w:sz w:val="24"/>
        </w:rPr>
        <w:t>对于其自身的重大商业秘密的保密标准。</w:t>
      </w:r>
    </w:p>
    <w:p>
      <w:pPr>
        <w:pStyle w:val="null3"/>
        <w:ind w:firstLine="480"/>
        <w:jc w:val="both"/>
      </w:pPr>
      <w:r>
        <w:rPr>
          <w:rFonts w:ascii="仿宋" w:hAnsi="仿宋" w:cs="仿宋" w:eastAsia="仿宋"/>
          <w:sz w:val="24"/>
        </w:rPr>
        <w:t>6.</w:t>
      </w:r>
      <w:r>
        <w:rPr>
          <w:rFonts w:ascii="仿宋" w:hAnsi="仿宋" w:cs="仿宋" w:eastAsia="仿宋"/>
          <w:sz w:val="24"/>
        </w:rPr>
        <w:t>我方保证，</w:t>
      </w:r>
      <w:r>
        <w:rPr>
          <w:rFonts w:ascii="仿宋" w:hAnsi="仿宋" w:cs="仿宋" w:eastAsia="仿宋"/>
          <w:sz w:val="24"/>
        </w:rPr>
        <w:t>未经甲方同意，</w:t>
      </w:r>
      <w:r>
        <w:rPr>
          <w:rFonts w:ascii="仿宋" w:hAnsi="仿宋" w:cs="仿宋" w:eastAsia="仿宋"/>
          <w:sz w:val="24"/>
        </w:rPr>
        <w:t>我方</w:t>
      </w:r>
      <w:r>
        <w:rPr>
          <w:rFonts w:ascii="仿宋" w:hAnsi="仿宋" w:cs="仿宋" w:eastAsia="仿宋"/>
          <w:sz w:val="24"/>
        </w:rPr>
        <w:t>不得擅自保存与甲方</w:t>
      </w:r>
      <w:r>
        <w:rPr>
          <w:rFonts w:ascii="仿宋" w:hAnsi="仿宋" w:cs="仿宋" w:eastAsia="仿宋"/>
          <w:sz w:val="24"/>
        </w:rPr>
        <w:t>敏感信息</w:t>
      </w:r>
      <w:r>
        <w:rPr>
          <w:rFonts w:ascii="仿宋" w:hAnsi="仿宋" w:cs="仿宋" w:eastAsia="仿宋"/>
          <w:sz w:val="24"/>
        </w:rPr>
        <w:t>以及本项目的工作成果</w:t>
      </w:r>
      <w:r>
        <w:rPr>
          <w:rFonts w:ascii="仿宋" w:hAnsi="仿宋" w:cs="仿宋" w:eastAsia="仿宋"/>
          <w:sz w:val="24"/>
        </w:rPr>
        <w:t>有关的任何物品、资料和载体，也不得私自进行复制、备份、交换、交流、转移，或者在双方合作项目的必要需求以外，对上述</w:t>
      </w:r>
      <w:r>
        <w:rPr>
          <w:rFonts w:ascii="仿宋" w:hAnsi="仿宋" w:cs="仿宋" w:eastAsia="仿宋"/>
          <w:sz w:val="24"/>
        </w:rPr>
        <w:t>信息</w:t>
      </w:r>
      <w:r>
        <w:rPr>
          <w:rFonts w:ascii="仿宋" w:hAnsi="仿宋" w:cs="仿宋" w:eastAsia="仿宋"/>
          <w:sz w:val="24"/>
        </w:rPr>
        <w:t>或载体进行任何形式的利用、加工或处理。</w:t>
      </w:r>
    </w:p>
    <w:p>
      <w:pPr>
        <w:pStyle w:val="null3"/>
        <w:ind w:firstLine="480"/>
        <w:jc w:val="both"/>
      </w:pPr>
      <w:r>
        <w:rPr>
          <w:rFonts w:ascii="仿宋" w:hAnsi="仿宋" w:cs="仿宋" w:eastAsia="仿宋"/>
          <w:sz w:val="24"/>
        </w:rPr>
        <w:t>7.</w:t>
      </w:r>
      <w:r>
        <w:rPr>
          <w:rFonts w:ascii="仿宋" w:hAnsi="仿宋" w:cs="仿宋" w:eastAsia="仿宋"/>
          <w:sz w:val="24"/>
        </w:rPr>
        <w:t>我方保证，在与甲方合作期间，不以任何形式试探、分析或以其他方式获取与合作内容无关的甲方的任何敏感信息。</w:t>
      </w:r>
    </w:p>
    <w:p>
      <w:pPr>
        <w:pStyle w:val="null3"/>
        <w:ind w:firstLine="480"/>
        <w:jc w:val="both"/>
      </w:pPr>
      <w:r>
        <w:rPr>
          <w:rFonts w:ascii="仿宋" w:hAnsi="仿宋" w:cs="仿宋" w:eastAsia="仿宋"/>
          <w:sz w:val="24"/>
        </w:rPr>
        <w:t>8.</w:t>
      </w:r>
      <w:r>
        <w:rPr>
          <w:rFonts w:ascii="仿宋" w:hAnsi="仿宋" w:cs="仿宋" w:eastAsia="仿宋"/>
          <w:sz w:val="24"/>
        </w:rPr>
        <w:t>我方保证，</w:t>
      </w:r>
      <w:r>
        <w:rPr>
          <w:rFonts w:ascii="仿宋" w:hAnsi="仿宋" w:cs="仿宋" w:eastAsia="仿宋"/>
          <w:sz w:val="24"/>
        </w:rPr>
        <w:t>在与甲方合作期间，不擅自使用任何属于他人的技术信息秘密或其他商业秘密信息，亦不得擅自实施可能侵犯他人知识产权的行为。若</w:t>
      </w:r>
      <w:r>
        <w:rPr>
          <w:rFonts w:ascii="仿宋" w:hAnsi="仿宋" w:cs="仿宋" w:eastAsia="仿宋"/>
          <w:sz w:val="24"/>
        </w:rPr>
        <w:t>我方</w:t>
      </w:r>
      <w:r>
        <w:rPr>
          <w:rFonts w:ascii="仿宋" w:hAnsi="仿宋" w:cs="仿宋" w:eastAsia="仿宋"/>
          <w:sz w:val="24"/>
        </w:rPr>
        <w:t>违反上述规定而导致甲方遭受第三方的索赔或指控时，</w:t>
      </w:r>
      <w:r>
        <w:rPr>
          <w:rFonts w:ascii="仿宋" w:hAnsi="仿宋" w:cs="仿宋" w:eastAsia="仿宋"/>
          <w:sz w:val="24"/>
        </w:rPr>
        <w:t>由我方</w:t>
      </w:r>
      <w:r>
        <w:rPr>
          <w:rFonts w:ascii="仿宋" w:hAnsi="仿宋" w:cs="仿宋" w:eastAsia="仿宋"/>
          <w:sz w:val="24"/>
        </w:rPr>
        <w:t>承担甲方为此而支付的一切费用和责任。</w:t>
      </w:r>
    </w:p>
    <w:p>
      <w:pPr>
        <w:pStyle w:val="null3"/>
        <w:ind w:firstLine="480"/>
        <w:jc w:val="both"/>
      </w:pPr>
      <w:r>
        <w:rPr>
          <w:rFonts w:ascii="仿宋" w:hAnsi="仿宋" w:cs="仿宋" w:eastAsia="仿宋"/>
          <w:sz w:val="24"/>
        </w:rPr>
        <w:t>9.</w:t>
      </w:r>
      <w:r>
        <w:rPr>
          <w:rFonts w:ascii="仿宋" w:hAnsi="仿宋" w:cs="仿宋" w:eastAsia="仿宋"/>
          <w:sz w:val="24"/>
        </w:rPr>
        <w:t>我方保证，</w:t>
      </w:r>
      <w:r>
        <w:rPr>
          <w:rFonts w:ascii="仿宋" w:hAnsi="仿宋" w:cs="仿宋" w:eastAsia="仿宋"/>
          <w:sz w:val="24"/>
        </w:rPr>
        <w:t>未经甲方事先书面同意，</w:t>
      </w:r>
      <w:r>
        <w:rPr>
          <w:rFonts w:ascii="仿宋" w:hAnsi="仿宋" w:cs="仿宋" w:eastAsia="仿宋"/>
          <w:sz w:val="24"/>
        </w:rPr>
        <w:t>我方</w:t>
      </w:r>
      <w:r>
        <w:rPr>
          <w:rFonts w:ascii="仿宋" w:hAnsi="仿宋" w:cs="仿宋" w:eastAsia="仿宋"/>
          <w:sz w:val="24"/>
        </w:rPr>
        <w:t>不得将从甲方处获得的任何信息运用于其他产品上</w:t>
      </w:r>
      <w:r>
        <w:rPr>
          <w:rFonts w:ascii="仿宋" w:hAnsi="仿宋" w:cs="仿宋" w:eastAsia="仿宋"/>
          <w:sz w:val="24"/>
        </w:rPr>
        <w:t>。</w:t>
      </w:r>
    </w:p>
    <w:p>
      <w:pPr>
        <w:pStyle w:val="null3"/>
        <w:ind w:firstLine="480"/>
        <w:jc w:val="both"/>
      </w:pPr>
      <w:r>
        <w:rPr>
          <w:rFonts w:ascii="仿宋" w:hAnsi="仿宋" w:cs="仿宋" w:eastAsia="仿宋"/>
          <w:sz w:val="24"/>
        </w:rPr>
        <w:t>10</w:t>
      </w:r>
      <w:r>
        <w:rPr>
          <w:rFonts w:ascii="仿宋" w:hAnsi="仿宋" w:cs="仿宋" w:eastAsia="仿宋"/>
          <w:sz w:val="24"/>
        </w:rPr>
        <w:t>.我方保证，</w:t>
      </w:r>
      <w:r>
        <w:rPr>
          <w:rFonts w:ascii="仿宋" w:hAnsi="仿宋" w:cs="仿宋" w:eastAsia="仿宋"/>
          <w:sz w:val="24"/>
        </w:rPr>
        <w:t>甲方提供给</w:t>
      </w:r>
      <w:r>
        <w:rPr>
          <w:rFonts w:ascii="仿宋" w:hAnsi="仿宋" w:cs="仿宋" w:eastAsia="仿宋"/>
          <w:sz w:val="24"/>
        </w:rPr>
        <w:t>我</w:t>
      </w:r>
      <w:r>
        <w:rPr>
          <w:rFonts w:ascii="仿宋" w:hAnsi="仿宋" w:cs="仿宋" w:eastAsia="仿宋"/>
          <w:sz w:val="24"/>
        </w:rPr>
        <w:t>方的任何设备、部件、软件或其他物品，</w:t>
      </w:r>
      <w:r>
        <w:rPr>
          <w:rFonts w:ascii="仿宋" w:hAnsi="仿宋" w:cs="仿宋" w:eastAsia="仿宋"/>
          <w:sz w:val="24"/>
        </w:rPr>
        <w:t>我方</w:t>
      </w:r>
      <w:r>
        <w:rPr>
          <w:rFonts w:ascii="仿宋" w:hAnsi="仿宋" w:cs="仿宋" w:eastAsia="仿宋"/>
          <w:sz w:val="24"/>
        </w:rPr>
        <w:t>均不得进行反向拆卸、解编或以其他方式分析其物理结构或组合、结合方式等。</w:t>
      </w:r>
    </w:p>
    <w:p>
      <w:pPr>
        <w:pStyle w:val="null3"/>
        <w:ind w:firstLine="480"/>
        <w:jc w:val="both"/>
      </w:pPr>
      <w:r>
        <w:rPr>
          <w:rFonts w:ascii="仿宋" w:hAnsi="仿宋" w:cs="仿宋" w:eastAsia="仿宋"/>
          <w:sz w:val="24"/>
          <w:shd w:fill="FFFFFF" w:val="clear"/>
        </w:rPr>
        <w:t>11</w:t>
      </w:r>
      <w:r>
        <w:rPr>
          <w:rFonts w:ascii="仿宋" w:hAnsi="仿宋" w:cs="仿宋" w:eastAsia="仿宋"/>
          <w:sz w:val="24"/>
          <w:shd w:fill="FFFFFF" w:val="clear"/>
        </w:rPr>
        <w:t>.我方保证，如为本合同目的确实需要向第三方披露对方的敏感信息，需事先得到甲方的书面许可，并与该第三方签订保密合同。</w:t>
      </w:r>
    </w:p>
    <w:p>
      <w:pPr>
        <w:pStyle w:val="null3"/>
        <w:ind w:firstLine="480"/>
        <w:jc w:val="both"/>
      </w:pPr>
      <w:r>
        <w:rPr>
          <w:rFonts w:ascii="仿宋" w:hAnsi="仿宋" w:cs="仿宋" w:eastAsia="仿宋"/>
          <w:sz w:val="24"/>
          <w:shd w:fill="FFFFFF" w:val="clear"/>
        </w:rPr>
        <w:t>12</w:t>
      </w:r>
      <w:r>
        <w:rPr>
          <w:rFonts w:ascii="仿宋" w:hAnsi="仿宋" w:cs="仿宋" w:eastAsia="仿宋"/>
          <w:sz w:val="24"/>
          <w:shd w:fill="FFFFFF" w:val="clear"/>
        </w:rPr>
        <w:t>.我方保证，只能将甲方的相关敏感信息提供给与本合同工作直接相关的员工，提供范围及程度仅限于可使该员工完成本项工作，并应约束其员工遵守保密义务。因为</w:t>
      </w:r>
      <w:r>
        <w:rPr>
          <w:rFonts w:ascii="仿宋" w:hAnsi="仿宋" w:cs="仿宋" w:eastAsia="仿宋"/>
          <w:sz w:val="24"/>
          <w:shd w:fill="FFFFFF" w:val="clear"/>
        </w:rPr>
        <w:t>我方员工</w:t>
      </w:r>
      <w:r>
        <w:rPr>
          <w:rFonts w:ascii="仿宋" w:hAnsi="仿宋" w:cs="仿宋" w:eastAsia="仿宋"/>
          <w:sz w:val="24"/>
          <w:shd w:fill="FFFFFF" w:val="clear"/>
        </w:rPr>
        <w:t>或关联机构的原因导致甲方的商业秘密或其他秘密被泄漏或不正当使用的，视为</w:t>
      </w:r>
      <w:r>
        <w:rPr>
          <w:rFonts w:ascii="仿宋" w:hAnsi="仿宋" w:cs="仿宋" w:eastAsia="仿宋"/>
          <w:sz w:val="24"/>
          <w:shd w:fill="FFFFFF" w:val="clear"/>
        </w:rPr>
        <w:t>我方</w:t>
      </w:r>
      <w:r>
        <w:rPr>
          <w:rFonts w:ascii="仿宋" w:hAnsi="仿宋" w:cs="仿宋" w:eastAsia="仿宋"/>
          <w:sz w:val="24"/>
          <w:shd w:fill="FFFFFF" w:val="clear"/>
        </w:rPr>
        <w:t>违反</w:t>
      </w:r>
      <w:r>
        <w:rPr>
          <w:rFonts w:ascii="仿宋" w:hAnsi="仿宋" w:cs="仿宋" w:eastAsia="仿宋"/>
          <w:sz w:val="24"/>
          <w:shd w:fill="FFFFFF" w:val="clear"/>
        </w:rPr>
        <w:t>本承诺书</w:t>
      </w:r>
      <w:r>
        <w:rPr>
          <w:rFonts w:ascii="仿宋" w:hAnsi="仿宋" w:cs="仿宋" w:eastAsia="仿宋"/>
          <w:sz w:val="24"/>
          <w:shd w:fill="FFFFFF" w:val="clear"/>
        </w:rPr>
        <w:t>。</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因合作需要所持有或保管的一切记录着甲方</w:t>
      </w:r>
      <w:r>
        <w:rPr>
          <w:rFonts w:ascii="仿宋" w:hAnsi="仿宋" w:cs="仿宋" w:eastAsia="仿宋"/>
          <w:sz w:val="24"/>
          <w:shd w:fill="FFFFFF" w:val="clear"/>
        </w:rPr>
        <w:t>敏感信息</w:t>
      </w:r>
      <w:r>
        <w:rPr>
          <w:rFonts w:ascii="仿宋" w:hAnsi="仿宋" w:cs="仿宋" w:eastAsia="仿宋"/>
          <w:sz w:val="24"/>
          <w:shd w:fill="FFFFFF" w:val="clear"/>
        </w:rPr>
        <w:t>的文件、资料、图表、笔记、报告、信件、传真、光盘、</w:t>
      </w:r>
      <w:r>
        <w:rPr>
          <w:rFonts w:ascii="仿宋" w:hAnsi="仿宋" w:cs="仿宋" w:eastAsia="仿宋"/>
          <w:sz w:val="24"/>
          <w:shd w:fill="FFFFFF" w:val="clear"/>
        </w:rPr>
        <w:t>U盘、磁带、磁盘、仪器以及其他任何形式的载体均归甲方所有。若记录着甲方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信息可以从载体上消除或复制出来时，甲方有权将秘密信息复制到甲方享有所有权的其他载体上，并把原载体上的秘密信息消除；若记录着甲方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信息不可以从载体上消除或复制出来时，视为</w:t>
      </w:r>
      <w:r>
        <w:rPr>
          <w:rFonts w:ascii="仿宋" w:hAnsi="仿宋" w:cs="仿宋" w:eastAsia="仿宋"/>
          <w:sz w:val="24"/>
          <w:shd w:fill="FFFFFF" w:val="clear"/>
        </w:rPr>
        <w:t>我方</w:t>
      </w:r>
      <w:r>
        <w:rPr>
          <w:rFonts w:ascii="仿宋" w:hAnsi="仿宋" w:cs="仿宋" w:eastAsia="仿宋"/>
          <w:sz w:val="24"/>
          <w:shd w:fill="FFFFFF" w:val="clear"/>
        </w:rPr>
        <w:t>已同意将该等载体的所有权转移给甲方，</w:t>
      </w:r>
      <w:r>
        <w:rPr>
          <w:rFonts w:ascii="仿宋" w:hAnsi="仿宋" w:cs="仿宋" w:eastAsia="仿宋"/>
          <w:sz w:val="24"/>
          <w:shd w:fill="FFFFFF" w:val="clear"/>
        </w:rPr>
        <w:t>我方</w:t>
      </w:r>
      <w:r>
        <w:rPr>
          <w:rFonts w:ascii="仿宋" w:hAnsi="仿宋" w:cs="仿宋" w:eastAsia="仿宋"/>
          <w:sz w:val="24"/>
          <w:shd w:fill="FFFFFF" w:val="clear"/>
        </w:rPr>
        <w:t>应当于合作结束时或者于甲方提出请求时将该载体交付甲方。</w:t>
      </w:r>
    </w:p>
    <w:p>
      <w:pPr>
        <w:pStyle w:val="null3"/>
        <w:ind w:firstLine="480"/>
        <w:jc w:val="both"/>
      </w:pPr>
      <w:r>
        <w:rPr>
          <w:rFonts w:ascii="仿宋" w:hAnsi="仿宋" w:cs="仿宋" w:eastAsia="仿宋"/>
          <w:sz w:val="24"/>
          <w:shd w:fill="FFFFFF" w:val="clear"/>
        </w:rPr>
        <w:t>14</w:t>
      </w:r>
      <w:r>
        <w:rPr>
          <w:rFonts w:ascii="仿宋" w:hAnsi="仿宋" w:cs="仿宋" w:eastAsia="仿宋"/>
          <w:sz w:val="24"/>
          <w:shd w:fill="FFFFFF" w:val="clear"/>
        </w:rPr>
        <w:t>.我方保证，在双方合作关系结束后，我方有义务按照甲方的要求将敏感信息及其载体返还给甲方或者按照甲方的要求予以销毁，不得再以任何形式使用敏感信息。</w:t>
      </w:r>
    </w:p>
    <w:p>
      <w:pPr>
        <w:pStyle w:val="null3"/>
        <w:ind w:firstLine="480"/>
        <w:jc w:val="both"/>
      </w:pPr>
      <w:r>
        <w:rPr>
          <w:rFonts w:ascii="仿宋" w:hAnsi="仿宋" w:cs="仿宋" w:eastAsia="仿宋"/>
          <w:sz w:val="24"/>
        </w:rPr>
        <w:t>15.</w:t>
      </w:r>
      <w:r>
        <w:rPr>
          <w:rFonts w:ascii="仿宋" w:hAnsi="仿宋" w:cs="仿宋" w:eastAsia="仿宋"/>
          <w:sz w:val="24"/>
        </w:rPr>
        <w:t>我方保证，一旦我方发现任何人错误地获得或使用了甲方披露的保密信息，我方将立即书面通知甲方。</w:t>
      </w:r>
    </w:p>
    <w:p>
      <w:pPr>
        <w:pStyle w:val="null3"/>
        <w:ind w:firstLine="480"/>
        <w:jc w:val="both"/>
      </w:pPr>
      <w:r>
        <w:rPr>
          <w:rFonts w:ascii="仿宋" w:hAnsi="仿宋" w:cs="仿宋" w:eastAsia="仿宋"/>
          <w:sz w:val="24"/>
        </w:rPr>
        <w:t>16.</w:t>
      </w:r>
      <w:r>
        <w:rPr>
          <w:rFonts w:ascii="仿宋" w:hAnsi="仿宋" w:cs="仿宋" w:eastAsia="仿宋"/>
          <w:sz w:val="24"/>
        </w:rPr>
        <w:t>我方保证，</w:t>
      </w:r>
      <w:r>
        <w:rPr>
          <w:rFonts w:ascii="仿宋" w:hAnsi="仿宋" w:cs="仿宋" w:eastAsia="仿宋"/>
          <w:sz w:val="24"/>
        </w:rPr>
        <w:t>根据本函应当履行的对</w:t>
      </w:r>
      <w:r>
        <w:rPr>
          <w:rFonts w:ascii="仿宋" w:hAnsi="仿宋" w:cs="仿宋" w:eastAsia="仿宋"/>
          <w:sz w:val="24"/>
        </w:rPr>
        <w:t>敏感</w:t>
      </w:r>
      <w:r>
        <w:rPr>
          <w:rFonts w:ascii="仿宋" w:hAnsi="仿宋" w:cs="仿宋" w:eastAsia="仿宋"/>
          <w:sz w:val="24"/>
        </w:rPr>
        <w:t>信息的保密义务以及限制</w:t>
      </w:r>
      <w:r>
        <w:rPr>
          <w:rFonts w:ascii="仿宋" w:hAnsi="仿宋" w:cs="仿宋" w:eastAsia="仿宋"/>
          <w:sz w:val="24"/>
        </w:rPr>
        <w:t>我方</w:t>
      </w:r>
      <w:r>
        <w:rPr>
          <w:rFonts w:ascii="仿宋" w:hAnsi="仿宋" w:cs="仿宋" w:eastAsia="仿宋"/>
          <w:sz w:val="24"/>
        </w:rPr>
        <w:t>使用该</w:t>
      </w:r>
      <w:r>
        <w:rPr>
          <w:rFonts w:ascii="仿宋" w:hAnsi="仿宋" w:cs="仿宋" w:eastAsia="仿宋"/>
          <w:sz w:val="24"/>
        </w:rPr>
        <w:t>敏感</w:t>
      </w:r>
      <w:r>
        <w:rPr>
          <w:rFonts w:ascii="仿宋" w:hAnsi="仿宋" w:cs="仿宋" w:eastAsia="仿宋"/>
          <w:sz w:val="24"/>
        </w:rPr>
        <w:t>信息的规定长期有效，</w:t>
      </w:r>
      <w:r>
        <w:rPr>
          <w:rFonts w:ascii="仿宋" w:hAnsi="仿宋" w:cs="仿宋" w:eastAsia="仿宋"/>
          <w:sz w:val="24"/>
        </w:rPr>
        <w:t>除非</w:t>
      </w:r>
      <w:r>
        <w:rPr>
          <w:rFonts w:ascii="仿宋" w:hAnsi="仿宋" w:cs="仿宋" w:eastAsia="仿宋"/>
          <w:sz w:val="24"/>
        </w:rPr>
        <w:t>相关</w:t>
      </w:r>
      <w:r>
        <w:rPr>
          <w:rFonts w:ascii="仿宋" w:hAnsi="仿宋" w:cs="仿宋" w:eastAsia="仿宋"/>
          <w:sz w:val="24"/>
        </w:rPr>
        <w:t>敏感</w:t>
      </w:r>
      <w:r>
        <w:rPr>
          <w:rFonts w:ascii="仿宋" w:hAnsi="仿宋" w:cs="仿宋" w:eastAsia="仿宋"/>
          <w:sz w:val="24"/>
        </w:rPr>
        <w:t>信息非因</w:t>
      </w:r>
      <w:r>
        <w:rPr>
          <w:rFonts w:ascii="仿宋" w:hAnsi="仿宋" w:cs="仿宋" w:eastAsia="仿宋"/>
          <w:sz w:val="24"/>
        </w:rPr>
        <w:t>我方</w:t>
      </w:r>
      <w:r>
        <w:rPr>
          <w:rFonts w:ascii="仿宋" w:hAnsi="仿宋" w:cs="仿宋" w:eastAsia="仿宋"/>
          <w:sz w:val="24"/>
        </w:rPr>
        <w:t>原因而进入公开领域</w:t>
      </w:r>
      <w:r>
        <w:rPr>
          <w:rFonts w:ascii="仿宋" w:hAnsi="仿宋" w:cs="仿宋" w:eastAsia="仿宋"/>
          <w:sz w:val="24"/>
        </w:rPr>
        <w:t>或经甲方书面授权</w:t>
      </w:r>
      <w:r>
        <w:rPr>
          <w:rFonts w:ascii="仿宋" w:hAnsi="仿宋" w:cs="仿宋" w:eastAsia="仿宋"/>
          <w:sz w:val="24"/>
        </w:rPr>
        <w:t>。</w:t>
      </w:r>
    </w:p>
    <w:p>
      <w:pPr>
        <w:pStyle w:val="null3"/>
        <w:ind w:firstLine="480"/>
        <w:jc w:val="both"/>
      </w:pPr>
      <w:r>
        <w:rPr>
          <w:rFonts w:ascii="仿宋" w:hAnsi="仿宋" w:cs="仿宋" w:eastAsia="仿宋"/>
          <w:sz w:val="24"/>
          <w:shd w:fill="FFFFFF" w:val="clear"/>
        </w:rPr>
        <w:t>17</w:t>
      </w:r>
      <w:r>
        <w:rPr>
          <w:rFonts w:ascii="仿宋" w:hAnsi="仿宋" w:cs="仿宋" w:eastAsia="仿宋"/>
          <w:sz w:val="24"/>
          <w:shd w:fill="FFFFFF" w:val="clear"/>
        </w:rPr>
        <w:t>.我方同意采取任何必要的、以及甲方要求的合理措施，保护甲方提供的敏感信息。</w:t>
      </w:r>
    </w:p>
    <w:p>
      <w:pPr>
        <w:pStyle w:val="null3"/>
        <w:ind w:firstLine="480"/>
        <w:jc w:val="both"/>
      </w:pPr>
      <w:r>
        <w:rPr>
          <w:rFonts w:ascii="仿宋" w:hAnsi="仿宋" w:cs="仿宋" w:eastAsia="仿宋"/>
          <w:sz w:val="24"/>
        </w:rPr>
        <w:t>18.</w:t>
      </w:r>
      <w:r>
        <w:rPr>
          <w:rFonts w:ascii="仿宋" w:hAnsi="仿宋" w:cs="仿宋" w:eastAsia="仿宋"/>
          <w:sz w:val="24"/>
        </w:rPr>
        <w:t>如果</w:t>
      </w:r>
      <w:r>
        <w:rPr>
          <w:rFonts w:ascii="仿宋" w:hAnsi="仿宋" w:cs="仿宋" w:eastAsia="仿宋"/>
          <w:sz w:val="24"/>
        </w:rPr>
        <w:t>我方</w:t>
      </w:r>
      <w:r>
        <w:rPr>
          <w:rFonts w:ascii="仿宋" w:hAnsi="仿宋" w:cs="仿宋" w:eastAsia="仿宋"/>
          <w:sz w:val="24"/>
        </w:rPr>
        <w:t>被要求向政府部门、法院或其他有权部门提供保密信息，</w:t>
      </w:r>
      <w:r>
        <w:rPr>
          <w:rFonts w:ascii="仿宋" w:hAnsi="仿宋" w:cs="仿宋" w:eastAsia="仿宋"/>
          <w:sz w:val="24"/>
        </w:rPr>
        <w:t>我方</w:t>
      </w:r>
      <w:r>
        <w:rPr>
          <w:rFonts w:ascii="仿宋" w:hAnsi="仿宋" w:cs="仿宋" w:eastAsia="仿宋"/>
          <w:sz w:val="24"/>
        </w:rPr>
        <w:t>应立即向甲方予以通报，以便甲方能以保密作为抗辩理由或采取保护措施，或及时采取其他救济手段，并且使用法律所许可的所有程序保护保密信息，由此所花费的合理费用由</w:t>
      </w:r>
      <w:r>
        <w:rPr>
          <w:rFonts w:ascii="仿宋" w:hAnsi="仿宋" w:cs="仿宋" w:eastAsia="仿宋"/>
          <w:sz w:val="24"/>
        </w:rPr>
        <w:t>我</w:t>
      </w:r>
      <w:r>
        <w:rPr>
          <w:rFonts w:ascii="仿宋" w:hAnsi="仿宋" w:cs="仿宋" w:eastAsia="仿宋"/>
          <w:sz w:val="24"/>
        </w:rPr>
        <w:t>方承担。此外，</w:t>
      </w:r>
      <w:r>
        <w:rPr>
          <w:rFonts w:ascii="仿宋" w:hAnsi="仿宋" w:cs="仿宋" w:eastAsia="仿宋"/>
          <w:sz w:val="24"/>
        </w:rPr>
        <w:t>我方</w:t>
      </w:r>
      <w:r>
        <w:rPr>
          <w:rFonts w:ascii="仿宋" w:hAnsi="仿宋" w:cs="仿宋" w:eastAsia="仿宋"/>
          <w:sz w:val="24"/>
        </w:rPr>
        <w:t>在向政府部门、法院或其他有权部门提供保密信息时，应当以上述权力机关要求披露的范围为限。</w:t>
      </w:r>
    </w:p>
    <w:p>
      <w:pPr>
        <w:pStyle w:val="null3"/>
        <w:ind w:firstLine="480"/>
        <w:jc w:val="both"/>
      </w:pPr>
      <w:r>
        <w:rPr>
          <w:rFonts w:ascii="仿宋" w:hAnsi="仿宋" w:cs="仿宋" w:eastAsia="仿宋"/>
          <w:sz w:val="24"/>
          <w:shd w:fill="FFFFFF" w:val="clear"/>
        </w:rPr>
        <w:t>19</w:t>
      </w:r>
      <w:r>
        <w:rPr>
          <w:rFonts w:ascii="仿宋" w:hAnsi="仿宋" w:cs="仿宋" w:eastAsia="仿宋"/>
          <w:sz w:val="24"/>
          <w:shd w:fill="FFFFFF" w:val="clear"/>
        </w:rPr>
        <w:t>.</w:t>
      </w:r>
      <w:r>
        <w:rPr>
          <w:rFonts w:ascii="仿宋" w:hAnsi="仿宋" w:cs="仿宋" w:eastAsia="仿宋"/>
          <w:sz w:val="24"/>
          <w:shd w:fill="FFFFFF" w:val="clear"/>
        </w:rPr>
        <w:t>我方同意</w:t>
      </w:r>
      <w:r>
        <w:rPr>
          <w:rFonts w:ascii="仿宋" w:hAnsi="仿宋" w:cs="仿宋" w:eastAsia="仿宋"/>
          <w:sz w:val="24"/>
          <w:shd w:fill="FFFFFF" w:val="clear"/>
        </w:rPr>
        <w:t>严格遵守甲方保密规定及要求，对本单位参与人员出具保函，并要求在甲方规定的保密期内不发生失泄密事件。</w:t>
      </w:r>
    </w:p>
    <w:p>
      <w:pPr>
        <w:pStyle w:val="null3"/>
        <w:ind w:firstLine="480"/>
        <w:jc w:val="both"/>
      </w:pPr>
      <w:r>
        <w:rPr>
          <w:rFonts w:ascii="仿宋" w:hAnsi="仿宋" w:cs="仿宋" w:eastAsia="仿宋"/>
          <w:sz w:val="24"/>
          <w:shd w:fill="FFFFFF" w:val="clear"/>
        </w:rPr>
        <w:t>20</w:t>
      </w:r>
      <w:r>
        <w:rPr>
          <w:rFonts w:ascii="仿宋" w:hAnsi="仿宋" w:cs="仿宋" w:eastAsia="仿宋"/>
          <w:sz w:val="24"/>
          <w:shd w:fill="FFFFFF" w:val="clear"/>
        </w:rPr>
        <w:t>.如发生任何</w:t>
      </w:r>
      <w:r>
        <w:rPr>
          <w:rFonts w:ascii="仿宋" w:hAnsi="仿宋" w:cs="仿宋" w:eastAsia="仿宋"/>
          <w:sz w:val="24"/>
          <w:shd w:fill="FFFFFF" w:val="clear"/>
        </w:rPr>
        <w:t>数据、</w:t>
      </w:r>
      <w:r>
        <w:rPr>
          <w:rFonts w:ascii="仿宋" w:hAnsi="仿宋" w:cs="仿宋" w:eastAsia="仿宋"/>
          <w:sz w:val="24"/>
          <w:shd w:fill="FFFFFF" w:val="clear"/>
        </w:rPr>
        <w:t>敏感信息泄漏事件，包括但不限于因我方原因导致的泄漏事件或者因第三方非法获取和使用而造成的泄漏事件，我方均应立即通知甲方，并采取有效措施防止泄密进一步扩大</w:t>
      </w:r>
      <w:r>
        <w:rPr>
          <w:rFonts w:ascii="仿宋" w:hAnsi="仿宋" w:cs="仿宋" w:eastAsia="仿宋"/>
          <w:sz w:val="24"/>
          <w:shd w:fill="FFFFFF" w:val="clear"/>
        </w:rPr>
        <w:t>。</w:t>
      </w:r>
      <w:r>
        <w:rPr>
          <w:rFonts w:ascii="仿宋" w:hAnsi="仿宋" w:cs="仿宋" w:eastAsia="仿宋"/>
          <w:sz w:val="24"/>
          <w:shd w:fill="FFFFFF" w:val="clear"/>
        </w:rPr>
        <w:t>我</w:t>
      </w:r>
      <w:r>
        <w:rPr>
          <w:rFonts w:ascii="仿宋" w:hAnsi="仿宋" w:cs="仿宋" w:eastAsia="仿宋"/>
          <w:sz w:val="24"/>
          <w:shd w:fill="FFFFFF" w:val="clear"/>
        </w:rPr>
        <w:t>方将在甲方数据</w:t>
      </w:r>
      <w:r>
        <w:rPr>
          <w:rFonts w:ascii="仿宋" w:hAnsi="仿宋" w:cs="仿宋" w:eastAsia="仿宋"/>
          <w:sz w:val="24"/>
          <w:shd w:fill="FFFFFF" w:val="clear"/>
        </w:rPr>
        <w:t>、敏感信息</w:t>
      </w:r>
      <w:r>
        <w:rPr>
          <w:rFonts w:ascii="仿宋" w:hAnsi="仿宋" w:cs="仿宋" w:eastAsia="仿宋"/>
          <w:sz w:val="24"/>
          <w:shd w:fill="FFFFFF" w:val="clear"/>
        </w:rPr>
        <w:t>泄露通知中包含数据</w:t>
      </w:r>
      <w:r>
        <w:rPr>
          <w:rFonts w:ascii="仿宋" w:hAnsi="仿宋" w:cs="仿宋" w:eastAsia="仿宋"/>
          <w:sz w:val="24"/>
          <w:shd w:fill="FFFFFF" w:val="clear"/>
        </w:rPr>
        <w:t>或敏感</w:t>
      </w:r>
      <w:r>
        <w:rPr>
          <w:rFonts w:ascii="仿宋" w:hAnsi="仿宋" w:cs="仿宋" w:eastAsia="仿宋"/>
          <w:sz w:val="24"/>
          <w:shd w:fill="FFFFFF" w:val="clear"/>
        </w:rPr>
        <w:t>信息泄露、丢失的详细描述，包括内容泄露或丢失的时间和地点；涉及的数据或信息类别；受影响的数据主体和记录的大致数量；为减轻数据或信息泄露、丢失的可能后果并防止再次发生而采取的措施；信息、数据泄露或丢失的潜在原因和后果；以及</w:t>
      </w:r>
      <w:r>
        <w:rPr>
          <w:rFonts w:ascii="仿宋" w:hAnsi="仿宋" w:cs="仿宋" w:eastAsia="仿宋"/>
          <w:sz w:val="24"/>
          <w:shd w:fill="FFFFFF" w:val="clear"/>
        </w:rPr>
        <w:t>我</w:t>
      </w:r>
      <w:r>
        <w:rPr>
          <w:rFonts w:ascii="仿宋" w:hAnsi="仿宋" w:cs="仿宋" w:eastAsia="仿宋"/>
          <w:sz w:val="24"/>
          <w:shd w:fill="FFFFFF" w:val="clear"/>
        </w:rPr>
        <w:t>方数据保护人员或其他授权个人的联系方式。同时</w:t>
      </w:r>
      <w:r>
        <w:rPr>
          <w:rFonts w:ascii="仿宋" w:hAnsi="仿宋" w:cs="仿宋" w:eastAsia="仿宋"/>
          <w:sz w:val="24"/>
          <w:shd w:fill="FFFFFF" w:val="clear"/>
        </w:rPr>
        <w:t>我</w:t>
      </w:r>
      <w:r>
        <w:rPr>
          <w:rFonts w:ascii="仿宋" w:hAnsi="仿宋" w:cs="仿宋" w:eastAsia="仿宋"/>
          <w:sz w:val="24"/>
          <w:shd w:fill="FFFFFF" w:val="clear"/>
        </w:rPr>
        <w:t>方应立即赔偿甲方因信息、数据泄露或丢失而合理产生的所有成本和费用（包括法律费用）。</w:t>
      </w:r>
    </w:p>
    <w:p>
      <w:pPr>
        <w:pStyle w:val="null3"/>
        <w:ind w:firstLine="480"/>
        <w:jc w:val="both"/>
      </w:pPr>
      <w:r>
        <w:rPr>
          <w:rFonts w:ascii="仿宋" w:hAnsi="仿宋" w:cs="仿宋" w:eastAsia="仿宋"/>
          <w:sz w:val="24"/>
          <w:shd w:fill="FFFFFF" w:val="clear"/>
        </w:rPr>
        <w:t>21.</w:t>
      </w:r>
      <w:r>
        <w:rPr>
          <w:rFonts w:ascii="仿宋" w:hAnsi="仿宋" w:cs="仿宋" w:eastAsia="仿宋"/>
          <w:sz w:val="24"/>
          <w:shd w:fill="FFFFFF" w:val="clear"/>
        </w:rPr>
        <w:t>甲方有权要求我方</w:t>
      </w:r>
      <w:r>
        <w:rPr>
          <w:rFonts w:ascii="仿宋" w:hAnsi="仿宋" w:cs="仿宋" w:eastAsia="仿宋"/>
          <w:sz w:val="24"/>
          <w:shd w:fill="FFFFFF" w:val="clear"/>
        </w:rPr>
        <w:t>赔偿</w:t>
      </w:r>
      <w:r>
        <w:rPr>
          <w:rFonts w:ascii="仿宋" w:hAnsi="仿宋" w:cs="仿宋" w:eastAsia="仿宋"/>
          <w:sz w:val="24"/>
          <w:shd w:fill="FFFFFF" w:val="clear"/>
        </w:rPr>
        <w:t>甲方</w:t>
      </w:r>
      <w:r>
        <w:rPr>
          <w:rFonts w:ascii="仿宋" w:hAnsi="仿宋" w:cs="仿宋" w:eastAsia="仿宋"/>
          <w:sz w:val="24"/>
          <w:shd w:fill="FFFFFF" w:val="clear"/>
        </w:rPr>
        <w:t>因信息泄露导致的所有损失，包括但不限于对</w:t>
      </w:r>
      <w:r>
        <w:rPr>
          <w:rFonts w:ascii="仿宋" w:hAnsi="仿宋" w:cs="仿宋" w:eastAsia="仿宋"/>
          <w:sz w:val="24"/>
          <w:shd w:fill="FFFFFF" w:val="clear"/>
        </w:rPr>
        <w:t>甲方</w:t>
      </w:r>
      <w:r>
        <w:rPr>
          <w:rFonts w:ascii="仿宋" w:hAnsi="仿宋" w:cs="仿宋" w:eastAsia="仿宋"/>
          <w:sz w:val="24"/>
          <w:shd w:fill="FFFFFF" w:val="clear"/>
        </w:rPr>
        <w:t>所造成的直接损失、可得利益损失、</w:t>
      </w:r>
      <w:r>
        <w:rPr>
          <w:rFonts w:ascii="仿宋" w:hAnsi="仿宋" w:cs="仿宋" w:eastAsia="仿宋"/>
          <w:sz w:val="24"/>
          <w:shd w:fill="FFFFFF" w:val="clear"/>
        </w:rPr>
        <w:t>甲方</w:t>
      </w:r>
      <w:r>
        <w:rPr>
          <w:rFonts w:ascii="仿宋" w:hAnsi="仿宋" w:cs="仿宋" w:eastAsia="仿宋"/>
          <w:sz w:val="24"/>
          <w:shd w:fill="FFFFFF" w:val="clear"/>
        </w:rPr>
        <w:t>支付给第三方的赔偿费用</w:t>
      </w:r>
      <w:r>
        <w:rPr>
          <w:rFonts w:ascii="仿宋" w:hAnsi="仿宋" w:cs="仿宋" w:eastAsia="仿宋"/>
          <w:sz w:val="24"/>
          <w:shd w:fill="FFFFFF" w:val="clear"/>
        </w:rPr>
        <w:t>/违约金/罚款、调查取证费用/公证费/鉴定费用、诉讼仲裁费用、保全费用、律师费用、维权费用以及其他合理费用</w:t>
      </w:r>
      <w:r>
        <w:rPr>
          <w:rFonts w:ascii="仿宋" w:hAnsi="仿宋" w:cs="仿宋" w:eastAsia="仿宋"/>
          <w:sz w:val="24"/>
          <w:shd w:fill="FFFFFF" w:val="clear"/>
        </w:rPr>
        <w:t>。</w:t>
      </w:r>
      <w:r>
        <w:rPr>
          <w:rFonts w:ascii="仿宋" w:hAnsi="仿宋" w:cs="仿宋" w:eastAsia="仿宋"/>
          <w:sz w:val="24"/>
          <w:shd w:fill="FFFFFF" w:val="clear"/>
        </w:rPr>
        <w:t>除此之外，如</w:t>
      </w:r>
      <w:r>
        <w:rPr>
          <w:rFonts w:ascii="仿宋" w:hAnsi="仿宋" w:cs="仿宋" w:eastAsia="仿宋"/>
          <w:sz w:val="24"/>
          <w:shd w:fill="FFFFFF" w:val="clear"/>
        </w:rPr>
        <w:t>以</w:t>
      </w:r>
      <w:r>
        <w:rPr>
          <w:rFonts w:ascii="仿宋" w:hAnsi="仿宋" w:cs="仿宋" w:eastAsia="仿宋"/>
          <w:sz w:val="24"/>
          <w:shd w:fill="FFFFFF" w:val="clear"/>
        </w:rPr>
        <w:t>资金补偿不足够补救由于违反本函的规定给</w:t>
      </w:r>
      <w:r>
        <w:rPr>
          <w:rFonts w:ascii="仿宋" w:hAnsi="仿宋" w:cs="仿宋" w:eastAsia="仿宋"/>
          <w:sz w:val="24"/>
          <w:shd w:fill="FFFFFF" w:val="clear"/>
        </w:rPr>
        <w:t>甲方</w:t>
      </w:r>
      <w:r>
        <w:rPr>
          <w:rFonts w:ascii="仿宋" w:hAnsi="仿宋" w:cs="仿宋" w:eastAsia="仿宋"/>
          <w:sz w:val="24"/>
          <w:shd w:fill="FFFFFF" w:val="clear"/>
        </w:rPr>
        <w:t>造成的损害，</w:t>
      </w:r>
      <w:r>
        <w:rPr>
          <w:rFonts w:ascii="仿宋" w:hAnsi="仿宋" w:cs="仿宋" w:eastAsia="仿宋"/>
          <w:sz w:val="24"/>
          <w:shd w:fill="FFFFFF" w:val="clear"/>
        </w:rPr>
        <w:t>甲方</w:t>
      </w:r>
      <w:r>
        <w:rPr>
          <w:rFonts w:ascii="仿宋" w:hAnsi="仿宋" w:cs="仿宋" w:eastAsia="仿宋"/>
          <w:sz w:val="24"/>
          <w:shd w:fill="FFFFFF" w:val="clear"/>
        </w:rPr>
        <w:t>将有权采取法律所允许的其它补救措施。</w:t>
      </w:r>
      <w:r>
        <w:rPr>
          <w:rFonts w:ascii="仿宋" w:hAnsi="仿宋" w:cs="仿宋" w:eastAsia="仿宋"/>
          <w:sz w:val="24"/>
          <w:shd w:fill="FFFFFF" w:val="clear"/>
        </w:rPr>
        <w:t>我方同意承担一切法律责任，</w:t>
      </w:r>
      <w:r>
        <w:rPr>
          <w:rFonts w:ascii="仿宋" w:hAnsi="仿宋" w:cs="仿宋" w:eastAsia="仿宋"/>
          <w:sz w:val="24"/>
          <w:shd w:fill="FFFFFF" w:val="clear"/>
        </w:rPr>
        <w:t>并</w:t>
      </w:r>
      <w:r>
        <w:rPr>
          <w:rFonts w:ascii="仿宋" w:hAnsi="仿宋" w:cs="仿宋" w:eastAsia="仿宋"/>
          <w:sz w:val="24"/>
          <w:shd w:fill="FFFFFF" w:val="clear"/>
        </w:rPr>
        <w:t>按合同约定接受违约责任。</w:t>
      </w:r>
    </w:p>
    <w:p>
      <w:pPr>
        <w:pStyle w:val="null3"/>
        <w:ind w:firstLine="480"/>
        <w:jc w:val="both"/>
      </w:pPr>
      <w:r>
        <w:rPr>
          <w:rFonts w:ascii="仿宋" w:hAnsi="仿宋" w:cs="仿宋" w:eastAsia="仿宋"/>
          <w:sz w:val="24"/>
        </w:rPr>
        <w:t>22.</w:t>
      </w:r>
      <w:r>
        <w:rPr>
          <w:rFonts w:ascii="仿宋" w:hAnsi="仿宋" w:cs="仿宋" w:eastAsia="仿宋"/>
          <w:sz w:val="24"/>
        </w:rPr>
        <w:t>本函适用中国法律。任何由本函产生的或与本函有关的争议应通过双方友好协商解决。当一方向另一方发出书面协商通知，协商应立即开始进行。协商不成的，任何一方有权按主合同争议解决条款解决争议。</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rPr>
        <w:t>.</w:t>
      </w:r>
      <w:r>
        <w:rPr>
          <w:rFonts w:ascii="仿宋" w:hAnsi="仿宋" w:cs="仿宋" w:eastAsia="仿宋"/>
          <w:sz w:val="24"/>
        </w:rPr>
        <w:t>对</w:t>
      </w:r>
      <w:r>
        <w:rPr>
          <w:rFonts w:ascii="仿宋" w:hAnsi="仿宋" w:cs="仿宋" w:eastAsia="仿宋"/>
          <w:sz w:val="24"/>
        </w:rPr>
        <w:t>敏感</w:t>
      </w:r>
      <w:r>
        <w:rPr>
          <w:rFonts w:ascii="仿宋" w:hAnsi="仿宋" w:cs="仿宋" w:eastAsia="仿宋"/>
          <w:sz w:val="24"/>
        </w:rPr>
        <w:t>信息中包含的任一和全部的数据、资料、文件、参考、陈述、信息和分析，</w:t>
      </w:r>
      <w:r>
        <w:rPr>
          <w:rFonts w:ascii="仿宋" w:hAnsi="仿宋" w:cs="仿宋" w:eastAsia="仿宋"/>
          <w:sz w:val="24"/>
        </w:rPr>
        <w:t>甲方</w:t>
      </w:r>
      <w:r>
        <w:rPr>
          <w:rFonts w:ascii="仿宋" w:hAnsi="仿宋" w:cs="仿宋" w:eastAsia="仿宋"/>
          <w:sz w:val="24"/>
        </w:rPr>
        <w:t>对其准确性、真实性或完整性未作出任何明示或暗示的陈述或保证；对因使用</w:t>
      </w:r>
      <w:r>
        <w:rPr>
          <w:rFonts w:ascii="仿宋" w:hAnsi="仿宋" w:cs="仿宋" w:eastAsia="仿宋"/>
          <w:sz w:val="24"/>
        </w:rPr>
        <w:t>敏感</w:t>
      </w:r>
      <w:r>
        <w:rPr>
          <w:rFonts w:ascii="仿宋" w:hAnsi="仿宋" w:cs="仿宋" w:eastAsia="仿宋"/>
          <w:sz w:val="24"/>
        </w:rPr>
        <w:t>信息，或因</w:t>
      </w:r>
      <w:r>
        <w:rPr>
          <w:rFonts w:ascii="仿宋" w:hAnsi="仿宋" w:cs="仿宋" w:eastAsia="仿宋"/>
          <w:sz w:val="24"/>
        </w:rPr>
        <w:t>敏感</w:t>
      </w:r>
      <w:r>
        <w:rPr>
          <w:rFonts w:ascii="仿宋" w:hAnsi="仿宋" w:cs="仿宋" w:eastAsia="仿宋"/>
          <w:sz w:val="24"/>
        </w:rPr>
        <w:t>信息或基于</w:t>
      </w:r>
      <w:r>
        <w:rPr>
          <w:rFonts w:ascii="仿宋" w:hAnsi="仿宋" w:cs="仿宋" w:eastAsia="仿宋"/>
          <w:sz w:val="24"/>
        </w:rPr>
        <w:t>敏感</w:t>
      </w:r>
      <w:r>
        <w:rPr>
          <w:rFonts w:ascii="仿宋" w:hAnsi="仿宋" w:cs="仿宋" w:eastAsia="仿宋"/>
          <w:sz w:val="24"/>
        </w:rPr>
        <w:t>信息产生的数据的任何错误或遗漏产生的责任或与之相关的责任，</w:t>
      </w:r>
      <w:r>
        <w:rPr>
          <w:rFonts w:ascii="仿宋" w:hAnsi="仿宋" w:cs="仿宋" w:eastAsia="仿宋"/>
          <w:sz w:val="24"/>
        </w:rPr>
        <w:t>甲方</w:t>
      </w:r>
      <w:r>
        <w:rPr>
          <w:rFonts w:ascii="仿宋" w:hAnsi="仿宋" w:cs="仿宋" w:eastAsia="仿宋"/>
          <w:sz w:val="24"/>
        </w:rPr>
        <w:t>不承担任何责任；</w:t>
      </w:r>
      <w:r>
        <w:rPr>
          <w:rFonts w:ascii="仿宋" w:hAnsi="仿宋" w:cs="仿宋" w:eastAsia="仿宋"/>
          <w:sz w:val="24"/>
        </w:rPr>
        <w:t>敏感</w:t>
      </w:r>
      <w:r>
        <w:rPr>
          <w:rFonts w:ascii="仿宋" w:hAnsi="仿宋" w:cs="仿宋" w:eastAsia="仿宋"/>
          <w:sz w:val="24"/>
        </w:rPr>
        <w:t>信息专属于</w:t>
      </w:r>
      <w:r>
        <w:rPr>
          <w:rFonts w:ascii="仿宋" w:hAnsi="仿宋" w:cs="仿宋" w:eastAsia="仿宋"/>
          <w:sz w:val="24"/>
        </w:rPr>
        <w:t>甲方</w:t>
      </w:r>
      <w:r>
        <w:rPr>
          <w:rFonts w:ascii="仿宋" w:hAnsi="仿宋" w:cs="仿宋" w:eastAsia="仿宋"/>
          <w:sz w:val="24"/>
        </w:rPr>
        <w:t>或</w:t>
      </w:r>
      <w:r>
        <w:rPr>
          <w:rFonts w:ascii="仿宋" w:hAnsi="仿宋" w:cs="仿宋" w:eastAsia="仿宋"/>
          <w:sz w:val="24"/>
        </w:rPr>
        <w:t>敏感</w:t>
      </w:r>
      <w:r>
        <w:rPr>
          <w:rFonts w:ascii="仿宋" w:hAnsi="仿宋" w:cs="仿宋" w:eastAsia="仿宋"/>
          <w:sz w:val="24"/>
        </w:rPr>
        <w:t>信息中说明的权利人，</w:t>
      </w:r>
      <w:r>
        <w:rPr>
          <w:rFonts w:ascii="仿宋" w:hAnsi="仿宋" w:cs="仿宋" w:eastAsia="仿宋"/>
          <w:sz w:val="24"/>
        </w:rPr>
        <w:t>我方</w:t>
      </w:r>
      <w:r>
        <w:rPr>
          <w:rFonts w:ascii="仿宋" w:hAnsi="仿宋" w:cs="仿宋" w:eastAsia="仿宋"/>
          <w:sz w:val="24"/>
        </w:rPr>
        <w:t>对信息或资料的使用均不拥有任何专有利益、许可或授权。</w:t>
      </w:r>
    </w:p>
    <w:p>
      <w:pPr>
        <w:pStyle w:val="null3"/>
        <w:ind w:firstLine="480"/>
        <w:jc w:val="both"/>
      </w:pPr>
      <w:r>
        <w:rPr>
          <w:rFonts w:ascii="仿宋" w:hAnsi="仿宋" w:cs="仿宋" w:eastAsia="仿宋"/>
          <w:sz w:val="24"/>
        </w:rPr>
        <w:t>特此承诺。</w:t>
      </w:r>
    </w:p>
    <w:p>
      <w:pPr>
        <w:pStyle w:val="null3"/>
        <w:ind w:firstLine="480"/>
        <w:jc w:val="both"/>
      </w:pPr>
      <w:r>
        <w:rPr>
          <w:rFonts w:ascii="仿宋" w:hAnsi="仿宋" w:cs="仿宋" w:eastAsia="仿宋"/>
          <w:sz w:val="24"/>
        </w:rPr>
        <w:t>公司名称：</w:t>
      </w:r>
      <w:r>
        <w:rPr>
          <w:rFonts w:ascii="仿宋" w:hAnsi="仿宋" w:cs="仿宋" w:eastAsia="仿宋"/>
          <w:sz w:val="24"/>
        </w:rPr>
        <w:t>__________________（盖章）</w:t>
      </w:r>
    </w:p>
    <w:p>
      <w:pPr>
        <w:pStyle w:val="null3"/>
        <w:ind w:left="3150" w:firstLine="480"/>
        <w:jc w:val="both"/>
      </w:pPr>
      <w:r>
        <w:rPr>
          <w:rFonts w:ascii="仿宋" w:hAnsi="仿宋" w:cs="仿宋" w:eastAsia="仿宋"/>
          <w:sz w:val="24"/>
        </w:rPr>
        <w:t>项目成员签字：</w:t>
      </w:r>
    </w:p>
    <w:p>
      <w:pPr>
        <w:pStyle w:val="null3"/>
        <w:ind w:left="3150" w:firstLine="480"/>
        <w:jc w:val="both"/>
      </w:pPr>
      <w:r>
        <w:rPr>
          <w:rFonts w:ascii="仿宋" w:hAnsi="仿宋" w:cs="仿宋" w:eastAsia="仿宋"/>
          <w:sz w:val="24"/>
        </w:rPr>
        <w:t>日</w:t>
      </w:r>
      <w:r>
        <w:rPr>
          <w:rFonts w:ascii="仿宋" w:hAnsi="仿宋" w:cs="仿宋" w:eastAsia="仿宋"/>
          <w:sz w:val="24"/>
        </w:rPr>
        <w:t xml:space="preserve">    </w:t>
      </w:r>
      <w:r>
        <w:rPr>
          <w:rFonts w:ascii="仿宋" w:hAnsi="仿宋" w:cs="仿宋" w:eastAsia="仿宋"/>
          <w:sz w:val="24"/>
        </w:rPr>
        <w:t>期：</w:t>
      </w:r>
    </w:p>
    <w:p>
      <w:pPr>
        <w:pStyle w:val="null3"/>
      </w:pPr>
      <w:r>
        <w:rPr>
          <w:rFonts w:ascii="仿宋" w:hAnsi="仿宋" w:cs="仿宋" w:eastAsia="仿宋"/>
          <w:sz w:val="24"/>
        </w:rPr>
        <w:t>附件二</w:t>
      </w:r>
    </w:p>
    <w:p>
      <w:pPr>
        <w:pStyle w:val="null3"/>
        <w:jc w:val="center"/>
      </w:pPr>
      <w:r>
        <w:rPr>
          <w:rFonts w:ascii="仿宋" w:hAnsi="仿宋" w:cs="仿宋" w:eastAsia="仿宋"/>
          <w:sz w:val="28"/>
          <w:b/>
        </w:rPr>
        <w:t>廉洁共建承诺书</w:t>
      </w:r>
    </w:p>
    <w:p>
      <w:pPr>
        <w:pStyle w:val="null3"/>
        <w:jc w:val="both"/>
      </w:pPr>
      <w:r>
        <w:rPr>
          <w:rFonts w:ascii="仿宋" w:hAnsi="仿宋" w:cs="仿宋" w:eastAsia="仿宋"/>
          <w:sz w:val="24"/>
          <w:shd w:fill="FFFFFF" w:val="clear"/>
        </w:rPr>
        <w:t>甲方：成方金融科技有限公司</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为认真贯彻落实中央八项规定精神，弘扬廉政文化，甲方提议和乙方一起共同维护风清气正的公务往来环境，携手共建廉洁自律的工作氛围，双方承诺如下：</w:t>
      </w:r>
    </w:p>
    <w:p>
      <w:pPr>
        <w:pStyle w:val="null3"/>
        <w:ind w:firstLine="480"/>
        <w:jc w:val="both"/>
      </w:pPr>
      <w:r>
        <w:rPr>
          <w:rFonts w:ascii="仿宋" w:hAnsi="仿宋" w:cs="仿宋" w:eastAsia="仿宋"/>
          <w:sz w:val="24"/>
        </w:rPr>
        <w:t>1</w:t>
      </w:r>
      <w:r>
        <w:rPr>
          <w:rFonts w:ascii="仿宋" w:hAnsi="仿宋" w:cs="仿宋" w:eastAsia="仿宋"/>
          <w:sz w:val="24"/>
        </w:rPr>
        <w:t>.</w:t>
      </w:r>
      <w:r>
        <w:rPr>
          <w:rFonts w:ascii="仿宋" w:hAnsi="仿宋" w:cs="仿宋" w:eastAsia="仿宋"/>
          <w:sz w:val="24"/>
        </w:rPr>
        <w:t>甲乙双方在商业合作中，严格遵守国家法律法规，接受各监管机构的监管与审查。</w:t>
      </w:r>
    </w:p>
    <w:p>
      <w:pPr>
        <w:pStyle w:val="null3"/>
        <w:ind w:firstLine="480"/>
        <w:jc w:val="both"/>
      </w:pPr>
      <w:r>
        <w:rPr>
          <w:rFonts w:ascii="仿宋" w:hAnsi="仿宋" w:cs="仿宋" w:eastAsia="仿宋"/>
          <w:sz w:val="24"/>
        </w:rPr>
        <w:t>2</w:t>
      </w:r>
      <w:r>
        <w:rPr>
          <w:rFonts w:ascii="仿宋" w:hAnsi="仿宋" w:cs="仿宋" w:eastAsia="仿宋"/>
          <w:sz w:val="24"/>
        </w:rPr>
        <w:t>.</w:t>
      </w:r>
      <w:r>
        <w:rPr>
          <w:rFonts w:ascii="仿宋" w:hAnsi="仿宋" w:cs="仿宋" w:eastAsia="仿宋"/>
          <w:sz w:val="24"/>
        </w:rPr>
        <w:t>甲方及其工作人员不能以权谋私，不能搞权钱交易，本人及特定关系人不得与乙方及其工作人员有以下行为：</w:t>
      </w:r>
      <w:r>
        <w:rPr>
          <w:rFonts w:ascii="仿宋" w:hAnsi="仿宋" w:cs="仿宋" w:eastAsia="仿宋"/>
          <w:sz w:val="24"/>
        </w:rPr>
        <w:t>①索取乙方及其工作人员财物。②接受可能影响公正执行公务或者违反有关规定的宴请、住宿、培训、旅游、健身、文体娱乐等活动安排，出入私人会所。③收受可能影响公正执行公务的礼品、礼金、购物卡、预付卡、会员卡、提货券、电子红包、有价证券、股权（份）、贵重物品、土特产、金融产品、消费卡（券）等财物及其他隐形变异行为。④借用乙方及其工作人员的钱款、房屋、车辆等，或以明显优于正常市场交易价格与乙方及其工作人员进行交易和服务。⑤通过乙方及其工作人员报销或支付（代垫）应由个人及其特定关系人承担的费用。</w:t>
      </w:r>
    </w:p>
    <w:p>
      <w:pPr>
        <w:pStyle w:val="null3"/>
        <w:ind w:firstLine="480"/>
        <w:jc w:val="both"/>
      </w:pPr>
      <w:r>
        <w:rPr>
          <w:rFonts w:ascii="仿宋" w:hAnsi="仿宋" w:cs="仿宋" w:eastAsia="仿宋"/>
          <w:sz w:val="24"/>
        </w:rPr>
        <w:t>3.乙方及其工作人员不得向甲方及其特定关系人：①行贿、提供回扣。②安排可能影响公正执行公务或者违反有关规定的宴请、住宿、旅游、健身、文体娱乐等活动。③赠送可能影响公正执行公务的礼品、礼金、购物卡、预付卡、会员卡、提货券、电子红包、有价证券、股权（份）、贵重物品、土特产、金融产品、消费卡（券）等财物及其他隐形变异行为。④出借钱款、房屋、车辆等，或以明显优于正常市场交易价格进行的房屋买卖、装修、金融投资等交易和服务。⑤</w:t>
      </w:r>
      <w:r>
        <w:rPr>
          <w:rFonts w:ascii="仿宋" w:hAnsi="仿宋" w:cs="仿宋" w:eastAsia="仿宋"/>
          <w:sz w:val="24"/>
        </w:rPr>
        <w:t>报销应由甲方公司、个人及其特定关系人承担的费用。</w:t>
      </w:r>
    </w:p>
    <w:p>
      <w:pPr>
        <w:pStyle w:val="null3"/>
        <w:ind w:firstLine="480"/>
        <w:jc w:val="both"/>
      </w:pPr>
      <w:r>
        <w:rPr>
          <w:rFonts w:ascii="仿宋" w:hAnsi="仿宋" w:cs="仿宋" w:eastAsia="仿宋"/>
          <w:sz w:val="24"/>
        </w:rPr>
        <w:t>4.甲乙双方及其工作人员不得进行违反廉政相关规定的任何其他活动，严格执行回避制度，不得安排有关联关系的工作人员参与双方单位的任何相关工作，严禁关联交易和任何利益输送。</w:t>
      </w:r>
    </w:p>
    <w:p>
      <w:pPr>
        <w:pStyle w:val="null3"/>
        <w:ind w:firstLine="480"/>
        <w:jc w:val="both"/>
      </w:pPr>
      <w:r>
        <w:rPr>
          <w:rFonts w:ascii="仿宋" w:hAnsi="仿宋" w:cs="仿宋" w:eastAsia="仿宋"/>
          <w:sz w:val="24"/>
        </w:rPr>
        <w:t>5.甲乙双方若发现对方工作人员有违反廉政相关规定的行为的，应及时对其进行教育帮助以终止其行为并按照合同约定中的违约责任处置，若对方工作人员的行为已构成违法、违纪或违规的，应当及时向对方监察部门举报。</w:t>
      </w:r>
    </w:p>
    <w:p>
      <w:pPr>
        <w:pStyle w:val="null3"/>
        <w:ind w:firstLine="480"/>
        <w:jc w:val="both"/>
      </w:pPr>
      <w:r>
        <w:rPr>
          <w:rFonts w:ascii="仿宋" w:hAnsi="仿宋" w:cs="仿宋" w:eastAsia="仿宋"/>
          <w:sz w:val="24"/>
        </w:rPr>
        <w:t>本承诺书甲乙双方盖章后生效，有效期为本承诺书签订之日起。</w:t>
      </w:r>
    </w:p>
    <w:p>
      <w:pPr>
        <w:pStyle w:val="null3"/>
        <w:ind w:firstLine="480"/>
        <w:jc w:val="both"/>
      </w:pPr>
      <w:r>
        <w:rPr>
          <w:rFonts w:ascii="仿宋" w:hAnsi="仿宋" w:cs="仿宋" w:eastAsia="仿宋"/>
          <w:sz w:val="24"/>
        </w:rPr>
        <w:t>甲方：成方金融科技有限公司</w:t>
      </w:r>
      <w:r>
        <w:rPr>
          <w:rFonts w:ascii="仿宋" w:hAnsi="仿宋" w:cs="仿宋" w:eastAsia="仿宋"/>
          <w:sz w:val="24"/>
        </w:rPr>
        <w:t xml:space="preserve">          </w:t>
      </w: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日期：</w:t>
      </w:r>
      <w:r>
        <w:rPr>
          <w:rFonts w:ascii="仿宋" w:hAnsi="仿宋" w:cs="仿宋" w:eastAsia="仿宋"/>
          <w:sz w:val="24"/>
        </w:rPr>
        <w:t xml:space="preserve">                              </w:t>
      </w:r>
      <w:r>
        <w:rPr>
          <w:rFonts w:ascii="仿宋" w:hAnsi="仿宋" w:cs="仿宋" w:eastAsia="仿宋"/>
          <w:sz w:val="24"/>
        </w:rPr>
        <w:t>日期</w:t>
      </w:r>
      <w:r>
        <w:rPr>
          <w:rFonts w:ascii="仿宋" w:hAnsi="仿宋" w:cs="仿宋" w:eastAsia="仿宋"/>
          <w:sz w:val="24"/>
        </w:rPr>
        <w:t>：</w:t>
      </w:r>
    </w:p>
    <w:p>
      <w:pPr>
        <w:pStyle w:val="null3"/>
      </w:pPr>
      <w:r>
        <w:rPr>
          <w:rFonts w:ascii="仿宋" w:hAnsi="仿宋" w:cs="仿宋" w:eastAsia="仿宋"/>
          <w:sz w:val="24"/>
        </w:rPr>
        <w:t>附件</w:t>
      </w:r>
      <w:r>
        <w:rPr>
          <w:rFonts w:ascii="仿宋" w:hAnsi="仿宋" w:cs="仿宋" w:eastAsia="仿宋"/>
          <w:sz w:val="24"/>
        </w:rPr>
        <w:t>四</w:t>
      </w:r>
    </w:p>
    <w:p>
      <w:pPr>
        <w:pStyle w:val="null3"/>
        <w:jc w:val="center"/>
      </w:pPr>
      <w:r>
        <w:rPr>
          <w:rFonts w:ascii="仿宋" w:hAnsi="仿宋" w:cs="仿宋" w:eastAsia="仿宋"/>
          <w:sz w:val="28"/>
          <w:b/>
        </w:rPr>
        <w:t>到货验收合格单（模板）</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824"/>
        <w:gridCol w:w="764"/>
        <w:gridCol w:w="1874"/>
        <w:gridCol w:w="604"/>
        <w:gridCol w:w="604"/>
        <w:gridCol w:w="604"/>
        <w:gridCol w:w="1679"/>
        <w:gridCol w:w="1334"/>
      </w:tblGrid>
      <w:tr>
        <w:tc>
          <w:tcPr>
            <w:tcW w:type="dxa" w:w="1588"/>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69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0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3"/>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到货验收清单</w:t>
            </w:r>
          </w:p>
        </w:tc>
      </w:tr>
      <w:tr>
        <w:tc>
          <w:tcPr>
            <w:tcW w:type="dxa" w:w="824"/>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6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8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81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67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33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4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w:t>
            </w:r>
          </w:p>
        </w:tc>
      </w:tr>
      <w:tr>
        <w:tc>
          <w:tcPr>
            <w:tcW w:type="dxa" w:w="828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1.到货验收共计[   ]项（应与到货验收清单项一致）</w:t>
            </w:r>
          </w:p>
          <w:p>
            <w:pPr>
              <w:pStyle w:val="null3"/>
              <w:jc w:val="both"/>
            </w:pPr>
            <w:r>
              <w:rPr>
                <w:rFonts w:ascii="仿宋" w:hAnsi="仿宋" w:cs="仿宋" w:eastAsia="仿宋"/>
                <w:sz w:val="24"/>
              </w:rPr>
              <w:t xml:space="preserve">2.全部设备验收结果与合同规定内容一致：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.其他（包括品牌、型号、规格、数量、外型、包装及资料、装箱单、保修单、随箱介质等文件）与合同规定内容一致：</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 xml:space="preserve">.本次到货验收结论：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40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22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r>
        <w:rPr>
          <w:rFonts w:ascii="calibri" w:hAnsi="calibri" w:cs="calibri" w:eastAsia="calibri"/>
          <w:sz w:val="21"/>
        </w:rPr>
        <w:t xml:space="preserve">                               </w:t>
      </w:r>
    </w:p>
    <w:p>
      <w:pPr>
        <w:pStyle w:val="null3"/>
        <w:jc w:val="both"/>
      </w:pPr>
      <w:r>
        <w:rPr/>
        <w:t xml:space="preserve"> </w:t>
      </w:r>
    </w:p>
    <w:p>
      <w:pPr>
        <w:pStyle w:val="null3"/>
        <w:ind w:left="255"/>
        <w:jc w:val="both"/>
      </w:pPr>
      <w:r>
        <w:rPr>
          <w:rFonts w:ascii="仿宋" w:hAnsi="仿宋" w:cs="仿宋" w:eastAsia="仿宋"/>
          <w:sz w:val="24"/>
        </w:rPr>
        <w:t>附件五</w:t>
      </w:r>
    </w:p>
    <w:p>
      <w:pPr>
        <w:pStyle w:val="null3"/>
        <w:jc w:val="center"/>
      </w:pPr>
      <w:r>
        <w:rPr>
          <w:rFonts w:ascii="仿宋" w:hAnsi="仿宋" w:cs="仿宋" w:eastAsia="仿宋"/>
          <w:sz w:val="28"/>
          <w:b/>
        </w:rPr>
        <w:t>安装调试验收合格单（模板）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安装调试验收清单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1.安装调试验收共计[   ]项（应与安装调试验收清单项一致）</w:t>
            </w:r>
          </w:p>
          <w:p>
            <w:pPr>
              <w:pStyle w:val="null3"/>
              <w:jc w:val="both"/>
            </w:pPr>
            <w:r>
              <w:rPr>
                <w:rFonts w:ascii="仿宋" w:hAnsi="仿宋" w:cs="仿宋" w:eastAsia="仿宋"/>
                <w:sz w:val="24"/>
              </w:rPr>
              <w:t xml:space="preserve">2.已提供了合同约定的验收产品和资料：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3.进场、上架、加电及安装调试工作满足合同要求： 是[   ]   否[   ]</w:t>
            </w:r>
          </w:p>
          <w:p>
            <w:pPr>
              <w:pStyle w:val="null3"/>
              <w:jc w:val="both"/>
            </w:pPr>
            <w:r>
              <w:rPr>
                <w:rFonts w:ascii="仿宋" w:hAnsi="仿宋" w:cs="仿宋" w:eastAsia="仿宋"/>
                <w:sz w:val="24"/>
              </w:rPr>
              <w:t>4</w:t>
            </w:r>
            <w:r>
              <w:rPr>
                <w:rFonts w:ascii="仿宋" w:hAnsi="仿宋" w:cs="仿宋" w:eastAsia="仿宋"/>
                <w:sz w:val="24"/>
              </w:rPr>
              <w:t>.</w:t>
            </w:r>
            <w:r>
              <w:rPr>
                <w:rFonts w:ascii="仿宋" w:hAnsi="仿宋" w:cs="仿宋" w:eastAsia="仿宋"/>
                <w:sz w:val="24"/>
              </w:rPr>
              <w:t>安装调试设备运行状态稳定：</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设备安装调试时出现的问题（如有）已被解决：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6</w:t>
            </w:r>
            <w:r>
              <w:rPr>
                <w:rFonts w:ascii="仿宋" w:hAnsi="仿宋" w:cs="仿宋" w:eastAsia="仿宋"/>
                <w:sz w:val="24"/>
              </w:rPr>
              <w:t xml:space="preserve">.本次安装调试验收结论：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jc w:val="both"/>
      </w:pPr>
      <w:r>
        <w:rPr>
          <w:rFonts w:ascii="仿宋" w:hAnsi="仿宋" w:cs="仿宋" w:eastAsia="仿宋"/>
          <w:sz w:val="24"/>
        </w:rPr>
        <w:t>附件六</w:t>
      </w:r>
    </w:p>
    <w:p>
      <w:pPr>
        <w:pStyle w:val="null3"/>
        <w:jc w:val="center"/>
      </w:pPr>
      <w:r>
        <w:rPr>
          <w:rFonts w:ascii="仿宋" w:hAnsi="仿宋" w:cs="仿宋" w:eastAsia="仿宋"/>
          <w:sz w:val="28"/>
          <w:b/>
        </w:rPr>
        <w:t>最终验收合格单（模板）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最终验收清单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实施情况：</w:t>
            </w:r>
          </w:p>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1.最终验收共计[   ]项（应与设备最终验收清单项一致）</w:t>
            </w:r>
          </w:p>
          <w:p>
            <w:pPr>
              <w:pStyle w:val="null3"/>
              <w:jc w:val="both"/>
            </w:pPr>
            <w:r>
              <w:rPr>
                <w:rFonts w:ascii="仿宋" w:hAnsi="仿宋" w:cs="仿宋" w:eastAsia="仿宋"/>
                <w:sz w:val="24"/>
              </w:rPr>
              <w:t xml:space="preserve">2.已提供合同的全部产品和资料：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试运行时间满足合同要求：</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性能测试和试运行时出现的问题（如有）已被解决：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 xml:space="preserve">.本次最终验收结论：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ind w:left="240"/>
              <w:jc w:val="both"/>
            </w:pPr>
            <w:r>
              <w:rPr>
                <w:rFonts w:ascii="仿宋" w:hAnsi="仿宋" w:cs="仿宋" w:eastAsia="仿宋"/>
                <w:sz w:val="24"/>
              </w:rPr>
              <w:t>6</w:t>
            </w:r>
            <w:r>
              <w:rPr>
                <w:rFonts w:ascii="仿宋" w:hAnsi="仿宋" w:cs="仿宋" w:eastAsia="仿宋"/>
                <w:sz w:val="24"/>
              </w:rPr>
              <w:t>.</w:t>
            </w:r>
            <w:r>
              <w:rPr>
                <w:rFonts w:ascii="仿宋" w:hAnsi="仿宋" w:cs="仿宋" w:eastAsia="仿宋"/>
                <w:sz w:val="24"/>
              </w:rPr>
              <w:t>供应商履约评价结果（与所附供应商履约评价表一致）：</w:t>
            </w:r>
            <w:r>
              <w:rPr>
                <w:rFonts w:ascii="calibri" w:hAnsi="calibri" w:cs="calibri" w:eastAsia="calibri"/>
                <w:sz w:val="21"/>
              </w:rPr>
              <w:t xml:space="preserve">    </w:t>
            </w:r>
          </w:p>
          <w:p>
            <w:pPr>
              <w:pStyle w:val="null3"/>
              <w:ind w:left="240"/>
              <w:jc w:val="both"/>
            </w:pPr>
            <w:r>
              <w:rPr>
                <w:rFonts w:ascii="calibri" w:hAnsi="calibri" w:cs="calibri" w:eastAsia="calibri"/>
                <w:sz w:val="21"/>
              </w:rPr>
              <w:t xml:space="preserve">  </w:t>
            </w:r>
            <w:r>
              <w:rPr>
                <w:rFonts w:ascii="仿宋" w:hAnsi="仿宋" w:cs="仿宋" w:eastAsia="仿宋"/>
                <w:sz w:val="24"/>
              </w:rPr>
              <w:t>优秀</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一般</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较差</w:t>
            </w:r>
            <w:r>
              <w:rPr>
                <w:rFonts w:ascii="仿宋" w:hAnsi="仿宋" w:cs="仿宋" w:eastAsia="仿宋"/>
                <w:sz w:val="24"/>
              </w:rPr>
              <w:t>[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