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成方金科2025年服务器、网络安全设备及超融合虚拟化软件采购项目（包2）</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RH-WTGK2025098-2</w:t>
      </w:r>
      <w:r>
        <w:br/>
      </w:r>
      <w:r>
        <w:br/>
      </w:r>
      <w:r>
        <w:br/>
      </w:r>
    </w:p>
    <w:p>
      <w:pPr>
        <w:pStyle w:val="null3"/>
        <w:jc w:val="center"/>
      </w:pPr>
      <w:r>
        <w:rPr/>
        <w:t>中国人民银行集中采购中心</w:t>
      </w:r>
    </w:p>
    <w:p>
      <w:pPr>
        <w:pStyle w:val="null3"/>
        <w:jc w:val="center"/>
      </w:pPr>
      <w:r>
        <w:rPr/>
        <w:t>2026年01月14日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成方金科2025年服务器、网络安全设备及超融合虚拟化软件采购项目（包2）</w:t>
      </w:r>
      <w:r>
        <w:rPr/>
        <w:t xml:space="preserve"> ”（项目编号： </w:t>
      </w:r>
      <w:r>
        <w:rPr/>
        <w:t>RH-WTGK2025098-2</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5,852,000.00</w:t>
      </w:r>
    </w:p>
    <w:p>
      <w:pPr>
        <w:pStyle w:val="null3"/>
        <w:jc w:val="left"/>
      </w:pPr>
      <w:r>
        <w:rPr/>
        <w:t>采购包最高限价（元）: 5,852,000.00</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2路ARM服务器</w:t>
            </w:r>
          </w:p>
        </w:tc>
        <w:tc>
          <w:tcPr>
            <w:tcW w:type="dxa" w:w="593"/>
          </w:tcPr>
          <w:p>
            <w:pPr>
              <w:pStyle w:val="null3"/>
              <w:jc w:val="left"/>
            </w:pPr>
            <w:r>
              <w:rPr/>
              <w:t>A02010104 服务器</w:t>
            </w:r>
          </w:p>
        </w:tc>
        <w:tc>
          <w:tcPr>
            <w:tcW w:type="dxa" w:w="593"/>
          </w:tcPr>
          <w:p>
            <w:pPr>
              <w:pStyle w:val="null3"/>
              <w:jc w:val="left"/>
            </w:pPr>
            <w:r>
              <w:rPr/>
              <w:t>A02010104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28.00</w:t>
            </w:r>
          </w:p>
        </w:tc>
        <w:tc>
          <w:tcPr>
            <w:tcW w:type="dxa" w:w="593"/>
          </w:tcPr>
          <w:p>
            <w:pPr>
              <w:pStyle w:val="null3"/>
              <w:jc w:val="left"/>
            </w:pPr>
            <w:r>
              <w:rPr/>
              <w:t>软件和信息技术服务业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right"/>
            </w:pPr>
            <w:r>
              <w:rPr/>
              <w:t>5,852,000.00</w:t>
            </w:r>
          </w:p>
        </w:tc>
        <w:tc>
          <w:tcPr>
            <w:tcW w:type="dxa" w:w="593"/>
          </w:tcP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成方金融科技有限公司</w:t>
      </w:r>
    </w:p>
    <w:p>
      <w:pPr>
        <w:pStyle w:val="null3"/>
        <w:jc w:val="left"/>
      </w:pPr>
      <w:r>
        <w:rPr/>
        <w:t xml:space="preserve"> 地址： </w:t>
      </w:r>
      <w:r>
        <w:rPr/>
        <w:t>北京市西城区金融大街37号9层</w:t>
      </w:r>
    </w:p>
    <w:p>
      <w:pPr>
        <w:pStyle w:val="null3"/>
        <w:jc w:val="left"/>
      </w:pPr>
      <w:r>
        <w:rPr/>
        <w:t xml:space="preserve"> 邮编： </w:t>
      </w:r>
      <w:r>
        <w:rPr/>
        <w:t>100031</w:t>
      </w:r>
    </w:p>
    <w:p>
      <w:pPr>
        <w:pStyle w:val="null3"/>
        <w:jc w:val="left"/>
      </w:pPr>
      <w:r>
        <w:rPr/>
        <w:t xml:space="preserve"> 联系人： </w:t>
      </w:r>
      <w:r>
        <w:rPr/>
        <w:t>张骞予</w:t>
      </w:r>
    </w:p>
    <w:p>
      <w:pPr>
        <w:pStyle w:val="null3"/>
        <w:jc w:val="left"/>
      </w:pPr>
      <w:r>
        <w:rPr/>
        <w:t xml:space="preserve"> 联系电话： </w:t>
      </w:r>
      <w:r>
        <w:rPr/>
        <w:t>010-82186516</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北京市西城区成方街32号</w:t>
      </w:r>
    </w:p>
    <w:p>
      <w:pPr>
        <w:pStyle w:val="null3"/>
        <w:jc w:val="left"/>
      </w:pPr>
      <w:r>
        <w:rPr/>
        <w:t xml:space="preserve"> 邮编： </w:t>
      </w:r>
      <w:r>
        <w:rPr/>
        <w:t>100032</w:t>
      </w:r>
    </w:p>
    <w:p>
      <w:pPr>
        <w:pStyle w:val="null3"/>
        <w:jc w:val="left"/>
      </w:pPr>
      <w:r>
        <w:rPr/>
        <w:t xml:space="preserve"> 联系人（文件发放、开标前咨询）： </w:t>
      </w:r>
      <w:r>
        <w:rPr/>
        <w:t>郭先生</w:t>
      </w:r>
    </w:p>
    <w:p>
      <w:pPr>
        <w:pStyle w:val="null3"/>
        <w:jc w:val="left"/>
      </w:pPr>
      <w:r>
        <w:rPr/>
        <w:t xml:space="preserve"> 联系电话（文件发放、开标前咨询）： </w:t>
      </w:r>
      <w:r>
        <w:rPr/>
        <w:t>010-66195911</w:t>
      </w:r>
    </w:p>
    <w:p>
      <w:pPr>
        <w:pStyle w:val="null3"/>
        <w:jc w:val="left"/>
      </w:pPr>
      <w:r>
        <w:rPr/>
        <w:t xml:space="preserve"> 联系人（开、评标咨询）： </w:t>
      </w:r>
      <w:r>
        <w:rPr/>
        <w:t>赵女士</w:t>
      </w:r>
    </w:p>
    <w:p>
      <w:pPr>
        <w:pStyle w:val="null3"/>
        <w:jc w:val="left"/>
      </w:pPr>
      <w:r>
        <w:rPr/>
        <w:t xml:space="preserve"> 联系电话（开、评标咨询）： </w:t>
      </w:r>
      <w:r>
        <w:rPr/>
        <w:t>010-66195465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采购人确定中标（成交）供应商。</w:t>
            </w:r>
          </w:p>
          <w:p>
            <w:pPr>
              <w:pStyle w:val="null3"/>
            </w:pPr>
            <w:r>
              <w:rPr/>
              <w:t>采购人依法自行确定中标（成交）供应商。</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为满足公司开发测试环境使用需求，拟采购服务器、网络安全设备及超融合虚拟化软件。</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采购服务器、网络安全软硬件设备及超融合虚拟化软件</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包1： 1.X86服务器:112台 2.超融虚拟化软件1套（280C） 包2： 1.ARM服务器28台 包3： 1.千兆网络交换机18台 2.万兆网络交换机18台 3.防火墙2台</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成方金融科技有限公司总公司</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本技术要求共有“★”指标56个，”#”指标8个，“▲”指标11个。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产品规格-CPU规格</w:t>
            </w:r>
          </w:p>
        </w:tc>
        <w:tc>
          <w:tcPr>
            <w:tcW w:type="dxa" w:w="1038"/>
          </w:tcPr>
          <w:p>
            <w:pPr>
              <w:pStyle w:val="null3"/>
            </w:pPr>
            <w:r>
              <w:rPr/>
              <w:t>CPU信息</w:t>
            </w:r>
          </w:p>
        </w:tc>
        <w:tc>
          <w:tcPr>
            <w:tcW w:type="dxa" w:w="1038"/>
          </w:tcPr>
          <w:p>
            <w:pPr>
              <w:pStyle w:val="null3"/>
            </w:pPr>
            <w:r>
              <w:rPr/>
              <w:t>实配CPU主频≥2.6GHz，每路 CPU≥48核处理器。</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主板支持的CPU 和内存情况</w:t>
            </w:r>
          </w:p>
        </w:tc>
        <w:tc>
          <w:tcPr>
            <w:tcW w:type="dxa" w:w="1038"/>
          </w:tcPr>
          <w:p>
            <w:pPr>
              <w:pStyle w:val="null3"/>
            </w:pPr>
            <w:r>
              <w:rPr/>
              <w:t>CPU：实配2路ARM架构处理器；内存：实际容量≥1TB，单条内存≥64GB，内存频率≥3200Mhz。</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主板内存槽数量</w:t>
            </w:r>
          </w:p>
        </w:tc>
        <w:tc>
          <w:tcPr>
            <w:tcW w:type="dxa" w:w="1038"/>
          </w:tcPr>
          <w:p>
            <w:pPr>
              <w:pStyle w:val="null3"/>
            </w:pPr>
            <w:r>
              <w:rPr/>
              <w:t>内存槽位支持≥32</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主板存储接口</w:t>
            </w:r>
          </w:p>
        </w:tc>
        <w:tc>
          <w:tcPr>
            <w:tcW w:type="dxa" w:w="1038"/>
          </w:tcPr>
          <w:p>
            <w:pPr>
              <w:pStyle w:val="null3"/>
            </w:pPr>
            <w:r>
              <w:rPr/>
              <w:t>支持 SATA、SAS、U.2等存储接口</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PCIe 插槽接口</w:t>
            </w:r>
          </w:p>
        </w:tc>
        <w:tc>
          <w:tcPr>
            <w:tcW w:type="dxa" w:w="1038"/>
          </w:tcPr>
          <w:p>
            <w:pPr>
              <w:pStyle w:val="null3"/>
            </w:pPr>
            <w:r>
              <w:rPr/>
              <w:t>符合 PCIe3.0 或以上的高速串行计算机扩展总线标准，PCIe 的接口速率与位宽需保证向下兼容。</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产品规格-主板规格</w:t>
            </w:r>
          </w:p>
        </w:tc>
        <w:tc>
          <w:tcPr>
            <w:tcW w:type="dxa" w:w="1038"/>
          </w:tcPr>
          <w:p>
            <w:pPr>
              <w:pStyle w:val="null3"/>
            </w:pPr>
            <w:r>
              <w:rPr/>
              <w:t>主板PCIe 插槽数量及规格</w:t>
            </w:r>
          </w:p>
        </w:tc>
        <w:tc>
          <w:tcPr>
            <w:tcW w:type="dxa" w:w="1038"/>
          </w:tcPr>
          <w:p>
            <w:pPr>
              <w:pStyle w:val="null3"/>
            </w:pPr>
            <w:r>
              <w:rPr/>
              <w:t>主板支持的PCIE槽位数不少于8个。</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2路ARM服务器</w:t>
            </w:r>
          </w:p>
        </w:tc>
        <w:tc>
          <w:tcPr>
            <w:tcW w:type="dxa" w:w="1038"/>
          </w:tcPr>
          <w:p/>
        </w:tc>
        <w:tc>
          <w:tcPr>
            <w:tcW w:type="dxa" w:w="1038"/>
          </w:tcPr>
          <w:p>
            <w:pPr>
              <w:pStyle w:val="null3"/>
            </w:pPr>
            <w:r>
              <w:rPr/>
              <w:t>产品规格-主板规格</w:t>
            </w:r>
          </w:p>
        </w:tc>
        <w:tc>
          <w:tcPr>
            <w:tcW w:type="dxa" w:w="1038"/>
          </w:tcPr>
          <w:p>
            <w:pPr>
              <w:pStyle w:val="null3"/>
            </w:pPr>
            <w:r>
              <w:rPr/>
              <w:t>特殊孔位及接口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2路ARM服务器</w:t>
            </w:r>
          </w:p>
        </w:tc>
        <w:tc>
          <w:tcPr>
            <w:tcW w:type="dxa" w:w="1038"/>
          </w:tcPr>
          <w:p/>
        </w:tc>
        <w:tc>
          <w:tcPr>
            <w:tcW w:type="dxa" w:w="1038"/>
          </w:tcPr>
          <w:p>
            <w:pPr>
              <w:pStyle w:val="null3"/>
            </w:pPr>
            <w:r>
              <w:rPr/>
              <w:t>产品规格-主板规格</w:t>
            </w:r>
          </w:p>
        </w:tc>
        <w:tc>
          <w:tcPr>
            <w:tcW w:type="dxa" w:w="1038"/>
          </w:tcPr>
          <w:p>
            <w:pPr>
              <w:pStyle w:val="null3"/>
            </w:pPr>
            <w:r>
              <w:rPr/>
              <w:t>板载网络接口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2路ARM服务器</w:t>
            </w:r>
          </w:p>
        </w:tc>
        <w:tc>
          <w:tcPr>
            <w:tcW w:type="dxa" w:w="1038"/>
          </w:tcPr>
          <w:p/>
        </w:tc>
        <w:tc>
          <w:tcPr>
            <w:tcW w:type="dxa" w:w="1038"/>
          </w:tcPr>
          <w:p>
            <w:pPr>
              <w:pStyle w:val="null3"/>
            </w:pPr>
            <w:r>
              <w:rPr/>
              <w:t>产品规格-主板规格</w:t>
            </w:r>
          </w:p>
        </w:tc>
        <w:tc>
          <w:tcPr>
            <w:tcW w:type="dxa" w:w="1038"/>
          </w:tcPr>
          <w:p>
            <w:pPr>
              <w:pStyle w:val="null3"/>
            </w:pPr>
            <w:r>
              <w:rPr/>
              <w:t>主板OCP 插槽数量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内存数量</w:t>
            </w:r>
          </w:p>
        </w:tc>
        <w:tc>
          <w:tcPr>
            <w:tcW w:type="dxa" w:w="1038"/>
          </w:tcPr>
          <w:p>
            <w:pPr>
              <w:pStyle w:val="null3"/>
            </w:pPr>
            <w:r>
              <w:rPr/>
              <w:t>≥16</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内存规格</w:t>
            </w:r>
          </w:p>
        </w:tc>
        <w:tc>
          <w:tcPr>
            <w:tcW w:type="dxa" w:w="1038"/>
          </w:tcPr>
          <w:p>
            <w:pPr>
              <w:pStyle w:val="null3"/>
            </w:pPr>
            <w:r>
              <w:rPr/>
              <w:t>≥DDR4，具备高级ECC等功能，单台物理内存品牌型号一致。</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产品规格-内存规格</w:t>
            </w:r>
          </w:p>
        </w:tc>
        <w:tc>
          <w:tcPr>
            <w:tcW w:type="dxa" w:w="1038"/>
          </w:tcPr>
          <w:p>
            <w:pPr>
              <w:pStyle w:val="null3"/>
            </w:pPr>
            <w:r>
              <w:rPr/>
              <w:t>内存通道</w:t>
            </w:r>
          </w:p>
        </w:tc>
        <w:tc>
          <w:tcPr>
            <w:tcW w:type="dxa" w:w="1038"/>
          </w:tcPr>
          <w:p>
            <w:pPr>
              <w:pStyle w:val="null3"/>
            </w:pPr>
            <w:r>
              <w:rPr/>
              <w:t>支持多个内存接口通道，每个通道可支持 1DPC 或 2DPC，当支持 2DPC 时，印制电路板上应具备插槽的序号标识，具体通道数应在随机文件中明确。</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2路ARM服务器</w:t>
            </w:r>
          </w:p>
        </w:tc>
        <w:tc>
          <w:tcPr>
            <w:tcW w:type="dxa" w:w="1038"/>
          </w:tcPr>
          <w:p/>
        </w:tc>
        <w:tc>
          <w:tcPr>
            <w:tcW w:type="dxa" w:w="1038"/>
          </w:tcPr>
          <w:p>
            <w:pPr>
              <w:pStyle w:val="null3"/>
            </w:pPr>
            <w:r>
              <w:rPr/>
              <w:t>产品规格-存储规格</w:t>
            </w:r>
          </w:p>
        </w:tc>
        <w:tc>
          <w:tcPr>
            <w:tcW w:type="dxa" w:w="1038"/>
          </w:tcPr>
          <w:p>
            <w:pPr>
              <w:pStyle w:val="null3"/>
            </w:pPr>
            <w:r>
              <w:rPr/>
              <w:t>硬盘类型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硬磁盘实配容量</w:t>
            </w:r>
          </w:p>
        </w:tc>
        <w:tc>
          <w:tcPr>
            <w:tcW w:type="dxa" w:w="1038"/>
          </w:tcPr>
          <w:p>
            <w:pPr>
              <w:pStyle w:val="null3"/>
            </w:pPr>
            <w:r>
              <w:rPr/>
              <w:t>960G SATA SSD硬盘 DWPD≥1（5年）；3.84T SATA SSD硬盘 DWPD≥3（5年）；8T SATA HDD硬盘 6Gb/s；</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2路ARM服务器</w:t>
            </w:r>
          </w:p>
        </w:tc>
        <w:tc>
          <w:tcPr>
            <w:tcW w:type="dxa" w:w="1038"/>
          </w:tcPr>
          <w:p/>
        </w:tc>
        <w:tc>
          <w:tcPr>
            <w:tcW w:type="dxa" w:w="1038"/>
          </w:tcPr>
          <w:p>
            <w:pPr>
              <w:pStyle w:val="null3"/>
            </w:pPr>
            <w:r>
              <w:rPr/>
              <w:t>产品规格-存储规格</w:t>
            </w:r>
          </w:p>
        </w:tc>
        <w:tc>
          <w:tcPr>
            <w:tcW w:type="dxa" w:w="1038"/>
          </w:tcPr>
          <w:p>
            <w:pPr>
              <w:pStyle w:val="null3"/>
            </w:pPr>
            <w:r>
              <w:rPr/>
              <w:t>硬盘接口类型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硬盘实配数量</w:t>
            </w:r>
          </w:p>
        </w:tc>
        <w:tc>
          <w:tcPr>
            <w:tcW w:type="dxa" w:w="1038"/>
          </w:tcPr>
          <w:p>
            <w:pPr>
              <w:pStyle w:val="null3"/>
            </w:pPr>
            <w:r>
              <w:rPr/>
              <w:t>≥960G SATA SSD硬盘 2块；≥3.84T SATA SSD硬盘 2块；≥8T SATA HDD硬盘 8块。</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产品规格-存储规格</w:t>
            </w:r>
          </w:p>
        </w:tc>
        <w:tc>
          <w:tcPr>
            <w:tcW w:type="dxa" w:w="1038"/>
          </w:tcPr>
          <w:p>
            <w:pPr>
              <w:pStyle w:val="null3"/>
            </w:pPr>
            <w:r>
              <w:rPr/>
              <w:t>硬盘插槽数量及规格</w:t>
            </w:r>
          </w:p>
        </w:tc>
        <w:tc>
          <w:tcPr>
            <w:tcW w:type="dxa" w:w="1038"/>
          </w:tcPr>
          <w:p>
            <w:pPr>
              <w:pStyle w:val="null3"/>
            </w:pPr>
            <w:r>
              <w:rPr/>
              <w:t>2.5 英寸或3.5 英寸硬盘，硬盘槽位数不少于14</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2路ARM服务器</w:t>
            </w:r>
          </w:p>
        </w:tc>
        <w:tc>
          <w:tcPr>
            <w:tcW w:type="dxa" w:w="1038"/>
          </w:tcPr>
          <w:p/>
        </w:tc>
        <w:tc>
          <w:tcPr>
            <w:tcW w:type="dxa" w:w="1038"/>
          </w:tcPr>
          <w:p>
            <w:pPr>
              <w:pStyle w:val="null3"/>
            </w:pPr>
            <w:r>
              <w:rPr/>
              <w:t>产品规格-存储规格</w:t>
            </w:r>
          </w:p>
        </w:tc>
        <w:tc>
          <w:tcPr>
            <w:tcW w:type="dxa" w:w="1038"/>
          </w:tcPr>
          <w:p>
            <w:pPr>
              <w:pStyle w:val="null3"/>
            </w:pPr>
            <w:r>
              <w:rPr/>
              <w:t>硬盘其他参数要求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2路ARM服务器</w:t>
            </w:r>
          </w:p>
        </w:tc>
        <w:tc>
          <w:tcPr>
            <w:tcW w:type="dxa" w:w="1038"/>
          </w:tcPr>
          <w:p/>
        </w:tc>
        <w:tc>
          <w:tcPr>
            <w:tcW w:type="dxa" w:w="1038"/>
          </w:tcPr>
          <w:p>
            <w:pPr>
              <w:pStyle w:val="null3"/>
            </w:pPr>
            <w:r>
              <w:rPr/>
              <w:t>产品规格-RAID卡规格（若支持RAID卡）</w:t>
            </w:r>
          </w:p>
        </w:tc>
        <w:tc>
          <w:tcPr>
            <w:tcW w:type="dxa" w:w="1038"/>
          </w:tcPr>
          <w:p>
            <w:pPr>
              <w:pStyle w:val="null3"/>
            </w:pPr>
            <w:r>
              <w:rPr/>
              <w:t>RAID 卡支持的 SAS接口数</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2路ARM服务器</w:t>
            </w:r>
          </w:p>
        </w:tc>
        <w:tc>
          <w:tcPr>
            <w:tcW w:type="dxa" w:w="1038"/>
          </w:tcPr>
          <w:p/>
        </w:tc>
        <w:tc>
          <w:tcPr>
            <w:tcW w:type="dxa" w:w="1038"/>
          </w:tcPr>
          <w:p>
            <w:pPr>
              <w:pStyle w:val="null3"/>
            </w:pPr>
            <w:r>
              <w:rPr/>
              <w:t>产品规格-SAS 直通卡规格(若支持SAS直通卡)</w:t>
            </w:r>
          </w:p>
        </w:tc>
        <w:tc>
          <w:tcPr>
            <w:tcW w:type="dxa" w:w="1038"/>
          </w:tcPr>
          <w:p>
            <w:pPr>
              <w:pStyle w:val="null3"/>
            </w:pPr>
            <w:r>
              <w:rPr/>
              <w:t>SAS 直通卡 SAS 接口数量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2路ARM服务器</w:t>
            </w:r>
          </w:p>
        </w:tc>
        <w:tc>
          <w:tcPr>
            <w:tcW w:type="dxa" w:w="1038"/>
          </w:tcPr>
          <w:p/>
        </w:tc>
        <w:tc>
          <w:tcPr>
            <w:tcW w:type="dxa" w:w="1038"/>
          </w:tcPr>
          <w:p>
            <w:pPr>
              <w:pStyle w:val="null3"/>
            </w:pPr>
            <w:r>
              <w:rPr/>
              <w:t>产品规格-HBA卡规格(若支持HBA直通卡）</w:t>
            </w:r>
          </w:p>
        </w:tc>
        <w:tc>
          <w:tcPr>
            <w:tcW w:type="dxa" w:w="1038"/>
          </w:tcPr>
          <w:p>
            <w:pPr>
              <w:pStyle w:val="null3"/>
            </w:pPr>
            <w:r>
              <w:rPr/>
              <w:t>HBA 卡端口数量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产品规格-网络规格</w:t>
            </w:r>
          </w:p>
        </w:tc>
        <w:tc>
          <w:tcPr>
            <w:tcW w:type="dxa" w:w="1038"/>
          </w:tcPr>
          <w:p>
            <w:pPr>
              <w:pStyle w:val="null3"/>
            </w:pPr>
            <w:r>
              <w:rPr/>
              <w:t>网口速率和数量</w:t>
            </w:r>
          </w:p>
        </w:tc>
        <w:tc>
          <w:tcPr>
            <w:tcW w:type="dxa" w:w="1038"/>
          </w:tcPr>
          <w:p>
            <w:pPr>
              <w:pStyle w:val="null3"/>
            </w:pPr>
            <w:r>
              <w:rPr/>
              <w:t>双口25GE 光口独立网卡，配置25GE光模块，支持RDMA协议，2块;</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2路ARM服务器</w:t>
            </w:r>
          </w:p>
        </w:tc>
        <w:tc>
          <w:tcPr>
            <w:tcW w:type="dxa" w:w="1038"/>
          </w:tcPr>
          <w:p/>
        </w:tc>
        <w:tc>
          <w:tcPr>
            <w:tcW w:type="dxa" w:w="1038"/>
          </w:tcPr>
          <w:p>
            <w:pPr>
              <w:pStyle w:val="null3"/>
            </w:pPr>
            <w:r>
              <w:rPr/>
              <w:t>产品规格-网络规格</w:t>
            </w:r>
          </w:p>
        </w:tc>
        <w:tc>
          <w:tcPr>
            <w:tcW w:type="dxa" w:w="1038"/>
          </w:tcPr>
          <w:p>
            <w:pPr>
              <w:pStyle w:val="null3"/>
            </w:pPr>
            <w:r>
              <w:rPr/>
              <w:t>存储型服务器网口速率和数量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2路ARM服务器</w:t>
            </w:r>
          </w:p>
        </w:tc>
        <w:tc>
          <w:tcPr>
            <w:tcW w:type="dxa" w:w="1038"/>
          </w:tcPr>
          <w:p/>
        </w:tc>
        <w:tc>
          <w:tcPr>
            <w:tcW w:type="dxa" w:w="1038"/>
          </w:tcPr>
          <w:p>
            <w:pPr>
              <w:pStyle w:val="null3"/>
            </w:pPr>
            <w:r>
              <w:rPr/>
              <w:t>产品规格-网络规格</w:t>
            </w:r>
          </w:p>
        </w:tc>
        <w:tc>
          <w:tcPr>
            <w:tcW w:type="dxa" w:w="1038"/>
          </w:tcPr>
          <w:p>
            <w:pPr>
              <w:pStyle w:val="null3"/>
            </w:pPr>
            <w:r>
              <w:rPr/>
              <w:t>独立网卡网口数量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2路ARM服务器</w:t>
            </w:r>
          </w:p>
        </w:tc>
        <w:tc>
          <w:tcPr>
            <w:tcW w:type="dxa" w:w="1038"/>
          </w:tcPr>
          <w:p/>
        </w:tc>
        <w:tc>
          <w:tcPr>
            <w:tcW w:type="dxa" w:w="1038"/>
          </w:tcPr>
          <w:p>
            <w:pPr>
              <w:pStyle w:val="null3"/>
            </w:pPr>
            <w:r>
              <w:rPr/>
              <w:t>产品规格-网络规格</w:t>
            </w:r>
          </w:p>
        </w:tc>
        <w:tc>
          <w:tcPr>
            <w:tcW w:type="dxa" w:w="1038"/>
          </w:tcPr>
          <w:p>
            <w:pPr>
              <w:pStyle w:val="null3"/>
            </w:pPr>
            <w:r>
              <w:rPr/>
              <w:t>独立网卡接口类型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2路ARM服务器</w:t>
            </w:r>
          </w:p>
        </w:tc>
        <w:tc>
          <w:tcPr>
            <w:tcW w:type="dxa" w:w="1038"/>
          </w:tcPr>
          <w:p/>
        </w:tc>
        <w:tc>
          <w:tcPr>
            <w:tcW w:type="dxa" w:w="1038"/>
          </w:tcPr>
          <w:p>
            <w:pPr>
              <w:pStyle w:val="null3"/>
            </w:pPr>
            <w:r>
              <w:rPr/>
              <w:t>产品规格-网络规格</w:t>
            </w:r>
          </w:p>
        </w:tc>
        <w:tc>
          <w:tcPr>
            <w:tcW w:type="dxa" w:w="1038"/>
          </w:tcPr>
          <w:p>
            <w:pPr>
              <w:pStyle w:val="null3"/>
            </w:pPr>
            <w:r>
              <w:rPr/>
              <w:t>板载网卡接口类型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显示接口</w:t>
            </w:r>
          </w:p>
        </w:tc>
        <w:tc>
          <w:tcPr>
            <w:tcW w:type="dxa" w:w="1038"/>
          </w:tcPr>
          <w:p>
            <w:pPr>
              <w:pStyle w:val="null3"/>
            </w:pPr>
            <w:r>
              <w:rPr/>
              <w:t>显示接口类型至少提供VGA</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产品规格-外部接口规格</w:t>
            </w:r>
          </w:p>
        </w:tc>
        <w:tc>
          <w:tcPr>
            <w:tcW w:type="dxa" w:w="1038"/>
          </w:tcPr>
          <w:p>
            <w:pPr>
              <w:pStyle w:val="null3"/>
            </w:pPr>
            <w:r>
              <w:rPr/>
              <w:t>USB 接口</w:t>
            </w:r>
          </w:p>
        </w:tc>
        <w:tc>
          <w:tcPr>
            <w:tcW w:type="dxa" w:w="1038"/>
          </w:tcPr>
          <w:p>
            <w:pPr>
              <w:pStyle w:val="null3"/>
            </w:pPr>
            <w:r>
              <w:rPr/>
              <w:t>至少配备2个USB 接口，如USB2.0、USB3.0 等。</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2路ARM服务器</w:t>
            </w:r>
          </w:p>
        </w:tc>
        <w:tc>
          <w:tcPr>
            <w:tcW w:type="dxa" w:w="1038"/>
          </w:tcPr>
          <w:p/>
        </w:tc>
        <w:tc>
          <w:tcPr>
            <w:tcW w:type="dxa" w:w="1038"/>
          </w:tcPr>
          <w:p>
            <w:pPr>
              <w:pStyle w:val="null3"/>
            </w:pPr>
            <w:r>
              <w:rPr/>
              <w:t>产品规格-外部接口规格</w:t>
            </w:r>
          </w:p>
        </w:tc>
        <w:tc>
          <w:tcPr>
            <w:tcW w:type="dxa" w:w="1038"/>
          </w:tcPr>
          <w:p>
            <w:pPr>
              <w:pStyle w:val="null3"/>
            </w:pPr>
            <w:r>
              <w:rPr/>
              <w:t>特殊接口及孔位</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2路ARM服务器</w:t>
            </w:r>
          </w:p>
        </w:tc>
        <w:tc>
          <w:tcPr>
            <w:tcW w:type="dxa" w:w="1038"/>
          </w:tcPr>
          <w:p/>
        </w:tc>
        <w:tc>
          <w:tcPr>
            <w:tcW w:type="dxa" w:w="1038"/>
          </w:tcPr>
          <w:p>
            <w:pPr>
              <w:pStyle w:val="null3"/>
            </w:pPr>
            <w:r>
              <w:rPr/>
              <w:t>产品规格-外部接口规格</w:t>
            </w:r>
          </w:p>
        </w:tc>
        <w:tc>
          <w:tcPr>
            <w:tcW w:type="dxa" w:w="1038"/>
          </w:tcPr>
          <w:p>
            <w:pPr>
              <w:pStyle w:val="null3"/>
            </w:pPr>
            <w:r>
              <w:rPr/>
              <w:t>其他接口</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2路ARM服务器</w:t>
            </w:r>
          </w:p>
        </w:tc>
        <w:tc>
          <w:tcPr>
            <w:tcW w:type="dxa" w:w="1038"/>
          </w:tcPr>
          <w:p/>
        </w:tc>
        <w:tc>
          <w:tcPr>
            <w:tcW w:type="dxa" w:w="1038"/>
          </w:tcPr>
          <w:p>
            <w:pPr>
              <w:pStyle w:val="null3"/>
            </w:pPr>
            <w:r>
              <w:rPr/>
              <w:t>产品规格-电源规格</w:t>
            </w:r>
          </w:p>
        </w:tc>
        <w:tc>
          <w:tcPr>
            <w:tcW w:type="dxa" w:w="1038"/>
          </w:tcPr>
          <w:p>
            <w:pPr>
              <w:pStyle w:val="null3"/>
            </w:pPr>
            <w:r>
              <w:rPr/>
              <w:t>电源冗余模式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电源模块数量</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产品规格-电源规格</w:t>
            </w:r>
          </w:p>
        </w:tc>
        <w:tc>
          <w:tcPr>
            <w:tcW w:type="dxa" w:w="1038"/>
          </w:tcPr>
          <w:p>
            <w:pPr>
              <w:pStyle w:val="null3"/>
            </w:pPr>
            <w:r>
              <w:rPr/>
              <w:t>电源功率</w:t>
            </w:r>
          </w:p>
        </w:tc>
        <w:tc>
          <w:tcPr>
            <w:tcW w:type="dxa" w:w="1038"/>
          </w:tcPr>
          <w:p>
            <w:pPr>
              <w:pStyle w:val="null3"/>
            </w:pPr>
            <w:r>
              <w:rPr/>
              <w:t>支持N+N冗余配置，且可保证单路供电运行，满足处理器满载时的需求。</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2路ARM服务器</w:t>
            </w:r>
          </w:p>
        </w:tc>
        <w:tc>
          <w:tcPr>
            <w:tcW w:type="dxa" w:w="1038"/>
          </w:tcPr>
          <w:p/>
        </w:tc>
        <w:tc>
          <w:tcPr>
            <w:tcW w:type="dxa" w:w="1038"/>
          </w:tcPr>
          <w:p>
            <w:pPr>
              <w:pStyle w:val="null3"/>
            </w:pPr>
            <w:r>
              <w:rPr/>
              <w:t>产品规格-电源规格</w:t>
            </w:r>
          </w:p>
        </w:tc>
        <w:tc>
          <w:tcPr>
            <w:tcW w:type="dxa" w:w="1038"/>
          </w:tcPr>
          <w:p>
            <w:pPr>
              <w:pStyle w:val="null3"/>
            </w:pPr>
            <w:r>
              <w:rPr/>
              <w:t>电源指示灯</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外观和结构</w:t>
            </w:r>
          </w:p>
        </w:tc>
        <w:tc>
          <w:tcPr>
            <w:tcW w:type="dxa" w:w="1038"/>
          </w:tcPr>
          <w:p>
            <w:pPr>
              <w:pStyle w:val="null3"/>
            </w:pPr>
            <w:r>
              <w:rPr/>
              <w:t>服务器的零部件应紧固无松动，可插拔部件应可靠连接，开关、按钮和其它控制部件应灵活可靠，布局应方便使用；产品表面不应有明显的凹痕、划伤、裂缝、变形和污染等。表面涂层均匀，不应起泡、龟裂、脱落和磨损，金属零部件无锈蚀及其它机械损伤。</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尺寸（高×宽×深）</w:t>
            </w:r>
          </w:p>
        </w:tc>
        <w:tc>
          <w:tcPr>
            <w:tcW w:type="dxa" w:w="1038"/>
          </w:tcPr>
          <w:p>
            <w:pPr>
              <w:pStyle w:val="null3"/>
            </w:pPr>
            <w:r>
              <w:rPr/>
              <w:t>标准19寸机架式服务器并配置导轨或托盘，高度2U。</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2路ARM服务器</w:t>
            </w:r>
          </w:p>
        </w:tc>
        <w:tc>
          <w:tcPr>
            <w:tcW w:type="dxa" w:w="1038"/>
          </w:tcPr>
          <w:p/>
        </w:tc>
        <w:tc>
          <w:tcPr>
            <w:tcW w:type="dxa" w:w="1038"/>
          </w:tcPr>
          <w:p>
            <w:pPr>
              <w:pStyle w:val="null3"/>
            </w:pPr>
            <w:r>
              <w:rPr/>
              <w:t>产品规格-整机规格</w:t>
            </w:r>
          </w:p>
        </w:tc>
        <w:tc>
          <w:tcPr>
            <w:tcW w:type="dxa" w:w="1038"/>
          </w:tcPr>
          <w:p>
            <w:pPr>
              <w:pStyle w:val="null3"/>
            </w:pPr>
            <w:r>
              <w:rPr/>
              <w:t>服务器导轨</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2路ARM服务器</w:t>
            </w:r>
          </w:p>
        </w:tc>
        <w:tc>
          <w:tcPr>
            <w:tcW w:type="dxa" w:w="1038"/>
          </w:tcPr>
          <w:p/>
        </w:tc>
        <w:tc>
          <w:tcPr>
            <w:tcW w:type="dxa" w:w="1038"/>
          </w:tcPr>
          <w:p>
            <w:pPr>
              <w:pStyle w:val="null3"/>
            </w:pPr>
            <w:r>
              <w:rPr/>
              <w:t>产品规格-整机规格</w:t>
            </w:r>
          </w:p>
        </w:tc>
        <w:tc>
          <w:tcPr>
            <w:tcW w:type="dxa" w:w="1038"/>
          </w:tcPr>
          <w:p>
            <w:pPr>
              <w:pStyle w:val="null3"/>
            </w:pPr>
            <w:r>
              <w:rPr/>
              <w:t>CPU 个数与机柜高度单位(U) 比</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环境适应性</w:t>
            </w:r>
          </w:p>
        </w:tc>
        <w:tc>
          <w:tcPr>
            <w:tcW w:type="dxa" w:w="1038"/>
          </w:tcPr>
          <w:p>
            <w:pPr>
              <w:pStyle w:val="null3"/>
            </w:pPr>
            <w:r>
              <w:rPr/>
              <w:t>气候环境适应性应符合GB/T9813.3 的有关规定，工作温度 10～35℃，贮存运输温度-40～55℃；工作相对湿度 35%～80%，贮存运输相对湿度 20％～93%（40℃）；大气压86～101kPa。</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2路ARM服务器</w:t>
            </w:r>
          </w:p>
        </w:tc>
        <w:tc>
          <w:tcPr>
            <w:tcW w:type="dxa" w:w="1038"/>
          </w:tcPr>
          <w:p/>
        </w:tc>
        <w:tc>
          <w:tcPr>
            <w:tcW w:type="dxa" w:w="1038"/>
          </w:tcPr>
          <w:p>
            <w:pPr>
              <w:pStyle w:val="null3"/>
            </w:pPr>
            <w:r>
              <w:rPr/>
              <w:t>产品规格-整机规格</w:t>
            </w:r>
          </w:p>
        </w:tc>
        <w:tc>
          <w:tcPr>
            <w:tcW w:type="dxa" w:w="1038"/>
          </w:tcPr>
          <w:p>
            <w:pPr>
              <w:pStyle w:val="null3"/>
            </w:pPr>
            <w:r>
              <w:rPr/>
              <w:t>特殊机型环境适应性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机械环境适应性</w:t>
            </w:r>
          </w:p>
        </w:tc>
        <w:tc>
          <w:tcPr>
            <w:tcW w:type="dxa" w:w="1038"/>
          </w:tcPr>
          <w:p>
            <w:pPr>
              <w:pStyle w:val="null3"/>
            </w:pPr>
            <w:r>
              <w:rPr/>
              <w:t>机械环境适应性应符合GB/T9813.3 的有关规定。</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产品规格-整机规格</w:t>
            </w:r>
          </w:p>
        </w:tc>
        <w:tc>
          <w:tcPr>
            <w:tcW w:type="dxa" w:w="1038"/>
          </w:tcPr>
          <w:p>
            <w:pPr>
              <w:pStyle w:val="null3"/>
            </w:pPr>
            <w:r>
              <w:rPr/>
              <w:t>噪声</w:t>
            </w:r>
          </w:p>
        </w:tc>
        <w:tc>
          <w:tcPr>
            <w:tcW w:type="dxa" w:w="1038"/>
          </w:tcPr>
          <w:p>
            <w:pPr>
              <w:pStyle w:val="null3"/>
            </w:pPr>
            <w:r>
              <w:rPr/>
              <w:t>符合GB/T 9813.3 的有关规定，在产品说明中给出具体测试值塔式服务器噪声在空闲状态下不大于50dB。</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2路ARM服务器</w:t>
            </w:r>
          </w:p>
        </w:tc>
        <w:tc>
          <w:tcPr>
            <w:tcW w:type="dxa" w:w="1038"/>
          </w:tcPr>
          <w:p/>
        </w:tc>
        <w:tc>
          <w:tcPr>
            <w:tcW w:type="dxa" w:w="1038"/>
          </w:tcPr>
          <w:p>
            <w:pPr>
              <w:pStyle w:val="null3"/>
            </w:pPr>
            <w:r>
              <w:rPr/>
              <w:t>产品规格-AI计算单元规格</w:t>
            </w:r>
          </w:p>
        </w:tc>
        <w:tc>
          <w:tcPr>
            <w:tcW w:type="dxa" w:w="1038"/>
          </w:tcPr>
          <w:p>
            <w:pPr>
              <w:pStyle w:val="null3"/>
            </w:pPr>
            <w:r>
              <w:rPr/>
              <w:t>AI计算单元</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2路ARM服务器</w:t>
            </w:r>
          </w:p>
        </w:tc>
        <w:tc>
          <w:tcPr>
            <w:tcW w:type="dxa" w:w="1038"/>
          </w:tcPr>
          <w:p/>
        </w:tc>
        <w:tc>
          <w:tcPr>
            <w:tcW w:type="dxa" w:w="1038"/>
          </w:tcPr>
          <w:p>
            <w:pPr>
              <w:pStyle w:val="null3"/>
            </w:pPr>
            <w:r>
              <w:rPr/>
              <w:t>产品规格-AI计算单元规格</w:t>
            </w:r>
          </w:p>
        </w:tc>
        <w:tc>
          <w:tcPr>
            <w:tcW w:type="dxa" w:w="1038"/>
          </w:tcPr>
          <w:p>
            <w:pPr>
              <w:pStyle w:val="null3"/>
            </w:pPr>
            <w:r>
              <w:rPr/>
              <w:t>一键式迁移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产品规格-机柜规格</w:t>
            </w:r>
          </w:p>
        </w:tc>
        <w:tc>
          <w:tcPr>
            <w:tcW w:type="dxa" w:w="1038"/>
          </w:tcPr>
          <w:p>
            <w:pPr>
              <w:pStyle w:val="null3"/>
            </w:pPr>
            <w:r>
              <w:rPr/>
              <w:t>机柜尺寸</w:t>
            </w:r>
          </w:p>
        </w:tc>
        <w:tc>
          <w:tcPr>
            <w:tcW w:type="dxa" w:w="1038"/>
          </w:tcPr>
          <w:p>
            <w:pPr>
              <w:pStyle w:val="null3"/>
            </w:pPr>
            <w:r>
              <w:rPr/>
              <w:t>无需配备机柜，所投产品可放入标准19寸机柜。</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2路ARM服务器</w:t>
            </w:r>
          </w:p>
        </w:tc>
        <w:tc>
          <w:tcPr>
            <w:tcW w:type="dxa" w:w="1038"/>
          </w:tcPr>
          <w:p/>
        </w:tc>
        <w:tc>
          <w:tcPr>
            <w:tcW w:type="dxa" w:w="1038"/>
          </w:tcPr>
          <w:p>
            <w:pPr>
              <w:pStyle w:val="null3"/>
            </w:pPr>
            <w:r>
              <w:rPr/>
              <w:t>产品规格-机柜规格</w:t>
            </w:r>
          </w:p>
        </w:tc>
        <w:tc>
          <w:tcPr>
            <w:tcW w:type="dxa" w:w="1038"/>
          </w:tcPr>
          <w:p>
            <w:pPr>
              <w:pStyle w:val="null3"/>
            </w:pPr>
            <w:r>
              <w:rPr/>
              <w:t>机柜管理板</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2路ARM服务器</w:t>
            </w:r>
          </w:p>
        </w:tc>
        <w:tc>
          <w:tcPr>
            <w:tcW w:type="dxa" w:w="1038"/>
          </w:tcPr>
          <w:p/>
        </w:tc>
        <w:tc>
          <w:tcPr>
            <w:tcW w:type="dxa" w:w="1038"/>
          </w:tcPr>
          <w:p>
            <w:pPr>
              <w:pStyle w:val="null3"/>
            </w:pPr>
            <w:r>
              <w:rPr/>
              <w:t>产品规格-机柜规格</w:t>
            </w:r>
          </w:p>
        </w:tc>
        <w:tc>
          <w:tcPr>
            <w:tcW w:type="dxa" w:w="1038"/>
          </w:tcPr>
          <w:p>
            <w:pPr>
              <w:pStyle w:val="null3"/>
            </w:pPr>
            <w:r>
              <w:rPr/>
              <w:t>机柜电源规格</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功能要求-主板功能</w:t>
            </w:r>
          </w:p>
        </w:tc>
        <w:tc>
          <w:tcPr>
            <w:tcW w:type="dxa" w:w="1038"/>
          </w:tcPr>
          <w:p>
            <w:pPr>
              <w:pStyle w:val="null3"/>
            </w:pPr>
            <w:r>
              <w:rPr/>
              <w:t>主板外部接口种类</w:t>
            </w:r>
          </w:p>
        </w:tc>
        <w:tc>
          <w:tcPr>
            <w:tcW w:type="dxa" w:w="1038"/>
          </w:tcPr>
          <w:p>
            <w:pPr>
              <w:pStyle w:val="null3"/>
            </w:pPr>
            <w:r>
              <w:rPr/>
              <w:t>支持USB、显示、BMC管理等接口。</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2路ARM服务器</w:t>
            </w:r>
          </w:p>
        </w:tc>
        <w:tc>
          <w:tcPr>
            <w:tcW w:type="dxa" w:w="1038"/>
          </w:tcPr>
          <w:p/>
        </w:tc>
        <w:tc>
          <w:tcPr>
            <w:tcW w:type="dxa" w:w="1038"/>
          </w:tcPr>
          <w:p>
            <w:pPr>
              <w:pStyle w:val="null3"/>
            </w:pPr>
            <w:r>
              <w:rPr/>
              <w:t>功能要求-主板功能</w:t>
            </w:r>
          </w:p>
        </w:tc>
        <w:tc>
          <w:tcPr>
            <w:tcW w:type="dxa" w:w="1038"/>
          </w:tcPr>
          <w:p>
            <w:pPr>
              <w:pStyle w:val="null3"/>
            </w:pPr>
            <w:r>
              <w:rPr/>
              <w:t>主板防烧板设计</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2路ARM服务器</w:t>
            </w:r>
          </w:p>
        </w:tc>
        <w:tc>
          <w:tcPr>
            <w:tcW w:type="dxa" w:w="1038"/>
          </w:tcPr>
          <w:p/>
        </w:tc>
        <w:tc>
          <w:tcPr>
            <w:tcW w:type="dxa" w:w="1038"/>
          </w:tcPr>
          <w:p>
            <w:pPr>
              <w:pStyle w:val="null3"/>
            </w:pPr>
            <w:r>
              <w:rPr/>
              <w:t>功能要求-主板功能</w:t>
            </w:r>
          </w:p>
        </w:tc>
        <w:tc>
          <w:tcPr>
            <w:tcW w:type="dxa" w:w="1038"/>
          </w:tcPr>
          <w:p>
            <w:pPr>
              <w:pStyle w:val="null3"/>
            </w:pPr>
            <w:r>
              <w:rPr/>
              <w:t>扩展功能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功能要求-网络功能</w:t>
            </w:r>
          </w:p>
        </w:tc>
        <w:tc>
          <w:tcPr>
            <w:tcW w:type="dxa" w:w="1038"/>
          </w:tcPr>
          <w:p>
            <w:pPr>
              <w:pStyle w:val="null3"/>
            </w:pPr>
            <w:r>
              <w:rPr/>
              <w:t>网络功能</w:t>
            </w:r>
          </w:p>
        </w:tc>
        <w:tc>
          <w:tcPr>
            <w:tcW w:type="dxa" w:w="1038"/>
          </w:tcPr>
          <w:p>
            <w:pPr>
              <w:pStyle w:val="null3"/>
            </w:pPr>
            <w:r>
              <w:rPr/>
              <w:t>支持网络连接、网络访问、数据交换和网络管控功能</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计算处理</w:t>
            </w:r>
          </w:p>
        </w:tc>
        <w:tc>
          <w:tcPr>
            <w:tcW w:type="dxa" w:w="1038"/>
          </w:tcPr>
          <w:p>
            <w:pPr>
              <w:pStyle w:val="null3"/>
            </w:pPr>
            <w:r>
              <w:rPr/>
              <w:t>支持通用计算及虚拟化功能。处理器需集成整型计算单元、浮点计算单元、内存控制器、I/O 模块等，处理器与存储部件、网络部件、I/O 部件等组成计算系统，提供数据处理、网络接入等计算相关功能。</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功能要求-CPU功能</w:t>
            </w:r>
          </w:p>
        </w:tc>
        <w:tc>
          <w:tcPr>
            <w:tcW w:type="dxa" w:w="1038"/>
          </w:tcPr>
          <w:p>
            <w:pPr>
              <w:pStyle w:val="null3"/>
            </w:pPr>
            <w:r>
              <w:rPr/>
              <w:t>密码算法实现</w:t>
            </w:r>
          </w:p>
        </w:tc>
        <w:tc>
          <w:tcPr>
            <w:tcW w:type="dxa" w:w="1038"/>
          </w:tcPr>
          <w:p>
            <w:pPr>
              <w:pStyle w:val="null3"/>
            </w:pPr>
            <w:r>
              <w:rPr/>
              <w:t>CPU 芯片应符合GM/T 0008 的相关规定，或芯片密码模块应符合GB/T37092 或 GM/T 0028 的相关规定；</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2路ARM服务器</w:t>
            </w:r>
          </w:p>
        </w:tc>
        <w:tc>
          <w:tcPr>
            <w:tcW w:type="dxa" w:w="1038"/>
          </w:tcPr>
          <w:p/>
        </w:tc>
        <w:tc>
          <w:tcPr>
            <w:tcW w:type="dxa" w:w="1038"/>
          </w:tcPr>
          <w:p>
            <w:pPr>
              <w:pStyle w:val="null3"/>
            </w:pPr>
            <w:r>
              <w:rPr/>
              <w:t>功能要求-存储功能</w:t>
            </w:r>
          </w:p>
        </w:tc>
        <w:tc>
          <w:tcPr>
            <w:tcW w:type="dxa" w:w="1038"/>
          </w:tcPr>
          <w:p>
            <w:pPr>
              <w:pStyle w:val="null3"/>
            </w:pPr>
            <w:r>
              <w:rPr/>
              <w:t>内存校验</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2路ARM服务器</w:t>
            </w:r>
          </w:p>
        </w:tc>
        <w:tc>
          <w:tcPr>
            <w:tcW w:type="dxa" w:w="1038"/>
          </w:tcPr>
          <w:p/>
        </w:tc>
        <w:tc>
          <w:tcPr>
            <w:tcW w:type="dxa" w:w="1038"/>
          </w:tcPr>
          <w:p>
            <w:pPr>
              <w:pStyle w:val="null3"/>
            </w:pPr>
            <w:r>
              <w:rPr/>
              <w:t>功能要求-存储功能</w:t>
            </w:r>
          </w:p>
        </w:tc>
        <w:tc>
          <w:tcPr>
            <w:tcW w:type="dxa" w:w="1038"/>
          </w:tcPr>
          <w:p>
            <w:pPr>
              <w:pStyle w:val="null3"/>
            </w:pPr>
            <w:r>
              <w:rPr/>
              <w:t>SATA SSD NAND 健康状态上报</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2路ARM服务器</w:t>
            </w:r>
          </w:p>
        </w:tc>
        <w:tc>
          <w:tcPr>
            <w:tcW w:type="dxa" w:w="1038"/>
          </w:tcPr>
          <w:p/>
        </w:tc>
        <w:tc>
          <w:tcPr>
            <w:tcW w:type="dxa" w:w="1038"/>
          </w:tcPr>
          <w:p>
            <w:pPr>
              <w:pStyle w:val="null3"/>
            </w:pPr>
            <w:r>
              <w:rPr/>
              <w:t>功能要求-存储功能</w:t>
            </w:r>
          </w:p>
        </w:tc>
        <w:tc>
          <w:tcPr>
            <w:tcW w:type="dxa" w:w="1038"/>
          </w:tcPr>
          <w:p>
            <w:pPr>
              <w:pStyle w:val="null3"/>
            </w:pPr>
            <w:r>
              <w:rPr/>
              <w:t>SATA SSD 单 die 故障隔离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2路ARM服务器</w:t>
            </w:r>
          </w:p>
        </w:tc>
        <w:tc>
          <w:tcPr>
            <w:tcW w:type="dxa" w:w="1038"/>
          </w:tcPr>
          <w:p/>
        </w:tc>
        <w:tc>
          <w:tcPr>
            <w:tcW w:type="dxa" w:w="1038"/>
          </w:tcPr>
          <w:p>
            <w:pPr>
              <w:pStyle w:val="null3"/>
            </w:pPr>
            <w:r>
              <w:rPr/>
              <w:t>功能要求-RAID卡功能（若支持RAID卡）</w:t>
            </w:r>
          </w:p>
        </w:tc>
        <w:tc>
          <w:tcPr>
            <w:tcW w:type="dxa" w:w="1038"/>
          </w:tcPr>
          <w:p>
            <w:pPr>
              <w:pStyle w:val="null3"/>
            </w:pPr>
            <w:r>
              <w:rPr/>
              <w:t>RAID卡RAID级别支持</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2路ARM服务器</w:t>
            </w:r>
          </w:p>
        </w:tc>
        <w:tc>
          <w:tcPr>
            <w:tcW w:type="dxa" w:w="1038"/>
          </w:tcPr>
          <w:p/>
        </w:tc>
        <w:tc>
          <w:tcPr>
            <w:tcW w:type="dxa" w:w="1038"/>
          </w:tcPr>
          <w:p>
            <w:pPr>
              <w:pStyle w:val="null3"/>
            </w:pPr>
            <w:r>
              <w:rPr/>
              <w:t>功能要求-RAID卡功能（若支持RAID卡）</w:t>
            </w:r>
          </w:p>
        </w:tc>
        <w:tc>
          <w:tcPr>
            <w:tcW w:type="dxa" w:w="1038"/>
          </w:tcPr>
          <w:p>
            <w:pPr>
              <w:pStyle w:val="null3"/>
            </w:pPr>
            <w:r>
              <w:rPr/>
              <w:t>RAID 卡BBU 单元</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2路ARM服务器</w:t>
            </w:r>
          </w:p>
        </w:tc>
        <w:tc>
          <w:tcPr>
            <w:tcW w:type="dxa" w:w="1038"/>
          </w:tcPr>
          <w:p/>
        </w:tc>
        <w:tc>
          <w:tcPr>
            <w:tcW w:type="dxa" w:w="1038"/>
          </w:tcPr>
          <w:p>
            <w:pPr>
              <w:pStyle w:val="null3"/>
            </w:pPr>
            <w:r>
              <w:rPr/>
              <w:t>功能要求-光驱功能</w:t>
            </w:r>
          </w:p>
        </w:tc>
        <w:tc>
          <w:tcPr>
            <w:tcW w:type="dxa" w:w="1038"/>
          </w:tcPr>
          <w:p>
            <w:pPr>
              <w:pStyle w:val="null3"/>
            </w:pPr>
            <w:r>
              <w:rPr/>
              <w:t>光驱类型（是否支持 RW，以及光盘类型CD/DVD）</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电源热插拔</w:t>
            </w:r>
          </w:p>
        </w:tc>
        <w:tc>
          <w:tcPr>
            <w:tcW w:type="dxa" w:w="1038"/>
          </w:tcPr>
          <w:p>
            <w:pPr>
              <w:pStyle w:val="null3"/>
            </w:pPr>
            <w:r>
              <w:rPr/>
              <w:t>整机电源模块应具备热插拔功能</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功能要求-电源功能</w:t>
            </w:r>
          </w:p>
        </w:tc>
        <w:tc>
          <w:tcPr>
            <w:tcW w:type="dxa" w:w="1038"/>
          </w:tcPr>
          <w:p>
            <w:pPr>
              <w:pStyle w:val="null3"/>
            </w:pPr>
            <w:r>
              <w:rPr/>
              <w:t>电源过流保护</w:t>
            </w:r>
          </w:p>
        </w:tc>
        <w:tc>
          <w:tcPr>
            <w:tcW w:type="dxa" w:w="1038"/>
          </w:tcPr>
          <w:p>
            <w:pPr>
              <w:pStyle w:val="null3"/>
            </w:pPr>
            <w:r>
              <w:rPr/>
              <w:t>支持过流及短路保护的功能</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功能要求-整机功能</w:t>
            </w:r>
          </w:p>
        </w:tc>
        <w:tc>
          <w:tcPr>
            <w:tcW w:type="dxa" w:w="1038"/>
          </w:tcPr>
          <w:p>
            <w:pPr>
              <w:pStyle w:val="null3"/>
            </w:pPr>
            <w:r>
              <w:rPr/>
              <w:t>散热方式</w:t>
            </w:r>
          </w:p>
        </w:tc>
        <w:tc>
          <w:tcPr>
            <w:tcW w:type="dxa" w:w="1038"/>
          </w:tcPr>
          <w:p>
            <w:pPr>
              <w:pStyle w:val="null3"/>
            </w:pPr>
            <w:r>
              <w:rPr/>
              <w:t>支持风冷或液冷等散热方式，风扇数量满配，风扇支持冗余热插拔功能。</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2路ARM服务器</w:t>
            </w:r>
          </w:p>
        </w:tc>
        <w:tc>
          <w:tcPr>
            <w:tcW w:type="dxa" w:w="1038"/>
          </w:tcPr>
          <w:p/>
        </w:tc>
        <w:tc>
          <w:tcPr>
            <w:tcW w:type="dxa" w:w="1038"/>
          </w:tcPr>
          <w:p>
            <w:pPr>
              <w:pStyle w:val="null3"/>
            </w:pPr>
            <w:r>
              <w:rPr/>
              <w:t>功能要求-整机功能</w:t>
            </w:r>
          </w:p>
        </w:tc>
        <w:tc>
          <w:tcPr>
            <w:tcW w:type="dxa" w:w="1038"/>
          </w:tcPr>
          <w:p>
            <w:pPr>
              <w:pStyle w:val="null3"/>
            </w:pPr>
            <w:r>
              <w:rPr/>
              <w:t>其他功能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BMC 固件基础功能</w:t>
            </w:r>
          </w:p>
        </w:tc>
        <w:tc>
          <w:tcPr>
            <w:tcW w:type="dxa" w:w="1038"/>
          </w:tcPr>
          <w:p>
            <w:pPr>
              <w:pStyle w:val="null3"/>
            </w:pPr>
            <w:r>
              <w:rPr/>
              <w:t>1）支持DHCP 设置网络功能； 2）支持静态IP 设置网络功能； 3）支持设备日志记录，包括但不限于登录日志、操作日志和报警日志等功能； 4）支持日志信息导出和记录删除功能； 5)支持通过管理接口向外输出准确的报警信息功能； 6)设备的BMC 管理软件应能够按报警的严重程度进行区分； 7)支持IPMI2.0、SNMP 或Redfish 等接口功能； 8)支持键盘、鼠标和视频的重定向、文本控制台的重定向、远程虚拟媒体、高可靠的硬件监控和管理功能； 9)支持基于网络开启、关闭和重启设备的功能，并查询当前设备开机运行状态； 10)支持故障提示功能，并可通过接口读取服务器故障信息； 11)支持基于网络的固件更新功能，6包括BMC 和BIOS 等； 12)支持基于网络安装操作系统的功能，并可通过网络控制台访问设备； 13)支持通过本地的硬盘或光驱等存储设备，基于网络完成设备的操作系统安装功能； 14)支持通过浏览器打开管理界面并登录功能； 15)支持设置口令策略功能； 16)支持访问权限设置功能，并通过日志记录访问事件； 17)支持对出厂默认的用户名及口令进行安全保护功能，并提供默认口令修改提示； 18)支持读取设备主板的工作环境温度功能； 19)支持读取服务器CPU 等核心器件的温度功能； 20)支持通过外部管理工具进行 BMC参数设置的功能，并可基于网络通过外部管理工具对BMC 进行管理； 21)应支持固件版本查询、固件升级 22)支持基于网络实现开关机和复位控制的功能； 23)BMC 启动时间应不超过 180s，实现功能包括网络、IPMI、散热、传感器服务可用； 24)支持BMC 固件设置的恢复出厂功能。</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2路ARM服务器</w:t>
            </w:r>
          </w:p>
        </w:tc>
        <w:tc>
          <w:tcPr>
            <w:tcW w:type="dxa" w:w="1038"/>
          </w:tcPr>
          <w:p/>
        </w:tc>
        <w:tc>
          <w:tcPr>
            <w:tcW w:type="dxa" w:w="1038"/>
          </w:tcPr>
          <w:p>
            <w:pPr>
              <w:pStyle w:val="null3"/>
            </w:pPr>
            <w:r>
              <w:rPr/>
              <w:t>功能要求-管理系统功能</w:t>
            </w:r>
          </w:p>
        </w:tc>
        <w:tc>
          <w:tcPr>
            <w:tcW w:type="dxa" w:w="1038"/>
          </w:tcPr>
          <w:p>
            <w:pPr>
              <w:pStyle w:val="null3"/>
            </w:pPr>
            <w:r>
              <w:rPr/>
              <w:t>BMC固件增强功能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BIOS固件基础功能</w:t>
            </w:r>
          </w:p>
        </w:tc>
        <w:tc>
          <w:tcPr>
            <w:tcW w:type="dxa" w:w="1038"/>
          </w:tcPr>
          <w:p>
            <w:pPr>
              <w:pStyle w:val="null3"/>
            </w:pPr>
            <w:r>
              <w:rPr/>
              <w:t>1）支持查看固件版本、内存信息、主板信息、处理器信息和系统时间信息功能； 2）支持上电初始化界面显示 CPU 信息、内存信息、固件版本和部分快捷键信息功能； 3）支持设置界面中英文显示切换功能； 4）支持查看 PCIe 设备信息，SATA 设备信息功能； 5）支持操作系统安装和引导功能， 并向操作系统提供计算机主板信息和服务接口； 6）支持设置启动顺序，并按照设置的启动顺序启动功能； 7）支持安全启动功能； 8）支持设置口令、修改口令、验证口令功能； 9）支持板载显示控制或独立显卡的显示控制功能； 10）支持 RAID 识别和启动功能； 11）支持串口重定向功能； 12）支持固件更新功能； 13）支持 BIOS 固件设置的恢复出厂功能； 14）支持网络引导启用和关闭功能。</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功能要求-管理系统功能</w:t>
            </w:r>
          </w:p>
        </w:tc>
        <w:tc>
          <w:tcPr>
            <w:tcW w:type="dxa" w:w="1038"/>
          </w:tcPr>
          <w:p>
            <w:pPr>
              <w:pStyle w:val="null3"/>
            </w:pPr>
            <w:r>
              <w:rPr/>
              <w:t>远程控制</w:t>
            </w:r>
          </w:p>
        </w:tc>
        <w:tc>
          <w:tcPr>
            <w:tcW w:type="dxa" w:w="1038"/>
          </w:tcPr>
          <w:p>
            <w:pPr>
              <w:pStyle w:val="null3"/>
            </w:pPr>
            <w:r>
              <w:rPr/>
              <w:t>支持远程关机和重新启动功能</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操作系统及驱动的升级</w:t>
            </w:r>
          </w:p>
        </w:tc>
        <w:tc>
          <w:tcPr>
            <w:tcW w:type="dxa" w:w="1038"/>
          </w:tcPr>
          <w:p>
            <w:pPr>
              <w:pStyle w:val="null3"/>
            </w:pPr>
            <w:r>
              <w:rPr/>
              <w:t>支持通过网络、闪存盘对操作系统、驱动进行升级。</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2路ARM服务器</w:t>
            </w:r>
          </w:p>
        </w:tc>
        <w:tc>
          <w:tcPr>
            <w:tcW w:type="dxa" w:w="1038"/>
          </w:tcPr>
          <w:p/>
        </w:tc>
        <w:tc>
          <w:tcPr>
            <w:tcW w:type="dxa" w:w="1038"/>
          </w:tcPr>
          <w:p>
            <w:pPr>
              <w:pStyle w:val="null3"/>
            </w:pPr>
            <w:r>
              <w:rPr/>
              <w:t>功能要求-操作系统及驱动功能</w:t>
            </w:r>
          </w:p>
        </w:tc>
        <w:tc>
          <w:tcPr>
            <w:tcW w:type="dxa" w:w="1038"/>
          </w:tcPr>
          <w:p>
            <w:pPr>
              <w:pStyle w:val="null3"/>
            </w:pPr>
            <w:r>
              <w:rPr/>
              <w:t>操作系统级驱动的升级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功能要求-操作系统及驱动功能</w:t>
            </w:r>
          </w:p>
        </w:tc>
        <w:tc>
          <w:tcPr>
            <w:tcW w:type="dxa" w:w="1038"/>
          </w:tcPr>
          <w:p>
            <w:pPr>
              <w:pStyle w:val="null3"/>
            </w:pPr>
            <w:r>
              <w:rPr/>
              <w:t>操作系统功能</w:t>
            </w:r>
          </w:p>
        </w:tc>
        <w:tc>
          <w:tcPr>
            <w:tcW w:type="dxa" w:w="1038"/>
          </w:tcPr>
          <w:p>
            <w:pPr>
              <w:pStyle w:val="null3"/>
            </w:pPr>
            <w:r>
              <w:rPr/>
              <w:t>支持访问控制、安全审计、网络接入鉴别等功能；操作系统其他功能应满足操作系统政府采购需求标准中的指标要求。</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功能要求-中文信息处理功能</w:t>
            </w:r>
          </w:p>
        </w:tc>
        <w:tc>
          <w:tcPr>
            <w:tcW w:type="dxa" w:w="1038"/>
          </w:tcPr>
          <w:p>
            <w:pPr>
              <w:pStyle w:val="null3"/>
            </w:pPr>
            <w:r>
              <w:rPr/>
              <w:t>中文信息处理</w:t>
            </w:r>
          </w:p>
        </w:tc>
        <w:tc>
          <w:tcPr>
            <w:tcW w:type="dxa" w:w="1038"/>
          </w:tcPr>
          <w:p>
            <w:pPr>
              <w:pStyle w:val="null3"/>
            </w:pPr>
            <w:r>
              <w:rPr/>
              <w:t>符合GB 18030 的有关规定。</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2路ARM服务器</w:t>
            </w:r>
          </w:p>
        </w:tc>
        <w:tc>
          <w:tcPr>
            <w:tcW w:type="dxa" w:w="1038"/>
          </w:tcPr>
          <w:p/>
        </w:tc>
        <w:tc>
          <w:tcPr>
            <w:tcW w:type="dxa" w:w="1038"/>
          </w:tcPr>
          <w:p>
            <w:pPr>
              <w:pStyle w:val="null3"/>
            </w:pPr>
            <w:r>
              <w:rPr/>
              <w:t>功能要求-机柜功能</w:t>
            </w:r>
          </w:p>
        </w:tc>
        <w:tc>
          <w:tcPr>
            <w:tcW w:type="dxa" w:w="1038"/>
          </w:tcPr>
          <w:p>
            <w:pPr>
              <w:pStyle w:val="null3"/>
            </w:pPr>
            <w:r>
              <w:rPr/>
              <w:t>机柜管理功能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2路ARM服务器</w:t>
            </w:r>
          </w:p>
        </w:tc>
        <w:tc>
          <w:tcPr>
            <w:tcW w:type="dxa" w:w="1038"/>
          </w:tcPr>
          <w:p/>
        </w:tc>
        <w:tc>
          <w:tcPr>
            <w:tcW w:type="dxa" w:w="1038"/>
          </w:tcPr>
          <w:p>
            <w:pPr>
              <w:pStyle w:val="null3"/>
            </w:pPr>
            <w:r>
              <w:rPr/>
              <w:t>功能要求-机柜功能</w:t>
            </w:r>
          </w:p>
        </w:tc>
        <w:tc>
          <w:tcPr>
            <w:tcW w:type="dxa" w:w="1038"/>
          </w:tcPr>
          <w:p>
            <w:pPr>
              <w:pStyle w:val="null3"/>
            </w:pPr>
            <w:r>
              <w:rPr/>
              <w:t>机柜通信方式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2路ARM服务器</w:t>
            </w:r>
          </w:p>
        </w:tc>
        <w:tc>
          <w:tcPr>
            <w:tcW w:type="dxa" w:w="1038"/>
          </w:tcPr>
          <w:p/>
        </w:tc>
        <w:tc>
          <w:tcPr>
            <w:tcW w:type="dxa" w:w="1038"/>
          </w:tcPr>
          <w:p>
            <w:pPr>
              <w:pStyle w:val="null3"/>
            </w:pPr>
            <w:r>
              <w:rPr/>
              <w:t>功能要求-机柜功能</w:t>
            </w:r>
          </w:p>
        </w:tc>
        <w:tc>
          <w:tcPr>
            <w:tcW w:type="dxa" w:w="1038"/>
          </w:tcPr>
          <w:p>
            <w:pPr>
              <w:pStyle w:val="null3"/>
            </w:pPr>
            <w:r>
              <w:rPr/>
              <w:t>多集群作业管理</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安全要求-关键部件安全要求</w:t>
            </w:r>
          </w:p>
        </w:tc>
        <w:tc>
          <w:tcPr>
            <w:tcW w:type="dxa" w:w="1038"/>
          </w:tcPr>
          <w:p>
            <w:pPr>
              <w:pStyle w:val="null3"/>
            </w:pPr>
            <w:r>
              <w:rPr/>
              <w:t>关键部件安全要求</w:t>
            </w:r>
          </w:p>
        </w:tc>
        <w:tc>
          <w:tcPr>
            <w:tcW w:type="dxa" w:w="1038"/>
          </w:tcPr>
          <w:p>
            <w:pPr>
              <w:pStyle w:val="null3"/>
            </w:pPr>
            <w:r>
              <w:rPr/>
              <w:t>CPU 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安全要求-固件安全要求</w:t>
            </w:r>
          </w:p>
        </w:tc>
        <w:tc>
          <w:tcPr>
            <w:tcW w:type="dxa" w:w="1038"/>
          </w:tcPr>
          <w:p>
            <w:pPr>
              <w:pStyle w:val="null3"/>
            </w:pPr>
            <w:r>
              <w:rPr/>
              <w:t>故障检测</w:t>
            </w:r>
          </w:p>
        </w:tc>
        <w:tc>
          <w:tcPr>
            <w:tcW w:type="dxa" w:w="1038"/>
          </w:tcPr>
          <w:p>
            <w:pPr>
              <w:pStyle w:val="null3"/>
            </w:pPr>
            <w:r>
              <w:rPr/>
              <w:t>支持故障检测功能，可以检测到具体的FRU（内存、硬盘等）的故障并发出告警。</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内存故障智能预测和自愈修复</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硬盘故障智能预测</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PCIe 链路故障智能诊断</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内存故障隔离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内存、PCIe 卡的故障精准告警功能</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异常下电关键数据保护</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BMC/BIOS固件双镜像保护</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CPU 核重启隔离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内存地址隔离</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内存存储阵列替换</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2路ARM服务器</w:t>
            </w:r>
          </w:p>
        </w:tc>
        <w:tc>
          <w:tcPr>
            <w:tcW w:type="dxa" w:w="1038"/>
          </w:tcPr>
          <w:p/>
        </w:tc>
        <w:tc>
          <w:tcPr>
            <w:tcW w:type="dxa" w:w="1038"/>
          </w:tcPr>
          <w:p>
            <w:pPr>
              <w:pStyle w:val="null3"/>
            </w:pPr>
            <w:r>
              <w:rPr/>
              <w:t>安全要求-固件安全要求</w:t>
            </w:r>
          </w:p>
        </w:tc>
        <w:tc>
          <w:tcPr>
            <w:tcW w:type="dxa" w:w="1038"/>
          </w:tcPr>
          <w:p>
            <w:pPr>
              <w:pStyle w:val="null3"/>
            </w:pPr>
            <w:r>
              <w:rPr/>
              <w:t>安全启动</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2路ARM服务器</w:t>
            </w:r>
          </w:p>
        </w:tc>
        <w:tc>
          <w:tcPr>
            <w:tcW w:type="dxa" w:w="1038"/>
          </w:tcPr>
          <w:p/>
        </w:tc>
        <w:tc>
          <w:tcPr>
            <w:tcW w:type="dxa" w:w="1038"/>
          </w:tcPr>
          <w:p>
            <w:pPr>
              <w:pStyle w:val="null3"/>
            </w:pPr>
            <w:r>
              <w:rPr/>
              <w:t>安全要求-系统安全要求</w:t>
            </w:r>
          </w:p>
        </w:tc>
        <w:tc>
          <w:tcPr>
            <w:tcW w:type="dxa" w:w="1038"/>
          </w:tcPr>
          <w:p>
            <w:pPr>
              <w:pStyle w:val="null3"/>
            </w:pPr>
            <w:r>
              <w:rPr/>
              <w:t>Syslog双向鉴别</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弱口令字典检查</w:t>
            </w:r>
          </w:p>
        </w:tc>
        <w:tc>
          <w:tcPr>
            <w:tcW w:type="dxa" w:w="1038"/>
          </w:tcPr>
          <w:p>
            <w:pPr>
              <w:pStyle w:val="null3"/>
            </w:pPr>
            <w:r>
              <w:rPr/>
              <w:t>支持弱口令字典检查功能，出现在弱口令字典中的字符串不能被设置为用户口令</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白名单访问控制</w:t>
            </w:r>
          </w:p>
        </w:tc>
        <w:tc>
          <w:tcPr>
            <w:tcW w:type="dxa" w:w="1038"/>
          </w:tcPr>
          <w:p>
            <w:pPr>
              <w:pStyle w:val="null3"/>
            </w:pPr>
            <w:r>
              <w:rPr/>
              <w:t>支持基于时间、IP 或 MAC 白名单访问控制。</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2路ARM服务器</w:t>
            </w:r>
          </w:p>
        </w:tc>
        <w:tc>
          <w:tcPr>
            <w:tcW w:type="dxa" w:w="1038"/>
          </w:tcPr>
          <w:p/>
        </w:tc>
        <w:tc>
          <w:tcPr>
            <w:tcW w:type="dxa" w:w="1038"/>
          </w:tcPr>
          <w:p>
            <w:pPr>
              <w:pStyle w:val="null3"/>
            </w:pPr>
            <w:r>
              <w:rPr/>
              <w:t>安全要求-系统安全要求</w:t>
            </w:r>
          </w:p>
        </w:tc>
        <w:tc>
          <w:tcPr>
            <w:tcW w:type="dxa" w:w="1038"/>
          </w:tcPr>
          <w:p>
            <w:pPr>
              <w:pStyle w:val="null3"/>
            </w:pPr>
            <w:r>
              <w:rPr/>
              <w:t>双因素鉴别</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二次鉴别</w:t>
            </w:r>
          </w:p>
        </w:tc>
        <w:tc>
          <w:tcPr>
            <w:tcW w:type="dxa" w:w="1038"/>
          </w:tcPr>
          <w:p>
            <w:pPr>
              <w:pStyle w:val="null3"/>
            </w:pPr>
            <w:r>
              <w:rPr/>
              <w:t>支持二次鉴别功能。对于用户配置、权限配置、公钥导入等重要的管理操作，已登录用户应通过二次鉴别后，才能执行操作</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2路ARM服务器</w:t>
            </w:r>
          </w:p>
        </w:tc>
        <w:tc>
          <w:tcPr>
            <w:tcW w:type="dxa" w:w="1038"/>
          </w:tcPr>
          <w:p/>
        </w:tc>
        <w:tc>
          <w:tcPr>
            <w:tcW w:type="dxa" w:w="1038"/>
          </w:tcPr>
          <w:p>
            <w:pPr>
              <w:pStyle w:val="null3"/>
            </w:pPr>
            <w:r>
              <w:rPr/>
              <w:t>安全要求-系统安全要求</w:t>
            </w:r>
          </w:p>
        </w:tc>
        <w:tc>
          <w:tcPr>
            <w:tcW w:type="dxa" w:w="1038"/>
          </w:tcPr>
          <w:p>
            <w:pPr>
              <w:pStyle w:val="null3"/>
            </w:pPr>
            <w:r>
              <w:rPr/>
              <w:t>匿名化用户告警接收邮箱</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密码证书安全加密存储</w:t>
            </w:r>
          </w:p>
        </w:tc>
        <w:tc>
          <w:tcPr>
            <w:tcW w:type="dxa" w:w="1038"/>
          </w:tcPr>
          <w:p>
            <w:pPr>
              <w:pStyle w:val="null3"/>
            </w:pPr>
            <w:r>
              <w:rPr/>
              <w:t>支持对带外管理系统中的用户口令和证书等敏感信息进行加密存储， 禁止使用私有的和业界已知不安全的密码算法。</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安全要求-系统安全要求</w:t>
            </w:r>
          </w:p>
        </w:tc>
        <w:tc>
          <w:tcPr>
            <w:tcW w:type="dxa" w:w="1038"/>
          </w:tcPr>
          <w:p>
            <w:pPr>
              <w:pStyle w:val="null3"/>
            </w:pPr>
            <w:r>
              <w:rPr/>
              <w:t>敏感信息安全加密传输</w:t>
            </w:r>
          </w:p>
        </w:tc>
        <w:tc>
          <w:tcPr>
            <w:tcW w:type="dxa" w:w="1038"/>
          </w:tcPr>
          <w:p>
            <w:pPr>
              <w:pStyle w:val="null3"/>
            </w:pPr>
            <w:r>
              <w:rPr/>
              <w:t>支持使用安全的传输加密协议（如SSH 或 HTTPS 等）传输用户的敏感信息</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安全要求-信息安全要求</w:t>
            </w:r>
          </w:p>
        </w:tc>
        <w:tc>
          <w:tcPr>
            <w:tcW w:type="dxa" w:w="1038"/>
          </w:tcPr>
          <w:p>
            <w:pPr>
              <w:pStyle w:val="null3"/>
            </w:pPr>
            <w:r>
              <w:rPr/>
              <w:t>研发过程安全</w:t>
            </w:r>
          </w:p>
        </w:tc>
        <w:tc>
          <w:tcPr>
            <w:tcW w:type="dxa" w:w="1038"/>
          </w:tcPr>
          <w:p>
            <w:pPr>
              <w:pStyle w:val="null3"/>
            </w:pPr>
            <w:r>
              <w:rPr/>
              <w:t>投标人承诺，生产商已建立从需求、设计、开发、测试、维护端到端的开发流程管理机制，输出和保存开发流程中每个阶段的产品需求清单、设计文档、开发文档、测试记录等材料，保证各个流程可追溯。</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2路ARM服务器</w:t>
            </w:r>
          </w:p>
        </w:tc>
        <w:tc>
          <w:tcPr>
            <w:tcW w:type="dxa" w:w="1038"/>
          </w:tcPr>
          <w:p/>
        </w:tc>
        <w:tc>
          <w:tcPr>
            <w:tcW w:type="dxa" w:w="1038"/>
          </w:tcPr>
          <w:p>
            <w:pPr>
              <w:pStyle w:val="null3"/>
            </w:pPr>
            <w:r>
              <w:rPr/>
              <w:t>安全要求-信息安全要求</w:t>
            </w:r>
          </w:p>
        </w:tc>
        <w:tc>
          <w:tcPr>
            <w:tcW w:type="dxa" w:w="1038"/>
          </w:tcPr>
          <w:p>
            <w:pPr>
              <w:pStyle w:val="null3"/>
            </w:pPr>
            <w:r>
              <w:rPr/>
              <w:t>漏洞管理</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2路ARM服务器</w:t>
            </w:r>
          </w:p>
        </w:tc>
        <w:tc>
          <w:tcPr>
            <w:tcW w:type="dxa" w:w="1038"/>
          </w:tcPr>
          <w:p/>
        </w:tc>
        <w:tc>
          <w:tcPr>
            <w:tcW w:type="dxa" w:w="1038"/>
          </w:tcPr>
          <w:p>
            <w:pPr>
              <w:pStyle w:val="null3"/>
            </w:pPr>
            <w:r>
              <w:rPr/>
              <w:t>安全要求-信息安全要求</w:t>
            </w:r>
          </w:p>
        </w:tc>
        <w:tc>
          <w:tcPr>
            <w:tcW w:type="dxa" w:w="1038"/>
          </w:tcPr>
          <w:p>
            <w:pPr>
              <w:pStyle w:val="null3"/>
            </w:pPr>
            <w:r>
              <w:rPr/>
              <w:t>网络关键设备服务器要求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2路ARM服务器</w:t>
            </w:r>
          </w:p>
        </w:tc>
        <w:tc>
          <w:tcPr>
            <w:tcW w:type="dxa" w:w="1038"/>
          </w:tcPr>
          <w:p/>
        </w:tc>
        <w:tc>
          <w:tcPr>
            <w:tcW w:type="dxa" w:w="1038"/>
          </w:tcPr>
          <w:p>
            <w:pPr>
              <w:pStyle w:val="null3"/>
            </w:pPr>
            <w:r>
              <w:rPr/>
              <w:t>安全要求-信息安全要求</w:t>
            </w:r>
          </w:p>
        </w:tc>
        <w:tc>
          <w:tcPr>
            <w:tcW w:type="dxa" w:w="1038"/>
          </w:tcPr>
          <w:p>
            <w:pPr>
              <w:pStyle w:val="null3"/>
            </w:pPr>
            <w:r>
              <w:rPr/>
              <w:t>增强要求</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安全要求-物理安全</w:t>
            </w:r>
          </w:p>
        </w:tc>
        <w:tc>
          <w:tcPr>
            <w:tcW w:type="dxa" w:w="1038"/>
          </w:tcPr>
          <w:p>
            <w:pPr>
              <w:pStyle w:val="null3"/>
            </w:pPr>
            <w:r>
              <w:rPr/>
              <w:t>物理安全</w:t>
            </w:r>
          </w:p>
        </w:tc>
        <w:tc>
          <w:tcPr>
            <w:tcW w:type="dxa" w:w="1038"/>
          </w:tcPr>
          <w:p>
            <w:pPr>
              <w:pStyle w:val="null3"/>
            </w:pPr>
            <w:r>
              <w:rPr/>
              <w:t>安全要求应符合GB 4943.1 的规定。</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安全要求-限用物质的限量要求</w:t>
            </w:r>
          </w:p>
        </w:tc>
        <w:tc>
          <w:tcPr>
            <w:tcW w:type="dxa" w:w="1038"/>
          </w:tcPr>
          <w:p>
            <w:pPr>
              <w:pStyle w:val="null3"/>
            </w:pPr>
            <w:r>
              <w:rPr/>
              <w:t>限用物质的限量要求</w:t>
            </w:r>
          </w:p>
        </w:tc>
        <w:tc>
          <w:tcPr>
            <w:tcW w:type="dxa" w:w="1038"/>
          </w:tcPr>
          <w:p>
            <w:pPr>
              <w:pStyle w:val="null3"/>
            </w:pPr>
            <w:r>
              <w:rPr/>
              <w:t>限用物质的限量应符合GB/T 26572 的要求。</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CPU 主频</w:t>
            </w:r>
          </w:p>
        </w:tc>
        <w:tc>
          <w:tcPr>
            <w:tcW w:type="dxa" w:w="1038"/>
          </w:tcPr>
          <w:p>
            <w:pPr>
              <w:pStyle w:val="null3"/>
            </w:pPr>
            <w:r>
              <w:rPr/>
              <w:t>≥2.6GHz</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核数</w:t>
            </w:r>
          </w:p>
        </w:tc>
        <w:tc>
          <w:tcPr>
            <w:tcW w:type="dxa" w:w="1038"/>
          </w:tcPr>
          <w:p>
            <w:pPr>
              <w:pStyle w:val="null3"/>
            </w:pPr>
            <w:r>
              <w:rPr/>
              <w:t>≥48</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性能要求-CPU性能</w:t>
            </w:r>
          </w:p>
        </w:tc>
        <w:tc>
          <w:tcPr>
            <w:tcW w:type="dxa" w:w="1038"/>
          </w:tcPr>
          <w:p>
            <w:pPr>
              <w:pStyle w:val="null3"/>
            </w:pPr>
            <w:r>
              <w:rPr/>
              <w:t>单CPU 末级缓存容量</w:t>
            </w:r>
          </w:p>
        </w:tc>
        <w:tc>
          <w:tcPr>
            <w:tcW w:type="dxa" w:w="1038"/>
          </w:tcPr>
          <w:p>
            <w:pPr>
              <w:pStyle w:val="null3"/>
            </w:pPr>
            <w:r>
              <w:rPr/>
              <w:t>≥32MB</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2路ARM服务器</w:t>
            </w:r>
          </w:p>
        </w:tc>
        <w:tc>
          <w:tcPr>
            <w:tcW w:type="dxa" w:w="1038"/>
          </w:tcPr>
          <w:p/>
        </w:tc>
        <w:tc>
          <w:tcPr>
            <w:tcW w:type="dxa" w:w="1038"/>
          </w:tcPr>
          <w:p>
            <w:pPr>
              <w:pStyle w:val="null3"/>
            </w:pPr>
            <w:r>
              <w:rPr/>
              <w:t>性能要求-内存性能</w:t>
            </w:r>
          </w:p>
        </w:tc>
        <w:tc>
          <w:tcPr>
            <w:tcW w:type="dxa" w:w="1038"/>
          </w:tcPr>
          <w:p>
            <w:pPr>
              <w:pStyle w:val="null3"/>
            </w:pPr>
            <w:r>
              <w:rPr/>
              <w:t>单内存模块容量</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性能要求-内存性能</w:t>
            </w:r>
          </w:p>
        </w:tc>
        <w:tc>
          <w:tcPr>
            <w:tcW w:type="dxa" w:w="1038"/>
          </w:tcPr>
          <w:p>
            <w:pPr>
              <w:pStyle w:val="null3"/>
            </w:pPr>
            <w:r>
              <w:rPr/>
              <w:t>内存速率</w:t>
            </w:r>
          </w:p>
        </w:tc>
        <w:tc>
          <w:tcPr>
            <w:tcW w:type="dxa" w:w="1038"/>
          </w:tcPr>
          <w:p>
            <w:pPr>
              <w:pStyle w:val="null3"/>
            </w:pPr>
            <w:r>
              <w:rPr/>
              <w:t>≥3200MT/s</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2路ARM服务器</w:t>
            </w:r>
          </w:p>
        </w:tc>
        <w:tc>
          <w:tcPr>
            <w:tcW w:type="dxa" w:w="1038"/>
          </w:tcPr>
          <w:p/>
        </w:tc>
        <w:tc>
          <w:tcPr>
            <w:tcW w:type="dxa" w:w="1038"/>
          </w:tcPr>
          <w:p>
            <w:pPr>
              <w:pStyle w:val="null3"/>
            </w:pPr>
            <w:r>
              <w:rPr/>
              <w:t>性能要求-存储性能</w:t>
            </w:r>
          </w:p>
        </w:tc>
        <w:tc>
          <w:tcPr>
            <w:tcW w:type="dxa" w:w="1038"/>
          </w:tcPr>
          <w:p>
            <w:pPr>
              <w:pStyle w:val="null3"/>
            </w:pPr>
            <w:r>
              <w:rPr/>
              <w:t>硬盘转速</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性能要求-RAID卡性能</w:t>
            </w:r>
          </w:p>
        </w:tc>
        <w:tc>
          <w:tcPr>
            <w:tcW w:type="dxa" w:w="1038"/>
          </w:tcPr>
          <w:p>
            <w:pPr>
              <w:pStyle w:val="null3"/>
            </w:pPr>
            <w:r>
              <w:rPr/>
              <w:t>RAID卡缓存容量大小</w:t>
            </w:r>
          </w:p>
        </w:tc>
        <w:tc>
          <w:tcPr>
            <w:tcW w:type="dxa" w:w="1038"/>
          </w:tcPr>
          <w:p>
            <w:pPr>
              <w:pStyle w:val="null3"/>
            </w:pPr>
            <w:r>
              <w:rPr/>
              <w:t>配置磁盘阵列卡不小于2块，2块系统盘使用独立的阵列卡，其他磁盘不得使用系统盘的阵列卡，≥8口独立SAS RAID控制器，支持RAID0/1/5/6/10，、磁盘直通模式，速率≥6G/s，Cache 缓存≥2GB，支持掉电保护。</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性能要求-FC HBA卡性能</w:t>
            </w:r>
          </w:p>
        </w:tc>
        <w:tc>
          <w:tcPr>
            <w:tcW w:type="dxa" w:w="1038"/>
          </w:tcPr>
          <w:p>
            <w:pPr>
              <w:pStyle w:val="null3"/>
            </w:pPr>
            <w:r>
              <w:rPr/>
              <w:t>FC HBA卡速率</w:t>
            </w:r>
          </w:p>
        </w:tc>
        <w:tc>
          <w:tcPr>
            <w:tcW w:type="dxa" w:w="1038"/>
          </w:tcPr>
          <w:p>
            <w:pPr>
              <w:pStyle w:val="null3"/>
            </w:pPr>
            <w:r>
              <w:rPr/>
              <w:t>不低于16Gb HBA卡（向下兼容），2块。</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2路ARM服务器</w:t>
            </w:r>
          </w:p>
        </w:tc>
        <w:tc>
          <w:tcPr>
            <w:tcW w:type="dxa" w:w="1038"/>
          </w:tcPr>
          <w:p/>
        </w:tc>
        <w:tc>
          <w:tcPr>
            <w:tcW w:type="dxa" w:w="1038"/>
          </w:tcPr>
          <w:p>
            <w:pPr>
              <w:pStyle w:val="null3"/>
            </w:pPr>
            <w:r>
              <w:rPr/>
              <w:t>性能要求-网络性能</w:t>
            </w:r>
          </w:p>
        </w:tc>
        <w:tc>
          <w:tcPr>
            <w:tcW w:type="dxa" w:w="1038"/>
          </w:tcPr>
          <w:p>
            <w:pPr>
              <w:pStyle w:val="null3"/>
            </w:pPr>
            <w:r>
              <w:rPr/>
              <w:t>独立网卡速率</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2路ARM服务器</w:t>
            </w:r>
          </w:p>
        </w:tc>
        <w:tc>
          <w:tcPr>
            <w:tcW w:type="dxa" w:w="1038"/>
          </w:tcPr>
          <w:p/>
        </w:tc>
        <w:tc>
          <w:tcPr>
            <w:tcW w:type="dxa" w:w="1038"/>
          </w:tcPr>
          <w:p>
            <w:pPr>
              <w:pStyle w:val="null3"/>
            </w:pPr>
            <w:r>
              <w:rPr/>
              <w:t>性能要求-网络性能</w:t>
            </w:r>
          </w:p>
        </w:tc>
        <w:tc>
          <w:tcPr>
            <w:tcW w:type="dxa" w:w="1038"/>
          </w:tcPr>
          <w:p>
            <w:pPr>
              <w:pStyle w:val="null3"/>
            </w:pPr>
            <w:r>
              <w:rPr/>
              <w:t>板载网卡速率</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性能要求-电源能耗</w:t>
            </w:r>
          </w:p>
        </w:tc>
        <w:tc>
          <w:tcPr>
            <w:tcW w:type="dxa" w:w="1038"/>
          </w:tcPr>
          <w:p>
            <w:pPr>
              <w:pStyle w:val="null3"/>
            </w:pPr>
            <w:r>
              <w:rPr/>
              <w:t>电源能耗</w:t>
            </w:r>
          </w:p>
        </w:tc>
        <w:tc>
          <w:tcPr>
            <w:tcW w:type="dxa" w:w="1038"/>
          </w:tcPr>
          <w:p>
            <w:pPr>
              <w:pStyle w:val="null3"/>
            </w:pPr>
            <w:r>
              <w:rPr/>
              <w:t>符合GB/T 9813.3 的有关规定。</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内存兼容性</w:t>
            </w:r>
          </w:p>
        </w:tc>
        <w:tc>
          <w:tcPr>
            <w:tcW w:type="dxa" w:w="1038"/>
          </w:tcPr>
          <w:p>
            <w:pPr>
              <w:pStyle w:val="null3"/>
            </w:pPr>
            <w:r>
              <w:rPr/>
              <w:t>适配 3 种及以上厂商的内存产品， 且均不低于产品支持的内存规格。</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固态存储兼容性</w:t>
            </w:r>
          </w:p>
        </w:tc>
        <w:tc>
          <w:tcPr>
            <w:tcW w:type="dxa" w:w="1038"/>
          </w:tcPr>
          <w:p>
            <w:pPr>
              <w:pStyle w:val="null3"/>
            </w:pPr>
            <w:r>
              <w:rPr/>
              <w:t>适配 3 种或以上厂商的固态存储产品，且均不低于产品支持的固态存储设备规格。</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2路ARM服务器</w:t>
            </w:r>
          </w:p>
        </w:tc>
        <w:tc>
          <w:tcPr>
            <w:tcW w:type="dxa" w:w="1038"/>
          </w:tcPr>
          <w:p/>
        </w:tc>
        <w:tc>
          <w:tcPr>
            <w:tcW w:type="dxa" w:w="1038"/>
          </w:tcPr>
          <w:p>
            <w:pPr>
              <w:pStyle w:val="null3"/>
            </w:pPr>
            <w:r>
              <w:rPr/>
              <w:t>兼容要求-部件兼容性要求</w:t>
            </w:r>
          </w:p>
        </w:tc>
        <w:tc>
          <w:tcPr>
            <w:tcW w:type="dxa" w:w="1038"/>
          </w:tcPr>
          <w:p>
            <w:pPr>
              <w:pStyle w:val="null3"/>
            </w:pPr>
            <w:r>
              <w:rPr/>
              <w:t>FC HBA卡兼容性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2路ARM服务器</w:t>
            </w:r>
          </w:p>
        </w:tc>
        <w:tc>
          <w:tcPr>
            <w:tcW w:type="dxa" w:w="1038"/>
          </w:tcPr>
          <w:p/>
        </w:tc>
        <w:tc>
          <w:tcPr>
            <w:tcW w:type="dxa" w:w="1038"/>
          </w:tcPr>
          <w:p>
            <w:pPr>
              <w:pStyle w:val="null3"/>
            </w:pPr>
            <w:r>
              <w:rPr/>
              <w:t>兼容要求-部件兼容性要求</w:t>
            </w:r>
          </w:p>
        </w:tc>
        <w:tc>
          <w:tcPr>
            <w:tcW w:type="dxa" w:w="1038"/>
          </w:tcPr>
          <w:p>
            <w:pPr>
              <w:pStyle w:val="null3"/>
            </w:pPr>
            <w:r>
              <w:rPr/>
              <w:t>RAID卡兼容性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网卡兼容</w:t>
            </w:r>
          </w:p>
        </w:tc>
        <w:tc>
          <w:tcPr>
            <w:tcW w:type="dxa" w:w="1038"/>
          </w:tcPr>
          <w:p>
            <w:pPr>
              <w:pStyle w:val="null3"/>
            </w:pPr>
            <w:r>
              <w:rPr/>
              <w:t>网卡应适配两种或以上厂商产品。</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兼容要求-部件兼容性要求</w:t>
            </w:r>
          </w:p>
        </w:tc>
        <w:tc>
          <w:tcPr>
            <w:tcW w:type="dxa" w:w="1038"/>
          </w:tcPr>
          <w:p>
            <w:pPr>
              <w:pStyle w:val="null3"/>
            </w:pPr>
            <w:r>
              <w:rPr/>
              <w:t>功能卡兼容性</w:t>
            </w:r>
          </w:p>
        </w:tc>
        <w:tc>
          <w:tcPr>
            <w:tcW w:type="dxa" w:w="1038"/>
          </w:tcPr>
          <w:p>
            <w:pPr>
              <w:pStyle w:val="null3"/>
            </w:pPr>
            <w:r>
              <w:rPr/>
              <w:t>内置或适配符合PCIe 的功能卡，如： 网络功能卡、存储功能卡及图形显示功能卡。</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兼容要求-外设兼容性</w:t>
            </w:r>
          </w:p>
        </w:tc>
        <w:tc>
          <w:tcPr>
            <w:tcW w:type="dxa" w:w="1038"/>
          </w:tcPr>
          <w:p>
            <w:pPr>
              <w:pStyle w:val="null3"/>
            </w:pPr>
            <w:r>
              <w:rPr/>
              <w:t>外设兼容性</w:t>
            </w:r>
          </w:p>
        </w:tc>
        <w:tc>
          <w:tcPr>
            <w:tcW w:type="dxa" w:w="1038"/>
          </w:tcPr>
          <w:p>
            <w:pPr>
              <w:pStyle w:val="null3"/>
            </w:pPr>
            <w:r>
              <w:rPr/>
              <w:t>兼容多种主流生产商的外部设备， 包括显示器、键盘、鼠标、闪存盘、移动硬盘、USB 光驱及 KVM 等，要求使用不同厂商的外部设备时，系统均能正常识别和安装驱动。</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中间件兼容</w:t>
            </w:r>
          </w:p>
        </w:tc>
        <w:tc>
          <w:tcPr>
            <w:tcW w:type="dxa" w:w="1038"/>
          </w:tcPr>
          <w:p>
            <w:pPr>
              <w:pStyle w:val="null3"/>
            </w:pPr>
            <w:r>
              <w:rPr/>
              <w:t>兼容 3 个及以上厂商的中间件产品。</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兼容要求-软件兼容性</w:t>
            </w:r>
          </w:p>
        </w:tc>
        <w:tc>
          <w:tcPr>
            <w:tcW w:type="dxa" w:w="1038"/>
          </w:tcPr>
          <w:p>
            <w:pPr>
              <w:pStyle w:val="null3"/>
            </w:pPr>
            <w:r>
              <w:rPr/>
              <w:t>平台软件兼容</w:t>
            </w:r>
          </w:p>
        </w:tc>
        <w:tc>
          <w:tcPr>
            <w:tcW w:type="dxa" w:w="1038"/>
          </w:tcPr>
          <w:p>
            <w:pPr>
              <w:pStyle w:val="null3"/>
            </w:pPr>
            <w:r>
              <w:rPr/>
              <w:t>兼容 3 个及以上厂商的大数据平台。</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2路ARM服务器</w:t>
            </w:r>
          </w:p>
        </w:tc>
        <w:tc>
          <w:tcPr>
            <w:tcW w:type="dxa" w:w="1038"/>
          </w:tcPr>
          <w:p/>
        </w:tc>
        <w:tc>
          <w:tcPr>
            <w:tcW w:type="dxa" w:w="1038"/>
          </w:tcPr>
          <w:p>
            <w:pPr>
              <w:pStyle w:val="null3"/>
            </w:pPr>
            <w:r>
              <w:rPr/>
              <w:t>兼容要求-软件兼容性</w:t>
            </w:r>
          </w:p>
        </w:tc>
        <w:tc>
          <w:tcPr>
            <w:tcW w:type="dxa" w:w="1038"/>
          </w:tcPr>
          <w:p>
            <w:pPr>
              <w:pStyle w:val="null3"/>
            </w:pPr>
            <w:r>
              <w:rPr/>
              <w:t>虚拟化软件兼容</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2路ARM服务器</w:t>
            </w:r>
          </w:p>
        </w:tc>
        <w:tc>
          <w:tcPr>
            <w:tcW w:type="dxa" w:w="1038"/>
          </w:tcPr>
          <w:p/>
        </w:tc>
        <w:tc>
          <w:tcPr>
            <w:tcW w:type="dxa" w:w="1038"/>
          </w:tcPr>
          <w:p>
            <w:pPr>
              <w:pStyle w:val="null3"/>
            </w:pPr>
            <w:r>
              <w:rPr/>
              <w:t>可靠性要求-存储可靠性要求</w:t>
            </w:r>
          </w:p>
        </w:tc>
        <w:tc>
          <w:tcPr>
            <w:tcW w:type="dxa" w:w="1038"/>
          </w:tcPr>
          <w:p>
            <w:pPr>
              <w:pStyle w:val="null3"/>
            </w:pPr>
            <w:r>
              <w:rPr/>
              <w:t>SATA SSD可靠性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整机可靠性</w:t>
            </w:r>
          </w:p>
        </w:tc>
        <w:tc>
          <w:tcPr>
            <w:tcW w:type="dxa" w:w="1038"/>
          </w:tcPr>
          <w:p>
            <w:pPr>
              <w:pStyle w:val="null3"/>
            </w:pPr>
            <w:r>
              <w:rPr/>
              <w:t>m1 值（MTBF的不可接受值）不得低于 100000h。</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风扇可靠性</w:t>
            </w:r>
          </w:p>
        </w:tc>
        <w:tc>
          <w:tcPr>
            <w:tcW w:type="dxa" w:w="1038"/>
          </w:tcPr>
          <w:p>
            <w:pPr>
              <w:pStyle w:val="null3"/>
            </w:pPr>
            <w:r>
              <w:rPr/>
              <w:t>风扇寿命应不低于 40000h。</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可靠性要求-整机可靠性要求</w:t>
            </w:r>
          </w:p>
        </w:tc>
        <w:tc>
          <w:tcPr>
            <w:tcW w:type="dxa" w:w="1038"/>
          </w:tcPr>
          <w:p>
            <w:pPr>
              <w:pStyle w:val="null3"/>
            </w:pPr>
            <w:r>
              <w:rPr/>
              <w:t>部件可靠性</w:t>
            </w:r>
          </w:p>
        </w:tc>
        <w:tc>
          <w:tcPr>
            <w:tcW w:type="dxa" w:w="1038"/>
          </w:tcPr>
          <w:p>
            <w:pPr>
              <w:pStyle w:val="null3"/>
            </w:pPr>
            <w:r>
              <w:rPr/>
              <w:t>支持硬盘、电源、风扇热插拔(内置风扇除外)。</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符合GB/T 9813.3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服务响应</w:t>
            </w:r>
          </w:p>
        </w:tc>
        <w:tc>
          <w:tcPr>
            <w:tcW w:type="dxa" w:w="1038"/>
          </w:tcPr>
          <w:p>
            <w:pPr>
              <w:pStyle w:val="null3"/>
            </w:pPr>
            <w:r>
              <w:rPr/>
              <w:t>a)  提供电话、电子邮件、远程连接等多种形式服务； b)  提供同城 4h、异地 12h 技术响应服务，2 个工作日解决问题，对于未能解决的问题和故障应提供可行的升级方案，并提供周转设备； c)  建立全国技术服务体系和服务 团体，符合专业服务体系标准要求， 提供原厂中文服务； d)  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服务要求-服务响应</w:t>
            </w:r>
          </w:p>
        </w:tc>
        <w:tc>
          <w:tcPr>
            <w:tcW w:type="dxa" w:w="1038"/>
          </w:tcPr>
          <w:p>
            <w:pPr>
              <w:pStyle w:val="null3"/>
            </w:pPr>
            <w:r>
              <w:rPr/>
              <w:t>培训服务</w:t>
            </w:r>
          </w:p>
        </w:tc>
        <w:tc>
          <w:tcPr>
            <w:tcW w:type="dxa" w:w="1038"/>
          </w:tcPr>
          <w:p>
            <w:pPr>
              <w:pStyle w:val="null3"/>
            </w:pPr>
            <w:r>
              <w:rPr/>
              <w:t>投标人提供培训材料、产品手册、培训视频等培训相关内容。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服务要求-服务周期</w:t>
            </w:r>
          </w:p>
        </w:tc>
        <w:tc>
          <w:tcPr>
            <w:tcW w:type="dxa" w:w="1038"/>
          </w:tcPr>
          <w:p>
            <w:pPr>
              <w:pStyle w:val="null3"/>
            </w:pPr>
            <w:r>
              <w:rPr/>
              <w:t>服务周期</w:t>
            </w:r>
          </w:p>
        </w:tc>
        <w:tc>
          <w:tcPr>
            <w:tcW w:type="dxa" w:w="1038"/>
          </w:tcPr>
          <w:p>
            <w:pPr>
              <w:pStyle w:val="null3"/>
            </w:pPr>
            <w:r>
              <w:rPr/>
              <w:t>提供5年原厂质保服务，5×8×4小时工程师带备件上门的原厂质保服务，硬盘免回收;在质保服务年限内，提供每年2次原厂巡检服务。</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132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工具要求</w:t>
            </w:r>
          </w:p>
        </w:tc>
        <w:tc>
          <w:tcPr>
            <w:tcW w:type="dxa" w:w="1038"/>
          </w:tcPr>
          <w:p>
            <w:pPr>
              <w:pStyle w:val="null3"/>
            </w:pPr>
            <w:r>
              <w:rPr/>
              <w:t>投标人提供设置服务器硬件、辅助操作系统安装等功能的辅助工具和管理软件。且随附软件应具有合法授权或版权。</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2路ARM服务器</w:t>
            </w:r>
          </w:p>
        </w:tc>
        <w:tc>
          <w:tcPr>
            <w:tcW w:type="dxa" w:w="1038"/>
          </w:tcPr>
          <w:p/>
        </w:tc>
        <w:tc>
          <w:tcPr>
            <w:tcW w:type="dxa" w:w="1038"/>
          </w:tcPr>
          <w:p>
            <w:pPr>
              <w:pStyle w:val="null3"/>
            </w:pPr>
            <w:r>
              <w:rPr/>
              <w:t>服务要求-服务工具要求</w:t>
            </w:r>
          </w:p>
        </w:tc>
        <w:tc>
          <w:tcPr>
            <w:tcW w:type="dxa" w:w="1038"/>
          </w:tcPr>
          <w:p>
            <w:pPr>
              <w:pStyle w:val="null3"/>
            </w:pPr>
            <w:r>
              <w:rPr/>
              <w:t>辅助工具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驱动安装升级指引</w:t>
            </w:r>
          </w:p>
        </w:tc>
        <w:tc>
          <w:tcPr>
            <w:tcW w:type="dxa" w:w="1038"/>
          </w:tcPr>
          <w:p>
            <w:pPr>
              <w:pStyle w:val="null3"/>
            </w:pPr>
            <w:r>
              <w:rPr/>
              <w:t>投标人提供出厂安装的配件所需的驱动程序，形式包括但不限于驱动光盘、驱动下载链接等。其他配件应提供指引。</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2路ARM服务器</w:t>
            </w:r>
          </w:p>
        </w:tc>
        <w:tc>
          <w:tcPr>
            <w:tcW w:type="dxa" w:w="1038"/>
          </w:tcPr>
          <w:p/>
        </w:tc>
        <w:tc>
          <w:tcPr>
            <w:tcW w:type="dxa" w:w="1038"/>
          </w:tcPr>
          <w:p>
            <w:pPr>
              <w:pStyle w:val="null3"/>
            </w:pPr>
            <w:r>
              <w:rPr/>
              <w:t>服务要求-服务工具要求</w:t>
            </w:r>
          </w:p>
        </w:tc>
        <w:tc>
          <w:tcPr>
            <w:tcW w:type="dxa" w:w="1038"/>
          </w:tcPr>
          <w:p>
            <w:pPr>
              <w:pStyle w:val="null3"/>
            </w:pPr>
            <w:r>
              <w:rPr/>
              <w:t>随机附开盖工具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2路ARM服务器</w:t>
            </w:r>
          </w:p>
        </w:tc>
        <w:tc>
          <w:tcPr>
            <w:tcW w:type="dxa" w:w="1038"/>
          </w:tcPr>
          <w:p/>
        </w:tc>
        <w:tc>
          <w:tcPr>
            <w:tcW w:type="dxa" w:w="1038"/>
          </w:tcPr>
          <w:p>
            <w:pPr>
              <w:pStyle w:val="null3"/>
            </w:pPr>
            <w:r>
              <w:rPr/>
              <w:t>服务要求-服务工具要求</w:t>
            </w:r>
          </w:p>
        </w:tc>
        <w:tc>
          <w:tcPr>
            <w:tcW w:type="dxa" w:w="1038"/>
          </w:tcPr>
          <w:p>
            <w:pPr>
              <w:pStyle w:val="null3"/>
            </w:pPr>
            <w:r>
              <w:rPr/>
              <w:t>代码迁移工具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2路ARM服务器</w:t>
            </w:r>
          </w:p>
        </w:tc>
        <w:tc>
          <w:tcPr>
            <w:tcW w:type="dxa" w:w="1038"/>
          </w:tcPr>
          <w:p/>
        </w:tc>
        <w:tc>
          <w:tcPr>
            <w:tcW w:type="dxa" w:w="1038"/>
          </w:tcPr>
          <w:p>
            <w:pPr>
              <w:pStyle w:val="null3"/>
            </w:pPr>
            <w:r>
              <w:rPr/>
              <w:t>服务要求-服务工具要求</w:t>
            </w:r>
          </w:p>
        </w:tc>
        <w:tc>
          <w:tcPr>
            <w:tcW w:type="dxa" w:w="1038"/>
          </w:tcPr>
          <w:p>
            <w:pPr>
              <w:pStyle w:val="null3"/>
            </w:pPr>
            <w:r>
              <w:rPr/>
              <w:t>性能分析工具</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2路ARM服务器</w:t>
            </w:r>
          </w:p>
        </w:tc>
        <w:tc>
          <w:tcPr>
            <w:tcW w:type="dxa" w:w="1038"/>
          </w:tcPr>
          <w:p/>
        </w:tc>
        <w:tc>
          <w:tcPr>
            <w:tcW w:type="dxa" w:w="1038"/>
          </w:tcPr>
          <w:p>
            <w:pPr>
              <w:pStyle w:val="null3"/>
            </w:pPr>
            <w:r>
              <w:rPr/>
              <w:t>服务要求-服务工具要求</w:t>
            </w:r>
          </w:p>
        </w:tc>
        <w:tc>
          <w:tcPr>
            <w:tcW w:type="dxa" w:w="1038"/>
          </w:tcPr>
          <w:p>
            <w:pPr>
              <w:pStyle w:val="null3"/>
            </w:pPr>
            <w:r>
              <w:rPr/>
              <w:t>跨架构平台应用兼容</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服务要求-服务工具要求</w:t>
            </w:r>
          </w:p>
        </w:tc>
        <w:tc>
          <w:tcPr>
            <w:tcW w:type="dxa" w:w="1038"/>
          </w:tcPr>
          <w:p>
            <w:pPr>
              <w:pStyle w:val="null3"/>
            </w:pPr>
            <w:r>
              <w:rPr/>
              <w:t>管理软件</w:t>
            </w:r>
          </w:p>
        </w:tc>
        <w:tc>
          <w:tcPr>
            <w:tcW w:type="dxa" w:w="1038"/>
          </w:tcPr>
          <w:p>
            <w:pPr>
              <w:pStyle w:val="null3"/>
            </w:pPr>
            <w:r>
              <w:rPr/>
              <w:t>具备资源管理、系统管理、性能监控、健康监控、基于网络控制、报警设置功能。</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厂家升级产品软件与扩容服务</w:t>
            </w:r>
          </w:p>
        </w:tc>
        <w:tc>
          <w:tcPr>
            <w:tcW w:type="dxa" w:w="1038"/>
          </w:tcPr>
          <w:p>
            <w:pPr>
              <w:pStyle w:val="null3"/>
            </w:pPr>
            <w:r>
              <w:rPr/>
              <w:t>投标人提供原厂级的部件/软件产品升级和扩容能力。</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2路ARM服务器</w:t>
            </w:r>
          </w:p>
        </w:tc>
        <w:tc>
          <w:tcPr>
            <w:tcW w:type="dxa" w:w="1038"/>
          </w:tcPr>
          <w:p/>
        </w:tc>
        <w:tc>
          <w:tcPr>
            <w:tcW w:type="dxa" w:w="1038"/>
          </w:tcPr>
          <w:p>
            <w:pPr>
              <w:pStyle w:val="null3"/>
            </w:pPr>
            <w:r>
              <w:rPr/>
              <w:t>服务要求-增值服务</w:t>
            </w:r>
          </w:p>
        </w:tc>
        <w:tc>
          <w:tcPr>
            <w:tcW w:type="dxa" w:w="1038"/>
          </w:tcPr>
          <w:p>
            <w:pPr>
              <w:pStyle w:val="null3"/>
            </w:pPr>
            <w:r>
              <w:rPr/>
              <w:t>服务保障升级</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服务要求-增值服务</w:t>
            </w:r>
          </w:p>
        </w:tc>
        <w:tc>
          <w:tcPr>
            <w:tcW w:type="dxa" w:w="1038"/>
          </w:tcPr>
          <w:p>
            <w:pPr>
              <w:pStyle w:val="null3"/>
            </w:pPr>
            <w:r>
              <w:rPr/>
              <w:t>提供上门服务</w:t>
            </w:r>
          </w:p>
        </w:tc>
        <w:tc>
          <w:tcPr>
            <w:tcW w:type="dxa" w:w="1038"/>
          </w:tcPr>
          <w:p>
            <w:pPr>
              <w:pStyle w:val="null3"/>
            </w:pPr>
            <w:r>
              <w:rPr/>
              <w:t>投标人具备提供上门服务的能力。</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2路ARM服务器</w:t>
            </w:r>
          </w:p>
        </w:tc>
        <w:tc>
          <w:tcPr>
            <w:tcW w:type="dxa" w:w="1038"/>
          </w:tcPr>
          <w:p/>
        </w:tc>
        <w:tc>
          <w:tcPr>
            <w:tcW w:type="dxa" w:w="1038"/>
          </w:tcPr>
          <w:p>
            <w:pPr>
              <w:pStyle w:val="null3"/>
            </w:pPr>
            <w:r>
              <w:rPr/>
              <w:t>服务要求-增值服务</w:t>
            </w:r>
          </w:p>
        </w:tc>
        <w:tc>
          <w:tcPr>
            <w:tcW w:type="dxa" w:w="1038"/>
          </w:tcPr>
          <w:p>
            <w:pPr>
              <w:pStyle w:val="null3"/>
            </w:pPr>
            <w:r>
              <w:rPr/>
              <w:t>业务场景性能优化服务及整体架构升级服务</w:t>
            </w:r>
          </w:p>
        </w:tc>
        <w:tc>
          <w:tcPr>
            <w:tcW w:type="dxa" w:w="1038"/>
          </w:tcPr>
          <w:p>
            <w:pPr>
              <w:pStyle w:val="null3"/>
            </w:pPr>
            <w:r>
              <w:rPr/>
              <w:t>本项目不涉及，对本条指标项无要求</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抗干扰性</w:t>
            </w:r>
          </w:p>
        </w:tc>
        <w:tc>
          <w:tcPr>
            <w:tcW w:type="dxa" w:w="1038"/>
          </w:tcPr>
          <w:p>
            <w:pPr>
              <w:pStyle w:val="null3"/>
            </w:pPr>
            <w:r>
              <w:rPr/>
              <w:t>当产品部件出现供应风险时，应通知客户并提供风险应对方案确保产品的服务保障，必要时应停止相关受影响产品的销售。</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2路ARM服务器</w:t>
            </w:r>
          </w:p>
        </w:tc>
        <w:tc>
          <w:tcPr>
            <w:tcW w:type="dxa" w:w="1038"/>
          </w:tcPr>
          <w:p>
            <w:pPr>
              <w:pStyle w:val="null3"/>
            </w:pPr>
            <w:r>
              <w:rPr/>
              <w:t>★</w:t>
            </w:r>
          </w:p>
        </w:tc>
        <w:tc>
          <w:tcPr>
            <w:tcW w:type="dxa" w:w="1038"/>
          </w:tcPr>
          <w:p>
            <w:pPr>
              <w:pStyle w:val="null3"/>
            </w:pPr>
            <w:r>
              <w:rPr/>
              <w:t>供保要求-供应链质量</w:t>
            </w:r>
          </w:p>
        </w:tc>
        <w:tc>
          <w:tcPr>
            <w:tcW w:type="dxa" w:w="1038"/>
          </w:tcPr>
          <w:p>
            <w:pPr>
              <w:pStyle w:val="null3"/>
            </w:pPr>
            <w:r>
              <w:rPr/>
              <w:t>供应能力证明</w:t>
            </w:r>
          </w:p>
        </w:tc>
        <w:tc>
          <w:tcPr>
            <w:tcW w:type="dxa" w:w="1038"/>
          </w:tcPr>
          <w:p>
            <w:pPr>
              <w:pStyle w:val="null3"/>
            </w:pPr>
            <w:r>
              <w:rPr/>
              <w:t>投标人提供供应链稳定承诺书，确保产品的部件在产品服务周期内稳定供货。</w:t>
            </w:r>
          </w:p>
        </w:tc>
        <w:tc>
          <w:tcPr>
            <w:tcW w:type="dxa" w:w="1038"/>
          </w:tcPr>
          <w:p>
            <w:pPr>
              <w:pStyle w:val="null3"/>
            </w:pPr>
            <w:r>
              <w:rPr/>
              <w:t>是</w:t>
            </w:r>
          </w:p>
        </w:tc>
        <w:tc>
          <w:tcPr>
            <w:tcW w:type="dxa" w:w="1038"/>
          </w:tcPr>
          <w:p>
            <w:pPr>
              <w:pStyle w:val="null3"/>
            </w:pPr>
            <w:r>
              <w:rPr/>
              <w:t>提供承诺书并加盖投标人公章。</w:t>
            </w:r>
          </w:p>
        </w:tc>
      </w:tr>
    </w:tbl>
    <w:p>
      <w:pPr>
        <w:pStyle w:val="null3"/>
        <w:jc w:val="both"/>
      </w:pPr>
      <w:r>
        <w:rPr/>
        <w:t>本商务要求共有“★”指标8个，”#”指标2个，“▲”指标7个。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tc>
        <w:tc>
          <w:tcPr>
            <w:tcW w:type="dxa" w:w="1038"/>
          </w:tcPr>
          <w:p>
            <w:pPr>
              <w:pStyle w:val="null3"/>
            </w:pPr>
            <w:r>
              <w:rPr/>
              <w:t>★</w:t>
            </w:r>
          </w:p>
        </w:tc>
        <w:tc>
          <w:tcPr>
            <w:tcW w:type="dxa" w:w="1038"/>
          </w:tcPr>
          <w:p>
            <w:pPr>
              <w:pStyle w:val="null3"/>
            </w:pPr>
            <w:r>
              <w:rPr/>
              <w:t>交付货物和时间</w:t>
            </w:r>
          </w:p>
        </w:tc>
        <w:tc>
          <w:tcPr>
            <w:tcW w:type="dxa" w:w="1038"/>
          </w:tcPr>
          <w:p/>
        </w:tc>
        <w:tc>
          <w:tcPr>
            <w:tcW w:type="dxa" w:w="1038"/>
          </w:tcPr>
          <w:p>
            <w:pPr>
              <w:pStyle w:val="null3"/>
            </w:pPr>
            <w:r>
              <w:rPr/>
              <w:t>总公司与投标人签订上述产品的采购合同，投标人应在合同签订之日后按甲方要求30个工作日内提供所有产品，投标人派专人按照要求将货物运至招标人要求的最终目的地之时，视为货物的交付时间。</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tc>
        <w:tc>
          <w:tcPr>
            <w:tcW w:type="dxa" w:w="1038"/>
          </w:tcPr>
          <w:p>
            <w:pPr>
              <w:pStyle w:val="null3"/>
            </w:pPr>
            <w:r>
              <w:rPr/>
              <w:t>★</w:t>
            </w:r>
          </w:p>
        </w:tc>
        <w:tc>
          <w:tcPr>
            <w:tcW w:type="dxa" w:w="1038"/>
          </w:tcPr>
          <w:p>
            <w:pPr>
              <w:pStyle w:val="null3"/>
            </w:pPr>
            <w:r>
              <w:rPr/>
              <w:t>交付地点</w:t>
            </w:r>
          </w:p>
        </w:tc>
        <w:tc>
          <w:tcPr>
            <w:tcW w:type="dxa" w:w="1038"/>
          </w:tcPr>
          <w:p/>
        </w:tc>
        <w:tc>
          <w:tcPr>
            <w:tcW w:type="dxa" w:w="1038"/>
          </w:tcPr>
          <w:p>
            <w:pPr>
              <w:pStyle w:val="null3"/>
            </w:pPr>
            <w:r>
              <w:rPr/>
              <w:t>招标人指定地点：交付地点为北京、无锡，按照甲方要求进行交付。</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tc>
        <w:tc>
          <w:tcPr>
            <w:tcW w:type="dxa" w:w="1038"/>
          </w:tcPr>
          <w:p>
            <w:pPr>
              <w:pStyle w:val="null3"/>
            </w:pPr>
            <w:r>
              <w:rPr/>
              <w:t>▲</w:t>
            </w:r>
          </w:p>
        </w:tc>
        <w:tc>
          <w:tcPr>
            <w:tcW w:type="dxa" w:w="1038"/>
          </w:tcPr>
          <w:p>
            <w:pPr>
              <w:pStyle w:val="null3"/>
            </w:pPr>
            <w:r>
              <w:rPr/>
              <w:t>环保要求</w:t>
            </w:r>
          </w:p>
        </w:tc>
        <w:tc>
          <w:tcPr>
            <w:tcW w:type="dxa" w:w="1038"/>
          </w:tcPr>
          <w:p/>
        </w:tc>
        <w:tc>
          <w:tcPr>
            <w:tcW w:type="dxa" w:w="1038"/>
          </w:tcPr>
          <w:p>
            <w:pPr>
              <w:pStyle w:val="null3"/>
            </w:pPr>
            <w:r>
              <w:rPr/>
              <w:t>根据《财政部发展改革委生态环境部市场监管总局关于调整优化节能产品、环境标志产品政府采购执行机制的通知》（财库〔</w:t>
            </w:r>
            <w:r>
              <w:rPr/>
              <w:t>2019〕9号）、《关于印发环境标志产品政府采购品目清单的通知》（财库〔2019〕18号）、《关于印发节能产品政府采购品目清单的通知》（财库〔2019〕19号），国家市场监督管理总局公告16号文有关规定，服务器属于《环境标志产品政府采购品目清单》中产品，投标时请提供所投产品的相关证书</w:t>
            </w:r>
            <w:r>
              <w:rPr/>
              <w:t>。</w:t>
            </w:r>
          </w:p>
        </w:tc>
        <w:tc>
          <w:tcPr>
            <w:tcW w:type="dxa" w:w="1038"/>
          </w:tcPr>
          <w:p>
            <w:pPr>
              <w:pStyle w:val="null3"/>
            </w:pPr>
            <w:r>
              <w:rPr/>
              <w:t>是</w:t>
            </w:r>
          </w:p>
        </w:tc>
        <w:tc>
          <w:tcPr>
            <w:tcW w:type="dxa" w:w="1038"/>
          </w:tcPr>
          <w:p>
            <w:pPr>
              <w:pStyle w:val="null3"/>
            </w:pPr>
            <w:r>
              <w:rPr/>
              <w:t>是，提供相关证书。</w:t>
            </w:r>
          </w:p>
        </w:tc>
      </w:tr>
      <w:tr>
        <w:tc>
          <w:tcPr>
            <w:tcW w:type="dxa" w:w="1038"/>
          </w:tcPr>
          <w:p>
            <w:pPr>
              <w:pStyle w:val="null3"/>
            </w:pPr>
            <w:r>
              <w:rPr/>
              <w:t>4</w:t>
            </w:r>
          </w:p>
        </w:tc>
        <w:tc>
          <w:tcPr>
            <w:tcW w:type="dxa" w:w="1038"/>
          </w:tcPr>
          <w:p/>
        </w:tc>
        <w:tc>
          <w:tcPr>
            <w:tcW w:type="dxa" w:w="1038"/>
          </w:tcPr>
          <w:p>
            <w:pPr>
              <w:pStyle w:val="null3"/>
            </w:pPr>
            <w:r>
              <w:rPr/>
              <w:t>★</w:t>
            </w:r>
          </w:p>
        </w:tc>
        <w:tc>
          <w:tcPr>
            <w:tcW w:type="dxa" w:w="1038"/>
          </w:tcPr>
          <w:p>
            <w:pPr>
              <w:pStyle w:val="null3"/>
            </w:pPr>
            <w:r>
              <w:rPr/>
              <w:t>质量保证</w:t>
            </w:r>
          </w:p>
        </w:tc>
        <w:tc>
          <w:tcPr>
            <w:tcW w:type="dxa" w:w="1038"/>
          </w:tcPr>
          <w:p/>
        </w:tc>
        <w:tc>
          <w:tcPr>
            <w:tcW w:type="dxa" w:w="1038"/>
          </w:tcPr>
          <w:p>
            <w:pPr>
              <w:pStyle w:val="null3"/>
            </w:pPr>
            <w:r>
              <w:rPr/>
              <w:t>1、提供的合同货物为全新的、完整的、未开封的、未使用过的货物，并且保证其性能和质量与合同规定相符。提供的技术资料是完整的、清晰和准确的。 2、提供的货物符合中华人民共和国国家相关标准、相关行业标准、合同技术规范以及原厂商质量标准，并在出厂前通过原厂商质量测试和检验。 3、在不增加新功能的情况下免费提供新软件的许可使用权。 4、提供准确、充足的技术服务及必要的技术培训，以满足安装、试运行、性能测试、运转及维护的要求。 5、在收到各报修或技术服务要求的通知后，承诺质量保证期内免费维修更换有缺陷的货物、部件或提供相应的质量保证期服务；如质量保证期外需投标人提供同等服务，投标人可以收取成本费（服务分项价格应不高于本期合同约定）。对造成招标人损失的，招标人保留索赔的权利。 6、在收到报修或技术服务要求的通知后，没有按照服务承诺弥补缺陷，招标人可采取必要的补救措施，但风险和费用应由投标人承担。同时，招标人仍有权根据合同规定向投标人行使其他权利。 7、投标人承诺货物不存在任何质量瑕疵和权利瑕疵。</w:t>
            </w:r>
          </w:p>
        </w:tc>
        <w:tc>
          <w:tcPr>
            <w:tcW w:type="dxa" w:w="1038"/>
          </w:tcPr>
          <w:p>
            <w:pPr>
              <w:pStyle w:val="null3"/>
            </w:pPr>
            <w:r>
              <w:rPr/>
              <w:t>是</w:t>
            </w:r>
          </w:p>
        </w:tc>
        <w:tc>
          <w:tcPr>
            <w:tcW w:type="dxa" w:w="1038"/>
          </w:tcPr>
          <w:p>
            <w:pPr>
              <w:pStyle w:val="null3"/>
            </w:pPr>
            <w:r>
              <w:rPr/>
              <w:t>提供服务承诺函并加盖投标人公章。</w:t>
            </w:r>
          </w:p>
        </w:tc>
      </w:tr>
      <w:tr>
        <w:tc>
          <w:tcPr>
            <w:tcW w:type="dxa" w:w="1038"/>
          </w:tcPr>
          <w:p>
            <w:pPr>
              <w:pStyle w:val="null3"/>
            </w:pPr>
            <w:r>
              <w:rPr/>
              <w:t>5</w:t>
            </w:r>
          </w:p>
        </w:tc>
        <w:tc>
          <w:tcPr>
            <w:tcW w:type="dxa" w:w="1038"/>
          </w:tcPr>
          <w:p/>
        </w:tc>
        <w:tc>
          <w:tcPr>
            <w:tcW w:type="dxa" w:w="1038"/>
          </w:tcPr>
          <w:p>
            <w:pPr>
              <w:pStyle w:val="null3"/>
            </w:pPr>
            <w:r>
              <w:rPr/>
              <w:t>#</w:t>
            </w:r>
          </w:p>
        </w:tc>
        <w:tc>
          <w:tcPr>
            <w:tcW w:type="dxa" w:w="1038"/>
          </w:tcPr>
          <w:p>
            <w:pPr>
              <w:pStyle w:val="null3"/>
            </w:pPr>
            <w:r>
              <w:rPr/>
              <w:t>包装及标记</w:t>
            </w:r>
          </w:p>
        </w:tc>
        <w:tc>
          <w:tcPr>
            <w:tcW w:type="dxa" w:w="1038"/>
          </w:tcPr>
          <w:p/>
        </w:tc>
        <w:tc>
          <w:tcPr>
            <w:tcW w:type="dxa" w:w="1038"/>
          </w:tcPr>
          <w:p>
            <w:pPr>
              <w:pStyle w:val="null3"/>
            </w:pPr>
            <w:r>
              <w:rPr/>
              <w:t>1、投标人提供的产品外包装必须小心恰当及坚固，适合长途运输需要，并具有防潮、防湿、防锈、防蚀和防震动的作用。 2、投标人应以醒目的中文印刷字体在各包装箱上标明通用规范的运输标记或标志，如项目名称、货物名称与合同号以及招标人和投标人双方名称等相关信息。 3、每个箱子侧面应清楚标明交货地点的全称；装箱单应清楚注明每个站点总箱数（如果分站点交货）；投标人应对包装箱内每件辅件进行标签，标明“备件”或“工具”及具体名称，并注明合同号、箱号及安装站。招标人有权不接收未按上述规定包装的合同设备、技术文件等。 4、有关的技术资料如样本、图纸、操作手册、维修指南及服务手册、产品产地证明书、质量保证书和系统操作说明书等应清晰、正确、完整，并应随同货物一起发运。</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tc>
        <w:tc>
          <w:tcPr>
            <w:tcW w:type="dxa" w:w="1038"/>
          </w:tcPr>
          <w:p>
            <w:pPr>
              <w:pStyle w:val="null3"/>
            </w:pPr>
            <w:r>
              <w:rPr/>
              <w:t>★</w:t>
            </w:r>
          </w:p>
        </w:tc>
        <w:tc>
          <w:tcPr>
            <w:tcW w:type="dxa" w:w="1038"/>
          </w:tcPr>
          <w:p>
            <w:pPr>
              <w:pStyle w:val="null3"/>
            </w:pPr>
            <w:r>
              <w:rPr/>
              <w:t>到货验收</w:t>
            </w:r>
          </w:p>
        </w:tc>
        <w:tc>
          <w:tcPr>
            <w:tcW w:type="dxa" w:w="1038"/>
          </w:tcPr>
          <w:p/>
        </w:tc>
        <w:tc>
          <w:tcPr>
            <w:tcW w:type="dxa" w:w="1038"/>
          </w:tcPr>
          <w:p>
            <w:pPr>
              <w:pStyle w:val="null3"/>
            </w:pPr>
            <w:r>
              <w:rPr/>
              <w:t>1、货物运抵交货地点后，按照招标人要求，由招标人和投标人根据合同的规定及投标人提交的发货证明，对全部设备的品牌、型号、规格、数量、外型、包装及资料、装箱单、保修单、随箱介质等文件进行开箱检查验收，查验的内容包括货物包装、外观、数量等，如有异议应当场提出；如无异议，参与验货的双方应签署《到货验收合格单》，即为货物正式交付。货物正式交付之前，如果发生丢失、损害或毁坏等风险和费用，应由投标人承担。 2、投标人承诺提供设备是合同签订后按照最新的生产标准出厂的产品,若验货时发现货物数量不足或规格与合同规定不符，或开箱时虽然货物外包装完好无损但箱内货物短缺或损伤，由投标人负责免费解决，招标人保留索赔及退货权利，有权拒绝接收或决定暂时收取该批次货物，并在发现后及时记录，双方当场签字，作为投标人补/换货的依据。投标人应当在10日内补/换货，并按前述各项要求交付及验收。 3、货物交付后需在10个工作日内完成到货验收，如通过，双方签署《到货验收合格单》。</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tc>
        <w:tc>
          <w:tcPr>
            <w:tcW w:type="dxa" w:w="1038"/>
          </w:tcPr>
          <w:p>
            <w:pPr>
              <w:pStyle w:val="null3"/>
            </w:pPr>
            <w:r>
              <w:rPr/>
              <w:t>★</w:t>
            </w:r>
          </w:p>
        </w:tc>
        <w:tc>
          <w:tcPr>
            <w:tcW w:type="dxa" w:w="1038"/>
          </w:tcPr>
          <w:p>
            <w:pPr>
              <w:pStyle w:val="null3"/>
            </w:pPr>
            <w:r>
              <w:rPr/>
              <w:t>初步验收（安装调试验收）</w:t>
            </w:r>
          </w:p>
        </w:tc>
        <w:tc>
          <w:tcPr>
            <w:tcW w:type="dxa" w:w="1038"/>
          </w:tcPr>
          <w:p/>
        </w:tc>
        <w:tc>
          <w:tcPr>
            <w:tcW w:type="dxa" w:w="1038"/>
          </w:tcPr>
          <w:p>
            <w:pPr>
              <w:pStyle w:val="null3"/>
            </w:pPr>
            <w:r>
              <w:rPr/>
              <w:t>1、按照投标人要求完成进场、上架、加电测试，确认产品能正常工作。设备上架、加电以及本次项目涉及产品的集成服务可根据招标人需要由投标人完成。所有货物的加电（power on）自检验测试必须在其它测试前成功完成。若自检验不能正常通过，视为产品不合格。 2、设备安装调试完成后，投标人向招标人提供一份详细的验收报告，包括该产品系统联合调试成功、可正常运转的测量数据和资料，经过招标人的认可后，由招标人组织初验。初验合格后，双方签署《安装调试验收合格单》。 3、如果合同货物中的任何部分不能按照合同规定通过初验，投标人将采取一切补救措施以使初步验收测试能够在招标人要求的期限内进行，再次初验由投标人负担费用。投标人应根据合同的规定对再次初验造成的招标人的损失进行赔偿。产品测试中出现性能指标或功能上不符合要求的，或测试中出现不符合要求的严重质量问题时，招标人有权拒绝接收并保留索赔的权利。 4、自《到货验收合格单》签订之日起，需在30个工作日内完成初步验收。 5、初步验收完成后，进入不少于3个月不超过6个月的连续试运行。</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tc>
        <w:tc>
          <w:tcPr>
            <w:tcW w:type="dxa" w:w="1038"/>
          </w:tcPr>
          <w:p>
            <w:pPr>
              <w:pStyle w:val="null3"/>
            </w:pPr>
            <w:r>
              <w:rPr/>
              <w:t>★</w:t>
            </w:r>
          </w:p>
        </w:tc>
        <w:tc>
          <w:tcPr>
            <w:tcW w:type="dxa" w:w="1038"/>
          </w:tcPr>
          <w:p>
            <w:pPr>
              <w:pStyle w:val="null3"/>
            </w:pPr>
            <w:r>
              <w:rPr/>
              <w:t>最终验收</w:t>
            </w:r>
          </w:p>
        </w:tc>
        <w:tc>
          <w:tcPr>
            <w:tcW w:type="dxa" w:w="1038"/>
          </w:tcPr>
          <w:p/>
        </w:tc>
        <w:tc>
          <w:tcPr>
            <w:tcW w:type="dxa" w:w="1038"/>
          </w:tcPr>
          <w:p>
            <w:pPr>
              <w:pStyle w:val="null3"/>
            </w:pPr>
            <w:r>
              <w:rPr/>
              <w:t>1、试运行期满可以进行终验。最终验收合格的条件必须至少满足以下3个要求：已提供了合同的全部产品和资料；试运行时间满足合同要求；性能测试和试运行时出现的问题已被解决。终验合格后，双方签署《最终验收合格单》。 2、如果合同货物中的任何部分不能通过最终验收，投标人将采取一切补救措施以使最终验收能够尽快再次进行，再次终验由投标人负担费用。投标人应根据合同的规定对再次终验造成的招标人的损失进行赔偿。如果最终验收失败次数超过3次或超过合同规定的有关期限，招标人有权拒绝验收，并按投标人违约处理。招标人除有权没收投标人履约保证金外，还有权追索由此造成工期延误而给招标人带来的经济损失。如果导致合同不能继续执行，招标人有权按退货索赔程序处理。 3、自《安装调试验收合格单》签订之日起，需在180个日历日内完成最终验收。</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tc>
        <w:tc>
          <w:tcPr>
            <w:tcW w:type="dxa" w:w="1038"/>
          </w:tcPr>
          <w:p>
            <w:pPr>
              <w:pStyle w:val="null3"/>
            </w:pPr>
            <w:r>
              <w:rPr/>
              <w:t>★</w:t>
            </w:r>
          </w:p>
        </w:tc>
        <w:tc>
          <w:tcPr>
            <w:tcW w:type="dxa" w:w="1038"/>
          </w:tcPr>
          <w:p>
            <w:pPr>
              <w:pStyle w:val="null3"/>
            </w:pPr>
            <w:r>
              <w:rPr/>
              <w:t>质保服务</w:t>
            </w:r>
          </w:p>
        </w:tc>
        <w:tc>
          <w:tcPr>
            <w:tcW w:type="dxa" w:w="1038"/>
          </w:tcPr>
          <w:p/>
        </w:tc>
        <w:tc>
          <w:tcPr>
            <w:tcW w:type="dxa" w:w="1038"/>
          </w:tcPr>
          <w:p>
            <w:pPr>
              <w:pStyle w:val="null3"/>
            </w:pPr>
            <w:r>
              <w:rPr/>
              <w:t>1、质量保证期：从双方签署《安装调试验收合格单》起5年。投标人承诺所有硬件质保期内免费保修。 2、根据采购要求、设备需求及服务需求等制定备品备件供应方案（质保期内），并详细列出名称、类型、性能、数量、提供地点、放置地点、服务条款等内容，且必须是原设备厂商提供的原厂全新备件。 3、承诺在质量保证期内提供部分备用设备易损部件长期存放在招标人现场，以便在设备发生故障时能及时更换。 4、承诺原厂商在质保期内提供零配件的安装服务，质量保证期内安装的任何零配件必须是其厂家原产的或是经其认可的；所有的替代零配件必须是新的未使用和未经修复的,除非招标人提供书面许可，否则不可使用此范围外的其他（非新的）配件。</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10</w:t>
            </w:r>
          </w:p>
        </w:tc>
        <w:tc>
          <w:tcPr>
            <w:tcW w:type="dxa" w:w="1038"/>
          </w:tcPr>
          <w:p/>
        </w:tc>
        <w:tc>
          <w:tcPr>
            <w:tcW w:type="dxa" w:w="1038"/>
          </w:tcPr>
          <w:p>
            <w:pPr>
              <w:pStyle w:val="null3"/>
            </w:pPr>
            <w:r>
              <w:rPr/>
              <w:t>★</w:t>
            </w:r>
          </w:p>
        </w:tc>
        <w:tc>
          <w:tcPr>
            <w:tcW w:type="dxa" w:w="1038"/>
          </w:tcPr>
          <w:p>
            <w:pPr>
              <w:pStyle w:val="null3"/>
            </w:pPr>
            <w:r>
              <w:rPr/>
              <w:t>技术支持服务</w:t>
            </w:r>
          </w:p>
        </w:tc>
        <w:tc>
          <w:tcPr>
            <w:tcW w:type="dxa" w:w="1038"/>
          </w:tcPr>
          <w:p/>
        </w:tc>
        <w:tc>
          <w:tcPr>
            <w:tcW w:type="dxa" w:w="1038"/>
          </w:tcPr>
          <w:p>
            <w:pPr>
              <w:pStyle w:val="null3"/>
            </w:pPr>
            <w:r>
              <w:rPr/>
              <w:t>1、投标人承诺5年原厂软硬件技术支持服务：提供5年5×8×4小时原厂软硬件技术支持服务。硬件原厂制造商承诺所有硬件过免费保修期后按原价维修（按投标货物价格数量表所列价格，更换零部件的按合同签订时的零部件价格），响应速度同保修期响应速度。 2、投标人承诺提供7*24小时互联网/电子邮件技术支持、7*24小时远程电话支持；对招标人提出的预防性维护要求应在2小时内做出实质性响应，及时解决系统运行中的问题。对招标人提出的故障性维护要求应在0.5小时内做出实质性响应。（或在招标人要求的期限内及时解决系统运行中的问题。否则，由此而带来的损失，由投标人承担相应责任）。 3、对业务的正常运行造成重大影响的问题，如系统崩溃、无法启动、拒绝连接等，投标人需提供应急方案，方案至少包括以下内容：系统运行过程中如果发生故障，设备故障恢复时间在4小时内；招标人可要求投标人到现场提供服务，投标人必须在2小时内到达现场，故障修复时间应在4小时以内，并确保紧急故障下立即提供现场恢复服务；在接到招标人的故障通知后，若投标人未能按时到达，招标人有权要求乙方赔偿；系统运行过程中如果发生故障，投标人需启动公司的多层技术资源支持，帮助招标人排查问题，直到问题最终获得妥善处理；对于招标人系统的重要问题，投标人至少每天汇报一次问题解决情况；在整个系统设计没有单点故障的情况下，故障恢复期间应确保系统不中断。 4、投标人必须及时向招标人通报本产品中所采用软件产品的升级情况及升级建议，若招标人需要对软件升级，投标人应免费提供升级版本和相应的支持服务。如果因技术投标人未及时提供升级建议而给招标人带来损失，由投标人负责承担相应责任。对于原厂即将不再提供技术支持和维护升级的软件，需至少提前一年书面正式通知招标人。 5、协助招标人完成该产品日常维护工作,具体包括但不限于下述内容：所有设备产品技术支持服务；技术咨询服务；现场技术支持服务；不限次数的现场逻辑变更或配置服务；相关方案编写；产品升级服务（包括bug修复、现有版本升级等）、运行情况检查、性能调优、故障排除及故障排除所需要的原厂备件免费更换（含备件本身），其中，运行情况检查（深度巡检）服务每年至少提供2次，巡检时间由招标人指定；性能调优服务则须根据招标人调优需求来提供。</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11</w:t>
            </w:r>
          </w:p>
        </w:tc>
        <w:tc>
          <w:tcPr>
            <w:tcW w:type="dxa" w:w="1038"/>
          </w:tcPr>
          <w:p/>
        </w:tc>
        <w:tc>
          <w:tcPr>
            <w:tcW w:type="dxa" w:w="1038"/>
          </w:tcPr>
          <w:p>
            <w:pPr>
              <w:pStyle w:val="null3"/>
            </w:pPr>
            <w:r>
              <w:rPr/>
              <w:t>#</w:t>
            </w:r>
          </w:p>
        </w:tc>
        <w:tc>
          <w:tcPr>
            <w:tcW w:type="dxa" w:w="1038"/>
          </w:tcPr>
          <w:p>
            <w:pPr>
              <w:pStyle w:val="null3"/>
            </w:pPr>
            <w:r>
              <w:rPr/>
              <w:t>技术服务团队</w:t>
            </w:r>
          </w:p>
        </w:tc>
        <w:tc>
          <w:tcPr>
            <w:tcW w:type="dxa" w:w="1038"/>
          </w:tcPr>
          <w:p/>
        </w:tc>
        <w:tc>
          <w:tcPr>
            <w:tcW w:type="dxa" w:w="1038"/>
          </w:tcPr>
          <w:p>
            <w:pPr>
              <w:pStyle w:val="null3"/>
            </w:pPr>
            <w:r>
              <w:rPr/>
              <w:t>1、投标人应派遣有经验的技术人员组成项目组完成实施技术服务，包括但不限于文档编写、验证测试、设备安装、软硬件的调试和调优服务等。投标人需提供工作小组成员名单及联系方式（包括电话、手机、传真及电子邮件等），并且确定本项目的项目主管、集成人员、技术支持和售后服务人员，说明每个人的职责和角色，并体现在投标文件中。工作小组至少由5人组成，包括项目经理1人和至少技术人员4名。其中项目经理需8年以上工作经验，至少有两个以上和本项目同等规模的项目管理经验，技术人员需具备三年以上工作经验、相关专业技能和产品认证，技术人员需在投标人有1年以上的工作经验，对所投设备有一定了解，可对故障进行快速分析定位。项目实施过程中主要人员原则上不允许更换，如需更换，必须经招标人同意，且更换的人员必须与被更换人员具有相同的能力。整个项目周期内投标人主动更换项目小组人员不得超过总人数的50%。 2、投标人应安排技术人员，根据投标人需求完成各系统项目技术文档编写工作，包括但不限于规划、设计、实施、测试、上线、运维维护等技术手册。 3、投标人根据招标人需求提供项目组成员名单及联系方式（包括手机及电子邮件等），提供项目组成员资质、在本公司工作年限、社保等证明资料。 4、投标人项目组应协助、配合招标人的工作，按照招标人提出并经招标人同意的技术要求和实施计划要求，配合其开展工程实施工作。在工程实施过程中，服从招标人的统一管理，严格执行相关管理制度和标准规范，协调原广商技术人员参与工程实施。</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12</w:t>
            </w:r>
          </w:p>
        </w:tc>
        <w:tc>
          <w:tcPr>
            <w:tcW w:type="dxa" w:w="1038"/>
          </w:tcPr>
          <w:p/>
        </w:tc>
        <w:tc>
          <w:tcPr>
            <w:tcW w:type="dxa" w:w="1038"/>
          </w:tcPr>
          <w:p>
            <w:pPr>
              <w:pStyle w:val="null3"/>
            </w:pPr>
            <w:r>
              <w:rPr/>
              <w:t>▲</w:t>
            </w:r>
          </w:p>
        </w:tc>
        <w:tc>
          <w:tcPr>
            <w:tcW w:type="dxa" w:w="1038"/>
          </w:tcPr>
          <w:p>
            <w:pPr>
              <w:pStyle w:val="null3"/>
            </w:pPr>
            <w:r>
              <w:rPr/>
              <w:t>产品技术培训</w:t>
            </w:r>
          </w:p>
        </w:tc>
        <w:tc>
          <w:tcPr>
            <w:tcW w:type="dxa" w:w="1038"/>
          </w:tcPr>
          <w:p/>
        </w:tc>
        <w:tc>
          <w:tcPr>
            <w:tcW w:type="dxa" w:w="1038"/>
          </w:tcPr>
          <w:p>
            <w:pPr>
              <w:pStyle w:val="null3"/>
            </w:pPr>
            <w:r>
              <w:rPr/>
              <w:t>承诺针对中标产品进行技术培训，包括但不限于开关机操作、健康检查、管理配置、故障排查等。</w:t>
            </w:r>
          </w:p>
        </w:tc>
        <w:tc>
          <w:tcPr>
            <w:tcW w:type="dxa" w:w="1038"/>
          </w:tcPr>
          <w:p>
            <w:pPr>
              <w:pStyle w:val="null3"/>
            </w:pPr>
            <w:r>
              <w:rPr/>
              <w:t>是</w:t>
            </w:r>
          </w:p>
        </w:tc>
        <w:tc>
          <w:tcPr>
            <w:tcW w:type="dxa" w:w="1038"/>
          </w:tcPr>
          <w:p>
            <w:pPr>
              <w:pStyle w:val="null3"/>
            </w:pPr>
            <w:r>
              <w:rPr/>
              <w:t>提供承诺函并加盖投标人公章。</w:t>
            </w:r>
          </w:p>
        </w:tc>
      </w:tr>
      <w:tr>
        <w:tc>
          <w:tcPr>
            <w:tcW w:type="dxa" w:w="1038"/>
          </w:tcPr>
          <w:p>
            <w:pPr>
              <w:pStyle w:val="null3"/>
            </w:pPr>
            <w:r>
              <w:rPr/>
              <w:t>13</w:t>
            </w:r>
          </w:p>
        </w:tc>
        <w:tc>
          <w:tcPr>
            <w:tcW w:type="dxa" w:w="1038"/>
          </w:tcPr>
          <w:p/>
        </w:tc>
        <w:tc>
          <w:tcPr>
            <w:tcW w:type="dxa" w:w="1038"/>
          </w:tcPr>
          <w:p>
            <w:pPr>
              <w:pStyle w:val="null3"/>
            </w:pPr>
            <w:r>
              <w:rPr/>
              <w:t>▲</w:t>
            </w:r>
          </w:p>
        </w:tc>
        <w:tc>
          <w:tcPr>
            <w:tcW w:type="dxa" w:w="1038"/>
          </w:tcPr>
          <w:p>
            <w:pPr>
              <w:pStyle w:val="null3"/>
            </w:pPr>
            <w:r>
              <w:rPr/>
              <w:t>所投产品案例</w:t>
            </w:r>
          </w:p>
        </w:tc>
        <w:tc>
          <w:tcPr>
            <w:tcW w:type="dxa" w:w="1038"/>
          </w:tcPr>
          <w:p/>
        </w:tc>
        <w:tc>
          <w:tcPr>
            <w:tcW w:type="dxa" w:w="1038"/>
          </w:tcPr>
          <w:p>
            <w:pPr>
              <w:pStyle w:val="null3"/>
            </w:pPr>
            <w:r>
              <w:rPr/>
              <w:t>投标人提供本标段所投产品自2020年1月1日起（以合同签订时间为准）的案例。所投ARM服务器同型号或同系列产品的任一应用案例，单个项目案例不低于20台。</w:t>
            </w:r>
          </w:p>
        </w:tc>
        <w:tc>
          <w:tcPr>
            <w:tcW w:type="dxa" w:w="1038"/>
          </w:tcPr>
          <w:p>
            <w:pPr>
              <w:pStyle w:val="null3"/>
            </w:pPr>
            <w:r>
              <w:rPr/>
              <w:t>是</w:t>
            </w:r>
          </w:p>
        </w:tc>
        <w:tc>
          <w:tcPr>
            <w:tcW w:type="dxa" w:w="1038"/>
          </w:tcPr>
          <w:p>
            <w:pPr>
              <w:pStyle w:val="null3"/>
            </w:pPr>
            <w:r>
              <w:rPr/>
              <w:t>提供案例证明材料（采购合同关键页复印件），并加盖投标人公章。</w:t>
            </w:r>
          </w:p>
        </w:tc>
      </w:tr>
      <w:tr>
        <w:tc>
          <w:tcPr>
            <w:tcW w:type="dxa" w:w="1038"/>
          </w:tcPr>
          <w:p>
            <w:pPr>
              <w:pStyle w:val="null3"/>
            </w:pPr>
            <w:r>
              <w:rPr/>
              <w:t>14</w:t>
            </w:r>
          </w:p>
        </w:tc>
        <w:tc>
          <w:tcPr>
            <w:tcW w:type="dxa" w:w="1038"/>
          </w:tcPr>
          <w:p/>
        </w:tc>
        <w:tc>
          <w:tcPr>
            <w:tcW w:type="dxa" w:w="1038"/>
          </w:tcPr>
          <w:p>
            <w:pPr>
              <w:pStyle w:val="null3"/>
            </w:pPr>
            <w:r>
              <w:rPr/>
              <w:t>▲</w:t>
            </w:r>
          </w:p>
        </w:tc>
        <w:tc>
          <w:tcPr>
            <w:tcW w:type="dxa" w:w="1038"/>
          </w:tcPr>
          <w:p>
            <w:pPr>
              <w:pStyle w:val="null3"/>
            </w:pPr>
            <w:r>
              <w:rPr/>
              <w:t>资质情况</w:t>
            </w:r>
          </w:p>
        </w:tc>
        <w:tc>
          <w:tcPr>
            <w:tcW w:type="dxa" w:w="1038"/>
          </w:tcPr>
          <w:p/>
        </w:tc>
        <w:tc>
          <w:tcPr>
            <w:tcW w:type="dxa" w:w="1038"/>
          </w:tcPr>
          <w:p>
            <w:pPr>
              <w:pStyle w:val="null3"/>
            </w:pPr>
            <w:r>
              <w:rPr/>
              <w:t>投标人所投核心产品原厂商具有ISO9001系列质量管理体系认证、ISO20000服务管理体系认证和ITSS服务资质证明认证。</w:t>
            </w:r>
          </w:p>
        </w:tc>
        <w:tc>
          <w:tcPr>
            <w:tcW w:type="dxa" w:w="1038"/>
          </w:tcPr>
          <w:p>
            <w:pPr>
              <w:pStyle w:val="null3"/>
            </w:pPr>
            <w:r>
              <w:rPr/>
              <w:t>是</w:t>
            </w:r>
          </w:p>
        </w:tc>
        <w:tc>
          <w:tcPr>
            <w:tcW w:type="dxa" w:w="1038"/>
          </w:tcPr>
          <w:p>
            <w:pPr>
              <w:pStyle w:val="null3"/>
            </w:pPr>
            <w:r>
              <w:rPr/>
              <w:t>提供证书复印件。</w:t>
            </w:r>
          </w:p>
        </w:tc>
      </w:tr>
      <w:tr>
        <w:tc>
          <w:tcPr>
            <w:tcW w:type="dxa" w:w="1038"/>
          </w:tcPr>
          <w:p>
            <w:pPr>
              <w:pStyle w:val="null3"/>
            </w:pPr>
            <w:r>
              <w:rPr/>
              <w:t>15</w:t>
            </w:r>
          </w:p>
        </w:tc>
        <w:tc>
          <w:tcPr>
            <w:tcW w:type="dxa" w:w="1038"/>
          </w:tcPr>
          <w:p/>
        </w:tc>
        <w:tc>
          <w:tcPr>
            <w:tcW w:type="dxa" w:w="1038"/>
          </w:tcPr>
          <w:p>
            <w:pPr>
              <w:pStyle w:val="null3"/>
            </w:pPr>
            <w:r>
              <w:rPr/>
              <w:t>▲</w:t>
            </w:r>
          </w:p>
        </w:tc>
        <w:tc>
          <w:tcPr>
            <w:tcW w:type="dxa" w:w="1038"/>
          </w:tcPr>
          <w:p>
            <w:pPr>
              <w:pStyle w:val="null3"/>
            </w:pPr>
            <w:r>
              <w:rPr/>
              <w:t>授权情况</w:t>
            </w:r>
          </w:p>
        </w:tc>
        <w:tc>
          <w:tcPr>
            <w:tcW w:type="dxa" w:w="1038"/>
          </w:tcPr>
          <w:p/>
        </w:tc>
        <w:tc>
          <w:tcPr>
            <w:tcW w:type="dxa" w:w="1038"/>
          </w:tcPr>
          <w:p>
            <w:pPr>
              <w:pStyle w:val="null3"/>
            </w:pPr>
            <w:r>
              <w:rPr/>
              <w:t>1、投标人出具所投产品的原厂商授权书原件，并加盖原厂商公章。 2、投标人出具所投产品的原厂商服务承诺函原件，并加盖原厂商公章。 3、投标人出具所投产品关键芯片（CPU 芯片）的生产厂商对本项目的芯片授权书，并加盖CPU厂商公章。</w:t>
            </w:r>
          </w:p>
        </w:tc>
        <w:tc>
          <w:tcPr>
            <w:tcW w:type="dxa" w:w="1038"/>
          </w:tcPr>
          <w:p>
            <w:pPr>
              <w:pStyle w:val="null3"/>
            </w:pPr>
            <w:r>
              <w:rPr/>
              <w:t>是</w:t>
            </w:r>
          </w:p>
        </w:tc>
        <w:tc>
          <w:tcPr>
            <w:tcW w:type="dxa" w:w="1038"/>
          </w:tcPr>
          <w:p>
            <w:pPr>
              <w:pStyle w:val="null3"/>
            </w:pPr>
            <w:r>
              <w:rPr/>
              <w:t>提供原厂授权或承诺函，并加盖原厂公章。</w:t>
            </w:r>
          </w:p>
        </w:tc>
      </w:tr>
      <w:tr>
        <w:tc>
          <w:tcPr>
            <w:tcW w:type="dxa" w:w="1038"/>
          </w:tcPr>
          <w:p>
            <w:pPr>
              <w:pStyle w:val="null3"/>
            </w:pPr>
            <w:r>
              <w:rPr/>
              <w:t>16</w:t>
            </w:r>
          </w:p>
        </w:tc>
        <w:tc>
          <w:tcPr>
            <w:tcW w:type="dxa" w:w="1038"/>
          </w:tcPr>
          <w:p/>
        </w:tc>
        <w:tc>
          <w:tcPr>
            <w:tcW w:type="dxa" w:w="1038"/>
          </w:tcPr>
          <w:p>
            <w:pPr>
              <w:pStyle w:val="null3"/>
            </w:pPr>
            <w:r>
              <w:rPr/>
              <w:t>▲</w:t>
            </w:r>
          </w:p>
        </w:tc>
        <w:tc>
          <w:tcPr>
            <w:tcW w:type="dxa" w:w="1038"/>
          </w:tcPr>
          <w:p>
            <w:pPr>
              <w:pStyle w:val="null3"/>
            </w:pPr>
            <w:r>
              <w:rPr/>
              <w:t>实施方案</w:t>
            </w:r>
          </w:p>
        </w:tc>
        <w:tc>
          <w:tcPr>
            <w:tcW w:type="dxa" w:w="1038"/>
          </w:tcPr>
          <w:p/>
        </w:tc>
        <w:tc>
          <w:tcPr>
            <w:tcW w:type="dxa" w:w="1038"/>
          </w:tcPr>
          <w:p>
            <w:pPr>
              <w:pStyle w:val="null3"/>
            </w:pPr>
            <w:r>
              <w:rPr/>
              <w:t>投标人提供详细、合理、可行的实施方案，实施方案应包括总体设计方案、实施计划与里程碑、项目质量管理、项目风险管理、售后服务方案等五部分。</w:t>
            </w:r>
          </w:p>
        </w:tc>
        <w:tc>
          <w:tcPr>
            <w:tcW w:type="dxa" w:w="1038"/>
          </w:tcPr>
          <w:p>
            <w:pPr>
              <w:pStyle w:val="null3"/>
            </w:pPr>
            <w:r>
              <w:rPr/>
              <w:t>是</w:t>
            </w:r>
          </w:p>
        </w:tc>
        <w:tc>
          <w:tcPr>
            <w:tcW w:type="dxa" w:w="1038"/>
          </w:tcPr>
          <w:p>
            <w:pPr>
              <w:pStyle w:val="null3"/>
            </w:pPr>
            <w:r>
              <w:rPr/>
              <w:t>提供实施方案，并加盖投标人公章。</w:t>
            </w:r>
          </w:p>
        </w:tc>
      </w:tr>
      <w:tr>
        <w:tc>
          <w:tcPr>
            <w:tcW w:type="dxa" w:w="1038"/>
          </w:tcPr>
          <w:p>
            <w:pPr>
              <w:pStyle w:val="null3"/>
            </w:pPr>
            <w:r>
              <w:rPr/>
              <w:t>17</w:t>
            </w:r>
          </w:p>
        </w:tc>
        <w:tc>
          <w:tcPr>
            <w:tcW w:type="dxa" w:w="1038"/>
          </w:tcPr>
          <w:p/>
        </w:tc>
        <w:tc>
          <w:tcPr>
            <w:tcW w:type="dxa" w:w="1038"/>
          </w:tcPr>
          <w:p>
            <w:pPr>
              <w:pStyle w:val="null3"/>
            </w:pPr>
            <w:r>
              <w:rPr/>
              <w:t>▲</w:t>
            </w:r>
          </w:p>
        </w:tc>
        <w:tc>
          <w:tcPr>
            <w:tcW w:type="dxa" w:w="1038"/>
          </w:tcPr>
          <w:p>
            <w:pPr>
              <w:pStyle w:val="null3"/>
            </w:pPr>
            <w:r>
              <w:rPr/>
              <w:t>售后服务</w:t>
            </w:r>
          </w:p>
        </w:tc>
        <w:tc>
          <w:tcPr>
            <w:tcW w:type="dxa" w:w="1038"/>
          </w:tcPr>
          <w:p/>
        </w:tc>
        <w:tc>
          <w:tcPr>
            <w:tcW w:type="dxa" w:w="1038"/>
          </w:tcPr>
          <w:p>
            <w:pPr>
              <w:pStyle w:val="null3"/>
            </w:pPr>
            <w:r>
              <w:rPr/>
              <w:t>投标人</w:t>
            </w:r>
            <w:r>
              <w:rPr/>
              <w:t>承诺</w:t>
            </w:r>
            <w:r>
              <w:rPr/>
              <w:t>所投产品</w:t>
            </w:r>
            <w:r>
              <w:rPr/>
              <w:t>提供</w:t>
            </w:r>
            <w:r>
              <w:rPr/>
              <w:t>5年原厂维保服务基础上，免费提供更长时间的原厂维保服务。</w:t>
            </w:r>
          </w:p>
        </w:tc>
        <w:tc>
          <w:tcPr>
            <w:tcW w:type="dxa" w:w="1038"/>
          </w:tcPr>
          <w:p>
            <w:pPr>
              <w:pStyle w:val="null3"/>
            </w:pPr>
            <w:r>
              <w:rPr/>
              <w:t>是</w:t>
            </w:r>
          </w:p>
        </w:tc>
        <w:tc>
          <w:tcPr>
            <w:tcW w:type="dxa" w:w="1038"/>
          </w:tcPr>
          <w:p>
            <w:pPr>
              <w:pStyle w:val="null3"/>
            </w:pPr>
            <w:r>
              <w:rPr/>
              <w:t>提供承诺函，并加盖原厂公章。</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到货验收付款</w:t>
            </w:r>
          </w:p>
        </w:tc>
        <w:tc>
          <w:tcPr>
            <w:tcW w:type="dxa" w:w="1384"/>
          </w:tcPr>
          <w:p>
            <w:pPr>
              <w:pStyle w:val="null3"/>
              <w:jc w:val="left"/>
            </w:pPr>
            <w:r>
              <w:rPr/>
              <w:t>合同所列全部货物送达甲方指定地点，甲方对货物进行到货验收，合格后出具《到货验收合格单》，甲方在收到乙方提供的与本次付款金额等值的增值税专用发票后十（10）个工作日内，向乙方支付合同总金额的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初步验收付款</w:t>
            </w:r>
          </w:p>
        </w:tc>
        <w:tc>
          <w:tcPr>
            <w:tcW w:type="dxa" w:w="1384"/>
          </w:tcPr>
          <w:p>
            <w:pPr>
              <w:pStyle w:val="null3"/>
              <w:jc w:val="left"/>
            </w:pPr>
            <w:r>
              <w:rPr/>
              <w:t>合同所列全部货物完成安装、调试等服务，甲方对货物进行初步验收，合格后出具《安装调试验收合格单》，甲方在收到乙方提供的与本次付款金额等值的增值税专用发票后十（10）个工作日内，向乙方支付合同总金额的 40% （百分之四十）。</w:t>
            </w:r>
          </w:p>
        </w:tc>
        <w:tc>
          <w:tcPr>
            <w:tcW w:type="dxa" w:w="1384"/>
          </w:tcPr>
          <w:p>
            <w:pPr>
              <w:pStyle w:val="null3"/>
              <w:jc w:val="left"/>
            </w:pPr>
            <w:r>
              <w:rPr/>
              <w:t>40.00</w:t>
            </w:r>
            <w:r>
              <w:rPr/>
              <w:t>%</w:t>
            </w:r>
          </w:p>
        </w:tc>
        <w:tc>
          <w:tcPr>
            <w:tcW w:type="dxa" w:w="1384"/>
          </w:tcPr>
          <w:p>
            <w:pPr>
              <w:pStyle w:val="null3"/>
              <w:jc w:val="left"/>
            </w:pPr>
            <w:r>
              <w:rPr/>
              <w:t>先票后付</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最终验收付款</w:t>
            </w:r>
          </w:p>
        </w:tc>
        <w:tc>
          <w:tcPr>
            <w:tcW w:type="dxa" w:w="1384"/>
          </w:tcPr>
          <w:p>
            <w:pPr>
              <w:pStyle w:val="null3"/>
              <w:jc w:val="left"/>
            </w:pPr>
            <w:r>
              <w:rPr/>
              <w:t>试运行完成后，甲方对货物进行最终验收，合格后出具《最终验收合格单》，甲方在收到乙方提供的与本次付款金额等值的增值税专用发票后十（10）个工作日内，向乙方支付合同总金额的 30% （百分之三十）。</w:t>
            </w:r>
          </w:p>
        </w:tc>
        <w:tc>
          <w:tcPr>
            <w:tcW w:type="dxa" w:w="1384"/>
          </w:tcPr>
          <w:p>
            <w:pPr>
              <w:pStyle w:val="null3"/>
              <w:jc w:val="left"/>
            </w:pPr>
            <w:r>
              <w:rPr/>
              <w:t>30.00</w:t>
            </w:r>
            <w:r>
              <w:rPr/>
              <w:t>%</w:t>
            </w:r>
          </w:p>
        </w:tc>
        <w:tc>
          <w:tcPr>
            <w:tcW w:type="dxa" w:w="1384"/>
          </w:tcPr>
          <w:p>
            <w:pPr>
              <w:pStyle w:val="null3"/>
              <w:jc w:val="left"/>
            </w:pPr>
            <w:r>
              <w:rPr/>
              <w:t>先票后付</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成方金融科技有限公司</w:t>
      </w:r>
    </w:p>
    <w:p>
      <w:pPr>
        <w:pStyle w:val="null3"/>
      </w:pPr>
      <w:r>
        <w:rPr/>
        <w:t>采购人（需求部门）拟邀请（</w:t>
      </w:r>
      <w:r>
        <w:rPr/>
        <w:t>）</w:t>
      </w:r>
    </w:p>
    <w:p>
      <w:pPr>
        <w:pStyle w:val="null3"/>
      </w:pPr>
      <w:r>
        <w:rPr/>
        <w:t>（2）验收时间</w:t>
      </w:r>
      <w:r>
        <w:rPr>
          <w:u w:val="single"/>
        </w:rPr>
        <w:t>交货时间：合同签订之日后按甲方要求30个工作日内提供所有产品。货物交付后10个工作日内完成到货验收，双方签署《到货验收合格单》。 初步验收时间：设备到货验收并安装调试完成后，甲方进行初步验收，合格后出具《安装调试验收合格单》。自《到货验收合格单》签订之日起，30个工作日内完成初步验收。 最终验收时间：试运行完成后，甲方对货物进行最终验收，合格后出具《最终验收合格单》。自《安装调试验收合格单》签订之日起，180个日历日内完成最终验收。 免费质量保证期：自开具《安装调试验收合格单》后起算起5年。 合同履行期限：自合同签订之日至合同全部权利义务履行完毕之日止。</w:t>
      </w:r>
    </w:p>
    <w:p>
      <w:pPr>
        <w:pStyle w:val="null3"/>
      </w:pPr>
      <w:r>
        <w:rPr/>
        <w:t>（3）验收方式</w:t>
      </w:r>
      <w:r>
        <w:rPr>
          <w:u w:val="single"/>
        </w:rPr>
        <w:t>分阶段验收</w:t>
      </w:r>
    </w:p>
    <w:p>
      <w:pPr>
        <w:pStyle w:val="null3"/>
      </w:pPr>
      <w:r>
        <w:rPr/>
        <w:t>（4）验收程序</w:t>
      </w:r>
      <w:r>
        <w:rPr>
          <w:u w:val="single"/>
        </w:rPr>
        <w:t>到货验收： 货物运抵本合同确定的交货地点后，按照甲方要求，由甲方和乙方根据合同的规定及乙方提交的发货证明，对全部设备的品牌、型号、规格、数量、外型、包装及资料、装箱单、保修单、随箱介质等文件进行开箱检查验收，查验的内容包括货物包装、外观、数量等，如有异议应当场提出；如无异议，参与验收的双方应签署《到货验收合格单》，即为货物正式交付。货物正式交付之前，如果发生丢失、损害或毁坏等风险和费用，应由乙方承担。 货物交付后需在10个工作日内完成到货验收，通过后双方签署《到货验收合格单》。 初步验收（安装调试验收）： 按照甲方要求完成进场、上架、加电测试，确认产品能正常工作。设备上架、加电以及本次项目涉及产品的集成服务可根据甲方需要由乙方完成。所有货物的加电（power on）自检验测试必须在其它测试前成功完成。若自检验不能正常通过，视为产品不合格。 设备安装调试完成后，乙方向甲方提供一份详细的验收报告，包括该产品系统联合调试成功、可正常运转的测量数据和资料，经过甲方认可后，由甲方组织初验。初验合格后，双方签署《安装调试验收合格单》。 自《到货验收合格单》签订之日起，需在30个工作日内完成初步验收。 初步验收完成后，进入不少于3个月不超过6个月的连续试运行。 最终验收： 试运行期满可以进行终验。最终验收合格的条件必须至少满足以下3个要求：（a）已提供了合同的全部产品和资料；（b）试运行时间满足合同要求；（c）性能测试和试运行时出现的问题已被解决。终验合格后，双方签署《最终验收合格单》。 自《安装调试验收合格单》签订之日起，需在180个日历日内完成最终验收。</w:t>
      </w:r>
    </w:p>
    <w:p>
      <w:pPr>
        <w:pStyle w:val="null3"/>
      </w:pPr>
      <w:r>
        <w:rPr/>
        <w:t>（5）验收内容</w:t>
      </w:r>
      <w:r>
        <w:rPr>
          <w:u w:val="single"/>
        </w:rPr>
        <w:t>同（4）</w:t>
      </w:r>
    </w:p>
    <w:p>
      <w:pPr>
        <w:pStyle w:val="null3"/>
      </w:pPr>
      <w:r>
        <w:rPr/>
        <w:t>（6）验收标准</w:t>
      </w:r>
      <w:r>
        <w:rPr>
          <w:u w:val="single"/>
        </w:rPr>
        <w:t>同（4）</w:t>
      </w:r>
    </w:p>
    <w:p>
      <w:pPr>
        <w:pStyle w:val="null3"/>
      </w:pPr>
      <w:r>
        <w:rPr/>
        <w:t>（7）其他事项（如有）</w:t>
      </w:r>
      <w:r>
        <w:rPr>
          <w:u w:val="single"/>
        </w:rPr>
        <w:t>/</w:t>
      </w:r>
      <w:r>
        <w:br/>
      </w:r>
    </w:p>
    <w:p>
      <w:pPr>
        <w:pStyle w:val="null3"/>
        <w:jc w:val="both"/>
      </w:pPr>
      <w:r>
        <w:rPr/>
        <w:t>/</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pPr>
            <w:r>
              <w:rPr/>
              <w:t>技术部分40.00分</w:t>
            </w:r>
          </w:p>
          <w:p>
            <w:pPr>
              <w:pStyle w:val="null3"/>
            </w:pPr>
            <w:r>
              <w:rPr/>
              <w:t>商务部分20.00分</w:t>
            </w:r>
          </w:p>
          <w:p>
            <w:pPr>
              <w:pStyle w:val="null3"/>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vMerge w:val="restart"/>
          </w:tcPr>
          <w:p>
            <w:pPr>
              <w:pStyle w:val="null3"/>
            </w:pPr>
            <w:r>
              <w:rPr/>
              <w:t>技术评审</w:t>
            </w:r>
          </w:p>
        </w:tc>
        <w:tc>
          <w:tcPr>
            <w:tcW w:type="dxa" w:w="2076"/>
          </w:tcPr>
          <w:p>
            <w:pPr>
              <w:pStyle w:val="null3"/>
            </w:pPr>
            <w:r>
              <w:rPr/>
              <w:t>实施方案</w:t>
            </w:r>
          </w:p>
        </w:tc>
        <w:tc>
          <w:tcPr>
            <w:tcW w:type="dxa" w:w="2769"/>
          </w:tcPr>
          <w:p>
            <w:pPr>
              <w:pStyle w:val="null3"/>
            </w:pPr>
            <w:r>
              <w:rPr/>
              <w:t>根据投标人提供的实施方案，就实施方案要素（总体设计方案、实施计划与里程碑、项目质量管理、项目风险管理、售后服务方案等五部分）齐全程度打分： 1.实施方案五部分要素齐全，得3分； 2.实施方案要素缺一部分，得2 分； 3.实施方案要素缺两部分，得1分； 4.实施方案要素缺三部分及以上，或未提供实施方案，得0 分。 本项指标为客观评价，满分3分。</w:t>
            </w:r>
          </w:p>
        </w:tc>
        <w:tc>
          <w:tcPr>
            <w:tcW w:type="dxa" w:w="692"/>
          </w:tcPr>
          <w:p>
            <w:pPr>
              <w:pStyle w:val="null3"/>
              <w:jc w:val="right"/>
            </w:pPr>
            <w:r>
              <w:rPr/>
              <w:t>3.00</w:t>
            </w:r>
          </w:p>
        </w:tc>
        <w:tc>
          <w:tcPr>
            <w:tcW w:type="dxa" w:w="692"/>
          </w:tcPr>
          <w:p>
            <w:pPr>
              <w:pStyle w:val="null3"/>
            </w:pPr>
            <w:r>
              <w:rPr/>
              <w:t>客观</w:t>
            </w:r>
          </w:p>
        </w:tc>
      </w:tr>
      <w:tr>
        <w:tc>
          <w:tcPr>
            <w:tcW w:type="dxa" w:w="692"/>
            <w:vMerge/>
          </w:tcPr>
          <w:p/>
        </w:tc>
        <w:tc>
          <w:tcPr>
            <w:tcW w:type="dxa" w:w="2076"/>
          </w:tcPr>
          <w:p>
            <w:pPr>
              <w:pStyle w:val="null3"/>
            </w:pPr>
            <w:r>
              <w:rPr/>
              <w:t>满足技术指标情况</w:t>
            </w:r>
          </w:p>
        </w:tc>
        <w:tc>
          <w:tcPr>
            <w:tcW w:type="dxa" w:w="2769"/>
          </w:tcPr>
          <w:p>
            <w:pPr>
              <w:pStyle w:val="null3"/>
            </w:pPr>
            <w:r>
              <w:rPr/>
              <w:t>投标人需针对（四）技术商务要求中的（1）技术要求进行逐项应答： （1）不满足任何1条★（星号）条款的投标将被拒绝，不进入下一步评审； （2）每满足1条#（#号）条款的，得2分； （3）每满足1条△（△号）条款的，得1分； 本项最低得0分，最高得27分。</w:t>
            </w:r>
          </w:p>
        </w:tc>
        <w:tc>
          <w:tcPr>
            <w:tcW w:type="dxa" w:w="692"/>
          </w:tcPr>
          <w:p>
            <w:pPr>
              <w:pStyle w:val="null3"/>
              <w:jc w:val="right"/>
            </w:pPr>
            <w:r>
              <w:rPr/>
              <w:t>27.00</w:t>
            </w:r>
          </w:p>
        </w:tc>
        <w:tc>
          <w:tcPr>
            <w:tcW w:type="dxa" w:w="692"/>
          </w:tcPr>
          <w:p>
            <w:pPr>
              <w:pStyle w:val="null3"/>
            </w:pPr>
            <w:r>
              <w:rPr/>
              <w:t>客观</w:t>
            </w:r>
          </w:p>
        </w:tc>
      </w:tr>
      <w:tr>
        <w:tc>
          <w:tcPr>
            <w:tcW w:type="dxa" w:w="692"/>
            <w:vMerge/>
          </w:tcPr>
          <w:p/>
        </w:tc>
        <w:tc>
          <w:tcPr>
            <w:tcW w:type="dxa" w:w="2076"/>
          </w:tcPr>
          <w:p>
            <w:pPr>
              <w:pStyle w:val="null3"/>
            </w:pPr>
            <w:r>
              <w:rPr/>
              <w:t>满足商务指标情况</w:t>
            </w:r>
          </w:p>
        </w:tc>
        <w:tc>
          <w:tcPr>
            <w:tcW w:type="dxa" w:w="2769"/>
          </w:tcPr>
          <w:p>
            <w:pPr>
              <w:pStyle w:val="null3"/>
            </w:pPr>
            <w:r>
              <w:rPr/>
              <w:t>投标人需针对（四）技术商务要求中的（2）商务要求进行逐项应答： （1）不满足任何1条★（星号）条款的投标将被拒绝，不进入下一步评审； （2）每满足1条#（#号）条款的，得2分； （3）每满足1条△（△号）条款的（除商务要求第3、13至17项），得1分。； 本项最低得0分，最高得5分。</w:t>
            </w:r>
          </w:p>
        </w:tc>
        <w:tc>
          <w:tcPr>
            <w:tcW w:type="dxa" w:w="692"/>
          </w:tcPr>
          <w:p>
            <w:pPr>
              <w:pStyle w:val="null3"/>
              <w:jc w:val="right"/>
            </w:pPr>
            <w:r>
              <w:rPr/>
              <w:t>5.00</w:t>
            </w:r>
          </w:p>
        </w:tc>
        <w:tc>
          <w:tcPr>
            <w:tcW w:type="dxa" w:w="692"/>
          </w:tcPr>
          <w:p>
            <w:pPr>
              <w:pStyle w:val="null3"/>
            </w:pPr>
            <w:r>
              <w:rPr/>
              <w:t>客观</w:t>
            </w:r>
          </w:p>
        </w:tc>
      </w:tr>
      <w:tr>
        <w:tc>
          <w:tcPr>
            <w:tcW w:type="dxa" w:w="692"/>
            <w:vMerge/>
          </w:tcPr>
          <w:p/>
        </w:tc>
        <w:tc>
          <w:tcPr>
            <w:tcW w:type="dxa" w:w="2076"/>
          </w:tcPr>
          <w:p>
            <w:pPr>
              <w:pStyle w:val="null3"/>
            </w:pPr>
            <w:r>
              <w:rPr/>
              <w:t>售后服务</w:t>
            </w:r>
          </w:p>
        </w:tc>
        <w:tc>
          <w:tcPr>
            <w:tcW w:type="dxa" w:w="2769"/>
          </w:tcPr>
          <w:p>
            <w:pPr>
              <w:pStyle w:val="null3"/>
            </w:pPr>
            <w:r>
              <w:rPr/>
              <w:t>5年原厂质保服务基础上，所有投标产品每多1年免费原厂质保服务加2.5分，最多得5分。注：需要提供加盖原厂公章的承诺函，否则视为无效。</w:t>
            </w:r>
          </w:p>
        </w:tc>
        <w:tc>
          <w:tcPr>
            <w:tcW w:type="dxa" w:w="692"/>
          </w:tcPr>
          <w:p>
            <w:pPr>
              <w:pStyle w:val="null3"/>
              <w:jc w:val="right"/>
            </w:pPr>
            <w:r>
              <w:rPr/>
              <w:t>5.00</w:t>
            </w:r>
          </w:p>
        </w:tc>
        <w:tc>
          <w:tcPr>
            <w:tcW w:type="dxa" w:w="692"/>
          </w:tcPr>
          <w:p>
            <w:pPr>
              <w:pStyle w:val="null3"/>
            </w:pPr>
            <w:r>
              <w:rPr/>
              <w:t>客观</w:t>
            </w:r>
          </w:p>
        </w:tc>
      </w:tr>
      <w:tr>
        <w:tc>
          <w:tcPr>
            <w:tcW w:type="dxa" w:w="692"/>
            <w:vMerge w:val="restart"/>
          </w:tcPr>
          <w:p>
            <w:pPr>
              <w:pStyle w:val="null3"/>
            </w:pPr>
            <w:r>
              <w:rPr/>
              <w:t>商务评审</w:t>
            </w:r>
          </w:p>
        </w:tc>
        <w:tc>
          <w:tcPr>
            <w:tcW w:type="dxa" w:w="2076"/>
          </w:tcPr>
          <w:p>
            <w:pPr>
              <w:pStyle w:val="null3"/>
            </w:pPr>
            <w:r>
              <w:rPr/>
              <w:t>所投产品案例</w:t>
            </w:r>
          </w:p>
        </w:tc>
        <w:tc>
          <w:tcPr>
            <w:tcW w:type="dxa" w:w="2769"/>
          </w:tcPr>
          <w:p>
            <w:pPr>
              <w:pStyle w:val="null3"/>
            </w:pPr>
            <w:r>
              <w:rPr/>
              <w:t>根据提供本标段所投产品自2020年1月1日起（以合同签订时间为准）的案例情况，进行评分。 1.所投ARM服务器同品牌，同型号或同系列产品的任一应用案例，单个项目案例不低于20台，每有1个案例得2分，最高得8分。 注： 1.同一甲方（同一甲方指的是XXX有限公司与其分公司，即XXX公司及其XXX分公司、XXX 分公司）案例不重复计分，合同乙方可以不是投标人；同一框架协议内所有订单视为一个案例。 2.案例证明材料应包含合同关键页复印件，复印件须能体现采供双方名称、盖章、采购数量、能够体现型号或系列以及性能的产品描述（如合同中未能体现该内容，可以在业绩合同后单独附型号、系列、性能的说明）、服务内容、服务时间等，加盖投标人公章。 3.以上案例均须提供所投设备与应用案例属于“同品牌，同型号或同系列”的原厂说明或证明文件，并加盖原厂公章；如未提供有效的证明材料，或专家无法依据所提供的材料判断是否得分的情况，一律按照不得分处理。</w:t>
            </w:r>
          </w:p>
        </w:tc>
        <w:tc>
          <w:tcPr>
            <w:tcW w:type="dxa" w:w="692"/>
          </w:tcPr>
          <w:p>
            <w:pPr>
              <w:pStyle w:val="null3"/>
              <w:jc w:val="right"/>
            </w:pPr>
            <w:r>
              <w:rPr/>
              <w:t>8.00</w:t>
            </w:r>
          </w:p>
        </w:tc>
        <w:tc>
          <w:tcPr>
            <w:tcW w:type="dxa" w:w="692"/>
          </w:tcPr>
          <w:p>
            <w:pPr>
              <w:pStyle w:val="null3"/>
            </w:pPr>
            <w:r>
              <w:rPr/>
              <w:t>客观</w:t>
            </w:r>
          </w:p>
        </w:tc>
      </w:tr>
      <w:tr>
        <w:tc>
          <w:tcPr>
            <w:tcW w:type="dxa" w:w="692"/>
            <w:vMerge/>
          </w:tcPr>
          <w:p/>
        </w:tc>
        <w:tc>
          <w:tcPr>
            <w:tcW w:type="dxa" w:w="2076"/>
          </w:tcPr>
          <w:p>
            <w:pPr>
              <w:pStyle w:val="null3"/>
            </w:pPr>
            <w:r>
              <w:rPr/>
              <w:t>资质情况</w:t>
            </w:r>
          </w:p>
        </w:tc>
        <w:tc>
          <w:tcPr>
            <w:tcW w:type="dxa" w:w="2769"/>
          </w:tcPr>
          <w:p>
            <w:pPr>
              <w:pStyle w:val="null3"/>
            </w:pPr>
            <w:r>
              <w:rPr/>
              <w:t>（1）所投核心产品原厂商具有ISO9001系列质量管理体系认证和ISO20000服务管理体系认证，每有1个有效证书，得1分，本项最高得2分； （2）投标人具备ITSS服务资质证明认证，得2分。 注：须提供证书复印件，否则视为无效。</w:t>
            </w:r>
          </w:p>
        </w:tc>
        <w:tc>
          <w:tcPr>
            <w:tcW w:type="dxa" w:w="692"/>
          </w:tcPr>
          <w:p>
            <w:pPr>
              <w:pStyle w:val="null3"/>
              <w:jc w:val="right"/>
            </w:pPr>
            <w:r>
              <w:rPr/>
              <w:t>4.00</w:t>
            </w:r>
          </w:p>
        </w:tc>
        <w:tc>
          <w:tcPr>
            <w:tcW w:type="dxa" w:w="692"/>
          </w:tcPr>
          <w:p>
            <w:pPr>
              <w:pStyle w:val="null3"/>
            </w:pPr>
            <w:r>
              <w:rPr/>
              <w:t>客观</w:t>
            </w:r>
          </w:p>
        </w:tc>
      </w:tr>
      <w:tr>
        <w:tc>
          <w:tcPr>
            <w:tcW w:type="dxa" w:w="692"/>
            <w:vMerge/>
          </w:tcPr>
          <w:p/>
        </w:tc>
        <w:tc>
          <w:tcPr>
            <w:tcW w:type="dxa" w:w="2076"/>
          </w:tcPr>
          <w:p>
            <w:pPr>
              <w:pStyle w:val="null3"/>
            </w:pPr>
            <w:r>
              <w:rPr/>
              <w:t>授权情况</w:t>
            </w:r>
          </w:p>
        </w:tc>
        <w:tc>
          <w:tcPr>
            <w:tcW w:type="dxa" w:w="2769"/>
          </w:tcPr>
          <w:p>
            <w:pPr>
              <w:pStyle w:val="null3"/>
            </w:pPr>
            <w:r>
              <w:rPr/>
              <w:t>（1）投标人如出具所投产品的原厂商授权书原件，并加盖原厂商公章，得2分，否则0分； （2）投标人如出具所投产品的原厂商服务承诺函原件，并加盖原厂商公章，得2分，否则0分；（3）投标人如出具所投产品关键芯片（CPU 芯片）的生产厂商对本项目的芯片授权书，并加盖CPU厂商公章，得3分，否则0分。</w:t>
            </w:r>
          </w:p>
        </w:tc>
        <w:tc>
          <w:tcPr>
            <w:tcW w:type="dxa" w:w="692"/>
          </w:tcPr>
          <w:p>
            <w:pPr>
              <w:pStyle w:val="null3"/>
              <w:jc w:val="right"/>
            </w:pPr>
            <w:r>
              <w:rPr/>
              <w:t>7.00</w:t>
            </w:r>
          </w:p>
        </w:tc>
        <w:tc>
          <w:tcPr>
            <w:tcW w:type="dxa" w:w="692"/>
          </w:tcPr>
          <w:p>
            <w:pPr>
              <w:pStyle w:val="null3"/>
            </w:pPr>
            <w:r>
              <w:rPr/>
              <w:t>客观</w:t>
            </w:r>
          </w:p>
        </w:tc>
      </w:tr>
      <w:tr>
        <w:tc>
          <w:tcPr>
            <w:tcW w:type="dxa" w:w="692"/>
            <w:vMerge/>
          </w:tcPr>
          <w:p/>
        </w:tc>
        <w:tc>
          <w:tcPr>
            <w:tcW w:type="dxa" w:w="2076"/>
          </w:tcPr>
          <w:p>
            <w:pPr>
              <w:pStyle w:val="null3"/>
            </w:pPr>
            <w:r>
              <w:rPr/>
              <w:t>环保要求</w:t>
            </w:r>
          </w:p>
        </w:tc>
        <w:tc>
          <w:tcPr>
            <w:tcW w:type="dxa" w:w="2769"/>
          </w:tcPr>
          <w:p>
            <w:pPr>
              <w:pStyle w:val="null3"/>
            </w:pPr>
            <w:r>
              <w:rPr/>
              <w:t>根据《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国家市场监督管理总局公告16号文有关规定， 服务器属于《环境标志产品政府采购品目清单》中产品， 提供了投标产品获得国家确定的认证机构出具的、处于有效期内的环境标志产品认证证书的，得 1 分，否则得 0 分。 注:投标人须提供其所投产品有效认证证书复印件并加盖投标人公章，否则不予认可。 说明: 1.在本处提供的证明材料如与投标人所投产品内容(品牌、型号、规格等)不符，视为无效。 2.如提供虚假材料，投标人须承担相应法律责任。 3.环境标志产品品目清单登陆中国政府采购网(www.ccgp.gov.cn)查询关于印发环境标志产品政府采购品目清单的通知(财库〔2019〕18 号)。</w:t>
            </w:r>
          </w:p>
        </w:tc>
        <w:tc>
          <w:tcPr>
            <w:tcW w:type="dxa" w:w="692"/>
          </w:tcPr>
          <w:p>
            <w:pPr>
              <w:pStyle w:val="null3"/>
              <w:jc w:val="right"/>
            </w:pPr>
            <w:r>
              <w:rPr/>
              <w:t>1.00</w:t>
            </w:r>
          </w:p>
        </w:tc>
        <w:tc>
          <w:tcPr>
            <w:tcW w:type="dxa" w:w="692"/>
          </w:tcPr>
          <w:p>
            <w:pPr>
              <w:pStyle w:val="null3"/>
            </w:pPr>
            <w:r>
              <w:rPr/>
              <w:t>客观</w:t>
            </w:r>
          </w:p>
        </w:tc>
      </w:tr>
      <w:tr>
        <w:tc>
          <w:tcPr>
            <w:tcW w:type="dxa" w:w="692"/>
          </w:tcPr>
          <w:p>
            <w:pPr>
              <w:pStyle w:val="null3"/>
            </w:pPr>
            <w:r>
              <w:rPr/>
              <w:t>价格分</w:t>
            </w:r>
          </w:p>
        </w:tc>
        <w:tc>
          <w:tcPr>
            <w:tcW w:type="dxa" w:w="2076"/>
          </w:tcPr>
          <w:p>
            <w:pPr>
              <w:pStyle w:val="null3"/>
            </w:pPr>
            <w:r>
              <w:rPr/>
              <w:t>价格分</w:t>
            </w:r>
          </w:p>
        </w:tc>
        <w:tc>
          <w:tcPr>
            <w:tcW w:type="dxa" w:w="2769"/>
          </w:tcPr>
          <w:p>
            <w:pPr>
              <w:pStyle w:val="null3"/>
            </w:pPr>
            <w:r>
              <w:rPr/>
              <w:t>按如下公式计算得出各投标人的价格得分： 报价得分=（评分基准价/投标报价）×40，得分保留小数点后两位。 注：满足招标文件要求且投标人价格最低的投标报价为评分基准价。</w:t>
            </w:r>
          </w:p>
        </w:tc>
        <w:tc>
          <w:tcPr>
            <w:tcW w:type="dxa" w:w="692"/>
          </w:tcPr>
          <w:p>
            <w:pPr>
              <w:pStyle w:val="null3"/>
              <w:jc w:val="right"/>
            </w:pPr>
            <w:r>
              <w:rPr/>
              <w:t>40.00</w:t>
            </w:r>
          </w:p>
        </w:tc>
        <w:tc>
          <w:tcPr>
            <w:tcW w:type="dxa" w:w="692"/>
          </w:tcPr>
          <w:p>
            <w:pPr>
              <w:pStyle w:val="null3"/>
            </w:pPr>
            <w:r>
              <w:rPr/>
              <w:t>客观</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详见附件：技术条款第131条证明文件</w:t>
      </w:r>
    </w:p>
    <w:p>
      <w:pPr>
        <w:pStyle w:val="null3"/>
        <w:ind w:firstLine="960"/>
      </w:pPr>
      <w:r>
        <w:rPr/>
        <w:t>详见附件：技术条款第145条证明文件</w:t>
      </w:r>
    </w:p>
    <w:p>
      <w:pPr>
        <w:pStyle w:val="null3"/>
        <w:ind w:firstLine="960"/>
      </w:pPr>
      <w:r>
        <w:rPr/>
        <w:t>详见附件：商务条款第3条证明文件</w:t>
      </w:r>
    </w:p>
    <w:p>
      <w:pPr>
        <w:pStyle w:val="null3"/>
        <w:ind w:firstLine="960"/>
      </w:pPr>
      <w:r>
        <w:rPr/>
        <w:t>详见附件：商务条款第4条证明文件</w:t>
      </w:r>
    </w:p>
    <w:p>
      <w:pPr>
        <w:pStyle w:val="null3"/>
        <w:ind w:firstLine="960"/>
      </w:pPr>
      <w:r>
        <w:rPr/>
        <w:t>详见附件：商务条款第9条证明文件</w:t>
      </w:r>
    </w:p>
    <w:p>
      <w:pPr>
        <w:pStyle w:val="null3"/>
        <w:ind w:firstLine="960"/>
      </w:pPr>
      <w:r>
        <w:rPr/>
        <w:t>详见附件：商务条款第10条证明文件</w:t>
      </w:r>
    </w:p>
    <w:p>
      <w:pPr>
        <w:pStyle w:val="null3"/>
        <w:ind w:firstLine="960"/>
      </w:pPr>
      <w:r>
        <w:rPr/>
        <w:t>详见附件：商务条款第11条证明文件</w:t>
      </w:r>
    </w:p>
    <w:p>
      <w:pPr>
        <w:pStyle w:val="null3"/>
        <w:ind w:firstLine="960"/>
      </w:pPr>
      <w:r>
        <w:rPr/>
        <w:t>详见附件：商务条款第12条证明文件</w:t>
      </w:r>
    </w:p>
    <w:p>
      <w:pPr>
        <w:pStyle w:val="null3"/>
        <w:ind w:firstLine="960"/>
      </w:pPr>
      <w:r>
        <w:rPr/>
        <w:t>详见附件：商务条款第13条证明文件</w:t>
      </w:r>
    </w:p>
    <w:p>
      <w:pPr>
        <w:pStyle w:val="null3"/>
        <w:ind w:firstLine="960"/>
      </w:pPr>
      <w:r>
        <w:rPr/>
        <w:t>详见附件：商务条款第14条证明文件</w:t>
      </w:r>
    </w:p>
    <w:p>
      <w:pPr>
        <w:pStyle w:val="null3"/>
        <w:ind w:firstLine="960"/>
      </w:pPr>
      <w:r>
        <w:rPr/>
        <w:t>详见附件：商务条款第15条证明文件</w:t>
      </w:r>
    </w:p>
    <w:p>
      <w:pPr>
        <w:pStyle w:val="null3"/>
        <w:ind w:firstLine="960"/>
      </w:pPr>
      <w:r>
        <w:rPr/>
        <w:t>详见附件：商务条款第16条证明文件</w:t>
      </w:r>
    </w:p>
    <w:p>
      <w:pPr>
        <w:pStyle w:val="null3"/>
        <w:ind w:firstLine="960"/>
      </w:pPr>
      <w:r>
        <w:rPr/>
        <w:t>详见附件：商务条款第17条证明文件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楷体" w:hAnsi="楷体" w:cs="楷体" w:eastAsia="楷体"/>
          <w:sz w:val="52"/>
          <w:b/>
        </w:rPr>
        <w:t>成方</w:t>
      </w:r>
      <w:r>
        <w:rPr>
          <w:rFonts w:ascii="楷体" w:hAnsi="楷体" w:cs="楷体" w:eastAsia="楷体"/>
          <w:sz w:val="52"/>
          <w:b/>
        </w:rPr>
        <w:t>金融科技有限公司</w:t>
      </w:r>
      <w:r>
        <w:br/>
      </w:r>
      <w:r>
        <w:rPr>
          <w:rFonts w:ascii="calibri" w:hAnsi="calibri" w:cs="calibri" w:eastAsia="calibri"/>
          <w:sz w:val="52"/>
          <w:b/>
        </w:rPr>
        <w:t>ARM</w:t>
      </w:r>
      <w:r>
        <w:rPr>
          <w:rFonts w:ascii="楷体" w:hAnsi="楷体" w:cs="楷体" w:eastAsia="楷体"/>
          <w:sz w:val="52"/>
          <w:b/>
        </w:rPr>
        <w:t>服务器采购</w:t>
      </w:r>
      <w:r>
        <w:rPr>
          <w:rFonts w:ascii="楷体" w:hAnsi="楷体" w:cs="楷体" w:eastAsia="楷体"/>
          <w:sz w:val="52"/>
          <w:b/>
        </w:rPr>
        <w:t>项目</w:t>
      </w:r>
      <w:r>
        <w:br/>
      </w:r>
      <w:r>
        <w:rPr>
          <w:rFonts w:ascii="楷体" w:hAnsi="楷体" w:cs="楷体" w:eastAsia="楷体"/>
          <w:sz w:val="52"/>
          <w:b/>
        </w:rPr>
        <w:t>采购合同</w:t>
      </w:r>
    </w:p>
    <w:p>
      <w:pPr>
        <w:pStyle w:val="null3"/>
        <w:jc w:val="center"/>
      </w:pPr>
      <w:r>
        <w:rPr>
          <w:rFonts w:ascii="仿宋" w:hAnsi="仿宋" w:cs="仿宋" w:eastAsia="仿宋"/>
          <w:sz w:val="32"/>
        </w:rPr>
        <w:t>合同编号：</w:t>
      </w:r>
      <w:r>
        <w:rPr>
          <w:rFonts w:ascii="仿宋" w:hAnsi="仿宋" w:cs="仿宋" w:eastAsia="仿宋"/>
          <w:sz w:val="32"/>
        </w:rPr>
        <w:t>PT</w:t>
      </w:r>
      <w:r>
        <w:rPr>
          <w:rFonts w:ascii="仿宋" w:hAnsi="仿宋" w:cs="仿宋" w:eastAsia="仿宋"/>
          <w:sz w:val="32"/>
        </w:rPr>
        <w:t>202</w:t>
      </w:r>
      <w:r>
        <w:rPr>
          <w:rFonts w:ascii="仿宋" w:hAnsi="仿宋" w:cs="仿宋" w:eastAsia="仿宋"/>
          <w:sz w:val="32"/>
        </w:rPr>
        <w:t>X</w:t>
      </w:r>
      <w:r>
        <w:rPr>
          <w:rFonts w:ascii="仿宋" w:hAnsi="仿宋" w:cs="仿宋" w:eastAsia="仿宋"/>
          <w:sz w:val="32"/>
        </w:rPr>
        <w:t>0</w:t>
      </w:r>
      <w:r>
        <w:rPr>
          <w:rFonts w:ascii="仿宋" w:hAnsi="仿宋" w:cs="仿宋" w:eastAsia="仿宋"/>
          <w:sz w:val="32"/>
        </w:rPr>
        <w:t>XX</w:t>
      </w:r>
    </w:p>
    <w:p>
      <w:pPr>
        <w:pStyle w:val="null3"/>
        <w:jc w:val="center"/>
      </w:pPr>
      <w:r>
        <w:rPr>
          <w:rFonts w:ascii="仿宋" w:hAnsi="仿宋" w:cs="仿宋" w:eastAsia="仿宋"/>
          <w:sz w:val="30"/>
          <w:b/>
        </w:rPr>
        <w:t>甲方：成方金融科技有限公司</w:t>
      </w:r>
    </w:p>
    <w:p>
      <w:pPr>
        <w:pStyle w:val="null3"/>
        <w:jc w:val="center"/>
      </w:pPr>
      <w:r>
        <w:rPr>
          <w:rFonts w:ascii="仿宋" w:hAnsi="仿宋" w:cs="仿宋" w:eastAsia="仿宋"/>
          <w:sz w:val="30"/>
          <w:b/>
        </w:rPr>
        <w:t>乙方：</w:t>
      </w:r>
    </w:p>
    <w:p>
      <w:pPr>
        <w:pStyle w:val="null3"/>
      </w:pPr>
      <w:r>
        <w:rPr>
          <w:rFonts w:ascii="仿宋" w:hAnsi="仿宋" w:cs="仿宋" w:eastAsia="仿宋"/>
          <w:sz w:val="24"/>
          <w:b/>
        </w:rPr>
        <w:t>【信息页】</w:t>
      </w:r>
    </w:p>
    <w:p>
      <w:pPr>
        <w:pStyle w:val="null3"/>
        <w:jc w:val="both"/>
      </w:pPr>
      <w:r>
        <w:rPr>
          <w:rFonts w:ascii="仿宋" w:hAnsi="仿宋" w:cs="仿宋" w:eastAsia="仿宋"/>
          <w:sz w:val="24"/>
        </w:rPr>
        <w:t>甲方：成方金融科技有限公司</w:t>
      </w:r>
    </w:p>
    <w:p>
      <w:pPr>
        <w:pStyle w:val="null3"/>
        <w:jc w:val="both"/>
      </w:pPr>
      <w:r>
        <w:rPr>
          <w:rFonts w:ascii="仿宋" w:hAnsi="仿宋" w:cs="仿宋" w:eastAsia="仿宋"/>
          <w:sz w:val="24"/>
        </w:rPr>
        <w:t>法定代表人：罗永忠</w:t>
      </w:r>
    </w:p>
    <w:p>
      <w:pPr>
        <w:pStyle w:val="null3"/>
        <w:jc w:val="both"/>
      </w:pPr>
      <w:r>
        <w:rPr>
          <w:rFonts w:ascii="仿宋" w:hAnsi="仿宋" w:cs="仿宋" w:eastAsia="仿宋"/>
          <w:sz w:val="24"/>
        </w:rPr>
        <w:t>纳税人识别号：</w:t>
      </w:r>
      <w:r>
        <w:rPr>
          <w:rFonts w:ascii="仿宋" w:hAnsi="仿宋" w:cs="仿宋" w:eastAsia="仿宋"/>
          <w:sz w:val="24"/>
        </w:rPr>
        <w:t>91110102MA01TX5Y6Y</w:t>
      </w:r>
    </w:p>
    <w:p>
      <w:pPr>
        <w:pStyle w:val="null3"/>
        <w:jc w:val="both"/>
      </w:pPr>
      <w:r>
        <w:rPr>
          <w:rFonts w:ascii="仿宋" w:hAnsi="仿宋" w:cs="仿宋" w:eastAsia="仿宋"/>
          <w:sz w:val="24"/>
        </w:rPr>
        <w:t>注册地址：北京市西城区德胜门外大街</w:t>
      </w:r>
      <w:r>
        <w:rPr>
          <w:rFonts w:ascii="仿宋" w:hAnsi="仿宋" w:cs="仿宋" w:eastAsia="仿宋"/>
          <w:sz w:val="24"/>
        </w:rPr>
        <w:t>81号11层1101</w:t>
      </w:r>
    </w:p>
    <w:p>
      <w:pPr>
        <w:pStyle w:val="null3"/>
        <w:jc w:val="both"/>
      </w:pPr>
      <w:r>
        <w:rPr>
          <w:rFonts w:ascii="仿宋" w:hAnsi="仿宋" w:cs="仿宋" w:eastAsia="仿宋"/>
          <w:sz w:val="24"/>
        </w:rPr>
        <w:t>联系电话：</w:t>
      </w:r>
      <w:r>
        <w:rPr>
          <w:rFonts w:ascii="仿宋" w:hAnsi="仿宋" w:cs="仿宋" w:eastAsia="仿宋"/>
          <w:sz w:val="24"/>
        </w:rPr>
        <w:t>010-82186527</w:t>
      </w:r>
    </w:p>
    <w:p>
      <w:pPr>
        <w:pStyle w:val="null3"/>
        <w:jc w:val="both"/>
      </w:pPr>
      <w:r>
        <w:rPr>
          <w:rFonts w:ascii="仿宋" w:hAnsi="仿宋" w:cs="仿宋" w:eastAsia="仿宋"/>
          <w:sz w:val="24"/>
        </w:rPr>
        <w:t>开户银行：招商银行股份有限公司北京分行营业部</w:t>
      </w:r>
    </w:p>
    <w:p>
      <w:pPr>
        <w:pStyle w:val="null3"/>
        <w:jc w:val="both"/>
      </w:pPr>
      <w:r>
        <w:rPr>
          <w:rFonts w:ascii="仿宋" w:hAnsi="仿宋" w:cs="仿宋" w:eastAsia="仿宋"/>
          <w:sz w:val="24"/>
        </w:rPr>
        <w:t>银行账号：</w:t>
      </w:r>
      <w:r>
        <w:rPr>
          <w:rFonts w:ascii="仿宋" w:hAnsi="仿宋" w:cs="仿宋" w:eastAsia="仿宋"/>
          <w:sz w:val="24"/>
        </w:rPr>
        <w:t>122912218910201</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法定代表人：</w:t>
      </w:r>
    </w:p>
    <w:p>
      <w:pPr>
        <w:pStyle w:val="null3"/>
        <w:jc w:val="both"/>
      </w:pPr>
      <w:r>
        <w:rPr>
          <w:rFonts w:ascii="仿宋" w:hAnsi="仿宋" w:cs="仿宋" w:eastAsia="仿宋"/>
          <w:sz w:val="24"/>
        </w:rPr>
        <w:t>账户名称：</w:t>
      </w:r>
    </w:p>
    <w:p>
      <w:pPr>
        <w:pStyle w:val="null3"/>
        <w:jc w:val="both"/>
      </w:pPr>
      <w:r>
        <w:rPr>
          <w:rFonts w:ascii="仿宋" w:hAnsi="仿宋" w:cs="仿宋" w:eastAsia="仿宋"/>
          <w:sz w:val="24"/>
        </w:rPr>
        <w:t>开户银行：</w:t>
      </w:r>
    </w:p>
    <w:p>
      <w:pPr>
        <w:pStyle w:val="null3"/>
        <w:jc w:val="both"/>
      </w:pPr>
      <w:r>
        <w:rPr>
          <w:rFonts w:ascii="仿宋" w:hAnsi="仿宋" w:cs="仿宋" w:eastAsia="仿宋"/>
          <w:sz w:val="24"/>
        </w:rPr>
        <w:t>银行账号：</w:t>
      </w:r>
    </w:p>
    <w:p>
      <w:pPr>
        <w:pStyle w:val="null3"/>
        <w:jc w:val="both"/>
      </w:pPr>
      <w:r>
        <w:rPr>
          <w:rFonts w:ascii="仿宋" w:hAnsi="仿宋" w:cs="仿宋" w:eastAsia="仿宋"/>
          <w:sz w:val="24"/>
        </w:rPr>
        <w:t>联</w:t>
      </w:r>
      <w:r>
        <w:rPr>
          <w:rFonts w:ascii="仿宋" w:hAnsi="仿宋" w:cs="仿宋" w:eastAsia="仿宋"/>
          <w:sz w:val="24"/>
        </w:rPr>
        <w:t>系</w:t>
      </w:r>
      <w:r>
        <w:rPr>
          <w:rFonts w:ascii="仿宋" w:hAnsi="仿宋" w:cs="仿宋" w:eastAsia="仿宋"/>
          <w:sz w:val="24"/>
        </w:rPr>
        <w:t>人：</w:t>
      </w:r>
    </w:p>
    <w:p>
      <w:pPr>
        <w:pStyle w:val="null3"/>
        <w:jc w:val="both"/>
      </w:pPr>
      <w:r>
        <w:rPr>
          <w:rFonts w:ascii="仿宋" w:hAnsi="仿宋" w:cs="仿宋" w:eastAsia="仿宋"/>
          <w:sz w:val="24"/>
        </w:rPr>
        <w:t>联系电话：</w:t>
      </w:r>
    </w:p>
    <w:p>
      <w:pPr>
        <w:pStyle w:val="null3"/>
        <w:jc w:val="both"/>
      </w:pPr>
      <w:r>
        <w:rPr>
          <w:rFonts w:ascii="仿宋" w:hAnsi="仿宋" w:cs="仿宋" w:eastAsia="仿宋"/>
          <w:sz w:val="24"/>
        </w:rPr>
        <w:t>联系地址：</w:t>
      </w:r>
    </w:p>
    <w:p>
      <w:pPr>
        <w:pStyle w:val="null3"/>
      </w:pPr>
      <w:r>
        <w:rPr>
          <w:rFonts w:ascii="仿宋" w:hAnsi="仿宋" w:cs="仿宋" w:eastAsia="仿宋"/>
          <w:sz w:val="24"/>
        </w:rPr>
        <w:t>根据《中华人民共和国民法典》及相关法律法规之规定，</w:t>
      </w:r>
      <w:r>
        <w:rPr>
          <w:rFonts w:ascii="仿宋" w:hAnsi="仿宋" w:cs="仿宋" w:eastAsia="仿宋"/>
          <w:sz w:val="24"/>
        </w:rPr>
        <w:t>甲乙双方就</w:t>
      </w:r>
      <w:r>
        <w:rPr>
          <w:rFonts w:ascii="仿宋" w:hAnsi="仿宋" w:cs="仿宋" w:eastAsia="仿宋"/>
          <w:sz w:val="24"/>
        </w:rPr>
        <w:t>成方金融科技有限公司</w:t>
      </w:r>
      <w:r>
        <w:rPr>
          <w:rFonts w:ascii="仿宋" w:hAnsi="仿宋" w:cs="仿宋" w:eastAsia="仿宋"/>
          <w:sz w:val="24"/>
        </w:rPr>
        <w:t>XX采购项目项目（以下简称“本项目”）</w:t>
      </w:r>
      <w:r>
        <w:rPr>
          <w:rFonts w:ascii="仿宋" w:hAnsi="仿宋" w:cs="仿宋" w:eastAsia="仿宋"/>
          <w:sz w:val="24"/>
        </w:rPr>
        <w:t>相关事项，</w:t>
      </w:r>
      <w:r>
        <w:rPr>
          <w:rFonts w:ascii="仿宋" w:hAnsi="仿宋" w:cs="仿宋" w:eastAsia="仿宋"/>
          <w:sz w:val="24"/>
        </w:rPr>
        <w:t>本着平等互利、诚实信用的原则，</w:t>
      </w:r>
      <w:r>
        <w:rPr>
          <w:rFonts w:ascii="仿宋" w:hAnsi="仿宋" w:cs="仿宋" w:eastAsia="仿宋"/>
          <w:sz w:val="24"/>
        </w:rPr>
        <w:t>经协商一致，</w:t>
      </w:r>
      <w:r>
        <w:rPr>
          <w:rFonts w:ascii="仿宋" w:hAnsi="仿宋" w:cs="仿宋" w:eastAsia="仿宋"/>
          <w:sz w:val="24"/>
        </w:rPr>
        <w:t>现授权各自代表按照下述条款签订本合同</w:t>
      </w:r>
      <w:r>
        <w:rPr>
          <w:rFonts w:ascii="仿宋" w:hAnsi="仿宋" w:cs="仿宋" w:eastAsia="仿宋"/>
          <w:sz w:val="24"/>
        </w:rPr>
        <w:t>，以资双方信守执行。</w:t>
      </w:r>
    </w:p>
    <w:p>
      <w:pPr>
        <w:pStyle w:val="null3"/>
        <w:spacing w:before="150"/>
        <w:ind w:firstLine="482"/>
        <w:jc w:val="both"/>
      </w:pPr>
      <w:r>
        <w:rPr>
          <w:rFonts w:ascii="仿宋" w:hAnsi="仿宋" w:cs="仿宋" w:eastAsia="仿宋"/>
          <w:sz w:val="24"/>
          <w:b/>
        </w:rPr>
        <w:t>第一条</w:t>
      </w:r>
      <w:r>
        <w:rPr>
          <w:rFonts w:ascii="仿宋" w:hAnsi="仿宋" w:cs="仿宋" w:eastAsia="仿宋"/>
          <w:sz w:val="24"/>
          <w:b/>
        </w:rPr>
        <w:t>合同的组成</w:t>
      </w:r>
    </w:p>
    <w:p>
      <w:pPr>
        <w:pStyle w:val="null3"/>
        <w:ind w:firstLine="480"/>
        <w:jc w:val="both"/>
      </w:pPr>
      <w:r>
        <w:rPr>
          <w:rFonts w:ascii="仿宋" w:hAnsi="仿宋" w:cs="仿宋" w:eastAsia="仿宋"/>
          <w:sz w:val="24"/>
        </w:rPr>
        <w:t>1.1 下述文件是构成本合同不可分割的部分:</w:t>
      </w:r>
    </w:p>
    <w:p>
      <w:pPr>
        <w:pStyle w:val="null3"/>
        <w:ind w:firstLine="480"/>
        <w:jc w:val="both"/>
      </w:pPr>
      <w:r>
        <w:rPr>
          <w:rFonts w:ascii="仿宋" w:hAnsi="仿宋" w:cs="仿宋" w:eastAsia="仿宋"/>
          <w:sz w:val="24"/>
        </w:rPr>
        <w:t>（</w:t>
      </w:r>
      <w:r>
        <w:rPr>
          <w:rFonts w:ascii="仿宋" w:hAnsi="仿宋" w:cs="仿宋" w:eastAsia="仿宋"/>
          <w:sz w:val="24"/>
        </w:rPr>
        <w:t>1）本合同条款及其所有附件；</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calibri" w:hAnsi="calibri" w:cs="calibri" w:eastAsia="calibri"/>
          <w:sz w:val="21"/>
        </w:rPr>
        <w:t xml:space="preserve"> </w:t>
      </w:r>
      <w:r>
        <w:rPr>
          <w:rFonts w:ascii="仿宋" w:hAnsi="仿宋" w:cs="仿宋" w:eastAsia="仿宋"/>
          <w:sz w:val="24"/>
        </w:rPr>
        <w:t>经双方法定代表人或其授权代表签字并加盖单位公章确认的补充协议。</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）甲方的</w:t>
      </w:r>
      <w:r>
        <w:rPr>
          <w:rFonts w:ascii="仿宋" w:hAnsi="仿宋" w:cs="仿宋" w:eastAsia="仿宋"/>
          <w:sz w:val="24"/>
        </w:rPr>
        <w:t>采购</w:t>
      </w:r>
      <w:r>
        <w:rPr>
          <w:rFonts w:ascii="仿宋" w:hAnsi="仿宋" w:cs="仿宋" w:eastAsia="仿宋"/>
          <w:sz w:val="24"/>
        </w:rPr>
        <w:t>文件及澄清文件；</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）乙方的响应文件及质疑解答文件；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）成交通知书；</w:t>
      </w:r>
    </w:p>
    <w:p>
      <w:pPr>
        <w:pStyle w:val="null3"/>
        <w:ind w:firstLine="480"/>
        <w:jc w:val="both"/>
      </w:pPr>
      <w:r>
        <w:rPr>
          <w:rFonts w:ascii="仿宋" w:hAnsi="仿宋" w:cs="仿宋" w:eastAsia="仿宋"/>
          <w:sz w:val="24"/>
        </w:rPr>
        <w:t>（</w:t>
      </w:r>
      <w:r>
        <w:rPr>
          <w:rFonts w:ascii="仿宋" w:hAnsi="仿宋" w:cs="仿宋" w:eastAsia="仿宋"/>
          <w:sz w:val="24"/>
        </w:rPr>
        <w:t>6</w:t>
      </w:r>
      <w:r>
        <w:rPr>
          <w:rFonts w:ascii="仿宋" w:hAnsi="仿宋" w:cs="仿宋" w:eastAsia="仿宋"/>
          <w:sz w:val="24"/>
        </w:rPr>
        <w:t>）法定代表人授权书；</w:t>
      </w:r>
    </w:p>
    <w:p>
      <w:pPr>
        <w:pStyle w:val="null3"/>
        <w:ind w:firstLine="480"/>
        <w:jc w:val="both"/>
      </w:pPr>
      <w:r>
        <w:rPr>
          <w:rFonts w:ascii="仿宋" w:hAnsi="仿宋" w:cs="仿宋" w:eastAsia="仿宋"/>
          <w:sz w:val="24"/>
        </w:rPr>
        <w:t>（</w:t>
      </w:r>
      <w:r>
        <w:rPr>
          <w:rFonts w:ascii="仿宋" w:hAnsi="仿宋" w:cs="仿宋" w:eastAsia="仿宋"/>
          <w:sz w:val="24"/>
        </w:rPr>
        <w:t>7</w:t>
      </w:r>
      <w:r>
        <w:rPr>
          <w:rFonts w:ascii="仿宋" w:hAnsi="仿宋" w:cs="仿宋" w:eastAsia="仿宋"/>
          <w:sz w:val="24"/>
        </w:rPr>
        <w:t>）双方与合同有关的往来信函、传真经双方法定代表人或其授权代表签字并加盖单位公章确认后</w:t>
      </w:r>
      <w:r>
        <w:rPr>
          <w:rFonts w:ascii="仿宋" w:hAnsi="仿宋" w:cs="仿宋" w:eastAsia="仿宋"/>
          <w:sz w:val="24"/>
        </w:rPr>
        <w:t>，</w:t>
      </w:r>
      <w:r>
        <w:rPr>
          <w:rFonts w:ascii="仿宋" w:hAnsi="仿宋" w:cs="仿宋" w:eastAsia="仿宋"/>
          <w:sz w:val="24"/>
        </w:rPr>
        <w:t>视为本合同的组成部分；</w:t>
      </w:r>
    </w:p>
    <w:p>
      <w:pPr>
        <w:pStyle w:val="null3"/>
        <w:ind w:firstLine="480"/>
        <w:jc w:val="both"/>
      </w:pPr>
      <w:r>
        <w:rPr>
          <w:rFonts w:ascii="仿宋" w:hAnsi="仿宋" w:cs="仿宋" w:eastAsia="仿宋"/>
          <w:sz w:val="24"/>
        </w:rPr>
        <w:t>1.2 如果乙方的响应文件及质疑解答文件内容违背或低于甲方采购文件要求或任何可能导致影响当次采购目的的情形，均应当被视为乙方自动放弃响应文件及质疑解答文件中相应部分而同意以采购文件相应内容为准。如果乙方的响应文件及质疑解答文件内容高于甲方采购文件要求，则以乙方的响应文件及质疑解答文件内容为准。如果合同条款与合同附件有矛盾之处，以合同条款内容为准。如果合同附件之间有矛盾之处，以有利于甲方的附件内容为准。</w:t>
      </w:r>
    </w:p>
    <w:p>
      <w:pPr>
        <w:pStyle w:val="null3"/>
        <w:ind w:firstLine="480"/>
        <w:jc w:val="both"/>
      </w:pPr>
      <w:r>
        <w:rPr>
          <w:rFonts w:ascii="仿宋" w:hAnsi="仿宋" w:cs="仿宋" w:eastAsia="仿宋"/>
          <w:sz w:val="24"/>
        </w:rPr>
        <w:t>1.3 上述合同文件应能够相互解释、相互说明。如合同文件之间出现不一致，除本合同另有约定外，1.1条第（1）款至（6）款的排列顺序</w:t>
      </w:r>
      <w:r>
        <w:rPr>
          <w:rFonts w:ascii="仿宋" w:hAnsi="仿宋" w:cs="仿宋" w:eastAsia="仿宋"/>
          <w:sz w:val="24"/>
        </w:rPr>
        <w:t>即为</w:t>
      </w:r>
      <w:r>
        <w:rPr>
          <w:rFonts w:ascii="仿宋" w:hAnsi="仿宋" w:cs="仿宋" w:eastAsia="仿宋"/>
          <w:sz w:val="24"/>
        </w:rPr>
        <w:t>合同文件的优先解释顺序。</w:t>
      </w:r>
      <w:r>
        <w:rPr>
          <w:rFonts w:ascii="仿宋" w:hAnsi="仿宋" w:cs="仿宋" w:eastAsia="仿宋"/>
          <w:sz w:val="24"/>
        </w:rPr>
        <w:t>若</w:t>
      </w:r>
      <w:r>
        <w:rPr>
          <w:rFonts w:ascii="仿宋" w:hAnsi="仿宋" w:cs="仿宋" w:eastAsia="仿宋"/>
          <w:sz w:val="24"/>
        </w:rPr>
        <w:t>第（</w:t>
      </w:r>
      <w:r>
        <w:rPr>
          <w:rFonts w:ascii="仿宋" w:hAnsi="仿宋" w:cs="仿宋" w:eastAsia="仿宋"/>
          <w:sz w:val="24"/>
        </w:rPr>
        <w:t>2</w:t>
      </w:r>
      <w:r>
        <w:rPr>
          <w:rFonts w:ascii="仿宋" w:hAnsi="仿宋" w:cs="仿宋" w:eastAsia="仿宋"/>
          <w:sz w:val="24"/>
        </w:rPr>
        <w:t>）款中双方达成的补充协议</w:t>
      </w:r>
      <w:r>
        <w:rPr>
          <w:rFonts w:ascii="仿宋" w:hAnsi="仿宋" w:cs="仿宋" w:eastAsia="仿宋"/>
          <w:sz w:val="24"/>
        </w:rPr>
        <w:t>内容</w:t>
      </w:r>
      <w:r>
        <w:rPr>
          <w:rFonts w:ascii="仿宋" w:hAnsi="仿宋" w:cs="仿宋" w:eastAsia="仿宋"/>
          <w:sz w:val="24"/>
        </w:rPr>
        <w:t>与原合同存在不一致，以签订日期在后的为准。</w:t>
      </w:r>
    </w:p>
    <w:p>
      <w:pPr>
        <w:pStyle w:val="null3"/>
        <w:spacing w:before="150"/>
        <w:ind w:firstLine="482"/>
        <w:jc w:val="both"/>
      </w:pPr>
      <w:r>
        <w:rPr>
          <w:rFonts w:ascii="仿宋" w:hAnsi="仿宋" w:cs="仿宋" w:eastAsia="仿宋"/>
          <w:sz w:val="24"/>
          <w:b/>
        </w:rPr>
        <w:t>第二条</w:t>
      </w:r>
      <w:r>
        <w:rPr>
          <w:rFonts w:ascii="仿宋" w:hAnsi="仿宋" w:cs="仿宋" w:eastAsia="仿宋"/>
          <w:sz w:val="24"/>
          <w:b/>
        </w:rPr>
        <w:t>合同标的</w:t>
      </w:r>
    </w:p>
    <w:p>
      <w:pPr>
        <w:pStyle w:val="null3"/>
        <w:ind w:firstLine="480"/>
        <w:jc w:val="both"/>
      </w:pPr>
      <w:r>
        <w:rPr>
          <w:rFonts w:ascii="仿宋" w:hAnsi="仿宋" w:cs="仿宋" w:eastAsia="仿宋"/>
          <w:sz w:val="24"/>
        </w:rPr>
        <w:t>就</w:t>
      </w:r>
      <w:r>
        <w:rPr>
          <w:rFonts w:ascii="仿宋" w:hAnsi="仿宋" w:cs="仿宋" w:eastAsia="仿宋"/>
          <w:sz w:val="24"/>
        </w:rPr>
        <w:t>本</w:t>
      </w:r>
      <w:r>
        <w:rPr>
          <w:rFonts w:ascii="仿宋" w:hAnsi="仿宋" w:cs="仿宋" w:eastAsia="仿宋"/>
          <w:sz w:val="24"/>
        </w:rPr>
        <w:t>项目</w:t>
      </w:r>
      <w:r>
        <w:rPr>
          <w:rFonts w:ascii="仿宋" w:hAnsi="仿宋" w:cs="仿宋" w:eastAsia="仿宋"/>
          <w:sz w:val="24"/>
        </w:rPr>
        <w:t>，乙方</w:t>
      </w:r>
      <w:r>
        <w:rPr>
          <w:rFonts w:ascii="仿宋" w:hAnsi="仿宋" w:cs="仿宋" w:eastAsia="仿宋"/>
          <w:sz w:val="24"/>
        </w:rPr>
        <w:t>向甲方</w:t>
      </w:r>
      <w:r>
        <w:rPr>
          <w:rFonts w:ascii="仿宋" w:hAnsi="仿宋" w:cs="仿宋" w:eastAsia="仿宋"/>
          <w:sz w:val="24"/>
        </w:rPr>
        <w:t>所提供的</w:t>
      </w:r>
      <w:r>
        <w:rPr>
          <w:rFonts w:ascii="仿宋" w:hAnsi="仿宋" w:cs="仿宋" w:eastAsia="仿宋"/>
          <w:sz w:val="24"/>
        </w:rPr>
        <w:t>产品、</w:t>
      </w:r>
      <w:r>
        <w:rPr>
          <w:rFonts w:ascii="仿宋" w:hAnsi="仿宋" w:cs="仿宋" w:eastAsia="仿宋"/>
          <w:sz w:val="24"/>
        </w:rPr>
        <w:t>服务内容及质量要求应满足本合同所规定的规范、服务要求及乙方对甲方的各项承诺。</w:t>
      </w:r>
      <w:r>
        <w:rPr>
          <w:rFonts w:ascii="仿宋" w:hAnsi="仿宋" w:cs="仿宋" w:eastAsia="仿宋"/>
          <w:sz w:val="24"/>
        </w:rPr>
        <w:t>产品及</w:t>
      </w:r>
      <w:r>
        <w:rPr>
          <w:rFonts w:ascii="仿宋" w:hAnsi="仿宋" w:cs="仿宋" w:eastAsia="仿宋"/>
          <w:sz w:val="24"/>
        </w:rPr>
        <w:t>服务具体要求等详见附件采购需求书，如</w:t>
      </w:r>
      <w:r>
        <w:rPr>
          <w:rFonts w:ascii="仿宋" w:hAnsi="仿宋" w:cs="仿宋" w:eastAsia="仿宋"/>
          <w:sz w:val="24"/>
        </w:rPr>
        <w:t>乙方承诺</w:t>
      </w:r>
      <w:r>
        <w:rPr>
          <w:rFonts w:ascii="仿宋" w:hAnsi="仿宋" w:cs="仿宋" w:eastAsia="仿宋"/>
          <w:sz w:val="24"/>
        </w:rPr>
        <w:t>提供更高技术或性能指标的产品或服务，</w:t>
      </w:r>
      <w:r>
        <w:rPr>
          <w:rFonts w:ascii="仿宋" w:hAnsi="仿宋" w:cs="仿宋" w:eastAsia="仿宋"/>
          <w:sz w:val="24"/>
        </w:rPr>
        <w:t>则以乙方承诺</w:t>
      </w:r>
      <w:r>
        <w:rPr>
          <w:rFonts w:ascii="仿宋" w:hAnsi="仿宋" w:cs="仿宋" w:eastAsia="仿宋"/>
          <w:sz w:val="24"/>
        </w:rPr>
        <w:t>为准。</w:t>
      </w:r>
    </w:p>
    <w:p>
      <w:pPr>
        <w:pStyle w:val="null3"/>
        <w:ind w:firstLine="480"/>
        <w:jc w:val="both"/>
      </w:pPr>
      <w:r>
        <w:rPr>
          <w:rFonts w:ascii="仿宋" w:hAnsi="仿宋" w:cs="仿宋" w:eastAsia="仿宋"/>
          <w:sz w:val="24"/>
        </w:rPr>
        <w:t>2</w:t>
      </w:r>
      <w:r>
        <w:rPr>
          <w:rFonts w:ascii="仿宋" w:hAnsi="仿宋" w:cs="仿宋" w:eastAsia="仿宋"/>
          <w:sz w:val="24"/>
        </w:rPr>
        <w:t>.1</w:t>
      </w:r>
      <w:r>
        <w:rPr>
          <w:rFonts w:ascii="仿宋" w:hAnsi="仿宋" w:cs="仿宋" w:eastAsia="仿宋"/>
          <w:sz w:val="24"/>
          <w:b/>
        </w:rPr>
        <w:t>交付时间</w:t>
      </w:r>
      <w:r>
        <w:rPr>
          <w:rFonts w:ascii="仿宋" w:hAnsi="仿宋" w:cs="仿宋" w:eastAsia="仿宋"/>
          <w:sz w:val="24"/>
        </w:rPr>
        <w:t>：</w:t>
      </w:r>
      <w:r>
        <w:rPr>
          <w:rFonts w:ascii="仿宋" w:hAnsi="仿宋" w:cs="仿宋" w:eastAsia="仿宋"/>
          <w:sz w:val="24"/>
        </w:rPr>
        <w:t>乙</w:t>
      </w:r>
      <w:r>
        <w:rPr>
          <w:rFonts w:ascii="仿宋" w:hAnsi="仿宋" w:cs="仿宋" w:eastAsia="仿宋"/>
          <w:sz w:val="24"/>
        </w:rPr>
        <w:t>方应在本合同签订之日起30个工作日内提供所有产品，乙方派专人按照合同要求将货物运至甲方要求的最终目的地并经甲方确认之时，视为货物的交付时间。</w:t>
      </w:r>
    </w:p>
    <w:p>
      <w:pPr>
        <w:pStyle w:val="null3"/>
        <w:ind w:firstLine="480"/>
        <w:jc w:val="both"/>
      </w:pPr>
      <w:r>
        <w:rPr>
          <w:rFonts w:ascii="仿宋" w:hAnsi="仿宋" w:cs="仿宋" w:eastAsia="仿宋"/>
          <w:sz w:val="24"/>
        </w:rPr>
        <w:t xml:space="preserve">2.2 </w:t>
      </w:r>
      <w:r>
        <w:rPr>
          <w:rFonts w:ascii="仿宋" w:hAnsi="仿宋" w:cs="仿宋" w:eastAsia="仿宋"/>
          <w:sz w:val="24"/>
          <w:b/>
        </w:rPr>
        <w:t>交付地点</w:t>
      </w:r>
      <w:r>
        <w:rPr>
          <w:rFonts w:ascii="仿宋" w:hAnsi="仿宋" w:cs="仿宋" w:eastAsia="仿宋"/>
          <w:sz w:val="24"/>
        </w:rPr>
        <w:t>：</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b/>
        </w:rPr>
        <w:t>交付要求</w:t>
      </w:r>
      <w:r>
        <w:rPr>
          <w:rFonts w:ascii="仿宋" w:hAnsi="仿宋" w:cs="仿宋" w:eastAsia="仿宋"/>
          <w:sz w:val="24"/>
        </w:rPr>
        <w:t>：</w:t>
      </w:r>
      <w:r>
        <w:rPr>
          <w:rFonts w:ascii="仿宋" w:hAnsi="仿宋" w:cs="仿宋" w:eastAsia="仿宋"/>
          <w:sz w:val="24"/>
        </w:rPr>
        <w:t>乙方应随同货物交付的同时向甲方提交标明货物内容的明细单以及合同要求的相关文件，包括但不限于合同货物、全部配件、装箱单、生产厂家的检验证书、质量合格证书（由生产厂商签发）、原产地出厂证明文件原件、产品使用说明书、保修单及其它应当随箱的技术资料等。</w:t>
      </w:r>
    </w:p>
    <w:p>
      <w:pPr>
        <w:pStyle w:val="null3"/>
        <w:spacing w:after="150"/>
        <w:ind w:firstLine="480"/>
        <w:jc w:val="both"/>
      </w:pPr>
      <w:r>
        <w:rPr>
          <w:rFonts w:ascii="仿宋" w:hAnsi="仿宋" w:cs="仿宋" w:eastAsia="仿宋"/>
          <w:sz w:val="24"/>
        </w:rPr>
        <w:t>2</w:t>
      </w:r>
      <w:r>
        <w:rPr>
          <w:rFonts w:ascii="仿宋" w:hAnsi="仿宋" w:cs="仿宋" w:eastAsia="仿宋"/>
          <w:sz w:val="24"/>
        </w:rPr>
        <w:t xml:space="preserve">.4 </w:t>
      </w:r>
      <w:r>
        <w:rPr>
          <w:rFonts w:ascii="仿宋" w:hAnsi="仿宋" w:cs="仿宋" w:eastAsia="仿宋"/>
          <w:sz w:val="24"/>
          <w:b/>
        </w:rPr>
        <w:t>本合同</w:t>
      </w:r>
      <w:r>
        <w:rPr>
          <w:rFonts w:ascii="仿宋" w:hAnsi="仿宋" w:cs="仿宋" w:eastAsia="仿宋"/>
          <w:sz w:val="24"/>
          <w:b/>
        </w:rPr>
        <w:t>标的明细如下</w:t>
      </w:r>
      <w:r>
        <w:rPr>
          <w:rFonts w:ascii="仿宋" w:hAnsi="仿宋" w:cs="仿宋" w:eastAsia="仿宋"/>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789"/>
        <w:gridCol w:w="1593"/>
        <w:gridCol w:w="1535"/>
        <w:gridCol w:w="1140"/>
        <w:gridCol w:w="1593"/>
        <w:gridCol w:w="1623"/>
      </w:tblGrid>
      <w:tr>
        <w:tc>
          <w:tcPr>
            <w:tcW w:type="dxa" w:w="7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序号</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设备</w:t>
            </w:r>
          </w:p>
        </w:tc>
        <w:tc>
          <w:tcPr>
            <w:tcW w:type="dxa" w:w="15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品牌、型号</w:t>
            </w:r>
          </w:p>
        </w:tc>
        <w:tc>
          <w:tcPr>
            <w:tcW w:type="dxa" w:w="11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单价（元</w:t>
            </w:r>
            <w:r>
              <w:rPr>
                <w:rFonts w:ascii="仿宋" w:hAnsi="仿宋" w:cs="仿宋" w:eastAsia="仿宋"/>
                <w:sz w:val="24"/>
              </w:rPr>
              <w:t>/台）</w:t>
            </w:r>
          </w:p>
        </w:tc>
        <w:tc>
          <w:tcPr>
            <w:tcW w:type="dxa" w:w="1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小计（元）</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5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总价</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元（含税）</w:t>
            </w:r>
          </w:p>
        </w:tc>
      </w:tr>
      <w:tr>
        <w:tc>
          <w:tcPr>
            <w:tcW w:type="dxa" w:w="7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备注</w:t>
            </w:r>
          </w:p>
        </w:tc>
        <w:tc>
          <w:tcPr>
            <w:tcW w:type="dxa" w:w="1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 w:hAnsi="仿宋" w:cs="仿宋" w:eastAsia="仿宋"/>
          <w:sz w:val="24"/>
          <w:b/>
        </w:rPr>
        <w:t>第</w:t>
      </w:r>
      <w:r>
        <w:rPr>
          <w:rFonts w:ascii="仿宋" w:hAnsi="仿宋" w:cs="仿宋" w:eastAsia="仿宋"/>
          <w:sz w:val="24"/>
          <w:b/>
        </w:rPr>
        <w:t>三</w:t>
      </w:r>
      <w:r>
        <w:rPr>
          <w:rFonts w:ascii="仿宋" w:hAnsi="仿宋" w:cs="仿宋" w:eastAsia="仿宋"/>
          <w:sz w:val="24"/>
          <w:b/>
        </w:rPr>
        <w:t>条</w:t>
      </w:r>
      <w:r>
        <w:rPr>
          <w:rFonts w:ascii="仿宋" w:hAnsi="仿宋" w:cs="仿宋" w:eastAsia="仿宋"/>
          <w:sz w:val="24"/>
          <w:b/>
        </w:rPr>
        <w:t>合同金额及付款方式</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本合同总金额</w:t>
      </w:r>
      <w:r>
        <w:rPr>
          <w:rFonts w:ascii="仿宋" w:hAnsi="仿宋" w:cs="仿宋" w:eastAsia="仿宋"/>
          <w:sz w:val="24"/>
        </w:rPr>
        <w:t>：人民币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元整，大写：人民币</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合同总价为固定不变价，包括税金、包装费、运输费、保险费等与履行本合同义务有关的所有费用，包括但不限于税款、包装费、运输费、劳务费等全部费用。无论合同是否提及，合同总金额均包括了甲方依据本合同应向乙方支付的全部价款，甲方无须额外支付其他任何报酬或费用。</w:t>
      </w:r>
    </w:p>
    <w:p>
      <w:pPr>
        <w:pStyle w:val="null3"/>
        <w:ind w:firstLine="480"/>
        <w:jc w:val="both"/>
      </w:pPr>
      <w:r>
        <w:rPr>
          <w:rFonts w:ascii="仿宋" w:hAnsi="仿宋" w:cs="仿宋" w:eastAsia="仿宋"/>
          <w:sz w:val="24"/>
        </w:rPr>
        <w:t>【如有据实结算部分，请在本项列明，并在</w:t>
      </w:r>
      <w:r>
        <w:rPr>
          <w:rFonts w:ascii="仿宋" w:hAnsi="仿宋" w:cs="仿宋" w:eastAsia="仿宋"/>
          <w:sz w:val="24"/>
        </w:rPr>
        <w:t>3</w:t>
      </w:r>
      <w:r>
        <w:rPr>
          <w:rFonts w:ascii="仿宋" w:hAnsi="仿宋" w:cs="仿宋" w:eastAsia="仿宋"/>
          <w:sz w:val="24"/>
        </w:rPr>
        <w:t>.2</w:t>
      </w:r>
      <w:r>
        <w:rPr>
          <w:rFonts w:ascii="仿宋" w:hAnsi="仿宋" w:cs="仿宋" w:eastAsia="仿宋"/>
          <w:sz w:val="24"/>
        </w:rPr>
        <w:t>中明确相应的验收及付款时间。例如：履约过程中实际发生的</w:t>
      </w:r>
      <w:r>
        <w:rPr>
          <w:rFonts w:ascii="仿宋" w:hAnsi="仿宋" w:cs="仿宋" w:eastAsia="仿宋"/>
          <w:sz w:val="24"/>
        </w:rPr>
        <w:t>XX费用根据甲方验收的数量及本合同第二条约定的单价据实结算，据实结算数量不超过</w:t>
      </w:r>
      <w:r>
        <w:rPr>
          <w:rFonts w:ascii="calibri" w:hAnsi="calibri" w:cs="calibri" w:eastAsia="calibri"/>
          <w:sz w:val="21"/>
          <w:u w:val="single"/>
        </w:rPr>
        <w:t xml:space="preserve">     </w:t>
      </w:r>
      <w:r>
        <w:rPr>
          <w:rFonts w:ascii="仿宋" w:hAnsi="仿宋" w:cs="仿宋" w:eastAsia="仿宋"/>
          <w:sz w:val="24"/>
        </w:rPr>
        <w:t>台，据实结算金额不超过人民币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圆整）。如不涉及请删除此条】</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本合同按如下方式及比例支付：</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.1</w:t>
      </w:r>
      <w:r>
        <w:rPr>
          <w:rFonts w:ascii="calibri" w:hAnsi="calibri" w:cs="calibri" w:eastAsia="calibri"/>
          <w:sz w:val="21"/>
        </w:rPr>
        <w:t xml:space="preserve"> </w:t>
      </w:r>
      <w:r>
        <w:rPr>
          <w:rFonts w:ascii="仿宋" w:hAnsi="仿宋" w:cs="仿宋" w:eastAsia="仿宋"/>
          <w:sz w:val="24"/>
          <w:b/>
        </w:rPr>
        <w:t>第一笔付款</w:t>
      </w:r>
    </w:p>
    <w:p>
      <w:pPr>
        <w:pStyle w:val="null3"/>
        <w:ind w:firstLine="480"/>
        <w:jc w:val="both"/>
      </w:pPr>
      <w:r>
        <w:rPr>
          <w:rFonts w:ascii="仿宋" w:hAnsi="仿宋" w:cs="仿宋" w:eastAsia="仿宋"/>
          <w:sz w:val="24"/>
        </w:rPr>
        <w:t>到货验收：</w:t>
      </w:r>
      <w:r>
        <w:rPr>
          <w:rFonts w:ascii="仿宋" w:hAnsi="仿宋" w:cs="仿宋" w:eastAsia="仿宋"/>
          <w:sz w:val="24"/>
        </w:rPr>
        <w:t>按甲方要求，合同所列全部产品到达甲方指定地点后，甲方对货物进行到货验收，合格后出具《到货验收合格单》。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w:t>
      </w:r>
      <w:r>
        <w:rPr>
          <w:rFonts w:ascii="仿宋" w:hAnsi="仿宋" w:cs="仿宋" w:eastAsia="仿宋"/>
          <w:sz w:val="24"/>
        </w:rPr>
        <w:t>合同总金额的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第二笔付款</w:t>
      </w:r>
    </w:p>
    <w:p>
      <w:pPr>
        <w:pStyle w:val="null3"/>
        <w:ind w:firstLine="480"/>
        <w:jc w:val="both"/>
      </w:pPr>
      <w:r>
        <w:rPr>
          <w:rFonts w:ascii="仿宋" w:hAnsi="仿宋" w:cs="仿宋" w:eastAsia="仿宋"/>
          <w:sz w:val="24"/>
        </w:rPr>
        <w:t>初步验收：合同所列全部产品完成安装、调试等服务，甲方对货物进行设备安装调试验收，合格后出具《安装调试验收合格单》。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个工作日内，向乙方支付合同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40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w:t>
      </w:r>
      <w:r>
        <w:rPr>
          <w:rFonts w:ascii="仿宋" w:hAnsi="仿宋" w:cs="仿宋" w:eastAsia="仿宋"/>
          <w:sz w:val="24"/>
        </w:rPr>
        <w:t>3</w:t>
      </w:r>
      <w:r>
        <w:rPr>
          <w:rFonts w:ascii="calibri" w:hAnsi="calibri" w:cs="calibri" w:eastAsia="calibri"/>
          <w:sz w:val="21"/>
        </w:rPr>
        <w:t xml:space="preserve"> </w:t>
      </w:r>
      <w:r>
        <w:rPr>
          <w:rFonts w:ascii="仿宋" w:hAnsi="仿宋" w:cs="仿宋" w:eastAsia="仿宋"/>
          <w:sz w:val="24"/>
          <w:b/>
        </w:rPr>
        <w:t>第三笔付款</w:t>
      </w:r>
    </w:p>
    <w:p>
      <w:pPr>
        <w:pStyle w:val="null3"/>
        <w:ind w:firstLine="480"/>
        <w:jc w:val="both"/>
      </w:pPr>
      <w:r>
        <w:rPr>
          <w:rFonts w:ascii="仿宋" w:hAnsi="仿宋" w:cs="仿宋" w:eastAsia="仿宋"/>
          <w:sz w:val="24"/>
        </w:rPr>
        <w:t>最终验收</w:t>
      </w:r>
      <w:r>
        <w:rPr>
          <w:rFonts w:ascii="仿宋" w:hAnsi="仿宋" w:cs="仿宋" w:eastAsia="仿宋"/>
          <w:sz w:val="24"/>
          <w:b/>
        </w:rPr>
        <w:t>：</w:t>
      </w:r>
      <w:r>
        <w:rPr>
          <w:rFonts w:ascii="仿宋" w:hAnsi="仿宋" w:cs="仿宋" w:eastAsia="仿宋"/>
          <w:sz w:val="24"/>
        </w:rPr>
        <w:t>设备试运行</w:t>
      </w:r>
      <w:r>
        <w:rPr>
          <w:rFonts w:ascii="仿宋" w:hAnsi="仿宋" w:cs="仿宋" w:eastAsia="仿宋"/>
          <w:sz w:val="24"/>
        </w:rPr>
        <w:t>合格</w:t>
      </w:r>
      <w:r>
        <w:rPr>
          <w:rFonts w:ascii="仿宋" w:hAnsi="仿宋" w:cs="仿宋" w:eastAsia="仿宋"/>
          <w:sz w:val="24"/>
        </w:rPr>
        <w:t>后，甲方对货物进行最终验收，合格后出具《最终验收合格单》。</w:t>
      </w:r>
    </w:p>
    <w:p>
      <w:pPr>
        <w:pStyle w:val="null3"/>
        <w:ind w:firstLine="480"/>
        <w:jc w:val="both"/>
      </w:pPr>
      <w:r>
        <w:rPr>
          <w:rFonts w:ascii="仿宋" w:hAnsi="仿宋" w:cs="仿宋" w:eastAsia="仿宋"/>
          <w:sz w:val="24"/>
        </w:rPr>
        <w:t>甲方收到乙方提供的与本次付款金额等值的增值税专用发票后</w:t>
      </w:r>
      <w:r>
        <w:rPr>
          <w:rFonts w:ascii="仿宋" w:hAnsi="仿宋" w:cs="仿宋" w:eastAsia="仿宋"/>
          <w:sz w:val="24"/>
        </w:rPr>
        <w:t>1</w:t>
      </w:r>
      <w:r>
        <w:rPr>
          <w:rFonts w:ascii="仿宋" w:hAnsi="仿宋" w:cs="仿宋" w:eastAsia="仿宋"/>
          <w:sz w:val="24"/>
        </w:rPr>
        <w:t>0个工作日内，</w:t>
      </w:r>
      <w:r>
        <w:rPr>
          <w:rFonts w:ascii="仿宋" w:hAnsi="仿宋" w:cs="仿宋" w:eastAsia="仿宋"/>
          <w:sz w:val="24"/>
        </w:rPr>
        <w:t>向乙方支付合同</w:t>
      </w:r>
      <w:r>
        <w:rPr>
          <w:rFonts w:ascii="仿宋" w:hAnsi="仿宋" w:cs="仿宋" w:eastAsia="仿宋"/>
          <w:sz w:val="24"/>
        </w:rPr>
        <w:t>总金额</w:t>
      </w:r>
      <w:r>
        <w:rPr>
          <w:rFonts w:ascii="仿宋" w:hAnsi="仿宋" w:cs="仿宋" w:eastAsia="仿宋"/>
          <w:sz w:val="24"/>
        </w:rPr>
        <w:t>的</w:t>
      </w:r>
      <w:r>
        <w:rPr>
          <w:rFonts w:ascii="calibri" w:hAnsi="calibri" w:cs="calibri" w:eastAsia="calibri"/>
          <w:sz w:val="21"/>
          <w:u w:val="single"/>
        </w:rPr>
        <w:t xml:space="preserve">  30  </w:t>
      </w:r>
      <w:r>
        <w:rPr>
          <w:rFonts w:ascii="仿宋" w:hAnsi="仿宋" w:cs="仿宋" w:eastAsia="仿宋"/>
          <w:sz w:val="24"/>
        </w:rPr>
        <w:t>%，</w:t>
      </w:r>
      <w:r>
        <w:rPr>
          <w:rFonts w:ascii="仿宋" w:hAnsi="仿宋" w:cs="仿宋" w:eastAsia="仿宋"/>
          <w:sz w:val="24"/>
        </w:rPr>
        <w:t>即人民币</w:t>
      </w:r>
      <w:r>
        <w:rPr>
          <w:rFonts w:ascii="calibri" w:hAnsi="calibri" w:cs="calibri" w:eastAsia="calibri"/>
          <w:sz w:val="21"/>
          <w:u w:val="single"/>
        </w:rPr>
        <w:t xml:space="preserve">    </w:t>
      </w:r>
      <w:r>
        <w:rPr>
          <w:rFonts w:ascii="仿宋" w:hAnsi="仿宋" w:cs="仿宋" w:eastAsia="仿宋"/>
          <w:sz w:val="24"/>
        </w:rPr>
        <w:t>元整（大写：</w:t>
      </w:r>
      <w:r>
        <w:rPr>
          <w:rFonts w:ascii="calibri" w:hAnsi="calibri" w:cs="calibri" w:eastAsia="calibri"/>
          <w:sz w:val="21"/>
          <w:u w:val="single"/>
        </w:rPr>
        <w:t xml:space="preserve">    </w:t>
      </w:r>
      <w:r>
        <w:rPr>
          <w:rFonts w:ascii="仿宋" w:hAnsi="仿宋" w:cs="仿宋" w:eastAsia="仿宋"/>
          <w:sz w:val="24"/>
        </w:rPr>
        <w:t>圆整）。</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双方的银行账户等信息以本合同信息页提供的为准。任何一方如需改变上述信息，应提前</w:t>
      </w:r>
      <w:r>
        <w:rPr>
          <w:rFonts w:ascii="仿宋" w:hAnsi="仿宋" w:cs="仿宋" w:eastAsia="仿宋"/>
          <w:sz w:val="24"/>
        </w:rPr>
        <w:t>10日书面通知另一方并得到对方确认。如乙方未按本合同规定通知甲方或未获得甲方确认而未收到付款，甲方不再承担付款义务或任何责任。</w:t>
      </w:r>
    </w:p>
    <w:p>
      <w:pPr>
        <w:pStyle w:val="null3"/>
        <w:ind w:firstLine="480"/>
        <w:jc w:val="both"/>
      </w:pPr>
      <w:r>
        <w:rPr>
          <w:rFonts w:ascii="仿宋" w:hAnsi="仿宋" w:cs="仿宋" w:eastAsia="仿宋"/>
          <w:sz w:val="24"/>
        </w:rPr>
        <w:t>3</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如乙方根据本合同约定有责任向甲方支付违约金、赔偿金时，甲方有权直接从上述付款中扣除该等款项并于事后通知乙方，该情形下应当视为甲方已经依约履行了合同约定的付款义务，而所扣乙方的款项金额未达到乙方依照其责任所应当向甲方支付的金额时，乙方仍应向甲方补足。同时，若乙方对甲方的扣款有异议而不能协商解决时，乙方应依照本合同关于解决争议的约定方式解决。但在存在或解决相关争议的期间，乙方不得停滞或减缓其合同的履行，否则因乙方停滞或减缓合同的履行所造成的任何损失均应当向甲方全部赔偿。</w:t>
      </w:r>
    </w:p>
    <w:p>
      <w:pPr>
        <w:pStyle w:val="null3"/>
        <w:spacing w:before="150"/>
        <w:ind w:firstLine="482"/>
        <w:jc w:val="both"/>
      </w:pPr>
      <w:r>
        <w:rPr>
          <w:rFonts w:ascii="仿宋" w:hAnsi="仿宋" w:cs="仿宋" w:eastAsia="仿宋"/>
          <w:sz w:val="24"/>
          <w:b/>
        </w:rPr>
        <w:t>第四条</w:t>
      </w:r>
      <w:r>
        <w:rPr>
          <w:rFonts w:ascii="仿宋" w:hAnsi="仿宋" w:cs="仿宋" w:eastAsia="仿宋"/>
          <w:sz w:val="24"/>
          <w:b/>
        </w:rPr>
        <w:t>质量保证</w:t>
      </w:r>
    </w:p>
    <w:p>
      <w:pPr>
        <w:pStyle w:val="null3"/>
        <w:ind w:firstLine="480"/>
        <w:jc w:val="both"/>
      </w:pPr>
      <w:r>
        <w:rPr>
          <w:rFonts w:ascii="仿宋" w:hAnsi="仿宋" w:cs="仿宋" w:eastAsia="仿宋"/>
          <w:sz w:val="24"/>
        </w:rPr>
        <w:t>4</w:t>
      </w:r>
      <w:r>
        <w:rPr>
          <w:rFonts w:ascii="仿宋" w:hAnsi="仿宋" w:cs="仿宋" w:eastAsia="仿宋"/>
          <w:sz w:val="24"/>
        </w:rPr>
        <w:t>.1 乙方保证其向甲方提供的合同货物为全新的、完整的、未开封的、未使用过的货物，并且保证其性能和质量与合同规定相符。乙方保证其所提供的技术资料是完整的、清晰和准确的，且符合本合同及附件的有关规定。</w:t>
      </w:r>
    </w:p>
    <w:p>
      <w:pPr>
        <w:pStyle w:val="null3"/>
        <w:ind w:firstLine="480"/>
        <w:jc w:val="both"/>
      </w:pPr>
      <w:r>
        <w:rPr>
          <w:rFonts w:ascii="仿宋" w:hAnsi="仿宋" w:cs="仿宋" w:eastAsia="仿宋"/>
          <w:sz w:val="24"/>
        </w:rPr>
        <w:t>4</w:t>
      </w:r>
      <w:r>
        <w:rPr>
          <w:rFonts w:ascii="仿宋" w:hAnsi="仿宋" w:cs="仿宋" w:eastAsia="仿宋"/>
          <w:sz w:val="24"/>
        </w:rPr>
        <w:t>.2 乙方保证提供的货物符合中华人民共和国国家相关标准、相关行业标准、合同技术规范以及原厂商质量标准，并在出厂前通过原厂商质量测试和检验。</w:t>
      </w:r>
    </w:p>
    <w:p>
      <w:pPr>
        <w:pStyle w:val="null3"/>
        <w:ind w:firstLine="480"/>
        <w:jc w:val="both"/>
      </w:pPr>
      <w:r>
        <w:rPr>
          <w:rFonts w:ascii="仿宋" w:hAnsi="仿宋" w:cs="仿宋" w:eastAsia="仿宋"/>
          <w:sz w:val="24"/>
        </w:rPr>
        <w:t>4</w:t>
      </w:r>
      <w:r>
        <w:rPr>
          <w:rFonts w:ascii="仿宋" w:hAnsi="仿宋" w:cs="仿宋" w:eastAsia="仿宋"/>
          <w:sz w:val="24"/>
        </w:rPr>
        <w:t>.3 如果乙方软件升级，甲方将免费获得新软件的许可使用权。</w:t>
      </w:r>
    </w:p>
    <w:p>
      <w:pPr>
        <w:pStyle w:val="null3"/>
        <w:ind w:firstLine="480"/>
        <w:jc w:val="both"/>
      </w:pPr>
      <w:r>
        <w:rPr>
          <w:rFonts w:ascii="仿宋" w:hAnsi="仿宋" w:cs="仿宋" w:eastAsia="仿宋"/>
          <w:sz w:val="24"/>
        </w:rPr>
        <w:t>4</w:t>
      </w:r>
      <w:r>
        <w:rPr>
          <w:rFonts w:ascii="仿宋" w:hAnsi="仿宋" w:cs="仿宋" w:eastAsia="仿宋"/>
          <w:sz w:val="24"/>
        </w:rPr>
        <w:t>.4 乙方保证按照甲方要求及时派出合格的技术人员提供准确、充足的技术服务及必要的技术培训，以满足本合同规定的安装、试运行、性能测试、运转及维护的要求。</w:t>
      </w:r>
      <w:r>
        <w:rPr>
          <w:rFonts w:ascii="仿宋" w:hAnsi="仿宋" w:cs="仿宋" w:eastAsia="仿宋"/>
          <w:sz w:val="24"/>
        </w:rPr>
        <w:t>培训的次数为【】，每次时长为【】，具体日期以甲方通知为准，同时甲方无需支付任何培训费用。</w:t>
      </w:r>
    </w:p>
    <w:p>
      <w:pPr>
        <w:pStyle w:val="null3"/>
        <w:ind w:firstLine="480"/>
        <w:jc w:val="both"/>
      </w:pPr>
      <w:r>
        <w:rPr>
          <w:rFonts w:ascii="仿宋" w:hAnsi="仿宋" w:cs="仿宋" w:eastAsia="仿宋"/>
          <w:sz w:val="24"/>
        </w:rPr>
        <w:t>4</w:t>
      </w:r>
      <w:r>
        <w:rPr>
          <w:rFonts w:ascii="仿宋" w:hAnsi="仿宋" w:cs="仿宋" w:eastAsia="仿宋"/>
          <w:sz w:val="24"/>
        </w:rPr>
        <w:t>.5 乙方应在收到各报修或技术服务要求的通知后，按照服务承诺，质量保证期内免费维修更换有缺陷的货物、部件或提供相应的质量保证期服务；</w:t>
      </w:r>
      <w:r>
        <w:rPr>
          <w:rFonts w:ascii="仿宋" w:hAnsi="仿宋" w:cs="仿宋" w:eastAsia="仿宋"/>
          <w:sz w:val="24"/>
        </w:rPr>
        <w:t>如</w:t>
      </w:r>
      <w:r>
        <w:rPr>
          <w:rFonts w:ascii="仿宋" w:hAnsi="仿宋" w:cs="仿宋" w:eastAsia="仿宋"/>
          <w:sz w:val="24"/>
        </w:rPr>
        <w:t>质量保证期外</w:t>
      </w:r>
      <w:r>
        <w:rPr>
          <w:rFonts w:ascii="仿宋" w:hAnsi="仿宋" w:cs="仿宋" w:eastAsia="仿宋"/>
          <w:sz w:val="24"/>
        </w:rPr>
        <w:t>需乙方</w:t>
      </w:r>
      <w:r>
        <w:rPr>
          <w:rFonts w:ascii="仿宋" w:hAnsi="仿宋" w:cs="仿宋" w:eastAsia="仿宋"/>
          <w:sz w:val="24"/>
        </w:rPr>
        <w:t>提供同等服务，</w:t>
      </w:r>
      <w:r>
        <w:rPr>
          <w:rFonts w:ascii="仿宋" w:hAnsi="仿宋" w:cs="仿宋" w:eastAsia="仿宋"/>
          <w:sz w:val="24"/>
        </w:rPr>
        <w:t>乙方</w:t>
      </w:r>
      <w:r>
        <w:rPr>
          <w:rFonts w:ascii="仿宋" w:hAnsi="仿宋" w:cs="仿宋" w:eastAsia="仿宋"/>
          <w:sz w:val="24"/>
        </w:rPr>
        <w:t>可以收取成本费（服务分项价格应不高于本期合同约定）。对造成甲方损失的，甲方保留索赔的权利。</w:t>
      </w:r>
    </w:p>
    <w:p>
      <w:pPr>
        <w:pStyle w:val="null3"/>
        <w:ind w:firstLine="480"/>
        <w:jc w:val="both"/>
      </w:pPr>
      <w:r>
        <w:rPr>
          <w:rFonts w:ascii="仿宋" w:hAnsi="仿宋" w:cs="仿宋" w:eastAsia="仿宋"/>
          <w:sz w:val="24"/>
        </w:rPr>
        <w:t>4</w:t>
      </w:r>
      <w:r>
        <w:rPr>
          <w:rFonts w:ascii="仿宋" w:hAnsi="仿宋" w:cs="仿宋" w:eastAsia="仿宋"/>
          <w:sz w:val="24"/>
        </w:rPr>
        <w:t>.6 如果乙方在收到报修或技术服务要求的通知后，没有按照服务承诺弥补缺陷，甲方可采取必要的补救措施，但风险和费用应由乙方承担</w:t>
      </w:r>
      <w:r>
        <w:rPr>
          <w:rFonts w:ascii="仿宋" w:hAnsi="仿宋" w:cs="仿宋" w:eastAsia="仿宋"/>
          <w:sz w:val="24"/>
        </w:rPr>
        <w:t>。</w:t>
      </w:r>
      <w:r>
        <w:rPr>
          <w:rFonts w:ascii="仿宋" w:hAnsi="仿宋" w:cs="仿宋" w:eastAsia="仿宋"/>
          <w:sz w:val="24"/>
        </w:rPr>
        <w:t>同时，甲方仍有权根据合同规定向乙方行使其他权利。</w:t>
      </w:r>
    </w:p>
    <w:p>
      <w:pPr>
        <w:pStyle w:val="null3"/>
        <w:ind w:firstLine="480"/>
        <w:jc w:val="both"/>
      </w:pPr>
      <w:r>
        <w:rPr>
          <w:rFonts w:ascii="仿宋" w:hAnsi="仿宋" w:cs="仿宋" w:eastAsia="仿宋"/>
          <w:sz w:val="24"/>
        </w:rPr>
        <w:t>4</w:t>
      </w:r>
      <w:r>
        <w:rPr>
          <w:rFonts w:ascii="仿宋" w:hAnsi="仿宋" w:cs="仿宋" w:eastAsia="仿宋"/>
          <w:sz w:val="24"/>
        </w:rPr>
        <w:t>.7 乙方保证货物不存在任何质量瑕疵和权利瑕疵。</w:t>
      </w:r>
    </w:p>
    <w:p>
      <w:pPr>
        <w:pStyle w:val="null3"/>
        <w:spacing w:before="150"/>
        <w:ind w:firstLine="482"/>
        <w:jc w:val="both"/>
      </w:pPr>
      <w:r>
        <w:rPr>
          <w:rFonts w:ascii="仿宋" w:hAnsi="仿宋" w:cs="仿宋" w:eastAsia="仿宋"/>
          <w:sz w:val="24"/>
          <w:b/>
        </w:rPr>
        <w:t>第五条</w:t>
      </w:r>
      <w:r>
        <w:rPr>
          <w:rFonts w:ascii="仿宋" w:hAnsi="仿宋" w:cs="仿宋" w:eastAsia="仿宋"/>
          <w:sz w:val="24"/>
          <w:b/>
        </w:rPr>
        <w:t>包装及标记</w:t>
      </w:r>
    </w:p>
    <w:p>
      <w:pPr>
        <w:pStyle w:val="null3"/>
        <w:ind w:firstLine="480"/>
        <w:jc w:val="both"/>
      </w:pPr>
      <w:r>
        <w:rPr>
          <w:rFonts w:ascii="仿宋" w:hAnsi="仿宋" w:cs="仿宋" w:eastAsia="仿宋"/>
          <w:sz w:val="24"/>
        </w:rPr>
        <w:t>5</w:t>
      </w:r>
      <w:r>
        <w:rPr>
          <w:rFonts w:ascii="仿宋" w:hAnsi="仿宋" w:cs="仿宋" w:eastAsia="仿宋"/>
          <w:sz w:val="24"/>
        </w:rPr>
        <w:t xml:space="preserve">.1 </w:t>
      </w:r>
      <w:r>
        <w:rPr>
          <w:rFonts w:ascii="仿宋" w:hAnsi="仿宋" w:cs="仿宋" w:eastAsia="仿宋"/>
          <w:sz w:val="24"/>
        </w:rPr>
        <w:t>乙方提供的产品外包装必须小心恰当及坚固，适合长途运输需要，并具有防潮、防湿、防锈、防蚀和防震动的作用，以确保产品不受损，包装费用由乙方自行承担。</w:t>
      </w:r>
    </w:p>
    <w:p>
      <w:pPr>
        <w:pStyle w:val="null3"/>
        <w:ind w:firstLine="480"/>
        <w:jc w:val="both"/>
      </w:pPr>
      <w:r>
        <w:rPr>
          <w:rFonts w:ascii="仿宋" w:hAnsi="仿宋" w:cs="仿宋" w:eastAsia="仿宋"/>
          <w:sz w:val="24"/>
        </w:rPr>
        <w:t>5</w:t>
      </w:r>
      <w:r>
        <w:rPr>
          <w:rFonts w:ascii="仿宋" w:hAnsi="仿宋" w:cs="仿宋" w:eastAsia="仿宋"/>
          <w:sz w:val="24"/>
        </w:rPr>
        <w:t>.2 乙方应以醒目的中文印刷字体在各包装箱上标明通用规范的运输标记或标志，如项目名称、货物名称与合同号以及甲乙双方名称等相关信息。</w:t>
      </w:r>
    </w:p>
    <w:p>
      <w:pPr>
        <w:pStyle w:val="null3"/>
        <w:ind w:firstLine="480"/>
        <w:jc w:val="both"/>
      </w:pPr>
      <w:r>
        <w:rPr>
          <w:rFonts w:ascii="仿宋" w:hAnsi="仿宋" w:cs="仿宋" w:eastAsia="仿宋"/>
          <w:sz w:val="24"/>
        </w:rPr>
        <w:t>5</w:t>
      </w:r>
      <w:r>
        <w:rPr>
          <w:rFonts w:ascii="仿宋" w:hAnsi="仿宋" w:cs="仿宋" w:eastAsia="仿宋"/>
          <w:sz w:val="24"/>
        </w:rPr>
        <w:t>.3 每个箱子侧面应清楚标明交货地点的全称；装箱单应清楚注明每个站点总箱数（如果分站点交货）；乙方应对包装箱内每件辅件进行标签，标明“备件”或“工具”及具体名称，并注明合同号、箱号及安装站。甲方有权不接收未按上述规定包装的合同设备、技术文件</w:t>
      </w:r>
      <w:r>
        <w:rPr>
          <w:rFonts w:ascii="仿宋" w:hAnsi="仿宋" w:cs="仿宋" w:eastAsia="仿宋"/>
          <w:sz w:val="24"/>
        </w:rPr>
        <w:t>等</w:t>
      </w:r>
      <w:r>
        <w:rPr>
          <w:rFonts w:ascii="仿宋" w:hAnsi="仿宋" w:cs="仿宋" w:eastAsia="仿宋"/>
          <w:sz w:val="24"/>
        </w:rPr>
        <w:t>。</w:t>
      </w:r>
    </w:p>
    <w:p>
      <w:pPr>
        <w:pStyle w:val="null3"/>
        <w:ind w:firstLine="480"/>
        <w:jc w:val="both"/>
      </w:pPr>
      <w:r>
        <w:rPr>
          <w:rFonts w:ascii="仿宋" w:hAnsi="仿宋" w:cs="仿宋" w:eastAsia="仿宋"/>
          <w:sz w:val="24"/>
        </w:rPr>
        <w:t>5</w:t>
      </w:r>
      <w:r>
        <w:rPr>
          <w:rFonts w:ascii="仿宋" w:hAnsi="仿宋" w:cs="仿宋" w:eastAsia="仿宋"/>
          <w:sz w:val="24"/>
        </w:rPr>
        <w:t>.4 有关的技术资料如样本、图纸、操作手册、维修指南及服务手册、产品产地证明书、质量保证书和系统操作说明书</w:t>
      </w:r>
      <w:r>
        <w:rPr>
          <w:rFonts w:ascii="仿宋" w:hAnsi="仿宋" w:cs="仿宋" w:eastAsia="仿宋"/>
          <w:sz w:val="24"/>
        </w:rPr>
        <w:t>、保修书</w:t>
      </w:r>
      <w:r>
        <w:rPr>
          <w:rFonts w:ascii="仿宋" w:hAnsi="仿宋" w:cs="仿宋" w:eastAsia="仿宋"/>
          <w:sz w:val="24"/>
        </w:rPr>
        <w:t>等应清晰、正确、完整，并应随同货物一起发运。</w:t>
      </w:r>
    </w:p>
    <w:p>
      <w:pPr>
        <w:pStyle w:val="null3"/>
        <w:spacing w:before="150"/>
        <w:ind w:firstLine="482"/>
        <w:jc w:val="both"/>
      </w:pPr>
      <w:r>
        <w:rPr>
          <w:rFonts w:ascii="仿宋" w:hAnsi="仿宋" w:cs="仿宋" w:eastAsia="仿宋"/>
          <w:sz w:val="24"/>
          <w:b/>
        </w:rPr>
        <w:t>第六条</w:t>
      </w:r>
      <w:r>
        <w:rPr>
          <w:rFonts w:ascii="仿宋" w:hAnsi="仿宋" w:cs="仿宋" w:eastAsia="仿宋"/>
          <w:sz w:val="24"/>
          <w:b/>
        </w:rPr>
        <w:t>货物的验收</w:t>
      </w:r>
    </w:p>
    <w:p>
      <w:pPr>
        <w:pStyle w:val="null3"/>
        <w:ind w:firstLine="480"/>
        <w:jc w:val="both"/>
      </w:pPr>
      <w:r>
        <w:rPr>
          <w:rFonts w:ascii="仿宋" w:hAnsi="仿宋" w:cs="仿宋" w:eastAsia="仿宋"/>
          <w:sz w:val="24"/>
        </w:rPr>
        <w:t xml:space="preserve">6.1 </w:t>
      </w:r>
      <w:r>
        <w:rPr>
          <w:rFonts w:ascii="仿宋" w:hAnsi="仿宋" w:cs="仿宋" w:eastAsia="仿宋"/>
          <w:sz w:val="24"/>
          <w:b/>
        </w:rPr>
        <w:t>到货验收</w:t>
      </w:r>
    </w:p>
    <w:p>
      <w:pPr>
        <w:pStyle w:val="null3"/>
        <w:ind w:firstLine="420"/>
        <w:jc w:val="both"/>
      </w:pPr>
      <w:r>
        <w:rPr>
          <w:rFonts w:ascii="仿宋" w:hAnsi="仿宋" w:cs="仿宋" w:eastAsia="仿宋"/>
          <w:sz w:val="24"/>
        </w:rPr>
        <w:t>（</w:t>
      </w:r>
      <w:r>
        <w:rPr>
          <w:rFonts w:ascii="仿宋" w:hAnsi="仿宋" w:cs="仿宋" w:eastAsia="仿宋"/>
          <w:sz w:val="24"/>
        </w:rPr>
        <w:t>1）货物运抵本合同确定的交货地点后，按照甲方要求，由甲方和乙方根据合同的规定及乙方提交的发货证明，对全部设备的品牌、型号、规格、数量、外形、包装及资料、装箱单、保修单、随箱介质等文件进行开箱检查验收，查验的内容包括货物包装、外观、数量等，如有异议应当场提出；如无异议，参与验收的双方应签署</w:t>
      </w:r>
      <w:r>
        <w:rPr>
          <w:rFonts w:ascii="仿宋" w:hAnsi="仿宋" w:cs="仿宋" w:eastAsia="仿宋"/>
          <w:sz w:val="24"/>
        </w:rPr>
        <w:t>《</w:t>
      </w:r>
      <w:r>
        <w:rPr>
          <w:rFonts w:ascii="仿宋" w:hAnsi="仿宋" w:cs="仿宋" w:eastAsia="仿宋"/>
          <w:sz w:val="24"/>
        </w:rPr>
        <w:t>到货验收合格单》</w:t>
      </w:r>
      <w:r>
        <w:rPr>
          <w:rFonts w:ascii="仿宋" w:hAnsi="仿宋" w:cs="仿宋" w:eastAsia="仿宋"/>
          <w:sz w:val="24"/>
        </w:rPr>
        <w:t>，即为货物正式交付。货物正式交付之前，如果发生丢失、损害或毁坏等风险和费用，应由乙方承担。</w:t>
      </w:r>
    </w:p>
    <w:p>
      <w:pPr>
        <w:pStyle w:val="null3"/>
        <w:ind w:firstLine="480"/>
        <w:jc w:val="both"/>
      </w:pPr>
      <w:r>
        <w:rPr>
          <w:rFonts w:ascii="仿宋" w:hAnsi="仿宋" w:cs="仿宋" w:eastAsia="仿宋"/>
          <w:sz w:val="24"/>
        </w:rPr>
        <w:t>（</w:t>
      </w:r>
      <w:r>
        <w:rPr>
          <w:rFonts w:ascii="仿宋" w:hAnsi="仿宋" w:cs="仿宋" w:eastAsia="仿宋"/>
          <w:sz w:val="24"/>
        </w:rPr>
        <w:t>2）乙方必须保证提供设备是合同签订后按照最新的生产标准出厂的产品</w:t>
      </w:r>
      <w:r>
        <w:rPr>
          <w:rFonts w:ascii="仿宋" w:hAnsi="仿宋" w:cs="仿宋" w:eastAsia="仿宋"/>
          <w:sz w:val="24"/>
        </w:rPr>
        <w:t>,若验货时发现货物数量不足或规格与合同规定不符，或开箱时虽然货物外包装完好无损但箱内货物短缺或损伤，由</w:t>
      </w:r>
      <w:r>
        <w:rPr>
          <w:rFonts w:ascii="仿宋" w:hAnsi="仿宋" w:cs="仿宋" w:eastAsia="仿宋"/>
          <w:sz w:val="24"/>
        </w:rPr>
        <w:t>乙方</w:t>
      </w:r>
      <w:r>
        <w:rPr>
          <w:rFonts w:ascii="仿宋" w:hAnsi="仿宋" w:cs="仿宋" w:eastAsia="仿宋"/>
          <w:sz w:val="24"/>
        </w:rPr>
        <w:t>负责免费解决，</w:t>
      </w:r>
      <w:r>
        <w:rPr>
          <w:rFonts w:ascii="仿宋" w:hAnsi="仿宋" w:cs="仿宋" w:eastAsia="仿宋"/>
          <w:sz w:val="24"/>
        </w:rPr>
        <w:t>甲方</w:t>
      </w:r>
      <w:r>
        <w:rPr>
          <w:rFonts w:ascii="仿宋" w:hAnsi="仿宋" w:cs="仿宋" w:eastAsia="仿宋"/>
          <w:sz w:val="24"/>
        </w:rPr>
        <w:t>保留索赔及退货权利，有权拒绝接收或决定暂时收取该批次货物，并在发现后及时记录，双方当场签字，作为</w:t>
      </w:r>
      <w:r>
        <w:rPr>
          <w:rFonts w:ascii="仿宋" w:hAnsi="仿宋" w:cs="仿宋" w:eastAsia="仿宋"/>
          <w:sz w:val="24"/>
        </w:rPr>
        <w:t>乙方</w:t>
      </w:r>
      <w:r>
        <w:rPr>
          <w:rFonts w:ascii="仿宋" w:hAnsi="仿宋" w:cs="仿宋" w:eastAsia="仿宋"/>
          <w:sz w:val="24"/>
        </w:rPr>
        <w:t>补</w:t>
      </w:r>
      <w:r>
        <w:rPr>
          <w:rFonts w:ascii="仿宋" w:hAnsi="仿宋" w:cs="仿宋" w:eastAsia="仿宋"/>
          <w:sz w:val="24"/>
        </w:rPr>
        <w:t>/换货的依据。</w:t>
      </w:r>
      <w:r>
        <w:rPr>
          <w:rFonts w:ascii="仿宋" w:hAnsi="仿宋" w:cs="仿宋" w:eastAsia="仿宋"/>
          <w:sz w:val="24"/>
        </w:rPr>
        <w:t>乙方</w:t>
      </w:r>
      <w:r>
        <w:rPr>
          <w:rFonts w:ascii="仿宋" w:hAnsi="仿宋" w:cs="仿宋" w:eastAsia="仿宋"/>
          <w:sz w:val="24"/>
        </w:rPr>
        <w:t>应当在</w:t>
      </w:r>
      <w:r>
        <w:rPr>
          <w:rFonts w:ascii="仿宋" w:hAnsi="仿宋" w:cs="仿宋" w:eastAsia="仿宋"/>
          <w:sz w:val="24"/>
        </w:rPr>
        <w:t>10日内补/换货，并按前述各项要求交付及验收。</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货物交付后需在</w:t>
      </w:r>
      <w:r>
        <w:rPr>
          <w:rFonts w:ascii="仿宋" w:hAnsi="仿宋" w:cs="仿宋" w:eastAsia="仿宋"/>
          <w:sz w:val="24"/>
        </w:rPr>
        <w:t>10个工作日内完成到货验收，如通过，双方签署《到货验收合格单》</w:t>
      </w:r>
      <w:r>
        <w:rPr>
          <w:rFonts w:ascii="仿宋" w:hAnsi="仿宋" w:cs="仿宋" w:eastAsia="仿宋"/>
          <w:sz w:val="24"/>
        </w:rPr>
        <w:t>。</w:t>
      </w:r>
    </w:p>
    <w:p>
      <w:pPr>
        <w:pStyle w:val="null3"/>
        <w:ind w:firstLine="420"/>
        <w:jc w:val="both"/>
      </w:pPr>
      <w:r>
        <w:rPr>
          <w:rFonts w:ascii="仿宋" w:hAnsi="仿宋" w:cs="仿宋" w:eastAsia="仿宋"/>
          <w:sz w:val="24"/>
        </w:rPr>
        <w:t xml:space="preserve">6.2 </w:t>
      </w:r>
      <w:r>
        <w:rPr>
          <w:rFonts w:ascii="仿宋" w:hAnsi="仿宋" w:cs="仿宋" w:eastAsia="仿宋"/>
          <w:sz w:val="24"/>
          <w:b/>
        </w:rPr>
        <w:t>初步</w:t>
      </w:r>
      <w:r>
        <w:rPr>
          <w:rFonts w:ascii="仿宋" w:hAnsi="仿宋" w:cs="仿宋" w:eastAsia="仿宋"/>
          <w:sz w:val="24"/>
          <w:b/>
        </w:rPr>
        <w:t>验收</w:t>
      </w:r>
    </w:p>
    <w:p>
      <w:pPr>
        <w:pStyle w:val="null3"/>
        <w:ind w:firstLine="480"/>
        <w:jc w:val="both"/>
      </w:pPr>
      <w:r>
        <w:rPr>
          <w:rFonts w:ascii="仿宋" w:hAnsi="仿宋" w:cs="仿宋" w:eastAsia="仿宋"/>
          <w:sz w:val="24"/>
        </w:rPr>
        <w:t>（</w:t>
      </w:r>
      <w:r>
        <w:rPr>
          <w:rFonts w:ascii="仿宋" w:hAnsi="仿宋" w:cs="仿宋" w:eastAsia="仿宋"/>
          <w:sz w:val="24"/>
        </w:rPr>
        <w:t>1）按照甲方要求完成进场、上架、加电测试。对货物进行加电测试，确认产品能正常工作。设备上架、加电以及本次项目涉及产品的集成服务可根据甲方需要由乙方完成。所有货物的加电（</w:t>
      </w:r>
      <w:r>
        <w:rPr>
          <w:rFonts w:ascii="仿宋" w:hAnsi="仿宋" w:cs="仿宋" w:eastAsia="仿宋"/>
          <w:sz w:val="24"/>
        </w:rPr>
        <w:t>power on）自检验测试必须在其它测试前成功完成。若自检验不能正常通过，视为产品不合格。</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设备安装调试完成后</w:t>
      </w:r>
      <w:r>
        <w:rPr>
          <w:rFonts w:ascii="仿宋" w:hAnsi="仿宋" w:cs="仿宋" w:eastAsia="仿宋"/>
          <w:sz w:val="24"/>
        </w:rPr>
        <w:t>，</w:t>
      </w:r>
      <w:r>
        <w:rPr>
          <w:rFonts w:ascii="仿宋" w:hAnsi="仿宋" w:cs="仿宋" w:eastAsia="仿宋"/>
          <w:sz w:val="24"/>
        </w:rPr>
        <w:t>乙方</w:t>
      </w:r>
      <w:r>
        <w:rPr>
          <w:rFonts w:ascii="仿宋" w:hAnsi="仿宋" w:cs="仿宋" w:eastAsia="仿宋"/>
          <w:sz w:val="24"/>
        </w:rPr>
        <w:t>向</w:t>
      </w:r>
      <w:r>
        <w:rPr>
          <w:rFonts w:ascii="仿宋" w:hAnsi="仿宋" w:cs="仿宋" w:eastAsia="仿宋"/>
          <w:sz w:val="24"/>
        </w:rPr>
        <w:t>甲方</w:t>
      </w:r>
      <w:r>
        <w:rPr>
          <w:rFonts w:ascii="仿宋" w:hAnsi="仿宋" w:cs="仿宋" w:eastAsia="仿宋"/>
          <w:sz w:val="24"/>
        </w:rPr>
        <w:t>提供一份详细的验收报告，包括该产品系统联合调试成功、可正常运转的测量数据和资料，经过</w:t>
      </w:r>
      <w:r>
        <w:rPr>
          <w:rFonts w:ascii="仿宋" w:hAnsi="仿宋" w:cs="仿宋" w:eastAsia="仿宋"/>
          <w:sz w:val="24"/>
        </w:rPr>
        <w:t>甲方</w:t>
      </w:r>
      <w:r>
        <w:rPr>
          <w:rFonts w:ascii="仿宋" w:hAnsi="仿宋" w:cs="仿宋" w:eastAsia="仿宋"/>
          <w:sz w:val="24"/>
        </w:rPr>
        <w:t>认可后，由</w:t>
      </w:r>
      <w:r>
        <w:rPr>
          <w:rFonts w:ascii="仿宋" w:hAnsi="仿宋" w:cs="仿宋" w:eastAsia="仿宋"/>
          <w:sz w:val="24"/>
        </w:rPr>
        <w:t>甲方</w:t>
      </w:r>
      <w:r>
        <w:rPr>
          <w:rFonts w:ascii="仿宋" w:hAnsi="仿宋" w:cs="仿宋" w:eastAsia="仿宋"/>
          <w:sz w:val="24"/>
        </w:rPr>
        <w:t>组织初验。</w:t>
      </w:r>
      <w:r>
        <w:rPr>
          <w:rFonts w:ascii="仿宋" w:hAnsi="仿宋" w:cs="仿宋" w:eastAsia="仿宋"/>
          <w:sz w:val="24"/>
        </w:rPr>
        <w:t>安装调试验收</w:t>
      </w:r>
      <w:r>
        <w:rPr>
          <w:rFonts w:ascii="仿宋" w:hAnsi="仿宋" w:cs="仿宋" w:eastAsia="仿宋"/>
          <w:sz w:val="24"/>
        </w:rPr>
        <w:t>合格后，由</w:t>
      </w:r>
      <w:r>
        <w:rPr>
          <w:rFonts w:ascii="仿宋" w:hAnsi="仿宋" w:cs="仿宋" w:eastAsia="仿宋"/>
          <w:sz w:val="24"/>
        </w:rPr>
        <w:t>甲方出具《安装调试</w:t>
      </w:r>
      <w:r>
        <w:rPr>
          <w:rFonts w:ascii="仿宋" w:hAnsi="仿宋" w:cs="仿宋" w:eastAsia="仿宋"/>
          <w:sz w:val="24"/>
        </w:rPr>
        <w:t>验收合格单</w:t>
      </w:r>
      <w:r>
        <w:rPr>
          <w:rFonts w:ascii="仿宋" w:hAnsi="仿宋" w:cs="仿宋" w:eastAsia="仿宋"/>
          <w:sz w:val="24"/>
        </w:rPr>
        <w:t>》</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3）如果合同货物中的任何部分不能按照合同规定通过安装调试验收，乙方将采取一切补救措施以使初步验收测试能够在甲方要求的期限内进行，再次验收测试由乙方负担费用。乙方应根据合同的规定对再次验收测试造成的甲方的损失进行赔偿。产品测试中出现性能指标或功能上不符合要求的，或测试中出现不符合要求的严重质量问题时，甲方有权拒绝接收并保留索赔的权利。</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自《到货验收合格单》签订之日起，需在</w:t>
      </w:r>
      <w:r>
        <w:rPr>
          <w:rFonts w:ascii="仿宋" w:hAnsi="仿宋" w:cs="仿宋" w:eastAsia="仿宋"/>
          <w:sz w:val="24"/>
        </w:rPr>
        <w:t>30个工作日内完成初步验收。</w:t>
      </w:r>
    </w:p>
    <w:p>
      <w:pPr>
        <w:pStyle w:val="null3"/>
        <w:ind w:firstLine="480"/>
        <w:jc w:val="both"/>
      </w:pPr>
      <w:r>
        <w:rPr>
          <w:rFonts w:ascii="仿宋" w:hAnsi="仿宋" w:cs="仿宋" w:eastAsia="仿宋"/>
          <w:sz w:val="24"/>
        </w:rPr>
        <w:t>（</w:t>
      </w:r>
      <w:r>
        <w:rPr>
          <w:rFonts w:ascii="仿宋" w:hAnsi="仿宋" w:cs="仿宋" w:eastAsia="仿宋"/>
          <w:sz w:val="24"/>
        </w:rPr>
        <w:t>5</w:t>
      </w:r>
      <w:r>
        <w:rPr>
          <w:rFonts w:ascii="仿宋" w:hAnsi="仿宋" w:cs="仿宋" w:eastAsia="仿宋"/>
          <w:sz w:val="24"/>
        </w:rPr>
        <w:t>）</w:t>
      </w:r>
      <w:r>
        <w:rPr>
          <w:rFonts w:ascii="仿宋" w:hAnsi="仿宋" w:cs="仿宋" w:eastAsia="仿宋"/>
          <w:sz w:val="24"/>
        </w:rPr>
        <w:t>安装调试验收合格后，进入不少于</w:t>
      </w:r>
      <w:r>
        <w:rPr>
          <w:rFonts w:ascii="仿宋" w:hAnsi="仿宋" w:cs="仿宋" w:eastAsia="仿宋"/>
          <w:sz w:val="24"/>
        </w:rPr>
        <w:t>3个月不超过6个月的连续试运行。</w:t>
      </w:r>
    </w:p>
    <w:p>
      <w:pPr>
        <w:pStyle w:val="null3"/>
        <w:ind w:firstLine="480"/>
        <w:jc w:val="both"/>
      </w:pPr>
      <w:r>
        <w:rPr>
          <w:rFonts w:ascii="仿宋" w:hAnsi="仿宋" w:cs="仿宋" w:eastAsia="仿宋"/>
          <w:sz w:val="24"/>
        </w:rPr>
        <w:t>6</w:t>
      </w:r>
      <w:r>
        <w:rPr>
          <w:rFonts w:ascii="仿宋" w:hAnsi="仿宋" w:cs="仿宋" w:eastAsia="仿宋"/>
          <w:sz w:val="24"/>
        </w:rPr>
        <w:t xml:space="preserve">.3 </w:t>
      </w:r>
      <w:r>
        <w:rPr>
          <w:rFonts w:ascii="仿宋" w:hAnsi="仿宋" w:cs="仿宋" w:eastAsia="仿宋"/>
          <w:sz w:val="24"/>
          <w:b/>
        </w:rPr>
        <w:t>最终验收</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试运行</w:t>
      </w:r>
      <w:r>
        <w:rPr>
          <w:rFonts w:ascii="仿宋" w:hAnsi="仿宋" w:cs="仿宋" w:eastAsia="仿宋"/>
          <w:sz w:val="24"/>
        </w:rPr>
        <w:t>期满可以进行终验。</w:t>
      </w:r>
      <w:r>
        <w:rPr>
          <w:rFonts w:ascii="仿宋" w:hAnsi="仿宋" w:cs="仿宋" w:eastAsia="仿宋"/>
          <w:sz w:val="24"/>
        </w:rPr>
        <w:t>最终验收合格的条件必须至少满足以下</w:t>
      </w:r>
      <w:r>
        <w:rPr>
          <w:rFonts w:ascii="仿宋" w:hAnsi="仿宋" w:cs="仿宋" w:eastAsia="仿宋"/>
          <w:sz w:val="24"/>
        </w:rPr>
        <w:t>3个要求：（a）已提供了合同的全部产品和资料；（b）最终验收阶段的试运行时间满足合同要求；（c）性能测试和试运行时出现的问题已被解决。终验合格后，</w:t>
      </w:r>
      <w:r>
        <w:rPr>
          <w:rFonts w:ascii="仿宋" w:hAnsi="仿宋" w:cs="仿宋" w:eastAsia="仿宋"/>
          <w:sz w:val="24"/>
        </w:rPr>
        <w:t>双方签署</w:t>
      </w:r>
      <w:r>
        <w:rPr>
          <w:rFonts w:ascii="仿宋" w:hAnsi="仿宋" w:cs="仿宋" w:eastAsia="仿宋"/>
          <w:sz w:val="24"/>
        </w:rPr>
        <w:t>《最终验收合格单》。</w:t>
      </w:r>
    </w:p>
    <w:p>
      <w:pPr>
        <w:pStyle w:val="null3"/>
        <w:ind w:firstLine="480"/>
        <w:jc w:val="both"/>
      </w:pPr>
      <w:r>
        <w:rPr>
          <w:rFonts w:ascii="仿宋" w:hAnsi="仿宋" w:cs="仿宋" w:eastAsia="仿宋"/>
          <w:sz w:val="24"/>
        </w:rPr>
        <w:t>（</w:t>
      </w:r>
      <w:r>
        <w:rPr>
          <w:rFonts w:ascii="仿宋" w:hAnsi="仿宋" w:cs="仿宋" w:eastAsia="仿宋"/>
          <w:sz w:val="24"/>
        </w:rPr>
        <w:t>2）如果合同货物中的任何部分不能通过最终验收，乙方将采取一切补救措施以使最终验收测试能够尽快再次进行，再次最终验收测试由乙方负担费用。乙方应根据合同的规定对再次终验造成的甲方</w:t>
      </w:r>
      <w:r>
        <w:rPr>
          <w:rFonts w:ascii="仿宋" w:hAnsi="仿宋" w:cs="仿宋" w:eastAsia="仿宋"/>
          <w:sz w:val="24"/>
        </w:rPr>
        <w:t>的损失进行赔偿。如果最终验收失败次数超过</w:t>
      </w:r>
      <w:r>
        <w:rPr>
          <w:rFonts w:ascii="仿宋" w:hAnsi="仿宋" w:cs="仿宋" w:eastAsia="仿宋"/>
          <w:sz w:val="24"/>
        </w:rPr>
        <w:t>3</w:t>
      </w:r>
      <w:r>
        <w:rPr>
          <w:rFonts w:ascii="仿宋" w:hAnsi="仿宋" w:cs="仿宋" w:eastAsia="仿宋"/>
          <w:sz w:val="24"/>
        </w:rPr>
        <w:t>次或超过合同规定的有关期限，</w:t>
      </w:r>
      <w:r>
        <w:rPr>
          <w:rFonts w:ascii="仿宋" w:hAnsi="仿宋" w:cs="仿宋" w:eastAsia="仿宋"/>
          <w:sz w:val="24"/>
        </w:rPr>
        <w:t>甲方</w:t>
      </w:r>
      <w:r>
        <w:rPr>
          <w:rFonts w:ascii="仿宋" w:hAnsi="仿宋" w:cs="仿宋" w:eastAsia="仿宋"/>
          <w:sz w:val="24"/>
        </w:rPr>
        <w:t>有权拒绝验收，并按</w:t>
      </w:r>
      <w:r>
        <w:rPr>
          <w:rFonts w:ascii="仿宋" w:hAnsi="仿宋" w:cs="仿宋" w:eastAsia="仿宋"/>
          <w:sz w:val="24"/>
        </w:rPr>
        <w:t>乙方</w:t>
      </w:r>
      <w:r>
        <w:rPr>
          <w:rFonts w:ascii="仿宋" w:hAnsi="仿宋" w:cs="仿宋" w:eastAsia="仿宋"/>
          <w:sz w:val="24"/>
        </w:rPr>
        <w:t>违约处理。</w:t>
      </w:r>
      <w:r>
        <w:rPr>
          <w:rFonts w:ascii="仿宋" w:hAnsi="仿宋" w:cs="仿宋" w:eastAsia="仿宋"/>
          <w:sz w:val="24"/>
        </w:rPr>
        <w:t>甲方</w:t>
      </w:r>
      <w:r>
        <w:rPr>
          <w:rFonts w:ascii="仿宋" w:hAnsi="仿宋" w:cs="仿宋" w:eastAsia="仿宋"/>
          <w:sz w:val="24"/>
        </w:rPr>
        <w:t>除有权没收</w:t>
      </w:r>
      <w:r>
        <w:rPr>
          <w:rFonts w:ascii="仿宋" w:hAnsi="仿宋" w:cs="仿宋" w:eastAsia="仿宋"/>
          <w:sz w:val="24"/>
        </w:rPr>
        <w:t>乙方</w:t>
      </w:r>
      <w:r>
        <w:rPr>
          <w:rFonts w:ascii="仿宋" w:hAnsi="仿宋" w:cs="仿宋" w:eastAsia="仿宋"/>
          <w:sz w:val="24"/>
        </w:rPr>
        <w:t>履约保证金外，还有权追索由此造成工期延误而给</w:t>
      </w:r>
      <w:r>
        <w:rPr>
          <w:rFonts w:ascii="仿宋" w:hAnsi="仿宋" w:cs="仿宋" w:eastAsia="仿宋"/>
          <w:sz w:val="24"/>
        </w:rPr>
        <w:t>甲方</w:t>
      </w:r>
      <w:r>
        <w:rPr>
          <w:rFonts w:ascii="仿宋" w:hAnsi="仿宋" w:cs="仿宋" w:eastAsia="仿宋"/>
          <w:sz w:val="24"/>
        </w:rPr>
        <w:t>带来的经济损失。如果导致合同不能继续执行</w:t>
      </w:r>
      <w:r>
        <w:rPr>
          <w:rFonts w:ascii="仿宋" w:hAnsi="仿宋" w:cs="仿宋" w:eastAsia="仿宋"/>
          <w:sz w:val="24"/>
        </w:rPr>
        <w:t>甲方</w:t>
      </w:r>
      <w:r>
        <w:rPr>
          <w:rFonts w:ascii="仿宋" w:hAnsi="仿宋" w:cs="仿宋" w:eastAsia="仿宋"/>
          <w:sz w:val="24"/>
        </w:rPr>
        <w:t>有权按退货索赔程序处理。</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w:t>
      </w:r>
      <w:r>
        <w:rPr>
          <w:rFonts w:ascii="仿宋" w:hAnsi="仿宋" w:cs="仿宋" w:eastAsia="仿宋"/>
          <w:sz w:val="24"/>
        </w:rPr>
        <w:t>自《安装调试验收合格单》签订之日起，需在</w:t>
      </w:r>
      <w:r>
        <w:rPr>
          <w:rFonts w:ascii="仿宋" w:hAnsi="仿宋" w:cs="仿宋" w:eastAsia="仿宋"/>
          <w:sz w:val="24"/>
        </w:rPr>
        <w:t>180个日历日内完成最终验收。</w:t>
      </w:r>
    </w:p>
    <w:p>
      <w:pPr>
        <w:pStyle w:val="null3"/>
        <w:spacing w:before="150"/>
        <w:ind w:firstLine="482"/>
        <w:jc w:val="both"/>
      </w:pPr>
      <w:r>
        <w:rPr>
          <w:rFonts w:ascii="仿宋" w:hAnsi="仿宋" w:cs="仿宋" w:eastAsia="仿宋"/>
          <w:sz w:val="24"/>
          <w:b/>
        </w:rPr>
        <w:t>第七条</w:t>
      </w:r>
      <w:r>
        <w:rPr>
          <w:rFonts w:ascii="仿宋" w:hAnsi="仿宋" w:cs="仿宋" w:eastAsia="仿宋"/>
          <w:sz w:val="24"/>
          <w:b/>
        </w:rPr>
        <w:t>技术服务</w:t>
      </w:r>
    </w:p>
    <w:p>
      <w:pPr>
        <w:pStyle w:val="null3"/>
        <w:ind w:firstLine="480"/>
        <w:jc w:val="both"/>
      </w:pPr>
      <w:r>
        <w:rPr>
          <w:rFonts w:ascii="仿宋" w:hAnsi="仿宋" w:cs="仿宋" w:eastAsia="仿宋"/>
          <w:sz w:val="24"/>
        </w:rPr>
        <w:t xml:space="preserve">7.1 </w:t>
      </w:r>
      <w:r>
        <w:rPr>
          <w:rFonts w:ascii="仿宋" w:hAnsi="仿宋" w:cs="仿宋" w:eastAsia="仿宋"/>
          <w:sz w:val="24"/>
          <w:b/>
        </w:rPr>
        <w:t>质保服务</w:t>
      </w:r>
    </w:p>
    <w:p>
      <w:pPr>
        <w:pStyle w:val="null3"/>
        <w:ind w:firstLine="480"/>
        <w:jc w:val="both"/>
      </w:pPr>
      <w:r>
        <w:rPr>
          <w:rFonts w:ascii="仿宋" w:hAnsi="仿宋" w:cs="仿宋" w:eastAsia="仿宋"/>
          <w:sz w:val="24"/>
        </w:rPr>
        <w:t>（</w:t>
      </w:r>
      <w:r>
        <w:rPr>
          <w:rFonts w:ascii="仿宋" w:hAnsi="仿宋" w:cs="仿宋" w:eastAsia="仿宋"/>
          <w:sz w:val="24"/>
        </w:rPr>
        <w:t>1）原厂制造商承诺所有硬件质保期内免费保修</w:t>
      </w:r>
      <w:r>
        <w:rPr>
          <w:rFonts w:ascii="仿宋" w:hAnsi="仿宋" w:cs="仿宋" w:eastAsia="仿宋"/>
          <w:sz w:val="24"/>
        </w:rPr>
        <w:t>。</w:t>
      </w:r>
    </w:p>
    <w:p>
      <w:pPr>
        <w:pStyle w:val="null3"/>
        <w:ind w:firstLine="480"/>
        <w:jc w:val="both"/>
      </w:pPr>
      <w:r>
        <w:rPr>
          <w:rFonts w:ascii="仿宋" w:hAnsi="仿宋" w:cs="仿宋" w:eastAsia="仿宋"/>
          <w:sz w:val="24"/>
        </w:rPr>
        <w:t>（</w:t>
      </w:r>
      <w:r>
        <w:rPr>
          <w:rFonts w:ascii="仿宋" w:hAnsi="仿宋" w:cs="仿宋" w:eastAsia="仿宋"/>
          <w:sz w:val="24"/>
        </w:rPr>
        <w:t>2）根据采购要求、设备需求及服务需求等制定备品备件供应方案（质保期内），并详细列出名称、类型、性能、数量、提供地点、放置地点、服务条款等内容，且必须是原设备厂商提供的原厂全新备件。</w:t>
      </w:r>
    </w:p>
    <w:p>
      <w:pPr>
        <w:pStyle w:val="null3"/>
        <w:ind w:firstLine="480"/>
        <w:jc w:val="both"/>
      </w:pPr>
      <w:r>
        <w:rPr>
          <w:rFonts w:ascii="仿宋" w:hAnsi="仿宋" w:cs="仿宋" w:eastAsia="仿宋"/>
          <w:sz w:val="24"/>
        </w:rPr>
        <w:t>（</w:t>
      </w:r>
      <w:r>
        <w:rPr>
          <w:rFonts w:ascii="仿宋" w:hAnsi="仿宋" w:cs="仿宋" w:eastAsia="仿宋"/>
          <w:sz w:val="24"/>
        </w:rPr>
        <w:t>3）在质量保证期内提供部分备用设备易损部件长期存放在</w:t>
      </w:r>
      <w:r>
        <w:rPr>
          <w:rFonts w:ascii="仿宋" w:hAnsi="仿宋" w:cs="仿宋" w:eastAsia="仿宋"/>
          <w:sz w:val="24"/>
        </w:rPr>
        <w:t>甲方</w:t>
      </w:r>
      <w:r>
        <w:rPr>
          <w:rFonts w:ascii="仿宋" w:hAnsi="仿宋" w:cs="仿宋" w:eastAsia="仿宋"/>
          <w:sz w:val="24"/>
        </w:rPr>
        <w:t>现场，以便在设备发生故障时能及时更换。</w:t>
      </w:r>
    </w:p>
    <w:p>
      <w:pPr>
        <w:pStyle w:val="null3"/>
        <w:ind w:firstLine="480"/>
        <w:jc w:val="both"/>
      </w:pPr>
      <w:r>
        <w:rPr>
          <w:rFonts w:ascii="仿宋" w:hAnsi="仿宋" w:cs="仿宋" w:eastAsia="仿宋"/>
          <w:sz w:val="24"/>
        </w:rPr>
        <w:t>（</w:t>
      </w:r>
      <w:r>
        <w:rPr>
          <w:rFonts w:ascii="仿宋" w:hAnsi="仿宋" w:cs="仿宋" w:eastAsia="仿宋"/>
          <w:sz w:val="24"/>
        </w:rPr>
        <w:t>4）保证原厂商在质保期内提供零配件的安装服务，质量保证期内安装的任何零配件必须是其厂家原产的或是经其认可的；所有的替代零配件必须是新的未使用和未经修复的,除非</w:t>
      </w:r>
      <w:r>
        <w:rPr>
          <w:rFonts w:ascii="仿宋" w:hAnsi="仿宋" w:cs="仿宋" w:eastAsia="仿宋"/>
          <w:sz w:val="24"/>
        </w:rPr>
        <w:t>甲方</w:t>
      </w:r>
      <w:r>
        <w:rPr>
          <w:rFonts w:ascii="仿宋" w:hAnsi="仿宋" w:cs="仿宋" w:eastAsia="仿宋"/>
          <w:sz w:val="24"/>
        </w:rPr>
        <w:t>提供书面许可，否则不可使用此范围外的其他（非新的）配件；</w:t>
      </w:r>
    </w:p>
    <w:p>
      <w:pPr>
        <w:pStyle w:val="null3"/>
        <w:ind w:firstLine="480"/>
        <w:jc w:val="both"/>
      </w:pPr>
      <w:r>
        <w:rPr>
          <w:rFonts w:ascii="仿宋" w:hAnsi="仿宋" w:cs="仿宋" w:eastAsia="仿宋"/>
          <w:sz w:val="24"/>
        </w:rPr>
        <w:t>7.</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b/>
        </w:rPr>
        <w:t>技术支持服务</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提供承诺</w:t>
      </w:r>
      <w:r>
        <w:rPr>
          <w:rFonts w:ascii="仿宋" w:hAnsi="仿宋" w:cs="仿宋" w:eastAsia="仿宋"/>
          <w:sz w:val="24"/>
        </w:rPr>
        <w:t>5年原厂软硬件技术支持服务：提供5年5×8×4小时</w:t>
      </w:r>
      <w:r>
        <w:rPr>
          <w:rFonts w:ascii="仿宋" w:hAnsi="仿宋" w:cs="仿宋" w:eastAsia="仿宋"/>
          <w:sz w:val="24"/>
        </w:rPr>
        <w:t>原厂软硬件技术支持服务：硬件原厂制造商承诺所有硬件过免费保修期后按原价维修（按投标货物价格数量表所列价格，更换零部件的按合同签订时的零部件价格），响应速度同保修期响应速度。</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乙方应提供</w:t>
      </w:r>
      <w:r>
        <w:rPr>
          <w:rFonts w:ascii="仿宋" w:hAnsi="仿宋" w:cs="仿宋" w:eastAsia="仿宋"/>
          <w:sz w:val="24"/>
        </w:rPr>
        <w:t>7</w:t>
      </w:r>
      <w:r>
        <w:rPr>
          <w:rFonts w:ascii="仿宋" w:hAnsi="仿宋" w:cs="仿宋" w:eastAsia="仿宋"/>
          <w:sz w:val="24"/>
        </w:rPr>
        <w:t>天</w:t>
      </w:r>
      <w:r>
        <w:rPr>
          <w:rFonts w:ascii="仿宋" w:hAnsi="仿宋" w:cs="仿宋" w:eastAsia="仿宋"/>
          <w:sz w:val="24"/>
        </w:rPr>
        <w:t>*24小时互联网/电子邮件技术支持、7</w:t>
      </w:r>
      <w:r>
        <w:rPr>
          <w:rFonts w:ascii="仿宋" w:hAnsi="仿宋" w:cs="仿宋" w:eastAsia="仿宋"/>
          <w:sz w:val="24"/>
        </w:rPr>
        <w:t>天</w:t>
      </w:r>
      <w:r>
        <w:rPr>
          <w:rFonts w:ascii="仿宋" w:hAnsi="仿宋" w:cs="仿宋" w:eastAsia="仿宋"/>
          <w:sz w:val="24"/>
        </w:rPr>
        <w:t>*24小时远程电话支持；对</w:t>
      </w:r>
      <w:r>
        <w:rPr>
          <w:rFonts w:ascii="仿宋" w:hAnsi="仿宋" w:cs="仿宋" w:eastAsia="仿宋"/>
          <w:sz w:val="24"/>
        </w:rPr>
        <w:t>甲方</w:t>
      </w:r>
      <w:r>
        <w:rPr>
          <w:rFonts w:ascii="仿宋" w:hAnsi="仿宋" w:cs="仿宋" w:eastAsia="仿宋"/>
          <w:sz w:val="24"/>
        </w:rPr>
        <w:t>提出的预防性维护要求应在</w:t>
      </w:r>
      <w:r>
        <w:rPr>
          <w:rFonts w:ascii="仿宋" w:hAnsi="仿宋" w:cs="仿宋" w:eastAsia="仿宋"/>
          <w:sz w:val="24"/>
        </w:rPr>
        <w:t>2小时内做出实质性响应，及时解决系统运行中的问题。对</w:t>
      </w:r>
      <w:r>
        <w:rPr>
          <w:rFonts w:ascii="仿宋" w:hAnsi="仿宋" w:cs="仿宋" w:eastAsia="仿宋"/>
          <w:sz w:val="24"/>
        </w:rPr>
        <w:t>甲方</w:t>
      </w:r>
      <w:r>
        <w:rPr>
          <w:rFonts w:ascii="仿宋" w:hAnsi="仿宋" w:cs="仿宋" w:eastAsia="仿宋"/>
          <w:sz w:val="24"/>
        </w:rPr>
        <w:t>提出的故障性维护要求应在</w:t>
      </w:r>
      <w:r>
        <w:rPr>
          <w:rFonts w:ascii="仿宋" w:hAnsi="仿宋" w:cs="仿宋" w:eastAsia="仿宋"/>
          <w:sz w:val="24"/>
        </w:rPr>
        <w:t>0.5小时内做出实质性响应。（或在</w:t>
      </w:r>
      <w:r>
        <w:rPr>
          <w:rFonts w:ascii="仿宋" w:hAnsi="仿宋" w:cs="仿宋" w:eastAsia="仿宋"/>
          <w:sz w:val="24"/>
        </w:rPr>
        <w:t>甲方</w:t>
      </w:r>
      <w:r>
        <w:rPr>
          <w:rFonts w:ascii="仿宋" w:hAnsi="仿宋" w:cs="仿宋" w:eastAsia="仿宋"/>
          <w:sz w:val="24"/>
        </w:rPr>
        <w:t>要求的期限内及时解决系统运行中的问题。否则，由此而带来的损失，由</w:t>
      </w:r>
      <w:r>
        <w:rPr>
          <w:rFonts w:ascii="仿宋" w:hAnsi="仿宋" w:cs="仿宋" w:eastAsia="仿宋"/>
          <w:sz w:val="24"/>
        </w:rPr>
        <w:t>乙方</w:t>
      </w:r>
      <w:r>
        <w:rPr>
          <w:rFonts w:ascii="仿宋" w:hAnsi="仿宋" w:cs="仿宋" w:eastAsia="仿宋"/>
          <w:sz w:val="24"/>
        </w:rPr>
        <w:t>承担相应责任）。</w:t>
      </w:r>
    </w:p>
    <w:p>
      <w:pPr>
        <w:pStyle w:val="null3"/>
        <w:ind w:firstLine="480"/>
        <w:jc w:val="both"/>
      </w:pPr>
      <w:r>
        <w:rPr>
          <w:rFonts w:ascii="仿宋" w:hAnsi="仿宋" w:cs="仿宋" w:eastAsia="仿宋"/>
          <w:sz w:val="24"/>
        </w:rPr>
        <w:t>（</w:t>
      </w:r>
      <w:r>
        <w:rPr>
          <w:rFonts w:ascii="仿宋" w:hAnsi="仿宋" w:cs="仿宋" w:eastAsia="仿宋"/>
          <w:sz w:val="24"/>
        </w:rPr>
        <w:t>3）对业务的正常运行造成重大影响的问题</w:t>
      </w:r>
      <w:r>
        <w:rPr>
          <w:rFonts w:ascii="仿宋" w:hAnsi="仿宋" w:cs="仿宋" w:eastAsia="仿宋"/>
          <w:sz w:val="24"/>
        </w:rPr>
        <w:t>，</w:t>
      </w:r>
      <w:r>
        <w:rPr>
          <w:rFonts w:ascii="仿宋" w:hAnsi="仿宋" w:cs="仿宋" w:eastAsia="仿宋"/>
          <w:sz w:val="24"/>
        </w:rPr>
        <w:t>如系统崩溃、无法启动、拒绝连接等</w:t>
      </w:r>
      <w:r>
        <w:rPr>
          <w:rFonts w:ascii="仿宋" w:hAnsi="仿宋" w:cs="仿宋" w:eastAsia="仿宋"/>
          <w:sz w:val="24"/>
        </w:rPr>
        <w:t>，乙方需提供应急方案，方案至少包括以下内容：系统运行过程中如果发生故障，设备故障恢复时间在</w:t>
      </w:r>
      <w:r>
        <w:rPr>
          <w:rFonts w:ascii="仿宋" w:hAnsi="仿宋" w:cs="仿宋" w:eastAsia="仿宋"/>
          <w:sz w:val="24"/>
        </w:rPr>
        <w:t>4小时内</w:t>
      </w:r>
      <w:r>
        <w:rPr>
          <w:rFonts w:ascii="仿宋" w:hAnsi="仿宋" w:cs="仿宋" w:eastAsia="仿宋"/>
          <w:sz w:val="24"/>
        </w:rPr>
        <w:t>；甲方</w:t>
      </w:r>
      <w:r>
        <w:rPr>
          <w:rFonts w:ascii="仿宋" w:hAnsi="仿宋" w:cs="仿宋" w:eastAsia="仿宋"/>
          <w:sz w:val="24"/>
        </w:rPr>
        <w:t>可要求</w:t>
      </w:r>
      <w:r>
        <w:rPr>
          <w:rFonts w:ascii="仿宋" w:hAnsi="仿宋" w:cs="仿宋" w:eastAsia="仿宋"/>
          <w:sz w:val="24"/>
        </w:rPr>
        <w:t>乙方</w:t>
      </w:r>
      <w:r>
        <w:rPr>
          <w:rFonts w:ascii="仿宋" w:hAnsi="仿宋" w:cs="仿宋" w:eastAsia="仿宋"/>
          <w:sz w:val="24"/>
        </w:rPr>
        <w:t>到现场提供服务，</w:t>
      </w:r>
      <w:r>
        <w:rPr>
          <w:rFonts w:ascii="仿宋" w:hAnsi="仿宋" w:cs="仿宋" w:eastAsia="仿宋"/>
          <w:sz w:val="24"/>
        </w:rPr>
        <w:t>乙方</w:t>
      </w:r>
      <w:r>
        <w:rPr>
          <w:rFonts w:ascii="仿宋" w:hAnsi="仿宋" w:cs="仿宋" w:eastAsia="仿宋"/>
          <w:sz w:val="24"/>
        </w:rPr>
        <w:t>必须在</w:t>
      </w:r>
      <w:r>
        <w:rPr>
          <w:rFonts w:ascii="仿宋" w:hAnsi="仿宋" w:cs="仿宋" w:eastAsia="仿宋"/>
          <w:sz w:val="24"/>
        </w:rPr>
        <w:t>2小时内到达现场，故障修复时间应在4小时以内，并确保紧急故障下立即提供现场恢复服务</w:t>
      </w:r>
      <w:r>
        <w:rPr>
          <w:rFonts w:ascii="仿宋" w:hAnsi="仿宋" w:cs="仿宋" w:eastAsia="仿宋"/>
          <w:sz w:val="24"/>
        </w:rPr>
        <w:t>；</w:t>
      </w:r>
      <w:r>
        <w:rPr>
          <w:rFonts w:ascii="仿宋" w:hAnsi="仿宋" w:cs="仿宋" w:eastAsia="仿宋"/>
          <w:sz w:val="24"/>
        </w:rPr>
        <w:t>在接到</w:t>
      </w:r>
      <w:r>
        <w:rPr>
          <w:rFonts w:ascii="仿宋" w:hAnsi="仿宋" w:cs="仿宋" w:eastAsia="仿宋"/>
          <w:sz w:val="24"/>
        </w:rPr>
        <w:t>甲方</w:t>
      </w:r>
      <w:r>
        <w:rPr>
          <w:rFonts w:ascii="仿宋" w:hAnsi="仿宋" w:cs="仿宋" w:eastAsia="仿宋"/>
          <w:sz w:val="24"/>
        </w:rPr>
        <w:t>的故障通知后，若</w:t>
      </w:r>
      <w:r>
        <w:rPr>
          <w:rFonts w:ascii="仿宋" w:hAnsi="仿宋" w:cs="仿宋" w:eastAsia="仿宋"/>
          <w:sz w:val="24"/>
        </w:rPr>
        <w:t>乙方</w:t>
      </w:r>
      <w:r>
        <w:rPr>
          <w:rFonts w:ascii="仿宋" w:hAnsi="仿宋" w:cs="仿宋" w:eastAsia="仿宋"/>
          <w:sz w:val="24"/>
        </w:rPr>
        <w:t>未能按时到达，</w:t>
      </w:r>
      <w:r>
        <w:rPr>
          <w:rFonts w:ascii="仿宋" w:hAnsi="仿宋" w:cs="仿宋" w:eastAsia="仿宋"/>
          <w:sz w:val="24"/>
        </w:rPr>
        <w:t>甲方</w:t>
      </w:r>
      <w:r>
        <w:rPr>
          <w:rFonts w:ascii="仿宋" w:hAnsi="仿宋" w:cs="仿宋" w:eastAsia="仿宋"/>
          <w:sz w:val="24"/>
        </w:rPr>
        <w:t>有权要求</w:t>
      </w:r>
      <w:r>
        <w:rPr>
          <w:rFonts w:ascii="仿宋" w:hAnsi="仿宋" w:cs="仿宋" w:eastAsia="仿宋"/>
          <w:sz w:val="24"/>
        </w:rPr>
        <w:t>乙方</w:t>
      </w:r>
      <w:r>
        <w:rPr>
          <w:rFonts w:ascii="仿宋" w:hAnsi="仿宋" w:cs="仿宋" w:eastAsia="仿宋"/>
          <w:sz w:val="24"/>
        </w:rPr>
        <w:t>赔偿</w:t>
      </w:r>
      <w:r>
        <w:rPr>
          <w:rFonts w:ascii="仿宋" w:hAnsi="仿宋" w:cs="仿宋" w:eastAsia="仿宋"/>
          <w:sz w:val="24"/>
        </w:rPr>
        <w:t>；</w:t>
      </w:r>
      <w:r>
        <w:rPr>
          <w:rFonts w:ascii="仿宋" w:hAnsi="仿宋" w:cs="仿宋" w:eastAsia="仿宋"/>
          <w:sz w:val="24"/>
        </w:rPr>
        <w:t>系统运行过程中如果发生故障，</w:t>
      </w:r>
      <w:r>
        <w:rPr>
          <w:rFonts w:ascii="仿宋" w:hAnsi="仿宋" w:cs="仿宋" w:eastAsia="仿宋"/>
          <w:sz w:val="24"/>
        </w:rPr>
        <w:t>乙方</w:t>
      </w:r>
      <w:r>
        <w:rPr>
          <w:rFonts w:ascii="仿宋" w:hAnsi="仿宋" w:cs="仿宋" w:eastAsia="仿宋"/>
          <w:sz w:val="24"/>
        </w:rPr>
        <w:t>需启动公司的多层技术资源支持，帮助</w:t>
      </w:r>
      <w:r>
        <w:rPr>
          <w:rFonts w:ascii="仿宋" w:hAnsi="仿宋" w:cs="仿宋" w:eastAsia="仿宋"/>
          <w:sz w:val="24"/>
        </w:rPr>
        <w:t>甲方</w:t>
      </w:r>
      <w:r>
        <w:rPr>
          <w:rFonts w:ascii="仿宋" w:hAnsi="仿宋" w:cs="仿宋" w:eastAsia="仿宋"/>
          <w:sz w:val="24"/>
        </w:rPr>
        <w:t>排查问题，</w:t>
      </w:r>
      <w:r>
        <w:rPr>
          <w:rFonts w:ascii="仿宋" w:hAnsi="仿宋" w:cs="仿宋" w:eastAsia="仿宋"/>
          <w:sz w:val="24"/>
        </w:rPr>
        <w:t>直到</w:t>
      </w:r>
      <w:r>
        <w:rPr>
          <w:rFonts w:ascii="仿宋" w:hAnsi="仿宋" w:cs="仿宋" w:eastAsia="仿宋"/>
          <w:sz w:val="24"/>
        </w:rPr>
        <w:t>问题最终获得妥善处理</w:t>
      </w:r>
      <w:r>
        <w:rPr>
          <w:rFonts w:ascii="仿宋" w:hAnsi="仿宋" w:cs="仿宋" w:eastAsia="仿宋"/>
          <w:sz w:val="24"/>
        </w:rPr>
        <w:t>；</w:t>
      </w:r>
      <w:r>
        <w:rPr>
          <w:rFonts w:ascii="仿宋" w:hAnsi="仿宋" w:cs="仿宋" w:eastAsia="仿宋"/>
          <w:sz w:val="24"/>
        </w:rPr>
        <w:t>对于</w:t>
      </w:r>
      <w:r>
        <w:rPr>
          <w:rFonts w:ascii="仿宋" w:hAnsi="仿宋" w:cs="仿宋" w:eastAsia="仿宋"/>
          <w:sz w:val="24"/>
        </w:rPr>
        <w:t>甲方</w:t>
      </w:r>
      <w:r>
        <w:rPr>
          <w:rFonts w:ascii="仿宋" w:hAnsi="仿宋" w:cs="仿宋" w:eastAsia="仿宋"/>
          <w:sz w:val="24"/>
        </w:rPr>
        <w:t>系统的重要问题，</w:t>
      </w:r>
      <w:r>
        <w:rPr>
          <w:rFonts w:ascii="仿宋" w:hAnsi="仿宋" w:cs="仿宋" w:eastAsia="仿宋"/>
          <w:sz w:val="24"/>
        </w:rPr>
        <w:t>乙方</w:t>
      </w:r>
      <w:r>
        <w:rPr>
          <w:rFonts w:ascii="仿宋" w:hAnsi="仿宋" w:cs="仿宋" w:eastAsia="仿宋"/>
          <w:sz w:val="24"/>
        </w:rPr>
        <w:t>至</w:t>
      </w:r>
      <w:r>
        <w:rPr>
          <w:rFonts w:ascii="仿宋" w:hAnsi="仿宋" w:cs="仿宋" w:eastAsia="仿宋"/>
          <w:sz w:val="24"/>
        </w:rPr>
        <w:t>少每天汇报一次问题解决情况；在整个系统设计没有单点故障的情况下，故障恢复期间应确保系统不中断。</w:t>
      </w:r>
    </w:p>
    <w:p>
      <w:pPr>
        <w:pStyle w:val="null3"/>
        <w:ind w:firstLine="480"/>
        <w:jc w:val="both"/>
      </w:pPr>
      <w:r>
        <w:rPr>
          <w:rFonts w:ascii="仿宋" w:hAnsi="仿宋" w:cs="仿宋" w:eastAsia="仿宋"/>
          <w:sz w:val="24"/>
        </w:rPr>
        <w:t>（</w:t>
      </w:r>
      <w:r>
        <w:rPr>
          <w:rFonts w:ascii="仿宋" w:hAnsi="仿宋" w:cs="仿宋" w:eastAsia="仿宋"/>
          <w:sz w:val="24"/>
        </w:rPr>
        <w:t>4）乙方必须及时向甲方通报本产品中所采用软件产品的升级情况及升级建议，若甲方需要对软件升级，乙方应免费提供升级版本和相应的支持服务。如果因技术乙方未及时提供升级建议而给甲方带来损失，由乙方负责承担相应责任。对于原厂即将不再提供技术支持和维护升级的软件，需至少提前一年书面正式通知甲方。</w:t>
      </w:r>
    </w:p>
    <w:p>
      <w:pPr>
        <w:pStyle w:val="null3"/>
        <w:ind w:firstLine="480"/>
        <w:jc w:val="both"/>
      </w:pPr>
      <w:r>
        <w:rPr>
          <w:rFonts w:ascii="仿宋" w:hAnsi="仿宋" w:cs="仿宋" w:eastAsia="仿宋"/>
          <w:sz w:val="24"/>
        </w:rPr>
        <w:t>（</w:t>
      </w:r>
      <w:r>
        <w:rPr>
          <w:rFonts w:ascii="仿宋" w:hAnsi="仿宋" w:cs="仿宋" w:eastAsia="仿宋"/>
          <w:sz w:val="24"/>
        </w:rPr>
        <w:t>5）协助甲方完成该产品日常维护工作</w:t>
      </w:r>
      <w:r>
        <w:rPr>
          <w:rFonts w:ascii="仿宋" w:hAnsi="仿宋" w:cs="仿宋" w:eastAsia="仿宋"/>
          <w:sz w:val="24"/>
        </w:rPr>
        <w:t>,具体包括但不限于下述内容：所有设备产品技术支持服务；技术咨询服务；现场技术支持服务；电话及电子邮件支持服务；不限次数的现场逻辑变更或配置服务；相关方案编写；产品升级服务（包括bug修复、现有版本升级等）、运行情况检查、性能调优、故障排除及故障排除所需要的原厂备件免费更换（含备件本身）</w:t>
      </w:r>
      <w:r>
        <w:rPr>
          <w:rFonts w:ascii="仿宋" w:hAnsi="仿宋" w:cs="仿宋" w:eastAsia="仿宋"/>
          <w:sz w:val="24"/>
        </w:rPr>
        <w:t>等</w:t>
      </w:r>
      <w:r>
        <w:rPr>
          <w:rFonts w:ascii="仿宋" w:hAnsi="仿宋" w:cs="仿宋" w:eastAsia="仿宋"/>
          <w:sz w:val="24"/>
        </w:rPr>
        <w:t>，</w:t>
      </w:r>
      <w:r>
        <w:rPr>
          <w:rFonts w:ascii="仿宋" w:hAnsi="仿宋" w:cs="仿宋" w:eastAsia="仿宋"/>
          <w:sz w:val="24"/>
        </w:rPr>
        <w:t>其中，运行情况检查（深度巡检）服务每年至少提供</w:t>
      </w:r>
      <w:r>
        <w:rPr>
          <w:rFonts w:ascii="仿宋" w:hAnsi="仿宋" w:cs="仿宋" w:eastAsia="仿宋"/>
          <w:sz w:val="24"/>
        </w:rPr>
        <w:t>2次，巡检时间由</w:t>
      </w:r>
      <w:r>
        <w:rPr>
          <w:rFonts w:ascii="仿宋" w:hAnsi="仿宋" w:cs="仿宋" w:eastAsia="仿宋"/>
          <w:sz w:val="24"/>
        </w:rPr>
        <w:t>甲方</w:t>
      </w:r>
      <w:r>
        <w:rPr>
          <w:rFonts w:ascii="仿宋" w:hAnsi="仿宋" w:cs="仿宋" w:eastAsia="仿宋"/>
          <w:sz w:val="24"/>
        </w:rPr>
        <w:t>指定；性能调优服务则须根据</w:t>
      </w:r>
      <w:r>
        <w:rPr>
          <w:rFonts w:ascii="仿宋" w:hAnsi="仿宋" w:cs="仿宋" w:eastAsia="仿宋"/>
          <w:sz w:val="24"/>
        </w:rPr>
        <w:t>甲方</w:t>
      </w:r>
      <w:r>
        <w:rPr>
          <w:rFonts w:ascii="仿宋" w:hAnsi="仿宋" w:cs="仿宋" w:eastAsia="仿宋"/>
          <w:sz w:val="24"/>
        </w:rPr>
        <w:t>调优需求来提供</w:t>
      </w:r>
      <w:r>
        <w:rPr>
          <w:rFonts w:ascii="仿宋" w:hAnsi="仿宋" w:cs="仿宋" w:eastAsia="仿宋"/>
          <w:sz w:val="24"/>
        </w:rPr>
        <w:t>。</w:t>
      </w:r>
    </w:p>
    <w:p>
      <w:pPr>
        <w:pStyle w:val="null3"/>
        <w:ind w:firstLine="480"/>
        <w:jc w:val="both"/>
      </w:pPr>
      <w:r>
        <w:rPr>
          <w:rFonts w:ascii="仿宋" w:hAnsi="仿宋" w:cs="仿宋" w:eastAsia="仿宋"/>
          <w:sz w:val="24"/>
        </w:rPr>
        <w:t xml:space="preserve">7.3 </w:t>
      </w:r>
      <w:r>
        <w:rPr>
          <w:rFonts w:ascii="仿宋" w:hAnsi="仿宋" w:cs="仿宋" w:eastAsia="仿宋"/>
          <w:sz w:val="24"/>
          <w:b/>
        </w:rPr>
        <w:t>技术服务团队</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乙方</w:t>
      </w:r>
      <w:r>
        <w:rPr>
          <w:rFonts w:ascii="仿宋" w:hAnsi="仿宋" w:cs="仿宋" w:eastAsia="仿宋"/>
          <w:sz w:val="24"/>
        </w:rPr>
        <w:t>应派遣有经验的技术人员组成项目组完成实施技术服务，包括但不限于文档编写、验证测试、设备安装、软硬件的调试和调优服务等。</w:t>
      </w:r>
      <w:r>
        <w:rPr>
          <w:rFonts w:ascii="仿宋" w:hAnsi="仿宋" w:cs="仿宋" w:eastAsia="仿宋"/>
          <w:sz w:val="24"/>
        </w:rPr>
        <w:t>乙方</w:t>
      </w:r>
      <w:r>
        <w:rPr>
          <w:rFonts w:ascii="仿宋" w:hAnsi="仿宋" w:cs="仿宋" w:eastAsia="仿宋"/>
          <w:sz w:val="24"/>
        </w:rPr>
        <w:t>需提供工作小组成员名单及联系方式（包括电话、手机、传真及电子邮件等）并且确定本项目的项目主管、集成人员、技术支持和售后服务人员，说明每个人的职责和角色</w:t>
      </w:r>
      <w:r>
        <w:rPr>
          <w:rFonts w:ascii="仿宋" w:hAnsi="仿宋" w:cs="仿宋" w:eastAsia="仿宋"/>
          <w:sz w:val="24"/>
        </w:rPr>
        <w:t>，并注明主要人员</w:t>
      </w:r>
      <w:r>
        <w:rPr>
          <w:rFonts w:ascii="仿宋" w:hAnsi="仿宋" w:cs="仿宋" w:eastAsia="仿宋"/>
          <w:sz w:val="24"/>
        </w:rPr>
        <w:t>。项目实施过程中主要人员原则上不允许更换，如需更换，</w:t>
      </w:r>
      <w:r>
        <w:rPr>
          <w:rFonts w:ascii="仿宋" w:hAnsi="仿宋" w:cs="仿宋" w:eastAsia="仿宋"/>
          <w:sz w:val="24"/>
        </w:rPr>
        <w:t>除项目负责人</w:t>
      </w:r>
      <w:r>
        <w:rPr>
          <w:rFonts w:ascii="仿宋" w:hAnsi="仿宋" w:cs="仿宋" w:eastAsia="仿宋"/>
          <w:sz w:val="24"/>
        </w:rPr>
        <w:t>须提前一个月申请</w:t>
      </w:r>
      <w:r>
        <w:rPr>
          <w:rFonts w:ascii="仿宋" w:hAnsi="仿宋" w:cs="仿宋" w:eastAsia="仿宋"/>
          <w:sz w:val="24"/>
        </w:rPr>
        <w:t>外，其他人员的更换，乙方</w:t>
      </w:r>
      <w:r>
        <w:rPr>
          <w:rFonts w:ascii="仿宋" w:hAnsi="仿宋" w:cs="仿宋" w:eastAsia="仿宋"/>
          <w:sz w:val="24"/>
        </w:rPr>
        <w:t>必须</w:t>
      </w:r>
      <w:r>
        <w:rPr>
          <w:rFonts w:ascii="仿宋" w:hAnsi="仿宋" w:cs="仿宋" w:eastAsia="仿宋"/>
          <w:sz w:val="24"/>
        </w:rPr>
        <w:t>提前三个工作日向甲方提出书面申请，</w:t>
      </w:r>
      <w:r>
        <w:rPr>
          <w:rFonts w:ascii="仿宋" w:hAnsi="仿宋" w:cs="仿宋" w:eastAsia="仿宋"/>
          <w:sz w:val="24"/>
        </w:rPr>
        <w:t>经</w:t>
      </w:r>
      <w:r>
        <w:rPr>
          <w:rFonts w:ascii="仿宋" w:hAnsi="仿宋" w:cs="仿宋" w:eastAsia="仿宋"/>
          <w:sz w:val="24"/>
        </w:rPr>
        <w:t>甲方</w:t>
      </w:r>
      <w:r>
        <w:rPr>
          <w:rFonts w:ascii="仿宋" w:hAnsi="仿宋" w:cs="仿宋" w:eastAsia="仿宋"/>
          <w:sz w:val="24"/>
        </w:rPr>
        <w:t>同意且更换的人员必须与被更换人员具有相同的能力</w:t>
      </w:r>
      <w:r>
        <w:rPr>
          <w:rFonts w:ascii="仿宋" w:hAnsi="仿宋" w:cs="仿宋" w:eastAsia="仿宋"/>
          <w:sz w:val="24"/>
        </w:rPr>
        <w:t>时方可更换</w:t>
      </w:r>
      <w:r>
        <w:rPr>
          <w:rFonts w:ascii="仿宋" w:hAnsi="仿宋" w:cs="仿宋" w:eastAsia="仿宋"/>
          <w:sz w:val="24"/>
        </w:rPr>
        <w:t>。整个项目周期内</w:t>
      </w:r>
      <w:r>
        <w:rPr>
          <w:rFonts w:ascii="仿宋" w:hAnsi="仿宋" w:cs="仿宋" w:eastAsia="仿宋"/>
          <w:sz w:val="24"/>
        </w:rPr>
        <w:t>乙方</w:t>
      </w:r>
      <w:r>
        <w:rPr>
          <w:rFonts w:ascii="仿宋" w:hAnsi="仿宋" w:cs="仿宋" w:eastAsia="仿宋"/>
          <w:sz w:val="24"/>
        </w:rPr>
        <w:t>主动更换项目小组人员不得超过总人数的</w:t>
      </w:r>
      <w:r>
        <w:rPr>
          <w:rFonts w:ascii="仿宋" w:hAnsi="仿宋" w:cs="仿宋" w:eastAsia="仿宋"/>
          <w:sz w:val="24"/>
        </w:rPr>
        <w:t>50%。</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乙方</w:t>
      </w:r>
      <w:r>
        <w:rPr>
          <w:rFonts w:ascii="仿宋" w:hAnsi="仿宋" w:cs="仿宋" w:eastAsia="仿宋"/>
          <w:sz w:val="24"/>
        </w:rPr>
        <w:t>应安排技术人员，</w:t>
      </w:r>
      <w:r>
        <w:rPr>
          <w:rFonts w:ascii="仿宋" w:hAnsi="仿宋" w:cs="仿宋" w:eastAsia="仿宋"/>
          <w:sz w:val="24"/>
        </w:rPr>
        <w:t>根据甲方需求</w:t>
      </w:r>
      <w:r>
        <w:rPr>
          <w:rFonts w:ascii="仿宋" w:hAnsi="仿宋" w:cs="仿宋" w:eastAsia="仿宋"/>
          <w:sz w:val="24"/>
        </w:rPr>
        <w:t>完成各系统项目技术文档编写工作，包括但不限于规划、设计、实施、测试、上线、运维维护等技术手册。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乙方</w:t>
      </w:r>
      <w:r>
        <w:rPr>
          <w:rFonts w:ascii="仿宋" w:hAnsi="仿宋" w:cs="仿宋" w:eastAsia="仿宋"/>
          <w:sz w:val="24"/>
        </w:rPr>
        <w:t>需</w:t>
      </w:r>
      <w:r>
        <w:rPr>
          <w:rFonts w:ascii="仿宋" w:hAnsi="仿宋" w:cs="仿宋" w:eastAsia="仿宋"/>
          <w:sz w:val="24"/>
        </w:rPr>
        <w:t>根据甲方需求</w:t>
      </w:r>
      <w:r>
        <w:rPr>
          <w:rFonts w:ascii="仿宋" w:hAnsi="仿宋" w:cs="仿宋" w:eastAsia="仿宋"/>
          <w:sz w:val="24"/>
        </w:rPr>
        <w:t>提供项目组成员名单及联系方式（包括手机及电子邮件等），提供项目组成员资质、在本公司工作年限、社保等证明资料。</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乙方项目组应协助、配合甲方的工作，按照甲方提出并经甲方同意的技术要求和实施计划要求，配合其开展工程实施工作。在工程实施过程中，服从甲方的统一管理，严格执行相关管理制度和标准规范，协调原广商技术人员参与工程实施。</w:t>
      </w:r>
    </w:p>
    <w:p>
      <w:pPr>
        <w:pStyle w:val="null3"/>
        <w:ind w:firstLine="480"/>
        <w:jc w:val="both"/>
      </w:pPr>
      <w:r>
        <w:rPr>
          <w:rFonts w:ascii="仿宋" w:hAnsi="仿宋" w:cs="仿宋" w:eastAsia="仿宋"/>
          <w:sz w:val="24"/>
        </w:rPr>
        <w:t>7.</w:t>
      </w:r>
      <w:r>
        <w:rPr>
          <w:rFonts w:ascii="仿宋" w:hAnsi="仿宋" w:cs="仿宋" w:eastAsia="仿宋"/>
          <w:sz w:val="24"/>
        </w:rPr>
        <w:t>4</w:t>
      </w:r>
      <w:r>
        <w:rPr>
          <w:rFonts w:ascii="calibri" w:hAnsi="calibri" w:cs="calibri" w:eastAsia="calibri"/>
          <w:sz w:val="21"/>
        </w:rPr>
        <w:t xml:space="preserve"> </w:t>
      </w:r>
      <w:r>
        <w:rPr>
          <w:rFonts w:ascii="仿宋" w:hAnsi="仿宋" w:cs="仿宋" w:eastAsia="仿宋"/>
          <w:sz w:val="24"/>
          <w:b/>
        </w:rPr>
        <w:t>产品技术培训</w:t>
      </w:r>
    </w:p>
    <w:p>
      <w:pPr>
        <w:pStyle w:val="null3"/>
        <w:ind w:firstLine="480"/>
        <w:jc w:val="both"/>
      </w:pPr>
      <w:r>
        <w:rPr>
          <w:rFonts w:ascii="仿宋" w:hAnsi="仿宋" w:cs="仿宋" w:eastAsia="仿宋"/>
          <w:sz w:val="24"/>
        </w:rPr>
        <w:t>乙方需要针对中标产品向甲方免费提供技术培训，包括但不限于开关机操作、健康检查、管理配置、故障排查等。</w:t>
      </w:r>
    </w:p>
    <w:p>
      <w:pPr>
        <w:pStyle w:val="null3"/>
        <w:spacing w:before="150"/>
        <w:ind w:firstLine="482"/>
        <w:jc w:val="both"/>
      </w:pPr>
      <w:r>
        <w:rPr>
          <w:rFonts w:ascii="仿宋" w:hAnsi="仿宋" w:cs="仿宋" w:eastAsia="仿宋"/>
          <w:sz w:val="24"/>
          <w:b/>
        </w:rPr>
        <w:t>第八条</w:t>
      </w:r>
      <w:r>
        <w:rPr>
          <w:rFonts w:ascii="仿宋" w:hAnsi="仿宋" w:cs="仿宋" w:eastAsia="仿宋"/>
          <w:sz w:val="24"/>
          <w:b/>
        </w:rPr>
        <w:t>违约责任</w:t>
      </w:r>
    </w:p>
    <w:p>
      <w:pPr>
        <w:pStyle w:val="null3"/>
        <w:ind w:firstLine="480"/>
        <w:jc w:val="both"/>
      </w:pPr>
      <w:r>
        <w:rPr>
          <w:rFonts w:ascii="仿宋" w:hAnsi="仿宋" w:cs="仿宋" w:eastAsia="仿宋"/>
          <w:sz w:val="24"/>
        </w:rPr>
        <w:t>8</w:t>
      </w:r>
      <w:r>
        <w:rPr>
          <w:rFonts w:ascii="仿宋" w:hAnsi="仿宋" w:cs="仿宋" w:eastAsia="仿宋"/>
          <w:sz w:val="24"/>
        </w:rPr>
        <w:t>.1 乙方</w:t>
      </w:r>
      <w:r>
        <w:rPr>
          <w:rFonts w:ascii="仿宋" w:hAnsi="仿宋" w:cs="仿宋" w:eastAsia="仿宋"/>
          <w:sz w:val="24"/>
        </w:rPr>
        <w:t>提供的服务不满足附件三重要性为</w:t>
      </w:r>
      <w:r>
        <w:rPr>
          <w:rFonts w:ascii="仿宋" w:hAnsi="仿宋" w:cs="仿宋" w:eastAsia="仿宋"/>
          <w:sz w:val="24"/>
        </w:rPr>
        <w:t>“★”项或出具承诺函的“#”项的任何技术要求的，每项按合同总金额5%的比例向甲方支付违约金，</w:t>
      </w:r>
      <w:r>
        <w:rPr>
          <w:rFonts w:ascii="仿宋" w:hAnsi="仿宋" w:cs="仿宋" w:eastAsia="仿宋"/>
          <w:sz w:val="24"/>
        </w:rPr>
        <w:t>并赔偿给甲方造成的损失，</w:t>
      </w:r>
      <w:r>
        <w:rPr>
          <w:rFonts w:ascii="仿宋" w:hAnsi="仿宋" w:cs="仿宋" w:eastAsia="仿宋"/>
          <w:sz w:val="24"/>
        </w:rPr>
        <w:t>同时甲方有权解除合同</w:t>
      </w:r>
      <w:r>
        <w:rPr>
          <w:rFonts w:ascii="仿宋" w:hAnsi="仿宋" w:cs="仿宋" w:eastAsia="仿宋"/>
          <w:sz w:val="24"/>
        </w:rPr>
        <w:t>，且无需承担任何责任</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.2</w:t>
      </w:r>
      <w:r>
        <w:rPr>
          <w:rFonts w:ascii="calibri" w:hAnsi="calibri" w:cs="calibri" w:eastAsia="calibri"/>
          <w:sz w:val="21"/>
        </w:rPr>
        <w:t xml:space="preserve"> </w:t>
      </w:r>
      <w:r>
        <w:rPr>
          <w:rFonts w:ascii="仿宋" w:hAnsi="仿宋" w:cs="仿宋" w:eastAsia="仿宋"/>
          <w:sz w:val="24"/>
        </w:rPr>
        <w:t>如因乙方原因不能完全履约提供合同所列产品的，乙方应在接到甲方书面通知二十（</w:t>
      </w:r>
      <w:r>
        <w:rPr>
          <w:rFonts w:ascii="仿宋" w:hAnsi="仿宋" w:cs="仿宋" w:eastAsia="仿宋"/>
          <w:sz w:val="24"/>
        </w:rPr>
        <w:t>20）个工作日内退还甲方已经支付的全部费用，按合同总额的5%向甲方支付违约金，并承担由此给甲方造成的一切损失</w:t>
      </w:r>
      <w:r>
        <w:rPr>
          <w:rFonts w:ascii="宋体" w:hAnsi="宋体" w:cs="宋体" w:eastAsia="宋体"/>
          <w:sz w:val="21"/>
        </w:rPr>
        <w:t>。</w:t>
      </w:r>
    </w:p>
    <w:p>
      <w:pPr>
        <w:pStyle w:val="null3"/>
        <w:ind w:firstLine="480"/>
        <w:jc w:val="both"/>
      </w:pPr>
      <w:r>
        <w:rPr>
          <w:rFonts w:ascii="仿宋" w:hAnsi="仿宋" w:cs="仿宋" w:eastAsia="仿宋"/>
          <w:sz w:val="24"/>
        </w:rPr>
        <w:t xml:space="preserve">8.3 </w:t>
      </w:r>
      <w:r>
        <w:rPr>
          <w:rFonts w:ascii="仿宋" w:hAnsi="仿宋" w:cs="仿宋" w:eastAsia="仿宋"/>
          <w:sz w:val="24"/>
        </w:rPr>
        <w:t>乙方逾期交货的，或者乙方逾期完成</w:t>
      </w:r>
      <w:r>
        <w:rPr>
          <w:rFonts w:ascii="仿宋" w:hAnsi="仿宋" w:cs="仿宋" w:eastAsia="仿宋"/>
          <w:sz w:val="24"/>
        </w:rPr>
        <w:t>安装调试服务及验收</w:t>
      </w:r>
      <w:r>
        <w:rPr>
          <w:rFonts w:ascii="仿宋" w:hAnsi="仿宋" w:cs="仿宋" w:eastAsia="仿宋"/>
          <w:sz w:val="24"/>
        </w:rPr>
        <w:t>，或者逾期完成</w:t>
      </w:r>
      <w:r>
        <w:rPr>
          <w:rFonts w:ascii="仿宋" w:hAnsi="仿宋" w:cs="仿宋" w:eastAsia="仿宋"/>
          <w:sz w:val="24"/>
        </w:rPr>
        <w:t>最终验收</w:t>
      </w:r>
      <w:r>
        <w:rPr>
          <w:rFonts w:ascii="仿宋" w:hAnsi="仿宋" w:cs="仿宋" w:eastAsia="仿宋"/>
          <w:sz w:val="24"/>
        </w:rPr>
        <w:t>等的，每逾期</w:t>
      </w:r>
      <w:r>
        <w:rPr>
          <w:rFonts w:ascii="仿宋" w:hAnsi="仿宋" w:cs="仿宋" w:eastAsia="仿宋"/>
          <w:sz w:val="24"/>
        </w:rPr>
        <w:t>1日，按照合同总金额</w:t>
      </w:r>
      <w:r>
        <w:rPr>
          <w:rFonts w:ascii="仿宋" w:hAnsi="仿宋" w:cs="仿宋" w:eastAsia="仿宋"/>
          <w:sz w:val="24"/>
        </w:rPr>
        <w:t>1.5‰</w:t>
      </w:r>
      <w:r>
        <w:rPr>
          <w:rFonts w:ascii="仿宋" w:hAnsi="仿宋" w:cs="仿宋" w:eastAsia="仿宋"/>
          <w:sz w:val="24"/>
        </w:rPr>
        <w:t>的比例向甲方支付违约金，</w:t>
      </w:r>
      <w:r>
        <w:rPr>
          <w:rFonts w:ascii="仿宋" w:hAnsi="仿宋" w:cs="仿宋" w:eastAsia="仿宋"/>
          <w:sz w:val="24"/>
        </w:rPr>
        <w:t>并赔偿给甲方造成的损失</w:t>
      </w:r>
      <w:r>
        <w:rPr>
          <w:rFonts w:ascii="仿宋" w:hAnsi="仿宋" w:cs="仿宋" w:eastAsia="仿宋"/>
          <w:sz w:val="24"/>
        </w:rPr>
        <w:t>。逾期超过</w:t>
      </w:r>
      <w:r>
        <w:rPr>
          <w:rFonts w:ascii="仿宋" w:hAnsi="仿宋" w:cs="仿宋" w:eastAsia="仿宋"/>
          <w:sz w:val="24"/>
        </w:rPr>
        <w:t>1</w:t>
      </w:r>
      <w:r>
        <w:rPr>
          <w:rFonts w:ascii="仿宋" w:hAnsi="仿宋" w:cs="仿宋" w:eastAsia="仿宋"/>
          <w:sz w:val="24"/>
        </w:rPr>
        <w:t>0</w:t>
      </w:r>
      <w:r>
        <w:rPr>
          <w:rFonts w:ascii="仿宋" w:hAnsi="仿宋" w:cs="仿宋" w:eastAsia="仿宋"/>
          <w:sz w:val="24"/>
        </w:rPr>
        <w:t>日，视为乙方根本违约，甲方有权解除合同，并要求乙方按照合同总金额的</w:t>
      </w:r>
      <w:r>
        <w:rPr>
          <w:rFonts w:ascii="仿宋" w:hAnsi="仿宋" w:cs="仿宋" w:eastAsia="仿宋"/>
          <w:sz w:val="24"/>
        </w:rPr>
        <w:t>3</w:t>
      </w:r>
      <w:r>
        <w:rPr>
          <w:rFonts w:ascii="仿宋" w:hAnsi="仿宋" w:cs="仿宋" w:eastAsia="仿宋"/>
          <w:sz w:val="24"/>
        </w:rPr>
        <w:t>0</w:t>
      </w:r>
      <w:r>
        <w:rPr>
          <w:rFonts w:ascii="仿宋" w:hAnsi="仿宋" w:cs="仿宋" w:eastAsia="仿宋"/>
          <w:sz w:val="24"/>
        </w:rPr>
        <w:t>%向甲方支付违约金，乙方还应</w:t>
      </w:r>
      <w:r>
        <w:rPr>
          <w:rFonts w:ascii="仿宋" w:hAnsi="仿宋" w:cs="仿宋" w:eastAsia="仿宋"/>
          <w:sz w:val="24"/>
        </w:rPr>
        <w:t>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.4 乙方未按照约定时间响应甲方服务需求的，每逾期响应或延期到场1</w:t>
      </w:r>
      <w:r>
        <w:rPr>
          <w:rFonts w:ascii="仿宋" w:hAnsi="仿宋" w:cs="仿宋" w:eastAsia="仿宋"/>
          <w:sz w:val="24"/>
        </w:rPr>
        <w:t>日</w:t>
      </w:r>
      <w:r>
        <w:rPr>
          <w:rFonts w:ascii="仿宋" w:hAnsi="仿宋" w:cs="仿宋" w:eastAsia="仿宋"/>
          <w:sz w:val="24"/>
        </w:rPr>
        <w:t>，</w:t>
      </w:r>
      <w:r>
        <w:rPr>
          <w:rFonts w:ascii="仿宋" w:hAnsi="仿宋" w:cs="仿宋" w:eastAsia="仿宋"/>
          <w:sz w:val="24"/>
        </w:rPr>
        <w:t>按照</w:t>
      </w:r>
      <w:r>
        <w:rPr>
          <w:rFonts w:ascii="仿宋" w:hAnsi="仿宋" w:cs="仿宋" w:eastAsia="仿宋"/>
          <w:sz w:val="24"/>
        </w:rPr>
        <w:t>合同总金额</w:t>
      </w:r>
      <w:r>
        <w:rPr>
          <w:rFonts w:ascii="仿宋" w:hAnsi="仿宋" w:cs="仿宋" w:eastAsia="仿宋"/>
          <w:sz w:val="24"/>
        </w:rPr>
        <w:t>的</w:t>
      </w:r>
      <w:r>
        <w:rPr>
          <w:rFonts w:ascii="仿宋" w:hAnsi="仿宋" w:cs="仿宋" w:eastAsia="仿宋"/>
          <w:sz w:val="24"/>
        </w:rPr>
        <w:t>1.5‰承担违约责任，累计超过10日，视为乙方根本违约，甲方有权解除合同。</w:t>
      </w:r>
    </w:p>
    <w:p>
      <w:pPr>
        <w:pStyle w:val="null3"/>
        <w:ind w:firstLine="480"/>
        <w:jc w:val="both"/>
      </w:pPr>
      <w:r>
        <w:rPr>
          <w:rFonts w:ascii="仿宋" w:hAnsi="仿宋" w:cs="仿宋" w:eastAsia="仿宋"/>
          <w:sz w:val="24"/>
        </w:rPr>
        <w:t>8</w:t>
      </w:r>
      <w:r>
        <w:rPr>
          <w:rFonts w:ascii="仿宋" w:hAnsi="仿宋" w:cs="仿宋" w:eastAsia="仿宋"/>
          <w:sz w:val="24"/>
        </w:rPr>
        <w:t>.5 乙方违反其维护、培训</w:t>
      </w:r>
      <w:r>
        <w:rPr>
          <w:rFonts w:ascii="仿宋" w:hAnsi="仿宋" w:cs="仿宋" w:eastAsia="仿宋"/>
          <w:sz w:val="24"/>
        </w:rPr>
        <w:t>及合同其他义务的</w:t>
      </w:r>
      <w:r>
        <w:rPr>
          <w:rFonts w:ascii="仿宋" w:hAnsi="仿宋" w:cs="仿宋" w:eastAsia="仿宋"/>
          <w:sz w:val="24"/>
        </w:rPr>
        <w:t>，</w:t>
      </w:r>
      <w:r>
        <w:rPr>
          <w:rFonts w:ascii="仿宋" w:hAnsi="仿宋" w:cs="仿宋" w:eastAsia="仿宋"/>
          <w:sz w:val="24"/>
        </w:rPr>
        <w:t>除本合同另行约定违约责任外，</w:t>
      </w:r>
      <w:r>
        <w:rPr>
          <w:rFonts w:ascii="仿宋" w:hAnsi="仿宋" w:cs="仿宋" w:eastAsia="仿宋"/>
          <w:sz w:val="24"/>
        </w:rPr>
        <w:t>应按合同总金额</w:t>
      </w:r>
      <w:r>
        <w:rPr>
          <w:rFonts w:ascii="仿宋" w:hAnsi="仿宋" w:cs="仿宋" w:eastAsia="仿宋"/>
          <w:sz w:val="24"/>
        </w:rPr>
        <w:t>1%的比例向甲方支付违约金</w:t>
      </w:r>
      <w:r>
        <w:rPr>
          <w:rFonts w:ascii="仿宋" w:hAnsi="仿宋" w:cs="仿宋" w:eastAsia="仿宋"/>
          <w:sz w:val="24"/>
        </w:rPr>
        <w:t>，并赔偿给甲方造成的</w:t>
      </w:r>
      <w:r>
        <w:rPr>
          <w:rFonts w:ascii="仿宋" w:hAnsi="仿宋" w:cs="仿宋" w:eastAsia="仿宋"/>
          <w:sz w:val="24"/>
        </w:rPr>
        <w:t>损失。</w:t>
      </w:r>
    </w:p>
    <w:p>
      <w:pPr>
        <w:pStyle w:val="null3"/>
        <w:ind w:firstLine="480"/>
        <w:jc w:val="both"/>
      </w:pPr>
      <w:r>
        <w:rPr>
          <w:rFonts w:ascii="仿宋" w:hAnsi="仿宋" w:cs="仿宋" w:eastAsia="仿宋"/>
          <w:sz w:val="24"/>
        </w:rPr>
        <w:t>8</w:t>
      </w:r>
      <w:r>
        <w:rPr>
          <w:rFonts w:ascii="仿宋" w:hAnsi="仿宋" w:cs="仿宋" w:eastAsia="仿宋"/>
          <w:sz w:val="24"/>
        </w:rPr>
        <w:t>.6 乙方需按照本项目要求指定1名团队负责人，在服务周期内全程组织参与相关工作。如更换团队负责人，</w:t>
      </w:r>
      <w:r>
        <w:rPr>
          <w:rFonts w:ascii="仿宋" w:hAnsi="仿宋" w:cs="仿宋" w:eastAsia="仿宋"/>
          <w:sz w:val="24"/>
        </w:rPr>
        <w:t>须提前一个月向甲方书面申请并征得甲方书面同意，否则扣除合同总金额的</w:t>
      </w:r>
      <w:r>
        <w:rPr>
          <w:rFonts w:ascii="仿宋" w:hAnsi="仿宋" w:cs="仿宋" w:eastAsia="仿宋"/>
          <w:sz w:val="24"/>
        </w:rPr>
        <w:t>5%</w:t>
      </w:r>
      <w:r>
        <w:rPr>
          <w:rFonts w:ascii="仿宋" w:hAnsi="仿宋" w:cs="仿宋" w:eastAsia="仿宋"/>
          <w:sz w:val="24"/>
        </w:rPr>
        <w:t>作为违约金</w:t>
      </w:r>
      <w:r>
        <w:rPr>
          <w:rFonts w:ascii="仿宋" w:hAnsi="仿宋" w:cs="仿宋" w:eastAsia="仿宋"/>
          <w:sz w:val="24"/>
        </w:rPr>
        <w:t>。服务周期内</w:t>
      </w:r>
      <w:r>
        <w:rPr>
          <w:rFonts w:ascii="仿宋" w:hAnsi="仿宋" w:cs="仿宋" w:eastAsia="仿宋"/>
          <w:sz w:val="24"/>
        </w:rPr>
        <w:t>团队负责人</w:t>
      </w:r>
      <w:r>
        <w:rPr>
          <w:rFonts w:ascii="仿宋" w:hAnsi="仿宋" w:cs="仿宋" w:eastAsia="仿宋"/>
          <w:sz w:val="24"/>
        </w:rPr>
        <w:t>更换</w:t>
      </w:r>
      <w:r>
        <w:rPr>
          <w:rFonts w:ascii="仿宋" w:hAnsi="仿宋" w:cs="仿宋" w:eastAsia="仿宋"/>
          <w:sz w:val="24"/>
        </w:rPr>
        <w:t>2次（不含）以上，每再更换1次将扣除合同总金额的5%</w:t>
      </w:r>
      <w:r>
        <w:rPr>
          <w:rFonts w:ascii="仿宋" w:hAnsi="仿宋" w:cs="仿宋" w:eastAsia="仿宋"/>
          <w:sz w:val="24"/>
        </w:rPr>
        <w:t>作为违约金</w:t>
      </w:r>
      <w:r>
        <w:rPr>
          <w:rFonts w:ascii="仿宋" w:hAnsi="仿宋" w:cs="仿宋" w:eastAsia="仿宋"/>
          <w:sz w:val="24"/>
        </w:rPr>
        <w:t>，即自第</w:t>
      </w:r>
      <w:r>
        <w:rPr>
          <w:rFonts w:ascii="仿宋" w:hAnsi="仿宋" w:cs="仿宋" w:eastAsia="仿宋"/>
          <w:sz w:val="24"/>
        </w:rPr>
        <w:t>3次（含）更换，</w:t>
      </w:r>
      <w:r>
        <w:rPr>
          <w:rFonts w:ascii="仿宋" w:hAnsi="仿宋" w:cs="仿宋" w:eastAsia="仿宋"/>
          <w:sz w:val="24"/>
        </w:rPr>
        <w:t>每更换一次</w:t>
      </w:r>
      <w:r>
        <w:rPr>
          <w:rFonts w:ascii="仿宋" w:hAnsi="仿宋" w:cs="仿宋" w:eastAsia="仿宋"/>
          <w:sz w:val="24"/>
        </w:rPr>
        <w:t>扣除合同总金额</w:t>
      </w:r>
      <w:r>
        <w:rPr>
          <w:rFonts w:ascii="仿宋" w:hAnsi="仿宋" w:cs="仿宋" w:eastAsia="仿宋"/>
          <w:sz w:val="24"/>
        </w:rPr>
        <w:t>5%/次作为违约金。</w:t>
      </w:r>
    </w:p>
    <w:p>
      <w:pPr>
        <w:pStyle w:val="null3"/>
        <w:ind w:firstLine="480"/>
        <w:jc w:val="both"/>
      </w:pPr>
      <w:r>
        <w:rPr>
          <w:rFonts w:ascii="仿宋" w:hAnsi="仿宋" w:cs="仿宋" w:eastAsia="仿宋"/>
          <w:sz w:val="24"/>
        </w:rPr>
        <w:t>8</w:t>
      </w:r>
      <w:r>
        <w:rPr>
          <w:rFonts w:ascii="仿宋" w:hAnsi="仿宋" w:cs="仿宋" w:eastAsia="仿宋"/>
          <w:sz w:val="24"/>
        </w:rPr>
        <w:t>.7 甲方对乙方的有效投诉超过3次（不含）以上,乙方每次应按合同总金额的</w:t>
      </w:r>
      <w:r>
        <w:rPr>
          <w:rFonts w:ascii="仿宋" w:hAnsi="仿宋" w:cs="仿宋" w:eastAsia="仿宋"/>
          <w:sz w:val="24"/>
        </w:rPr>
        <w:t>2</w:t>
      </w:r>
      <w:r>
        <w:rPr>
          <w:rFonts w:ascii="仿宋" w:hAnsi="仿宋" w:cs="仿宋" w:eastAsia="仿宋"/>
          <w:sz w:val="24"/>
        </w:rPr>
        <w:t>‰</w:t>
      </w:r>
      <w:r>
        <w:rPr>
          <w:rFonts w:ascii="仿宋" w:hAnsi="仿宋" w:cs="仿宋" w:eastAsia="仿宋"/>
          <w:sz w:val="24"/>
        </w:rPr>
        <w:t>向甲方支付违约金。有效投诉是指乙方未按照合同及附件规定的方式、时间提供技术服务等</w:t>
      </w:r>
      <w:r>
        <w:rPr>
          <w:rFonts w:ascii="仿宋" w:hAnsi="仿宋" w:cs="仿宋" w:eastAsia="仿宋"/>
          <w:sz w:val="24"/>
        </w:rPr>
        <w:t>,</w:t>
      </w:r>
      <w:r>
        <w:rPr>
          <w:rFonts w:ascii="仿宋" w:hAnsi="仿宋" w:cs="仿宋" w:eastAsia="仿宋"/>
          <w:sz w:val="24"/>
        </w:rPr>
        <w:t>以及甲方对乙方的服务人员及任何相关服务提出异议等。</w:t>
      </w:r>
    </w:p>
    <w:p>
      <w:pPr>
        <w:pStyle w:val="null3"/>
        <w:ind w:firstLine="480"/>
        <w:jc w:val="both"/>
      </w:pPr>
      <w:r>
        <w:rPr>
          <w:rFonts w:ascii="仿宋" w:hAnsi="仿宋" w:cs="仿宋" w:eastAsia="仿宋"/>
          <w:sz w:val="24"/>
        </w:rPr>
        <w:t>8</w:t>
      </w:r>
      <w:r>
        <w:rPr>
          <w:rFonts w:ascii="仿宋" w:hAnsi="仿宋" w:cs="仿宋" w:eastAsia="仿宋"/>
          <w:sz w:val="24"/>
        </w:rPr>
        <w:t>.8 乙方或乙方技术人员在提供服务时或提供服务外造成甲方设施、材料及甲方客户、物品损坏或损失的，由乙方承担所有的赔偿责任。</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9</w:t>
      </w:r>
      <w:r>
        <w:rPr>
          <w:rFonts w:ascii="calibri" w:hAnsi="calibri" w:cs="calibri" w:eastAsia="calibri"/>
          <w:sz w:val="21"/>
        </w:rPr>
        <w:t xml:space="preserve"> </w:t>
      </w:r>
      <w:r>
        <w:rPr>
          <w:rFonts w:ascii="仿宋" w:hAnsi="仿宋" w:cs="仿宋" w:eastAsia="仿宋"/>
          <w:sz w:val="24"/>
        </w:rPr>
        <w:t>乙方应确保其提供的服务不会对甲方产生不利影响。如果因此给甲方造成不利影响，或影响甲方的正常工作，乙方应赔偿甲方因此而遭受的一切损失。</w:t>
      </w:r>
    </w:p>
    <w:p>
      <w:pPr>
        <w:pStyle w:val="null3"/>
        <w:ind w:firstLine="480"/>
        <w:jc w:val="both"/>
      </w:pPr>
      <w:r>
        <w:rPr>
          <w:rFonts w:ascii="仿宋" w:hAnsi="仿宋" w:cs="仿宋" w:eastAsia="仿宋"/>
          <w:sz w:val="24"/>
        </w:rPr>
        <w:t>8</w:t>
      </w:r>
      <w:r>
        <w:rPr>
          <w:rFonts w:ascii="仿宋" w:hAnsi="仿宋" w:cs="仿宋" w:eastAsia="仿宋"/>
          <w:sz w:val="24"/>
        </w:rPr>
        <w:t xml:space="preserve">.10 </w:t>
      </w:r>
      <w:r>
        <w:rPr>
          <w:rFonts w:ascii="仿宋" w:hAnsi="仿宋" w:cs="仿宋" w:eastAsia="仿宋"/>
          <w:sz w:val="24"/>
        </w:rPr>
        <w:t>乙方违反本合同保密约定或保密承诺书（附件一）任一条款的，甲方有权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w:t>
      </w:r>
      <w:r>
        <w:rPr>
          <w:rFonts w:ascii="仿宋" w:hAnsi="仿宋" w:cs="仿宋" w:eastAsia="仿宋"/>
          <w:sz w:val="24"/>
        </w:rPr>
        <w:t>1 乙方违反本合同廉洁共建承诺书（附件二）任一条款的，</w:t>
      </w:r>
      <w:r>
        <w:rPr>
          <w:rFonts w:ascii="仿宋" w:hAnsi="仿宋" w:cs="仿宋" w:eastAsia="仿宋"/>
          <w:sz w:val="24"/>
        </w:rPr>
        <w:t>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20个工作日内退还甲方已经支付的全部费用，并赔偿因此给甲方造成的全部损失。</w:t>
      </w:r>
    </w:p>
    <w:p>
      <w:pPr>
        <w:pStyle w:val="null3"/>
        <w:ind w:firstLine="480"/>
        <w:jc w:val="both"/>
      </w:pPr>
      <w:r>
        <w:rPr>
          <w:rFonts w:ascii="仿宋" w:hAnsi="仿宋" w:cs="仿宋" w:eastAsia="仿宋"/>
          <w:sz w:val="24"/>
        </w:rPr>
        <w:t xml:space="preserve">8.12 </w:t>
      </w:r>
      <w:r>
        <w:rPr>
          <w:rFonts w:ascii="仿宋" w:hAnsi="仿宋" w:cs="仿宋" w:eastAsia="仿宋"/>
          <w:sz w:val="24"/>
        </w:rPr>
        <w:t>乙方未按约定擅自将本合同项下权利义务转包或分包给第三方的，甲方有权</w:t>
      </w:r>
      <w:r>
        <w:rPr>
          <w:rFonts w:ascii="仿宋" w:hAnsi="仿宋" w:cs="仿宋" w:eastAsia="仿宋"/>
          <w:sz w:val="24"/>
        </w:rPr>
        <w:t>解除</w:t>
      </w:r>
      <w:r>
        <w:rPr>
          <w:rFonts w:ascii="仿宋" w:hAnsi="仿宋" w:cs="仿宋" w:eastAsia="仿宋"/>
          <w:sz w:val="24"/>
        </w:rPr>
        <w:t>合同。乙方应在接到甲方书面通知</w:t>
      </w:r>
      <w:r>
        <w:rPr>
          <w:rFonts w:ascii="仿宋" w:hAnsi="仿宋" w:cs="仿宋" w:eastAsia="仿宋"/>
          <w:sz w:val="24"/>
        </w:rPr>
        <w:t>20个工作日内向甲方支付合同金额5%的违约金，</w:t>
      </w:r>
      <w:r>
        <w:rPr>
          <w:rFonts w:ascii="仿宋" w:hAnsi="仿宋" w:cs="仿宋" w:eastAsia="仿宋"/>
          <w:sz w:val="24"/>
        </w:rPr>
        <w:t>并赔偿给甲方造成的损失</w:t>
      </w:r>
      <w:r>
        <w:rPr>
          <w:rFonts w:ascii="仿宋" w:hAnsi="仿宋" w:cs="仿宋" w:eastAsia="仿宋"/>
          <w:sz w:val="24"/>
        </w:rPr>
        <w:t>。</w:t>
      </w:r>
    </w:p>
    <w:p>
      <w:pPr>
        <w:pStyle w:val="null3"/>
        <w:ind w:firstLine="480"/>
        <w:jc w:val="both"/>
      </w:pPr>
      <w:r>
        <w:rPr>
          <w:rFonts w:ascii="仿宋" w:hAnsi="仿宋" w:cs="仿宋" w:eastAsia="仿宋"/>
          <w:sz w:val="24"/>
        </w:rPr>
        <w:t>8</w:t>
      </w:r>
      <w:r>
        <w:rPr>
          <w:rFonts w:ascii="仿宋" w:hAnsi="仿宋" w:cs="仿宋" w:eastAsia="仿宋"/>
          <w:sz w:val="24"/>
        </w:rPr>
        <w:t>.</w:t>
      </w:r>
      <w:r>
        <w:rPr>
          <w:rFonts w:ascii="仿宋" w:hAnsi="仿宋" w:cs="仿宋" w:eastAsia="仿宋"/>
          <w:sz w:val="24"/>
        </w:rPr>
        <w:t>13 乙方出现上述任一违约情形，或出现向人民银行系统单位进行商业贿赂、列入失信被执行人等情形的，甲方有权解除合同，由此造成甲方的损失由乙方赔偿，且甲方有权报告上级主管部门。乙方承诺如出现上述情况，未来不再参与甲方采购活动。</w:t>
      </w:r>
    </w:p>
    <w:p>
      <w:pPr>
        <w:pStyle w:val="null3"/>
        <w:ind w:firstLine="480"/>
        <w:jc w:val="both"/>
      </w:pPr>
      <w:r>
        <w:rPr>
          <w:rFonts w:ascii="仿宋" w:hAnsi="仿宋" w:cs="仿宋" w:eastAsia="仿宋"/>
          <w:sz w:val="24"/>
        </w:rPr>
        <w:t>8</w:t>
      </w:r>
      <w:r>
        <w:rPr>
          <w:rFonts w:ascii="仿宋" w:hAnsi="仿宋" w:cs="仿宋" w:eastAsia="仿宋"/>
          <w:sz w:val="24"/>
        </w:rPr>
        <w:t>.14 如果违约方在收到守约方关于违约金额的正式书面通知两周内没有答复，则守约方提出的违约金额将视为被违约方接受。</w:t>
      </w:r>
    </w:p>
    <w:p>
      <w:pPr>
        <w:pStyle w:val="null3"/>
        <w:ind w:firstLine="480"/>
        <w:jc w:val="both"/>
      </w:pPr>
      <w:r>
        <w:rPr>
          <w:rFonts w:ascii="仿宋" w:hAnsi="仿宋" w:cs="仿宋" w:eastAsia="仿宋"/>
          <w:sz w:val="24"/>
        </w:rPr>
        <w:t>8</w:t>
      </w:r>
      <w:r>
        <w:rPr>
          <w:rFonts w:ascii="仿宋" w:hAnsi="仿宋" w:cs="仿宋" w:eastAsia="仿宋"/>
          <w:sz w:val="24"/>
        </w:rPr>
        <w:t>.15 任何一方在其违约情形出现之后的3个月内未采取合理有效的补救措施，另一方有权解除合同并提出索赔，双方将根据《中华人民共和国民法典》处理善后事宜。</w:t>
      </w:r>
    </w:p>
    <w:p>
      <w:pPr>
        <w:pStyle w:val="null3"/>
        <w:ind w:firstLine="480"/>
        <w:jc w:val="both"/>
      </w:pPr>
      <w:r>
        <w:rPr>
          <w:rFonts w:ascii="仿宋" w:hAnsi="仿宋" w:cs="仿宋" w:eastAsia="仿宋"/>
          <w:sz w:val="24"/>
        </w:rPr>
        <w:t>8</w:t>
      </w:r>
      <w:r>
        <w:rPr>
          <w:rFonts w:ascii="仿宋" w:hAnsi="仿宋" w:cs="仿宋" w:eastAsia="仿宋"/>
          <w:sz w:val="24"/>
        </w:rPr>
        <w:t>.16 乙方存在违约行为的，除承担违约金外，还应赔偿给甲方造成的损失。</w:t>
      </w:r>
      <w:r>
        <w:rPr>
          <w:rFonts w:ascii="仿宋" w:hAnsi="仿宋" w:cs="仿宋" w:eastAsia="仿宋"/>
          <w:sz w:val="24"/>
        </w:rPr>
        <w:t>该等甲方损失包括但不限于诉讼费、仲裁费、律师费、调查费、第三方主张的赔偿金以及其他因此支付的合理开支。</w:t>
      </w:r>
      <w:r>
        <w:rPr>
          <w:rFonts w:ascii="仿宋" w:hAnsi="仿宋" w:cs="仿宋" w:eastAsia="仿宋"/>
          <w:sz w:val="24"/>
        </w:rPr>
        <w:t>此外，甲方有权直接从未支付款项中扣除相应金额的款项作为乙方应支付的违约金或赔偿金。</w:t>
      </w:r>
    </w:p>
    <w:p>
      <w:pPr>
        <w:pStyle w:val="null3"/>
        <w:ind w:firstLine="480"/>
        <w:jc w:val="both"/>
      </w:pPr>
      <w:r>
        <w:rPr>
          <w:rFonts w:ascii="仿宋" w:hAnsi="仿宋" w:cs="仿宋" w:eastAsia="仿宋"/>
          <w:sz w:val="24"/>
        </w:rPr>
        <w:t>8</w:t>
      </w:r>
      <w:r>
        <w:rPr>
          <w:rFonts w:ascii="仿宋" w:hAnsi="仿宋" w:cs="仿宋" w:eastAsia="仿宋"/>
          <w:sz w:val="24"/>
        </w:rPr>
        <w:t>.17 甲乙双方承担违约责任并不影响双方继续履行合同未履行的部分。</w:t>
      </w:r>
    </w:p>
    <w:p>
      <w:pPr>
        <w:pStyle w:val="null3"/>
        <w:spacing w:before="150"/>
        <w:ind w:firstLine="482"/>
        <w:jc w:val="both"/>
      </w:pPr>
      <w:r>
        <w:rPr>
          <w:rFonts w:ascii="仿宋" w:hAnsi="仿宋" w:cs="仿宋" w:eastAsia="仿宋"/>
          <w:sz w:val="24"/>
          <w:b/>
        </w:rPr>
        <w:t>第九条</w:t>
      </w:r>
      <w:r>
        <w:rPr>
          <w:rFonts w:ascii="仿宋" w:hAnsi="仿宋" w:cs="仿宋" w:eastAsia="仿宋"/>
          <w:sz w:val="24"/>
          <w:b/>
        </w:rPr>
        <w:t>保密约定</w:t>
      </w:r>
    </w:p>
    <w:p>
      <w:pPr>
        <w:pStyle w:val="null3"/>
        <w:ind w:firstLine="480"/>
        <w:jc w:val="both"/>
      </w:pPr>
      <w:r>
        <w:rPr>
          <w:rFonts w:ascii="仿宋" w:hAnsi="仿宋" w:cs="仿宋" w:eastAsia="仿宋"/>
          <w:sz w:val="24"/>
        </w:rPr>
        <w:t>9.1 任何一方均应对在本合同履行过程中知悉的有关对方的商业、国家等秘密承担保密义务。除经秘密所有方的同意或法律、法规另有规定，相对方不得向本合同以外的任何第三人提供、泄漏上述秘密，由此给秘密所有方造成损失的，责任方应承担相应责任。</w:t>
      </w:r>
    </w:p>
    <w:p>
      <w:pPr>
        <w:pStyle w:val="null3"/>
        <w:ind w:firstLine="480"/>
        <w:jc w:val="both"/>
      </w:pPr>
      <w:r>
        <w:rPr>
          <w:rFonts w:ascii="仿宋" w:hAnsi="仿宋" w:cs="仿宋" w:eastAsia="仿宋"/>
          <w:sz w:val="24"/>
        </w:rPr>
        <w:t>9</w:t>
      </w:r>
      <w:r>
        <w:rPr>
          <w:rFonts w:ascii="仿宋" w:hAnsi="仿宋" w:cs="仿宋" w:eastAsia="仿宋"/>
          <w:sz w:val="24"/>
        </w:rPr>
        <w:t>.2 除合同本身以外，由甲方提供给乙方的所有资料始终为甲方的财产，乙方应于合同义务履行完毕后将上述资料包括副本退还给甲方。</w:t>
      </w:r>
    </w:p>
    <w:p>
      <w:pPr>
        <w:pStyle w:val="null3"/>
        <w:ind w:firstLine="480"/>
        <w:jc w:val="both"/>
      </w:pPr>
      <w:r>
        <w:rPr>
          <w:rFonts w:ascii="仿宋" w:hAnsi="仿宋" w:cs="仿宋" w:eastAsia="仿宋"/>
          <w:sz w:val="24"/>
        </w:rPr>
        <w:t>9</w:t>
      </w:r>
      <w:r>
        <w:rPr>
          <w:rFonts w:ascii="仿宋" w:hAnsi="仿宋" w:cs="仿宋" w:eastAsia="仿宋"/>
          <w:sz w:val="24"/>
        </w:rPr>
        <w:t>.3 甲方在合同履行过程中涉及到乙方使用人民银行内部资料、信息时，应向乙方明确其内部资料、信息的保密范围、保密期限。</w:t>
      </w:r>
    </w:p>
    <w:p>
      <w:pPr>
        <w:pStyle w:val="null3"/>
        <w:ind w:firstLine="480"/>
        <w:jc w:val="both"/>
      </w:pPr>
      <w:r>
        <w:rPr>
          <w:rFonts w:ascii="仿宋" w:hAnsi="仿宋" w:cs="仿宋" w:eastAsia="仿宋"/>
          <w:sz w:val="24"/>
        </w:rPr>
        <w:t>9.</w:t>
      </w:r>
      <w:r>
        <w:rPr>
          <w:rFonts w:ascii="仿宋" w:hAnsi="仿宋" w:cs="仿宋" w:eastAsia="仿宋"/>
          <w:sz w:val="24"/>
        </w:rPr>
        <w:t xml:space="preserve">4 </w:t>
      </w:r>
      <w:r>
        <w:rPr>
          <w:rFonts w:ascii="仿宋" w:hAnsi="仿宋" w:cs="仿宋" w:eastAsia="仿宋"/>
          <w:sz w:val="24"/>
        </w:rPr>
        <w:t>乙方应严守甲方的秘密，不经甲方批准不得以任何的形式将甲方资料及信息带出工作现场及透露给第三方。</w:t>
      </w:r>
    </w:p>
    <w:p>
      <w:pPr>
        <w:pStyle w:val="null3"/>
        <w:ind w:firstLine="480"/>
        <w:jc w:val="both"/>
      </w:pPr>
      <w:r>
        <w:rPr>
          <w:rFonts w:ascii="仿宋" w:hAnsi="仿宋" w:cs="仿宋" w:eastAsia="仿宋"/>
          <w:sz w:val="24"/>
        </w:rPr>
        <w:t>9.</w:t>
      </w:r>
      <w:r>
        <w:rPr>
          <w:rFonts w:ascii="仿宋" w:hAnsi="仿宋" w:cs="仿宋" w:eastAsia="仿宋"/>
          <w:sz w:val="24"/>
        </w:rPr>
        <w:t xml:space="preserve">5 </w:t>
      </w:r>
      <w:r>
        <w:rPr>
          <w:rFonts w:ascii="仿宋" w:hAnsi="仿宋" w:cs="仿宋" w:eastAsia="仿宋"/>
          <w:sz w:val="24"/>
        </w:rPr>
        <w:t>乙方应与甲方签订保密承诺书（附件一），严格遵守甲方及相关单位的保密规定及要求，对本单位参与人员出具保密承诺书，并要求在规定的保密期内不发生失泄密。如果参与人员在规定的保密期内发生失泄密行为，乙方应承担全部责任，并采取有效措施防止泄密进一步扩大。</w:t>
      </w:r>
    </w:p>
    <w:p>
      <w:pPr>
        <w:pStyle w:val="null3"/>
        <w:ind w:firstLine="480"/>
        <w:jc w:val="both"/>
      </w:pPr>
      <w:r>
        <w:rPr>
          <w:rFonts w:ascii="仿宋" w:hAnsi="仿宋" w:cs="仿宋" w:eastAsia="仿宋"/>
          <w:sz w:val="24"/>
        </w:rPr>
        <w:t>9</w:t>
      </w:r>
      <w:r>
        <w:rPr>
          <w:rFonts w:ascii="仿宋" w:hAnsi="仿宋" w:cs="仿宋" w:eastAsia="仿宋"/>
          <w:sz w:val="24"/>
        </w:rPr>
        <w:t>.6 不论合同是否解除或终止，本条款持续有效。</w:t>
      </w:r>
    </w:p>
    <w:p>
      <w:pPr>
        <w:pStyle w:val="null3"/>
        <w:spacing w:before="150"/>
        <w:ind w:firstLine="482"/>
        <w:jc w:val="both"/>
      </w:pPr>
      <w:r>
        <w:rPr>
          <w:rFonts w:ascii="仿宋" w:hAnsi="仿宋" w:cs="仿宋" w:eastAsia="仿宋"/>
          <w:sz w:val="24"/>
          <w:b/>
        </w:rPr>
        <w:t>第十条</w:t>
      </w:r>
      <w:r>
        <w:rPr>
          <w:rFonts w:ascii="仿宋" w:hAnsi="仿宋" w:cs="仿宋" w:eastAsia="仿宋"/>
          <w:sz w:val="24"/>
          <w:b/>
        </w:rPr>
        <w:t>不可抗力</w:t>
      </w:r>
    </w:p>
    <w:p>
      <w:pPr>
        <w:pStyle w:val="null3"/>
        <w:ind w:firstLine="480"/>
        <w:jc w:val="both"/>
      </w:pPr>
      <w:r>
        <w:rPr>
          <w:rFonts w:ascii="仿宋" w:hAnsi="仿宋" w:cs="仿宋" w:eastAsia="仿宋"/>
          <w:sz w:val="24"/>
        </w:rPr>
        <w:t>不可抗力系指合同双方缔结合同时所不能预见、并且它的发生及其后果是不能克服和不能避免的，并导致合同不能履行或部分不能履行的客观情况（如战争、火灾、洪水、台风、地震等重大自然灾害、疫情以及法律、法规、政策变化），受影响方应立即通知另一方，并于事件发生后</w:t>
      </w:r>
      <w:r>
        <w:rPr>
          <w:rFonts w:ascii="仿宋" w:hAnsi="仿宋" w:cs="仿宋" w:eastAsia="仿宋"/>
          <w:sz w:val="24"/>
        </w:rPr>
        <w:t>1</w:t>
      </w:r>
      <w:r>
        <w:rPr>
          <w:rFonts w:ascii="仿宋" w:hAnsi="仿宋" w:cs="仿宋" w:eastAsia="仿宋"/>
          <w:sz w:val="24"/>
        </w:rPr>
        <w:t>0</w:t>
      </w:r>
      <w:r>
        <w:rPr>
          <w:rFonts w:ascii="仿宋" w:hAnsi="仿宋" w:cs="仿宋" w:eastAsia="仿宋"/>
          <w:sz w:val="24"/>
        </w:rPr>
        <w:t>个日历日内将有效的证明文件用特快专递给对方确认。如果不可抗力因素的影响将持续</w:t>
      </w:r>
      <w:r>
        <w:rPr>
          <w:rFonts w:ascii="仿宋" w:hAnsi="仿宋" w:cs="仿宋" w:eastAsia="仿宋"/>
          <w:sz w:val="24"/>
        </w:rPr>
        <w:t>6</w:t>
      </w:r>
      <w:r>
        <w:rPr>
          <w:rFonts w:ascii="仿宋" w:hAnsi="仿宋" w:cs="仿宋" w:eastAsia="仿宋"/>
          <w:sz w:val="24"/>
        </w:rPr>
        <w:t>0</w:t>
      </w:r>
      <w:r>
        <w:rPr>
          <w:rFonts w:ascii="仿宋" w:hAnsi="仿宋" w:cs="仿宋" w:eastAsia="仿宋"/>
          <w:sz w:val="24"/>
        </w:rPr>
        <w:t>个日历日以上，甲乙双方应该通过友好谈判的方式，就本合同的进一步实施尽快达成协议。</w:t>
      </w:r>
    </w:p>
    <w:p>
      <w:pPr>
        <w:pStyle w:val="null3"/>
        <w:spacing w:before="150"/>
        <w:ind w:firstLine="482"/>
        <w:jc w:val="both"/>
      </w:pPr>
      <w:r>
        <w:rPr>
          <w:rFonts w:ascii="仿宋" w:hAnsi="仿宋" w:cs="仿宋" w:eastAsia="仿宋"/>
          <w:sz w:val="24"/>
          <w:b/>
        </w:rPr>
        <w:t>第十一条</w:t>
      </w:r>
      <w:r>
        <w:rPr>
          <w:rFonts w:ascii="仿宋" w:hAnsi="仿宋" w:cs="仿宋" w:eastAsia="仿宋"/>
          <w:sz w:val="24"/>
          <w:b/>
        </w:rPr>
        <w:t>争议解决</w:t>
      </w:r>
    </w:p>
    <w:p>
      <w:pPr>
        <w:pStyle w:val="null3"/>
        <w:ind w:firstLine="480"/>
        <w:jc w:val="both"/>
      </w:pPr>
      <w:r>
        <w:rPr>
          <w:rFonts w:ascii="仿宋" w:hAnsi="仿宋" w:cs="仿宋" w:eastAsia="仿宋"/>
          <w:sz w:val="24"/>
        </w:rPr>
        <w:t>1</w:t>
      </w:r>
      <w:r>
        <w:rPr>
          <w:rFonts w:ascii="仿宋" w:hAnsi="仿宋" w:cs="仿宋" w:eastAsia="仿宋"/>
          <w:sz w:val="24"/>
        </w:rPr>
        <w:t>1</w:t>
      </w:r>
      <w:r>
        <w:rPr>
          <w:rFonts w:ascii="仿宋" w:hAnsi="仿宋" w:cs="仿宋" w:eastAsia="仿宋"/>
          <w:sz w:val="24"/>
        </w:rPr>
        <w:t>.1 在执行本合同中所发生的争端，或与本合同有关的一切争端，甲乙双方应通过协商解决。如通过协商方式仍不能解决争议，</w:t>
      </w:r>
      <w:r>
        <w:rPr>
          <w:rFonts w:ascii="仿宋" w:hAnsi="仿宋" w:cs="仿宋" w:eastAsia="仿宋"/>
          <w:sz w:val="24"/>
        </w:rPr>
        <w:t>双方均有权</w:t>
      </w:r>
      <w:r>
        <w:rPr>
          <w:rFonts w:ascii="仿宋" w:hAnsi="仿宋" w:cs="仿宋" w:eastAsia="仿宋"/>
          <w:sz w:val="24"/>
        </w:rPr>
        <w:t>将争端提交北京仲裁委员会仲裁。仲裁应根据《中华人民共和国仲裁法》的规定，按照北京仲裁委员会当时有效的仲裁规则进行。仲裁裁决应为终局裁决，对双方均有约束力。</w:t>
      </w:r>
    </w:p>
    <w:p>
      <w:pPr>
        <w:pStyle w:val="null3"/>
        <w:ind w:firstLine="480"/>
        <w:jc w:val="both"/>
      </w:pPr>
      <w:r>
        <w:rPr>
          <w:rFonts w:ascii="仿宋" w:hAnsi="仿宋" w:cs="仿宋" w:eastAsia="仿宋"/>
          <w:sz w:val="24"/>
        </w:rPr>
        <w:t>1</w:t>
      </w:r>
      <w:r>
        <w:rPr>
          <w:rFonts w:ascii="仿宋" w:hAnsi="仿宋" w:cs="仿宋" w:eastAsia="仿宋"/>
          <w:sz w:val="24"/>
        </w:rPr>
        <w:t xml:space="preserve">1.2 </w:t>
      </w:r>
      <w:r>
        <w:rPr>
          <w:rFonts w:ascii="仿宋" w:hAnsi="仿宋" w:cs="仿宋" w:eastAsia="仿宋"/>
          <w:sz w:val="24"/>
        </w:rPr>
        <w:t>在仲裁期间，除正在进行仲裁部分外，本合同其他部分应继续执行。</w:t>
      </w:r>
    </w:p>
    <w:p>
      <w:pPr>
        <w:pStyle w:val="null3"/>
        <w:spacing w:before="150"/>
        <w:ind w:firstLine="482"/>
        <w:jc w:val="both"/>
      </w:pPr>
      <w:r>
        <w:rPr>
          <w:rFonts w:ascii="仿宋" w:hAnsi="仿宋" w:cs="仿宋" w:eastAsia="仿宋"/>
          <w:sz w:val="24"/>
          <w:b/>
        </w:rPr>
        <w:t>第十二条</w:t>
      </w:r>
      <w:r>
        <w:rPr>
          <w:rFonts w:ascii="仿宋" w:hAnsi="仿宋" w:cs="仿宋" w:eastAsia="仿宋"/>
          <w:sz w:val="24"/>
          <w:b/>
        </w:rPr>
        <w:t>合同的终止</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.1 甲乙双方均不得单方面随意变更或解除合同。出现下列情况时本合同自行终止：</w:t>
      </w:r>
    </w:p>
    <w:p>
      <w:pPr>
        <w:pStyle w:val="null3"/>
        <w:ind w:firstLine="480"/>
        <w:jc w:val="both"/>
      </w:pPr>
      <w:r>
        <w:rPr>
          <w:rFonts w:ascii="仿宋" w:hAnsi="仿宋" w:cs="仿宋" w:eastAsia="仿宋"/>
          <w:sz w:val="24"/>
        </w:rPr>
        <w:t>（</w:t>
      </w:r>
      <w:r>
        <w:rPr>
          <w:rFonts w:ascii="仿宋" w:hAnsi="仿宋" w:cs="仿宋" w:eastAsia="仿宋"/>
          <w:sz w:val="24"/>
        </w:rPr>
        <w:t>1）</w:t>
      </w:r>
      <w:r>
        <w:rPr>
          <w:rFonts w:ascii="仿宋" w:hAnsi="仿宋" w:cs="仿宋" w:eastAsia="仿宋"/>
          <w:sz w:val="24"/>
        </w:rPr>
        <w:t>本合同正常履行完毕；</w:t>
      </w:r>
    </w:p>
    <w:p>
      <w:pPr>
        <w:pStyle w:val="null3"/>
        <w:ind w:firstLine="480"/>
        <w:jc w:val="both"/>
      </w:pPr>
      <w:r>
        <w:rPr>
          <w:rFonts w:ascii="仿宋" w:hAnsi="仿宋" w:cs="仿宋" w:eastAsia="仿宋"/>
          <w:sz w:val="24"/>
        </w:rPr>
        <w:t>（</w:t>
      </w:r>
      <w:r>
        <w:rPr>
          <w:rFonts w:ascii="仿宋" w:hAnsi="仿宋" w:cs="仿宋" w:eastAsia="仿宋"/>
          <w:sz w:val="24"/>
        </w:rPr>
        <w:t>2）</w:t>
      </w:r>
      <w:r>
        <w:rPr>
          <w:rFonts w:ascii="仿宋" w:hAnsi="仿宋" w:cs="仿宋" w:eastAsia="仿宋"/>
          <w:sz w:val="24"/>
        </w:rPr>
        <w:t>甲乙双方在不违反法律、法规规定的情况下协议终止本合同的履行；</w:t>
      </w:r>
    </w:p>
    <w:p>
      <w:pPr>
        <w:pStyle w:val="null3"/>
        <w:ind w:firstLine="480"/>
        <w:jc w:val="both"/>
      </w:pPr>
      <w:r>
        <w:rPr>
          <w:rFonts w:ascii="仿宋" w:hAnsi="仿宋" w:cs="仿宋" w:eastAsia="仿宋"/>
          <w:sz w:val="24"/>
        </w:rPr>
        <w:t>（</w:t>
      </w:r>
      <w:r>
        <w:rPr>
          <w:rFonts w:ascii="仿宋" w:hAnsi="仿宋" w:cs="仿宋" w:eastAsia="仿宋"/>
          <w:sz w:val="24"/>
        </w:rPr>
        <w:t>3）</w:t>
      </w:r>
      <w:r>
        <w:rPr>
          <w:rFonts w:ascii="仿宋" w:hAnsi="仿宋" w:cs="仿宋" w:eastAsia="仿宋"/>
          <w:sz w:val="24"/>
        </w:rPr>
        <w:t>不可抗力导致本合同无法履行或履行不必要时，合同自不可抗力发生之日起终止；</w:t>
      </w:r>
    </w:p>
    <w:p>
      <w:pPr>
        <w:pStyle w:val="null3"/>
        <w:ind w:firstLine="480"/>
        <w:jc w:val="both"/>
      </w:pPr>
      <w:r>
        <w:rPr>
          <w:rFonts w:ascii="仿宋" w:hAnsi="仿宋" w:cs="仿宋" w:eastAsia="仿宋"/>
          <w:sz w:val="24"/>
        </w:rPr>
        <w:t>（</w:t>
      </w:r>
      <w:r>
        <w:rPr>
          <w:rFonts w:ascii="仿宋" w:hAnsi="仿宋" w:cs="仿宋" w:eastAsia="仿宋"/>
          <w:sz w:val="24"/>
        </w:rPr>
        <w:t>4</w:t>
      </w:r>
      <w:r>
        <w:rPr>
          <w:rFonts w:ascii="仿宋" w:hAnsi="仿宋" w:cs="仿宋" w:eastAsia="仿宋"/>
          <w:sz w:val="24"/>
        </w:rPr>
        <w:t>）</w:t>
      </w:r>
      <w:r>
        <w:rPr>
          <w:rFonts w:ascii="仿宋" w:hAnsi="仿宋" w:cs="仿宋" w:eastAsia="仿宋"/>
          <w:sz w:val="24"/>
        </w:rPr>
        <w:t>一方不履行合同条款，造成另一方无法执行合同协议，协商又不能求得解决，责任方赔偿损失后，合同终止。</w:t>
      </w:r>
    </w:p>
    <w:p>
      <w:pPr>
        <w:pStyle w:val="null3"/>
        <w:ind w:firstLine="480"/>
        <w:jc w:val="both"/>
      </w:pPr>
      <w:r>
        <w:rPr>
          <w:rFonts w:ascii="仿宋" w:hAnsi="仿宋" w:cs="仿宋" w:eastAsia="仿宋"/>
          <w:sz w:val="24"/>
        </w:rPr>
        <w:t>（</w:t>
      </w:r>
      <w:r>
        <w:rPr>
          <w:rFonts w:ascii="仿宋" w:hAnsi="仿宋" w:cs="仿宋" w:eastAsia="仿宋"/>
          <w:sz w:val="24"/>
        </w:rPr>
        <w:t>5）其他合同约定或法律规定终止合同的情形。</w:t>
      </w:r>
    </w:p>
    <w:p>
      <w:pPr>
        <w:pStyle w:val="null3"/>
        <w:ind w:firstLine="480"/>
        <w:jc w:val="both"/>
      </w:pPr>
      <w:r>
        <w:rPr>
          <w:rFonts w:ascii="仿宋" w:hAnsi="仿宋" w:cs="仿宋" w:eastAsia="仿宋"/>
          <w:sz w:val="24"/>
        </w:rPr>
        <w:t>1</w:t>
      </w:r>
      <w:r>
        <w:rPr>
          <w:rFonts w:ascii="仿宋" w:hAnsi="仿宋" w:cs="仿宋" w:eastAsia="仿宋"/>
          <w:sz w:val="24"/>
        </w:rPr>
        <w:t xml:space="preserve">2.2 </w:t>
      </w:r>
      <w:r>
        <w:rPr>
          <w:rFonts w:ascii="仿宋" w:hAnsi="仿宋" w:cs="仿宋" w:eastAsia="仿宋"/>
          <w:sz w:val="24"/>
        </w:rPr>
        <w:t>本项目服务有效期内，</w:t>
      </w:r>
      <w:r>
        <w:rPr>
          <w:rFonts w:ascii="仿宋" w:hAnsi="仿宋" w:cs="仿宋" w:eastAsia="仿宋"/>
          <w:sz w:val="24"/>
        </w:rPr>
        <w:t>甲方有权根据对乙方服务考核结果决定是否终止合同。若甲方在解除合同后未能及时与新的供应商签订服务合同，需延长一定服务期限，则乙方应根据甲方要求延长服务期限，延长服务期以合同到期日起</w:t>
      </w:r>
      <w:r>
        <w:rPr>
          <w:rFonts w:ascii="仿宋" w:hAnsi="仿宋" w:cs="仿宋" w:eastAsia="仿宋"/>
          <w:sz w:val="24"/>
        </w:rPr>
        <w:t>30日为限。当出现以下情形（不限于下列情形）时，即使乙方年度服务评价达标，甲方仍可以在年度服务期满时终止合同：</w:t>
      </w:r>
    </w:p>
    <w:p>
      <w:pPr>
        <w:pStyle w:val="null3"/>
        <w:ind w:firstLine="480"/>
        <w:jc w:val="both"/>
      </w:pPr>
      <w:r>
        <w:rPr>
          <w:rFonts w:ascii="仿宋" w:hAnsi="仿宋" w:cs="仿宋" w:eastAsia="仿宋"/>
          <w:sz w:val="24"/>
        </w:rPr>
        <w:t>（</w:t>
      </w:r>
      <w:r>
        <w:rPr>
          <w:rFonts w:ascii="仿宋" w:hAnsi="仿宋" w:cs="仿宋" w:eastAsia="仿宋"/>
          <w:sz w:val="24"/>
        </w:rPr>
        <w:t>1）因突发性政策调整或变动，甲方预算或需求发生较大变化，无法继续购买乙方服务；</w:t>
      </w:r>
    </w:p>
    <w:p>
      <w:pPr>
        <w:pStyle w:val="null3"/>
        <w:ind w:firstLine="480"/>
        <w:jc w:val="both"/>
      </w:pPr>
      <w:r>
        <w:rPr>
          <w:rFonts w:ascii="仿宋" w:hAnsi="仿宋" w:cs="仿宋" w:eastAsia="仿宋"/>
          <w:sz w:val="24"/>
        </w:rPr>
        <w:t>（</w:t>
      </w:r>
      <w:r>
        <w:rPr>
          <w:rFonts w:ascii="仿宋" w:hAnsi="仿宋" w:cs="仿宋" w:eastAsia="仿宋"/>
          <w:sz w:val="24"/>
        </w:rPr>
        <w:t>2）其他影响甲方继续履行合同的客观情况。</w:t>
      </w:r>
    </w:p>
    <w:p>
      <w:pPr>
        <w:pStyle w:val="null3"/>
        <w:ind w:firstLine="480"/>
        <w:jc w:val="both"/>
      </w:pPr>
      <w:r>
        <w:rPr>
          <w:rFonts w:ascii="仿宋" w:hAnsi="仿宋" w:cs="仿宋" w:eastAsia="仿宋"/>
          <w:sz w:val="24"/>
        </w:rPr>
        <w:t xml:space="preserve">12.3 </w:t>
      </w:r>
      <w:r>
        <w:rPr>
          <w:rFonts w:ascii="仿宋" w:hAnsi="仿宋" w:cs="仿宋" w:eastAsia="仿宋"/>
          <w:sz w:val="24"/>
        </w:rPr>
        <w:t>若甲方发现项目存在重大风险问题时，甲方有权立即终止合同。</w:t>
      </w:r>
    </w:p>
    <w:p>
      <w:pPr>
        <w:pStyle w:val="null3"/>
        <w:ind w:firstLine="480"/>
        <w:jc w:val="both"/>
      </w:pPr>
      <w:r>
        <w:rPr>
          <w:rFonts w:ascii="仿宋" w:hAnsi="仿宋" w:cs="仿宋" w:eastAsia="仿宋"/>
          <w:sz w:val="24"/>
        </w:rPr>
        <w:t>12</w:t>
      </w:r>
      <w:r>
        <w:rPr>
          <w:rFonts w:ascii="仿宋" w:hAnsi="仿宋" w:cs="仿宋" w:eastAsia="仿宋"/>
          <w:sz w:val="24"/>
        </w:rPr>
        <w:t>.</w:t>
      </w:r>
      <w:r>
        <w:rPr>
          <w:rFonts w:ascii="仿宋" w:hAnsi="仿宋" w:cs="仿宋" w:eastAsia="仿宋"/>
          <w:sz w:val="24"/>
        </w:rPr>
        <w:t>4</w:t>
      </w:r>
      <w:r>
        <w:rPr>
          <w:rFonts w:ascii="仿宋" w:hAnsi="仿宋" w:cs="仿宋" w:eastAsia="仿宋"/>
          <w:sz w:val="24"/>
        </w:rPr>
        <w:t xml:space="preserve"> </w:t>
      </w:r>
      <w:r>
        <w:rPr>
          <w:rFonts w:ascii="仿宋" w:hAnsi="仿宋" w:cs="仿宋" w:eastAsia="仿宋"/>
          <w:sz w:val="24"/>
        </w:rPr>
        <w:t>合同的终止并不影响甲乙双方承担其他法律责任。</w:t>
      </w:r>
    </w:p>
    <w:p>
      <w:pPr>
        <w:pStyle w:val="null3"/>
        <w:ind w:firstLine="480"/>
        <w:jc w:val="both"/>
      </w:pPr>
      <w:r>
        <w:rPr>
          <w:rFonts w:ascii="仿宋" w:hAnsi="仿宋" w:cs="仿宋" w:eastAsia="仿宋"/>
          <w:sz w:val="24"/>
        </w:rPr>
        <w:t>1</w:t>
      </w:r>
      <w:r>
        <w:rPr>
          <w:rFonts w:ascii="仿宋" w:hAnsi="仿宋" w:cs="仿宋" w:eastAsia="仿宋"/>
          <w:sz w:val="24"/>
        </w:rPr>
        <w:t>2</w:t>
      </w:r>
      <w:r>
        <w:rPr>
          <w:rFonts w:ascii="仿宋" w:hAnsi="仿宋" w:cs="仿宋" w:eastAsia="仿宋"/>
          <w:sz w:val="24"/>
        </w:rPr>
        <w:t>.</w:t>
      </w:r>
      <w:r>
        <w:rPr>
          <w:rFonts w:ascii="仿宋" w:hAnsi="仿宋" w:cs="仿宋" w:eastAsia="仿宋"/>
          <w:sz w:val="24"/>
        </w:rPr>
        <w:t>5</w:t>
      </w:r>
      <w:r>
        <w:rPr>
          <w:rFonts w:ascii="仿宋" w:hAnsi="仿宋" w:cs="仿宋" w:eastAsia="仿宋"/>
          <w:sz w:val="24"/>
        </w:rPr>
        <w:t xml:space="preserve"> </w:t>
      </w:r>
      <w:r>
        <w:rPr>
          <w:rFonts w:ascii="仿宋" w:hAnsi="仿宋" w:cs="仿宋" w:eastAsia="仿宋"/>
          <w:sz w:val="24"/>
        </w:rPr>
        <w:t>过渡期内双方应履行交接处置义务。</w:t>
      </w:r>
    </w:p>
    <w:p>
      <w:pPr>
        <w:pStyle w:val="null3"/>
        <w:spacing w:before="150"/>
        <w:ind w:firstLine="482"/>
        <w:jc w:val="both"/>
      </w:pPr>
      <w:r>
        <w:rPr>
          <w:rFonts w:ascii="仿宋" w:hAnsi="仿宋" w:cs="仿宋" w:eastAsia="仿宋"/>
          <w:sz w:val="24"/>
          <w:b/>
        </w:rPr>
        <w:t>第十三条</w:t>
      </w:r>
      <w:r>
        <w:rPr>
          <w:rFonts w:ascii="仿宋" w:hAnsi="仿宋" w:cs="仿宋" w:eastAsia="仿宋"/>
          <w:sz w:val="24"/>
          <w:b/>
        </w:rPr>
        <w:t>其他</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 xml:space="preserve">1 </w:t>
      </w:r>
      <w:r>
        <w:rPr>
          <w:rFonts w:ascii="仿宋" w:hAnsi="仿宋" w:cs="仿宋" w:eastAsia="仿宋"/>
          <w:sz w:val="24"/>
        </w:rPr>
        <w:t>本合同如有未尽事宜，须经双方共同协商，签订书面补充协议，与本合同具有同等法律效力。当补充协议与主合同发生冲突时以签订在后的补充协议为准。</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2</w:t>
      </w:r>
      <w:r>
        <w:rPr>
          <w:rFonts w:ascii="仿宋" w:hAnsi="仿宋" w:cs="仿宋" w:eastAsia="仿宋"/>
          <w:sz w:val="24"/>
        </w:rPr>
        <w:t xml:space="preserve"> </w:t>
      </w:r>
      <w:r>
        <w:rPr>
          <w:rFonts w:ascii="仿宋" w:hAnsi="仿宋" w:cs="仿宋" w:eastAsia="仿宋"/>
          <w:sz w:val="24"/>
        </w:rPr>
        <w:t>本合同及其附件一式肆份，甲方持贰份，乙方持贰份</w:t>
      </w:r>
      <w:r>
        <w:rPr>
          <w:rFonts w:ascii="仿宋" w:hAnsi="仿宋" w:cs="仿宋" w:eastAsia="仿宋"/>
          <w:sz w:val="24"/>
        </w:rPr>
        <w:t>,经双方法定代表人或其授权代表签字并加盖单位公章时开始生效。</w:t>
      </w:r>
    </w:p>
    <w:p>
      <w:pPr>
        <w:pStyle w:val="null3"/>
        <w:ind w:firstLine="480"/>
        <w:jc w:val="both"/>
      </w:pPr>
      <w:r>
        <w:rPr>
          <w:rFonts w:ascii="仿宋" w:hAnsi="仿宋" w:cs="仿宋" w:eastAsia="仿宋"/>
          <w:sz w:val="24"/>
        </w:rPr>
        <w:t>1</w:t>
      </w:r>
      <w:r>
        <w:rPr>
          <w:rFonts w:ascii="仿宋" w:hAnsi="仿宋" w:cs="仿宋" w:eastAsia="仿宋"/>
          <w:sz w:val="24"/>
        </w:rPr>
        <w:t>3</w:t>
      </w:r>
      <w:r>
        <w:rPr>
          <w:rFonts w:ascii="仿宋" w:hAnsi="仿宋" w:cs="仿宋" w:eastAsia="仿宋"/>
          <w:sz w:val="24"/>
        </w:rPr>
        <w:t>.</w:t>
      </w:r>
      <w:r>
        <w:rPr>
          <w:rFonts w:ascii="仿宋" w:hAnsi="仿宋" w:cs="仿宋" w:eastAsia="仿宋"/>
          <w:sz w:val="24"/>
        </w:rPr>
        <w:t>3</w:t>
      </w:r>
      <w:r>
        <w:rPr>
          <w:rFonts w:ascii="仿宋" w:hAnsi="仿宋" w:cs="仿宋" w:eastAsia="仿宋"/>
          <w:sz w:val="24"/>
        </w:rPr>
        <w:t xml:space="preserve"> </w:t>
      </w:r>
      <w:r>
        <w:rPr>
          <w:rFonts w:ascii="仿宋" w:hAnsi="仿宋" w:cs="仿宋" w:eastAsia="仿宋"/>
          <w:sz w:val="24"/>
        </w:rPr>
        <w:t>合同附件：本合同附件是合同不可分割的组成部分，与合同正文具有同等法律效力。当附件与主合同发生冲突时以主合同为准。</w:t>
      </w:r>
    </w:p>
    <w:p>
      <w:pPr>
        <w:pStyle w:val="null3"/>
        <w:ind w:firstLine="480"/>
        <w:jc w:val="both"/>
      </w:pPr>
      <w:r>
        <w:rPr>
          <w:rFonts w:ascii="仿宋" w:hAnsi="仿宋" w:cs="仿宋" w:eastAsia="仿宋"/>
          <w:sz w:val="24"/>
        </w:rPr>
        <w:t>附件一：保密承诺书</w:t>
      </w:r>
    </w:p>
    <w:p>
      <w:pPr>
        <w:pStyle w:val="null3"/>
        <w:ind w:firstLine="480"/>
        <w:jc w:val="both"/>
      </w:pPr>
      <w:r>
        <w:rPr>
          <w:rFonts w:ascii="仿宋" w:hAnsi="仿宋" w:cs="仿宋" w:eastAsia="仿宋"/>
          <w:sz w:val="24"/>
        </w:rPr>
        <w:t>附件二：廉洁共建承诺书</w:t>
      </w:r>
    </w:p>
    <w:p>
      <w:pPr>
        <w:pStyle w:val="null3"/>
        <w:ind w:firstLine="480"/>
        <w:jc w:val="both"/>
      </w:pPr>
      <w:r>
        <w:rPr>
          <w:rFonts w:ascii="仿宋" w:hAnsi="仿宋" w:cs="仿宋" w:eastAsia="仿宋"/>
          <w:sz w:val="24"/>
        </w:rPr>
        <w:t>附件三：项目需求书</w:t>
      </w:r>
    </w:p>
    <w:p>
      <w:pPr>
        <w:pStyle w:val="null3"/>
        <w:ind w:firstLine="480"/>
        <w:jc w:val="both"/>
      </w:pPr>
      <w:r>
        <w:rPr>
          <w:rFonts w:ascii="仿宋" w:hAnsi="仿宋" w:cs="仿宋" w:eastAsia="仿宋"/>
          <w:sz w:val="24"/>
        </w:rPr>
        <w:t>附件四：设备到货验收合格单</w:t>
      </w:r>
    </w:p>
    <w:p>
      <w:pPr>
        <w:pStyle w:val="null3"/>
        <w:ind w:firstLine="480"/>
        <w:jc w:val="both"/>
      </w:pPr>
      <w:r>
        <w:rPr>
          <w:rFonts w:ascii="仿宋" w:hAnsi="仿宋" w:cs="仿宋" w:eastAsia="仿宋"/>
          <w:sz w:val="24"/>
        </w:rPr>
        <w:t>附件五：设备安装调试验收合格单</w:t>
      </w:r>
    </w:p>
    <w:p>
      <w:pPr>
        <w:pStyle w:val="null3"/>
        <w:ind w:firstLine="480"/>
        <w:jc w:val="both"/>
      </w:pPr>
      <w:r>
        <w:rPr>
          <w:rFonts w:ascii="仿宋" w:hAnsi="仿宋" w:cs="仿宋" w:eastAsia="仿宋"/>
          <w:sz w:val="24"/>
        </w:rPr>
        <w:t>附件六：设备最终验收合格单</w:t>
      </w:r>
    </w:p>
    <w:p>
      <w:pPr>
        <w:pStyle w:val="null3"/>
      </w:pPr>
      <w:r>
        <w:rPr>
          <w:rFonts w:ascii="仿宋" w:hAnsi="仿宋" w:cs="仿宋" w:eastAsia="仿宋"/>
          <w:sz w:val="24"/>
          <w:b/>
        </w:rPr>
        <w:t>【签字页】</w:t>
      </w:r>
    </w:p>
    <w:p>
      <w:pPr>
        <w:pStyle w:val="null3"/>
        <w:ind w:firstLine="480"/>
        <w:jc w:val="both"/>
      </w:pPr>
      <w:r>
        <w:rPr>
          <w:rFonts w:ascii="仿宋" w:hAnsi="仿宋" w:cs="仿宋" w:eastAsia="仿宋"/>
          <w:sz w:val="24"/>
        </w:rPr>
        <w:t>甲方：成方金融科技有限公司（盖章）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ind w:firstLine="480"/>
        <w:jc w:val="both"/>
      </w:pPr>
      <w:r>
        <w:rPr>
          <w:rFonts w:ascii="仿宋" w:hAnsi="仿宋" w:cs="仿宋" w:eastAsia="仿宋"/>
          <w:sz w:val="24"/>
        </w:rPr>
        <w:t>乙方：</w:t>
      </w:r>
      <w:r>
        <w:rPr>
          <w:rFonts w:ascii="仿宋" w:hAnsi="仿宋" w:cs="仿宋" w:eastAsia="仿宋"/>
          <w:sz w:val="24"/>
        </w:rPr>
        <w:t>_____________________（盖章）</w:t>
      </w:r>
    </w:p>
    <w:p>
      <w:pPr>
        <w:pStyle w:val="null3"/>
        <w:ind w:firstLine="480"/>
        <w:jc w:val="both"/>
      </w:pPr>
      <w:r>
        <w:rPr>
          <w:rFonts w:ascii="仿宋" w:hAnsi="仿宋" w:cs="仿宋" w:eastAsia="仿宋"/>
          <w:sz w:val="24"/>
        </w:rPr>
        <w:t>法定代表人或授权代表：</w:t>
      </w:r>
      <w:r>
        <w:rPr>
          <w:rFonts w:ascii="仿宋" w:hAnsi="仿宋" w:cs="仿宋" w:eastAsia="仿宋"/>
          <w:sz w:val="24"/>
        </w:rPr>
        <w:t>_____________________（签字）</w:t>
      </w:r>
    </w:p>
    <w:p>
      <w:pPr>
        <w:pStyle w:val="null3"/>
        <w:ind w:firstLine="480"/>
        <w:jc w:val="both"/>
      </w:pPr>
      <w:r>
        <w:rPr>
          <w:rFonts w:ascii="仿宋" w:hAnsi="仿宋" w:cs="仿宋" w:eastAsia="仿宋"/>
          <w:sz w:val="24"/>
        </w:rPr>
        <w:t>日期：</w:t>
      </w:r>
      <w:r>
        <w:rPr>
          <w:rFonts w:ascii="仿宋" w:hAnsi="仿宋" w:cs="仿宋" w:eastAsia="仿宋"/>
          <w:sz w:val="24"/>
        </w:rPr>
        <w:t>_________年_____月_____日</w:t>
      </w:r>
    </w:p>
    <w:p>
      <w:pPr>
        <w:pStyle w:val="null3"/>
        <w:jc w:val="both"/>
      </w:pPr>
      <w:r>
        <w:rPr>
          <w:rFonts w:ascii="仿宋" w:hAnsi="仿宋" w:cs="仿宋" w:eastAsia="仿宋"/>
          <w:sz w:val="24"/>
        </w:rPr>
        <w:t>附件一</w:t>
      </w:r>
    </w:p>
    <w:p>
      <w:pPr>
        <w:pStyle w:val="null3"/>
      </w:pPr>
      <w:r>
        <w:rPr/>
        <w:t xml:space="preserve"> </w:t>
      </w:r>
    </w:p>
    <w:p>
      <w:pPr>
        <w:pStyle w:val="null3"/>
        <w:jc w:val="center"/>
      </w:pPr>
      <w:r>
        <w:rPr>
          <w:rFonts w:ascii="仿宋" w:hAnsi="仿宋" w:cs="仿宋" w:eastAsia="仿宋"/>
          <w:sz w:val="28"/>
          <w:b/>
        </w:rPr>
        <w:t>保密承诺书</w:t>
      </w:r>
    </w:p>
    <w:p>
      <w:pPr>
        <w:pStyle w:val="null3"/>
        <w:jc w:val="both"/>
      </w:pPr>
      <w:r>
        <w:rPr>
          <w:rFonts w:ascii="仿宋" w:hAnsi="仿宋" w:cs="仿宋" w:eastAsia="仿宋"/>
          <w:sz w:val="24"/>
          <w:shd w:fill="FFFFFF" w:val="clear"/>
        </w:rPr>
        <w:t>成方金融科技有限公司（以下简称甲方）：</w:t>
      </w:r>
    </w:p>
    <w:p>
      <w:pPr>
        <w:pStyle w:val="null3"/>
        <w:ind w:firstLine="480"/>
        <w:jc w:val="both"/>
      </w:pPr>
      <w:r>
        <w:rPr>
          <w:rFonts w:ascii="仿宋" w:hAnsi="仿宋" w:cs="仿宋" w:eastAsia="仿宋"/>
          <w:sz w:val="24"/>
          <w:shd w:fill="FFFFFF" w:val="clear"/>
        </w:rPr>
        <w:t>我方现就本合同有关保密义务事项做出如下承诺：</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我方理解</w:t>
      </w:r>
      <w:r>
        <w:rPr>
          <w:rFonts w:ascii="仿宋" w:hAnsi="仿宋" w:cs="仿宋" w:eastAsia="仿宋"/>
          <w:sz w:val="24"/>
          <w:shd w:fill="FFFFFF" w:val="clear"/>
        </w:rPr>
        <w:t>并承认</w:t>
      </w:r>
      <w:r>
        <w:rPr>
          <w:rFonts w:ascii="仿宋" w:hAnsi="仿宋" w:cs="仿宋" w:eastAsia="仿宋"/>
          <w:sz w:val="24"/>
          <w:shd w:fill="FFFFFF" w:val="clear"/>
        </w:rPr>
        <w:t>，甲方的专有信息、保密信息和商业秘密信息（以下统称</w:t>
      </w:r>
      <w:r>
        <w:rPr>
          <w:rFonts w:ascii="仿宋" w:hAnsi="仿宋" w:cs="仿宋" w:eastAsia="仿宋"/>
          <w:sz w:val="24"/>
          <w:shd w:fill="FFFFFF" w:val="clear"/>
        </w:rPr>
        <w:t>“</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”）是指甲方拥有或持有的、不为外界所公知的、与甲方或甲方的关联公司业务、服务、产品相关的信息，由甲方或其关联公司在本</w:t>
      </w:r>
      <w:r>
        <w:rPr>
          <w:rFonts w:ascii="仿宋" w:hAnsi="仿宋" w:cs="仿宋" w:eastAsia="仿宋"/>
          <w:sz w:val="24"/>
          <w:shd w:fill="FFFFFF" w:val="clear"/>
        </w:rPr>
        <w:t>承诺书</w:t>
      </w:r>
      <w:r>
        <w:rPr>
          <w:rFonts w:ascii="仿宋" w:hAnsi="仿宋" w:cs="仿宋" w:eastAsia="仿宋"/>
          <w:sz w:val="24"/>
          <w:shd w:fill="FFFFFF" w:val="clear"/>
        </w:rPr>
        <w:t>签署前或之后披露给乙方的：所有技术信息、经营信息，包括但不限于服务器上的数据、</w:t>
      </w:r>
      <w:r>
        <w:rPr>
          <w:rFonts w:ascii="仿宋" w:hAnsi="仿宋" w:cs="仿宋" w:eastAsia="仿宋"/>
          <w:sz w:val="24"/>
          <w:shd w:fill="FFFFFF" w:val="clear"/>
        </w:rPr>
        <w:t>源代码、</w:t>
      </w:r>
      <w:r>
        <w:rPr>
          <w:rFonts w:ascii="仿宋" w:hAnsi="仿宋" w:cs="仿宋" w:eastAsia="仿宋"/>
          <w:sz w:val="24"/>
          <w:shd w:fill="FFFFFF" w:val="clear"/>
        </w:rPr>
        <w:t>甲方网站数据、用户行为数据及轨迹、技术图纸、技术方案、技术指标、计算机软件、数据库、研究开发记录、技术报告、检测报告、实验数据、试验结果、操作手册、技术文档、相关的函电、客户信息、员工信息、产品设计、款式、样品、样机、模型、模具、费用预算、定价政策、商业计划和战略、广告方案及策划、初始创意等；无论这些信息是以书面、口头、图形、电磁还是其他任何形式披露。数据系指由或者为了甲方而创建、获得、收集、集合或存档的一切信息的记录，包括个人信息。</w:t>
      </w:r>
    </w:p>
    <w:p>
      <w:pPr>
        <w:pStyle w:val="null3"/>
        <w:ind w:firstLine="480"/>
        <w:jc w:val="both"/>
      </w:pPr>
      <w:r>
        <w:rPr>
          <w:rFonts w:ascii="仿宋" w:hAnsi="仿宋" w:cs="仿宋" w:eastAsia="仿宋"/>
          <w:sz w:val="24"/>
          <w:shd w:fill="FFFFFF" w:val="clear"/>
        </w:rPr>
        <w:t>2</w:t>
      </w:r>
      <w:r>
        <w:rPr>
          <w:rFonts w:ascii="仿宋" w:hAnsi="仿宋" w:cs="仿宋" w:eastAsia="仿宋"/>
          <w:sz w:val="24"/>
          <w:shd w:fill="FFFFFF" w:val="clear"/>
        </w:rPr>
        <w:t>.我方保证，未经甲方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pStyle w:val="null3"/>
        <w:ind w:firstLine="480"/>
        <w:jc w:val="both"/>
      </w:pP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，根据一般的商业判断或惯例，在某些情况下，</w:t>
      </w:r>
      <w:r>
        <w:rPr>
          <w:rFonts w:ascii="仿宋" w:hAnsi="仿宋" w:cs="仿宋" w:eastAsia="仿宋"/>
          <w:sz w:val="24"/>
          <w:shd w:fill="FFFFFF" w:val="clear"/>
        </w:rPr>
        <w:t>甲方</w:t>
      </w:r>
      <w:r>
        <w:rPr>
          <w:rFonts w:ascii="仿宋" w:hAnsi="仿宋" w:cs="仿宋" w:eastAsia="仿宋"/>
          <w:sz w:val="24"/>
          <w:shd w:fill="FFFFFF" w:val="clear"/>
        </w:rPr>
        <w:t>与</w:t>
      </w:r>
      <w:r>
        <w:rPr>
          <w:rFonts w:ascii="仿宋" w:hAnsi="仿宋" w:cs="仿宋" w:eastAsia="仿宋"/>
          <w:sz w:val="24"/>
          <w:shd w:fill="FFFFFF" w:val="clear"/>
        </w:rPr>
        <w:t>我方</w:t>
      </w:r>
      <w:r>
        <w:rPr>
          <w:rFonts w:ascii="仿宋" w:hAnsi="仿宋" w:cs="仿宋" w:eastAsia="仿宋"/>
          <w:sz w:val="24"/>
          <w:shd w:fill="FFFFFF" w:val="clear"/>
        </w:rPr>
        <w:t>进行沟通、交流的行为本身也是一种</w:t>
      </w:r>
      <w:r>
        <w:rPr>
          <w:rFonts w:ascii="仿宋" w:hAnsi="仿宋" w:cs="仿宋" w:eastAsia="仿宋"/>
          <w:sz w:val="24"/>
          <w:shd w:fill="FFFFFF" w:val="clear"/>
        </w:rPr>
        <w:t>敏感</w:t>
      </w:r>
      <w:r>
        <w:rPr>
          <w:rFonts w:ascii="仿宋" w:hAnsi="仿宋" w:cs="仿宋" w:eastAsia="仿宋"/>
          <w:sz w:val="24"/>
          <w:shd w:fill="FFFFFF" w:val="clear"/>
        </w:rPr>
        <w:t>信息，</w:t>
      </w:r>
      <w:r>
        <w:rPr>
          <w:rFonts w:ascii="仿宋" w:hAnsi="仿宋" w:cs="仿宋" w:eastAsia="仿宋"/>
          <w:sz w:val="24"/>
          <w:shd w:fill="FFFFFF" w:val="clear"/>
        </w:rPr>
        <w:t>我方</w:t>
      </w:r>
      <w:r>
        <w:rPr>
          <w:rFonts w:ascii="仿宋" w:hAnsi="仿宋" w:cs="仿宋" w:eastAsia="仿宋"/>
          <w:sz w:val="24"/>
          <w:shd w:fill="FFFFFF" w:val="clear"/>
        </w:rPr>
        <w:t>也将对此予以严格保密</w:t>
      </w:r>
      <w:r>
        <w:rPr>
          <w:rFonts w:ascii="仿宋" w:hAnsi="仿宋" w:cs="仿宋" w:eastAsia="仿宋"/>
          <w:sz w:val="24"/>
          <w:shd w:fill="FFFFFF" w:val="clear"/>
        </w:rPr>
        <w:t>。</w:t>
      </w:r>
    </w:p>
    <w:p>
      <w:pPr>
        <w:pStyle w:val="null3"/>
        <w:ind w:firstLine="480"/>
        <w:jc w:val="both"/>
      </w:pPr>
      <w:r>
        <w:rPr>
          <w:rFonts w:ascii="仿宋" w:hAnsi="仿宋" w:cs="仿宋" w:eastAsia="仿宋"/>
          <w:sz w:val="24"/>
        </w:rPr>
        <w:t>4.</w:t>
      </w:r>
      <w:r>
        <w:rPr>
          <w:rFonts w:ascii="仿宋" w:hAnsi="仿宋" w:cs="仿宋" w:eastAsia="仿宋"/>
          <w:sz w:val="24"/>
        </w:rPr>
        <w:t>我方保证，</w:t>
      </w:r>
      <w:r>
        <w:rPr>
          <w:rFonts w:ascii="仿宋" w:hAnsi="仿宋" w:cs="仿宋" w:eastAsia="仿宋"/>
          <w:sz w:val="24"/>
        </w:rPr>
        <w:t>自甲方向</w:t>
      </w:r>
      <w:r>
        <w:rPr>
          <w:rFonts w:ascii="仿宋" w:hAnsi="仿宋" w:cs="仿宋" w:eastAsia="仿宋"/>
          <w:sz w:val="24"/>
        </w:rPr>
        <w:t>我方</w:t>
      </w:r>
      <w:r>
        <w:rPr>
          <w:rFonts w:ascii="仿宋" w:hAnsi="仿宋" w:cs="仿宋" w:eastAsia="仿宋"/>
          <w:sz w:val="24"/>
        </w:rPr>
        <w:t>披露或</w:t>
      </w:r>
      <w:r>
        <w:rPr>
          <w:rFonts w:ascii="仿宋" w:hAnsi="仿宋" w:cs="仿宋" w:eastAsia="仿宋"/>
          <w:sz w:val="24"/>
        </w:rPr>
        <w:t>我方</w:t>
      </w:r>
      <w:r>
        <w:rPr>
          <w:rFonts w:ascii="仿宋" w:hAnsi="仿宋" w:cs="仿宋" w:eastAsia="仿宋"/>
          <w:sz w:val="24"/>
        </w:rPr>
        <w:t>以其他方式合法知悉甲方的</w:t>
      </w:r>
      <w:r>
        <w:rPr>
          <w:rFonts w:ascii="仿宋" w:hAnsi="仿宋" w:cs="仿宋" w:eastAsia="仿宋"/>
          <w:sz w:val="24"/>
        </w:rPr>
        <w:t>敏感信息</w:t>
      </w:r>
      <w:r>
        <w:rPr>
          <w:rFonts w:ascii="仿宋" w:hAnsi="仿宋" w:cs="仿宋" w:eastAsia="仿宋"/>
          <w:sz w:val="24"/>
        </w:rPr>
        <w:t>之日起开始承担保密义务。</w:t>
      </w:r>
      <w:r>
        <w:rPr>
          <w:rFonts w:ascii="仿宋" w:hAnsi="仿宋" w:cs="仿宋" w:eastAsia="仿宋"/>
          <w:sz w:val="24"/>
        </w:rPr>
        <w:t>我方</w:t>
      </w:r>
      <w:r>
        <w:rPr>
          <w:rFonts w:ascii="仿宋" w:hAnsi="仿宋" w:cs="仿宋" w:eastAsia="仿宋"/>
          <w:sz w:val="24"/>
        </w:rPr>
        <w:t>应对所有包含</w:t>
      </w:r>
      <w:r>
        <w:rPr>
          <w:rFonts w:ascii="仿宋" w:hAnsi="仿宋" w:cs="仿宋" w:eastAsia="仿宋"/>
          <w:sz w:val="24"/>
        </w:rPr>
        <w:t>敏感</w:t>
      </w:r>
      <w:r>
        <w:rPr>
          <w:rFonts w:ascii="仿宋" w:hAnsi="仿宋" w:cs="仿宋" w:eastAsia="仿宋"/>
          <w:sz w:val="24"/>
        </w:rPr>
        <w:t>信息的文件和记录进行妥善保管和存放，以确保相关文件和记录不会被窃取、泄漏或毁损。</w:t>
      </w:r>
    </w:p>
    <w:p>
      <w:pPr>
        <w:pStyle w:val="null3"/>
        <w:ind w:firstLine="480"/>
        <w:jc w:val="both"/>
      </w:pPr>
      <w:r>
        <w:rPr>
          <w:rFonts w:ascii="仿宋" w:hAnsi="仿宋" w:cs="仿宋" w:eastAsia="仿宋"/>
          <w:sz w:val="24"/>
        </w:rPr>
        <w:t>5.</w:t>
      </w:r>
      <w:r>
        <w:rPr>
          <w:rFonts w:ascii="仿宋" w:hAnsi="仿宋" w:cs="仿宋" w:eastAsia="仿宋"/>
          <w:sz w:val="24"/>
        </w:rPr>
        <w:t>我方保证，</w:t>
      </w:r>
      <w:r>
        <w:rPr>
          <w:rFonts w:ascii="仿宋" w:hAnsi="仿宋" w:cs="仿宋" w:eastAsia="仿宋"/>
          <w:sz w:val="24"/>
        </w:rPr>
        <w:t>在与甲方合作期间，严格遵守甲方的所有成文或不成文的保密规章、制度和惯例。甲方的保密规章、制度没有规定或规定不明确的，</w:t>
      </w:r>
      <w:r>
        <w:rPr>
          <w:rFonts w:ascii="仿宋" w:hAnsi="仿宋" w:cs="仿宋" w:eastAsia="仿宋"/>
          <w:sz w:val="24"/>
        </w:rPr>
        <w:t>我方</w:t>
      </w:r>
      <w:r>
        <w:rPr>
          <w:rFonts w:ascii="仿宋" w:hAnsi="仿宋" w:cs="仿宋" w:eastAsia="仿宋"/>
          <w:sz w:val="24"/>
        </w:rPr>
        <w:t>应本着谨慎、诚实的原则，采取任何必要的、合理的措施保守其知悉的甲方的</w:t>
      </w:r>
      <w:r>
        <w:rPr>
          <w:rFonts w:ascii="仿宋" w:hAnsi="仿宋" w:cs="仿宋" w:eastAsia="仿宋"/>
          <w:sz w:val="24"/>
        </w:rPr>
        <w:t>敏感信息</w:t>
      </w:r>
      <w:r>
        <w:rPr>
          <w:rFonts w:ascii="仿宋" w:hAnsi="仿宋" w:cs="仿宋" w:eastAsia="仿宋"/>
          <w:sz w:val="24"/>
        </w:rPr>
        <w:t>和</w:t>
      </w:r>
      <w:r>
        <w:rPr>
          <w:rFonts w:ascii="仿宋" w:hAnsi="仿宋" w:cs="仿宋" w:eastAsia="仿宋"/>
          <w:sz w:val="24"/>
        </w:rPr>
        <w:t>工作成果</w:t>
      </w:r>
      <w:r>
        <w:rPr>
          <w:rFonts w:ascii="仿宋" w:hAnsi="仿宋" w:cs="仿宋" w:eastAsia="仿宋"/>
          <w:sz w:val="24"/>
        </w:rPr>
        <w:t>，且其采取保密措施的标准至少不得低于</w:t>
      </w:r>
      <w:r>
        <w:rPr>
          <w:rFonts w:ascii="仿宋" w:hAnsi="仿宋" w:cs="仿宋" w:eastAsia="仿宋"/>
          <w:sz w:val="24"/>
        </w:rPr>
        <w:t>我方</w:t>
      </w:r>
      <w:r>
        <w:rPr>
          <w:rFonts w:ascii="仿宋" w:hAnsi="仿宋" w:cs="仿宋" w:eastAsia="仿宋"/>
          <w:sz w:val="24"/>
        </w:rPr>
        <w:t>对于其自身的重大商业秘密的保密标准。</w:t>
      </w:r>
    </w:p>
    <w:p>
      <w:pPr>
        <w:pStyle w:val="null3"/>
        <w:ind w:firstLine="480"/>
        <w:jc w:val="both"/>
      </w:pPr>
      <w:r>
        <w:rPr>
          <w:rFonts w:ascii="仿宋" w:hAnsi="仿宋" w:cs="仿宋" w:eastAsia="仿宋"/>
          <w:sz w:val="24"/>
        </w:rPr>
        <w:t>6.</w:t>
      </w:r>
      <w:r>
        <w:rPr>
          <w:rFonts w:ascii="仿宋" w:hAnsi="仿宋" w:cs="仿宋" w:eastAsia="仿宋"/>
          <w:sz w:val="24"/>
        </w:rPr>
        <w:t>我方保证，</w:t>
      </w:r>
      <w:r>
        <w:rPr>
          <w:rFonts w:ascii="仿宋" w:hAnsi="仿宋" w:cs="仿宋" w:eastAsia="仿宋"/>
          <w:sz w:val="24"/>
        </w:rPr>
        <w:t>未经甲方同意，</w:t>
      </w:r>
      <w:r>
        <w:rPr>
          <w:rFonts w:ascii="仿宋" w:hAnsi="仿宋" w:cs="仿宋" w:eastAsia="仿宋"/>
          <w:sz w:val="24"/>
        </w:rPr>
        <w:t>我方</w:t>
      </w:r>
      <w:r>
        <w:rPr>
          <w:rFonts w:ascii="仿宋" w:hAnsi="仿宋" w:cs="仿宋" w:eastAsia="仿宋"/>
          <w:sz w:val="24"/>
        </w:rPr>
        <w:t>不得擅自保存与甲方</w:t>
      </w:r>
      <w:r>
        <w:rPr>
          <w:rFonts w:ascii="仿宋" w:hAnsi="仿宋" w:cs="仿宋" w:eastAsia="仿宋"/>
          <w:sz w:val="24"/>
        </w:rPr>
        <w:t>敏感信息</w:t>
      </w:r>
      <w:r>
        <w:rPr>
          <w:rFonts w:ascii="仿宋" w:hAnsi="仿宋" w:cs="仿宋" w:eastAsia="仿宋"/>
          <w:sz w:val="24"/>
        </w:rPr>
        <w:t>以及本项目的工作成果</w:t>
      </w:r>
      <w:r>
        <w:rPr>
          <w:rFonts w:ascii="仿宋" w:hAnsi="仿宋" w:cs="仿宋" w:eastAsia="仿宋"/>
          <w:sz w:val="24"/>
        </w:rPr>
        <w:t>有关的任何物品、资料和载体，也不得私自进行复制、备份、交换、交流、转移，或者在双方合作项目的必要需求以外，对上述</w:t>
      </w:r>
      <w:r>
        <w:rPr>
          <w:rFonts w:ascii="仿宋" w:hAnsi="仿宋" w:cs="仿宋" w:eastAsia="仿宋"/>
          <w:sz w:val="24"/>
        </w:rPr>
        <w:t>信息</w:t>
      </w:r>
      <w:r>
        <w:rPr>
          <w:rFonts w:ascii="仿宋" w:hAnsi="仿宋" w:cs="仿宋" w:eastAsia="仿宋"/>
          <w:sz w:val="24"/>
        </w:rPr>
        <w:t>或载体进行任何形式的利用、加工或处理。</w:t>
      </w:r>
    </w:p>
    <w:p>
      <w:pPr>
        <w:pStyle w:val="null3"/>
        <w:ind w:firstLine="480"/>
        <w:jc w:val="both"/>
      </w:pPr>
      <w:r>
        <w:rPr>
          <w:rFonts w:ascii="仿宋" w:hAnsi="仿宋" w:cs="仿宋" w:eastAsia="仿宋"/>
          <w:sz w:val="24"/>
        </w:rPr>
        <w:t>7.</w:t>
      </w:r>
      <w:r>
        <w:rPr>
          <w:rFonts w:ascii="仿宋" w:hAnsi="仿宋" w:cs="仿宋" w:eastAsia="仿宋"/>
          <w:sz w:val="24"/>
        </w:rPr>
        <w:t>我方保证，在与甲方合作期间，不以任何形式试探、分析或以其他方式获取与合作内容无关的甲方的任何敏感信息。</w:t>
      </w:r>
    </w:p>
    <w:p>
      <w:pPr>
        <w:pStyle w:val="null3"/>
        <w:ind w:firstLine="480"/>
        <w:jc w:val="both"/>
      </w:pPr>
      <w:r>
        <w:rPr>
          <w:rFonts w:ascii="仿宋" w:hAnsi="仿宋" w:cs="仿宋" w:eastAsia="仿宋"/>
          <w:sz w:val="24"/>
        </w:rPr>
        <w:t>8.</w:t>
      </w:r>
      <w:r>
        <w:rPr>
          <w:rFonts w:ascii="仿宋" w:hAnsi="仿宋" w:cs="仿宋" w:eastAsia="仿宋"/>
          <w:sz w:val="24"/>
        </w:rPr>
        <w:t>我方保证，</w:t>
      </w:r>
      <w:r>
        <w:rPr>
          <w:rFonts w:ascii="仿宋" w:hAnsi="仿宋" w:cs="仿宋" w:eastAsia="仿宋"/>
          <w:sz w:val="24"/>
        </w:rPr>
        <w:t>在与甲方合作期间，不擅自使用任何属于他人的技术信息秘密或其他商业秘密信息，亦不得擅自实施可能侵犯他人知识产权的行为。若</w:t>
      </w:r>
      <w:r>
        <w:rPr>
          <w:rFonts w:ascii="仿宋" w:hAnsi="仿宋" w:cs="仿宋" w:eastAsia="仿宋"/>
          <w:sz w:val="24"/>
        </w:rPr>
        <w:t>我方</w:t>
      </w:r>
      <w:r>
        <w:rPr>
          <w:rFonts w:ascii="仿宋" w:hAnsi="仿宋" w:cs="仿宋" w:eastAsia="仿宋"/>
          <w:sz w:val="24"/>
        </w:rPr>
        <w:t>违反上述规定而导致甲方遭受第三方的索赔或指控时，</w:t>
      </w:r>
      <w:r>
        <w:rPr>
          <w:rFonts w:ascii="仿宋" w:hAnsi="仿宋" w:cs="仿宋" w:eastAsia="仿宋"/>
          <w:sz w:val="24"/>
        </w:rPr>
        <w:t>由我方</w:t>
      </w:r>
      <w:r>
        <w:rPr>
          <w:rFonts w:ascii="仿宋" w:hAnsi="仿宋" w:cs="仿宋" w:eastAsia="仿宋"/>
          <w:sz w:val="24"/>
        </w:rPr>
        <w:t>承担甲方为此而支付的一切费用和责任。</w:t>
      </w:r>
    </w:p>
    <w:p>
      <w:pPr>
        <w:pStyle w:val="null3"/>
        <w:ind w:firstLine="480"/>
        <w:jc w:val="both"/>
      </w:pPr>
      <w:r>
        <w:rPr>
          <w:rFonts w:ascii="仿宋" w:hAnsi="仿宋" w:cs="仿宋" w:eastAsia="仿宋"/>
          <w:sz w:val="24"/>
        </w:rPr>
        <w:t>9.</w:t>
      </w:r>
      <w:r>
        <w:rPr>
          <w:rFonts w:ascii="仿宋" w:hAnsi="仿宋" w:cs="仿宋" w:eastAsia="仿宋"/>
          <w:sz w:val="24"/>
        </w:rPr>
        <w:t>我方保证，</w:t>
      </w:r>
      <w:r>
        <w:rPr>
          <w:rFonts w:ascii="仿宋" w:hAnsi="仿宋" w:cs="仿宋" w:eastAsia="仿宋"/>
          <w:sz w:val="24"/>
        </w:rPr>
        <w:t>未经甲方事先书面同意，</w:t>
      </w:r>
      <w:r>
        <w:rPr>
          <w:rFonts w:ascii="仿宋" w:hAnsi="仿宋" w:cs="仿宋" w:eastAsia="仿宋"/>
          <w:sz w:val="24"/>
        </w:rPr>
        <w:t>我方</w:t>
      </w:r>
      <w:r>
        <w:rPr>
          <w:rFonts w:ascii="仿宋" w:hAnsi="仿宋" w:cs="仿宋" w:eastAsia="仿宋"/>
          <w:sz w:val="24"/>
        </w:rPr>
        <w:t>不得将从甲方处获得的任何信息运用于其他产品上</w:t>
      </w:r>
      <w:r>
        <w:rPr>
          <w:rFonts w:ascii="仿宋" w:hAnsi="仿宋" w:cs="仿宋" w:eastAsia="仿宋"/>
          <w:sz w:val="24"/>
        </w:rPr>
        <w:t>。</w:t>
      </w:r>
    </w:p>
    <w:p>
      <w:pPr>
        <w:pStyle w:val="null3"/>
        <w:ind w:firstLine="480"/>
        <w:jc w:val="both"/>
      </w:pPr>
      <w:r>
        <w:rPr>
          <w:rFonts w:ascii="仿宋" w:hAnsi="仿宋" w:cs="仿宋" w:eastAsia="仿宋"/>
          <w:sz w:val="24"/>
        </w:rPr>
        <w:t>10</w:t>
      </w:r>
      <w:r>
        <w:rPr>
          <w:rFonts w:ascii="仿宋" w:hAnsi="仿宋" w:cs="仿宋" w:eastAsia="仿宋"/>
          <w:sz w:val="24"/>
        </w:rPr>
        <w:t>.我方保证，</w:t>
      </w:r>
      <w:r>
        <w:rPr>
          <w:rFonts w:ascii="仿宋" w:hAnsi="仿宋" w:cs="仿宋" w:eastAsia="仿宋"/>
          <w:sz w:val="24"/>
        </w:rPr>
        <w:t>甲方提供给</w:t>
      </w:r>
      <w:r>
        <w:rPr>
          <w:rFonts w:ascii="仿宋" w:hAnsi="仿宋" w:cs="仿宋" w:eastAsia="仿宋"/>
          <w:sz w:val="24"/>
        </w:rPr>
        <w:t>我</w:t>
      </w:r>
      <w:r>
        <w:rPr>
          <w:rFonts w:ascii="仿宋" w:hAnsi="仿宋" w:cs="仿宋" w:eastAsia="仿宋"/>
          <w:sz w:val="24"/>
        </w:rPr>
        <w:t>方的任何设备、部件、软件或其他物品，</w:t>
      </w:r>
      <w:r>
        <w:rPr>
          <w:rFonts w:ascii="仿宋" w:hAnsi="仿宋" w:cs="仿宋" w:eastAsia="仿宋"/>
          <w:sz w:val="24"/>
        </w:rPr>
        <w:t>我方</w:t>
      </w:r>
      <w:r>
        <w:rPr>
          <w:rFonts w:ascii="仿宋" w:hAnsi="仿宋" w:cs="仿宋" w:eastAsia="仿宋"/>
          <w:sz w:val="24"/>
        </w:rPr>
        <w:t>均不得进行反向拆卸、解编或以其他方式分析其物理结构或组合、结合方式等。</w:t>
      </w:r>
    </w:p>
    <w:p>
      <w:pPr>
        <w:pStyle w:val="null3"/>
        <w:ind w:firstLine="480"/>
        <w:jc w:val="both"/>
      </w:pPr>
      <w:r>
        <w:rPr>
          <w:rFonts w:ascii="仿宋" w:hAnsi="仿宋" w:cs="仿宋" w:eastAsia="仿宋"/>
          <w:sz w:val="24"/>
          <w:shd w:fill="FFFFFF" w:val="clear"/>
        </w:rPr>
        <w:t>11</w:t>
      </w:r>
      <w:r>
        <w:rPr>
          <w:rFonts w:ascii="仿宋" w:hAnsi="仿宋" w:cs="仿宋" w:eastAsia="仿宋"/>
          <w:sz w:val="24"/>
          <w:shd w:fill="FFFFFF" w:val="clear"/>
        </w:rPr>
        <w:t>.我方保证，如为本合同目的确实需要向第三方披露对方的敏感信息，需事先得到甲方的书面许可，并与该第三方签订保密合同。</w:t>
      </w:r>
    </w:p>
    <w:p>
      <w:pPr>
        <w:pStyle w:val="null3"/>
        <w:ind w:firstLine="480"/>
        <w:jc w:val="both"/>
      </w:pPr>
      <w:r>
        <w:rPr>
          <w:rFonts w:ascii="仿宋" w:hAnsi="仿宋" w:cs="仿宋" w:eastAsia="仿宋"/>
          <w:sz w:val="24"/>
          <w:shd w:fill="FFFFFF" w:val="clear"/>
        </w:rPr>
        <w:t>12</w:t>
      </w:r>
      <w:r>
        <w:rPr>
          <w:rFonts w:ascii="仿宋" w:hAnsi="仿宋" w:cs="仿宋" w:eastAsia="仿宋"/>
          <w:sz w:val="24"/>
          <w:shd w:fill="FFFFFF" w:val="clear"/>
        </w:rPr>
        <w:t>.我方保证，只能将甲方的相关敏感信息提供给与本合同工作直接相关的员工，提供范围及程度仅限于可使该员工完成本项工作，并应约束其员工遵守保密义务。因为</w:t>
      </w:r>
      <w:r>
        <w:rPr>
          <w:rFonts w:ascii="仿宋" w:hAnsi="仿宋" w:cs="仿宋" w:eastAsia="仿宋"/>
          <w:sz w:val="24"/>
          <w:shd w:fill="FFFFFF" w:val="clear"/>
        </w:rPr>
        <w:t>我方员工</w:t>
      </w:r>
      <w:r>
        <w:rPr>
          <w:rFonts w:ascii="仿宋" w:hAnsi="仿宋" w:cs="仿宋" w:eastAsia="仿宋"/>
          <w:sz w:val="24"/>
          <w:shd w:fill="FFFFFF" w:val="clear"/>
        </w:rPr>
        <w:t>或关联机构的原因导致甲方的商业秘密或其他秘密被泄漏或不正当使用的，视为</w:t>
      </w:r>
      <w:r>
        <w:rPr>
          <w:rFonts w:ascii="仿宋" w:hAnsi="仿宋" w:cs="仿宋" w:eastAsia="仿宋"/>
          <w:sz w:val="24"/>
          <w:shd w:fill="FFFFFF" w:val="clear"/>
        </w:rPr>
        <w:t>我方</w:t>
      </w:r>
      <w:r>
        <w:rPr>
          <w:rFonts w:ascii="仿宋" w:hAnsi="仿宋" w:cs="仿宋" w:eastAsia="仿宋"/>
          <w:sz w:val="24"/>
          <w:shd w:fill="FFFFFF" w:val="clear"/>
        </w:rPr>
        <w:t>违反</w:t>
      </w:r>
      <w:r>
        <w:rPr>
          <w:rFonts w:ascii="仿宋" w:hAnsi="仿宋" w:cs="仿宋" w:eastAsia="仿宋"/>
          <w:sz w:val="24"/>
          <w:shd w:fill="FFFFFF" w:val="clear"/>
        </w:rPr>
        <w:t>本承诺书</w:t>
      </w:r>
      <w:r>
        <w:rPr>
          <w:rFonts w:ascii="仿宋" w:hAnsi="仿宋" w:cs="仿宋" w:eastAsia="仿宋"/>
          <w:sz w:val="24"/>
          <w:shd w:fill="FFFFFF" w:val="clear"/>
        </w:rPr>
        <w:t>。</w:t>
      </w:r>
    </w:p>
    <w:p>
      <w:pPr>
        <w:pStyle w:val="null3"/>
        <w:ind w:firstLine="480"/>
        <w:jc w:val="both"/>
      </w:pPr>
      <w:r>
        <w:rPr>
          <w:rFonts w:ascii="仿宋" w:hAnsi="仿宋" w:cs="仿宋" w:eastAsia="仿宋"/>
          <w:sz w:val="24"/>
          <w:shd w:fill="FFFFFF" w:val="clear"/>
        </w:rPr>
        <w:t>1</w:t>
      </w:r>
      <w:r>
        <w:rPr>
          <w:rFonts w:ascii="仿宋" w:hAnsi="仿宋" w:cs="仿宋" w:eastAsia="仿宋"/>
          <w:sz w:val="24"/>
          <w:shd w:fill="FFFFFF" w:val="clear"/>
        </w:rPr>
        <w:t>3</w:t>
      </w:r>
      <w:r>
        <w:rPr>
          <w:rFonts w:ascii="仿宋" w:hAnsi="仿宋" w:cs="仿宋" w:eastAsia="仿宋"/>
          <w:sz w:val="24"/>
          <w:shd w:fill="FFFFFF" w:val="clear"/>
        </w:rPr>
        <w:t>.我方保证，</w:t>
      </w:r>
      <w:r>
        <w:rPr>
          <w:rFonts w:ascii="仿宋" w:hAnsi="仿宋" w:cs="仿宋" w:eastAsia="仿宋"/>
          <w:sz w:val="24"/>
          <w:shd w:fill="FFFFFF" w:val="clear"/>
        </w:rPr>
        <w:t>因合作需要所持有或保管的一切记录着甲方</w:t>
      </w:r>
      <w:r>
        <w:rPr>
          <w:rFonts w:ascii="仿宋" w:hAnsi="仿宋" w:cs="仿宋" w:eastAsia="仿宋"/>
          <w:sz w:val="24"/>
          <w:shd w:fill="FFFFFF" w:val="clear"/>
        </w:rPr>
        <w:t>敏感信息</w:t>
      </w:r>
      <w:r>
        <w:rPr>
          <w:rFonts w:ascii="仿宋" w:hAnsi="仿宋" w:cs="仿宋" w:eastAsia="仿宋"/>
          <w:sz w:val="24"/>
          <w:shd w:fill="FFFFFF" w:val="clear"/>
        </w:rPr>
        <w:t>的文件、资料、图表、笔记、报告、信件、传真、光盘、</w:t>
      </w:r>
      <w:r>
        <w:rPr>
          <w:rFonts w:ascii="仿宋" w:hAnsi="仿宋" w:cs="仿宋" w:eastAsia="仿宋"/>
          <w:sz w:val="24"/>
          <w:shd w:fill="FFFFFF" w:val="clear"/>
        </w:rPr>
        <w:t>U盘、磁带、磁盘、仪器以及其他任何形式的载体均归甲方所有。若记录着甲方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信息可以从载体上消除或复制出来时，甲方有权将秘密信息复制到甲方享有所有权的其他载体上，并把原载体上的秘密信息消除；若记录着甲方</w:t>
      </w:r>
      <w:r>
        <w:rPr>
          <w:rFonts w:ascii="仿宋" w:hAnsi="仿宋" w:cs="仿宋" w:eastAsia="仿宋"/>
          <w:sz w:val="24"/>
          <w:shd w:fill="FFFFFF" w:val="clear"/>
        </w:rPr>
        <w:t>敏感信息</w:t>
      </w:r>
      <w:r>
        <w:rPr>
          <w:rFonts w:ascii="仿宋" w:hAnsi="仿宋" w:cs="仿宋" w:eastAsia="仿宋"/>
          <w:sz w:val="24"/>
          <w:shd w:fill="FFFFFF" w:val="clear"/>
        </w:rPr>
        <w:t>的载体是由</w:t>
      </w:r>
      <w:r>
        <w:rPr>
          <w:rFonts w:ascii="仿宋" w:hAnsi="仿宋" w:cs="仿宋" w:eastAsia="仿宋"/>
          <w:sz w:val="24"/>
          <w:shd w:fill="FFFFFF" w:val="clear"/>
        </w:rPr>
        <w:t>我方</w:t>
      </w:r>
      <w:r>
        <w:rPr>
          <w:rFonts w:ascii="仿宋" w:hAnsi="仿宋" w:cs="仿宋" w:eastAsia="仿宋"/>
          <w:sz w:val="24"/>
          <w:shd w:fill="FFFFFF" w:val="clear"/>
        </w:rPr>
        <w:t>自备的，且</w:t>
      </w:r>
      <w:r>
        <w:rPr>
          <w:rFonts w:ascii="仿宋" w:hAnsi="仿宋" w:cs="仿宋" w:eastAsia="仿宋"/>
          <w:sz w:val="24"/>
          <w:shd w:fill="FFFFFF" w:val="clear"/>
        </w:rPr>
        <w:t>敏感</w:t>
      </w:r>
      <w:r>
        <w:rPr>
          <w:rFonts w:ascii="仿宋" w:hAnsi="仿宋" w:cs="仿宋" w:eastAsia="仿宋"/>
          <w:sz w:val="24"/>
          <w:shd w:fill="FFFFFF" w:val="clear"/>
        </w:rPr>
        <w:t>信息不可以从载体上消除或复制出来时，视为</w:t>
      </w:r>
      <w:r>
        <w:rPr>
          <w:rFonts w:ascii="仿宋" w:hAnsi="仿宋" w:cs="仿宋" w:eastAsia="仿宋"/>
          <w:sz w:val="24"/>
          <w:shd w:fill="FFFFFF" w:val="clear"/>
        </w:rPr>
        <w:t>我方</w:t>
      </w:r>
      <w:r>
        <w:rPr>
          <w:rFonts w:ascii="仿宋" w:hAnsi="仿宋" w:cs="仿宋" w:eastAsia="仿宋"/>
          <w:sz w:val="24"/>
          <w:shd w:fill="FFFFFF" w:val="clear"/>
        </w:rPr>
        <w:t>已同意将该等载体的所有权转移给甲方，</w:t>
      </w:r>
      <w:r>
        <w:rPr>
          <w:rFonts w:ascii="仿宋" w:hAnsi="仿宋" w:cs="仿宋" w:eastAsia="仿宋"/>
          <w:sz w:val="24"/>
          <w:shd w:fill="FFFFFF" w:val="clear"/>
        </w:rPr>
        <w:t>我方</w:t>
      </w:r>
      <w:r>
        <w:rPr>
          <w:rFonts w:ascii="仿宋" w:hAnsi="仿宋" w:cs="仿宋" w:eastAsia="仿宋"/>
          <w:sz w:val="24"/>
          <w:shd w:fill="FFFFFF" w:val="clear"/>
        </w:rPr>
        <w:t>应当于合作结束时或者于甲方提出请求时将该载体交付甲方。</w:t>
      </w:r>
    </w:p>
    <w:p>
      <w:pPr>
        <w:pStyle w:val="null3"/>
        <w:ind w:firstLine="480"/>
        <w:jc w:val="both"/>
      </w:pPr>
      <w:r>
        <w:rPr>
          <w:rFonts w:ascii="仿宋" w:hAnsi="仿宋" w:cs="仿宋" w:eastAsia="仿宋"/>
          <w:sz w:val="24"/>
          <w:shd w:fill="FFFFFF" w:val="clear"/>
        </w:rPr>
        <w:t>14</w:t>
      </w:r>
      <w:r>
        <w:rPr>
          <w:rFonts w:ascii="仿宋" w:hAnsi="仿宋" w:cs="仿宋" w:eastAsia="仿宋"/>
          <w:sz w:val="24"/>
          <w:shd w:fill="FFFFFF" w:val="clear"/>
        </w:rPr>
        <w:t>.我方保证，在双方合作关系结束后，我方有义务按照甲方的要求将敏感信息及其载体返还给甲方或者按照甲方的要求予以销毁，不得再以任何形式使用敏感信息。</w:t>
      </w:r>
    </w:p>
    <w:p>
      <w:pPr>
        <w:pStyle w:val="null3"/>
        <w:ind w:firstLine="480"/>
        <w:jc w:val="both"/>
      </w:pPr>
      <w:r>
        <w:rPr>
          <w:rFonts w:ascii="仿宋" w:hAnsi="仿宋" w:cs="仿宋" w:eastAsia="仿宋"/>
          <w:sz w:val="24"/>
        </w:rPr>
        <w:t>15.</w:t>
      </w:r>
      <w:r>
        <w:rPr>
          <w:rFonts w:ascii="仿宋" w:hAnsi="仿宋" w:cs="仿宋" w:eastAsia="仿宋"/>
          <w:sz w:val="24"/>
        </w:rPr>
        <w:t>我方保证，一旦我方发现任何人错误地获得或使用了甲方披露的保密信息，我方将立即书面通知甲方。</w:t>
      </w:r>
    </w:p>
    <w:p>
      <w:pPr>
        <w:pStyle w:val="null3"/>
        <w:ind w:firstLine="480"/>
        <w:jc w:val="both"/>
      </w:pPr>
      <w:r>
        <w:rPr>
          <w:rFonts w:ascii="仿宋" w:hAnsi="仿宋" w:cs="仿宋" w:eastAsia="仿宋"/>
          <w:sz w:val="24"/>
        </w:rPr>
        <w:t>16.</w:t>
      </w:r>
      <w:r>
        <w:rPr>
          <w:rFonts w:ascii="仿宋" w:hAnsi="仿宋" w:cs="仿宋" w:eastAsia="仿宋"/>
          <w:sz w:val="24"/>
        </w:rPr>
        <w:t>我方保证，</w:t>
      </w:r>
      <w:r>
        <w:rPr>
          <w:rFonts w:ascii="仿宋" w:hAnsi="仿宋" w:cs="仿宋" w:eastAsia="仿宋"/>
          <w:sz w:val="24"/>
        </w:rPr>
        <w:t>根据本函应当履行的对</w:t>
      </w:r>
      <w:r>
        <w:rPr>
          <w:rFonts w:ascii="仿宋" w:hAnsi="仿宋" w:cs="仿宋" w:eastAsia="仿宋"/>
          <w:sz w:val="24"/>
        </w:rPr>
        <w:t>敏感</w:t>
      </w:r>
      <w:r>
        <w:rPr>
          <w:rFonts w:ascii="仿宋" w:hAnsi="仿宋" w:cs="仿宋" w:eastAsia="仿宋"/>
          <w:sz w:val="24"/>
        </w:rPr>
        <w:t>信息的保密义务以及限制</w:t>
      </w:r>
      <w:r>
        <w:rPr>
          <w:rFonts w:ascii="仿宋" w:hAnsi="仿宋" w:cs="仿宋" w:eastAsia="仿宋"/>
          <w:sz w:val="24"/>
        </w:rPr>
        <w:t>我方</w:t>
      </w:r>
      <w:r>
        <w:rPr>
          <w:rFonts w:ascii="仿宋" w:hAnsi="仿宋" w:cs="仿宋" w:eastAsia="仿宋"/>
          <w:sz w:val="24"/>
        </w:rPr>
        <w:t>使用该</w:t>
      </w:r>
      <w:r>
        <w:rPr>
          <w:rFonts w:ascii="仿宋" w:hAnsi="仿宋" w:cs="仿宋" w:eastAsia="仿宋"/>
          <w:sz w:val="24"/>
        </w:rPr>
        <w:t>敏感</w:t>
      </w:r>
      <w:r>
        <w:rPr>
          <w:rFonts w:ascii="仿宋" w:hAnsi="仿宋" w:cs="仿宋" w:eastAsia="仿宋"/>
          <w:sz w:val="24"/>
        </w:rPr>
        <w:t>信息的规定长期有效，</w:t>
      </w:r>
      <w:r>
        <w:rPr>
          <w:rFonts w:ascii="仿宋" w:hAnsi="仿宋" w:cs="仿宋" w:eastAsia="仿宋"/>
          <w:sz w:val="24"/>
        </w:rPr>
        <w:t>除非</w:t>
      </w:r>
      <w:r>
        <w:rPr>
          <w:rFonts w:ascii="仿宋" w:hAnsi="仿宋" w:cs="仿宋" w:eastAsia="仿宋"/>
          <w:sz w:val="24"/>
        </w:rPr>
        <w:t>相关</w:t>
      </w:r>
      <w:r>
        <w:rPr>
          <w:rFonts w:ascii="仿宋" w:hAnsi="仿宋" w:cs="仿宋" w:eastAsia="仿宋"/>
          <w:sz w:val="24"/>
        </w:rPr>
        <w:t>敏感</w:t>
      </w:r>
      <w:r>
        <w:rPr>
          <w:rFonts w:ascii="仿宋" w:hAnsi="仿宋" w:cs="仿宋" w:eastAsia="仿宋"/>
          <w:sz w:val="24"/>
        </w:rPr>
        <w:t>信息非因</w:t>
      </w:r>
      <w:r>
        <w:rPr>
          <w:rFonts w:ascii="仿宋" w:hAnsi="仿宋" w:cs="仿宋" w:eastAsia="仿宋"/>
          <w:sz w:val="24"/>
        </w:rPr>
        <w:t>我方</w:t>
      </w:r>
      <w:r>
        <w:rPr>
          <w:rFonts w:ascii="仿宋" w:hAnsi="仿宋" w:cs="仿宋" w:eastAsia="仿宋"/>
          <w:sz w:val="24"/>
        </w:rPr>
        <w:t>原因而进入公开领域</w:t>
      </w:r>
      <w:r>
        <w:rPr>
          <w:rFonts w:ascii="仿宋" w:hAnsi="仿宋" w:cs="仿宋" w:eastAsia="仿宋"/>
          <w:sz w:val="24"/>
        </w:rPr>
        <w:t>或经甲方书面授权</w:t>
      </w:r>
      <w:r>
        <w:rPr>
          <w:rFonts w:ascii="仿宋" w:hAnsi="仿宋" w:cs="仿宋" w:eastAsia="仿宋"/>
          <w:sz w:val="24"/>
        </w:rPr>
        <w:t>。</w:t>
      </w:r>
    </w:p>
    <w:p>
      <w:pPr>
        <w:pStyle w:val="null3"/>
        <w:ind w:firstLine="480"/>
        <w:jc w:val="both"/>
      </w:pPr>
      <w:r>
        <w:rPr>
          <w:rFonts w:ascii="仿宋" w:hAnsi="仿宋" w:cs="仿宋" w:eastAsia="仿宋"/>
          <w:sz w:val="24"/>
          <w:shd w:fill="FFFFFF" w:val="clear"/>
        </w:rPr>
        <w:t>17</w:t>
      </w:r>
      <w:r>
        <w:rPr>
          <w:rFonts w:ascii="仿宋" w:hAnsi="仿宋" w:cs="仿宋" w:eastAsia="仿宋"/>
          <w:sz w:val="24"/>
          <w:shd w:fill="FFFFFF" w:val="clear"/>
        </w:rPr>
        <w:t>.我方同意采取任何必要的、以及甲方要求的合理措施，保护甲方提供的敏感信息。</w:t>
      </w:r>
    </w:p>
    <w:p>
      <w:pPr>
        <w:pStyle w:val="null3"/>
        <w:ind w:firstLine="480"/>
        <w:jc w:val="both"/>
      </w:pPr>
      <w:r>
        <w:rPr>
          <w:rFonts w:ascii="仿宋" w:hAnsi="仿宋" w:cs="仿宋" w:eastAsia="仿宋"/>
          <w:sz w:val="24"/>
        </w:rPr>
        <w:t>18.</w:t>
      </w:r>
      <w:r>
        <w:rPr>
          <w:rFonts w:ascii="仿宋" w:hAnsi="仿宋" w:cs="仿宋" w:eastAsia="仿宋"/>
          <w:sz w:val="24"/>
        </w:rPr>
        <w:t>如果</w:t>
      </w:r>
      <w:r>
        <w:rPr>
          <w:rFonts w:ascii="仿宋" w:hAnsi="仿宋" w:cs="仿宋" w:eastAsia="仿宋"/>
          <w:sz w:val="24"/>
        </w:rPr>
        <w:t>我方</w:t>
      </w:r>
      <w:r>
        <w:rPr>
          <w:rFonts w:ascii="仿宋" w:hAnsi="仿宋" w:cs="仿宋" w:eastAsia="仿宋"/>
          <w:sz w:val="24"/>
        </w:rPr>
        <w:t>被要求向政府部门、法院或其他有权部门提供保密信息，</w:t>
      </w:r>
      <w:r>
        <w:rPr>
          <w:rFonts w:ascii="仿宋" w:hAnsi="仿宋" w:cs="仿宋" w:eastAsia="仿宋"/>
          <w:sz w:val="24"/>
        </w:rPr>
        <w:t>我方</w:t>
      </w:r>
      <w:r>
        <w:rPr>
          <w:rFonts w:ascii="仿宋" w:hAnsi="仿宋" w:cs="仿宋" w:eastAsia="仿宋"/>
          <w:sz w:val="24"/>
        </w:rPr>
        <w:t>应立即向甲方予以通报，以便甲方能以保密作为抗辩理由或采取保护措施，或及时采取其他救济手段，并且使用法律所许可的所有程序保护保密信息，由此所花费的合理费用由</w:t>
      </w:r>
      <w:r>
        <w:rPr>
          <w:rFonts w:ascii="仿宋" w:hAnsi="仿宋" w:cs="仿宋" w:eastAsia="仿宋"/>
          <w:sz w:val="24"/>
        </w:rPr>
        <w:t>我</w:t>
      </w:r>
      <w:r>
        <w:rPr>
          <w:rFonts w:ascii="仿宋" w:hAnsi="仿宋" w:cs="仿宋" w:eastAsia="仿宋"/>
          <w:sz w:val="24"/>
        </w:rPr>
        <w:t>方承担。此外，</w:t>
      </w:r>
      <w:r>
        <w:rPr>
          <w:rFonts w:ascii="仿宋" w:hAnsi="仿宋" w:cs="仿宋" w:eastAsia="仿宋"/>
          <w:sz w:val="24"/>
        </w:rPr>
        <w:t>我方</w:t>
      </w:r>
      <w:r>
        <w:rPr>
          <w:rFonts w:ascii="仿宋" w:hAnsi="仿宋" w:cs="仿宋" w:eastAsia="仿宋"/>
          <w:sz w:val="24"/>
        </w:rPr>
        <w:t>在向政府部门、法院或其他有权部门提供保密信息时，应当以上述权力机关要求披露的范围为限。</w:t>
      </w:r>
    </w:p>
    <w:p>
      <w:pPr>
        <w:pStyle w:val="null3"/>
        <w:ind w:firstLine="480"/>
        <w:jc w:val="both"/>
      </w:pPr>
      <w:r>
        <w:rPr>
          <w:rFonts w:ascii="仿宋" w:hAnsi="仿宋" w:cs="仿宋" w:eastAsia="仿宋"/>
          <w:sz w:val="24"/>
          <w:shd w:fill="FFFFFF" w:val="clear"/>
        </w:rPr>
        <w:t>19</w:t>
      </w:r>
      <w:r>
        <w:rPr>
          <w:rFonts w:ascii="仿宋" w:hAnsi="仿宋" w:cs="仿宋" w:eastAsia="仿宋"/>
          <w:sz w:val="24"/>
          <w:shd w:fill="FFFFFF" w:val="clear"/>
        </w:rPr>
        <w:t>.</w:t>
      </w:r>
      <w:r>
        <w:rPr>
          <w:rFonts w:ascii="仿宋" w:hAnsi="仿宋" w:cs="仿宋" w:eastAsia="仿宋"/>
          <w:sz w:val="24"/>
          <w:shd w:fill="FFFFFF" w:val="clear"/>
        </w:rPr>
        <w:t>我方同意</w:t>
      </w:r>
      <w:r>
        <w:rPr>
          <w:rFonts w:ascii="仿宋" w:hAnsi="仿宋" w:cs="仿宋" w:eastAsia="仿宋"/>
          <w:sz w:val="24"/>
          <w:shd w:fill="FFFFFF" w:val="clear"/>
        </w:rPr>
        <w:t>严格遵守甲方保密规定及要求，对本单位参与人员出具保函，并要求在甲方规定的保密期内不发生失泄密事件。</w:t>
      </w:r>
    </w:p>
    <w:p>
      <w:pPr>
        <w:pStyle w:val="null3"/>
        <w:ind w:firstLine="480"/>
        <w:jc w:val="both"/>
      </w:pPr>
      <w:r>
        <w:rPr>
          <w:rFonts w:ascii="仿宋" w:hAnsi="仿宋" w:cs="仿宋" w:eastAsia="仿宋"/>
          <w:sz w:val="24"/>
          <w:shd w:fill="FFFFFF" w:val="clear"/>
        </w:rPr>
        <w:t>20</w:t>
      </w:r>
      <w:r>
        <w:rPr>
          <w:rFonts w:ascii="仿宋" w:hAnsi="仿宋" w:cs="仿宋" w:eastAsia="仿宋"/>
          <w:sz w:val="24"/>
          <w:shd w:fill="FFFFFF" w:val="clear"/>
        </w:rPr>
        <w:t>.如发生任何</w:t>
      </w:r>
      <w:r>
        <w:rPr>
          <w:rFonts w:ascii="仿宋" w:hAnsi="仿宋" w:cs="仿宋" w:eastAsia="仿宋"/>
          <w:sz w:val="24"/>
          <w:shd w:fill="FFFFFF" w:val="clear"/>
        </w:rPr>
        <w:t>数据、</w:t>
      </w:r>
      <w:r>
        <w:rPr>
          <w:rFonts w:ascii="仿宋" w:hAnsi="仿宋" w:cs="仿宋" w:eastAsia="仿宋"/>
          <w:sz w:val="24"/>
          <w:shd w:fill="FFFFFF" w:val="clear"/>
        </w:rPr>
        <w:t>敏感信息泄漏事件，包括但不限于因我方原因导致的泄漏事件或者因第三方非法获取和使用而造成的泄漏事件，我方均应立即通知甲方，并采取有效措施防止泄密进一步扩大</w:t>
      </w:r>
      <w:r>
        <w:rPr>
          <w:rFonts w:ascii="仿宋" w:hAnsi="仿宋" w:cs="仿宋" w:eastAsia="仿宋"/>
          <w:sz w:val="24"/>
          <w:shd w:fill="FFFFFF" w:val="clear"/>
        </w:rPr>
        <w:t>。</w:t>
      </w:r>
      <w:r>
        <w:rPr>
          <w:rFonts w:ascii="仿宋" w:hAnsi="仿宋" w:cs="仿宋" w:eastAsia="仿宋"/>
          <w:sz w:val="24"/>
          <w:shd w:fill="FFFFFF" w:val="clear"/>
        </w:rPr>
        <w:t>我</w:t>
      </w:r>
      <w:r>
        <w:rPr>
          <w:rFonts w:ascii="仿宋" w:hAnsi="仿宋" w:cs="仿宋" w:eastAsia="仿宋"/>
          <w:sz w:val="24"/>
          <w:shd w:fill="FFFFFF" w:val="clear"/>
        </w:rPr>
        <w:t>方将在甲方数据</w:t>
      </w:r>
      <w:r>
        <w:rPr>
          <w:rFonts w:ascii="仿宋" w:hAnsi="仿宋" w:cs="仿宋" w:eastAsia="仿宋"/>
          <w:sz w:val="24"/>
          <w:shd w:fill="FFFFFF" w:val="clear"/>
        </w:rPr>
        <w:t>、敏感信息</w:t>
      </w:r>
      <w:r>
        <w:rPr>
          <w:rFonts w:ascii="仿宋" w:hAnsi="仿宋" w:cs="仿宋" w:eastAsia="仿宋"/>
          <w:sz w:val="24"/>
          <w:shd w:fill="FFFFFF" w:val="clear"/>
        </w:rPr>
        <w:t>泄露通知中包含数据</w:t>
      </w:r>
      <w:r>
        <w:rPr>
          <w:rFonts w:ascii="仿宋" w:hAnsi="仿宋" w:cs="仿宋" w:eastAsia="仿宋"/>
          <w:sz w:val="24"/>
          <w:shd w:fill="FFFFFF" w:val="clear"/>
        </w:rPr>
        <w:t>或敏感</w:t>
      </w:r>
      <w:r>
        <w:rPr>
          <w:rFonts w:ascii="仿宋" w:hAnsi="仿宋" w:cs="仿宋" w:eastAsia="仿宋"/>
          <w:sz w:val="24"/>
          <w:shd w:fill="FFFFFF" w:val="clear"/>
        </w:rPr>
        <w:t>信息泄露、丢失的详细描述，包括内容泄露或丢失的时间和地点；涉及的数据或信息类别；受影响的数据主体和记录的大致数量；为减轻数据或信息泄露、丢失的可能后果并防止再次发生而采取的措施；信息、数据泄露或丢失的潜在原因和后果；以及</w:t>
      </w:r>
      <w:r>
        <w:rPr>
          <w:rFonts w:ascii="仿宋" w:hAnsi="仿宋" w:cs="仿宋" w:eastAsia="仿宋"/>
          <w:sz w:val="24"/>
          <w:shd w:fill="FFFFFF" w:val="clear"/>
        </w:rPr>
        <w:t>我</w:t>
      </w:r>
      <w:r>
        <w:rPr>
          <w:rFonts w:ascii="仿宋" w:hAnsi="仿宋" w:cs="仿宋" w:eastAsia="仿宋"/>
          <w:sz w:val="24"/>
          <w:shd w:fill="FFFFFF" w:val="clear"/>
        </w:rPr>
        <w:t>方数据保护人员或其他授权个人的联系方式。同时</w:t>
      </w:r>
      <w:r>
        <w:rPr>
          <w:rFonts w:ascii="仿宋" w:hAnsi="仿宋" w:cs="仿宋" w:eastAsia="仿宋"/>
          <w:sz w:val="24"/>
          <w:shd w:fill="FFFFFF" w:val="clear"/>
        </w:rPr>
        <w:t>我</w:t>
      </w:r>
      <w:r>
        <w:rPr>
          <w:rFonts w:ascii="仿宋" w:hAnsi="仿宋" w:cs="仿宋" w:eastAsia="仿宋"/>
          <w:sz w:val="24"/>
          <w:shd w:fill="FFFFFF" w:val="clear"/>
        </w:rPr>
        <w:t>方应立即赔偿甲方因信息、数据泄露或丢失而合理产生的所有成本和费用（包括法律费用）。</w:t>
      </w:r>
    </w:p>
    <w:p>
      <w:pPr>
        <w:pStyle w:val="null3"/>
        <w:ind w:firstLine="480"/>
        <w:jc w:val="both"/>
      </w:pPr>
      <w:r>
        <w:rPr>
          <w:rFonts w:ascii="仿宋" w:hAnsi="仿宋" w:cs="仿宋" w:eastAsia="仿宋"/>
          <w:sz w:val="24"/>
          <w:shd w:fill="FFFFFF" w:val="clear"/>
        </w:rPr>
        <w:t>21.</w:t>
      </w:r>
      <w:r>
        <w:rPr>
          <w:rFonts w:ascii="仿宋" w:hAnsi="仿宋" w:cs="仿宋" w:eastAsia="仿宋"/>
          <w:sz w:val="24"/>
          <w:shd w:fill="FFFFFF" w:val="clear"/>
        </w:rPr>
        <w:t>甲方有权要求我方</w:t>
      </w:r>
      <w:r>
        <w:rPr>
          <w:rFonts w:ascii="仿宋" w:hAnsi="仿宋" w:cs="仿宋" w:eastAsia="仿宋"/>
          <w:sz w:val="24"/>
          <w:shd w:fill="FFFFFF" w:val="clear"/>
        </w:rPr>
        <w:t>赔偿</w:t>
      </w:r>
      <w:r>
        <w:rPr>
          <w:rFonts w:ascii="仿宋" w:hAnsi="仿宋" w:cs="仿宋" w:eastAsia="仿宋"/>
          <w:sz w:val="24"/>
          <w:shd w:fill="FFFFFF" w:val="clear"/>
        </w:rPr>
        <w:t>甲方</w:t>
      </w:r>
      <w:r>
        <w:rPr>
          <w:rFonts w:ascii="仿宋" w:hAnsi="仿宋" w:cs="仿宋" w:eastAsia="仿宋"/>
          <w:sz w:val="24"/>
          <w:shd w:fill="FFFFFF" w:val="clear"/>
        </w:rPr>
        <w:t>因信息泄露导致的所有损失，包括但不限于对</w:t>
      </w:r>
      <w:r>
        <w:rPr>
          <w:rFonts w:ascii="仿宋" w:hAnsi="仿宋" w:cs="仿宋" w:eastAsia="仿宋"/>
          <w:sz w:val="24"/>
          <w:shd w:fill="FFFFFF" w:val="clear"/>
        </w:rPr>
        <w:t>甲方</w:t>
      </w:r>
      <w:r>
        <w:rPr>
          <w:rFonts w:ascii="仿宋" w:hAnsi="仿宋" w:cs="仿宋" w:eastAsia="仿宋"/>
          <w:sz w:val="24"/>
          <w:shd w:fill="FFFFFF" w:val="clear"/>
        </w:rPr>
        <w:t>所造成的直接损失、可得利益损失、</w:t>
      </w:r>
      <w:r>
        <w:rPr>
          <w:rFonts w:ascii="仿宋" w:hAnsi="仿宋" w:cs="仿宋" w:eastAsia="仿宋"/>
          <w:sz w:val="24"/>
          <w:shd w:fill="FFFFFF" w:val="clear"/>
        </w:rPr>
        <w:t>甲方</w:t>
      </w:r>
      <w:r>
        <w:rPr>
          <w:rFonts w:ascii="仿宋" w:hAnsi="仿宋" w:cs="仿宋" w:eastAsia="仿宋"/>
          <w:sz w:val="24"/>
          <w:shd w:fill="FFFFFF" w:val="clear"/>
        </w:rPr>
        <w:t>支付给第三方的赔偿费用</w:t>
      </w:r>
      <w:r>
        <w:rPr>
          <w:rFonts w:ascii="仿宋" w:hAnsi="仿宋" w:cs="仿宋" w:eastAsia="仿宋"/>
          <w:sz w:val="24"/>
          <w:shd w:fill="FFFFFF" w:val="clear"/>
        </w:rPr>
        <w:t>/违约金/罚款、调查取证费用/公证费/鉴定费用、诉讼仲裁费用、保全费用、律师费用、维权费用以及其他合理费用</w:t>
      </w:r>
      <w:r>
        <w:rPr>
          <w:rFonts w:ascii="仿宋" w:hAnsi="仿宋" w:cs="仿宋" w:eastAsia="仿宋"/>
          <w:sz w:val="24"/>
          <w:shd w:fill="FFFFFF" w:val="clear"/>
        </w:rPr>
        <w:t>。</w:t>
      </w:r>
      <w:r>
        <w:rPr>
          <w:rFonts w:ascii="仿宋" w:hAnsi="仿宋" w:cs="仿宋" w:eastAsia="仿宋"/>
          <w:sz w:val="24"/>
          <w:shd w:fill="FFFFFF" w:val="clear"/>
        </w:rPr>
        <w:t>除此之外，如</w:t>
      </w:r>
      <w:r>
        <w:rPr>
          <w:rFonts w:ascii="仿宋" w:hAnsi="仿宋" w:cs="仿宋" w:eastAsia="仿宋"/>
          <w:sz w:val="24"/>
          <w:shd w:fill="FFFFFF" w:val="clear"/>
        </w:rPr>
        <w:t>以</w:t>
      </w:r>
      <w:r>
        <w:rPr>
          <w:rFonts w:ascii="仿宋" w:hAnsi="仿宋" w:cs="仿宋" w:eastAsia="仿宋"/>
          <w:sz w:val="24"/>
          <w:shd w:fill="FFFFFF" w:val="clear"/>
        </w:rPr>
        <w:t>资金补偿不足够补救由于违反本函的规定给</w:t>
      </w:r>
      <w:r>
        <w:rPr>
          <w:rFonts w:ascii="仿宋" w:hAnsi="仿宋" w:cs="仿宋" w:eastAsia="仿宋"/>
          <w:sz w:val="24"/>
          <w:shd w:fill="FFFFFF" w:val="clear"/>
        </w:rPr>
        <w:t>甲方</w:t>
      </w:r>
      <w:r>
        <w:rPr>
          <w:rFonts w:ascii="仿宋" w:hAnsi="仿宋" w:cs="仿宋" w:eastAsia="仿宋"/>
          <w:sz w:val="24"/>
          <w:shd w:fill="FFFFFF" w:val="clear"/>
        </w:rPr>
        <w:t>造成的损害，</w:t>
      </w:r>
      <w:r>
        <w:rPr>
          <w:rFonts w:ascii="仿宋" w:hAnsi="仿宋" w:cs="仿宋" w:eastAsia="仿宋"/>
          <w:sz w:val="24"/>
          <w:shd w:fill="FFFFFF" w:val="clear"/>
        </w:rPr>
        <w:t>甲方</w:t>
      </w:r>
      <w:r>
        <w:rPr>
          <w:rFonts w:ascii="仿宋" w:hAnsi="仿宋" w:cs="仿宋" w:eastAsia="仿宋"/>
          <w:sz w:val="24"/>
          <w:shd w:fill="FFFFFF" w:val="clear"/>
        </w:rPr>
        <w:t>将有权采取法律所允许的其它补救措施。</w:t>
      </w:r>
      <w:r>
        <w:rPr>
          <w:rFonts w:ascii="仿宋" w:hAnsi="仿宋" w:cs="仿宋" w:eastAsia="仿宋"/>
          <w:sz w:val="24"/>
          <w:shd w:fill="FFFFFF" w:val="clear"/>
        </w:rPr>
        <w:t>我方同意承担一切法律责任，</w:t>
      </w:r>
      <w:r>
        <w:rPr>
          <w:rFonts w:ascii="仿宋" w:hAnsi="仿宋" w:cs="仿宋" w:eastAsia="仿宋"/>
          <w:sz w:val="24"/>
          <w:shd w:fill="FFFFFF" w:val="clear"/>
        </w:rPr>
        <w:t>并</w:t>
      </w:r>
      <w:r>
        <w:rPr>
          <w:rFonts w:ascii="仿宋" w:hAnsi="仿宋" w:cs="仿宋" w:eastAsia="仿宋"/>
          <w:sz w:val="24"/>
          <w:shd w:fill="FFFFFF" w:val="clear"/>
        </w:rPr>
        <w:t>按合同约定接受违约责任。</w:t>
      </w:r>
    </w:p>
    <w:p>
      <w:pPr>
        <w:pStyle w:val="null3"/>
        <w:ind w:firstLine="480"/>
        <w:jc w:val="both"/>
      </w:pPr>
      <w:r>
        <w:rPr>
          <w:rFonts w:ascii="仿宋" w:hAnsi="仿宋" w:cs="仿宋" w:eastAsia="仿宋"/>
          <w:sz w:val="24"/>
        </w:rPr>
        <w:t>22.</w:t>
      </w:r>
      <w:r>
        <w:rPr>
          <w:rFonts w:ascii="仿宋" w:hAnsi="仿宋" w:cs="仿宋" w:eastAsia="仿宋"/>
          <w:sz w:val="24"/>
        </w:rPr>
        <w:t>本函适用中国法律。任何由本函产生的或与本函有关的争议应通过双方友好协商解决。当一方向另一方发出书面协商通知，协商应立即开始进行。协商不成的，任何一方有权按主合同争议解决条款解决争议。</w:t>
      </w:r>
    </w:p>
    <w:p>
      <w:pPr>
        <w:pStyle w:val="null3"/>
        <w:ind w:firstLine="480"/>
        <w:jc w:val="both"/>
      </w:pPr>
      <w:r>
        <w:rPr>
          <w:rFonts w:ascii="仿宋" w:hAnsi="仿宋" w:cs="仿宋" w:eastAsia="仿宋"/>
          <w:sz w:val="24"/>
        </w:rPr>
        <w:t>2</w:t>
      </w:r>
      <w:r>
        <w:rPr>
          <w:rFonts w:ascii="仿宋" w:hAnsi="仿宋" w:cs="仿宋" w:eastAsia="仿宋"/>
          <w:sz w:val="24"/>
        </w:rPr>
        <w:t>3</w:t>
      </w:r>
      <w:r>
        <w:rPr>
          <w:rFonts w:ascii="仿宋" w:hAnsi="仿宋" w:cs="仿宋" w:eastAsia="仿宋"/>
          <w:sz w:val="24"/>
        </w:rPr>
        <w:t>.</w:t>
      </w:r>
      <w:r>
        <w:rPr>
          <w:rFonts w:ascii="仿宋" w:hAnsi="仿宋" w:cs="仿宋" w:eastAsia="仿宋"/>
          <w:sz w:val="24"/>
        </w:rPr>
        <w:t>对</w:t>
      </w:r>
      <w:r>
        <w:rPr>
          <w:rFonts w:ascii="仿宋" w:hAnsi="仿宋" w:cs="仿宋" w:eastAsia="仿宋"/>
          <w:sz w:val="24"/>
        </w:rPr>
        <w:t>敏感</w:t>
      </w:r>
      <w:r>
        <w:rPr>
          <w:rFonts w:ascii="仿宋" w:hAnsi="仿宋" w:cs="仿宋" w:eastAsia="仿宋"/>
          <w:sz w:val="24"/>
        </w:rPr>
        <w:t>信息中包含的任一和全部的数据、资料、文件、参考、陈述、信息和分析，</w:t>
      </w:r>
      <w:r>
        <w:rPr>
          <w:rFonts w:ascii="仿宋" w:hAnsi="仿宋" w:cs="仿宋" w:eastAsia="仿宋"/>
          <w:sz w:val="24"/>
        </w:rPr>
        <w:t>甲方</w:t>
      </w:r>
      <w:r>
        <w:rPr>
          <w:rFonts w:ascii="仿宋" w:hAnsi="仿宋" w:cs="仿宋" w:eastAsia="仿宋"/>
          <w:sz w:val="24"/>
        </w:rPr>
        <w:t>对其准确性、真实性或完整性未作出任何明示或暗示的陈述或保证；对因使用</w:t>
      </w:r>
      <w:r>
        <w:rPr>
          <w:rFonts w:ascii="仿宋" w:hAnsi="仿宋" w:cs="仿宋" w:eastAsia="仿宋"/>
          <w:sz w:val="24"/>
        </w:rPr>
        <w:t>敏感</w:t>
      </w:r>
      <w:r>
        <w:rPr>
          <w:rFonts w:ascii="仿宋" w:hAnsi="仿宋" w:cs="仿宋" w:eastAsia="仿宋"/>
          <w:sz w:val="24"/>
        </w:rPr>
        <w:t>信息，或因</w:t>
      </w:r>
      <w:r>
        <w:rPr>
          <w:rFonts w:ascii="仿宋" w:hAnsi="仿宋" w:cs="仿宋" w:eastAsia="仿宋"/>
          <w:sz w:val="24"/>
        </w:rPr>
        <w:t>敏感</w:t>
      </w:r>
      <w:r>
        <w:rPr>
          <w:rFonts w:ascii="仿宋" w:hAnsi="仿宋" w:cs="仿宋" w:eastAsia="仿宋"/>
          <w:sz w:val="24"/>
        </w:rPr>
        <w:t>信息或基于</w:t>
      </w:r>
      <w:r>
        <w:rPr>
          <w:rFonts w:ascii="仿宋" w:hAnsi="仿宋" w:cs="仿宋" w:eastAsia="仿宋"/>
          <w:sz w:val="24"/>
        </w:rPr>
        <w:t>敏感</w:t>
      </w:r>
      <w:r>
        <w:rPr>
          <w:rFonts w:ascii="仿宋" w:hAnsi="仿宋" w:cs="仿宋" w:eastAsia="仿宋"/>
          <w:sz w:val="24"/>
        </w:rPr>
        <w:t>信息产生的数据的任何错误或遗漏产生的责任或与之相关的责任，</w:t>
      </w:r>
      <w:r>
        <w:rPr>
          <w:rFonts w:ascii="仿宋" w:hAnsi="仿宋" w:cs="仿宋" w:eastAsia="仿宋"/>
          <w:sz w:val="24"/>
        </w:rPr>
        <w:t>甲方</w:t>
      </w:r>
      <w:r>
        <w:rPr>
          <w:rFonts w:ascii="仿宋" w:hAnsi="仿宋" w:cs="仿宋" w:eastAsia="仿宋"/>
          <w:sz w:val="24"/>
        </w:rPr>
        <w:t>不承担任何责任；</w:t>
      </w:r>
      <w:r>
        <w:rPr>
          <w:rFonts w:ascii="仿宋" w:hAnsi="仿宋" w:cs="仿宋" w:eastAsia="仿宋"/>
          <w:sz w:val="24"/>
        </w:rPr>
        <w:t>敏感</w:t>
      </w:r>
      <w:r>
        <w:rPr>
          <w:rFonts w:ascii="仿宋" w:hAnsi="仿宋" w:cs="仿宋" w:eastAsia="仿宋"/>
          <w:sz w:val="24"/>
        </w:rPr>
        <w:t>信息专属于</w:t>
      </w:r>
      <w:r>
        <w:rPr>
          <w:rFonts w:ascii="仿宋" w:hAnsi="仿宋" w:cs="仿宋" w:eastAsia="仿宋"/>
          <w:sz w:val="24"/>
        </w:rPr>
        <w:t>甲方</w:t>
      </w:r>
      <w:r>
        <w:rPr>
          <w:rFonts w:ascii="仿宋" w:hAnsi="仿宋" w:cs="仿宋" w:eastAsia="仿宋"/>
          <w:sz w:val="24"/>
        </w:rPr>
        <w:t>或</w:t>
      </w:r>
      <w:r>
        <w:rPr>
          <w:rFonts w:ascii="仿宋" w:hAnsi="仿宋" w:cs="仿宋" w:eastAsia="仿宋"/>
          <w:sz w:val="24"/>
        </w:rPr>
        <w:t>敏感</w:t>
      </w:r>
      <w:r>
        <w:rPr>
          <w:rFonts w:ascii="仿宋" w:hAnsi="仿宋" w:cs="仿宋" w:eastAsia="仿宋"/>
          <w:sz w:val="24"/>
        </w:rPr>
        <w:t>信息中说明的权利人，</w:t>
      </w:r>
      <w:r>
        <w:rPr>
          <w:rFonts w:ascii="仿宋" w:hAnsi="仿宋" w:cs="仿宋" w:eastAsia="仿宋"/>
          <w:sz w:val="24"/>
        </w:rPr>
        <w:t>我方</w:t>
      </w:r>
      <w:r>
        <w:rPr>
          <w:rFonts w:ascii="仿宋" w:hAnsi="仿宋" w:cs="仿宋" w:eastAsia="仿宋"/>
          <w:sz w:val="24"/>
        </w:rPr>
        <w:t>对信息或资料的使用均不拥有任何专有利益、许可或授权。</w:t>
      </w:r>
    </w:p>
    <w:p>
      <w:pPr>
        <w:pStyle w:val="null3"/>
        <w:ind w:firstLine="480"/>
        <w:jc w:val="both"/>
      </w:pPr>
      <w:r>
        <w:rPr>
          <w:rFonts w:ascii="仿宋" w:hAnsi="仿宋" w:cs="仿宋" w:eastAsia="仿宋"/>
          <w:sz w:val="24"/>
        </w:rPr>
        <w:t>特此承诺。</w:t>
      </w:r>
    </w:p>
    <w:p>
      <w:pPr>
        <w:pStyle w:val="null3"/>
        <w:ind w:firstLine="480"/>
        <w:jc w:val="both"/>
      </w:pPr>
      <w:r>
        <w:rPr>
          <w:rFonts w:ascii="仿宋" w:hAnsi="仿宋" w:cs="仿宋" w:eastAsia="仿宋"/>
          <w:sz w:val="24"/>
        </w:rPr>
        <w:t>公司名称：</w:t>
      </w:r>
      <w:r>
        <w:rPr>
          <w:rFonts w:ascii="仿宋" w:hAnsi="仿宋" w:cs="仿宋" w:eastAsia="仿宋"/>
          <w:sz w:val="24"/>
        </w:rPr>
        <w:t>__________________（盖章）</w:t>
      </w:r>
    </w:p>
    <w:p>
      <w:pPr>
        <w:pStyle w:val="null3"/>
        <w:ind w:left="3150" w:firstLine="480"/>
        <w:jc w:val="both"/>
      </w:pPr>
      <w:r>
        <w:rPr>
          <w:rFonts w:ascii="仿宋" w:hAnsi="仿宋" w:cs="仿宋" w:eastAsia="仿宋"/>
          <w:sz w:val="24"/>
        </w:rPr>
        <w:t>项目成员签字：</w:t>
      </w:r>
    </w:p>
    <w:p>
      <w:pPr>
        <w:pStyle w:val="null3"/>
        <w:ind w:left="3150" w:firstLine="480"/>
        <w:jc w:val="both"/>
      </w:pPr>
      <w:r>
        <w:rPr>
          <w:rFonts w:ascii="仿宋" w:hAnsi="仿宋" w:cs="仿宋" w:eastAsia="仿宋"/>
          <w:sz w:val="24"/>
        </w:rPr>
        <w:t>日</w:t>
      </w:r>
      <w:r>
        <w:rPr>
          <w:rFonts w:ascii="仿宋" w:hAnsi="仿宋" w:cs="仿宋" w:eastAsia="仿宋"/>
          <w:sz w:val="24"/>
        </w:rPr>
        <w:t xml:space="preserve">    </w:t>
      </w:r>
      <w:r>
        <w:rPr>
          <w:rFonts w:ascii="仿宋" w:hAnsi="仿宋" w:cs="仿宋" w:eastAsia="仿宋"/>
          <w:sz w:val="24"/>
        </w:rPr>
        <w:t>期：</w:t>
      </w:r>
    </w:p>
    <w:p>
      <w:pPr>
        <w:pStyle w:val="null3"/>
      </w:pPr>
      <w:r>
        <w:rPr>
          <w:rFonts w:ascii="仿宋" w:hAnsi="仿宋" w:cs="仿宋" w:eastAsia="仿宋"/>
          <w:sz w:val="24"/>
        </w:rPr>
        <w:t>附件二</w:t>
      </w:r>
    </w:p>
    <w:p>
      <w:pPr>
        <w:pStyle w:val="null3"/>
        <w:jc w:val="center"/>
      </w:pPr>
      <w:r>
        <w:rPr>
          <w:rFonts w:ascii="仿宋" w:hAnsi="仿宋" w:cs="仿宋" w:eastAsia="仿宋"/>
          <w:sz w:val="28"/>
          <w:b/>
        </w:rPr>
        <w:t>廉洁共建承诺书</w:t>
      </w:r>
    </w:p>
    <w:p>
      <w:pPr>
        <w:pStyle w:val="null3"/>
        <w:jc w:val="both"/>
      </w:pPr>
      <w:r>
        <w:rPr>
          <w:rFonts w:ascii="仿宋" w:hAnsi="仿宋" w:cs="仿宋" w:eastAsia="仿宋"/>
          <w:sz w:val="24"/>
          <w:shd w:fill="FFFFFF" w:val="clear"/>
        </w:rPr>
        <w:t>甲方：成方金融科技有限公司</w:t>
      </w:r>
    </w:p>
    <w:p>
      <w:pPr>
        <w:pStyle w:val="null3"/>
        <w:jc w:val="both"/>
      </w:pPr>
      <w:r>
        <w:rPr>
          <w:rFonts w:ascii="仿宋" w:hAnsi="仿宋" w:cs="仿宋" w:eastAsia="仿宋"/>
          <w:sz w:val="24"/>
        </w:rPr>
        <w:t>乙方：</w:t>
      </w:r>
    </w:p>
    <w:p>
      <w:pPr>
        <w:pStyle w:val="null3"/>
        <w:jc w:val="both"/>
      </w:pPr>
      <w:r>
        <w:rPr>
          <w:rFonts w:ascii="仿宋" w:hAnsi="仿宋" w:cs="仿宋" w:eastAsia="仿宋"/>
          <w:sz w:val="24"/>
        </w:rPr>
        <w:t>为认真贯彻落实中央八项规定精神，弘扬廉政文化，甲方提议和乙方一起共同维护风清气正的公务往来环境，携手共建廉洁自律的工作氛围，双方承诺如下：</w:t>
      </w:r>
    </w:p>
    <w:p>
      <w:pPr>
        <w:pStyle w:val="null3"/>
        <w:ind w:firstLine="480"/>
        <w:jc w:val="both"/>
      </w:pPr>
      <w:r>
        <w:rPr>
          <w:rFonts w:ascii="仿宋" w:hAnsi="仿宋" w:cs="仿宋" w:eastAsia="仿宋"/>
          <w:sz w:val="24"/>
        </w:rPr>
        <w:t>1</w:t>
      </w:r>
      <w:r>
        <w:rPr>
          <w:rFonts w:ascii="仿宋" w:hAnsi="仿宋" w:cs="仿宋" w:eastAsia="仿宋"/>
          <w:sz w:val="24"/>
        </w:rPr>
        <w:t>.</w:t>
      </w:r>
      <w:r>
        <w:rPr>
          <w:rFonts w:ascii="仿宋" w:hAnsi="仿宋" w:cs="仿宋" w:eastAsia="仿宋"/>
          <w:sz w:val="24"/>
        </w:rPr>
        <w:t>甲乙双方在商业合作中，严格遵守国家法律法规，接受各监管机构的监管与审查。</w:t>
      </w:r>
    </w:p>
    <w:p>
      <w:pPr>
        <w:pStyle w:val="null3"/>
        <w:ind w:firstLine="480"/>
        <w:jc w:val="both"/>
      </w:pPr>
      <w:r>
        <w:rPr>
          <w:rFonts w:ascii="仿宋" w:hAnsi="仿宋" w:cs="仿宋" w:eastAsia="仿宋"/>
          <w:sz w:val="24"/>
        </w:rPr>
        <w:t>2</w:t>
      </w:r>
      <w:r>
        <w:rPr>
          <w:rFonts w:ascii="仿宋" w:hAnsi="仿宋" w:cs="仿宋" w:eastAsia="仿宋"/>
          <w:sz w:val="24"/>
        </w:rPr>
        <w:t>.</w:t>
      </w:r>
      <w:r>
        <w:rPr>
          <w:rFonts w:ascii="仿宋" w:hAnsi="仿宋" w:cs="仿宋" w:eastAsia="仿宋"/>
          <w:sz w:val="24"/>
        </w:rPr>
        <w:t>甲方及其工作人员不能以权谋私，不能搞权钱交易，本人及特定关系人不得与乙方及其工作人员有以下行为：</w:t>
      </w:r>
      <w:r>
        <w:rPr>
          <w:rFonts w:ascii="仿宋" w:hAnsi="仿宋" w:cs="仿宋" w:eastAsia="仿宋"/>
          <w:sz w:val="24"/>
        </w:rPr>
        <w:t>①索取乙方及其工作人员财物。②接受可能影响公正执行公务或者违反有关规定的宴请、住宿、培训、旅游、健身、文体娱乐等活动安排，出入私人会所。③收受可能影响公正执行公务的礼品、礼金、购物卡、预付卡、会员卡、提货券、电子红包、有价证券、股权（份）、贵重物品、土特产、金融产品、消费卡（券）等财物及其他隐形变异行为。④借用乙方及其工作人员的钱款、房屋、车辆等，或以明显优于正常市场交易价格与乙方及其工作人员进行交易和服务。⑤通过乙方及其工作人员报销或支付（代垫）应由个人及其特定关系人承担的费用。</w:t>
      </w:r>
    </w:p>
    <w:p>
      <w:pPr>
        <w:pStyle w:val="null3"/>
        <w:ind w:firstLine="480"/>
        <w:jc w:val="both"/>
      </w:pPr>
      <w:r>
        <w:rPr>
          <w:rFonts w:ascii="仿宋" w:hAnsi="仿宋" w:cs="仿宋" w:eastAsia="仿宋"/>
          <w:sz w:val="24"/>
        </w:rPr>
        <w:t>3.乙方及其工作人员不得向甲方及其特定关系人：①行贿、提供回扣。②安排可能影响公正执行公务或者违反有关规定的宴请、住宿、旅游、健身、文体娱乐等活动。③赠送可能影响公正执行公务的礼品、礼金、购物卡、预付卡、会员卡、提货券、电子红包、有价证券、股权（份）、贵重物品、土特产、金融产品、消费卡（券）等财物及其他隐形变异行为。④出借钱款、房屋、车辆等，或以明显优于正常市场交易价格进行的房屋买卖、装修、金融投资等交易和服务。⑤</w:t>
      </w:r>
      <w:r>
        <w:rPr>
          <w:rFonts w:ascii="仿宋" w:hAnsi="仿宋" w:cs="仿宋" w:eastAsia="仿宋"/>
          <w:sz w:val="24"/>
        </w:rPr>
        <w:t>报销应由甲方公司、个人及其特定关系人承担的费用。</w:t>
      </w:r>
    </w:p>
    <w:p>
      <w:pPr>
        <w:pStyle w:val="null3"/>
        <w:ind w:firstLine="480"/>
        <w:jc w:val="both"/>
      </w:pPr>
      <w:r>
        <w:rPr>
          <w:rFonts w:ascii="仿宋" w:hAnsi="仿宋" w:cs="仿宋" w:eastAsia="仿宋"/>
          <w:sz w:val="24"/>
        </w:rPr>
        <w:t>4.甲乙双方及其工作人员不得进行违反廉政相关规定的任何其他活动，严格执行回避制度，不得安排有关联关系的工作人员参与双方单位的任何相关工作，严禁关联交易和任何利益输送。</w:t>
      </w:r>
    </w:p>
    <w:p>
      <w:pPr>
        <w:pStyle w:val="null3"/>
        <w:ind w:firstLine="480"/>
        <w:jc w:val="both"/>
      </w:pPr>
      <w:r>
        <w:rPr>
          <w:rFonts w:ascii="仿宋" w:hAnsi="仿宋" w:cs="仿宋" w:eastAsia="仿宋"/>
          <w:sz w:val="24"/>
        </w:rPr>
        <w:t>5.甲乙双方若发现对方工作人员有违反廉政相关规定的行为的，应及时对其进行教育帮助以终止其行为并按照合同约定中的违约责任处置，若对方工作人员的行为已构成违法、违纪或违规的，应当及时向对方监察部门举报。</w:t>
      </w:r>
    </w:p>
    <w:p>
      <w:pPr>
        <w:pStyle w:val="null3"/>
        <w:ind w:firstLine="480"/>
        <w:jc w:val="both"/>
      </w:pPr>
      <w:r>
        <w:rPr>
          <w:rFonts w:ascii="仿宋" w:hAnsi="仿宋" w:cs="仿宋" w:eastAsia="仿宋"/>
          <w:sz w:val="24"/>
        </w:rPr>
        <w:t>本承诺书甲乙双方盖章后生效，有效期为本承诺书签订之日起。</w:t>
      </w:r>
    </w:p>
    <w:p>
      <w:pPr>
        <w:pStyle w:val="null3"/>
        <w:ind w:firstLine="480"/>
        <w:jc w:val="both"/>
      </w:pPr>
      <w:r>
        <w:rPr>
          <w:rFonts w:ascii="仿宋" w:hAnsi="仿宋" w:cs="仿宋" w:eastAsia="仿宋"/>
          <w:sz w:val="24"/>
        </w:rPr>
        <w:t>甲方：成方金融科技有限公司</w:t>
      </w:r>
      <w:r>
        <w:rPr>
          <w:rFonts w:ascii="仿宋" w:hAnsi="仿宋" w:cs="仿宋" w:eastAsia="仿宋"/>
          <w:sz w:val="24"/>
        </w:rPr>
        <w:t xml:space="preserve">          </w:t>
      </w: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日期：</w:t>
      </w:r>
      <w:r>
        <w:rPr>
          <w:rFonts w:ascii="仿宋" w:hAnsi="仿宋" w:cs="仿宋" w:eastAsia="仿宋"/>
          <w:sz w:val="24"/>
        </w:rPr>
        <w:t xml:space="preserve">                              </w:t>
      </w:r>
      <w:r>
        <w:rPr>
          <w:rFonts w:ascii="仿宋" w:hAnsi="仿宋" w:cs="仿宋" w:eastAsia="仿宋"/>
          <w:sz w:val="24"/>
        </w:rPr>
        <w:t>日期：</w:t>
      </w:r>
    </w:p>
    <w:p>
      <w:pPr>
        <w:pStyle w:val="null3"/>
      </w:pPr>
      <w:r>
        <w:rPr>
          <w:rFonts w:ascii="仿宋" w:hAnsi="仿宋" w:cs="仿宋" w:eastAsia="仿宋"/>
          <w:sz w:val="24"/>
        </w:rPr>
        <w:t>附件</w:t>
      </w:r>
      <w:r>
        <w:rPr>
          <w:rFonts w:ascii="仿宋" w:hAnsi="仿宋" w:cs="仿宋" w:eastAsia="仿宋"/>
          <w:sz w:val="24"/>
        </w:rPr>
        <w:t>四</w:t>
      </w:r>
    </w:p>
    <w:p>
      <w:pPr>
        <w:pStyle w:val="null3"/>
        <w:jc w:val="center"/>
      </w:pPr>
      <w:r>
        <w:rPr>
          <w:rFonts w:ascii="仿宋" w:hAnsi="仿宋" w:cs="仿宋" w:eastAsia="仿宋"/>
          <w:sz w:val="28"/>
          <w:b/>
        </w:rPr>
        <w:t>到货验收合格单（模板）</w:t>
      </w:r>
    </w:p>
    <w:tbl>
      <w:tblPr>
        <w:tblW w:w="0" w:type="auto"/>
        <w:tblInd w:type="dxa" w:w="390"/>
        <w:tblBorders>
          <w:top w:val="none" w:color="000000" w:sz="4"/>
          <w:left w:val="none" w:color="000000" w:sz="4"/>
          <w:bottom w:val="none" w:color="000000" w:sz="4"/>
          <w:right w:val="none" w:color="000000" w:sz="4"/>
          <w:insideH w:val="none"/>
          <w:insideV w:val="none"/>
        </w:tblBorders>
      </w:tblPr>
      <w:tblGrid>
        <w:gridCol w:w="824"/>
        <w:gridCol w:w="764"/>
        <w:gridCol w:w="1874"/>
        <w:gridCol w:w="604"/>
        <w:gridCol w:w="604"/>
        <w:gridCol w:w="604"/>
        <w:gridCol w:w="1679"/>
        <w:gridCol w:w="1334"/>
      </w:tblGrid>
      <w:tr>
        <w:tc>
          <w:tcPr>
            <w:tcW w:type="dxa" w:w="1588"/>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69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69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88"/>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308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283"/>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7"/>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到货验收清单</w:t>
            </w:r>
          </w:p>
        </w:tc>
      </w:tr>
      <w:tr>
        <w:tc>
          <w:tcPr>
            <w:tcW w:type="dxa" w:w="824"/>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6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8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812"/>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67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33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81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4"/>
            <w:vMerge/>
            <w:tcBorders>
              <w:top w:val="none" w:color="000000" w:sz="4"/>
              <w:left w:val="single" w:color="000000" w:sz="4"/>
              <w:bottom w:val="single" w:color="000000" w:sz="4"/>
              <w:right w:val="single" w:color="000000" w:sz="4"/>
            </w:tcBorders>
          </w:tcPr>
          <w:p/>
        </w:tc>
        <w:tc>
          <w:tcPr>
            <w:tcW w:type="dxa" w:w="746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w:t>
            </w:r>
          </w:p>
        </w:tc>
      </w:tr>
      <w:tr>
        <w:tc>
          <w:tcPr>
            <w:tcW w:type="dxa" w:w="8287"/>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1.到货验收共计[   ]项（应与到货验收清单项一致）</w:t>
            </w:r>
          </w:p>
          <w:p>
            <w:pPr>
              <w:pStyle w:val="null3"/>
              <w:jc w:val="both"/>
            </w:pPr>
            <w:r>
              <w:rPr>
                <w:rFonts w:ascii="仿宋" w:hAnsi="仿宋" w:cs="仿宋" w:eastAsia="仿宋"/>
                <w:sz w:val="24"/>
              </w:rPr>
              <w:t xml:space="preserve">2.全部设备验收结果与合同规定内容一致：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.其他（包括品牌、型号、规格、数量、外型、包装及资料、装箱单、保修单、随箱介质等文件）与合同规定内容一致：</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 xml:space="preserve">.本次到货验收结论：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406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22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r>
        <w:rPr>
          <w:rFonts w:ascii="calibri" w:hAnsi="calibri" w:cs="calibri" w:eastAsia="calibri"/>
          <w:sz w:val="21"/>
        </w:rPr>
        <w:t xml:space="preserve">                               </w:t>
      </w:r>
    </w:p>
    <w:p>
      <w:pPr>
        <w:pStyle w:val="null3"/>
        <w:jc w:val="both"/>
      </w:pPr>
      <w:r>
        <w:rPr/>
        <w:t xml:space="preserve"> </w:t>
      </w:r>
    </w:p>
    <w:p>
      <w:pPr>
        <w:pStyle w:val="null3"/>
        <w:ind w:left="255"/>
        <w:jc w:val="both"/>
      </w:pPr>
      <w:r>
        <w:rPr>
          <w:rFonts w:ascii="仿宋" w:hAnsi="仿宋" w:cs="仿宋" w:eastAsia="仿宋"/>
          <w:sz w:val="24"/>
        </w:rPr>
        <w:t>附件五</w:t>
      </w:r>
    </w:p>
    <w:p>
      <w:pPr>
        <w:pStyle w:val="null3"/>
        <w:jc w:val="center"/>
      </w:pPr>
      <w:r>
        <w:rPr>
          <w:rFonts w:ascii="仿宋" w:hAnsi="仿宋" w:cs="仿宋" w:eastAsia="仿宋"/>
          <w:sz w:val="28"/>
          <w:b/>
        </w:rPr>
        <w:t>安装调试验收合格单（模板）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安装调试验收清单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1.安装调试验收共计[   ]项（应与安装调试验收清单项一致）</w:t>
            </w:r>
          </w:p>
          <w:p>
            <w:pPr>
              <w:pStyle w:val="null3"/>
              <w:jc w:val="both"/>
            </w:pPr>
            <w:r>
              <w:rPr>
                <w:rFonts w:ascii="仿宋" w:hAnsi="仿宋" w:cs="仿宋" w:eastAsia="仿宋"/>
                <w:sz w:val="24"/>
              </w:rPr>
              <w:t xml:space="preserve">2.已提供了合同约定的验收产品和资料：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3.进场、上架、加电及安装调试工作满足合同要求： 是[   ]   否[   ]</w:t>
            </w:r>
          </w:p>
          <w:p>
            <w:pPr>
              <w:pStyle w:val="null3"/>
              <w:jc w:val="both"/>
            </w:pPr>
            <w:r>
              <w:rPr>
                <w:rFonts w:ascii="仿宋" w:hAnsi="仿宋" w:cs="仿宋" w:eastAsia="仿宋"/>
                <w:sz w:val="24"/>
              </w:rPr>
              <w:t>4</w:t>
            </w:r>
            <w:r>
              <w:rPr>
                <w:rFonts w:ascii="仿宋" w:hAnsi="仿宋" w:cs="仿宋" w:eastAsia="仿宋"/>
                <w:sz w:val="24"/>
              </w:rPr>
              <w:t>.</w:t>
            </w:r>
            <w:r>
              <w:rPr>
                <w:rFonts w:ascii="仿宋" w:hAnsi="仿宋" w:cs="仿宋" w:eastAsia="仿宋"/>
                <w:sz w:val="24"/>
              </w:rPr>
              <w:t>安装调试设备运行状态稳定：</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w:t>
            </w:r>
            <w:r>
              <w:rPr>
                <w:rFonts w:ascii="仿宋" w:hAnsi="仿宋" w:cs="仿宋" w:eastAsia="仿宋"/>
                <w:sz w:val="24"/>
              </w:rPr>
              <w:t>设备安装调试时出现的问题（如有）已被解决：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6</w:t>
            </w:r>
            <w:r>
              <w:rPr>
                <w:rFonts w:ascii="仿宋" w:hAnsi="仿宋" w:cs="仿宋" w:eastAsia="仿宋"/>
                <w:sz w:val="24"/>
              </w:rPr>
              <w:t xml:space="preserve">.本次安装调试验收结论：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jc w:val="both"/>
      </w:pPr>
      <w:r>
        <w:rPr>
          <w:rFonts w:ascii="仿宋" w:hAnsi="仿宋" w:cs="仿宋" w:eastAsia="仿宋"/>
          <w:sz w:val="24"/>
        </w:rPr>
        <w:t>附件六</w:t>
      </w:r>
    </w:p>
    <w:p>
      <w:pPr>
        <w:pStyle w:val="null3"/>
        <w:jc w:val="center"/>
      </w:pPr>
      <w:r>
        <w:rPr>
          <w:rFonts w:ascii="仿宋" w:hAnsi="仿宋" w:cs="仿宋" w:eastAsia="仿宋"/>
          <w:sz w:val="28"/>
          <w:b/>
        </w:rPr>
        <w:t>最终验收合格单（模板）</w:t>
      </w:r>
    </w:p>
    <w:tbl>
      <w:tblPr>
        <w:tblW w:w="0" w:type="auto"/>
        <w:tblBorders>
          <w:top w:val="none" w:color="000000" w:sz="4"/>
          <w:left w:val="none" w:color="000000" w:sz="4"/>
          <w:bottom w:val="none" w:color="000000" w:sz="4"/>
          <w:right w:val="none" w:color="000000" w:sz="4"/>
          <w:insideH w:val="none"/>
          <w:insideV w:val="none"/>
        </w:tblBorders>
      </w:tblPr>
      <w:tblGrid>
        <w:gridCol w:w="780"/>
        <w:gridCol w:w="724"/>
        <w:gridCol w:w="1774"/>
        <w:gridCol w:w="577"/>
        <w:gridCol w:w="577"/>
        <w:gridCol w:w="577"/>
        <w:gridCol w:w="1590"/>
        <w:gridCol w:w="1689"/>
      </w:tblGrid>
      <w:tr>
        <w:tc>
          <w:tcPr>
            <w:tcW w:type="dxa" w:w="1504"/>
            <w:gridSpan w:val="2"/>
            <w:tcBorders>
              <w:top w:val="singl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合同名称</w:t>
            </w:r>
          </w:p>
        </w:tc>
        <w:tc>
          <w:tcPr>
            <w:tcW w:type="dxa" w:w="6784"/>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成方金融科技有限公司</w:t>
            </w:r>
            <w:r>
              <w:rPr>
                <w:rFonts w:ascii="仿宋" w:hAnsi="仿宋" w:cs="仿宋" w:eastAsia="仿宋"/>
                <w:sz w:val="24"/>
              </w:rPr>
              <w:t>XX项目采购合同</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合同编号</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 w:hAnsi="仿宋" w:cs="仿宋" w:eastAsia="仿宋"/>
                <w:sz w:val="24"/>
              </w:rPr>
              <w:t>PT</w:t>
            </w:r>
            <w:r>
              <w:rPr>
                <w:rFonts w:ascii="仿宋" w:hAnsi="仿宋" w:cs="仿宋" w:eastAsia="仿宋"/>
                <w:sz w:val="24"/>
              </w:rPr>
              <w:t>202</w:t>
            </w:r>
            <w:r>
              <w:rPr>
                <w:rFonts w:ascii="仿宋" w:hAnsi="仿宋" w:cs="仿宋" w:eastAsia="仿宋"/>
                <w:sz w:val="24"/>
              </w:rPr>
              <w:t>X</w:t>
            </w:r>
            <w:r>
              <w:rPr>
                <w:rFonts w:ascii="仿宋" w:hAnsi="仿宋" w:cs="仿宋" w:eastAsia="仿宋"/>
                <w:sz w:val="24"/>
              </w:rPr>
              <w:t>0</w:t>
            </w:r>
            <w:r>
              <w:rPr>
                <w:rFonts w:ascii="仿宋" w:hAnsi="仿宋" w:cs="仿宋" w:eastAsia="仿宋"/>
                <w:sz w:val="24"/>
              </w:rPr>
              <w:t>XX</w:t>
            </w: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验收部门</w:t>
            </w:r>
          </w:p>
        </w:tc>
        <w:tc>
          <w:tcPr>
            <w:tcW w:type="dxa" w:w="678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504"/>
            <w:gridSpan w:val="2"/>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rPr>
              <w:t>验收时间</w:t>
            </w:r>
          </w:p>
        </w:tc>
        <w:tc>
          <w:tcPr>
            <w:tcW w:type="dxa" w:w="292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167"/>
            <w:gridSpan w:val="2"/>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验收</w:t>
            </w:r>
            <w:r>
              <w:rPr>
                <w:rFonts w:ascii="仿宋" w:hAnsi="仿宋" w:cs="仿宋" w:eastAsia="仿宋"/>
                <w:sz w:val="24"/>
              </w:rPr>
              <w:t>地点</w:t>
            </w:r>
          </w:p>
        </w:tc>
        <w:tc>
          <w:tcPr>
            <w:tcW w:type="dxa" w:w="1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288"/>
            <w:gridSpan w:val="8"/>
            <w:tcBorders>
              <w:top w:val="none" w:color="000000" w:sz="4"/>
              <w:left w:val="single" w:color="000000" w:sz="4"/>
              <w:bottom w:val="single" w:color="000000" w:sz="4"/>
              <w:right w:val="single" w:color="000000" w:sz="4"/>
            </w:tcBorders>
            <w:shd w:fill="E6E6E6"/>
            <w:tcMar>
              <w:top w:type="dxa" w:w="0"/>
              <w:left w:type="dxa" w:w="105"/>
              <w:bottom w:type="dxa" w:w="0"/>
              <w:right w:type="dxa" w:w="105"/>
            </w:tcMar>
            <w:vAlign w:val="top"/>
          </w:tcPr>
          <w:p>
            <w:pPr>
              <w:pStyle w:val="null3"/>
              <w:jc w:val="center"/>
            </w:pPr>
            <w:r>
              <w:rPr>
                <w:rFonts w:ascii="仿宋" w:hAnsi="仿宋" w:cs="仿宋" w:eastAsia="仿宋"/>
                <w:sz w:val="24"/>
                <w:b/>
              </w:rPr>
              <w:t>最终验收清单</w:t>
            </w:r>
          </w:p>
        </w:tc>
      </w:tr>
      <w:tr>
        <w:tc>
          <w:tcPr>
            <w:tcW w:type="dxa" w:w="780"/>
            <w:vMerge w:val="restart"/>
            <w:tcBorders>
              <w:top w:val="non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货物</w:t>
            </w:r>
          </w:p>
          <w:p>
            <w:pPr>
              <w:pStyle w:val="null3"/>
              <w:jc w:val="center"/>
            </w:pPr>
            <w:r>
              <w:rPr>
                <w:rFonts w:ascii="仿宋" w:hAnsi="仿宋" w:cs="仿宋" w:eastAsia="仿宋"/>
                <w:sz w:val="24"/>
              </w:rPr>
              <w:t>情况</w:t>
            </w:r>
          </w:p>
        </w:tc>
        <w:tc>
          <w:tcPr>
            <w:tcW w:type="dxa" w:w="72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编号</w:t>
            </w:r>
          </w:p>
        </w:tc>
        <w:tc>
          <w:tcPr>
            <w:tcW w:type="dxa" w:w="1774"/>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品牌</w:t>
            </w:r>
          </w:p>
        </w:tc>
        <w:tc>
          <w:tcPr>
            <w:tcW w:type="dxa" w:w="1731"/>
            <w:gridSpan w:val="3"/>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型号</w:t>
            </w:r>
          </w:p>
        </w:tc>
        <w:tc>
          <w:tcPr>
            <w:tcW w:type="dxa" w:w="1590"/>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数量</w:t>
            </w:r>
          </w:p>
        </w:tc>
        <w:tc>
          <w:tcPr>
            <w:tcW w:type="dxa" w:w="1689"/>
            <w:tcBorders>
              <w:top w:val="single" w:color="000000" w:sz="4"/>
              <w:left w:val="single" w:color="000000" w:sz="4"/>
              <w:bottom w:val="single" w:color="000000" w:sz="4"/>
              <w:right w:val="single" w:color="000000" w:sz="4"/>
            </w:tcBorders>
            <w:shd w:fill="E0E0E0"/>
            <w:tcMar>
              <w:top w:type="dxa" w:w="0"/>
              <w:left w:type="dxa" w:w="105"/>
              <w:bottom w:type="dxa" w:w="0"/>
              <w:right w:type="dxa" w:w="105"/>
            </w:tcMar>
            <w:vAlign w:val="top"/>
          </w:tcPr>
          <w:p>
            <w:pPr>
              <w:pStyle w:val="null3"/>
              <w:jc w:val="center"/>
            </w:pPr>
            <w:r>
              <w:rPr>
                <w:rFonts w:ascii="仿宋" w:hAnsi="仿宋" w:cs="仿宋" w:eastAsia="仿宋"/>
                <w:sz w:val="24"/>
              </w:rPr>
              <w:t>序列号</w:t>
            </w: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1</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2</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 w:hAnsi="仿宋" w:cs="仿宋" w:eastAsia="仿宋"/>
                <w:sz w:val="24"/>
              </w:rPr>
              <w:t>3</w:t>
            </w: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731"/>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80"/>
            <w:vMerge/>
            <w:tcBorders>
              <w:top w:val="none" w:color="000000" w:sz="4"/>
              <w:left w:val="single" w:color="000000" w:sz="4"/>
              <w:bottom w:val="single" w:color="000000" w:sz="4"/>
              <w:right w:val="single" w:color="000000" w:sz="4"/>
            </w:tcBorders>
          </w:tcPr>
          <w:p/>
        </w:tc>
        <w:tc>
          <w:tcPr>
            <w:tcW w:type="dxa" w:w="75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备注：如清单过长，可附表（应与本合同前序验收清单一致）。</w:t>
            </w:r>
          </w:p>
        </w:tc>
      </w:tr>
      <w:tr>
        <w:tc>
          <w:tcPr>
            <w:tcW w:type="dxa" w:w="8288"/>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b/>
              </w:rPr>
              <w:t>实施情况：</w:t>
            </w:r>
          </w:p>
          <w:p>
            <w:pPr>
              <w:pStyle w:val="null3"/>
              <w:jc w:val="both"/>
            </w:pPr>
            <w:r>
              <w:rPr>
                <w:rFonts w:ascii="仿宋" w:hAnsi="仿宋" w:cs="仿宋" w:eastAsia="仿宋"/>
                <w:sz w:val="24"/>
                <w:b/>
              </w:rPr>
              <w:t>验收结论：</w:t>
            </w:r>
          </w:p>
          <w:p>
            <w:pPr>
              <w:pStyle w:val="null3"/>
              <w:jc w:val="both"/>
            </w:pPr>
            <w:r>
              <w:rPr>
                <w:rFonts w:ascii="仿宋" w:hAnsi="仿宋" w:cs="仿宋" w:eastAsia="仿宋"/>
                <w:sz w:val="24"/>
              </w:rPr>
              <w:t>1.最终验收共计[   ]项（应与设备最终验收清单项一致）</w:t>
            </w:r>
          </w:p>
          <w:p>
            <w:pPr>
              <w:pStyle w:val="null3"/>
              <w:jc w:val="both"/>
            </w:pPr>
            <w:r>
              <w:rPr>
                <w:rFonts w:ascii="仿宋" w:hAnsi="仿宋" w:cs="仿宋" w:eastAsia="仿宋"/>
                <w:sz w:val="24"/>
              </w:rPr>
              <w:t xml:space="preserve">2.已提供合同的全部产品和资料：       </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3.</w:t>
            </w:r>
            <w:r>
              <w:rPr>
                <w:rFonts w:ascii="仿宋" w:hAnsi="仿宋" w:cs="仿宋" w:eastAsia="仿宋"/>
                <w:sz w:val="24"/>
              </w:rPr>
              <w:t>试运行时间满足合同要求：</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4.</w:t>
            </w:r>
            <w:r>
              <w:rPr>
                <w:rFonts w:ascii="仿宋" w:hAnsi="仿宋" w:cs="仿宋" w:eastAsia="仿宋"/>
                <w:sz w:val="24"/>
              </w:rPr>
              <w:t>性能测试和试运行时出现的问题（如有）已被解决：</w:t>
            </w:r>
            <w:r>
              <w:rPr>
                <w:rFonts w:ascii="calibri" w:hAnsi="calibri" w:cs="calibri" w:eastAsia="calibri"/>
                <w:sz w:val="21"/>
              </w:rPr>
              <w:t xml:space="preserve">  </w:t>
            </w:r>
            <w:r>
              <w:rPr>
                <w:rFonts w:ascii="仿宋" w:hAnsi="仿宋" w:cs="仿宋" w:eastAsia="仿宋"/>
                <w:sz w:val="24"/>
              </w:rPr>
              <w:t>是</w:t>
            </w:r>
            <w:r>
              <w:rPr>
                <w:rFonts w:ascii="仿宋" w:hAnsi="仿宋" w:cs="仿宋" w:eastAsia="仿宋"/>
                <w:sz w:val="24"/>
              </w:rPr>
              <w:t>[   ]   否[   ]</w:t>
            </w:r>
          </w:p>
          <w:p>
            <w:pPr>
              <w:pStyle w:val="null3"/>
              <w:jc w:val="both"/>
            </w:pPr>
            <w:r>
              <w:rPr>
                <w:rFonts w:ascii="仿宋" w:hAnsi="仿宋" w:cs="仿宋" w:eastAsia="仿宋"/>
                <w:sz w:val="24"/>
              </w:rPr>
              <w:t>5</w:t>
            </w:r>
            <w:r>
              <w:rPr>
                <w:rFonts w:ascii="仿宋" w:hAnsi="仿宋" w:cs="仿宋" w:eastAsia="仿宋"/>
                <w:sz w:val="24"/>
              </w:rPr>
              <w:t xml:space="preserve">.本次最终验收结论：              </w:t>
            </w:r>
            <w:r>
              <w:rPr>
                <w:rFonts w:ascii="calibri" w:hAnsi="calibri" w:cs="calibri" w:eastAsia="calibri"/>
                <w:sz w:val="21"/>
              </w:rPr>
              <w:t xml:space="preserve">           </w:t>
            </w:r>
            <w:r>
              <w:rPr>
                <w:rFonts w:ascii="仿宋" w:hAnsi="仿宋" w:cs="仿宋" w:eastAsia="仿宋"/>
                <w:sz w:val="24"/>
              </w:rPr>
              <w:t>合格</w:t>
            </w:r>
            <w:r>
              <w:rPr>
                <w:rFonts w:ascii="仿宋" w:hAnsi="仿宋" w:cs="仿宋" w:eastAsia="仿宋"/>
                <w:sz w:val="24"/>
              </w:rPr>
              <w:t>[   ]   不合格[   ]</w:t>
            </w:r>
          </w:p>
          <w:p>
            <w:pPr>
              <w:pStyle w:val="null3"/>
              <w:ind w:left="240"/>
              <w:jc w:val="both"/>
            </w:pPr>
            <w:r>
              <w:rPr>
                <w:rFonts w:ascii="仿宋" w:hAnsi="仿宋" w:cs="仿宋" w:eastAsia="仿宋"/>
                <w:sz w:val="24"/>
              </w:rPr>
              <w:t>6</w:t>
            </w:r>
            <w:r>
              <w:rPr>
                <w:rFonts w:ascii="仿宋" w:hAnsi="仿宋" w:cs="仿宋" w:eastAsia="仿宋"/>
                <w:sz w:val="24"/>
              </w:rPr>
              <w:t>.</w:t>
            </w:r>
            <w:r>
              <w:rPr>
                <w:rFonts w:ascii="仿宋" w:hAnsi="仿宋" w:cs="仿宋" w:eastAsia="仿宋"/>
                <w:sz w:val="24"/>
              </w:rPr>
              <w:t>供应商履约评价结果（与所附供应商履约评价表一致）：</w:t>
            </w:r>
            <w:r>
              <w:rPr>
                <w:rFonts w:ascii="calibri" w:hAnsi="calibri" w:cs="calibri" w:eastAsia="calibri"/>
                <w:sz w:val="21"/>
              </w:rPr>
              <w:t xml:space="preserve">    </w:t>
            </w:r>
          </w:p>
          <w:p>
            <w:pPr>
              <w:pStyle w:val="null3"/>
              <w:ind w:left="240"/>
              <w:jc w:val="both"/>
            </w:pPr>
            <w:r>
              <w:rPr>
                <w:rFonts w:ascii="calibri" w:hAnsi="calibri" w:cs="calibri" w:eastAsia="calibri"/>
                <w:sz w:val="21"/>
              </w:rPr>
              <w:t xml:space="preserve">  </w:t>
            </w:r>
            <w:r>
              <w:rPr>
                <w:rFonts w:ascii="仿宋" w:hAnsi="仿宋" w:cs="仿宋" w:eastAsia="仿宋"/>
                <w:sz w:val="24"/>
              </w:rPr>
              <w:t>优秀</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一般</w:t>
            </w:r>
            <w:r>
              <w:rPr>
                <w:rFonts w:ascii="仿宋" w:hAnsi="仿宋" w:cs="仿宋" w:eastAsia="仿宋"/>
                <w:sz w:val="24"/>
              </w:rPr>
              <w:t>[   ]</w:t>
            </w:r>
            <w:r>
              <w:rPr>
                <w:rFonts w:ascii="calibri" w:hAnsi="calibri" w:cs="calibri" w:eastAsia="calibri"/>
                <w:sz w:val="21"/>
              </w:rPr>
              <w:t xml:space="preserve">     </w:t>
            </w:r>
            <w:r>
              <w:rPr>
                <w:rFonts w:ascii="仿宋" w:hAnsi="仿宋" w:cs="仿宋" w:eastAsia="仿宋"/>
                <w:sz w:val="24"/>
              </w:rPr>
              <w:t>较差</w:t>
            </w:r>
            <w:r>
              <w:rPr>
                <w:rFonts w:ascii="仿宋" w:hAnsi="仿宋" w:cs="仿宋" w:eastAsia="仿宋"/>
                <w:sz w:val="24"/>
              </w:rPr>
              <w:t>[   ]</w:t>
            </w:r>
          </w:p>
          <w:p>
            <w:pPr>
              <w:pStyle w:val="null3"/>
              <w:jc w:val="both"/>
            </w:pPr>
            <w:r>
              <w:rPr>
                <w:rFonts w:ascii="仿宋" w:hAnsi="仿宋" w:cs="仿宋" w:eastAsia="仿宋"/>
                <w:sz w:val="24"/>
              </w:rPr>
              <w:t>7</w:t>
            </w:r>
            <w:r>
              <w:rPr>
                <w:rFonts w:ascii="仿宋" w:hAnsi="仿宋" w:cs="仿宋" w:eastAsia="仿宋"/>
                <w:sz w:val="24"/>
              </w:rPr>
              <w:t>.</w:t>
            </w:r>
            <w:r>
              <w:rPr>
                <w:rFonts w:ascii="仿宋" w:hAnsi="仿宋" w:cs="仿宋" w:eastAsia="仿宋"/>
                <w:sz w:val="24"/>
              </w:rPr>
              <w:t>其他意见：</w:t>
            </w:r>
          </w:p>
          <w:p>
            <w:pPr>
              <w:pStyle w:val="null3"/>
              <w:jc w:val="both"/>
            </w:pPr>
          </w:p>
        </w:tc>
      </w:tr>
      <w:tr>
        <w:tc>
          <w:tcPr>
            <w:tcW w:type="dxa" w:w="385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甲方：成方金融科技有限公司（盖章）</w:t>
            </w:r>
          </w:p>
          <w:p>
            <w:pPr>
              <w:pStyle w:val="null3"/>
              <w:jc w:val="both"/>
            </w:pPr>
            <w:r>
              <w:rPr>
                <w:rFonts w:ascii="仿宋" w:hAnsi="仿宋" w:cs="仿宋" w:eastAsia="仿宋"/>
                <w:sz w:val="24"/>
              </w:rPr>
              <w:t>经办人（双人）签字：</w:t>
            </w:r>
          </w:p>
          <w:p>
            <w:pPr>
              <w:pStyle w:val="null3"/>
              <w:jc w:val="both"/>
            </w:pPr>
            <w:r>
              <w:rPr>
                <w:rFonts w:ascii="仿宋" w:hAnsi="仿宋" w:cs="仿宋" w:eastAsia="仿宋"/>
                <w:sz w:val="24"/>
              </w:rPr>
              <w:t>日期：</w:t>
            </w:r>
          </w:p>
        </w:tc>
        <w:tc>
          <w:tcPr>
            <w:tcW w:type="dxa" w:w="4433"/>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 w:hAnsi="仿宋" w:cs="仿宋" w:eastAsia="仿宋"/>
                <w:sz w:val="24"/>
              </w:rPr>
              <w:t>乙方：</w:t>
            </w:r>
            <w:r>
              <w:rPr>
                <w:rFonts w:ascii="仿宋" w:hAnsi="仿宋" w:cs="仿宋" w:eastAsia="仿宋"/>
                <w:sz w:val="24"/>
              </w:rPr>
              <w:t>__________________（盖章）</w:t>
            </w:r>
          </w:p>
          <w:p>
            <w:pPr>
              <w:pStyle w:val="null3"/>
              <w:jc w:val="both"/>
            </w:pPr>
            <w:r>
              <w:rPr>
                <w:rFonts w:ascii="仿宋" w:hAnsi="仿宋" w:cs="仿宋" w:eastAsia="仿宋"/>
                <w:sz w:val="24"/>
              </w:rPr>
              <w:t>经办人签字：</w:t>
            </w:r>
          </w:p>
          <w:p>
            <w:pPr>
              <w:pStyle w:val="null3"/>
              <w:jc w:val="both"/>
            </w:pPr>
            <w:r>
              <w:rPr>
                <w:rFonts w:ascii="仿宋" w:hAnsi="仿宋" w:cs="仿宋" w:eastAsia="仿宋"/>
                <w:sz w:val="24"/>
              </w:rPr>
              <w:t>日期：</w:t>
            </w:r>
          </w:p>
        </w:tc>
      </w:tr>
    </w:tbl>
    <w:p>
      <w:pPr>
        <w:pStyle w:val="null3"/>
        <w:jc w:val="both"/>
      </w:pPr>
      <w:r>
        <w:rPr>
          <w:rFonts w:ascii="仿宋" w:hAnsi="仿宋" w:cs="仿宋" w:eastAsia="仿宋"/>
          <w:sz w:val="24"/>
        </w:rPr>
        <w:t>注：可根据实际情况调整验收合格单内容。</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