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中国人民银行党校2025年办公业务用房租赁项目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pPr>
      <w:r>
        <w:rPr>
          <w:b/>
        </w:rPr>
        <w:t xml:space="preserve">项目编号： </w:t>
      </w:r>
      <w:r>
        <w:rPr>
          <w:b/>
        </w:rPr>
        <w:t>004CSF2026007</w:t>
      </w:r>
    </w:p>
    <w:p>
      <w:pPr>
        <w:pStyle w:val="null3"/>
        <w:jc w:val="center"/>
      </w:pPr>
      <w:r>
        <w:rPr/>
        <w:t>中国人民银行集中采购中心</w:t>
      </w:r>
    </w:p>
    <w:p>
      <w:pPr>
        <w:pStyle w:val="null3"/>
        <w:jc w:val="center"/>
      </w:pPr>
      <w:r>
        <w:rPr/>
        <w:t>2026年01月26日</w:t>
      </w:r>
    </w:p>
    <w:p>
      <w:pPr>
        <w:pStyle w:val="null3"/>
      </w:pPr>
      <w:r>
        <w:rPr/>
        <w:t xml:space="preserve"> </w:t>
      </w:r>
    </w:p>
    <w:p>
      <w:pPr>
        <w:pStyle w:val="null3"/>
        <w:jc w:val="center"/>
        <w:outlineLvl w:val="1"/>
      </w:pPr>
      <w:r>
        <w:rPr>
          <w:sz w:val="36"/>
          <w:b/>
        </w:rPr>
        <w:t>第一章 竞争性磋商邀请</w:t>
      </w:r>
    </w:p>
    <w:p>
      <w:pPr>
        <w:pStyle w:val="null3"/>
        <w:jc w:val="left"/>
      </w:pPr>
      <w:r>
        <w:rPr/>
        <w:t xml:space="preserve"> 中国人民银行集中采购中心现采取竞争性磋商的方式，就“ </w:t>
      </w:r>
      <w:r>
        <w:rPr/>
        <w:t>中国人民银行党校2025年办公业务用房租赁项目</w:t>
      </w:r>
      <w:r>
        <w:rPr/>
        <w:t xml:space="preserve"> ”（项目编号： </w:t>
      </w:r>
      <w:r>
        <w:rPr/>
        <w:t>004CSF2026007</w:t>
      </w:r>
      <w:r>
        <w:rPr/>
        <w:t xml:space="preserve"> ）邀请合格供应商参加竞争性磋商。本项目 </w:t>
      </w:r>
      <w:r>
        <w:rPr/>
        <w:t>落实</w:t>
      </w:r>
      <w:r>
        <w:rPr/>
        <w:t xml:space="preserve"> 《政府采购法》、《政府采购法实施条例》、《政府采购促进中小企业发展管理办法》及政府采购领域相关程序。</w:t>
      </w:r>
    </w:p>
    <w:p>
      <w:pPr>
        <w:pStyle w:val="null3"/>
        <w:jc w:val="left"/>
        <w:outlineLvl w:val="2"/>
      </w:pPr>
      <w:r>
        <w:rPr>
          <w:sz w:val="28"/>
          <w:b/>
        </w:rPr>
        <w:t>1.1 采购标的</w:t>
      </w:r>
    </w:p>
    <w:p>
      <w:pPr>
        <w:pStyle w:val="null3"/>
        <w:jc w:val="left"/>
        <w:outlineLvl w:val="3"/>
      </w:pPr>
      <w:r>
        <w:rPr>
          <w:sz w:val="24"/>
          <w:b/>
        </w:rPr>
        <w:t>1.1.1本次磋商标的</w:t>
      </w:r>
    </w:p>
    <w:p>
      <w:pPr>
        <w:pStyle w:val="null3"/>
        <w:jc w:val="left"/>
      </w:pPr>
      <w:r>
        <w:rPr/>
        <w:t>采购包预算金额（元）: 2,867,000.00</w:t>
      </w:r>
    </w:p>
    <w:p>
      <w:pPr>
        <w:pStyle w:val="null3"/>
        <w:jc w:val="left"/>
      </w:pPr>
      <w:r>
        <w:rPr/>
        <w:t>采购包最高限价（元）: 2,867,000.00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党校办公业务用房</w:t>
            </w:r>
          </w:p>
        </w:tc>
        <w:tc>
          <w:tcPr>
            <w:tcW w:type="dxa" w:w="831"/>
          </w:tcPr>
          <w:p>
            <w:pPr>
              <w:pStyle w:val="null3"/>
              <w:jc w:val="left"/>
            </w:pPr>
            <w:r>
              <w:rPr/>
              <w:t>C21020000 房屋租赁服务</w:t>
            </w:r>
          </w:p>
        </w:tc>
        <w:tc>
          <w:tcPr>
            <w:tcW w:type="dxa" w:w="831"/>
          </w:tcPr>
          <w:p>
            <w:pPr>
              <w:pStyle w:val="null3"/>
              <w:jc w:val="left"/>
            </w:pPr>
            <w:r>
              <w:rPr/>
              <w:t>C21020000</w:t>
            </w:r>
          </w:p>
        </w:tc>
        <w:tc>
          <w:tcPr>
            <w:tcW w:type="dxa" w:w="831"/>
          </w:tcPr>
          <w:p>
            <w:pPr>
              <w:pStyle w:val="null3"/>
              <w:jc w:val="left"/>
            </w:pPr>
            <w:r>
              <w:rPr/>
              <w:t>服务</w:t>
            </w:r>
          </w:p>
        </w:tc>
        <w:tc>
          <w:tcPr>
            <w:tcW w:type="dxa" w:w="831"/>
          </w:tcPr>
          <w:p>
            <w:pPr>
              <w:pStyle w:val="null3"/>
              <w:jc w:val="left"/>
            </w:pPr>
            <w:r>
              <w:rPr/>
              <w:t>平方米</w:t>
            </w:r>
          </w:p>
        </w:tc>
        <w:tc>
          <w:tcPr>
            <w:tcW w:type="dxa" w:w="831"/>
          </w:tcPr>
          <w:p>
            <w:pPr>
              <w:pStyle w:val="null3"/>
              <w:jc w:val="right"/>
            </w:pPr>
            <w:r>
              <w:rPr/>
              <w:t>713.95</w:t>
            </w:r>
          </w:p>
        </w:tc>
        <w:tc>
          <w:tcPr>
            <w:tcW w:type="dxa" w:w="831"/>
          </w:tcPr>
          <w:p>
            <w:pPr>
              <w:pStyle w:val="null3"/>
              <w:jc w:val="left"/>
            </w:pPr>
            <w:r>
              <w:rPr/>
              <w:t>否</w:t>
            </w:r>
          </w:p>
        </w:tc>
        <w:tc>
          <w:tcPr>
            <w:tcW w:type="dxa" w:w="831"/>
          </w:tcPr>
          <w:p>
            <w:pPr>
              <w:pStyle w:val="null3"/>
              <w:jc w:val="right"/>
            </w:pPr>
            <w:r>
              <w:rPr/>
              <w:t>2,867,000.00</w:t>
            </w:r>
          </w:p>
        </w:tc>
        <w:tc>
          <w:tcPr>
            <w:tcW w:type="dxa" w:w="831"/>
          </w:tcPr>
          <w:p/>
        </w:tc>
      </w:tr>
    </w:tbl>
    <w:p>
      <w:pPr>
        <w:pStyle w:val="null3"/>
        <w:jc w:val="left"/>
      </w:pPr>
      <w:r>
        <w:rPr/>
        <w:t xml:space="preserve"> 根据《中华人民共和国政府采购法》和财政部《政府采购进口产品管理办法》的有关规定，本次采购 </w:t>
      </w:r>
      <w:r>
        <w:rPr/>
        <w:t>不允许</w:t>
      </w:r>
      <w:r>
        <w:rPr/>
        <w:t xml:space="preserve"> 进口产品响应。</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 中小企业政策</w:t>
      </w:r>
    </w:p>
    <w:p>
      <w:pPr>
        <w:pStyle w:val="null3"/>
        <w:jc w:val="both"/>
      </w:pPr>
      <w:r>
        <w:rPr/>
        <w:t>本项目是否专门面向中小企业采购：</w:t>
      </w:r>
    </w:p>
    <w:p>
      <w:pPr>
        <w:pStyle w:val="null3"/>
        <w:jc w:val="both"/>
      </w:pPr>
      <w:r>
        <w:rPr>
          <w:color w:val="000000"/>
        </w:rPr>
        <w:t>1)</w:t>
      </w:r>
      <w:r>
        <w:rPr/>
        <w:t>不专门面向中小企业采购</w:t>
      </w:r>
    </w:p>
    <w:p>
      <w:pPr>
        <w:pStyle w:val="null3"/>
        <w:ind w:firstLine="840"/>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left"/>
      </w:pPr>
      <w:r>
        <w:rPr/>
        <w:t xml:space="preserve"> 本项目对应的中小企业划分标准所属行业(服务类): </w:t>
      </w:r>
      <w:r>
        <w:rPr/>
        <w:t>房地产开发经营</w:t>
      </w:r>
    </w:p>
    <w:p>
      <w:pPr>
        <w:pStyle w:val="null3"/>
        <w:jc w:val="left"/>
        <w:outlineLvl w:val="2"/>
      </w:pPr>
      <w:r>
        <w:rPr>
          <w:sz w:val="28"/>
          <w:b/>
        </w:rPr>
        <w:t>1.2 供应商资格条件</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邀请供应商的方式</w:t>
      </w:r>
    </w:p>
    <w:p>
      <w:pPr>
        <w:pStyle w:val="null3"/>
        <w:jc w:val="left"/>
      </w:pPr>
      <w:r>
        <w:rPr/>
        <w:t xml:space="preserve"> 本次采购采取 邀请 家参加磋商的供应商。</w:t>
      </w:r>
    </w:p>
    <w:p>
      <w:pPr>
        <w:pStyle w:val="null3"/>
        <w:jc w:val="left"/>
        <w:outlineLvl w:val="2"/>
      </w:pPr>
      <w:r>
        <w:rPr>
          <w:sz w:val="28"/>
          <w:b/>
        </w:rPr>
        <w:t>1.4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1.4.1供应商参与电子化采购活动前，应在项目电子化交易系统中完成注册，完善信息。登陆项目电子化交易系统后，自行在项目交易-附件下载中查看相应的系统操作指南，并严格按照操作指南要求进行系统操作。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1.4.2供应商应登录项目电子化交易系统获取磋商文件。</w:t>
      </w:r>
    </w:p>
    <w:p>
      <w:pPr>
        <w:pStyle w:val="null3"/>
        <w:jc w:val="both"/>
      </w:pPr>
      <w:r>
        <w:rPr/>
        <w:t>未按上述要求成功获取磋商文件的供应商，自行承担不利后果。</w:t>
      </w:r>
    </w:p>
    <w:p>
      <w:pPr>
        <w:pStyle w:val="null3"/>
        <w:jc w:val="left"/>
        <w:outlineLvl w:val="3"/>
      </w:pPr>
      <w:r>
        <w:rPr>
          <w:sz w:val="24"/>
          <w:b/>
        </w:rPr>
        <w:t>1.4.3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1.4.4供应商应当加强数字证书(CA)及电子签章日常校验和妥善保管，确保在参加采购活动期间互认的证书及签章能够正常使用；供应商应当严格数字证书（CA）及签章的内部授权管理，防止非授权操作。</w:t>
      </w:r>
    </w:p>
    <w:p>
      <w:pPr>
        <w:pStyle w:val="null3"/>
        <w:jc w:val="left"/>
        <w:outlineLvl w:val="3"/>
      </w:pPr>
      <w:r>
        <w:rPr>
          <w:sz w:val="24"/>
          <w:b/>
        </w:rPr>
        <w:t>1.4.5供应商参加现场磋商会议，解密响应文件。</w:t>
      </w:r>
    </w:p>
    <w:p>
      <w:pPr>
        <w:pStyle w:val="null3"/>
        <w:jc w:val="left"/>
        <w:outlineLvl w:val="3"/>
      </w:pPr>
      <w:r>
        <w:rPr>
          <w:sz w:val="24"/>
          <w:b/>
        </w:rPr>
        <w:t>1.4.6项目电子化交易系统技术支持：</w:t>
      </w:r>
    </w:p>
    <w:p>
      <w:pPr>
        <w:pStyle w:val="null3"/>
        <w:jc w:val="both"/>
      </w:pPr>
      <w:r>
        <w:rPr/>
        <w:t>服务电话：010-66195993</w:t>
      </w:r>
    </w:p>
    <w:p>
      <w:pPr>
        <w:pStyle w:val="null3"/>
        <w:jc w:val="both"/>
      </w:pPr>
      <w:r>
        <w:rPr/>
        <w:t>CA及签章服务：详见项目电子化交易系统-系统公告中《关于供应商办理CA数字证书及电子签章的通知》</w:t>
      </w:r>
    </w:p>
    <w:p>
      <w:pPr>
        <w:pStyle w:val="null3"/>
        <w:jc w:val="left"/>
        <w:outlineLvl w:val="2"/>
      </w:pPr>
      <w:r>
        <w:rPr>
          <w:sz w:val="28"/>
          <w:b/>
        </w:rPr>
        <w:t>1.5 竞争性磋商文件获取时间、方式及地址</w:t>
      </w:r>
    </w:p>
    <w:p>
      <w:pPr>
        <w:pStyle w:val="null3"/>
        <w:jc w:val="left"/>
        <w:outlineLvl w:val="3"/>
      </w:pPr>
      <w:r>
        <w:rPr>
          <w:sz w:val="24"/>
          <w:b/>
        </w:rPr>
        <w:t>1.5.1磋商文件获取时间：详见采购公告或邀请书。</w:t>
      </w:r>
    </w:p>
    <w:p>
      <w:pPr>
        <w:pStyle w:val="null3"/>
        <w:jc w:val="left"/>
        <w:outlineLvl w:val="3"/>
      </w:pPr>
      <w:r>
        <w:rPr>
          <w:sz w:val="24"/>
          <w:b/>
        </w:rPr>
        <w:t>1.5.2磋商文件获取方式：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w:t>
      </w:r>
    </w:p>
    <w:p>
      <w:pPr>
        <w:pStyle w:val="null3"/>
        <w:jc w:val="both"/>
      </w:pPr>
      <w:r>
        <w:rPr/>
        <w:t>在磋商文件提交截止时间前，采购人或者代理机构可以对已发出的磋商文件进行必要的澄清或者修改。如澄清或者修改的内容可能影响磋商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jc w:val="both"/>
      </w:pPr>
      <w:r>
        <w:rPr/>
        <w:t>注：获取的磋商文件主体格式包括pdf、word两种格式版本，其中以pdf格式为准。</w:t>
      </w:r>
    </w:p>
    <w:p>
      <w:pPr>
        <w:pStyle w:val="null3"/>
        <w:jc w:val="left"/>
        <w:outlineLvl w:val="2"/>
      </w:pPr>
      <w:r>
        <w:rPr>
          <w:sz w:val="28"/>
          <w:b/>
        </w:rPr>
        <w:t>1.6 磋商公告期限</w:t>
      </w:r>
    </w:p>
    <w:p>
      <w:pPr>
        <w:pStyle w:val="null3"/>
        <w:jc w:val="both"/>
      </w:pPr>
      <w:r>
        <w:rPr/>
        <w:t>详见采购公告或邀请书</w:t>
      </w:r>
    </w:p>
    <w:p>
      <w:pPr>
        <w:pStyle w:val="null3"/>
        <w:jc w:val="left"/>
        <w:outlineLvl w:val="2"/>
      </w:pPr>
      <w:r>
        <w:rPr>
          <w:sz w:val="28"/>
          <w:b/>
        </w:rPr>
        <w:t>1.7 供应商递交对磋商文件问询的要求</w:t>
      </w:r>
    </w:p>
    <w:p>
      <w:pPr>
        <w:pStyle w:val="null3"/>
        <w:jc w:val="both"/>
      </w:pPr>
      <w:r>
        <w:rPr/>
        <w:t>详见采购公告或邀请书（由参加报名的供应商持法人代表授权书，递交纸质澄清材料并加盖单位公章。）</w:t>
      </w:r>
    </w:p>
    <w:p>
      <w:pPr>
        <w:pStyle w:val="null3"/>
        <w:jc w:val="left"/>
        <w:outlineLvl w:val="2"/>
      </w:pPr>
      <w:r>
        <w:rPr>
          <w:sz w:val="28"/>
          <w:b/>
        </w:rPr>
        <w:t>1.8 响应文件提交截止时间及开启时间、地点、方式</w:t>
      </w:r>
    </w:p>
    <w:p>
      <w:pPr>
        <w:pStyle w:val="null3"/>
        <w:jc w:val="left"/>
        <w:outlineLvl w:val="3"/>
      </w:pPr>
      <w:r>
        <w:rPr>
          <w:sz w:val="24"/>
          <w:b/>
        </w:rPr>
        <w:t>1.8.1提交响应文件截止时间及开启时间：详见采购公告或邀请书</w:t>
      </w:r>
    </w:p>
    <w:p>
      <w:pPr>
        <w:pStyle w:val="null3"/>
        <w:jc w:val="left"/>
        <w:outlineLvl w:val="3"/>
      </w:pPr>
      <w:r>
        <w:rPr>
          <w:sz w:val="24"/>
          <w:b/>
        </w:rPr>
        <w:t>1.8.2磋商地点：详见采购公告或邀请书。</w:t>
      </w:r>
    </w:p>
    <w:p>
      <w:pPr>
        <w:pStyle w:val="null3"/>
        <w:jc w:val="left"/>
        <w:outlineLvl w:val="3"/>
      </w:pPr>
      <w:r>
        <w:rPr>
          <w:sz w:val="24"/>
          <w:b/>
        </w:rPr>
        <w:t>1.8.3响应文件提交方式：详见磋商文件“2.4.10响应文件的提交”。</w:t>
      </w:r>
    </w:p>
    <w:p>
      <w:pPr>
        <w:pStyle w:val="null3"/>
        <w:jc w:val="left"/>
        <w:outlineLvl w:val="2"/>
      </w:pPr>
      <w:r>
        <w:rPr>
          <w:sz w:val="28"/>
          <w:b/>
        </w:rPr>
        <w:t>1.9 磋商方式</w:t>
      </w:r>
    </w:p>
    <w:p>
      <w:pPr>
        <w:pStyle w:val="null3"/>
      </w:pPr>
      <w:r>
        <w:rPr/>
        <w:t>本项目磋商小组与供应商通过项目电子化交易系统在本采购文件规定的磋商地点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jc w:val="left"/>
        <w:outlineLvl w:val="2"/>
      </w:pPr>
      <w:r>
        <w:rPr>
          <w:sz w:val="28"/>
          <w:b/>
        </w:rPr>
        <w:t>1.10 采购人及采购代理机构信息</w:t>
      </w:r>
    </w:p>
    <w:p>
      <w:pPr>
        <w:pStyle w:val="null3"/>
        <w:jc w:val="left"/>
        <w:outlineLvl w:val="3"/>
      </w:pPr>
      <w:r>
        <w:rPr>
          <w:sz w:val="24"/>
          <w:b/>
        </w:rPr>
        <w:t>1.10.1采购人：</w:t>
      </w:r>
    </w:p>
    <w:p>
      <w:pPr>
        <w:pStyle w:val="null3"/>
        <w:jc w:val="both"/>
      </w:pPr>
      <w:r>
        <w:rPr/>
        <w:t>中国人民银行党校</w:t>
      </w:r>
    </w:p>
    <w:p>
      <w:pPr>
        <w:pStyle w:val="null3"/>
        <w:jc w:val="left"/>
      </w:pPr>
      <w:r>
        <w:rPr/>
        <w:t xml:space="preserve"> 地址： </w:t>
      </w:r>
      <w:r>
        <w:rPr/>
        <w:t>北京市西城区金融街33号通泰大厦A座</w:t>
      </w:r>
    </w:p>
    <w:p>
      <w:pPr>
        <w:pStyle w:val="null3"/>
      </w:pPr>
      <w:r>
        <w:rPr/>
        <w:t xml:space="preserve"> 邮编： </w:t>
      </w:r>
      <w:r>
        <w:rPr/>
        <w:t>369412870@qq.com</w:t>
      </w:r>
    </w:p>
    <w:p>
      <w:pPr>
        <w:pStyle w:val="null3"/>
      </w:pPr>
      <w:r>
        <w:rPr/>
        <w:t xml:space="preserve"> 联系人： </w:t>
      </w:r>
      <w:r>
        <w:rPr/>
        <w:t>赵女士</w:t>
      </w:r>
    </w:p>
    <w:p>
      <w:pPr>
        <w:pStyle w:val="null3"/>
      </w:pPr>
      <w:r>
        <w:rPr/>
        <w:t xml:space="preserve"> 联系电话： </w:t>
      </w:r>
      <w:r>
        <w:rPr/>
        <w:t>66195319</w:t>
      </w:r>
    </w:p>
    <w:p>
      <w:pPr>
        <w:pStyle w:val="null3"/>
        <w:jc w:val="both"/>
      </w:pPr>
      <w:r>
        <w:rPr/>
        <w:t>1.10.2代理机构：</w:t>
      </w:r>
    </w:p>
    <w:p>
      <w:pPr>
        <w:pStyle w:val="null3"/>
        <w:jc w:val="both"/>
      </w:pPr>
      <w:r>
        <w:rPr/>
        <w:t>中国人民银行集中采购中心</w:t>
      </w:r>
    </w:p>
    <w:p>
      <w:pPr>
        <w:pStyle w:val="null3"/>
        <w:jc w:val="both"/>
      </w:pPr>
      <w:r>
        <w:rPr/>
        <w:t xml:space="preserve"> 地址： </w:t>
      </w:r>
      <w:r>
        <w:rPr/>
        <w:t>北京北京市西城区北京市西城区成方街32号</w:t>
      </w:r>
    </w:p>
    <w:p>
      <w:pPr>
        <w:pStyle w:val="null3"/>
      </w:pPr>
      <w:r>
        <w:rPr/>
        <w:t xml:space="preserve"> 邮编： </w:t>
      </w:r>
      <w:r>
        <w:rPr/>
        <w:t>100032</w:t>
      </w:r>
    </w:p>
    <w:p>
      <w:pPr>
        <w:pStyle w:val="null3"/>
      </w:pPr>
      <w:r>
        <w:rPr/>
        <w:t xml:space="preserve"> 联系人（文件发放、开标前咨询）： </w:t>
      </w:r>
      <w:r>
        <w:rPr/>
        <w:t>李先生</w:t>
      </w:r>
    </w:p>
    <w:p>
      <w:pPr>
        <w:pStyle w:val="null3"/>
      </w:pPr>
      <w:r>
        <w:rPr/>
        <w:t xml:space="preserve"> 联系电话（文件发放、开标前咨询）： </w:t>
      </w:r>
      <w:r>
        <w:rPr/>
        <w:t>66195317</w:t>
      </w:r>
    </w:p>
    <w:p>
      <w:pPr>
        <w:pStyle w:val="null3"/>
      </w:pPr>
      <w:r>
        <w:rPr/>
        <w:t xml:space="preserve"> 联系人（开、评标咨询）： </w:t>
      </w:r>
      <w:r>
        <w:rPr/>
        <w:t>冯先生</w:t>
      </w:r>
    </w:p>
    <w:p>
      <w:pPr>
        <w:pStyle w:val="null3"/>
      </w:pPr>
      <w:r>
        <w:rPr/>
        <w:t xml:space="preserve"> 联系电话（开、评标咨询）： </w:t>
      </w:r>
      <w:r>
        <w:rPr/>
        <w:t>66194772</w:t>
      </w:r>
    </w:p>
    <w:p>
      <w:pPr>
        <w:pStyle w:val="null3"/>
      </w:pPr>
      <w:r>
        <w:rPr/>
        <w:t xml:space="preserve"> </w:t>
      </w:r>
    </w:p>
    <w:p>
      <w:pPr>
        <w:pStyle w:val="null3"/>
        <w:jc w:val="center"/>
        <w:outlineLvl w:val="1"/>
      </w:pPr>
      <w:r>
        <w:rPr>
          <w:sz w:val="36"/>
          <w:b/>
        </w:rPr>
        <w:t>第二章 供应商须知</w:t>
      </w:r>
    </w:p>
    <w:p>
      <w:pPr>
        <w:pStyle w:val="null3"/>
        <w:jc w:val="left"/>
        <w:outlineLvl w:val="2"/>
      </w:pPr>
      <w:r>
        <w:rPr>
          <w:sz w:val="28"/>
          <w:b/>
        </w:rPr>
        <w:t>2.1 供应商须知前附表</w:t>
      </w:r>
    </w:p>
    <w:tbl>
      <w:tblPr>
        <w:tblW w:w="0" w:type="auto"/>
        <w:tblBorders>
          <w:top w:val="single"/>
          <w:left w:val="single"/>
          <w:bottom w:val="single"/>
          <w:right w:val="single"/>
          <w:insideH w:val="single"/>
          <w:insideV w:val="single"/>
        </w:tblBorders>
      </w:tblPr>
      <w:tblGrid>
        <w:gridCol w:w="773"/>
        <w:gridCol w:w="2109"/>
        <w:gridCol w:w="5424"/>
      </w:tblGrid>
      <w:tr>
        <w:tc>
          <w:tcPr>
            <w:tcW w:type="dxa" w:w="773"/>
          </w:tcPr>
          <w:p>
            <w:pPr>
              <w:pStyle w:val="null3"/>
            </w:pPr>
            <w:r>
              <w:rPr/>
              <w:t>序号</w:t>
            </w:r>
          </w:p>
        </w:tc>
        <w:tc>
          <w:tcPr>
            <w:tcW w:type="dxa" w:w="2109"/>
          </w:tcPr>
          <w:p>
            <w:pPr>
              <w:pStyle w:val="null3"/>
            </w:pPr>
            <w:r>
              <w:rPr/>
              <w:t>应知事项</w:t>
            </w:r>
          </w:p>
        </w:tc>
        <w:tc>
          <w:tcPr>
            <w:tcW w:type="dxa" w:w="5424"/>
          </w:tcPr>
          <w:p>
            <w:pPr>
              <w:pStyle w:val="null3"/>
            </w:pPr>
            <w:r>
              <w:rPr/>
              <w:t>说明和要求</w:t>
            </w:r>
          </w:p>
        </w:tc>
      </w:tr>
      <w:tr>
        <w:tc>
          <w:tcPr>
            <w:tcW w:type="dxa" w:w="773"/>
          </w:tcPr>
          <w:p>
            <w:pPr>
              <w:pStyle w:val="null3"/>
            </w:pPr>
            <w:r>
              <w:rPr/>
              <w:t>1</w:t>
            </w:r>
          </w:p>
        </w:tc>
        <w:tc>
          <w:tcPr>
            <w:tcW w:type="dxa" w:w="2109"/>
          </w:tcPr>
          <w:p>
            <w:pPr>
              <w:pStyle w:val="null3"/>
            </w:pPr>
            <w:r>
              <w:rPr/>
              <w:t>磋商响应文件制作、提交与补充、修改、撤回</w:t>
            </w:r>
          </w:p>
        </w:tc>
        <w:tc>
          <w:tcPr>
            <w:tcW w:type="dxa" w:w="5424"/>
          </w:tcPr>
          <w:p>
            <w:pPr>
              <w:pStyle w:val="null3"/>
            </w:pPr>
            <w:r>
              <w:rPr/>
              <w:t>详见“2.4.9获取响应文件的制作、签章和加密”、“2.4.10响应文件的提交”、“2.4.11响应文件的补充、修改”。</w:t>
            </w:r>
          </w:p>
        </w:tc>
      </w:tr>
      <w:tr>
        <w:tc>
          <w:tcPr>
            <w:tcW w:type="dxa" w:w="773"/>
          </w:tcPr>
          <w:p>
            <w:pPr>
              <w:pStyle w:val="null3"/>
            </w:pPr>
            <w:r>
              <w:rPr/>
              <w:t>2</w:t>
            </w:r>
          </w:p>
        </w:tc>
        <w:tc>
          <w:tcPr>
            <w:tcW w:type="dxa" w:w="2109"/>
          </w:tcPr>
          <w:p>
            <w:pPr>
              <w:pStyle w:val="null3"/>
            </w:pPr>
            <w:r>
              <w:rPr/>
              <w:t>磋商保证金</w:t>
            </w:r>
          </w:p>
        </w:tc>
        <w:tc>
          <w:tcPr>
            <w:tcW w:type="dxa" w:w="5424"/>
          </w:tcPr>
          <w:p>
            <w:pPr>
              <w:pStyle w:val="null3"/>
            </w:pPr>
            <w:r>
              <w:rPr/>
              <w:t>本项目不收取磋商保证金。</w:t>
            </w:r>
          </w:p>
        </w:tc>
      </w:tr>
      <w:tr>
        <w:tc>
          <w:tcPr>
            <w:tcW w:type="dxa" w:w="773"/>
          </w:tcPr>
          <w:p>
            <w:pPr>
              <w:pStyle w:val="null3"/>
            </w:pPr>
            <w:r>
              <w:rPr/>
              <w:t>3</w:t>
            </w:r>
          </w:p>
        </w:tc>
        <w:tc>
          <w:tcPr>
            <w:tcW w:type="dxa" w:w="2109"/>
          </w:tcPr>
          <w:p>
            <w:pPr>
              <w:pStyle w:val="null3"/>
            </w:pPr>
            <w:r>
              <w:rPr/>
              <w:t>磋商响应文件有效期</w:t>
            </w:r>
          </w:p>
        </w:tc>
        <w:tc>
          <w:tcPr>
            <w:tcW w:type="dxa" w:w="5424"/>
          </w:tcPr>
          <w:p>
            <w:pPr>
              <w:pStyle w:val="null3"/>
            </w:pPr>
            <w:r>
              <w:rPr/>
              <w:t xml:space="preserve">磋商后 </w:t>
            </w:r>
            <w:r>
              <w:rPr/>
              <w:t>90</w:t>
            </w:r>
            <w:r>
              <w:rPr/>
              <w:t xml:space="preserve"> 天。</w:t>
            </w:r>
          </w:p>
        </w:tc>
      </w:tr>
      <w:tr>
        <w:tc>
          <w:tcPr>
            <w:tcW w:type="dxa" w:w="773"/>
          </w:tcPr>
          <w:p>
            <w:pPr>
              <w:pStyle w:val="null3"/>
            </w:pPr>
            <w:r>
              <w:rPr/>
              <w:t>4</w:t>
            </w:r>
          </w:p>
        </w:tc>
        <w:tc>
          <w:tcPr>
            <w:tcW w:type="dxa" w:w="2109"/>
          </w:tcPr>
          <w:p>
            <w:pPr>
              <w:pStyle w:val="null3"/>
            </w:pPr>
            <w:r>
              <w:rPr/>
              <w:t>磋商小组人数</w:t>
            </w:r>
          </w:p>
        </w:tc>
        <w:tc>
          <w:tcPr>
            <w:tcW w:type="dxa" w:w="5424"/>
          </w:tcPr>
          <w:p>
            <w:pPr>
              <w:pStyle w:val="null3"/>
            </w:pPr>
            <w:r>
              <w:rPr/>
              <w:t>共3人，</w:t>
            </w:r>
            <w:r>
              <w:rPr/>
              <w:t>其中评审专家2人，</w:t>
            </w:r>
            <w:r>
              <w:rPr/>
              <w:t>采购人代表1人。</w:t>
            </w:r>
          </w:p>
        </w:tc>
      </w:tr>
      <w:tr>
        <w:tc>
          <w:tcPr>
            <w:tcW w:type="dxa" w:w="773"/>
          </w:tcPr>
          <w:p>
            <w:pPr>
              <w:pStyle w:val="null3"/>
            </w:pPr>
            <w:r>
              <w:rPr/>
              <w:t>5</w:t>
            </w:r>
          </w:p>
        </w:tc>
        <w:tc>
          <w:tcPr>
            <w:tcW w:type="dxa" w:w="2109"/>
          </w:tcPr>
          <w:p>
            <w:pPr>
              <w:pStyle w:val="null3"/>
            </w:pPr>
            <w:r>
              <w:rPr/>
              <w:t>评审方法</w:t>
            </w:r>
          </w:p>
        </w:tc>
        <w:tc>
          <w:tcPr>
            <w:tcW w:type="dxa" w:w="5424"/>
          </w:tcPr>
          <w:p>
            <w:pPr>
              <w:pStyle w:val="null3"/>
            </w:pPr>
            <w:r>
              <w:rPr/>
              <w:t>综合评分法</w:t>
            </w:r>
          </w:p>
        </w:tc>
      </w:tr>
      <w:tr>
        <w:tc>
          <w:tcPr>
            <w:tcW w:type="dxa" w:w="773"/>
          </w:tcPr>
          <w:p>
            <w:pPr>
              <w:pStyle w:val="null3"/>
            </w:pPr>
            <w:r>
              <w:rPr/>
              <w:t>6</w:t>
            </w:r>
          </w:p>
        </w:tc>
        <w:tc>
          <w:tcPr>
            <w:tcW w:type="dxa" w:w="2109"/>
          </w:tcPr>
          <w:p>
            <w:pPr>
              <w:pStyle w:val="null3"/>
            </w:pPr>
            <w:r>
              <w:rPr/>
              <w:t>是否接受联合体</w:t>
            </w:r>
          </w:p>
        </w:tc>
        <w:tc>
          <w:tcPr>
            <w:tcW w:type="dxa" w:w="5424"/>
          </w:tcPr>
          <w:p>
            <w:pPr>
              <w:pStyle w:val="null3"/>
            </w:pPr>
            <w:r>
              <w:rPr/>
              <w:t>不接受</w:t>
            </w:r>
          </w:p>
        </w:tc>
      </w:tr>
      <w:tr>
        <w:tc>
          <w:tcPr>
            <w:tcW w:type="dxa" w:w="773"/>
          </w:tcPr>
          <w:p>
            <w:pPr>
              <w:pStyle w:val="null3"/>
            </w:pPr>
            <w:r>
              <w:rPr/>
              <w:t>7</w:t>
            </w:r>
          </w:p>
        </w:tc>
        <w:tc>
          <w:tcPr>
            <w:tcW w:type="dxa" w:w="2109"/>
          </w:tcPr>
          <w:p>
            <w:pPr>
              <w:pStyle w:val="null3"/>
            </w:pPr>
            <w:r>
              <w:rPr/>
              <w:t>是否允许合同分包</w:t>
            </w:r>
          </w:p>
        </w:tc>
        <w:tc>
          <w:tcPr>
            <w:tcW w:type="dxa" w:w="5424"/>
          </w:tcPr>
          <w:p>
            <w:pPr>
              <w:pStyle w:val="null3"/>
            </w:pPr>
            <w:r>
              <w:rPr/>
              <w:t>不允许合同分包；</w:t>
            </w:r>
          </w:p>
        </w:tc>
      </w:tr>
      <w:tr>
        <w:tc>
          <w:tcPr>
            <w:tcW w:type="dxa" w:w="773"/>
          </w:tcPr>
          <w:p>
            <w:pPr>
              <w:pStyle w:val="null3"/>
            </w:pPr>
            <w:r>
              <w:rPr/>
              <w:t>8</w:t>
            </w:r>
          </w:p>
        </w:tc>
        <w:tc>
          <w:tcPr>
            <w:tcW w:type="dxa" w:w="2109"/>
          </w:tcPr>
          <w:p>
            <w:pPr>
              <w:pStyle w:val="null3"/>
            </w:pPr>
            <w:r>
              <w:rPr/>
              <w:t>不正当竞争预防措施</w:t>
            </w:r>
          </w:p>
        </w:tc>
        <w:tc>
          <w:tcPr>
            <w:tcW w:type="dxa" w:w="542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w:t>
            </w:r>
          </w:p>
        </w:tc>
      </w:tr>
      <w:tr>
        <w:tc>
          <w:tcPr>
            <w:tcW w:type="dxa" w:w="773"/>
          </w:tcPr>
          <w:p>
            <w:pPr>
              <w:pStyle w:val="null3"/>
            </w:pPr>
            <w:r>
              <w:rPr/>
              <w:t>9</w:t>
            </w:r>
          </w:p>
        </w:tc>
        <w:tc>
          <w:tcPr>
            <w:tcW w:type="dxa" w:w="2109"/>
          </w:tcPr>
          <w:p>
            <w:pPr>
              <w:pStyle w:val="null3"/>
            </w:pPr>
            <w:r>
              <w:rPr/>
              <w:t>确认成交方式</w:t>
            </w:r>
          </w:p>
        </w:tc>
        <w:tc>
          <w:tcPr>
            <w:tcW w:type="dxa" w:w="5424"/>
          </w:tcPr>
          <w:p>
            <w:pPr>
              <w:pStyle w:val="null3"/>
            </w:pPr>
            <w:r>
              <w:rPr/>
              <w:t>采购单位授权磋商小组按照评审原则直接确定成交供应商。</w:t>
            </w:r>
          </w:p>
          <w:p>
            <w:pPr>
              <w:pStyle w:val="null3"/>
            </w:pPr>
            <w:r>
              <w:rPr/>
              <w:t>采购人授权磋商小组直接确定成交供应商。磋商小组从评审报告提出的成交候选供应商中，按照排序由高到低的原则确定成交供应商。</w:t>
            </w:r>
          </w:p>
          <w:p>
            <w:pPr>
              <w:pStyle w:val="null3"/>
            </w:pPr>
          </w:p>
        </w:tc>
      </w:tr>
      <w:tr>
        <w:tc>
          <w:tcPr>
            <w:tcW w:type="dxa" w:w="773"/>
          </w:tcPr>
          <w:p>
            <w:pPr>
              <w:pStyle w:val="null3"/>
            </w:pPr>
            <w:r>
              <w:rPr/>
              <w:t>10</w:t>
            </w:r>
          </w:p>
        </w:tc>
        <w:tc>
          <w:tcPr>
            <w:tcW w:type="dxa" w:w="2109"/>
          </w:tcPr>
          <w:p>
            <w:pPr>
              <w:pStyle w:val="null3"/>
            </w:pPr>
            <w:r>
              <w:rPr/>
              <w:t>信息公示渠道</w:t>
            </w:r>
          </w:p>
        </w:tc>
        <w:tc>
          <w:tcPr>
            <w:tcW w:type="dxa" w:w="5424"/>
          </w:tcPr>
          <w:p>
            <w:pPr>
              <w:pStyle w:val="null3"/>
            </w:pPr>
            <w:r>
              <w:rPr/>
              <w:t>中国政府采购网</w:t>
            </w:r>
            <w:r>
              <w:rPr/>
              <w:t>、</w:t>
            </w:r>
            <w:r>
              <w:rPr/>
              <w:t>中国人民银行集中采购中心互联网采购交易系统</w:t>
            </w:r>
          </w:p>
        </w:tc>
      </w:tr>
      <w:tr>
        <w:tc>
          <w:tcPr>
            <w:tcW w:type="dxa" w:w="773"/>
          </w:tcPr>
          <w:p>
            <w:pPr>
              <w:pStyle w:val="null3"/>
            </w:pPr>
            <w:r>
              <w:rPr/>
              <w:t>11</w:t>
            </w:r>
          </w:p>
        </w:tc>
        <w:tc>
          <w:tcPr>
            <w:tcW w:type="dxa" w:w="2109"/>
          </w:tcPr>
          <w:p>
            <w:pPr>
              <w:pStyle w:val="null3"/>
            </w:pPr>
            <w:r>
              <w:rPr/>
              <w:t>成交通知书领取</w:t>
            </w:r>
          </w:p>
        </w:tc>
        <w:tc>
          <w:tcPr>
            <w:tcW w:type="dxa" w:w="542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773"/>
          </w:tcPr>
          <w:p>
            <w:pPr>
              <w:pStyle w:val="null3"/>
            </w:pPr>
            <w:r>
              <w:rPr/>
              <w:t>12</w:t>
            </w:r>
          </w:p>
        </w:tc>
        <w:tc>
          <w:tcPr>
            <w:tcW w:type="dxa" w:w="2109"/>
          </w:tcPr>
          <w:p>
            <w:pPr>
              <w:pStyle w:val="null3"/>
            </w:pPr>
            <w:r>
              <w:rPr/>
              <w:t>是否为“一签三年”项目</w:t>
            </w:r>
          </w:p>
        </w:tc>
        <w:tc>
          <w:tcPr>
            <w:tcW w:type="dxa" w:w="5424"/>
          </w:tcPr>
          <w:p>
            <w:pPr>
              <w:pStyle w:val="null3"/>
            </w:pPr>
            <w:r>
              <w:rPr/>
              <w:t>本次为一签三年项目，采购期限为三年，每年分别签订采购合同，第2年、第3年采购金额按每一年度内提供的服务计算。</w:t>
            </w:r>
          </w:p>
        </w:tc>
      </w:tr>
      <w:tr>
        <w:tc>
          <w:tcPr>
            <w:tcW w:type="dxa" w:w="773"/>
          </w:tcPr>
          <w:p>
            <w:pPr>
              <w:pStyle w:val="null3"/>
            </w:pPr>
            <w:r>
              <w:rPr/>
              <w:t>13</w:t>
            </w:r>
          </w:p>
        </w:tc>
        <w:tc>
          <w:tcPr>
            <w:tcW w:type="dxa" w:w="2109"/>
          </w:tcPr>
          <w:p>
            <w:pPr>
              <w:pStyle w:val="null3"/>
            </w:pPr>
            <w:r>
              <w:rPr/>
              <w:t>履约保证金</w:t>
            </w:r>
          </w:p>
        </w:tc>
        <w:tc>
          <w:tcPr>
            <w:tcW w:type="dxa" w:w="5424"/>
          </w:tcPr>
          <w:p>
            <w:pPr>
              <w:pStyle w:val="null3"/>
            </w:pPr>
            <w:r>
              <w:rPr/>
              <w:t>无</w:t>
            </w:r>
          </w:p>
        </w:tc>
      </w:tr>
      <w:tr>
        <w:tc>
          <w:tcPr>
            <w:tcW w:type="dxa" w:w="773"/>
          </w:tcPr>
          <w:p>
            <w:pPr>
              <w:pStyle w:val="null3"/>
            </w:pPr>
            <w:r>
              <w:rPr/>
              <w:t>14</w:t>
            </w:r>
          </w:p>
        </w:tc>
        <w:tc>
          <w:tcPr>
            <w:tcW w:type="dxa" w:w="2109"/>
          </w:tcPr>
          <w:p>
            <w:pPr>
              <w:pStyle w:val="null3"/>
            </w:pPr>
            <w:r>
              <w:rPr/>
              <w:t>供应商质疑</w:t>
            </w:r>
          </w:p>
        </w:tc>
        <w:tc>
          <w:tcPr>
            <w:tcW w:type="dxa" w:w="5424"/>
          </w:tcPr>
          <w:p>
            <w:pPr>
              <w:pStyle w:val="null3"/>
            </w:pPr>
            <w:r>
              <w:rPr/>
              <w:t>供应商在法定质疑期内一次性提出针对同一采购程序环节的质疑</w:t>
            </w:r>
          </w:p>
        </w:tc>
      </w:tr>
      <w:tr>
        <w:tc>
          <w:tcPr>
            <w:tcW w:type="dxa" w:w="773"/>
          </w:tcPr>
          <w:p>
            <w:pPr>
              <w:pStyle w:val="null3"/>
            </w:pPr>
            <w:r>
              <w:rPr/>
              <w:t>15</w:t>
            </w:r>
          </w:p>
        </w:tc>
        <w:tc>
          <w:tcPr>
            <w:tcW w:type="dxa" w:w="2109"/>
          </w:tcPr>
          <w:p>
            <w:pPr>
              <w:pStyle w:val="null3"/>
            </w:pPr>
            <w:r>
              <w:rPr/>
              <w:t>特殊情况</w:t>
            </w:r>
          </w:p>
        </w:tc>
        <w:tc>
          <w:tcPr>
            <w:tcW w:type="dxa" w:w="5424"/>
          </w:tcPr>
          <w:p>
            <w:pPr>
              <w:pStyle w:val="null3"/>
            </w:pPr>
            <w:r>
              <w:rPr/>
              <w:t>出现下列情形之一的，采购人或者代理机构根据实际情况启用纸质响应文件开展：</w:t>
            </w:r>
          </w:p>
          <w:p>
            <w:pPr>
              <w:pStyle w:val="null3"/>
            </w:pPr>
            <w:r>
              <w:rPr/>
              <w:t>交易系统发生故障（包括感染病毒、应用或数据库出错）而无法正常使用的；如启用纸质响应文件，则以纸质响应文件为准。</w:t>
            </w:r>
          </w:p>
        </w:tc>
      </w:tr>
      <w:tr>
        <w:tc>
          <w:tcPr>
            <w:tcW w:type="dxa" w:w="773"/>
          </w:tcPr>
          <w:p>
            <w:pPr>
              <w:pStyle w:val="null3"/>
            </w:pPr>
            <w:r>
              <w:rPr/>
              <w:t>16</w:t>
            </w:r>
          </w:p>
        </w:tc>
        <w:tc>
          <w:tcPr>
            <w:tcW w:type="dxa" w:w="2109"/>
          </w:tcPr>
          <w:p>
            <w:pPr>
              <w:pStyle w:val="null3"/>
            </w:pPr>
            <w:r>
              <w:rPr/>
              <w:t>报价/分值精确度</w:t>
            </w:r>
          </w:p>
        </w:tc>
        <w:tc>
          <w:tcPr>
            <w:tcW w:type="dxa" w:w="5424"/>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jc w:val="both"/>
      </w:pPr>
      <w:r>
        <w:rPr/>
        <w:t>本磋商文件仅适用于本次竞争性磋商采购项目。</w:t>
      </w:r>
    </w:p>
    <w:p>
      <w:pPr>
        <w:pStyle w:val="null3"/>
        <w:jc w:val="both"/>
      </w:pPr>
      <w:r>
        <w:rPr/>
        <w:t xml:space="preserve">本磋商文件的最终解释权由 </w:t>
      </w:r>
      <w:r>
        <w:rPr/>
        <w:t>中国人民银行集中采购中心</w:t>
      </w:r>
      <w:r>
        <w:rPr/>
        <w:t xml:space="preserve"> 和 </w:t>
      </w:r>
      <w:r>
        <w:rPr/>
        <w:t>中国人民银行党校</w:t>
      </w:r>
      <w:r>
        <w:rPr/>
        <w:t xml:space="preserve"> 享有。对磋商文件中供应商参加本次政府采购活动应当具备的条件，磋商项目技术、服务、商务及其他要求，评审细则及标准由 </w:t>
      </w:r>
      <w:r>
        <w:rPr/>
        <w:t>中国人民银行党校</w:t>
      </w:r>
      <w:r>
        <w:rPr/>
        <w:t xml:space="preserve"> 负责解释。除上述磋商文件内容，其他内容由 </w:t>
      </w:r>
      <w:r>
        <w:rPr/>
        <w:t>中国人民银行集中采购中心</w:t>
      </w:r>
      <w:r>
        <w:rPr/>
        <w:t xml:space="preserve"> 负责解释。</w:t>
      </w:r>
    </w:p>
    <w:p>
      <w:pPr>
        <w:pStyle w:val="null3"/>
        <w:jc w:val="left"/>
        <w:outlineLvl w:val="3"/>
      </w:pPr>
      <w:r>
        <w:rPr>
          <w:sz w:val="24"/>
          <w:b/>
        </w:rPr>
        <w:t>2.2.2有关定义</w:t>
      </w:r>
    </w:p>
    <w:p>
      <w:pPr>
        <w:pStyle w:val="null3"/>
        <w:jc w:val="both"/>
      </w:pPr>
      <w:r>
        <w:rPr/>
        <w:t>（一）“供应商”是指在按照磋商公告规定获取磋商文件，拟参加响应和向采购人提供货物及相应服务的法人、其他组织或自然人。</w:t>
      </w:r>
    </w:p>
    <w:p>
      <w:pPr>
        <w:pStyle w:val="null3"/>
        <w:jc w:val="both"/>
      </w:pPr>
      <w:r>
        <w:rPr/>
        <w:t xml:space="preserve">（二）“代理机构”是指政府采购集中采购机构和从事政府采购代理业务的社会中介机构。本项目的代理机构是 </w:t>
      </w:r>
      <w:r>
        <w:rPr/>
        <w:t>中国人民银行集中采购中心</w:t>
      </w:r>
      <w:r>
        <w:rPr/>
        <w:t xml:space="preserve"> 。</w:t>
      </w:r>
    </w:p>
    <w:p>
      <w:pPr>
        <w:pStyle w:val="null3"/>
        <w:jc w:val="both"/>
      </w:pPr>
      <w:r>
        <w:rPr/>
        <w:t>（三）“现场线上开启”是指供应商通过项目电子化交易系统在线完成签到、响应文件解密后，采购人或者采购代理机构通过项目电子化交易系统在线完成已解密响应文件的开启工作。</w:t>
      </w:r>
    </w:p>
    <w:p>
      <w:pPr>
        <w:pStyle w:val="null3"/>
        <w:jc w:val="both"/>
      </w:pPr>
      <w:r>
        <w:rPr/>
        <w:t>（四）“电子评审”是指通过项目电子化交易系统在线完成磋商小组组建，开展资格和符合性审查、比较与评价、出具评审报告、推荐成交候选供应商等活动。</w:t>
      </w:r>
    </w:p>
    <w:p>
      <w:pPr>
        <w:pStyle w:val="null3"/>
        <w:jc w:val="left"/>
        <w:outlineLvl w:val="3"/>
      </w:pPr>
      <w:r>
        <w:rPr>
          <w:sz w:val="24"/>
          <w:b/>
        </w:rPr>
        <w:t>2.2.3响应费用</w:t>
      </w:r>
    </w:p>
    <w:p>
      <w:pPr>
        <w:pStyle w:val="null3"/>
        <w:jc w:val="both"/>
      </w:pPr>
      <w:r>
        <w:rPr/>
        <w:t>供应商应自行承担参加竞争性磋商采购活动的全部费用。</w:t>
      </w:r>
    </w:p>
    <w:p>
      <w:pPr>
        <w:pStyle w:val="null3"/>
        <w:jc w:val="left"/>
        <w:outlineLvl w:val="3"/>
      </w:pPr>
      <w:r>
        <w:rPr>
          <w:sz w:val="24"/>
          <w:b/>
        </w:rPr>
        <w:t>2.2.4磋商文件技术指标的非限制性</w:t>
      </w:r>
    </w:p>
    <w:p>
      <w:pPr>
        <w:pStyle w:val="null3"/>
        <w:jc w:val="both"/>
      </w:pPr>
      <w:r>
        <w:rPr/>
        <w:t>本磋商文件技术、服务需求部分规定的技术、服务指标仅说明本项目的采购需求，并没有任何限制性。供应商可以选用性能等同的设备或部件进行磋商，但必须实质上满足磋商文件对技术性能、服务的要求，并应在磋商响应文件中进行相应的说明和论证。</w:t>
      </w:r>
    </w:p>
    <w:p>
      <w:pPr>
        <w:pStyle w:val="null3"/>
        <w:jc w:val="left"/>
        <w:outlineLvl w:val="2"/>
      </w:pPr>
      <w:r>
        <w:rPr>
          <w:sz w:val="28"/>
          <w:b/>
        </w:rPr>
        <w:t>2.3 磋商文件</w:t>
      </w:r>
    </w:p>
    <w:p>
      <w:pPr>
        <w:pStyle w:val="null3"/>
        <w:jc w:val="left"/>
        <w:outlineLvl w:val="3"/>
      </w:pPr>
      <w:r>
        <w:rPr>
          <w:sz w:val="24"/>
          <w:b/>
        </w:rPr>
        <w:t>2.3.1磋商文件的构成</w:t>
      </w:r>
    </w:p>
    <w:p>
      <w:pPr>
        <w:pStyle w:val="null3"/>
        <w:jc w:val="both"/>
      </w:pPr>
      <w:r>
        <w:rPr/>
        <w:t>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960"/>
        <w:jc w:val="left"/>
      </w:pPr>
      <w:r>
        <w:rPr/>
        <w:t>（一）竞争性磋商邀请；</w:t>
      </w:r>
    </w:p>
    <w:p>
      <w:pPr>
        <w:pStyle w:val="null3"/>
        <w:ind w:firstLine="960"/>
        <w:jc w:val="left"/>
      </w:pPr>
      <w:r>
        <w:rPr/>
        <w:t>（二）供应商须知；</w:t>
      </w:r>
    </w:p>
    <w:p>
      <w:pPr>
        <w:pStyle w:val="null3"/>
        <w:ind w:firstLine="960"/>
        <w:jc w:val="left"/>
      </w:pPr>
      <w:r>
        <w:rPr/>
        <w:t>（三）磋商项目技术、服务、商务及其他要求；</w:t>
      </w:r>
    </w:p>
    <w:p>
      <w:pPr>
        <w:pStyle w:val="null3"/>
        <w:ind w:firstLine="960"/>
        <w:jc w:val="left"/>
      </w:pPr>
      <w:r>
        <w:rPr/>
        <w:t>（四）磋商办法；</w:t>
      </w:r>
    </w:p>
    <w:p>
      <w:pPr>
        <w:pStyle w:val="null3"/>
        <w:ind w:firstLine="960"/>
        <w:jc w:val="left"/>
      </w:pPr>
      <w:r>
        <w:rPr/>
        <w:t>（五）响应文件格式；</w:t>
      </w:r>
    </w:p>
    <w:p>
      <w:pPr>
        <w:pStyle w:val="null3"/>
        <w:ind w:firstLine="960"/>
      </w:pPr>
      <w:r>
        <w:rPr/>
        <w:t>（六）拟签订采购合同文本。</w:t>
      </w:r>
    </w:p>
    <w:p>
      <w:pPr>
        <w:pStyle w:val="null3"/>
        <w:ind w:firstLine="960"/>
        <w:jc w:val="left"/>
      </w:pPr>
      <w:r>
        <w:rPr/>
        <w:t>（七）附则</w:t>
      </w:r>
    </w:p>
    <w:p>
      <w:pPr>
        <w:pStyle w:val="null3"/>
        <w:jc w:val="both"/>
      </w:pPr>
      <w:r>
        <w:rPr/>
        <w:t>二、供应商应认真阅读和充分理解磋商文件中所有的事项、格式条款和规范要求。供应商没有对磋商文件全面作出实质性响应所产生的风险由供应商承担。</w:t>
      </w:r>
    </w:p>
    <w:p>
      <w:pPr>
        <w:pStyle w:val="null3"/>
        <w:jc w:val="left"/>
        <w:outlineLvl w:val="3"/>
      </w:pPr>
      <w:r>
        <w:rPr>
          <w:sz w:val="24"/>
          <w:b/>
        </w:rPr>
        <w:t>2.3.2磋商文件的澄清和修改</w:t>
      </w:r>
    </w:p>
    <w:p>
      <w:pPr>
        <w:pStyle w:val="null3"/>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jc w:val="both"/>
      </w:pPr>
      <w:r>
        <w:rPr/>
        <w:t>二、在提交响应文件截止时间前，采购人或者代理机构可以对已发出的磋商文件进行必要的澄清或者修改。</w:t>
      </w:r>
    </w:p>
    <w:p>
      <w:pPr>
        <w:pStyle w:val="null3"/>
      </w:pPr>
      <w:r>
        <w:rPr/>
        <w:t>三、澄清或者修改的内容为磋商文件的组成部分，采购人或者代理机构将在供应商须知前附表“信息发布渠道”发布更正公告，供应商应及时关注本项目更正公告信息，按更正后公告要求进行响应。</w:t>
      </w:r>
    </w:p>
    <w:p>
      <w:pPr>
        <w:pStyle w:val="null3"/>
      </w:pPr>
      <w:r>
        <w:rPr/>
        <w:t>四、澄清或者修改的内容可能影响响应文件编制的，采购人或代理机构应当在提交磋商响应文件截止之日5日前，以书面形式通知所有接收磋商文件的供应商，不足5日的，应当顺延提交磋商响应文件截止之日。</w:t>
      </w:r>
    </w:p>
    <w:p>
      <w:pPr>
        <w:pStyle w:val="null3"/>
      </w:pPr>
      <w:r>
        <w:rPr/>
        <w:t>采购人或者代理机构将通过项目电子化交易系统发布更正后的磋商文件，供应商应依据更正后的磋商文件编制响应文件。若供应商未按前述要求进行响应的，自行承担不利后果。</w:t>
      </w:r>
    </w:p>
    <w:p>
      <w:pPr>
        <w:pStyle w:val="null3"/>
      </w:pPr>
      <w:r>
        <w:rPr/>
        <w:t>五、磋商文件的澄清或者修改将构成磋商文件的一部分，对采购代理机构和供应商都具有约束力。</w:t>
      </w:r>
    </w:p>
    <w:p>
      <w:pPr>
        <w:pStyle w:val="null3"/>
        <w:jc w:val="left"/>
        <w:outlineLvl w:val="2"/>
      </w:pPr>
      <w:r>
        <w:rPr>
          <w:sz w:val="28"/>
          <w:b/>
        </w:rPr>
        <w:t>2.4 响应文件</w:t>
      </w:r>
    </w:p>
    <w:p>
      <w:pPr>
        <w:pStyle w:val="null3"/>
        <w:jc w:val="left"/>
        <w:outlineLvl w:val="3"/>
      </w:pPr>
      <w:r>
        <w:rPr>
          <w:sz w:val="24"/>
          <w:b/>
        </w:rPr>
        <w:t>2.4.1响应文件的语言</w:t>
      </w:r>
    </w:p>
    <w:p>
      <w:pPr>
        <w:pStyle w:val="null3"/>
        <w:jc w:val="both"/>
      </w:pPr>
      <w:r>
        <w:rPr/>
        <w:t>供应商提交的响应文件以及供应商与磋商小组在磋商过程中的所有来往书面文件均须使用简体中文。</w:t>
      </w:r>
    </w:p>
    <w:p>
      <w:pPr>
        <w:pStyle w:val="null3"/>
        <w:jc w:val="left"/>
        <w:outlineLvl w:val="3"/>
      </w:pPr>
      <w:r>
        <w:rPr>
          <w:sz w:val="24"/>
          <w:b/>
        </w:rPr>
        <w:t>2.4.2计量单位</w:t>
      </w:r>
    </w:p>
    <w:p>
      <w:pPr>
        <w:pStyle w:val="null3"/>
        <w:jc w:val="both"/>
      </w:pPr>
      <w:r>
        <w:rPr/>
        <w:t>除磋商文件另有规定外，磋商响应文件的计量单位应使用中华人民共和国法定计量单位。</w:t>
      </w:r>
    </w:p>
    <w:p>
      <w:pPr>
        <w:pStyle w:val="null3"/>
        <w:jc w:val="left"/>
        <w:outlineLvl w:val="3"/>
      </w:pPr>
      <w:r>
        <w:rPr>
          <w:sz w:val="24"/>
          <w:b/>
        </w:rPr>
        <w:t>2.4.3响应货币</w:t>
      </w:r>
    </w:p>
    <w:p>
      <w:pPr>
        <w:pStyle w:val="null3"/>
        <w:jc w:val="both"/>
      </w:pPr>
      <w:r>
        <w:rPr/>
        <w:t>本次项目总价和单价均以人民币报价。</w:t>
      </w:r>
    </w:p>
    <w:p>
      <w:pPr>
        <w:pStyle w:val="null3"/>
        <w:jc w:val="left"/>
        <w:outlineLvl w:val="3"/>
      </w:pPr>
      <w:r>
        <w:rPr>
          <w:sz w:val="24"/>
          <w:b/>
        </w:rPr>
        <w:t>2.4.4知识产权</w:t>
      </w:r>
    </w:p>
    <w:p>
      <w:pPr>
        <w:pStyle w:val="null3"/>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jc w:val="both"/>
      </w:pPr>
      <w:r>
        <w:rPr/>
        <w:t>供应商应按照磋商文件的规定和要求编制响应文件。</w:t>
      </w:r>
    </w:p>
    <w:p>
      <w:pPr>
        <w:pStyle w:val="null3"/>
        <w:jc w:val="both"/>
      </w:pPr>
      <w:r>
        <w:rPr/>
        <w:t>响应文件具体内容详见第五章。</w:t>
      </w:r>
    </w:p>
    <w:p>
      <w:pPr>
        <w:pStyle w:val="null3"/>
        <w:jc w:val="left"/>
        <w:outlineLvl w:val="3"/>
      </w:pPr>
      <w:r>
        <w:rPr>
          <w:sz w:val="24"/>
          <w:b/>
        </w:rPr>
        <w:t>2.4.6响应文件格式</w:t>
      </w:r>
    </w:p>
    <w:p>
      <w:pPr>
        <w:pStyle w:val="null3"/>
        <w:jc w:val="both"/>
      </w:pPr>
      <w:r>
        <w:rPr/>
        <w:t>供应商应按照磋商文件第五章中提供的“响应文件格式”填写相关内容。磋商文件格式中签字、盖章等具体要求的，从其要求后，扫描成电子版，再纳入响应文件。</w:t>
      </w:r>
    </w:p>
    <w:p>
      <w:pPr>
        <w:pStyle w:val="null3"/>
        <w:jc w:val="both"/>
      </w:pPr>
      <w:r>
        <w:rPr/>
        <w:t>对于没有格式要求的响应文件由供应商自行编写。</w:t>
      </w:r>
    </w:p>
    <w:p>
      <w:pPr>
        <w:pStyle w:val="null3"/>
        <w:jc w:val="left"/>
        <w:outlineLvl w:val="3"/>
      </w:pPr>
      <w:r>
        <w:rPr>
          <w:sz w:val="24"/>
          <w:b/>
        </w:rPr>
        <w:t>2.4.7响应报价</w:t>
      </w:r>
    </w:p>
    <w:p>
      <w:pPr>
        <w:pStyle w:val="null3"/>
        <w:jc w:val="both"/>
      </w:pPr>
      <w:r>
        <w:rPr/>
        <w:t>一、供应商的报价是供应商响应磋商项目要求的全部工作内容的价格体现，包括供应商完成本项目所需的一切费用的最终报价。</w:t>
      </w:r>
    </w:p>
    <w:p>
      <w:pPr>
        <w:pStyle w:val="null3"/>
        <w:jc w:val="both"/>
      </w:pPr>
      <w:r>
        <w:rPr/>
        <w:t>二、供应商必须在“磋商分项报价表”中报出拟提供服务的分项单价。对磋商文件要求提供的服务，而供应商未提供分项报价的，视为已包含进合同总金额中。</w:t>
      </w:r>
    </w:p>
    <w:p>
      <w:pPr>
        <w:pStyle w:val="null3"/>
        <w:jc w:val="both"/>
      </w:pPr>
      <w:r>
        <w:rPr/>
        <w:t>三、响应文件报价出现前后不一致的，按照磋商文件第四章磋商办法规定予以修正，修正后的报价经供应商以书面形式通过项目电子化交易系统进行确认，并加盖供应商（法定名称）电子印章，供应商逾时确认的，其响应无效。</w:t>
      </w:r>
    </w:p>
    <w:p>
      <w:pPr>
        <w:pStyle w:val="null3"/>
        <w:jc w:val="both"/>
      </w:pPr>
      <w:r>
        <w:rPr/>
        <w:t>四、采购人不接受供应商提供的选择性报价、赠送，每种货物或服务只允许有一个报价。否则，在磋商时将其视为无效响应。</w:t>
      </w:r>
    </w:p>
    <w:p>
      <w:pPr>
        <w:pStyle w:val="null3"/>
        <w:jc w:val="left"/>
        <w:outlineLvl w:val="3"/>
      </w:pPr>
      <w:r>
        <w:rPr>
          <w:sz w:val="24"/>
          <w:b/>
        </w:rPr>
        <w:t>2.4.8响应有效期</w:t>
      </w:r>
    </w:p>
    <w:p>
      <w:pPr>
        <w:pStyle w:val="null3"/>
        <w:jc w:val="both"/>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2.4.9响应文件的制作、签章和加密（实质性要求）</w:t>
      </w:r>
    </w:p>
    <w:p>
      <w:pPr>
        <w:pStyle w:val="null3"/>
        <w:jc w:val="both"/>
      </w:pPr>
      <w:r>
        <w:rPr/>
        <w:t>一、电子响应文件的编制、签章和加密</w:t>
      </w:r>
    </w:p>
    <w:p>
      <w:pPr>
        <w:pStyle w:val="null3"/>
        <w:jc w:val="both"/>
      </w:pPr>
      <w:r>
        <w:rPr/>
        <w:t>（一）编制。响应文件应当根据磋商文件的规定进行编制。供应商应登陆项目电子化交易系统后，进入“项目交易”-“附件资料”下载投标（响应）客户端，按照客户端操作要求，编制响应文件。</w:t>
      </w:r>
    </w:p>
    <w:p>
      <w:pPr>
        <w:pStyle w:val="null3"/>
        <w:jc w:val="both"/>
      </w:pPr>
      <w:r>
        <w:rPr/>
        <w:t>（二）签章。供应商完成响应文件编制后，应按照磋商文件第一章明确的签章要求，使用供应商（法定名称）电子签章对响应文件进行签章。</w:t>
      </w:r>
    </w:p>
    <w:p>
      <w:pPr>
        <w:pStyle w:val="null3"/>
        <w:jc w:val="both"/>
      </w:pPr>
      <w:r>
        <w:rPr/>
        <w:t>供应商采用联合体方式响应的，电子响应文件均需加盖供应商联合体各自单位（法定名称）电子签章。</w:t>
      </w:r>
    </w:p>
    <w:p>
      <w:pPr>
        <w:pStyle w:val="null3"/>
        <w:jc w:val="both"/>
      </w:pPr>
      <w:r>
        <w:rPr/>
        <w:t>（三）加密。供应商完成响应文件签章后，使用供应商数字证书(CA）对响应文件进行加密。</w:t>
      </w:r>
    </w:p>
    <w:p>
      <w:pPr>
        <w:pStyle w:val="null3"/>
        <w:jc w:val="both"/>
      </w:pPr>
      <w:r>
        <w:rPr/>
        <w:t>（四）响应文件编制工具会生成加密响应文件和非加密电子响应文件。</w:t>
      </w:r>
    </w:p>
    <w:p>
      <w:pPr>
        <w:pStyle w:val="null3"/>
        <w:jc w:val="both"/>
      </w:pPr>
      <w:r>
        <w:rPr/>
        <w:t>供应商须携带加密响应文件的数字证书（CA）和密封的非加密电子响应文件参加开标会议。</w:t>
      </w:r>
    </w:p>
    <w:p>
      <w:pPr>
        <w:pStyle w:val="null3"/>
        <w:jc w:val="both"/>
      </w:pPr>
      <w:r>
        <w:rPr/>
        <w:t>二、纸质响应文件</w:t>
      </w:r>
    </w:p>
    <w:p>
      <w:pPr>
        <w:pStyle w:val="null3"/>
        <w:jc w:val="both"/>
      </w:pPr>
      <w:r>
        <w:rPr/>
        <w:t>（一）编制。供应商还应制作纸质响应文件1份。纸质响应文件不得行间插字、涂改或增删，如有修改，必须由供应商法人代表或经其正式授权代表签名或盖单位公章。</w:t>
      </w:r>
    </w:p>
    <w:p>
      <w:pPr>
        <w:pStyle w:val="null3"/>
        <w:jc w:val="both"/>
      </w:pPr>
      <w:r>
        <w:rPr/>
        <w:t>纸质响应文件应与电子响应文件一致。因纸质响应文件与电子响应文件内容不一致而导致的不利后果由供应商承担。</w:t>
      </w:r>
    </w:p>
    <w:p>
      <w:pPr>
        <w:pStyle w:val="null3"/>
        <w:jc w:val="both"/>
      </w:pPr>
      <w:r>
        <w:rPr/>
        <w:t>（二）签章。纸质响应文件应由供应商法人代表或经其正式授权代表逐页签名或逐页盖单位公章。正式授权代表签字的，响应文件中需附有“法人代表授权书”。</w:t>
      </w:r>
    </w:p>
    <w:p>
      <w:pPr>
        <w:pStyle w:val="null3"/>
        <w:jc w:val="both"/>
      </w:pPr>
      <w:r>
        <w:rPr/>
        <w:t>供应商采用联合体方式响应的，纸质响应文件需加盖供应商联合体各自单位公章。</w:t>
      </w:r>
    </w:p>
    <w:p>
      <w:pPr>
        <w:pStyle w:val="null3"/>
        <w:jc w:val="both"/>
      </w:pPr>
      <w:r>
        <w:rPr/>
        <w:t>纸质响应文件应由供应商法人代表或经其正式授权代表逐页签名或逐页盖单位公章。正式授权代表签字的，响应文件中需附有“法定代表人授权书”。</w:t>
      </w:r>
    </w:p>
    <w:p>
      <w:pPr>
        <w:pStyle w:val="null3"/>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磋商文件要求加盖与供应商名称全称相一致的标准单位公章。</w:t>
      </w:r>
    </w:p>
    <w:p>
      <w:pPr>
        <w:pStyle w:val="null3"/>
        <w:jc w:val="left"/>
      </w:pPr>
      <w:r>
        <w:rPr/>
        <w:t>（三）纸质响应文件启用情形：</w:t>
      </w:r>
    </w:p>
    <w:p>
      <w:pPr>
        <w:pStyle w:val="null3"/>
        <w:jc w:val="left"/>
      </w:pPr>
      <w:r>
        <w:rPr/>
        <w:t>当出现“供应商须知前附表”中“特殊情况”所述情形，采购人或采购代理机构根据实际情况启用纸质响应文件。</w:t>
      </w:r>
    </w:p>
    <w:p>
      <w:pPr>
        <w:pStyle w:val="null3"/>
        <w:jc w:val="both"/>
      </w:pPr>
      <w:r>
        <w:rPr/>
        <w:t>三、非加密电子响应文件和纸质响应文件的密封</w:t>
      </w:r>
    </w:p>
    <w:p>
      <w:pPr>
        <w:pStyle w:val="null3"/>
        <w:jc w:val="both"/>
      </w:pPr>
      <w:r>
        <w:rPr/>
        <w:t>1、外层信封应：</w:t>
      </w:r>
    </w:p>
    <w:p>
      <w:pPr>
        <w:pStyle w:val="null3"/>
        <w:jc w:val="both"/>
      </w:pPr>
      <w:r>
        <w:rPr/>
        <w:t>写明项目名称、项目编号、供应商名称、地址和邮政编码，并于袋口密封处加盖公章。</w:t>
      </w:r>
    </w:p>
    <w:p>
      <w:pPr>
        <w:pStyle w:val="null3"/>
        <w:jc w:val="both"/>
      </w:pPr>
      <w:r>
        <w:rPr/>
        <w:t>注明 “请勿在202 年 月 日 时 00 分（磋商时间）之前启封”的字样。</w:t>
      </w:r>
    </w:p>
    <w:p>
      <w:pPr>
        <w:pStyle w:val="null3"/>
        <w:jc w:val="both"/>
      </w:pPr>
      <w:r>
        <w:rPr/>
        <w:t>2、外层包装没有按上述规定密封的纸质响应文件和非加密的电子版响应文件将会被拒绝。</w:t>
      </w:r>
    </w:p>
    <w:p>
      <w:pPr>
        <w:pStyle w:val="null3"/>
        <w:jc w:val="both"/>
      </w:pPr>
      <w:r>
        <w:rPr/>
        <w:t>3、电报、电话、传真、邮件形式的纸质响应文件概不接受。</w:t>
      </w:r>
    </w:p>
    <w:p>
      <w:pPr>
        <w:pStyle w:val="null3"/>
        <w:jc w:val="both"/>
      </w:pPr>
      <w:r>
        <w:rPr/>
        <w:t>未按照磋商文件要求密封的，采购人、采购代理机构应当拒收。</w:t>
      </w:r>
    </w:p>
    <w:p>
      <w:pPr>
        <w:pStyle w:val="null3"/>
        <w:jc w:val="left"/>
        <w:outlineLvl w:val="3"/>
      </w:pPr>
      <w:r>
        <w:rPr>
          <w:sz w:val="24"/>
          <w:b/>
        </w:rPr>
        <w:t>2.4.10响应文件的提交</w:t>
      </w:r>
    </w:p>
    <w:p>
      <w:pPr>
        <w:pStyle w:val="null3"/>
        <w:jc w:val="both"/>
      </w:pPr>
      <w:r>
        <w:rPr/>
        <w:t>一、通过项目电子化交易系统上传提交</w:t>
      </w:r>
    </w:p>
    <w:p>
      <w:pPr>
        <w:pStyle w:val="null3"/>
        <w:jc w:val="both"/>
      </w:pPr>
      <w:r>
        <w:rPr/>
        <w:t>供应商应当在首次响应截止时间前，通过项目电子化交易系统上传提交加密的电子响应文件1份。</w:t>
      </w:r>
    </w:p>
    <w:p>
      <w:pPr>
        <w:pStyle w:val="null3"/>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jc w:val="both"/>
      </w:pPr>
      <w:r>
        <w:rPr/>
        <w:t>成功通过项目电子化交易系统上传提交电子加密响应文件是指在首次响应截止时间前，上传提交按照最终版本磋商文件编制加密的响应文件，并获取相应的《投标（响应）文件签收回执单》。</w:t>
      </w:r>
    </w:p>
    <w:p>
      <w:pPr>
        <w:pStyle w:val="null3"/>
        <w:jc w:val="both"/>
      </w:pPr>
      <w:r>
        <w:rPr/>
        <w:t>二、现场递交</w:t>
      </w:r>
    </w:p>
    <w:p>
      <w:pPr>
        <w:pStyle w:val="null3"/>
        <w:jc w:val="both"/>
      </w:pPr>
      <w:r>
        <w:rPr/>
        <w:t>（一）供应商授权代表现场递交文件，应须另行单独手持递交法定代表人授权书（无需密封，含法定代表人、被授权人身份证复印件）。</w:t>
      </w:r>
    </w:p>
    <w:p>
      <w:pPr>
        <w:pStyle w:val="null3"/>
        <w:jc w:val="both"/>
      </w:pPr>
      <w:r>
        <w:rPr/>
        <w:t>供应商未递交法定代表人授权书、有效身份证复印件或法定代表人授权书未加盖单位公章的，其现场递交的响应文件将被拒绝。</w:t>
      </w:r>
    </w:p>
    <w:p>
      <w:pPr>
        <w:pStyle w:val="null3"/>
        <w:jc w:val="both"/>
      </w:pPr>
      <w:r>
        <w:rPr/>
        <w:t>（二）现场递交响应文件</w:t>
      </w:r>
    </w:p>
    <w:p>
      <w:pPr>
        <w:pStyle w:val="null3"/>
        <w:jc w:val="both"/>
      </w:pPr>
      <w:r>
        <w:rPr/>
        <w:t>1、非加密电子响应文件：</w:t>
      </w:r>
    </w:p>
    <w:p>
      <w:pPr>
        <w:pStyle w:val="null3"/>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jc w:val="both"/>
      </w:pPr>
      <w:r>
        <w:rPr/>
        <w:t>2、纸质响应文件：</w:t>
      </w:r>
    </w:p>
    <w:p>
      <w:pPr>
        <w:pStyle w:val="null3"/>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pPr>
      <w:r>
        <w:rPr/>
        <w:t>3.出现下列情况之一的磋商响应文件按无效响应处理：</w:t>
      </w:r>
    </w:p>
    <w:p>
      <w:pPr>
        <w:pStyle w:val="null3"/>
        <w:jc w:val="left"/>
      </w:pPr>
      <w:r>
        <w:rPr/>
        <w:t>供应商未能按磋商文件要求提供磋商响应文件纸质版和电子版（包括线上加密和现场递交的非加密电子版）；</w:t>
      </w:r>
    </w:p>
    <w:p>
      <w:pPr>
        <w:pStyle w:val="null3"/>
        <w:jc w:val="left"/>
      </w:pPr>
      <w:r>
        <w:rPr/>
        <w:t>磋商响应文件电子版未按要求加盖《关于供应商办理CA数字证书及电子签章的通知》中指定供应商签发的单位电子签章（如遇启用纸质磋商响应文件时，纸质磋商响应文件未按要求加盖公章）。</w:t>
      </w:r>
    </w:p>
    <w:p>
      <w:pPr>
        <w:pStyle w:val="null3"/>
        <w:jc w:val="left"/>
        <w:outlineLvl w:val="3"/>
      </w:pPr>
      <w:r>
        <w:rPr>
          <w:sz w:val="24"/>
          <w:b/>
        </w:rPr>
        <w:t>2.4.11响应文件的补充、修改</w:t>
      </w:r>
    </w:p>
    <w:p>
      <w:pPr>
        <w:pStyle w:val="null3"/>
        <w:jc w:val="both"/>
      </w:pPr>
      <w:r>
        <w:rPr/>
        <w:t>首次提交响应文件截止时间前，供应商可以补充、修改或者撤回已成功通过项目电子化交易系统上传提交加密电子响应文件。</w:t>
      </w:r>
    </w:p>
    <w:p>
      <w:pPr>
        <w:pStyle w:val="null3"/>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jc w:val="both"/>
      </w:pPr>
      <w:r>
        <w:rPr/>
        <w:t>供应商通过项目电子化交易系统撤回响应文件后，视为未提交过响应文件。</w:t>
      </w:r>
    </w:p>
    <w:p>
      <w:pPr>
        <w:pStyle w:val="null3"/>
        <w:jc w:val="left"/>
        <w:outlineLvl w:val="2"/>
      </w:pPr>
      <w:r>
        <w:rPr>
          <w:sz w:val="28"/>
          <w:b/>
        </w:rPr>
        <w:t>2.5 开启、初审、磋商和确定成交供应商</w:t>
      </w:r>
    </w:p>
    <w:p>
      <w:pPr>
        <w:pStyle w:val="null3"/>
        <w:jc w:val="left"/>
        <w:outlineLvl w:val="3"/>
      </w:pPr>
      <w:r>
        <w:rPr>
          <w:sz w:val="24"/>
          <w:b/>
        </w:rPr>
        <w:t>2.5.1磋商开启程序</w:t>
      </w:r>
    </w:p>
    <w:p>
      <w:pPr>
        <w:pStyle w:val="null3"/>
        <w:jc w:val="both"/>
      </w:pPr>
      <w:r>
        <w:rPr/>
        <w:t>一、本项目在磋商文件中规定的时间和地点组织磋商现场通过电子化交易系统线上开启。</w:t>
      </w:r>
    </w:p>
    <w:p>
      <w:pPr>
        <w:pStyle w:val="null3"/>
        <w:jc w:val="both"/>
      </w:pPr>
      <w:r>
        <w:rPr/>
        <w:t>二、磋商开启准备工作</w:t>
      </w:r>
    </w:p>
    <w:p>
      <w:pPr>
        <w:pStyle w:val="null3"/>
        <w:jc w:val="both"/>
      </w:pPr>
      <w:r>
        <w:rPr/>
        <w:t>响应文件开启时间前，供应商登录项目电子化交易系统-“开标/开启大厅”。</w:t>
      </w:r>
    </w:p>
    <w:p>
      <w:pPr>
        <w:pStyle w:val="null3"/>
        <w:jc w:val="both"/>
      </w:pPr>
      <w:r>
        <w:rPr/>
        <w:t>三、解密响应文件</w:t>
      </w:r>
    </w:p>
    <w:p>
      <w:pPr>
        <w:pStyle w:val="null3"/>
        <w:jc w:val="both"/>
      </w:pPr>
      <w:r>
        <w:rPr/>
        <w:t>（一）首次提交响应文件截止时间后，成功提交响应文件的供应商不少于3家，代理机构将启动响应文件解密程序。</w:t>
      </w:r>
    </w:p>
    <w:p>
      <w:pPr>
        <w:pStyle w:val="null3"/>
        <w:jc w:val="both"/>
      </w:pPr>
      <w:r>
        <w:rPr/>
        <w:t>（二）响应文件解密时限为30分钟；供应商应在规定的解密时限内，登录项目电子化交易系统，使用加密电子响应文件时使用的数字证书（CA)对电子响应文件解密。</w:t>
      </w:r>
    </w:p>
    <w:p>
      <w:pPr>
        <w:pStyle w:val="null3"/>
        <w:jc w:val="both"/>
      </w:pPr>
      <w:r>
        <w:rPr/>
        <w:t>如供应商在规定的解密时限内CA解密失败的，代理机构现场开封并上传供应商已现场递交的备用非加密电子响应文件。</w:t>
      </w:r>
    </w:p>
    <w:p>
      <w:pPr>
        <w:pStyle w:val="null3"/>
        <w:jc w:val="both"/>
      </w:pPr>
      <w:r>
        <w:rPr/>
        <w:t>（三）解密过程中出现下列情形，响应无效：</w:t>
      </w:r>
    </w:p>
    <w:p>
      <w:pPr>
        <w:pStyle w:val="null3"/>
        <w:jc w:val="both"/>
      </w:pPr>
      <w:r>
        <w:rPr/>
        <w:t>未在规定的解密时限时间内完成解密。</w:t>
      </w:r>
    </w:p>
    <w:p>
      <w:pPr>
        <w:pStyle w:val="null3"/>
        <w:jc w:val="both"/>
      </w:pPr>
      <w:r>
        <w:rPr/>
        <w:t>CA解密失败且备用非加密电子投标文件上传失败。</w:t>
      </w:r>
    </w:p>
    <w:p>
      <w:pPr>
        <w:pStyle w:val="null3"/>
        <w:jc w:val="left"/>
      </w:pPr>
      <w:r>
        <w:rPr/>
        <w:t>2.5.2查询及使用信用记录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pPr>
      <w:r>
        <w:rPr/>
        <w:t>2.5.3初审</w:t>
      </w:r>
    </w:p>
    <w:p>
      <w:pPr>
        <w:pStyle w:val="null3"/>
        <w:jc w:val="left"/>
      </w:pPr>
      <w:r>
        <w:rPr/>
        <w:t>详见磋商文件第四章。</w:t>
      </w:r>
    </w:p>
    <w:p>
      <w:pPr>
        <w:pStyle w:val="null3"/>
        <w:jc w:val="left"/>
        <w:outlineLvl w:val="3"/>
      </w:pPr>
      <w:r>
        <w:rPr>
          <w:sz w:val="24"/>
          <w:b/>
        </w:rPr>
        <w:t>2.5.4磋商</w:t>
      </w:r>
    </w:p>
    <w:p>
      <w:pPr>
        <w:pStyle w:val="null3"/>
      </w:pPr>
      <w:r>
        <w:rPr/>
        <w:t>详见磋商文件第四章</w:t>
      </w:r>
    </w:p>
    <w:p>
      <w:pPr>
        <w:pStyle w:val="null3"/>
        <w:jc w:val="left"/>
        <w:outlineLvl w:val="3"/>
      </w:pPr>
      <w:r>
        <w:rPr>
          <w:sz w:val="24"/>
          <w:b/>
        </w:rPr>
        <w:t>2.5.4成交通知书</w:t>
      </w:r>
    </w:p>
    <w:p>
      <w:pPr>
        <w:pStyle w:val="null3"/>
        <w:jc w:val="both"/>
      </w:pPr>
      <w:r>
        <w:rPr/>
        <w:t>一、采购人或者磋商小组确认成交供应商后，代理机构在供应商须知前附表“信息发布渠道”发布成交结果公告、通过项目电子化交易系统发出成交通知书，成交供应商通过项目电子化交易系统获取成交通知书。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二、成交通知书是采购人和成交供应商签订政府采购合同的依据，是合同的有效组成部分。</w:t>
      </w:r>
    </w:p>
    <w:p>
      <w:pPr>
        <w:pStyle w:val="null3"/>
        <w:jc w:val="both"/>
      </w:pPr>
      <w:r>
        <w:rPr/>
        <w:t>三、成交通知书对采购人和成交供应商均具有法律效力。</w:t>
      </w:r>
    </w:p>
    <w:p>
      <w:pPr>
        <w:pStyle w:val="null3"/>
        <w:jc w:val="left"/>
        <w:outlineLvl w:val="2"/>
      </w:pPr>
      <w:r>
        <w:rPr>
          <w:sz w:val="28"/>
          <w:b/>
        </w:rPr>
        <w:t>2.6 签订合同</w:t>
      </w:r>
    </w:p>
    <w:p>
      <w:pPr>
        <w:pStyle w:val="null3"/>
        <w:jc w:val="left"/>
        <w:outlineLvl w:val="3"/>
      </w:pPr>
      <w:r>
        <w:rPr>
          <w:sz w:val="24"/>
          <w:b/>
        </w:rPr>
        <w:t>一、成交供应商应当自收到成交通知书之日起30日内，与采购人完成合同的起草和签订工作。</w:t>
      </w:r>
    </w:p>
    <w:p>
      <w:pPr>
        <w:pStyle w:val="null3"/>
        <w:jc w:val="left"/>
        <w:outlineLvl w:val="3"/>
      </w:pPr>
      <w:r>
        <w:rPr>
          <w:sz w:val="24"/>
          <w:b/>
        </w:rPr>
        <w:t>二、如果成交供应商没有按照上款规定与采购人签约，采购人有权按照评审报告推荐的成交候选人名单排序，确定下一个成交候选人为成交供应商，或重新采购。如成交供应商被发现前期采购过程中存在提供虚假材料谋取成交的行为，该供应商成交无效，按照政府采购有关法规要求处理。</w:t>
      </w:r>
    </w:p>
    <w:p>
      <w:pPr>
        <w:pStyle w:val="null3"/>
        <w:jc w:val="left"/>
        <w:outlineLvl w:val="3"/>
      </w:pPr>
      <w:r>
        <w:rPr>
          <w:sz w:val="24"/>
          <w:b/>
        </w:rPr>
        <w:t>三、磋商文件、成交供应商的磋商响应文件及其补充澄清文件、最终报价文件，均为合同的组成部分。</w:t>
      </w:r>
    </w:p>
    <w:p>
      <w:pPr>
        <w:pStyle w:val="null3"/>
      </w:pPr>
      <w:r>
        <w:rPr/>
        <w:t xml:space="preserve"> </w:t>
      </w:r>
    </w:p>
    <w:p>
      <w:pPr>
        <w:pStyle w:val="null3"/>
        <w:jc w:val="center"/>
        <w:outlineLvl w:val="1"/>
      </w:pPr>
      <w:r>
        <w:rPr>
          <w:sz w:val="36"/>
          <w:b/>
        </w:rPr>
        <w:t>第三章 磋商项目技术、服务、商务及其他要求</w:t>
      </w:r>
    </w:p>
    <w:p>
      <w:pPr>
        <w:pStyle w:val="null3"/>
        <w:jc w:val="both"/>
      </w:pPr>
      <w:r>
        <w:rPr/>
        <w:t>技术、商务指标按重要性分为“★”、“#”和“△”指标。“★”代表最关键指标，不满足该指标项将导致投标被拒绝；“#”代表重要指标，“△”代表一般指标项，“#”和“△”指标可作为比较性评价指标。</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b/>
              </w:rPr>
              <w:t>序号</w:t>
            </w:r>
          </w:p>
        </w:tc>
        <w:tc>
          <w:tcPr>
            <w:tcW w:type="dxa" w:w="2492"/>
          </w:tcPr>
          <w:p>
            <w:pPr>
              <w:pStyle w:val="null3"/>
            </w:pPr>
            <w:r>
              <w:rPr>
                <w:b/>
              </w:rPr>
              <w:t>内 容</w:t>
            </w:r>
          </w:p>
        </w:tc>
        <w:tc>
          <w:tcPr>
            <w:tcW w:type="dxa" w:w="4984"/>
          </w:tcPr>
          <w:p>
            <w:pPr>
              <w:pStyle w:val="null3"/>
            </w:pPr>
            <w:r>
              <w:rPr>
                <w:b/>
              </w:rPr>
              <w:t>说    明</w:t>
            </w:r>
          </w:p>
        </w:tc>
      </w:tr>
      <w:tr>
        <w:tc>
          <w:tcPr>
            <w:tcW w:type="dxa" w:w="831"/>
          </w:tcPr>
          <w:p>
            <w:pPr>
              <w:pStyle w:val="null3"/>
            </w:pPr>
            <w:r>
              <w:rPr/>
              <w:t>1</w:t>
            </w:r>
          </w:p>
        </w:tc>
        <w:tc>
          <w:tcPr>
            <w:tcW w:type="dxa" w:w="2492"/>
          </w:tcPr>
          <w:p>
            <w:pPr>
              <w:pStyle w:val="null3"/>
            </w:pPr>
            <w:r>
              <w:rPr/>
              <w:t>项目背景</w:t>
            </w:r>
          </w:p>
        </w:tc>
        <w:tc>
          <w:tcPr>
            <w:tcW w:type="dxa" w:w="4984"/>
          </w:tcPr>
          <w:p>
            <w:pPr>
              <w:pStyle w:val="null3"/>
            </w:pPr>
            <w:r>
              <w:rPr/>
              <w:t>2023年12月以来，中国人民银行党校租赁通泰大厦A座11层1109-1123号房间作为主要办公业务场地，业务涵盖总行党员和干部的教学培训、省级分行党校的教学指导服务、教学研究等内容。2025年11月30日，通泰大厦的办公区租期期满且交通银行北京分行物业明确不再进行续租，商请我校调整租赁楼层至其他区域。为落实总行集中办公要求和保密要求，鉴于党校对办公业务用房的特殊需求，拟通过竞争性磋商的方式开展办公用房租赁工作。</w:t>
            </w:r>
          </w:p>
        </w:tc>
      </w:tr>
      <w:tr>
        <w:tc>
          <w:tcPr>
            <w:tcW w:type="dxa" w:w="831"/>
          </w:tcPr>
          <w:p>
            <w:pPr>
              <w:pStyle w:val="null3"/>
            </w:pPr>
            <w:r>
              <w:rPr/>
              <w:t>2</w:t>
            </w:r>
          </w:p>
        </w:tc>
        <w:tc>
          <w:tcPr>
            <w:tcW w:type="dxa" w:w="2492"/>
          </w:tcPr>
          <w:p>
            <w:pPr>
              <w:pStyle w:val="null3"/>
            </w:pPr>
            <w:r>
              <w:rPr/>
              <w:t>执行依据</w:t>
            </w:r>
          </w:p>
        </w:tc>
        <w:tc>
          <w:tcPr>
            <w:tcW w:type="dxa" w:w="4984"/>
          </w:tcPr>
          <w:p>
            <w:pPr>
              <w:pStyle w:val="null3"/>
            </w:pPr>
            <w:r>
              <w:rPr/>
              <w:t>《财政部办公厅关于中国人民银行党校2025年办公用房租赁项目变更采购方式的复函》（财办库采【2025】558号）</w:t>
            </w:r>
          </w:p>
        </w:tc>
      </w:tr>
      <w:tr>
        <w:tc>
          <w:tcPr>
            <w:tcW w:type="dxa" w:w="831"/>
          </w:tcPr>
          <w:p>
            <w:pPr>
              <w:pStyle w:val="null3"/>
            </w:pPr>
            <w:r>
              <w:rPr/>
              <w:t>3</w:t>
            </w:r>
          </w:p>
        </w:tc>
        <w:tc>
          <w:tcPr>
            <w:tcW w:type="dxa" w:w="2492"/>
          </w:tcPr>
          <w:p>
            <w:pPr>
              <w:pStyle w:val="null3"/>
            </w:pPr>
            <w:r>
              <w:rPr/>
              <w:t>项目目标</w:t>
            </w:r>
          </w:p>
        </w:tc>
        <w:tc>
          <w:tcPr>
            <w:tcW w:type="dxa" w:w="4984"/>
          </w:tcPr>
          <w:p>
            <w:pPr>
              <w:pStyle w:val="null3"/>
            </w:pPr>
            <w:r>
              <w:rPr/>
              <w:t>在保障系统稳定和业务工作正常开展的基础上尽快完成办公用房租赁工作。</w:t>
            </w:r>
          </w:p>
        </w:tc>
      </w:tr>
      <w:tr>
        <w:tc>
          <w:tcPr>
            <w:tcW w:type="dxa" w:w="831"/>
          </w:tcPr>
          <w:p>
            <w:pPr>
              <w:pStyle w:val="null3"/>
            </w:pPr>
            <w:r>
              <w:rPr/>
              <w:t>4</w:t>
            </w:r>
          </w:p>
        </w:tc>
        <w:tc>
          <w:tcPr>
            <w:tcW w:type="dxa" w:w="2492"/>
          </w:tcPr>
          <w:p>
            <w:pPr>
              <w:pStyle w:val="null3"/>
            </w:pPr>
            <w:r>
              <w:rPr/>
              <w:t>项目内容</w:t>
            </w:r>
          </w:p>
        </w:tc>
        <w:tc>
          <w:tcPr>
            <w:tcW w:type="dxa" w:w="4984"/>
          </w:tcPr>
          <w:p>
            <w:pPr>
              <w:pStyle w:val="null3"/>
            </w:pPr>
            <w:r>
              <w:rPr/>
              <w:t>通过竞争性磋商的方式租赁满足我校需求、保密管理要求、集中办公要求的办公楼，并满足办公配套及服务保障需求。</w:t>
            </w:r>
          </w:p>
        </w:tc>
      </w:tr>
      <w:tr>
        <w:tc>
          <w:tcPr>
            <w:tcW w:type="dxa" w:w="831"/>
          </w:tcPr>
          <w:p>
            <w:pPr>
              <w:pStyle w:val="null3"/>
            </w:pPr>
            <w:r>
              <w:rPr/>
              <w:t>5</w:t>
            </w:r>
          </w:p>
        </w:tc>
        <w:tc>
          <w:tcPr>
            <w:tcW w:type="dxa" w:w="2492"/>
          </w:tcPr>
          <w:p>
            <w:pPr>
              <w:pStyle w:val="null3"/>
            </w:pPr>
            <w:r>
              <w:rPr/>
              <w:t>项目范围</w:t>
            </w:r>
          </w:p>
        </w:tc>
        <w:tc>
          <w:tcPr>
            <w:tcW w:type="dxa" w:w="4984"/>
          </w:tcPr>
          <w:p>
            <w:pPr>
              <w:pStyle w:val="null3"/>
            </w:pPr>
            <w:r>
              <w:rPr/>
              <w:t>房屋租赁及配套服务，公共区域的物业服务。</w:t>
            </w:r>
          </w:p>
        </w:tc>
      </w:tr>
      <w:tr>
        <w:tc>
          <w:tcPr>
            <w:tcW w:type="dxa" w:w="831"/>
          </w:tcPr>
          <w:p>
            <w:pPr>
              <w:pStyle w:val="null3"/>
            </w:pPr>
            <w:r>
              <w:rPr/>
              <w:t>6</w:t>
            </w:r>
          </w:p>
        </w:tc>
        <w:tc>
          <w:tcPr>
            <w:tcW w:type="dxa" w:w="2492"/>
          </w:tcPr>
          <w:p>
            <w:pPr>
              <w:pStyle w:val="null3"/>
            </w:pPr>
            <w:r>
              <w:rPr/>
              <w:t>重要性分析</w:t>
            </w:r>
          </w:p>
        </w:tc>
        <w:tc>
          <w:tcPr>
            <w:tcW w:type="dxa" w:w="4984"/>
          </w:tcPr>
          <w:p>
            <w:pPr>
              <w:pStyle w:val="null3"/>
            </w:pPr>
            <w:r>
              <w:rPr/>
              <w:t>我校为中国人民银行正司局级直属事业单位，是干部教育培训工作的主渠道和主阵地。该项目是保障我校正常办公、开展培训指导工作及保持业务连续性运行的基础和根本，需具有良好的保密基础设施和办公配套服务。</w:t>
            </w:r>
          </w:p>
        </w:tc>
      </w:tr>
      <w:tr>
        <w:tc>
          <w:tcPr>
            <w:tcW w:type="dxa" w:w="831"/>
          </w:tcPr>
          <w:p>
            <w:pPr>
              <w:pStyle w:val="null3"/>
            </w:pPr>
            <w:r>
              <w:rPr/>
              <w:t>7</w:t>
            </w:r>
          </w:p>
        </w:tc>
        <w:tc>
          <w:tcPr>
            <w:tcW w:type="dxa" w:w="2492"/>
          </w:tcPr>
          <w:p>
            <w:pPr>
              <w:pStyle w:val="null3"/>
            </w:pPr>
            <w:r>
              <w:rPr/>
              <w:t>与前期项目的关系</w:t>
            </w:r>
          </w:p>
        </w:tc>
        <w:tc>
          <w:tcPr>
            <w:tcW w:type="dxa" w:w="4984"/>
          </w:tcPr>
          <w:p>
            <w:pPr>
              <w:pStyle w:val="null3"/>
            </w:pPr>
            <w:r>
              <w:rPr/>
              <w:t>无。</w:t>
            </w:r>
          </w:p>
        </w:tc>
      </w:tr>
    </w:tbl>
    <w:p>
      <w:pPr>
        <w:pStyle w:val="null3"/>
        <w:jc w:val="left"/>
        <w:outlineLvl w:val="2"/>
      </w:pPr>
      <w:r>
        <w:rPr>
          <w:sz w:val="28"/>
          <w:b/>
        </w:rPr>
        <w:t>3.2 技术及商务要求</w:t>
      </w:r>
    </w:p>
    <w:p>
      <w:pPr>
        <w:pStyle w:val="null3"/>
      </w:pPr>
      <w:r>
        <w:rPr/>
        <w:t>本技术要求共有“★”指标4个，”#”指标6个，“▲”指标0个。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房屋产权清晰，未涉诉、未处于被查封、被拍卖状态。</w:t>
            </w:r>
          </w:p>
        </w:tc>
        <w:tc>
          <w:tcPr>
            <w:tcW w:type="dxa" w:w="1038"/>
          </w:tcPr>
          <w:p/>
        </w:tc>
        <w:tc>
          <w:tcPr>
            <w:tcW w:type="dxa" w:w="1038"/>
          </w:tcPr>
          <w:p>
            <w:pPr>
              <w:pStyle w:val="null3"/>
            </w:pPr>
            <w:r>
              <w:rPr/>
              <w:t>1.房屋产权明确、清晰，不存在权属争议或瑕疵。2.房屋未涉及任何诉讼，不存在被查封、执行、拍卖等影响或可能影响租赁协议履行的情形。</w:t>
            </w:r>
          </w:p>
        </w:tc>
        <w:tc>
          <w:tcPr>
            <w:tcW w:type="dxa" w:w="1038"/>
          </w:tcPr>
          <w:p>
            <w:pPr>
              <w:pStyle w:val="null3"/>
            </w:pPr>
            <w:r>
              <w:rPr/>
              <w:t>是</w:t>
            </w:r>
          </w:p>
        </w:tc>
        <w:tc>
          <w:tcPr>
            <w:tcW w:type="dxa" w:w="1038"/>
          </w:tcPr>
          <w:p>
            <w:pPr>
              <w:pStyle w:val="null3"/>
            </w:pPr>
            <w:r>
              <w:rPr/>
              <w:t>需提供房产产权清晰、未涉及法律诉讼，不存在被查封、执行、拍卖的承诺书。</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保密管理要求较高。</w:t>
            </w:r>
          </w:p>
        </w:tc>
        <w:tc>
          <w:tcPr>
            <w:tcW w:type="dxa" w:w="1038"/>
          </w:tcPr>
          <w:p/>
        </w:tc>
        <w:tc>
          <w:tcPr>
            <w:tcW w:type="dxa" w:w="1038"/>
          </w:tcPr>
          <w:p>
            <w:pPr>
              <w:pStyle w:val="null3"/>
            </w:pPr>
            <w:r>
              <w:rPr/>
              <w:t>1.办公用房需要具有较高的保密管理等级、较为完备的安保设施和人员。</w:t>
            </w:r>
          </w:p>
          <w:p>
            <w:pPr>
              <w:pStyle w:val="null3"/>
            </w:pPr>
            <w:r>
              <w:rPr/>
              <w:t>2.须满足可与人民银行总行三网、专网相通的网络搭建。</w:t>
            </w:r>
          </w:p>
        </w:tc>
        <w:tc>
          <w:tcPr>
            <w:tcW w:type="dxa" w:w="1038"/>
          </w:tcPr>
          <w:p>
            <w:pPr>
              <w:pStyle w:val="null3"/>
            </w:pPr>
            <w:r>
              <w:rPr/>
              <w:t>是</w:t>
            </w:r>
          </w:p>
        </w:tc>
        <w:tc>
          <w:tcPr>
            <w:tcW w:type="dxa" w:w="1038"/>
          </w:tcPr>
          <w:p>
            <w:pPr>
              <w:pStyle w:val="null3"/>
            </w:pPr>
            <w:r>
              <w:rPr/>
              <w:t>需根据本技术条款要求提供书面承诺书，证明供应商符合要求。</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出租方对拟出租房屋有合法出租权</w:t>
            </w:r>
          </w:p>
        </w:tc>
        <w:tc>
          <w:tcPr>
            <w:tcW w:type="dxa" w:w="1038"/>
          </w:tcPr>
          <w:p/>
        </w:tc>
        <w:tc>
          <w:tcPr>
            <w:tcW w:type="dxa" w:w="1038"/>
          </w:tcPr>
          <w:p>
            <w:pPr>
              <w:pStyle w:val="null3"/>
            </w:pPr>
            <w:r>
              <w:rPr/>
              <w:t>出租方应享有拟出租房屋所有权或者使用权。</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在2026年3月31日前按照约定装修标准交付使用办公用房。</w:t>
            </w:r>
          </w:p>
        </w:tc>
        <w:tc>
          <w:tcPr>
            <w:tcW w:type="dxa" w:w="1038"/>
          </w:tcPr>
          <w:p/>
        </w:tc>
        <w:tc>
          <w:tcPr>
            <w:tcW w:type="dxa" w:w="1038"/>
          </w:tcPr>
          <w:p>
            <w:pPr>
              <w:pStyle w:val="null3"/>
            </w:pPr>
            <w:r>
              <w:rPr/>
              <w:t>办公用房应完成吊白网等基础装修，并规划好专网设备间、保密办公室、业务监控室、测试操作间等功能性用房，可满足我校正常办公，并在</w:t>
            </w:r>
            <w:r>
              <w:rPr/>
              <w:t>2026年3月31日前交付使用。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提供不少于713.95平方米办公业务用房供租</w:t>
            </w:r>
          </w:p>
        </w:tc>
        <w:tc>
          <w:tcPr>
            <w:tcW w:type="dxa" w:w="1038"/>
          </w:tcPr>
          <w:p/>
        </w:tc>
        <w:tc>
          <w:tcPr>
            <w:tcW w:type="dxa" w:w="1038"/>
          </w:tcPr>
          <w:p>
            <w:pPr>
              <w:pStyle w:val="null3"/>
            </w:pPr>
            <w:r>
              <w:rPr/>
              <w:t>能够持续、稳定、长期提供不少于</w:t>
            </w:r>
            <w:r>
              <w:rPr/>
              <w:t>713.95平方米办公用房供租用，同时可满足一签三年需求。</w:t>
            </w:r>
          </w:p>
        </w:tc>
        <w:tc>
          <w:tcPr>
            <w:tcW w:type="dxa" w:w="1038"/>
          </w:tcPr>
          <w:p>
            <w:pPr>
              <w:pStyle w:val="null3"/>
            </w:pPr>
            <w:r>
              <w:rPr/>
              <w:t>是</w:t>
            </w:r>
          </w:p>
        </w:tc>
        <w:tc>
          <w:tcPr>
            <w:tcW w:type="dxa" w:w="1038"/>
          </w:tcPr>
          <w:p>
            <w:pPr>
              <w:pStyle w:val="null3"/>
            </w:pPr>
            <w:r>
              <w:rPr/>
              <w:t>供应商需提供可供租赁周期和可供租赁面积的承诺书。</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具备封闭或相对封闭办公的条件。</w:t>
            </w:r>
          </w:p>
        </w:tc>
        <w:tc>
          <w:tcPr>
            <w:tcW w:type="dxa" w:w="1038"/>
          </w:tcPr>
          <w:p/>
        </w:tc>
        <w:tc>
          <w:tcPr>
            <w:tcW w:type="dxa" w:w="1038"/>
          </w:tcPr>
          <w:p>
            <w:pPr>
              <w:pStyle w:val="null3"/>
            </w:pPr>
            <w:r>
              <w:rPr/>
              <w:t>办公用房可通过设立门禁、梯控等方式实现封闭或相对封闭办公。</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地理位置及可租赁面积</w:t>
            </w:r>
          </w:p>
        </w:tc>
        <w:tc>
          <w:tcPr>
            <w:tcW w:type="dxa" w:w="1038"/>
          </w:tcPr>
          <w:p/>
        </w:tc>
        <w:tc>
          <w:tcPr>
            <w:tcW w:type="dxa" w:w="1038"/>
          </w:tcPr>
          <w:p>
            <w:pPr>
              <w:pStyle w:val="null3"/>
            </w:pPr>
            <w:r>
              <w:rPr/>
              <w:t>地理位置要在人民银行总行</w:t>
            </w:r>
            <w:r>
              <w:rPr/>
              <w:t>1号楼和新大楼附近，且要租赁同一楼层。</w:t>
            </w:r>
          </w:p>
        </w:tc>
        <w:tc>
          <w:tcPr>
            <w:tcW w:type="dxa" w:w="1038"/>
          </w:tcPr>
          <w:p>
            <w:pPr>
              <w:pStyle w:val="null3"/>
            </w:pPr>
            <w:r>
              <w:rPr/>
              <w:t>是</w:t>
            </w:r>
          </w:p>
        </w:tc>
        <w:tc>
          <w:tcPr>
            <w:tcW w:type="dxa" w:w="1038"/>
          </w:tcPr>
          <w:p>
            <w:pPr>
              <w:pStyle w:val="null3"/>
            </w:pPr>
            <w:r>
              <w:rPr/>
              <w:t>提供地图软件显示的距离人民银行总行（北京市西城区成方街33号2号楼）的步行距离截图。</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项目管理团队</w:t>
            </w:r>
          </w:p>
        </w:tc>
        <w:tc>
          <w:tcPr>
            <w:tcW w:type="dxa" w:w="1038"/>
          </w:tcPr>
          <w:p/>
        </w:tc>
        <w:tc>
          <w:tcPr>
            <w:tcW w:type="dxa" w:w="1038"/>
          </w:tcPr>
          <w:p>
            <w:pPr>
              <w:pStyle w:val="null3"/>
            </w:pPr>
            <w:r>
              <w:rPr/>
              <w:t>针对本项目，供应商应配有专门的项目管理团队，项目管理人员安排分工合理，岗位职责划分明确，有详细的岗位职责说明。</w:t>
            </w:r>
          </w:p>
        </w:tc>
        <w:tc>
          <w:tcPr>
            <w:tcW w:type="dxa" w:w="1038"/>
          </w:tcPr>
          <w:p>
            <w:pPr>
              <w:pStyle w:val="null3"/>
            </w:pPr>
            <w:r>
              <w:rPr/>
              <w:t>是</w:t>
            </w:r>
          </w:p>
        </w:tc>
        <w:tc>
          <w:tcPr>
            <w:tcW w:type="dxa" w:w="1038"/>
          </w:tcPr>
          <w:p>
            <w:pPr>
              <w:pStyle w:val="null3"/>
            </w:pPr>
            <w:r>
              <w:rPr/>
              <w:t>需提供管理团队人员分工、职责说明等材料。</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应急保障方案</w:t>
            </w:r>
          </w:p>
        </w:tc>
        <w:tc>
          <w:tcPr>
            <w:tcW w:type="dxa" w:w="1038"/>
          </w:tcPr>
          <w:p/>
        </w:tc>
        <w:tc>
          <w:tcPr>
            <w:tcW w:type="dxa" w:w="1038"/>
          </w:tcPr>
          <w:p>
            <w:pPr>
              <w:pStyle w:val="null3"/>
            </w:pPr>
            <w:r>
              <w:rPr/>
              <w:t>投标人应有完善的应急处理方案，包括但不限于消防预防及应急处置，水电管道等基础设施保障维护、供暖、空调、电梯、安防监控等与建筑物和构筑物相关的（不含终端设备）维修和整修。</w:t>
            </w:r>
          </w:p>
        </w:tc>
        <w:tc>
          <w:tcPr>
            <w:tcW w:type="dxa" w:w="1038"/>
          </w:tcPr>
          <w:p>
            <w:pPr>
              <w:pStyle w:val="null3"/>
            </w:pPr>
            <w:r>
              <w:rPr/>
              <w:t>是</w:t>
            </w:r>
          </w:p>
        </w:tc>
        <w:tc>
          <w:tcPr>
            <w:tcW w:type="dxa" w:w="1038"/>
          </w:tcPr>
          <w:p>
            <w:pPr>
              <w:pStyle w:val="null3"/>
            </w:pPr>
            <w:r>
              <w:rPr/>
              <w:t>需提供应急处理方案及异常处理方案。</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保密水平</w:t>
            </w:r>
          </w:p>
        </w:tc>
        <w:tc>
          <w:tcPr>
            <w:tcW w:type="dxa" w:w="1038"/>
          </w:tcPr>
          <w:p/>
        </w:tc>
        <w:tc>
          <w:tcPr>
            <w:tcW w:type="dxa" w:w="1038"/>
          </w:tcPr>
          <w:p>
            <w:pPr>
              <w:pStyle w:val="null3"/>
            </w:pPr>
            <w:r>
              <w:rPr/>
              <w:t>有国家保密管理部门保密等级认定或者在</w:t>
            </w:r>
            <w:r>
              <w:rPr/>
              <w:t>5年内服务过国家部委、副部级及以上单位、国企央企总部及子公司。</w:t>
            </w:r>
          </w:p>
        </w:tc>
        <w:tc>
          <w:tcPr>
            <w:tcW w:type="dxa" w:w="1038"/>
          </w:tcPr>
          <w:p>
            <w:pPr>
              <w:pStyle w:val="null3"/>
            </w:pPr>
            <w:r>
              <w:rPr/>
              <w:t>是</w:t>
            </w:r>
          </w:p>
        </w:tc>
        <w:tc>
          <w:tcPr>
            <w:tcW w:type="dxa" w:w="1038"/>
          </w:tcPr>
          <w:p>
            <w:pPr>
              <w:pStyle w:val="null3"/>
            </w:pPr>
            <w:r>
              <w:rPr/>
              <w:t>供应商需提供保密等级认定材料或在5年内服务过国家部委、副部级及以上单位、国企央企总部及子公司的服务承诺书。</w:t>
            </w:r>
          </w:p>
        </w:tc>
      </w:tr>
    </w:tbl>
    <w:p>
      <w:pPr>
        <w:pStyle w:val="null3"/>
      </w:pPr>
      <w:r>
        <w:rPr/>
        <w:t>本商务要求共有“★”指标2个，”#”指标0个，“▲”指标0个。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实施时间</w:t>
            </w:r>
          </w:p>
        </w:tc>
        <w:tc>
          <w:tcPr>
            <w:tcW w:type="dxa" w:w="1038"/>
          </w:tcPr>
          <w:p/>
        </w:tc>
        <w:tc>
          <w:tcPr>
            <w:tcW w:type="dxa" w:w="1038"/>
          </w:tcPr>
          <w:p>
            <w:pPr>
              <w:pStyle w:val="null3"/>
            </w:pPr>
            <w:r>
              <w:rPr/>
              <w:t>中标供应商应在采购合同签定后</w:t>
            </w:r>
            <w:r>
              <w:rPr/>
              <w:t>15个日历日内交付并完成调试。</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验收方式</w:t>
            </w:r>
          </w:p>
        </w:tc>
        <w:tc>
          <w:tcPr>
            <w:tcW w:type="dxa" w:w="1038"/>
          </w:tcPr>
          <w:p/>
        </w:tc>
        <w:tc>
          <w:tcPr>
            <w:tcW w:type="dxa" w:w="1038"/>
          </w:tcPr>
          <w:p>
            <w:pPr>
              <w:pStyle w:val="null3"/>
            </w:pPr>
            <w:r>
              <w:rPr/>
              <w:t>服务规格参数与采购合同一致，性能指标达到规定标准。</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自租期开始后，验收合格后，租金按年度分2次付款，当年12月支付70%，租期结束后付剩余30%。</w:t>
            </w:r>
          </w:p>
        </w:tc>
        <w:tc>
          <w:tcPr>
            <w:tcW w:type="dxa" w:w="1384"/>
          </w:tcPr>
          <w:p>
            <w:pPr>
              <w:pStyle w:val="null3"/>
            </w:pPr>
            <w:r>
              <w:rPr/>
              <w:t>租期内，每年12月对办公用房整体环境、物业服务管理水平进行验收 ,包括但不限于租期内办公环境干净整洁，房间内部地板平整无塌陷，内外墙面完好且未出现漏水漏风等问题 ,办公区域内的水、电管线安全可用 ,办公区域内不存在消防安全等风险隐患，出具验收合格证明。在验收合格后，收到出租方开具的符合约定条件的增值税普通发票，凭票支付合同全款。</w:t>
            </w:r>
          </w:p>
        </w:tc>
        <w:tc>
          <w:tcPr>
            <w:tcW w:type="dxa" w:w="1384"/>
          </w:tcPr>
          <w:p>
            <w:pPr>
              <w:pStyle w:val="null3"/>
            </w:pPr>
            <w:r>
              <w:rPr/>
              <w:t>100.00</w:t>
            </w:r>
            <w:r>
              <w:rPr/>
              <w:t>%</w:t>
            </w:r>
          </w:p>
        </w:tc>
        <w:tc>
          <w:tcPr>
            <w:tcW w:type="dxa" w:w="1384"/>
          </w:tcPr>
          <w:p>
            <w:pPr>
              <w:pStyle w:val="null3"/>
            </w:pPr>
            <w:r>
              <w:rPr/>
              <w:t>对公转账。</w:t>
            </w:r>
          </w:p>
        </w:tc>
        <w:tc>
          <w:tcPr>
            <w:tcW w:type="dxa" w:w="1384"/>
          </w:tcPr>
          <w:p>
            <w:pPr>
              <w:pStyle w:val="null3"/>
            </w:pPr>
            <w:r>
              <w:rPr/>
              <w:t>若最后一次租赁期为非整年度，则按照实际租赁月份支付当年租金。</w:t>
            </w:r>
          </w:p>
        </w:tc>
      </w:tr>
    </w:tbl>
    <w:p>
      <w:pPr>
        <w:pStyle w:val="null3"/>
        <w:jc w:val="left"/>
        <w:outlineLvl w:val="2"/>
      </w:pPr>
      <w:r>
        <w:rPr>
          <w:sz w:val="28"/>
          <w:b/>
        </w:rPr>
        <w:t>3.4 履约验收方案</w:t>
      </w:r>
    </w:p>
    <w:p>
      <w:pPr>
        <w:pStyle w:val="null3"/>
      </w:pPr>
      <w:r>
        <w:rPr/>
        <w:t>（1）验收主体</w:t>
      </w:r>
    </w:p>
    <w:p>
      <w:pPr>
        <w:pStyle w:val="null3"/>
      </w:pPr>
      <w:r>
        <w:rPr/>
        <w:t>采购人（需求部门）</w:t>
      </w:r>
      <w:r>
        <w:rPr>
          <w:u w:val="single"/>
        </w:rPr>
        <w:t>中国人民银行党校</w:t>
      </w:r>
    </w:p>
    <w:p>
      <w:pPr>
        <w:pStyle w:val="null3"/>
      </w:pPr>
      <w:r>
        <w:rPr/>
        <w:t>采购人（需求部门）拟邀请（</w:t>
      </w:r>
      <w:r>
        <w:rPr/>
        <w:t>）</w:t>
      </w:r>
    </w:p>
    <w:p>
      <w:pPr>
        <w:pStyle w:val="null3"/>
      </w:pPr>
      <w:r>
        <w:rPr/>
        <w:t>（2）验收时间</w:t>
      </w:r>
      <w:r>
        <w:rPr>
          <w:u w:val="single"/>
        </w:rPr>
        <w:t>租期内，每年12月15日前。</w:t>
      </w:r>
    </w:p>
    <w:p>
      <w:pPr>
        <w:pStyle w:val="null3"/>
      </w:pPr>
      <w:r>
        <w:rPr/>
        <w:t>（3）验收方式</w:t>
      </w:r>
      <w:r>
        <w:rPr>
          <w:u w:val="single"/>
        </w:rPr>
        <w:t>分阶段验收</w:t>
      </w:r>
    </w:p>
    <w:p>
      <w:pPr>
        <w:pStyle w:val="null3"/>
      </w:pPr>
      <w:r>
        <w:rPr/>
        <w:t>（4）验收程序</w:t>
      </w:r>
      <w:r>
        <w:rPr>
          <w:u w:val="single"/>
        </w:rPr>
        <w:t>需求部门根据合同内容现场验收。</w:t>
      </w:r>
    </w:p>
    <w:p>
      <w:pPr>
        <w:pStyle w:val="null3"/>
      </w:pPr>
      <w:r>
        <w:rPr/>
        <w:t>（5）验收内容</w:t>
      </w:r>
      <w:r>
        <w:rPr>
          <w:u w:val="single"/>
        </w:rPr>
        <w:t>办公用房的改造是否符合需求，办公环境是否收拾的干净整洁，房间内部地板是否平整，内外墙面是否完好、是否出现漏水漏风等问题，办公区域内的水、电线是否可用，办公区域内是否存在消防安全等风险隐患。</w:t>
      </w:r>
    </w:p>
    <w:p>
      <w:pPr>
        <w:pStyle w:val="null3"/>
      </w:pPr>
      <w:r>
        <w:rPr/>
        <w:t>（6）验收标准</w:t>
      </w:r>
      <w:r>
        <w:rPr>
          <w:u w:val="single"/>
        </w:rPr>
        <w:t>办公用房的改造符合我单位实际需求，办公环境收拾的干净整洁，房间内部地板平整无塌陷，内外墙面完整且未出现漏水漏风等问题，办公区域内的水、电线安全可用，办公区域内不存在消防安全等风险隐患。</w:t>
      </w:r>
    </w:p>
    <w:p>
      <w:pPr>
        <w:pStyle w:val="null3"/>
      </w:pPr>
      <w:r>
        <w:rPr/>
        <w:t>（7）其他事项（如有）</w:t>
      </w:r>
      <w:r>
        <w:rPr>
          <w:u w:val="single"/>
        </w:rPr>
        <w:t>需要供应商保证有可接入人民银行总行三网的基础设施和符合保密管理要求的封闭设备间、档案室等特殊房间。</w:t>
      </w:r>
    </w:p>
    <w:p>
      <w:pPr>
        <w:pStyle w:val="null3"/>
        <w:jc w:val="left"/>
        <w:outlineLvl w:val="2"/>
      </w:pPr>
      <w:r>
        <w:rPr>
          <w:sz w:val="28"/>
          <w:b/>
        </w:rPr>
        <w:t>3.5 其他</w:t>
      </w:r>
    </w:p>
    <w:p>
      <w:pPr>
        <w:pStyle w:val="null3"/>
      </w:pPr>
      <w:r>
        <w:rPr/>
        <w:t>项目整体实施期限等关键时间节点安排调整为“本项目一采三年，首年合作期2026年4月1日至2027年3月31日，租赁合同一年一签，服务期为自合同签订之日起一年。”</w:t>
      </w:r>
    </w:p>
    <w:p>
      <w:pPr>
        <w:pStyle w:val="null3"/>
      </w:pPr>
      <w:r>
        <w:rPr/>
        <w:t xml:space="preserve"> </w:t>
      </w:r>
    </w:p>
    <w:p>
      <w:pPr>
        <w:pStyle w:val="null3"/>
        <w:jc w:val="center"/>
        <w:outlineLvl w:val="1"/>
      </w:pPr>
      <w:r>
        <w:rPr>
          <w:sz w:val="36"/>
          <w:b/>
        </w:rPr>
        <w:t>第四章 磋商办法</w:t>
      </w:r>
    </w:p>
    <w:p>
      <w:pPr>
        <w:pStyle w:val="null3"/>
        <w:jc w:val="left"/>
        <w:outlineLvl w:val="2"/>
      </w:pPr>
      <w:r>
        <w:rPr>
          <w:sz w:val="28"/>
          <w:b/>
        </w:rPr>
        <w:t>4.1 总则</w:t>
      </w:r>
    </w:p>
    <w:p>
      <w:pPr>
        <w:pStyle w:val="null3"/>
        <w:jc w:val="both"/>
      </w:pPr>
      <w:r>
        <w:rPr/>
        <w:t>一、根据《中华人民共和国政府采购法》《中华人民共和国政府采购法实施条例》《政府采购竞争性磋商采购方式管理暂行办法》等法律规章，结合本采购项目特点制定本次竞争性磋商评审方法。</w:t>
      </w:r>
    </w:p>
    <w:p>
      <w:pPr>
        <w:pStyle w:val="null3"/>
        <w:jc w:val="both"/>
      </w:pPr>
      <w:r>
        <w:rPr/>
        <w:t>二、评审工作由代理机构组织，具体评审事务由依法组建的磋商小组负责。</w:t>
      </w:r>
    </w:p>
    <w:p>
      <w:pPr>
        <w:pStyle w:val="null3"/>
        <w:jc w:val="both"/>
      </w:pPr>
      <w:r>
        <w:rPr/>
        <w:t>三、评审工作应遵循客观、公正、审慎的原则，并以相同的磋商程序和标准对待所有的供应商。</w:t>
      </w:r>
    </w:p>
    <w:p>
      <w:pPr>
        <w:pStyle w:val="null3"/>
        <w:jc w:val="both"/>
      </w:pPr>
      <w:r>
        <w:rPr/>
        <w:t>四、本项目采取电子评审，通过项目电子化交易系统完成评审工作。磋商小组成员、采购人、代理机构和供应商应当按照本磋商文件规定和项目电子化交易系统操作要求开展或者参加评审活动。</w:t>
      </w:r>
    </w:p>
    <w:p>
      <w:pPr>
        <w:pStyle w:val="null3"/>
        <w:jc w:val="both"/>
      </w:pPr>
      <w:r>
        <w:rPr/>
        <w:t>五、评审过程中的书面材料往来均通过项目电子化交易系统传递，磋商小组成员使用互认的证书及签章进行签名后生效，供应商通过互认的证书及签章加盖其电子印章后生效。出现无法在线签章的特殊情况，磋商小组成员可以线下签署评审报告，由代理机构对原件扫描后以附件形式上传。</w:t>
      </w:r>
    </w:p>
    <w:p>
      <w:pPr>
        <w:pStyle w:val="null3"/>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磋商小组</w:t>
      </w:r>
    </w:p>
    <w:p>
      <w:pPr>
        <w:pStyle w:val="null3"/>
        <w:jc w:val="left"/>
        <w:outlineLvl w:val="3"/>
      </w:pPr>
      <w:r>
        <w:rPr>
          <w:sz w:val="24"/>
          <w:b/>
        </w:rPr>
        <w:t>一、本项目磋商小组成员人数详见第二章“供应商须知前附表”。</w:t>
      </w:r>
    </w:p>
    <w:p>
      <w:pPr>
        <w:pStyle w:val="null3"/>
        <w:jc w:val="left"/>
        <w:outlineLvl w:val="3"/>
      </w:pPr>
      <w:r>
        <w:rPr>
          <w:sz w:val="24"/>
          <w:b/>
        </w:rPr>
        <w:t>二、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jc w:val="left"/>
        <w:outlineLvl w:val="3"/>
      </w:pPr>
      <w:r>
        <w:rPr>
          <w:sz w:val="24"/>
          <w:b/>
        </w:rPr>
        <w:t>三、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jc w:val="left"/>
        <w:outlineLvl w:val="3"/>
      </w:pPr>
      <w:r>
        <w:rPr>
          <w:sz w:val="24"/>
          <w:b/>
        </w:rPr>
        <w:t>四、磋商小组按照磋商文件规定的磋商程序、评分方法和标准进行评审，并独立履行下列职责：</w:t>
      </w:r>
    </w:p>
    <w:p>
      <w:pPr>
        <w:pStyle w:val="null3"/>
        <w:jc w:val="both"/>
      </w:pPr>
      <w:r>
        <w:rPr/>
        <w:t>（一）确认和熟悉理解磋商文件；</w:t>
      </w:r>
    </w:p>
    <w:p>
      <w:pPr>
        <w:pStyle w:val="null3"/>
        <w:jc w:val="both"/>
      </w:pPr>
      <w:r>
        <w:rPr/>
        <w:t>（二）审查供应商响应文件等是否满足磋商文件要求，并作出评价；</w:t>
      </w:r>
    </w:p>
    <w:p>
      <w:pPr>
        <w:pStyle w:val="null3"/>
        <w:jc w:val="both"/>
      </w:pPr>
      <w:r>
        <w:rPr/>
        <w:t>（三）根据需要要求采购组织单位对磋商文件作出解释；根据需要要求供应商对响应文件有关事项作出澄清、说明或者更正；</w:t>
      </w:r>
    </w:p>
    <w:p>
      <w:pPr>
        <w:pStyle w:val="null3"/>
        <w:jc w:val="both"/>
      </w:pPr>
      <w:r>
        <w:rPr/>
        <w:t>（四）推荐成交候选供应商，或者受采购人委托确定成交供应商；</w:t>
      </w:r>
    </w:p>
    <w:p>
      <w:pPr>
        <w:pStyle w:val="null3"/>
        <w:jc w:val="both"/>
      </w:pPr>
      <w:r>
        <w:rPr/>
        <w:t>（五）起草资格审查报告、评审报告并进行签署；</w:t>
      </w:r>
    </w:p>
    <w:p>
      <w:pPr>
        <w:pStyle w:val="null3"/>
        <w:jc w:val="both"/>
      </w:pPr>
      <w:r>
        <w:rPr/>
        <w:t>（六）向采购组织单位、财政部门或者其他监督部门报告非法干预评审工作的行为；</w:t>
      </w:r>
    </w:p>
    <w:p>
      <w:pPr>
        <w:pStyle w:val="null3"/>
        <w:jc w:val="both"/>
      </w:pPr>
      <w:r>
        <w:rPr/>
        <w:t>（七）法律、法规和规章规定的其他职责。</w:t>
      </w:r>
    </w:p>
    <w:p>
      <w:pPr>
        <w:pStyle w:val="null3"/>
        <w:jc w:val="left"/>
        <w:outlineLvl w:val="2"/>
      </w:pPr>
      <w:r>
        <w:rPr>
          <w:sz w:val="28"/>
          <w:b/>
        </w:rPr>
        <w:t>4.3 评审程序</w:t>
      </w:r>
    </w:p>
    <w:p>
      <w:pPr>
        <w:pStyle w:val="null3"/>
        <w:jc w:val="left"/>
        <w:outlineLvl w:val="3"/>
      </w:pPr>
      <w:r>
        <w:rPr>
          <w:sz w:val="24"/>
          <w:b/>
        </w:rPr>
        <w:t>4.3.1确认和熟悉理解磋商文件</w:t>
      </w:r>
    </w:p>
    <w:p>
      <w:pPr>
        <w:pStyle w:val="null3"/>
      </w:pPr>
      <w:r>
        <w:rPr/>
        <w:t>磋商小组正式评审前，应当对磋商文件进行确认和熟悉理解，内容主要包括磋商文件中供应商资格条件要求、采购项目技术、服务和商务要求、磋商办法和标准、政府采购政策要求以及政府采购合同主要条款等。</w:t>
      </w:r>
    </w:p>
    <w:p>
      <w:pPr>
        <w:pStyle w:val="null3"/>
        <w:jc w:val="left"/>
        <w:outlineLvl w:val="3"/>
      </w:pPr>
      <w:r>
        <w:rPr>
          <w:sz w:val="24"/>
          <w:b/>
        </w:rPr>
        <w:t>4.3.2供应商初审</w:t>
      </w:r>
    </w:p>
    <w:p>
      <w:pPr>
        <w:pStyle w:val="null3"/>
        <w:jc w:val="both"/>
      </w:pPr>
      <w:r>
        <w:rPr/>
        <w:t>一、资格性审查</w:t>
      </w:r>
    </w:p>
    <w:p>
      <w:pPr>
        <w:pStyle w:val="null3"/>
        <w:jc w:val="both"/>
      </w:pPr>
      <w:r>
        <w:rPr/>
        <w:t>响应文件解密完成后，由磋商小组对提交响应文件的供应商进行资格性审查。磋商小组在资格审查过程中，磋商小组成员对供应商资格是否符合规定存在争议的，应当以少数服从多数的原则处理，但不得违反政府采购法和竞争性磋商文件规定。</w:t>
      </w:r>
    </w:p>
    <w:p>
      <w:pPr>
        <w:pStyle w:val="null3"/>
        <w:jc w:val="both"/>
      </w:pPr>
      <w:r>
        <w:rPr/>
        <w:t>（一）一般资格审查</w:t>
      </w:r>
    </w:p>
    <w:p>
      <w:pPr>
        <w:pStyle w:val="null3"/>
      </w:pPr>
      <w:r>
        <w:rPr/>
        <w:t>详见磋商文件第一章“1.2.2一般资格要求”</w:t>
      </w:r>
    </w:p>
    <w:p>
      <w:pPr>
        <w:pStyle w:val="null3"/>
        <w:jc w:val="both"/>
      </w:pPr>
      <w:r>
        <w:rPr/>
        <w:t>（二）需求单位要求的资格审查：</w:t>
      </w:r>
    </w:p>
    <w:p>
      <w:pPr>
        <w:pStyle w:val="null3"/>
        <w:jc w:val="both"/>
      </w:pPr>
      <w:r>
        <w:rPr/>
        <w:t>详见磋商文件第一章“1.2.3需求单位要求的资格条件”</w:t>
      </w:r>
    </w:p>
    <w:p>
      <w:pPr>
        <w:pStyle w:val="null3"/>
        <w:jc w:val="left"/>
      </w:pPr>
      <w:r>
        <w:rPr/>
        <w:t>（三）信用查询</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jc w:val="both"/>
      </w:pPr>
      <w:r>
        <w:rPr/>
        <w:t>二、实质性要求审核</w:t>
      </w:r>
    </w:p>
    <w:p>
      <w:pPr>
        <w:pStyle w:val="null3"/>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pPr>
      <w:r>
        <w:rPr/>
        <w:t>在实质性审查过程中，如果出现磋商小组成员意见不一致的情况，按照少数服从多数的原则确定，但不得违背政府采购基本原则和磋商文件规定。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jc w:val="left"/>
        <w:outlineLvl w:val="3"/>
      </w:pPr>
      <w:r>
        <w:rPr>
          <w:sz w:val="24"/>
          <w:b/>
        </w:rPr>
        <w:t>4.3.3解释、澄清有关问题</w:t>
      </w:r>
    </w:p>
    <w:p>
      <w:pPr>
        <w:pStyle w:val="null3"/>
        <w:jc w:val="both"/>
      </w:pPr>
      <w:r>
        <w:rPr/>
        <w:t>一、磋商小组对响应文件中含义不明确、同类问题表述不一致或者有明显文字和计算错误的内容，应当通过项目电子化交易系统要求供应商作出必要的澄清、说明或更正，并给予供应商必要的反馈时间。磋商小组应当积极履行澄清、说明或者更正的职责，不得滥用权力。</w:t>
      </w:r>
    </w:p>
    <w:p>
      <w:pPr>
        <w:pStyle w:val="null3"/>
        <w:jc w:val="both"/>
      </w:pPr>
      <w:r>
        <w:rPr/>
        <w:t>二、供应商应当按磋商小组的要求进行澄清、说明或者更正。代理机构宣布评审结束之前，供应商应通过项目电子化交易系统随时关注评审消息提示，及时响应磋商小组发出的澄清、说明或更正要求。供应商未能及时响应的，自行承担不利后果。</w:t>
      </w:r>
    </w:p>
    <w:p>
      <w:pPr>
        <w:pStyle w:val="null3"/>
        <w:jc w:val="both"/>
      </w:pPr>
      <w:r>
        <w:rPr/>
        <w:t>供应商的澄清、说明或者更正不得超出投标文件的范围或者改变磋商文件的实质性内容。澄清、说明或者更正不影响响应文件的效力，有效的澄清、说明或者更正材料是投标文件的组成部分。</w:t>
      </w:r>
    </w:p>
    <w:p>
      <w:pPr>
        <w:pStyle w:val="null3"/>
        <w:jc w:val="both"/>
      </w:pPr>
      <w:r>
        <w:rPr/>
        <w:t>三、磋商中，供应商经澄清、补充或修改其磋商响应文件仍然无法实质性响应磋商文件要求的，磋商小组有权终止其磋商资格，但应明确告知供应商代表被终止磋商资格的原因。</w:t>
      </w:r>
    </w:p>
    <w:p>
      <w:pPr>
        <w:pStyle w:val="null3"/>
        <w:jc w:val="left"/>
        <w:outlineLvl w:val="3"/>
      </w:pPr>
      <w:r>
        <w:rPr>
          <w:sz w:val="24"/>
          <w:b/>
        </w:rPr>
        <w:t>4.3.4磋商</w:t>
      </w:r>
    </w:p>
    <w:p>
      <w:pPr>
        <w:pStyle w:val="null3"/>
        <w:jc w:val="both"/>
      </w:pPr>
      <w:r>
        <w:rPr/>
        <w:t>一、磋商小组所有成员集中通过项目电子化交易系统，按照磋商文件的规定与通过审查的合格供应商“一对一”进行磋商。参加磋商的供应商代表应为磋商响应文件中的法定代表人授权代表。</w:t>
      </w:r>
    </w:p>
    <w:p>
      <w:pPr>
        <w:pStyle w:val="null3"/>
        <w:jc w:val="both"/>
      </w:pPr>
      <w:r>
        <w:rPr/>
        <w:t>二、磋商小组针对报价、技术条件、商务条件等内容，可以自行决定进行最多不超过三轮的磋商，每轮磋商均应对所有合格供应商平等进行。如在本文件通知的磋商时间内无法完成磋商的，磋商小组可以决定另行安排二次磋商，但应将下次磋商的时间、地点准确告知供应商代表。磋商中，磋商的任何一方不得透露与磋商有关的其他供应商的技术资料、价格和其他信息。</w:t>
      </w:r>
    </w:p>
    <w:p>
      <w:pPr>
        <w:pStyle w:val="null3"/>
        <w:jc w:val="both"/>
      </w:pPr>
      <w:r>
        <w:rPr/>
        <w:t>三、磋商过程中，供应商应随时关注项目电子化交易系统信息，及时参与在线磋商。磋商结束前，供应商应随时关注系统提示，及时通过项目电子化交易系统在线响应协商小组发出的磋商邀请，签章并确认提交成功。未在规定时间内回复将不能提交，视为供应商自行放弃该轮协商，其损失由供应商承担。</w:t>
      </w:r>
    </w:p>
    <w:p>
      <w:pPr>
        <w:pStyle w:val="null3"/>
        <w:jc w:val="both"/>
      </w:pPr>
      <w:r>
        <w:rPr/>
        <w:t>供应商可以根据磋商情况决定修改报价和其他技术、商务承诺的，通过项目电子化交易系统提交磋商小组。“供应商响应内容”作为响应文件的一部分，应加盖供应商（法定名称）电子印章，否则无效。</w:t>
      </w:r>
    </w:p>
    <w:p>
      <w:pPr>
        <w:pStyle w:val="null3"/>
        <w:jc w:val="left"/>
        <w:outlineLvl w:val="3"/>
      </w:pPr>
      <w:r>
        <w:rPr>
          <w:sz w:val="24"/>
          <w:b/>
        </w:rPr>
        <w:t>4.3.5最后报价</w:t>
      </w:r>
    </w:p>
    <w:p>
      <w:pPr>
        <w:pStyle w:val="null3"/>
        <w:jc w:val="both"/>
      </w:pPr>
      <w:r>
        <w:rPr/>
        <w:t>一、供应商应随时关注项目电子化交易系统信息提醒，登录项目电子化交易系统，通过“等候大厅”进行报价并签章后提交。</w:t>
      </w:r>
    </w:p>
    <w:p>
      <w:pPr>
        <w:pStyle w:val="null3"/>
        <w:jc w:val="both"/>
      </w:pPr>
      <w:r>
        <w:rPr/>
        <w:t>二、磋商过程结束后，磋商小组应通知供应商代表磋商终止，并要求供应商代表在规定时间内同时提交最后报价文件（最后报价文件应含分项报价表）。提交最后报价的供应商不得少于3家。</w:t>
      </w:r>
    </w:p>
    <w:p>
      <w:pPr>
        <w:pStyle w:val="null3"/>
        <w:jc w:val="both"/>
      </w:pPr>
      <w:r>
        <w:rPr/>
        <w:t>最后报价是供应商响应文件的有效组成部分。符合《政府采购竞争性磋商采购方式管理暂行办法》第三条第四项：市场竞争不充分的科研项目，以及需要扶持的科技成果转化项目情形的，提交最后报价的供应商可以为2家。</w:t>
      </w:r>
    </w:p>
    <w:p>
      <w:pPr>
        <w:pStyle w:val="null3"/>
        <w:jc w:val="both"/>
      </w:pPr>
      <w:r>
        <w:rPr/>
        <w:t>三、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针对其方案提交最后报价。</w:t>
      </w:r>
    </w:p>
    <w:p>
      <w:pPr>
        <w:pStyle w:val="null3"/>
        <w:jc w:val="both"/>
      </w:pPr>
      <w:r>
        <w:rPr/>
        <w:t>四、供应商最后报价截止时间后，磋商小组将针对供应商最后承诺的价格、技术及商务条件进行评审。</w:t>
      </w:r>
    </w:p>
    <w:p>
      <w:pPr>
        <w:pStyle w:val="null3"/>
        <w:jc w:val="both"/>
      </w:pPr>
      <w:r>
        <w:rPr/>
        <w:t>五、已提交响应文件的供应商，在提交最后报价之前，可以根据磋商情况有权退出磋商。</w:t>
      </w:r>
    </w:p>
    <w:p>
      <w:pPr>
        <w:pStyle w:val="null3"/>
        <w:jc w:val="left"/>
        <w:outlineLvl w:val="3"/>
      </w:pPr>
      <w:r>
        <w:rPr>
          <w:sz w:val="24"/>
          <w:b/>
        </w:rPr>
        <w:t>4.3.6比较与评价</w:t>
      </w:r>
    </w:p>
    <w:p>
      <w:pPr>
        <w:pStyle w:val="null3"/>
        <w:jc w:val="both"/>
      </w:pPr>
      <w:r>
        <w:rPr/>
        <w:t>磋商小组应当按照磋商文件规定的评审原则及评分标准，对审查合格的响应文件进行商务和技术评估，综合比较和评价。</w:t>
      </w:r>
    </w:p>
    <w:p>
      <w:pPr>
        <w:pStyle w:val="null3"/>
        <w:jc w:val="left"/>
        <w:outlineLvl w:val="3"/>
      </w:pPr>
      <w:r>
        <w:rPr>
          <w:sz w:val="24"/>
          <w:b/>
        </w:rPr>
        <w:t>4.3.7推荐成交候选供应商</w:t>
      </w:r>
    </w:p>
    <w:p>
      <w:pPr>
        <w:pStyle w:val="null3"/>
        <w:jc w:val="both"/>
      </w:pPr>
      <w:r>
        <w:rPr/>
        <w:t>磋商小组按照评审得分由高到低顺序推荐3名以上成交候选供应商。</w:t>
      </w:r>
    </w:p>
    <w:p>
      <w:pPr>
        <w:pStyle w:val="null3"/>
        <w:jc w:val="both"/>
      </w:pPr>
      <w:r>
        <w:rPr/>
        <w:t>最低报价的供应商并不保证成为成交候选供应商。</w:t>
      </w:r>
    </w:p>
    <w:p>
      <w:pPr>
        <w:pStyle w:val="null3"/>
        <w:jc w:val="left"/>
        <w:outlineLvl w:val="3"/>
      </w:pPr>
      <w:r>
        <w:rPr>
          <w:sz w:val="24"/>
          <w:b/>
        </w:rPr>
        <w:t>4.3.8编写评审报告</w:t>
      </w:r>
    </w:p>
    <w:p>
      <w:pPr>
        <w:pStyle w:val="null3"/>
        <w:jc w:val="both"/>
      </w:pPr>
      <w:r>
        <w:rPr/>
        <w:t>磋商小组在项目电子化交易系统中编制评审情况，生成评审报告。评审报告是磋商小组根据全体成员签字的原始评审记录和评审结果编写的报告。</w:t>
      </w:r>
    </w:p>
    <w:p>
      <w:pPr>
        <w:pStyle w:val="null3"/>
        <w:jc w:val="both"/>
      </w:pPr>
      <w:r>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记录相关情况。磋商小组成员拒绝在评审报告上签字又不书面说明其不同意见和理由的，视为同意评审报告。</w:t>
      </w:r>
    </w:p>
    <w:p>
      <w:pPr>
        <w:pStyle w:val="null3"/>
        <w:jc w:val="left"/>
        <w:outlineLvl w:val="3"/>
      </w:pPr>
      <w:r>
        <w:rPr>
          <w:sz w:val="24"/>
          <w:b/>
        </w:rPr>
        <w:t>4.3.9磋商和评审过程保密原则</w:t>
      </w:r>
    </w:p>
    <w:p>
      <w:pPr>
        <w:pStyle w:val="null3"/>
        <w:jc w:val="both"/>
      </w:pPr>
      <w:r>
        <w:rPr/>
        <w:t>进入本项目磋商和评审程序后，直到与成交供应商签订合同止，凡与本次磋商有关的人员对属于审查、澄清、比较和评价供应商有关文件的一切事宜以及授予成交意向等，均不得向供应商或其他无关人员透露。</w:t>
      </w:r>
    </w:p>
    <w:p>
      <w:pPr>
        <w:pStyle w:val="null3"/>
        <w:jc w:val="left"/>
        <w:outlineLvl w:val="3"/>
      </w:pPr>
      <w:r>
        <w:rPr>
          <w:sz w:val="24"/>
          <w:b/>
        </w:rPr>
        <w:t>4.3.10磋商和评审过程保密原则</w:t>
      </w:r>
    </w:p>
    <w:p>
      <w:pPr>
        <w:pStyle w:val="null3"/>
        <w:jc w:val="both"/>
      </w:pPr>
      <w:r>
        <w:rPr/>
        <w:t>进入本项目磋商和评审程序后，直到采购代理机构与成交供应商签订合同止，凡与本次磋商有关的人员对属于审查、澄清、比较和评价供应商有关文件的一切事宜以及授予成交意向等，均不得向供应商或其他无关人员透露。</w:t>
      </w:r>
    </w:p>
    <w:p>
      <w:pPr>
        <w:pStyle w:val="null3"/>
        <w:jc w:val="left"/>
        <w:outlineLvl w:val="2"/>
      </w:pPr>
      <w:r>
        <w:rPr>
          <w:sz w:val="28"/>
          <w:b/>
        </w:rPr>
        <w:t>4.4 评审原则及评分标准</w:t>
      </w:r>
    </w:p>
    <w:p>
      <w:pPr>
        <w:pStyle w:val="null3"/>
        <w:jc w:val="both"/>
      </w:pPr>
      <w:r>
        <w:rPr/>
        <w:t>经最后报价的磋商响应文件，磋商小组将根据以下的评审原则和办法进行评审。</w:t>
      </w:r>
    </w:p>
    <w:p>
      <w:pPr>
        <w:pStyle w:val="null3"/>
        <w:jc w:val="left"/>
        <w:outlineLvl w:val="3"/>
      </w:pPr>
      <w:r>
        <w:rPr>
          <w:sz w:val="24"/>
          <w:b/>
        </w:rPr>
        <w:t>一、评审原则</w:t>
      </w:r>
    </w:p>
    <w:p>
      <w:pPr>
        <w:pStyle w:val="null3"/>
        <w:jc w:val="both"/>
      </w:pPr>
      <w:r>
        <w:rPr/>
        <w:t>（一）磋商小组将遵循公开、公平、公正的原则，对所有提交最后报价的供应商的响应评估都采用相同的程序和标准；</w:t>
      </w:r>
    </w:p>
    <w:p>
      <w:pPr>
        <w:pStyle w:val="null3"/>
        <w:jc w:val="both"/>
      </w:pPr>
      <w:r>
        <w:rPr/>
        <w:t>（二）评审参照政府采购有关法律、法规以及本磋商文件规定的评审办法以及经磋商确定最终的采购需求进行；</w:t>
      </w:r>
    </w:p>
    <w:p>
      <w:pPr>
        <w:pStyle w:val="null3"/>
        <w:jc w:val="both"/>
      </w:pPr>
      <w:r>
        <w:rPr/>
        <w:t>（三）发挥政府采购的政策导向作用，支持中小企业，优先采购节能、环保产品；</w:t>
      </w:r>
    </w:p>
    <w:p>
      <w:pPr>
        <w:pStyle w:val="null3"/>
        <w:jc w:val="both"/>
      </w:pPr>
      <w:r>
        <w:rPr/>
        <w:t>（四）维护招、投标双方的合法权益。</w:t>
      </w:r>
    </w:p>
    <w:p>
      <w:pPr>
        <w:pStyle w:val="null3"/>
        <w:jc w:val="left"/>
        <w:outlineLvl w:val="3"/>
      </w:pPr>
      <w:r>
        <w:rPr>
          <w:sz w:val="24"/>
          <w:b/>
        </w:rPr>
        <w:t>二、评分标准</w:t>
      </w:r>
    </w:p>
    <w:p>
      <w:pPr>
        <w:pStyle w:val="null3"/>
        <w:jc w:val="both"/>
      </w:pPr>
      <w:r>
        <w:rPr/>
        <w:t>（一）评分分制</w:t>
      </w:r>
    </w:p>
    <w:p>
      <w:pPr>
        <w:pStyle w:val="null3"/>
        <w:jc w:val="both"/>
      </w:pPr>
      <w:r>
        <w:rPr/>
        <w:t>本项目评审采用综合评分法，百分制，标准分为100分（不含加分）。</w:t>
      </w:r>
    </w:p>
    <w:p>
      <w:pPr>
        <w:pStyle w:val="null3"/>
        <w:jc w:val="both"/>
      </w:pPr>
      <w:r>
        <w:rPr/>
        <w:t>（二）评分细则</w:t>
      </w:r>
    </w:p>
    <w:p>
      <w:pPr>
        <w:pStyle w:val="null3"/>
        <w:jc w:val="both"/>
      </w:pPr>
      <w:r>
        <w:rPr/>
        <w:t>磋商小组根据本细则所列评分标准，对各供应商进行独立评分。各评委对供应商的评分进行算术平均得出供应商最终得分，并据此对供应商进行排名推荐成交候选人。</w:t>
      </w:r>
    </w:p>
    <w:p>
      <w:pPr>
        <w:pStyle w:val="null3"/>
        <w:jc w:val="both"/>
      </w:pPr>
      <w:r>
        <w:rPr/>
        <w:t>评审中应遵循“质优价廉者优先”的综合评审基本原则。</w:t>
      </w:r>
    </w:p>
    <w:p>
      <w:pPr>
        <w:pStyle w:val="null3"/>
        <w:jc w:val="both"/>
      </w:pPr>
      <w:r>
        <w:rPr/>
        <w:t>1、根据财库[2019]9号、18号、19号文，节能环保产品是指纳入政府采购节能产品、环境标志产品实施品目清单并依据品目清单提供认证证书的产品。</w:t>
      </w:r>
    </w:p>
    <w:p>
      <w:pPr>
        <w:pStyle w:val="null3"/>
        <w:jc w:val="both"/>
      </w:pPr>
      <w:r>
        <w:rPr/>
        <w:t>2、中小企业是指符合《政府采购促进中小企业发展管理办法》（财库﹝2020﹞46 号） 及《财部关于进一步加大政府采购支持中小企业力度的通知》（财库〔2022〕19号）规定的中型、小型和微型企业，且必须填写并提供本磋商文件所附《中小企业声明函》。</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注：此条款适用于非专门面向中小企业的采购项目。残疾人福利性企业本身为中小企业的，不重复扣除。</w:t>
      </w:r>
    </w:p>
    <w:p>
      <w:pPr>
        <w:pStyle w:val="null3"/>
        <w:jc w:val="left"/>
      </w:pPr>
      <w:r>
        <w:rPr/>
        <w:t>3、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jc w:val="left"/>
      </w:pPr>
      <w:r>
        <w:rPr/>
        <w:t>注：本国产品标准适用于货物，包括政府采购货物项目和服务项目中涉及的货物</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技术部分90.00分</w:t>
            </w:r>
          </w:p>
          <w:p>
            <w:pPr>
              <w:pStyle w:val="null3"/>
            </w:pPr>
            <w:r>
              <w:rPr/>
              <w:t>报价得分10.00分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保密能力水平</w:t>
            </w:r>
          </w:p>
        </w:tc>
        <w:tc>
          <w:tcPr>
            <w:tcW w:type="dxa" w:w="2769"/>
          </w:tcPr>
          <w:p>
            <w:pPr>
              <w:pStyle w:val="null3"/>
            </w:pPr>
            <w:r>
              <w:rPr/>
              <w:t>有国家保密管理部门保密等级认定或者持续5年服务过国家部委、副部级及以上单位，并提供保密等级认定材料或服务承诺书的得分25分。未得到国家保密管理部门保密等级认定，未持续5年服务过国家部委、副部级及以上单位，但5年内服务过国企央企总部并能提供服务承诺书的得分15分。未得到国家保密管理部门保密等级认定，未持续5年服务过国家部委、副部级及以上单位，未5年内服务过国企央企总部，但5年内服务过国企央企子公司并能够提供服务承诺书的得分5分。没有保密等级认定且5年内未服务过国家部委、副部级及以上单位、国企央企总部及其子公司的为0分。</w:t>
            </w:r>
          </w:p>
        </w:tc>
        <w:tc>
          <w:tcPr>
            <w:tcW w:type="dxa" w:w="692"/>
          </w:tcPr>
          <w:p>
            <w:pPr>
              <w:pStyle w:val="null3"/>
              <w:jc w:val="right"/>
            </w:pPr>
            <w:r>
              <w:rPr/>
              <w:t>25.00</w:t>
            </w:r>
          </w:p>
        </w:tc>
        <w:tc>
          <w:tcPr>
            <w:tcW w:type="dxa" w:w="692"/>
          </w:tcPr>
          <w:p>
            <w:pPr>
              <w:pStyle w:val="null3"/>
            </w:pPr>
            <w:r>
              <w:rPr/>
              <w:t>客观</w:t>
            </w:r>
          </w:p>
        </w:tc>
      </w:tr>
      <w:tr>
        <w:tc>
          <w:tcPr>
            <w:tcW w:type="dxa" w:w="692"/>
            <w:vMerge/>
          </w:tcPr>
          <w:p/>
        </w:tc>
        <w:tc>
          <w:tcPr>
            <w:tcW w:type="dxa" w:w="2076"/>
          </w:tcPr>
          <w:p>
            <w:pPr>
              <w:pStyle w:val="null3"/>
            </w:pPr>
            <w:r>
              <w:rPr/>
              <w:t>项目管理人员</w:t>
            </w:r>
          </w:p>
        </w:tc>
        <w:tc>
          <w:tcPr>
            <w:tcW w:type="dxa" w:w="2769"/>
          </w:tcPr>
          <w:p>
            <w:pPr>
              <w:pStyle w:val="null3"/>
            </w:pPr>
            <w:r>
              <w:rPr/>
              <w:t>项目管理人员安排分工合理，岗位职责划分明确，有详细的岗位职责说明，针对性强，得10分；项目管理人员安排岗位职责划分明确，有常规、通用的岗位职责说明，得5分；项目管理人员团队人员分工不合理，岗位职责划分不清晰，职责说明重复、混乱，得3分；未提供，得0分。</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租赁面积及地理位置因素</w:t>
            </w:r>
          </w:p>
        </w:tc>
        <w:tc>
          <w:tcPr>
            <w:tcW w:type="dxa" w:w="2769"/>
          </w:tcPr>
          <w:p>
            <w:pPr>
              <w:pStyle w:val="null3"/>
            </w:pPr>
            <w:r>
              <w:rPr/>
              <w:t>地理位置按照距离人民银行总行(北京市西城区成方街33号2号楼)的距离计分，具体参考地图软件提供的步行距离数值。所有供应商中，能够在同一楼层提供713.95平方米以上的办公用房同时与人民银行总行(北京市西城区成方街33号2号楼) 的步行距离在1000米内得分25分；若不能在同一楼层提供713.95平方米以上的办公用房，但与人民银行总行(北京市西城区成方街33号2号楼)的步行距离在1000米内得分15分 ;若能够在同一楼层提供713.95平方米以上的办公用房同时与人民银行总行(北京市西城区成方街33号2号楼)的步行距离在1000-2000米，得分10分；若不能在同一楼层提供713.95平方米以上的办公用房，但与人民银行总行(北京市西城区成方街33号2号楼)的步行距离在1000-2000米内，得分5分；与人民银行总行(北京市西城区成方街33号2号楼)的步行距离超过2000米得分0分。</w:t>
            </w:r>
          </w:p>
        </w:tc>
        <w:tc>
          <w:tcPr>
            <w:tcW w:type="dxa" w:w="692"/>
          </w:tcPr>
          <w:p>
            <w:pPr>
              <w:pStyle w:val="null3"/>
              <w:jc w:val="right"/>
            </w:pPr>
            <w:r>
              <w:rPr/>
              <w:t>25.00</w:t>
            </w:r>
          </w:p>
        </w:tc>
        <w:tc>
          <w:tcPr>
            <w:tcW w:type="dxa" w:w="692"/>
          </w:tcPr>
          <w:p>
            <w:pPr>
              <w:pStyle w:val="null3"/>
            </w:pPr>
            <w:r>
              <w:rPr/>
              <w:t>客观</w:t>
            </w:r>
          </w:p>
        </w:tc>
      </w:tr>
      <w:tr>
        <w:tc>
          <w:tcPr>
            <w:tcW w:type="dxa" w:w="692"/>
            <w:vMerge/>
          </w:tcPr>
          <w:p/>
        </w:tc>
        <w:tc>
          <w:tcPr>
            <w:tcW w:type="dxa" w:w="2076"/>
          </w:tcPr>
          <w:p>
            <w:pPr>
              <w:pStyle w:val="null3"/>
            </w:pPr>
            <w:r>
              <w:rPr/>
              <w:t>应急保障方案</w:t>
            </w:r>
          </w:p>
        </w:tc>
        <w:tc>
          <w:tcPr>
            <w:tcW w:type="dxa" w:w="2769"/>
          </w:tcPr>
          <w:p>
            <w:pPr>
              <w:pStyle w:val="null3"/>
            </w:pPr>
            <w:r>
              <w:rPr/>
              <w:t>投标人提供应急处理方案及异常处理方案，包括但不限于：高效保证应急和特殊需求等。方案内容详实，考虑周全，切实可行，针对性强的得10分；方案内容完整，基本考虑周全，基本切实可行，具备一定针对性的得5分；方案内容不完整，考虑欠周全，落实不可行，针对性不强的得3分；未提供方案或提供应急保障方案存在重大缺陷，得0分。</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租赁条件稳定</w:t>
            </w:r>
          </w:p>
        </w:tc>
        <w:tc>
          <w:tcPr>
            <w:tcW w:type="dxa" w:w="2769"/>
          </w:tcPr>
          <w:p>
            <w:pPr>
              <w:pStyle w:val="null3"/>
            </w:pPr>
            <w:r>
              <w:rPr/>
              <w:t>供应商能提供5年及以上出租周期，且能够一签三年的，得分20分，供应商能提供4年出租周期的，且能够一签三年的，得分15分。供应商能提供3年出租周期，且能够一签三年的，得分10分。供应商能提供2年出租周期的得分5分。供应商仅能提供1年出租周期的得分0分。供应商需提供可供租赁周期的承诺书。</w:t>
            </w:r>
          </w:p>
        </w:tc>
        <w:tc>
          <w:tcPr>
            <w:tcW w:type="dxa" w:w="692"/>
          </w:tcPr>
          <w:p>
            <w:pPr>
              <w:pStyle w:val="null3"/>
              <w:jc w:val="right"/>
            </w:pPr>
            <w:r>
              <w:rPr/>
              <w:t>20.00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本次价格评分统一采用低价优先法计算，即满足招标文件要求且投标价格最低的投标报价为评标基准价 ,其价格分为满分。其他投标人的价格评分统一按照下列公式计算：价格评分=(评标基准价/投标报价 )×10。</w:t>
            </w:r>
          </w:p>
        </w:tc>
        <w:tc>
          <w:tcPr>
            <w:tcW w:type="dxa" w:w="692"/>
          </w:tcPr>
          <w:p>
            <w:pPr>
              <w:pStyle w:val="null3"/>
              <w:jc w:val="right"/>
            </w:pPr>
            <w:r>
              <w:rPr/>
              <w:t>10.00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tc>
        <w:tc>
          <w:tcPr>
            <w:tcW w:type="dxa" w:w="831"/>
          </w:tcPr>
          <w:p>
            <w:pPr>
              <w:pStyle w:val="null3"/>
              <w:jc w:val="right"/>
            </w:pPr>
            <w:r>
              <w:rPr/>
              <w:t>10.00%</w:t>
            </w:r>
          </w:p>
        </w:tc>
        <w:tc>
          <w:tcPr>
            <w:tcW w:type="dxa" w:w="3322"/>
          </w:tcPr>
          <w:p>
            <w:pPr>
              <w:pStyle w:val="null3"/>
            </w:pPr>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bl>
    <w:p>
      <w:pPr>
        <w:pStyle w:val="null3"/>
        <w:jc w:val="both"/>
      </w:pPr>
      <w:r>
        <w:rPr/>
        <w:t>说明：</w:t>
      </w:r>
    </w:p>
    <w:p>
      <w:pPr>
        <w:pStyle w:val="null3"/>
        <w:jc w:val="both"/>
      </w:pPr>
      <w:r>
        <w:rPr/>
        <w:t>1、所有的评分、价格等涉及小数计算，先四舍五入再计算；</w:t>
      </w:r>
    </w:p>
    <w:p>
      <w:pPr>
        <w:pStyle w:val="null3"/>
        <w:jc w:val="both"/>
      </w:pPr>
      <w:r>
        <w:rPr/>
        <w:t>2、评分标准中要求提供的证明材料须清晰可辨。</w:t>
      </w:r>
    </w:p>
    <w:p>
      <w:pPr>
        <w:pStyle w:val="null3"/>
        <w:jc w:val="left"/>
        <w:outlineLvl w:val="2"/>
      </w:pPr>
      <w:r>
        <w:rPr>
          <w:sz w:val="28"/>
          <w:b/>
        </w:rPr>
        <w:t>4.5 终止采购活动情形</w:t>
      </w:r>
    </w:p>
    <w:p>
      <w:pPr>
        <w:pStyle w:val="null3"/>
        <w:jc w:val="both"/>
      </w:pPr>
      <w:r>
        <w:rPr/>
        <w:t>出现下列情形之一的，采购人或者代理机构应当终止竞争性磋商采购活动，发布项目终止公告并说明原因，重新开展采购活动：</w:t>
      </w:r>
    </w:p>
    <w:p>
      <w:pPr>
        <w:pStyle w:val="null3"/>
        <w:jc w:val="both"/>
      </w:pPr>
      <w:r>
        <w:rPr/>
        <w:t>（一）因情况变化，不再符合规定的竞争性磋商采购方式适用情形的；</w:t>
      </w:r>
    </w:p>
    <w:p>
      <w:pPr>
        <w:pStyle w:val="null3"/>
        <w:jc w:val="both"/>
      </w:pPr>
      <w:r>
        <w:rPr/>
        <w:t>（二）出现影响采购公正的违法、违规行为的；</w:t>
      </w:r>
    </w:p>
    <w:p>
      <w:pPr>
        <w:pStyle w:val="null3"/>
        <w:jc w:val="both"/>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sz w:val="28"/>
          <w:b/>
        </w:rPr>
        <w:t>4.6 确定成交供应商</w:t>
      </w:r>
    </w:p>
    <w:p>
      <w:pPr>
        <w:pStyle w:val="null3"/>
        <w:jc w:val="both"/>
      </w:pPr>
      <w:r>
        <w:rPr/>
        <w:t>详见“供应商须知前格式”中“确认成交方式”。</w:t>
      </w:r>
    </w:p>
    <w:p>
      <w:pPr>
        <w:pStyle w:val="null3"/>
      </w:pPr>
      <w:r>
        <w:rPr/>
        <w:t xml:space="preserve"> </w:t>
      </w:r>
    </w:p>
    <w:p>
      <w:pPr>
        <w:pStyle w:val="null3"/>
        <w:jc w:val="center"/>
        <w:outlineLvl w:val="1"/>
      </w:pPr>
      <w:r>
        <w:rPr>
          <w:sz w:val="36"/>
          <w:b/>
        </w:rPr>
        <w:t>第五章 响应文件格式</w:t>
      </w:r>
    </w:p>
    <w:p>
      <w:pPr>
        <w:pStyle w:val="null3"/>
        <w:jc w:val="left"/>
      </w:pPr>
      <w:r>
        <w:rPr/>
        <w:t>分册名称：投标响应文件分册</w:t>
      </w:r>
    </w:p>
    <w:p>
      <w:pPr>
        <w:pStyle w:val="null3"/>
        <w:ind w:firstLine="960"/>
        <w:jc w:val="left"/>
      </w:pPr>
      <w:r>
        <w:rPr/>
        <w:t>详见附件：投标（响应）文件封面</w:t>
      </w:r>
    </w:p>
    <w:p>
      <w:pPr>
        <w:pStyle w:val="null3"/>
        <w:ind w:firstLine="960"/>
        <w:jc w:val="left"/>
      </w:pPr>
      <w:r>
        <w:rPr/>
        <w:t>详见附件：投标（响应）函</w:t>
      </w:r>
    </w:p>
    <w:p>
      <w:pPr>
        <w:pStyle w:val="null3"/>
        <w:ind w:firstLine="960"/>
        <w:jc w:val="left"/>
      </w:pPr>
      <w:r>
        <w:rPr/>
        <w:t>详见附件：开标（报价）一览表</w:t>
      </w:r>
    </w:p>
    <w:p>
      <w:pPr>
        <w:pStyle w:val="null3"/>
        <w:ind w:firstLine="960"/>
        <w:jc w:val="left"/>
      </w:pPr>
      <w:r>
        <w:rPr/>
        <w:t>详见附件：法定代表人授权书、法定代表人和被授权人身份证明</w:t>
      </w:r>
    </w:p>
    <w:p>
      <w:pPr>
        <w:pStyle w:val="null3"/>
        <w:ind w:firstLine="960"/>
        <w:jc w:val="left"/>
      </w:pPr>
      <w:r>
        <w:rPr/>
        <w:t>详见附件：分项报价表</w:t>
      </w:r>
    </w:p>
    <w:p>
      <w:pPr>
        <w:pStyle w:val="null3"/>
        <w:ind w:firstLine="960"/>
        <w:jc w:val="left"/>
      </w:pPr>
      <w:r>
        <w:rPr/>
        <w:t>详见附件：服务说明一览表</w:t>
      </w:r>
    </w:p>
    <w:p>
      <w:pPr>
        <w:pStyle w:val="null3"/>
        <w:ind w:firstLine="960"/>
        <w:jc w:val="left"/>
      </w:pPr>
      <w:r>
        <w:rPr/>
        <w:t>详见附件：采购需求及技术要求、服务需求逐项应答表</w:t>
      </w:r>
    </w:p>
    <w:p>
      <w:pPr>
        <w:pStyle w:val="null3"/>
        <w:ind w:firstLine="960"/>
        <w:jc w:val="left"/>
      </w:pPr>
      <w:r>
        <w:rPr/>
        <w:t>详见附件：合同条款逐项应答表</w:t>
      </w:r>
    </w:p>
    <w:p>
      <w:pPr>
        <w:pStyle w:val="null3"/>
        <w:ind w:firstLine="960"/>
        <w:jc w:val="left"/>
      </w:pPr>
      <w:r>
        <w:rPr/>
        <w:t>详见附件：项目实施人员情况表</w:t>
      </w:r>
    </w:p>
    <w:p>
      <w:pPr>
        <w:pStyle w:val="null3"/>
        <w:ind w:firstLine="960"/>
        <w:jc w:val="left"/>
      </w:pPr>
      <w:r>
        <w:rPr/>
        <w:t>详见附件：同类业务案例介绍</w:t>
      </w:r>
    </w:p>
    <w:p>
      <w:pPr>
        <w:pStyle w:val="null3"/>
        <w:ind w:firstLine="960"/>
        <w:jc w:val="left"/>
      </w:pPr>
      <w:r>
        <w:rPr/>
        <w:t>详见附件：售后、维护服务与质量保证承诺</w:t>
      </w:r>
    </w:p>
    <w:p>
      <w:pPr>
        <w:pStyle w:val="null3"/>
        <w:ind w:firstLine="960"/>
        <w:jc w:val="left"/>
      </w:pPr>
      <w:r>
        <w:rPr/>
        <w:t>详见附件：投标人（供应商）资格声明文件</w:t>
      </w:r>
    </w:p>
    <w:p>
      <w:pPr>
        <w:pStyle w:val="null3"/>
        <w:ind w:firstLine="960"/>
        <w:jc w:val="left"/>
      </w:pPr>
      <w:r>
        <w:rPr/>
        <w:t>详见附件：投标人（供应商）信息</w:t>
      </w:r>
    </w:p>
    <w:p>
      <w:pPr>
        <w:pStyle w:val="null3"/>
        <w:ind w:firstLine="960"/>
        <w:jc w:val="left"/>
      </w:pPr>
      <w:r>
        <w:rPr/>
        <w:t>详见附件：投标人（供应商）资质证书及其他资质证明文件</w:t>
      </w:r>
    </w:p>
    <w:p>
      <w:pPr>
        <w:pStyle w:val="null3"/>
        <w:ind w:firstLine="960"/>
        <w:jc w:val="left"/>
      </w:pPr>
      <w:r>
        <w:rPr/>
        <w:t>详见附件：正版软件声明</w:t>
      </w:r>
    </w:p>
    <w:p>
      <w:pPr>
        <w:pStyle w:val="null3"/>
        <w:ind w:firstLine="960"/>
        <w:jc w:val="left"/>
      </w:pPr>
      <w:r>
        <w:rPr/>
        <w:t>详见附件：采购需求及技术要求中规定应提交的有关技术文件材料</w:t>
      </w:r>
    </w:p>
    <w:p>
      <w:pPr>
        <w:pStyle w:val="null3"/>
        <w:ind w:firstLine="960"/>
        <w:jc w:val="left"/>
      </w:pPr>
      <w:r>
        <w:rPr/>
        <w:t>详见附件：中小企业声明函</w:t>
      </w:r>
    </w:p>
    <w:p>
      <w:pPr>
        <w:pStyle w:val="null3"/>
        <w:ind w:firstLine="960"/>
        <w:jc w:val="left"/>
      </w:pPr>
      <w:r>
        <w:rPr/>
        <w:t>详见附件：监狱企业的证明文件</w:t>
      </w:r>
    </w:p>
    <w:p>
      <w:pPr>
        <w:pStyle w:val="null3"/>
        <w:ind w:firstLine="960"/>
        <w:jc w:val="left"/>
      </w:pPr>
      <w:r>
        <w:rPr/>
        <w:t>详见附件：残疾人福利性单位声明函</w:t>
      </w:r>
    </w:p>
    <w:p>
      <w:pPr>
        <w:pStyle w:val="null3"/>
        <w:ind w:firstLine="960"/>
        <w:jc w:val="left"/>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jc w:val="left"/>
      </w:pPr>
      <w:r>
        <w:rPr/>
        <w:t>详见附件：法人或者其他组织的营业执照等证明文件，自然人的身份证明</w:t>
      </w:r>
    </w:p>
    <w:p>
      <w:pPr>
        <w:pStyle w:val="null3"/>
        <w:ind w:firstLine="960"/>
        <w:jc w:val="left"/>
      </w:pPr>
      <w:r>
        <w:rPr/>
        <w:t>详见附件：技术条款第1条证明文件</w:t>
      </w:r>
    </w:p>
    <w:p>
      <w:pPr>
        <w:pStyle w:val="null3"/>
        <w:ind w:firstLine="960"/>
        <w:jc w:val="left"/>
      </w:pPr>
      <w:r>
        <w:rPr/>
        <w:t>详见附件：技术条款第2条证明文件</w:t>
      </w:r>
    </w:p>
    <w:p>
      <w:pPr>
        <w:pStyle w:val="null3"/>
        <w:ind w:firstLine="960"/>
        <w:jc w:val="left"/>
      </w:pPr>
      <w:r>
        <w:rPr/>
        <w:t>详见附件：技术条款第5条证明文件</w:t>
      </w:r>
    </w:p>
    <w:p>
      <w:pPr>
        <w:pStyle w:val="null3"/>
        <w:ind w:firstLine="960"/>
        <w:jc w:val="left"/>
      </w:pPr>
      <w:r>
        <w:rPr/>
        <w:t>详见附件：技术条款第7条证明文件</w:t>
      </w:r>
    </w:p>
    <w:p>
      <w:pPr>
        <w:pStyle w:val="null3"/>
        <w:ind w:firstLine="960"/>
        <w:jc w:val="left"/>
      </w:pPr>
      <w:r>
        <w:rPr/>
        <w:t>详见附件：技术条款第8条证明文件</w:t>
      </w:r>
    </w:p>
    <w:p>
      <w:pPr>
        <w:pStyle w:val="null3"/>
        <w:ind w:firstLine="960"/>
        <w:jc w:val="left"/>
      </w:pPr>
      <w:r>
        <w:rPr/>
        <w:t>详见附件：技术条款第9条证明文件</w:t>
      </w:r>
    </w:p>
    <w:p>
      <w:pPr>
        <w:pStyle w:val="null3"/>
        <w:ind w:firstLine="960"/>
        <w:jc w:val="left"/>
      </w:pPr>
      <w:r>
        <w:rPr/>
        <w:t>详见附件：技术条款第10条证明文件</w:t>
      </w:r>
    </w:p>
    <w:p>
      <w:pPr>
        <w:pStyle w:val="null3"/>
      </w:pPr>
      <w:r>
        <w:rPr/>
        <w:t xml:space="preserve"> </w:t>
      </w:r>
    </w:p>
    <w:p>
      <w:pPr>
        <w:pStyle w:val="null3"/>
        <w:jc w:val="center"/>
        <w:outlineLvl w:val="1"/>
      </w:pPr>
      <w:r>
        <w:rPr>
          <w:sz w:val="36"/>
          <w:b/>
        </w:rPr>
        <w:t>第六章 拟签订采购合同文本</w:t>
      </w:r>
    </w:p>
    <w:p>
      <w:pPr>
        <w:pStyle w:val="null3"/>
      </w:pPr>
      <w:r>
        <w:rPr/>
        <w:t xml:space="preserve"> </w:t>
      </w:r>
    </w:p>
    <w:p>
      <w:pPr>
        <w:pStyle w:val="null3"/>
        <w:jc w:val="left"/>
      </w:pPr>
      <w:r>
        <w:rPr/>
        <w:t xml:space="preserve">                                                                                         </w:t>
      </w:r>
      <w:r>
        <w:rPr>
          <w:rFonts w:ascii="仿宋_gb2312" w:hAnsi="仿宋_gb2312" w:cs="仿宋_gb2312" w:eastAsia="仿宋_gb2312"/>
          <w:sz w:val="24"/>
          <w:u w:val="single"/>
        </w:rPr>
        <w:t>【</w:t>
      </w:r>
      <w:r>
        <w:rPr>
          <w:u w:val="single"/>
        </w:rPr>
        <w:t xml:space="preserve">                                            </w:t>
      </w:r>
      <w:r>
        <w:rPr>
          <w:rFonts w:ascii="仿宋_gb2312" w:hAnsi="仿宋_gb2312" w:cs="仿宋_gb2312" w:eastAsia="仿宋_gb2312"/>
          <w:sz w:val="24"/>
          <w:u w:val="single"/>
        </w:rPr>
        <w:t>】</w:t>
      </w:r>
    </w:p>
    <w:p>
      <w:pPr>
        <w:pStyle w:val="null3"/>
        <w:jc w:val="center"/>
      </w:pPr>
      <w:r>
        <w:rPr>
          <w:rFonts w:ascii="仿宋_gb2312" w:hAnsi="仿宋_gb2312" w:cs="仿宋_gb2312" w:eastAsia="仿宋_gb2312"/>
          <w:sz w:val="24"/>
        </w:rPr>
        <w:t>与</w:t>
      </w:r>
    </w:p>
    <w:p>
      <w:pPr>
        <w:pStyle w:val="null3"/>
        <w:jc w:val="center"/>
      </w:pPr>
      <w:r>
        <w:rPr>
          <w:rFonts w:ascii="仿宋_gb2312" w:hAnsi="仿宋_gb2312" w:cs="仿宋_gb2312" w:eastAsia="仿宋_gb2312"/>
          <w:sz w:val="24"/>
        </w:rPr>
        <w:t>【中国人民银行党校】</w:t>
      </w:r>
    </w:p>
    <w:p>
      <w:pPr>
        <w:pStyle w:val="null3"/>
        <w:jc w:val="center"/>
      </w:pPr>
      <w:r>
        <w:rPr>
          <w:rFonts w:ascii="仿宋_gb2312" w:hAnsi="仿宋_gb2312" w:cs="仿宋_gb2312" w:eastAsia="仿宋_gb2312"/>
          <w:sz w:val="24"/>
          <w:b/>
        </w:rPr>
        <w:t>房屋租赁合同</w:t>
      </w:r>
    </w:p>
    <w:p>
      <w:pPr>
        <w:pStyle w:val="null3"/>
        <w:jc w:val="both"/>
      </w:pPr>
      <w:r>
        <w:rPr/>
        <w:t xml:space="preserve"> </w:t>
      </w:r>
    </w:p>
    <w:p>
      <w:pPr>
        <w:pStyle w:val="null3"/>
        <w:jc w:val="both"/>
      </w:pPr>
      <w:r>
        <w:rPr>
          <w:rFonts w:ascii="仿宋_gb2312" w:hAnsi="仿宋_gb2312" w:cs="仿宋_gb2312" w:eastAsia="仿宋_gb2312"/>
          <w:sz w:val="24"/>
          <w:b/>
        </w:rPr>
        <w:t>本协议由下列双方于【</w:t>
      </w:r>
      <w:r>
        <w:rPr>
          <w:b/>
        </w:rPr>
        <w:t xml:space="preserve">    </w:t>
      </w:r>
      <w:r>
        <w:rPr>
          <w:rFonts w:ascii="仿宋_gb2312" w:hAnsi="仿宋_gb2312" w:cs="仿宋_gb2312" w:eastAsia="仿宋_gb2312"/>
          <w:sz w:val="24"/>
          <w:b/>
        </w:rPr>
        <w:t>】年【</w:t>
      </w:r>
      <w:r>
        <w:rPr>
          <w:b/>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】月【</w:t>
      </w:r>
      <w:r>
        <w:rPr>
          <w:b/>
        </w:rPr>
        <w:t xml:space="preserve">   </w:t>
      </w:r>
      <w:r>
        <w:rPr>
          <w:rFonts w:ascii="仿宋_gb2312" w:hAnsi="仿宋_gb2312" w:cs="仿宋_gb2312" w:eastAsia="仿宋_gb2312"/>
          <w:sz w:val="24"/>
          <w:b/>
        </w:rPr>
        <w:t>】日在【</w:t>
      </w:r>
      <w:r>
        <w:rPr>
          <w:rFonts w:ascii="仿宋_gb2312" w:hAnsi="仿宋_gb2312" w:cs="仿宋_gb2312" w:eastAsia="仿宋_gb2312"/>
          <w:sz w:val="24"/>
          <w:b/>
        </w:rPr>
        <w:t xml:space="preserve">  </w:t>
      </w:r>
      <w:r>
        <w:rPr>
          <w:rFonts w:ascii="仿宋_gb2312" w:hAnsi="仿宋_gb2312" w:cs="仿宋_gb2312" w:eastAsia="仿宋_gb2312"/>
          <w:sz w:val="24"/>
          <w:b/>
        </w:rPr>
        <w:t>】签订：</w:t>
      </w:r>
    </w:p>
    <w:p>
      <w:pPr>
        <w:pStyle w:val="null3"/>
        <w:jc w:val="both"/>
      </w:pPr>
      <w:r>
        <w:rPr>
          <w:rFonts w:ascii="仿宋_gb2312" w:hAnsi="仿宋_gb2312" w:cs="仿宋_gb2312" w:eastAsia="仿宋_gb2312"/>
          <w:sz w:val="24"/>
          <w:b/>
        </w:rPr>
        <w:t>出租方</w:t>
      </w:r>
      <w:r>
        <w:rPr>
          <w:rFonts w:ascii="仿宋_gb2312" w:hAnsi="仿宋_gb2312" w:cs="仿宋_gb2312" w:eastAsia="仿宋_gb2312"/>
          <w:sz w:val="24"/>
        </w:rPr>
        <w:t>:</w:t>
      </w:r>
      <w:r>
        <w:rPr>
          <w:u w:val="single"/>
        </w:rPr>
        <w:t xml:space="preserve">                                     </w:t>
      </w:r>
    </w:p>
    <w:p>
      <w:pPr>
        <w:pStyle w:val="null3"/>
        <w:jc w:val="both"/>
      </w:pPr>
      <w:r>
        <w:rPr>
          <w:rFonts w:ascii="仿宋_gb2312" w:hAnsi="仿宋_gb2312" w:cs="仿宋_gb2312" w:eastAsia="仿宋_gb2312"/>
          <w:sz w:val="24"/>
        </w:rPr>
        <w:t>公司名称：</w:t>
      </w:r>
      <w:r>
        <w:rPr>
          <w:u w:val="single"/>
        </w:rPr>
        <w:t xml:space="preserve">                                </w:t>
      </w:r>
    </w:p>
    <w:p>
      <w:pPr>
        <w:pStyle w:val="null3"/>
        <w:jc w:val="both"/>
      </w:pPr>
      <w:r>
        <w:rPr>
          <w:rFonts w:ascii="仿宋_gb2312" w:hAnsi="仿宋_gb2312" w:cs="仿宋_gb2312" w:eastAsia="仿宋_gb2312"/>
          <w:sz w:val="24"/>
        </w:rPr>
        <w:t>负</w:t>
      </w:r>
      <w:r>
        <w:rPr>
          <w:rFonts w:ascii="仿宋_gb2312" w:hAnsi="仿宋_gb2312" w:cs="仿宋_gb2312" w:eastAsia="仿宋_gb2312"/>
          <w:sz w:val="24"/>
        </w:rPr>
        <w:t xml:space="preserve">  </w:t>
      </w:r>
      <w:r>
        <w:rPr>
          <w:rFonts w:ascii="仿宋_gb2312" w:hAnsi="仿宋_gb2312" w:cs="仿宋_gb2312" w:eastAsia="仿宋_gb2312"/>
          <w:sz w:val="24"/>
        </w:rPr>
        <w:t>责</w:t>
      </w:r>
      <w:r>
        <w:rPr>
          <w:rFonts w:ascii="仿宋_gb2312" w:hAnsi="仿宋_gb2312" w:cs="仿宋_gb2312" w:eastAsia="仿宋_gb2312"/>
          <w:sz w:val="24"/>
        </w:rPr>
        <w:t xml:space="preserve">  </w:t>
      </w:r>
      <w:r>
        <w:rPr>
          <w:rFonts w:ascii="仿宋_gb2312" w:hAnsi="仿宋_gb2312" w:cs="仿宋_gb2312" w:eastAsia="仿宋_gb2312"/>
          <w:sz w:val="24"/>
        </w:rPr>
        <w:t>人：</w:t>
      </w:r>
      <w:r>
        <w:rPr>
          <w:u w:val="single"/>
        </w:rPr>
        <w:t xml:space="preserve">                                </w:t>
      </w:r>
    </w:p>
    <w:p>
      <w:pPr>
        <w:pStyle w:val="null3"/>
        <w:jc w:val="both"/>
      </w:pPr>
      <w:r>
        <w:rPr>
          <w:rFonts w:ascii="仿宋_gb2312" w:hAnsi="仿宋_gb2312" w:cs="仿宋_gb2312" w:eastAsia="仿宋_gb2312"/>
          <w:sz w:val="24"/>
        </w:rPr>
        <w:t>地址：</w:t>
      </w:r>
      <w:r>
        <w:rPr>
          <w:u w:val="single"/>
        </w:rPr>
        <w:t xml:space="preserve">                                </w:t>
      </w:r>
    </w:p>
    <w:p>
      <w:pPr>
        <w:pStyle w:val="null3"/>
        <w:jc w:val="both"/>
      </w:pPr>
      <w:r>
        <w:rPr>
          <w:rFonts w:ascii="仿宋_gb2312" w:hAnsi="仿宋_gb2312" w:cs="仿宋_gb2312" w:eastAsia="仿宋_gb2312"/>
          <w:sz w:val="24"/>
        </w:rPr>
        <w:t>电话：</w:t>
      </w:r>
      <w:r>
        <w:rPr>
          <w:u w:val="single"/>
        </w:rPr>
        <w:t xml:space="preserve">                                </w:t>
      </w:r>
    </w:p>
    <w:p>
      <w:pPr>
        <w:pStyle w:val="null3"/>
        <w:jc w:val="both"/>
      </w:pPr>
      <w:r>
        <w:rPr>
          <w:rFonts w:ascii="仿宋_gb2312" w:hAnsi="仿宋_gb2312" w:cs="仿宋_gb2312" w:eastAsia="仿宋_gb2312"/>
          <w:sz w:val="24"/>
        </w:rPr>
        <w:t>传真：</w:t>
      </w:r>
      <w:r>
        <w:rPr>
          <w:u w:val="single"/>
        </w:rPr>
        <w:t xml:space="preserve">                                </w:t>
      </w:r>
    </w:p>
    <w:p>
      <w:pPr>
        <w:pStyle w:val="null3"/>
        <w:jc w:val="both"/>
      </w:pPr>
      <w:r>
        <w:rPr>
          <w:rFonts w:ascii="仿宋_gb2312" w:hAnsi="仿宋_gb2312" w:cs="仿宋_gb2312" w:eastAsia="仿宋_gb2312"/>
          <w:sz w:val="24"/>
          <w:b/>
        </w:rPr>
        <w:t>承租方</w:t>
      </w:r>
      <w:r>
        <w:rPr>
          <w:rFonts w:ascii="仿宋_gb2312" w:hAnsi="仿宋_gb2312" w:cs="仿宋_gb2312" w:eastAsia="仿宋_gb2312"/>
          <w:sz w:val="24"/>
        </w:rPr>
        <w:t>:中国人民银行党校</w:t>
      </w:r>
    </w:p>
    <w:p>
      <w:pPr>
        <w:pStyle w:val="null3"/>
        <w:jc w:val="both"/>
      </w:pPr>
      <w:r>
        <w:rPr>
          <w:rFonts w:ascii="仿宋_gb2312" w:hAnsi="仿宋_gb2312" w:cs="仿宋_gb2312" w:eastAsia="仿宋_gb2312"/>
          <w:sz w:val="24"/>
        </w:rPr>
        <w:t>单位名称：中国人民银行党校</w:t>
      </w:r>
    </w:p>
    <w:p>
      <w:pPr>
        <w:pStyle w:val="null3"/>
        <w:jc w:val="both"/>
      </w:pPr>
      <w:r>
        <w:rPr>
          <w:rFonts w:ascii="仿宋_gb2312" w:hAnsi="仿宋_gb2312" w:cs="仿宋_gb2312" w:eastAsia="仿宋_gb2312"/>
          <w:sz w:val="24"/>
        </w:rPr>
        <w:t>法定代表人：庞晓光</w:t>
      </w:r>
    </w:p>
    <w:p>
      <w:pPr>
        <w:pStyle w:val="null3"/>
        <w:jc w:val="both"/>
      </w:pPr>
      <w:r>
        <w:rPr>
          <w:rFonts w:ascii="仿宋_gb2312" w:hAnsi="仿宋_gb2312" w:cs="仿宋_gb2312" w:eastAsia="仿宋_gb2312"/>
          <w:sz w:val="24"/>
        </w:rPr>
        <w:t>地址：北京市西城区金融大街</w:t>
      </w:r>
      <w:r>
        <w:rPr>
          <w:rFonts w:ascii="仿宋_gb2312" w:hAnsi="仿宋_gb2312" w:cs="仿宋_gb2312" w:eastAsia="仿宋_gb2312"/>
          <w:sz w:val="24"/>
        </w:rPr>
        <w:t>33号通泰大厦A座</w:t>
      </w:r>
    </w:p>
    <w:p>
      <w:pPr>
        <w:pStyle w:val="null3"/>
        <w:jc w:val="both"/>
      </w:pPr>
      <w:r>
        <w:rPr>
          <w:rFonts w:ascii="仿宋_gb2312" w:hAnsi="仿宋_gb2312" w:cs="仿宋_gb2312" w:eastAsia="仿宋_gb2312"/>
          <w:sz w:val="24"/>
        </w:rPr>
        <w:t>电话：</w:t>
      </w:r>
      <w:r>
        <w:rPr>
          <w:rFonts w:ascii="仿宋_gb2312" w:hAnsi="仿宋_gb2312" w:cs="仿宋_gb2312" w:eastAsia="仿宋_gb2312"/>
          <w:sz w:val="24"/>
        </w:rPr>
        <w:t>66195319</w:t>
      </w:r>
    </w:p>
    <w:p>
      <w:pPr>
        <w:pStyle w:val="null3"/>
        <w:jc w:val="both"/>
      </w:pPr>
      <w:r>
        <w:rPr>
          <w:rFonts w:ascii="仿宋_gb2312" w:hAnsi="仿宋_gb2312" w:cs="仿宋_gb2312" w:eastAsia="仿宋_gb2312"/>
          <w:sz w:val="24"/>
        </w:rPr>
        <w:t>传真：</w:t>
      </w:r>
      <w:r>
        <w:rPr>
          <w:rFonts w:ascii="仿宋_gb2312" w:hAnsi="仿宋_gb2312" w:cs="仿宋_gb2312" w:eastAsia="仿宋_gb2312"/>
          <w:sz w:val="24"/>
        </w:rPr>
        <w:t>66013193</w:t>
      </w:r>
    </w:p>
    <w:p>
      <w:pPr>
        <w:pStyle w:val="null3"/>
        <w:jc w:val="both"/>
      </w:pPr>
      <w:r>
        <w:rPr>
          <w:rFonts w:ascii="仿宋_gb2312" w:hAnsi="仿宋_gb2312" w:cs="仿宋_gb2312" w:eastAsia="仿宋_gb2312"/>
          <w:sz w:val="24"/>
        </w:rPr>
        <w:t>根据《中华人民共和国民法典》及有关法律法规，为明确出租方与承租方的权利与义务关系，经双方协商一致，签订本合同。</w:t>
      </w:r>
    </w:p>
    <w:p>
      <w:pPr>
        <w:pStyle w:val="null3"/>
        <w:ind w:firstLine="482"/>
        <w:jc w:val="both"/>
      </w:pPr>
      <w:r>
        <w:rPr>
          <w:rFonts w:ascii="仿宋_gb2312" w:hAnsi="仿宋_gb2312" w:cs="仿宋_gb2312" w:eastAsia="仿宋_gb2312"/>
          <w:sz w:val="24"/>
          <w:b/>
        </w:rPr>
        <w:t>第一条租赁房屋</w:t>
      </w:r>
    </w:p>
    <w:p>
      <w:pPr>
        <w:pStyle w:val="null3"/>
        <w:ind w:firstLine="480"/>
        <w:jc w:val="both"/>
      </w:pPr>
      <w:r>
        <w:rPr>
          <w:rFonts w:ascii="仿宋_gb2312" w:hAnsi="仿宋_gb2312" w:cs="仿宋_gb2312" w:eastAsia="仿宋_gb2312"/>
          <w:sz w:val="24"/>
        </w:rPr>
        <w:t>◎租赁房屋位于</w:t>
      </w:r>
      <w:r>
        <w:rPr>
          <w:u w:val="single"/>
        </w:rPr>
        <w:t xml:space="preserve">                             </w:t>
      </w:r>
      <w:r>
        <w:rPr>
          <w:rFonts w:ascii="仿宋_gb2312" w:hAnsi="仿宋_gb2312" w:cs="仿宋_gb2312" w:eastAsia="仿宋_gb2312"/>
          <w:sz w:val="24"/>
        </w:rPr>
        <w:t>（以下简称</w:t>
      </w:r>
      <w:r>
        <w:rPr>
          <w:rFonts w:ascii="仿宋_gb2312" w:hAnsi="仿宋_gb2312" w:cs="仿宋_gb2312" w:eastAsia="仿宋_gb2312"/>
          <w:sz w:val="24"/>
        </w:rPr>
        <w:t>“该房屋”或“房屋”）。</w:t>
      </w:r>
    </w:p>
    <w:p>
      <w:pPr>
        <w:pStyle w:val="null3"/>
        <w:ind w:firstLine="480"/>
        <w:jc w:val="both"/>
      </w:pPr>
      <w:r>
        <w:rPr>
          <w:rFonts w:ascii="仿宋_gb2312" w:hAnsi="仿宋_gb2312" w:cs="仿宋_gb2312" w:eastAsia="仿宋_gb2312"/>
          <w:sz w:val="24"/>
        </w:rPr>
        <w:t>◎该房屋实测建筑面积为【</w:t>
      </w:r>
      <w:r>
        <w:rPr>
          <w:u w:val="single"/>
        </w:rPr>
        <w:t xml:space="preserve">             </w:t>
      </w:r>
      <w:r>
        <w:rPr>
          <w:rFonts w:ascii="仿宋_gb2312" w:hAnsi="仿宋_gb2312" w:cs="仿宋_gb2312" w:eastAsia="仿宋_gb2312"/>
          <w:sz w:val="24"/>
        </w:rPr>
        <w:t>】平方米。双方同意，该房屋的租金、物业管理费或其他根据该房屋面积计算的款项均以本款规定的实测建筑面积为基数。</w:t>
      </w:r>
    </w:p>
    <w:p>
      <w:pPr>
        <w:pStyle w:val="null3"/>
        <w:ind w:firstLine="480"/>
        <w:jc w:val="both"/>
      </w:pPr>
      <w:r>
        <w:rPr>
          <w:rFonts w:ascii="仿宋_gb2312" w:hAnsi="仿宋_gb2312" w:cs="仿宋_gb2312" w:eastAsia="仿宋_gb2312"/>
          <w:sz w:val="24"/>
        </w:rPr>
        <w:t>◎该房屋的用途为：只限于承租方作为办公用房使用。</w:t>
      </w:r>
      <w:r>
        <w:rPr/>
        <w:t xml:space="preserve"> </w:t>
      </w:r>
    </w:p>
    <w:p>
      <w:pPr>
        <w:pStyle w:val="null3"/>
        <w:ind w:firstLine="482"/>
        <w:jc w:val="both"/>
      </w:pPr>
      <w:r>
        <w:rPr>
          <w:rFonts w:ascii="仿宋_gb2312" w:hAnsi="仿宋_gb2312" w:cs="仿宋_gb2312" w:eastAsia="仿宋_gb2312"/>
          <w:sz w:val="24"/>
          <w:b/>
        </w:rPr>
        <w:t>第二条租赁期限、装修免租期、房屋交付和续租</w:t>
      </w:r>
    </w:p>
    <w:p>
      <w:pPr>
        <w:pStyle w:val="null3"/>
        <w:ind w:firstLine="480"/>
        <w:jc w:val="both"/>
      </w:pPr>
      <w:r>
        <w:rPr>
          <w:rFonts w:ascii="仿宋_gb2312" w:hAnsi="仿宋_gb2312" w:cs="仿宋_gb2312" w:eastAsia="仿宋_gb2312"/>
          <w:sz w:val="24"/>
        </w:rPr>
        <w:t>◎出租方承诺为该房屋提供【</w:t>
      </w:r>
      <w:r>
        <w:rPr>
          <w:u w:val="single"/>
        </w:rPr>
        <w:t xml:space="preserve">   </w:t>
      </w:r>
      <w:r>
        <w:rPr>
          <w:rFonts w:ascii="仿宋_gb2312" w:hAnsi="仿宋_gb2312" w:cs="仿宋_gb2312" w:eastAsia="仿宋_gb2312"/>
          <w:sz w:val="24"/>
        </w:rPr>
        <w:t>】个月免租期，免租期内，承租方无需支付租金、物业费、冷水费、热水费、电费、电话费、网费等费用，承租方要按约定用途使用，不能进行违法或破坏房屋结构的行为。</w:t>
      </w:r>
    </w:p>
    <w:p>
      <w:pPr>
        <w:pStyle w:val="null3"/>
        <w:ind w:firstLine="480"/>
        <w:jc w:val="both"/>
      </w:pPr>
      <w:r>
        <w:rPr>
          <w:rFonts w:ascii="仿宋_gb2312" w:hAnsi="仿宋_gb2312" w:cs="仿宋_gb2312" w:eastAsia="仿宋_gb2312"/>
          <w:sz w:val="24"/>
        </w:rPr>
        <w:t>◎该房屋租赁期限为【</w:t>
      </w:r>
      <w:r>
        <w:rPr>
          <w:u w:val="single"/>
        </w:rPr>
        <w:t xml:space="preserve">  </w:t>
      </w:r>
      <w:r>
        <w:rPr>
          <w:rFonts w:ascii="仿宋_gb2312" w:hAnsi="仿宋_gb2312" w:cs="仿宋_gb2312" w:eastAsia="仿宋_gb2312"/>
          <w:sz w:val="24"/>
          <w:u w:val="single"/>
        </w:rPr>
        <w:t>12</w:t>
      </w:r>
      <w:r>
        <w:rPr>
          <w:u w:val="single"/>
        </w:rPr>
        <w:t xml:space="preserve"> </w:t>
      </w:r>
      <w:r>
        <w:rPr>
          <w:rFonts w:ascii="仿宋_gb2312" w:hAnsi="仿宋_gb2312" w:cs="仿宋_gb2312" w:eastAsia="仿宋_gb2312"/>
          <w:sz w:val="24"/>
        </w:rPr>
        <w:t>】个月，自【</w:t>
      </w:r>
      <w:r>
        <w:rPr>
          <w:u w:val="single"/>
        </w:rPr>
        <w:t xml:space="preserve">   </w:t>
      </w:r>
      <w:r>
        <w:rPr>
          <w:rFonts w:ascii="仿宋_gb2312" w:hAnsi="仿宋_gb2312" w:cs="仿宋_gb2312" w:eastAsia="仿宋_gb2312"/>
          <w:sz w:val="24"/>
        </w:rPr>
        <w:t>】年【</w:t>
      </w:r>
      <w:r>
        <w:rPr>
          <w:u w:val="single"/>
        </w:rPr>
        <w:t xml:space="preserve">  </w:t>
      </w:r>
      <w:r>
        <w:rPr>
          <w:rFonts w:ascii="仿宋_gb2312" w:hAnsi="仿宋_gb2312" w:cs="仿宋_gb2312" w:eastAsia="仿宋_gb2312"/>
          <w:sz w:val="24"/>
        </w:rPr>
        <w:t>】月【</w:t>
      </w:r>
      <w:r>
        <w:rPr>
          <w:u w:val="single"/>
        </w:rPr>
        <w:t xml:space="preserve"> </w:t>
      </w:r>
      <w:r>
        <w:rPr>
          <w:rFonts w:ascii="仿宋_gb2312" w:hAnsi="仿宋_gb2312" w:cs="仿宋_gb2312" w:eastAsia="仿宋_gb2312"/>
          <w:sz w:val="24"/>
        </w:rPr>
        <w:t>】日（以下简称</w:t>
      </w:r>
      <w:r>
        <w:rPr>
          <w:rFonts w:ascii="仿宋_gb2312" w:hAnsi="仿宋_gb2312" w:cs="仿宋_gb2312" w:eastAsia="仿宋_gb2312"/>
          <w:sz w:val="24"/>
        </w:rPr>
        <w:t>“</w:t>
      </w:r>
      <w:r>
        <w:rPr>
          <w:rFonts w:ascii="仿宋_gb2312" w:hAnsi="仿宋_gb2312" w:cs="仿宋_gb2312" w:eastAsia="仿宋_gb2312"/>
          <w:sz w:val="24"/>
          <w:b/>
        </w:rPr>
        <w:t>约定起租日</w:t>
      </w:r>
      <w:r>
        <w:rPr>
          <w:rFonts w:ascii="仿宋_gb2312" w:hAnsi="仿宋_gb2312" w:cs="仿宋_gb2312" w:eastAsia="仿宋_gb2312"/>
          <w:sz w:val="24"/>
        </w:rPr>
        <w:t>”）至【</w:t>
      </w:r>
      <w:r>
        <w:rPr>
          <w:u w:val="single"/>
        </w:rPr>
        <w:t xml:space="preserve">   </w:t>
      </w:r>
      <w:r>
        <w:rPr>
          <w:rFonts w:ascii="仿宋_gb2312" w:hAnsi="仿宋_gb2312" w:cs="仿宋_gb2312" w:eastAsia="仿宋_gb2312"/>
          <w:sz w:val="24"/>
        </w:rPr>
        <w:t>】年【</w:t>
      </w:r>
      <w:r>
        <w:rPr>
          <w:u w:val="single"/>
        </w:rPr>
        <w:t xml:space="preserve">   </w:t>
      </w:r>
      <w:r>
        <w:rPr>
          <w:rFonts w:ascii="仿宋_gb2312" w:hAnsi="仿宋_gb2312" w:cs="仿宋_gb2312" w:eastAsia="仿宋_gb2312"/>
          <w:sz w:val="24"/>
        </w:rPr>
        <w:t>】月【</w:t>
      </w:r>
      <w:r>
        <w:rPr>
          <w:u w:val="single"/>
        </w:rPr>
        <w:t xml:space="preserve"> </w:t>
      </w:r>
      <w:r>
        <w:rPr>
          <w:rFonts w:ascii="仿宋_gb2312" w:hAnsi="仿宋_gb2312" w:cs="仿宋_gb2312" w:eastAsia="仿宋_gb2312"/>
          <w:sz w:val="24"/>
        </w:rPr>
        <w:t>】日止（包括首尾两日）。免租期不包括在租赁期限内。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合同到期后，在同等条件下，承租方享有优先续租的权利。承租方如需续租，须在本合同期满前六个月向出租方发出书面申请并在本合同期满前三个月与出租方达成续租协议。如承租方在上述期限内未向出租方发出书面申请或达成续租协议，则视为承租方在本合同期满后不再续租，承租方须在本合同规定期限内迁出该房屋。出租方有权另行出租该房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双方同意，按照政府采购相关政策规定，在承租方预算有保障且愿意的前提下，双方可以续签合同，续签合同内容应与本次采购结果相一致，即按本合同金额续签租期为</w:t>
      </w:r>
      <w:r>
        <w:rPr>
          <w:rFonts w:ascii="仿宋_gb2312" w:hAnsi="仿宋_gb2312" w:cs="仿宋_gb2312" w:eastAsia="仿宋_gb2312"/>
          <w:sz w:val="24"/>
        </w:rPr>
        <w:t>一</w:t>
      </w:r>
      <w:r>
        <w:rPr>
          <w:rFonts w:ascii="仿宋_gb2312" w:hAnsi="仿宋_gb2312" w:cs="仿宋_gb2312" w:eastAsia="仿宋_gb2312"/>
          <w:sz w:val="24"/>
        </w:rPr>
        <w:t>年的租赁合同。续签</w:t>
      </w:r>
      <w:r>
        <w:rPr>
          <w:rFonts w:ascii="仿宋_gb2312" w:hAnsi="仿宋_gb2312" w:cs="仿宋_gb2312" w:eastAsia="仿宋_gb2312"/>
          <w:sz w:val="24"/>
        </w:rPr>
        <w:t>一</w:t>
      </w:r>
      <w:r>
        <w:rPr>
          <w:rFonts w:ascii="仿宋_gb2312" w:hAnsi="仿宋_gb2312" w:cs="仿宋_gb2312" w:eastAsia="仿宋_gb2312"/>
          <w:sz w:val="24"/>
        </w:rPr>
        <w:t>年一次，总共不超过两次，即根据本采购项目租赁房屋的租期合计不超过</w:t>
      </w:r>
      <w:r>
        <w:rPr>
          <w:rFonts w:ascii="仿宋_gb2312" w:hAnsi="仿宋_gb2312" w:cs="仿宋_gb2312" w:eastAsia="仿宋_gb2312"/>
          <w:sz w:val="24"/>
        </w:rPr>
        <w:t>三</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第三条租金、其他费用和租赁保证金</w:t>
      </w:r>
    </w:p>
    <w:p>
      <w:pPr>
        <w:pStyle w:val="null3"/>
        <w:ind w:firstLine="480"/>
        <w:jc w:val="both"/>
      </w:pPr>
      <w:r>
        <w:rPr>
          <w:rFonts w:ascii="仿宋_gb2312" w:hAnsi="仿宋_gb2312" w:cs="仿宋_gb2312" w:eastAsia="仿宋_gb2312"/>
          <w:sz w:val="24"/>
        </w:rPr>
        <w:t>◎经双方协商同意，租金（含物业费）为【</w:t>
      </w:r>
      <w:r>
        <w:rPr>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/m2/天，其中房租为【</w:t>
      </w:r>
      <w:r>
        <w:rPr>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/m2/天，物业费为【</w:t>
      </w:r>
      <w:r>
        <w:rPr>
          <w:u w:val="single"/>
        </w:rPr>
        <w:t xml:space="preserve">    </w:t>
      </w:r>
      <w:r>
        <w:rPr>
          <w:rFonts w:ascii="仿宋_gb2312" w:hAnsi="仿宋_gb2312" w:cs="仿宋_gb2312" w:eastAsia="仿宋_gb2312"/>
          <w:sz w:val="24"/>
        </w:rPr>
        <w:t>】元</w:t>
      </w:r>
      <w:r>
        <w:rPr>
          <w:rFonts w:ascii="仿宋_gb2312" w:hAnsi="仿宋_gb2312" w:cs="仿宋_gb2312" w:eastAsia="仿宋_gb2312"/>
          <w:sz w:val="24"/>
        </w:rPr>
        <w:t>/m2/天。</w:t>
      </w:r>
    </w:p>
    <w:p>
      <w:pPr>
        <w:pStyle w:val="null3"/>
        <w:ind w:firstLine="480"/>
        <w:jc w:val="both"/>
      </w:pPr>
      <w:r>
        <w:rPr>
          <w:rFonts w:ascii="仿宋_gb2312" w:hAnsi="仿宋_gb2312" w:cs="仿宋_gb2312" w:eastAsia="仿宋_gb2312"/>
          <w:sz w:val="24"/>
        </w:rPr>
        <w:t>◎承租方（中国人民银行党校）</w:t>
      </w:r>
      <w:r>
        <w:rPr>
          <w:u w:val="single"/>
        </w:rPr>
        <w:t xml:space="preserve">      </w:t>
      </w:r>
      <w:r>
        <w:rPr>
          <w:rFonts w:ascii="仿宋_gb2312" w:hAnsi="仿宋_gb2312" w:cs="仿宋_gb2312" w:eastAsia="仿宋_gb2312"/>
          <w:sz w:val="24"/>
        </w:rPr>
        <w:t>年</w:t>
      </w:r>
      <w:r>
        <w:rPr>
          <w:u w:val="single"/>
        </w:rPr>
        <w:t xml:space="preserve">    </w:t>
      </w:r>
      <w:r>
        <w:rPr>
          <w:rFonts w:ascii="仿宋_gb2312" w:hAnsi="仿宋_gb2312" w:cs="仿宋_gb2312" w:eastAsia="仿宋_gb2312"/>
          <w:sz w:val="24"/>
        </w:rPr>
        <w:t>月</w:t>
      </w:r>
      <w:r>
        <w:rPr>
          <w:u w:val="single"/>
        </w:rPr>
        <w:t xml:space="preserve">   </w:t>
      </w:r>
      <w:r>
        <w:rPr>
          <w:rFonts w:ascii="仿宋_gb2312" w:hAnsi="仿宋_gb2312" w:cs="仿宋_gb2312" w:eastAsia="仿宋_gb2312"/>
          <w:sz w:val="24"/>
        </w:rPr>
        <w:t>日至</w:t>
      </w:r>
      <w:r>
        <w:rPr>
          <w:u w:val="single"/>
        </w:rPr>
        <w:t xml:space="preserve">    </w:t>
      </w:r>
      <w:r>
        <w:rPr>
          <w:rFonts w:ascii="仿宋_gb2312" w:hAnsi="仿宋_gb2312" w:cs="仿宋_gb2312" w:eastAsia="仿宋_gb2312"/>
          <w:sz w:val="24"/>
        </w:rPr>
        <w:t>年月</w:t>
      </w:r>
      <w:r>
        <w:rPr>
          <w:u w:val="single"/>
        </w:rPr>
        <w:t xml:space="preserve">    </w:t>
      </w:r>
      <w:r>
        <w:rPr>
          <w:rFonts w:ascii="仿宋_gb2312" w:hAnsi="仿宋_gb2312" w:cs="仿宋_gb2312" w:eastAsia="仿宋_gb2312"/>
          <w:sz w:val="24"/>
        </w:rPr>
        <w:t>日租金为【</w:t>
      </w:r>
      <w:r>
        <w:rPr>
          <w:u w:val="single"/>
        </w:rPr>
        <w:t xml:space="preserve">          </w:t>
      </w:r>
      <w:r>
        <w:rPr>
          <w:rFonts w:ascii="仿宋_gb2312" w:hAnsi="仿宋_gb2312" w:cs="仿宋_gb2312" w:eastAsia="仿宋_gb2312"/>
          <w:sz w:val="24"/>
        </w:rPr>
        <w:t>】元（大写：</w:t>
      </w:r>
      <w:r>
        <w:rPr>
          <w:u w:val="single"/>
        </w:rPr>
        <w:t xml:space="preserve">             </w:t>
      </w:r>
      <w:r>
        <w:rPr>
          <w:rFonts w:ascii="仿宋_gb2312" w:hAnsi="仿宋_gb2312" w:cs="仿宋_gb2312" w:eastAsia="仿宋_gb2312"/>
          <w:sz w:val="24"/>
        </w:rPr>
        <w:t>），其中房租</w:t>
      </w:r>
      <w:r>
        <w:rPr>
          <w:u w:val="single"/>
        </w:rPr>
        <w:t xml:space="preserve">         </w:t>
      </w:r>
      <w:r>
        <w:rPr>
          <w:rFonts w:ascii="仿宋_gb2312" w:hAnsi="仿宋_gb2312" w:cs="仿宋_gb2312" w:eastAsia="仿宋_gb2312"/>
          <w:sz w:val="24"/>
        </w:rPr>
        <w:t>元，物业费</w:t>
      </w:r>
      <w:r>
        <w:rPr>
          <w:u w:val="single"/>
        </w:rPr>
        <w:t xml:space="preserve">          </w:t>
      </w:r>
      <w:r>
        <w:rPr>
          <w:rFonts w:ascii="仿宋_gb2312" w:hAnsi="仿宋_gb2312" w:cs="仿宋_gb2312" w:eastAsia="仿宋_gb2312"/>
          <w:sz w:val="24"/>
        </w:rPr>
        <w:t>元。</w:t>
      </w:r>
    </w:p>
    <w:p>
      <w:pPr>
        <w:pStyle w:val="null3"/>
        <w:ind w:firstLine="480"/>
        <w:jc w:val="both"/>
      </w:pPr>
      <w:r>
        <w:rPr>
          <w:rFonts w:ascii="仿宋_gb2312" w:hAnsi="仿宋_gb2312" w:cs="仿宋_gb2312" w:eastAsia="仿宋_gb2312"/>
          <w:sz w:val="24"/>
        </w:rPr>
        <w:t>◎租期内，该房屋的冷水费、热水费、电费、电话费、网费，由承租方据实按月向出租方支付，免租期内除外。如发生其他费用的，双方另行约定。</w:t>
      </w:r>
    </w:p>
    <w:p>
      <w:pPr>
        <w:pStyle w:val="null3"/>
        <w:ind w:firstLine="480"/>
        <w:jc w:val="both"/>
      </w:pPr>
      <w:r>
        <w:rPr>
          <w:rFonts w:ascii="仿宋_gb2312" w:hAnsi="仿宋_gb2312" w:cs="仿宋_gb2312" w:eastAsia="仿宋_gb2312"/>
          <w:sz w:val="24"/>
        </w:rPr>
        <w:t>◎在承租方正常履行本租约各项条款的情况下，在合同到期（终止或解除）并由承租方按照本合同第九条的约定交还该房屋后7个工作日内，出租方须将租赁保证金全额无息退还。</w:t>
      </w:r>
    </w:p>
    <w:p>
      <w:pPr>
        <w:pStyle w:val="null3"/>
        <w:ind w:firstLine="480"/>
        <w:jc w:val="both"/>
      </w:pPr>
      <w:r>
        <w:rPr>
          <w:rFonts w:ascii="仿宋_gb2312" w:hAnsi="仿宋_gb2312" w:cs="仿宋_gb2312" w:eastAsia="仿宋_gb2312"/>
          <w:sz w:val="24"/>
        </w:rPr>
        <w:t>◎支付方式：</w:t>
      </w:r>
      <w:r>
        <w:rPr>
          <w:rFonts w:ascii="仿宋_gb2312" w:hAnsi="仿宋_gb2312" w:cs="仿宋_gb2312" w:eastAsia="仿宋_gb2312"/>
          <w:sz w:val="24"/>
        </w:rPr>
        <w:t>租期内，租金分两</w:t>
      </w:r>
      <w:r>
        <w:rPr>
          <w:rFonts w:ascii="仿宋_gb2312" w:hAnsi="仿宋_gb2312" w:cs="仿宋_gb2312" w:eastAsia="仿宋_gb2312"/>
          <w:sz w:val="24"/>
        </w:rPr>
        <w:t>次</w:t>
      </w:r>
      <w:r>
        <w:rPr>
          <w:rFonts w:ascii="仿宋_gb2312" w:hAnsi="仿宋_gb2312" w:cs="仿宋_gb2312" w:eastAsia="仿宋_gb2312"/>
          <w:sz w:val="24"/>
        </w:rPr>
        <w:t>支付：</w:t>
      </w:r>
    </w:p>
    <w:p>
      <w:pPr>
        <w:pStyle w:val="null3"/>
        <w:ind w:firstLine="480"/>
        <w:jc w:val="both"/>
      </w:pPr>
      <w:r>
        <w:rPr>
          <w:rFonts w:ascii="仿宋_gb2312" w:hAnsi="仿宋_gb2312" w:cs="仿宋_gb2312" w:eastAsia="仿宋_gb2312"/>
          <w:sz w:val="24"/>
        </w:rPr>
        <w:t>（1）第一</w:t>
      </w:r>
      <w:r>
        <w:rPr>
          <w:rFonts w:ascii="仿宋_gb2312" w:hAnsi="仿宋_gb2312" w:cs="仿宋_gb2312" w:eastAsia="仿宋_gb2312"/>
          <w:sz w:val="24"/>
        </w:rPr>
        <w:t>次</w:t>
      </w:r>
      <w:r>
        <w:rPr>
          <w:rFonts w:ascii="仿宋_gb2312" w:hAnsi="仿宋_gb2312" w:cs="仿宋_gb2312" w:eastAsia="仿宋_gb2312"/>
          <w:sz w:val="24"/>
        </w:rPr>
        <w:t>租金</w:t>
      </w:r>
      <w:r>
        <w:rPr>
          <w:rFonts w:ascii="仿宋_gb2312" w:hAnsi="仿宋_gb2312" w:cs="仿宋_gb2312" w:eastAsia="仿宋_gb2312"/>
          <w:sz w:val="24"/>
        </w:rPr>
        <w:t>支付</w:t>
      </w:r>
      <w:r>
        <w:rPr>
          <w:rFonts w:ascii="仿宋_gb2312" w:hAnsi="仿宋_gb2312" w:cs="仿宋_gb2312" w:eastAsia="仿宋_gb2312"/>
          <w:sz w:val="24"/>
        </w:rPr>
        <w:t>（年度租金总额的</w:t>
      </w:r>
      <w:r>
        <w:rPr>
          <w:rFonts w:ascii="仿宋_gb2312" w:hAnsi="仿宋_gb2312" w:cs="仿宋_gb2312" w:eastAsia="仿宋_gb2312"/>
          <w:sz w:val="24"/>
        </w:rPr>
        <w:t>70%）</w:t>
      </w:r>
    </w:p>
    <w:p>
      <w:pPr>
        <w:pStyle w:val="null3"/>
        <w:ind w:firstLine="480"/>
        <w:jc w:val="both"/>
      </w:pPr>
      <w:r>
        <w:rPr>
          <w:rFonts w:ascii="仿宋_gb2312" w:hAnsi="仿宋_gb2312" w:cs="仿宋_gb2312" w:eastAsia="仿宋_gb2312"/>
          <w:sz w:val="24"/>
        </w:rPr>
        <w:t>每年</w:t>
      </w:r>
      <w:r>
        <w:rPr>
          <w:rFonts w:ascii="仿宋_gb2312" w:hAnsi="仿宋_gb2312" w:cs="仿宋_gb2312" w:eastAsia="仿宋_gb2312"/>
          <w:sz w:val="24"/>
        </w:rPr>
        <w:t>12月1日前，出租方提出验收申请，中国人民银行党校自收到申请之日起15个工作日内完成房屋验收。验收合格且出租方提供合规增值税普通发票后，中国人民银行党校于当年12月31日前一次性支付该笔租金。</w:t>
      </w:r>
    </w:p>
    <w:p>
      <w:pPr>
        <w:pStyle w:val="null3"/>
        <w:ind w:firstLine="480"/>
        <w:jc w:val="both"/>
      </w:pPr>
      <w:r>
        <w:rPr>
          <w:rFonts w:ascii="仿宋_gb2312" w:hAnsi="仿宋_gb2312" w:cs="仿宋_gb2312" w:eastAsia="仿宋_gb2312"/>
          <w:sz w:val="24"/>
        </w:rPr>
        <w:t>（2）第二</w:t>
      </w:r>
      <w:r>
        <w:rPr>
          <w:rFonts w:ascii="仿宋_gb2312" w:hAnsi="仿宋_gb2312" w:cs="仿宋_gb2312" w:eastAsia="仿宋_gb2312"/>
          <w:sz w:val="24"/>
        </w:rPr>
        <w:t>次</w:t>
      </w:r>
      <w:r>
        <w:rPr>
          <w:rFonts w:ascii="仿宋_gb2312" w:hAnsi="仿宋_gb2312" w:cs="仿宋_gb2312" w:eastAsia="仿宋_gb2312"/>
          <w:sz w:val="24"/>
        </w:rPr>
        <w:t>租金</w:t>
      </w:r>
      <w:r>
        <w:rPr>
          <w:rFonts w:ascii="仿宋_gb2312" w:hAnsi="仿宋_gb2312" w:cs="仿宋_gb2312" w:eastAsia="仿宋_gb2312"/>
          <w:sz w:val="24"/>
        </w:rPr>
        <w:t>支付</w:t>
      </w:r>
      <w:r>
        <w:rPr>
          <w:rFonts w:ascii="仿宋_gb2312" w:hAnsi="仿宋_gb2312" w:cs="仿宋_gb2312" w:eastAsia="仿宋_gb2312"/>
          <w:sz w:val="24"/>
        </w:rPr>
        <w:t>（年度租金总额的</w:t>
      </w:r>
      <w:r>
        <w:rPr>
          <w:rFonts w:ascii="仿宋_gb2312" w:hAnsi="仿宋_gb2312" w:cs="仿宋_gb2312" w:eastAsia="仿宋_gb2312"/>
          <w:sz w:val="24"/>
        </w:rPr>
        <w:t>30%）</w:t>
      </w:r>
    </w:p>
    <w:p>
      <w:pPr>
        <w:pStyle w:val="null3"/>
        <w:ind w:firstLine="480"/>
        <w:jc w:val="both"/>
      </w:pPr>
      <w:r>
        <w:rPr>
          <w:rFonts w:ascii="仿宋_gb2312" w:hAnsi="仿宋_gb2312" w:cs="仿宋_gb2312" w:eastAsia="仿宋_gb2312"/>
          <w:sz w:val="24"/>
        </w:rPr>
        <w:t>租期结束前</w:t>
      </w:r>
      <w:r>
        <w:rPr>
          <w:rFonts w:ascii="仿宋_gb2312" w:hAnsi="仿宋_gb2312" w:cs="仿宋_gb2312" w:eastAsia="仿宋_gb2312"/>
          <w:sz w:val="24"/>
        </w:rPr>
        <w:t>30日内，出租方提出验收申请，中国人民银行党校自收到申请之日起15个工作日内完成房屋验收。验收合格且出租方提供合规增值税普通发票后，中国人民银行党校于合同租期届满后结清剩余租金。</w:t>
      </w:r>
    </w:p>
    <w:p>
      <w:pPr>
        <w:pStyle w:val="null3"/>
        <w:ind w:firstLine="480"/>
        <w:jc w:val="both"/>
      </w:pPr>
      <w:r>
        <w:rPr>
          <w:rFonts w:ascii="仿宋_gb2312" w:hAnsi="仿宋_gb2312" w:cs="仿宋_gb2312" w:eastAsia="仿宋_gb2312"/>
          <w:sz w:val="24"/>
          <w:b/>
        </w:rPr>
        <w:t>第四条承租方义务</w:t>
      </w:r>
    </w:p>
    <w:p>
      <w:pPr>
        <w:pStyle w:val="null3"/>
        <w:ind w:firstLine="480"/>
        <w:jc w:val="both"/>
      </w:pPr>
      <w:r>
        <w:rPr>
          <w:rFonts w:ascii="仿宋_gb2312" w:hAnsi="仿宋_gb2312" w:cs="仿宋_gb2312" w:eastAsia="仿宋_gb2312"/>
          <w:sz w:val="24"/>
        </w:rPr>
        <w:t>◎必须按本合同规定的房屋用途使用，不得将该房屋转租或将租约赋予承租方的全部或部分权利转让给他人，或以之作为抵押。</w:t>
      </w:r>
    </w:p>
    <w:p>
      <w:pPr>
        <w:pStyle w:val="null3"/>
        <w:ind w:firstLine="480"/>
        <w:jc w:val="both"/>
      </w:pPr>
      <w:r>
        <w:rPr>
          <w:rFonts w:ascii="仿宋_gb2312" w:hAnsi="仿宋_gb2312" w:cs="仿宋_gb2312" w:eastAsia="仿宋_gb2312"/>
          <w:sz w:val="24"/>
        </w:rPr>
        <w:t>◎必须按本合同规定按时足额支付租金及其他各项费用。</w:t>
      </w:r>
    </w:p>
    <w:p>
      <w:pPr>
        <w:pStyle w:val="null3"/>
        <w:ind w:firstLine="480"/>
        <w:jc w:val="both"/>
      </w:pPr>
      <w:r>
        <w:rPr>
          <w:rFonts w:ascii="仿宋_gb2312" w:hAnsi="仿宋_gb2312" w:cs="仿宋_gb2312" w:eastAsia="仿宋_gb2312"/>
          <w:sz w:val="24"/>
        </w:rPr>
        <w:t>◎遵守出租方或其代理人制定的所有规章制度，并自行承担租赁房屋的防火、防盗及安全生产工作。</w:t>
      </w:r>
    </w:p>
    <w:p>
      <w:pPr>
        <w:pStyle w:val="null3"/>
        <w:ind w:firstLine="480"/>
        <w:jc w:val="both"/>
      </w:pPr>
      <w:r>
        <w:rPr>
          <w:rFonts w:ascii="仿宋_gb2312" w:hAnsi="仿宋_gb2312" w:cs="仿宋_gb2312" w:eastAsia="仿宋_gb2312"/>
          <w:sz w:val="24"/>
        </w:rPr>
        <w:t>◎合理使用房屋，确保房屋完好无损（不可抗力、自然原因损耗除外）。出租方维修房屋或检修设备时，应积极协助，不得无理妨碍。因承租方保管不当或不合理使用，致使租赁房屋及附属设备设施发生损毁或故障的，承租方应负责维修或承担赔偿责任。如承租方拒不维修或拒不承担赔偿责任的，出租方可代为维修或购置新物，费用由承租方承担。</w:t>
      </w:r>
    </w:p>
    <w:p>
      <w:pPr>
        <w:pStyle w:val="null3"/>
        <w:ind w:firstLine="480"/>
        <w:jc w:val="both"/>
      </w:pPr>
      <w:r>
        <w:rPr>
          <w:rFonts w:ascii="仿宋_gb2312" w:hAnsi="仿宋_gb2312" w:cs="仿宋_gb2312" w:eastAsia="仿宋_gb2312"/>
          <w:sz w:val="24"/>
        </w:rPr>
        <w:t>◎如需要，合同终止或解除之日起22个工作日内办妥以该房屋为注册地址或营业地址的工商注销或变更手续</w:t>
      </w:r>
    </w:p>
    <w:p>
      <w:pPr>
        <w:pStyle w:val="null3"/>
        <w:ind w:firstLine="482"/>
        <w:jc w:val="both"/>
      </w:pPr>
      <w:r>
        <w:rPr>
          <w:rFonts w:ascii="仿宋_gb2312" w:hAnsi="仿宋_gb2312" w:cs="仿宋_gb2312" w:eastAsia="仿宋_gb2312"/>
          <w:sz w:val="24"/>
          <w:b/>
        </w:rPr>
        <w:t>第五条出租方义务</w:t>
      </w:r>
    </w:p>
    <w:p>
      <w:pPr>
        <w:pStyle w:val="null3"/>
        <w:ind w:firstLine="480"/>
        <w:jc w:val="both"/>
      </w:pPr>
      <w:r>
        <w:rPr>
          <w:rFonts w:ascii="仿宋_gb2312" w:hAnsi="仿宋_gb2312" w:cs="仿宋_gb2312" w:eastAsia="仿宋_gb2312"/>
          <w:sz w:val="24"/>
        </w:rPr>
        <w:t>◎保证按本合同约定时间交付房屋。</w:t>
      </w:r>
    </w:p>
    <w:p>
      <w:pPr>
        <w:pStyle w:val="null3"/>
        <w:ind w:firstLine="480"/>
        <w:jc w:val="both"/>
      </w:pPr>
      <w:r>
        <w:rPr>
          <w:rFonts w:ascii="仿宋_gb2312" w:hAnsi="仿宋_gb2312" w:cs="仿宋_gb2312" w:eastAsia="仿宋_gb2312"/>
          <w:sz w:val="24"/>
        </w:rPr>
        <w:t>◎保证本楼内的公共设施、设备处于良好状态，保障水、电、暖气（冷气）及通讯在正常办公时间内的供应和畅通（因市政及不可抗拒原因造成除外）。</w:t>
      </w:r>
    </w:p>
    <w:p>
      <w:pPr>
        <w:pStyle w:val="null3"/>
        <w:ind w:firstLine="480"/>
        <w:jc w:val="both"/>
      </w:pPr>
      <w:r>
        <w:rPr>
          <w:rFonts w:ascii="仿宋_gb2312" w:hAnsi="仿宋_gb2312" w:cs="仿宋_gb2312" w:eastAsia="仿宋_gb2312"/>
          <w:sz w:val="24"/>
        </w:rPr>
        <w:t>◎出租方负责消防设备设施的维修，对在装修过程中及使用过程中承租方增设或改动的部件，出租方不负维修责任。如租赁房屋发生重大自然损坏或有倾倒危险而出租方又不修缮时，承租方可以退租或代出租方修缮，修缮费由出租方据实承担。由此导致承租方提前解除合同的，出租方应当返还承租方未到期租金及租赁保证金。</w:t>
      </w:r>
    </w:p>
    <w:p>
      <w:pPr>
        <w:pStyle w:val="null3"/>
        <w:ind w:firstLine="480"/>
        <w:jc w:val="both"/>
      </w:pPr>
      <w:r>
        <w:rPr>
          <w:rFonts w:ascii="仿宋_gb2312" w:hAnsi="仿宋_gb2312" w:cs="仿宋_gb2312" w:eastAsia="仿宋_gb2312"/>
          <w:sz w:val="24"/>
        </w:rPr>
        <w:t>◎出租方应向承租方在该房屋配套保障停车位【</w:t>
      </w:r>
      <w:r>
        <w:rPr>
          <w:u w:val="single"/>
        </w:rPr>
        <w:t xml:space="preserve">    </w:t>
      </w:r>
      <w:r>
        <w:rPr>
          <w:rFonts w:ascii="仿宋_gb2312" w:hAnsi="仿宋_gb2312" w:cs="仿宋_gb2312" w:eastAsia="仿宋_gb2312"/>
          <w:sz w:val="24"/>
        </w:rPr>
        <w:t>】个。</w:t>
      </w:r>
    </w:p>
    <w:p>
      <w:pPr>
        <w:pStyle w:val="null3"/>
        <w:ind w:firstLine="482"/>
        <w:jc w:val="both"/>
      </w:pPr>
      <w:r>
        <w:rPr>
          <w:rFonts w:ascii="仿宋_gb2312" w:hAnsi="仿宋_gb2312" w:cs="仿宋_gb2312" w:eastAsia="仿宋_gb2312"/>
          <w:sz w:val="24"/>
          <w:b/>
        </w:rPr>
        <w:t>第六条该房屋内的设施及改建</w:t>
      </w:r>
    </w:p>
    <w:p>
      <w:pPr>
        <w:pStyle w:val="null3"/>
        <w:ind w:firstLine="480"/>
        <w:jc w:val="both"/>
      </w:pPr>
      <w:r>
        <w:rPr>
          <w:rFonts w:ascii="仿宋_gb2312" w:hAnsi="仿宋_gb2312" w:cs="仿宋_gb2312" w:eastAsia="仿宋_gb2312"/>
          <w:sz w:val="24"/>
        </w:rPr>
        <w:t>◎租赁期间，承租方不得擅自改变房屋的结构及用途，承租方如因故意或过失造成租用房屋和设备的毁损，应恢复原状或赔偿损失。如果承租方计划对该房屋进行装修，应事先向出租方提交施工图纸及方案和其所雇佣的施工单位及人员的情况，在不破坏主体结构及烟感、喷洒头、管线等设施的前提下，经出租方书面同意并经物业管理部门批准后方可进行施工。房屋装修按规定应向有关部门办理申请和批准手续的，承租方还须办妥有关手续后方可施工。</w:t>
      </w:r>
    </w:p>
    <w:p>
      <w:pPr>
        <w:pStyle w:val="null3"/>
        <w:ind w:firstLine="480"/>
        <w:jc w:val="both"/>
      </w:pPr>
      <w:r>
        <w:rPr>
          <w:rFonts w:ascii="仿宋_gb2312" w:hAnsi="仿宋_gb2312" w:cs="仿宋_gb2312" w:eastAsia="仿宋_gb2312"/>
          <w:sz w:val="24"/>
        </w:rPr>
        <w:t>◎承租方应当聘请具有相应资质的单位施工，并对施工现场的安全生产进行监督。承租方所委托的装修施工单位应与大厦的物业管理公司签订施工管理协议书，并办理装修施工许可证（如需要）。本条款的工程费等相关费用及对承租方增设附加的室内装修、设备等的征税，不论其账单上的户名和名义如何，一律由承租方负担。</w:t>
      </w:r>
    </w:p>
    <w:p>
      <w:pPr>
        <w:pStyle w:val="null3"/>
        <w:ind w:firstLine="480"/>
        <w:jc w:val="both"/>
      </w:pPr>
      <w:r>
        <w:rPr>
          <w:rFonts w:ascii="仿宋_gb2312" w:hAnsi="仿宋_gb2312" w:cs="仿宋_gb2312" w:eastAsia="仿宋_gb2312"/>
          <w:sz w:val="24"/>
        </w:rPr>
        <w:t>◎承租方无权使用大厦外墙及其上壁，非经出租方事先书面同意，不得在所租房间及大厦顶部展示或树立任何文字、标记或广告，不得安装凉棚或其他突出物，不得未经出租方书面许可而另外安装和使用烹调、空调和采暖设备。</w:t>
      </w:r>
    </w:p>
    <w:p>
      <w:pPr>
        <w:pStyle w:val="null3"/>
        <w:ind w:firstLine="482"/>
        <w:jc w:val="both"/>
      </w:pPr>
      <w:r>
        <w:rPr>
          <w:rFonts w:ascii="仿宋_gb2312" w:hAnsi="仿宋_gb2312" w:cs="仿宋_gb2312" w:eastAsia="仿宋_gb2312"/>
          <w:sz w:val="24"/>
          <w:b/>
        </w:rPr>
        <w:t>第七条转租、优先购买权</w:t>
      </w:r>
    </w:p>
    <w:p>
      <w:pPr>
        <w:pStyle w:val="null3"/>
        <w:ind w:firstLine="480"/>
        <w:jc w:val="both"/>
      </w:pPr>
      <w:r>
        <w:rPr>
          <w:rFonts w:ascii="仿宋_gb2312" w:hAnsi="仿宋_gb2312" w:cs="仿宋_gb2312" w:eastAsia="仿宋_gb2312"/>
          <w:sz w:val="24"/>
        </w:rPr>
        <w:t>◎承租方未经出租方书面同意，不得将该房屋转租给任意第三方。</w:t>
      </w:r>
    </w:p>
    <w:p>
      <w:pPr>
        <w:pStyle w:val="null3"/>
        <w:ind w:firstLine="480"/>
        <w:jc w:val="both"/>
      </w:pPr>
      <w:r>
        <w:rPr>
          <w:rFonts w:ascii="仿宋_gb2312" w:hAnsi="仿宋_gb2312" w:cs="仿宋_gb2312" w:eastAsia="仿宋_gb2312"/>
          <w:sz w:val="24"/>
        </w:rPr>
        <w:t>◎承租方在此不可撤销的放弃对该房屋的优先购买权。</w:t>
      </w:r>
    </w:p>
    <w:p>
      <w:pPr>
        <w:pStyle w:val="null3"/>
        <w:ind w:firstLine="482"/>
        <w:jc w:val="both"/>
      </w:pPr>
      <w:r>
        <w:rPr>
          <w:rFonts w:ascii="仿宋_gb2312" w:hAnsi="仿宋_gb2312" w:cs="仿宋_gb2312" w:eastAsia="仿宋_gb2312"/>
          <w:sz w:val="24"/>
          <w:b/>
        </w:rPr>
        <w:t>第八条保险</w:t>
      </w:r>
    </w:p>
    <w:p>
      <w:pPr>
        <w:pStyle w:val="null3"/>
        <w:ind w:firstLine="480"/>
        <w:jc w:val="both"/>
      </w:pPr>
      <w:r>
        <w:rPr>
          <w:rFonts w:ascii="仿宋_gb2312" w:hAnsi="仿宋_gb2312" w:cs="仿宋_gb2312" w:eastAsia="仿宋_gb2312"/>
          <w:sz w:val="24"/>
        </w:rPr>
        <w:t>◎承租方应就其装修工程投保保险金额不低于【500】万元的建筑工程一切险，并就该房屋投保涵盖租赁期限、累计赔偿限额不低于【500】万元的公共责任险。</w:t>
      </w:r>
    </w:p>
    <w:p>
      <w:pPr>
        <w:pStyle w:val="null3"/>
        <w:ind w:firstLine="482"/>
        <w:jc w:val="both"/>
      </w:pPr>
      <w:r>
        <w:rPr>
          <w:rFonts w:ascii="仿宋_gb2312" w:hAnsi="仿宋_gb2312" w:cs="仿宋_gb2312" w:eastAsia="仿宋_gb2312"/>
          <w:sz w:val="24"/>
          <w:b/>
        </w:rPr>
        <w:t>第九条该房屋的交还</w:t>
      </w:r>
    </w:p>
    <w:p>
      <w:pPr>
        <w:pStyle w:val="null3"/>
        <w:ind w:firstLine="480"/>
        <w:jc w:val="both"/>
      </w:pPr>
      <w:r>
        <w:rPr>
          <w:rFonts w:ascii="仿宋_gb2312" w:hAnsi="仿宋_gb2312" w:cs="仿宋_gb2312" w:eastAsia="仿宋_gb2312"/>
          <w:sz w:val="24"/>
        </w:rPr>
        <w:t>◎双方在本合同期满三个月前未就续租事项达成协议，则自租赁期满之日或本合同因任何原因而终止或被解除之日后的7日内（该等期限为本合同项下该房屋之返还期），承租方应当把该房屋连同其所有的附属物、装置、附加物，按该房屋交付时的状态或者出租方书面认可的可租用及良好的使用状态下，返还出租方(租赁期内该等设施的自然损耗除外)，双方签署“交接单”。同时，须将该房屋通往所在大厦的锁匙(如有)交还出租方。如承租方超过上述返还期仍未搬出的，则出租方有权自返还期届满之日的次日起按租金及其他费用的2倍的标准收取房屋占用费，并有权自租赁保证金中扣除。</w:t>
      </w:r>
    </w:p>
    <w:p>
      <w:pPr>
        <w:pStyle w:val="null3"/>
        <w:ind w:firstLine="480"/>
        <w:jc w:val="both"/>
      </w:pPr>
      <w:r>
        <w:rPr>
          <w:rFonts w:ascii="仿宋_gb2312" w:hAnsi="仿宋_gb2312" w:cs="仿宋_gb2312" w:eastAsia="仿宋_gb2312"/>
          <w:sz w:val="24"/>
        </w:rPr>
        <w:t>◎租赁期满或合同解除，如承租方逾期不搬迁，承租方应赔偿出租方因此受到的损失。</w:t>
      </w:r>
    </w:p>
    <w:p>
      <w:pPr>
        <w:pStyle w:val="null3"/>
        <w:ind w:firstLine="480"/>
        <w:jc w:val="both"/>
      </w:pPr>
      <w:r>
        <w:rPr>
          <w:rFonts w:ascii="仿宋_gb2312" w:hAnsi="仿宋_gb2312" w:cs="仿宋_gb2312" w:eastAsia="仿宋_gb2312"/>
          <w:sz w:val="24"/>
        </w:rPr>
        <w:t>◎租赁期满或合同解除，承租方必须搬出全部物件。自承租方交换该房屋，并签署“交接单”的次日，该房屋内如仍有余物，视为承租方放弃所有权，由出租方处理。</w:t>
      </w:r>
    </w:p>
    <w:p>
      <w:pPr>
        <w:pStyle w:val="null3"/>
        <w:ind w:firstLine="480"/>
        <w:jc w:val="both"/>
      </w:pPr>
      <w:r>
        <w:rPr>
          <w:rFonts w:ascii="仿宋_gb2312" w:hAnsi="仿宋_gb2312" w:cs="仿宋_gb2312" w:eastAsia="仿宋_gb2312"/>
          <w:sz w:val="24"/>
        </w:rPr>
        <w:t>◎合同期满承租方交还该房屋时，该房屋应处于完好状态（自然损耗除外）；如出租方发现为承租方原因造成该房屋及设施损坏时，出租方有权要求承租方支付对损坏部分的维修费，并赔偿由此给出租方造成的损失。</w:t>
      </w:r>
    </w:p>
    <w:p>
      <w:pPr>
        <w:pStyle w:val="null3"/>
        <w:ind w:firstLine="480"/>
        <w:jc w:val="both"/>
      </w:pPr>
      <w:r>
        <w:rPr>
          <w:rFonts w:ascii="仿宋_gb2312" w:hAnsi="仿宋_gb2312" w:cs="仿宋_gb2312" w:eastAsia="仿宋_gb2312"/>
          <w:sz w:val="24"/>
        </w:rPr>
        <w:t>◎承租方交还该房屋的一切费用及返还期内的水电费等其他费用均由承租方承担。</w:t>
      </w:r>
    </w:p>
    <w:p>
      <w:pPr>
        <w:pStyle w:val="null3"/>
        <w:ind w:firstLine="482"/>
        <w:jc w:val="both"/>
      </w:pPr>
      <w:r>
        <w:rPr>
          <w:rFonts w:ascii="仿宋_gb2312" w:hAnsi="仿宋_gb2312" w:cs="仿宋_gb2312" w:eastAsia="仿宋_gb2312"/>
          <w:sz w:val="24"/>
          <w:b/>
        </w:rPr>
        <w:t>第十条合同的解除和变更</w:t>
      </w:r>
    </w:p>
    <w:p>
      <w:pPr>
        <w:pStyle w:val="null3"/>
        <w:ind w:firstLine="480"/>
        <w:jc w:val="both"/>
      </w:pPr>
      <w:r>
        <w:rPr>
          <w:rFonts w:ascii="仿宋_gb2312" w:hAnsi="仿宋_gb2312" w:cs="仿宋_gb2312" w:eastAsia="仿宋_gb2312"/>
          <w:sz w:val="24"/>
        </w:rPr>
        <w:t>◎承租方有下列情形之一的，出租方可以提前解除合同，收回该房屋：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1）承租方擅自将该房屋改变用途，转租、转让、转借或抵押的；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2）承租方利用该房屋进行非法活动，损害公共利益或出租方实际利益的。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3）承租方拖欠租金或其他费用单次超过30日，或累计达１个月的；承租方拖欠租赁保证金超过7日的；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4）因承租方原因造成该房屋主体结构损坏的；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5）承租方进入破产程序的；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6）发生本合同约定的其他可能导致合同解除的情况。</w:t>
      </w:r>
    </w:p>
    <w:p>
      <w:pPr>
        <w:pStyle w:val="null3"/>
        <w:ind w:firstLine="480"/>
        <w:jc w:val="both"/>
      </w:pPr>
      <w:r>
        <w:rPr>
          <w:rFonts w:ascii="仿宋_gb2312" w:hAnsi="仿宋_gb2312" w:cs="仿宋_gb2312" w:eastAsia="仿宋_gb2312"/>
          <w:sz w:val="24"/>
        </w:rPr>
        <w:t>◎出租方有下列情形之一的，承租方可以提前解除合同：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1）其他第三方对承租方主张对该房屋的权利，造成承租方无法依约正常占用、使用该房屋的；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2）延迟交付该房屋超过30日的；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3）出租方交付的该房屋不符合本合同的约定，致使不能实现租赁目的的；或出租方交付的该房屋存在缺陷，危及承租方安全的，且经出租方在合理时间内整改后，该等缺陷仍然不能消除的；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4）出租方单方原因造成承租方无法经营，没有合理理由的；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5）出租方进入破产程序的；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6）发生本合同约定的其他可能导致合同解除的情况。</w:t>
      </w:r>
    </w:p>
    <w:p>
      <w:pPr>
        <w:pStyle w:val="null3"/>
        <w:ind w:firstLine="480"/>
        <w:jc w:val="both"/>
      </w:pPr>
      <w:r>
        <w:rPr>
          <w:rFonts w:ascii="仿宋_gb2312" w:hAnsi="仿宋_gb2312" w:cs="仿宋_gb2312" w:eastAsia="仿宋_gb2312"/>
          <w:sz w:val="24"/>
        </w:rPr>
        <w:t>◎合同的变更</w:t>
      </w:r>
    </w:p>
    <w:p>
      <w:pPr>
        <w:pStyle w:val="null3"/>
        <w:ind w:firstLine="480"/>
        <w:jc w:val="both"/>
      </w:pPr>
      <w:r>
        <w:rPr>
          <w:rFonts w:ascii="仿宋_gb2312" w:hAnsi="仿宋_gb2312" w:cs="仿宋_gb2312" w:eastAsia="仿宋_gb2312"/>
          <w:sz w:val="24"/>
        </w:rPr>
        <w:t>如需变更租赁期限或租赁楼层、租赁面积，申请变更一方需至少提前一个月书面通知另一方，并在双方（出租方和承租方）达成一致并签署补充协议的情况下可对合同内容进行变更；</w:t>
      </w:r>
    </w:p>
    <w:p>
      <w:pPr>
        <w:pStyle w:val="null3"/>
        <w:ind w:firstLine="480"/>
        <w:jc w:val="both"/>
      </w:pPr>
      <w:r>
        <w:rPr>
          <w:rFonts w:ascii="仿宋_gb2312" w:hAnsi="仿宋_gb2312" w:cs="仿宋_gb2312" w:eastAsia="仿宋_gb2312"/>
          <w:sz w:val="24"/>
        </w:rPr>
        <w:t>变更后的房租计算方式为：租金单价</w:t>
      </w:r>
      <w:r>
        <w:rPr>
          <w:rFonts w:ascii="仿宋_gb2312" w:hAnsi="仿宋_gb2312" w:cs="仿宋_gb2312" w:eastAsia="仿宋_gb2312"/>
          <w:sz w:val="24"/>
        </w:rPr>
        <w:t>×实际租用天数×租赁面积。</w:t>
      </w:r>
    </w:p>
    <w:p>
      <w:pPr>
        <w:pStyle w:val="null3"/>
        <w:ind w:firstLine="482"/>
        <w:jc w:val="both"/>
      </w:pPr>
      <w:r>
        <w:rPr>
          <w:rFonts w:ascii="仿宋_gb2312" w:hAnsi="仿宋_gb2312" w:cs="仿宋_gb2312" w:eastAsia="仿宋_gb2312"/>
          <w:sz w:val="24"/>
          <w:b/>
        </w:rPr>
        <w:t>第十一条违约责任</w:t>
      </w:r>
    </w:p>
    <w:p>
      <w:pPr>
        <w:pStyle w:val="null3"/>
        <w:ind w:firstLine="480"/>
        <w:jc w:val="both"/>
      </w:pPr>
      <w:r>
        <w:rPr>
          <w:rFonts w:ascii="仿宋_gb2312" w:hAnsi="仿宋_gb2312" w:cs="仿宋_gb2312" w:eastAsia="仿宋_gb2312"/>
          <w:sz w:val="24"/>
        </w:rPr>
        <w:t>◎出租方未按时交付该房屋供承租人使用，未超过30日的，每逾期一日应偿付租赁保证金0.05%的违约金；超过30日的，除应由出租方承担上述违约金之外，承租方有权解除合同。</w:t>
      </w:r>
    </w:p>
    <w:p>
      <w:pPr>
        <w:pStyle w:val="null3"/>
        <w:ind w:firstLine="480"/>
        <w:jc w:val="both"/>
      </w:pPr>
      <w:r>
        <w:rPr>
          <w:rFonts w:ascii="仿宋_gb2312" w:hAnsi="仿宋_gb2312" w:cs="仿宋_gb2312" w:eastAsia="仿宋_gb2312"/>
          <w:sz w:val="24"/>
        </w:rPr>
        <w:t>◎因出租方对该房屋未进行正常的维护修缮，造成承租方人员人身受到伤害或财产受到损失的，由出租方负责赔偿损失。</w:t>
      </w:r>
    </w:p>
    <w:p>
      <w:pPr>
        <w:pStyle w:val="null3"/>
        <w:ind w:firstLine="480"/>
        <w:jc w:val="both"/>
      </w:pPr>
      <w:r>
        <w:rPr>
          <w:rFonts w:ascii="仿宋_gb2312" w:hAnsi="仿宋_gb2312" w:cs="仿宋_gb2312" w:eastAsia="仿宋_gb2312"/>
          <w:sz w:val="24"/>
        </w:rPr>
        <w:t>◎承租方逾期交付租金及其他费用的，除仍应及时如数补交外，应支付违约金，逾期付款违约金数额按所欠款额的0.05%按日计算收取；若拖欠租金超过30日的,出租方有权解除合同。</w:t>
      </w:r>
    </w:p>
    <w:p>
      <w:pPr>
        <w:pStyle w:val="null3"/>
        <w:ind w:firstLine="480"/>
        <w:jc w:val="both"/>
      </w:pPr>
      <w:r>
        <w:rPr>
          <w:rFonts w:ascii="仿宋_gb2312" w:hAnsi="仿宋_gb2312" w:cs="仿宋_gb2312" w:eastAsia="仿宋_gb2312"/>
          <w:sz w:val="24"/>
        </w:rPr>
        <w:t>◎承租方违反合同，擅自将该房屋转给他人使用的，转租行为无效，承租方应立即停止侵权行为，并向出租方支付违约金，违约金按转租期间房屋租金的一倍支付。如因此造成该房屋毁损或出租人其他损失的，承租方应负赔偿责任。</w:t>
      </w:r>
    </w:p>
    <w:p>
      <w:pPr>
        <w:pStyle w:val="null3"/>
        <w:ind w:firstLine="480"/>
        <w:jc w:val="both"/>
      </w:pPr>
      <w:r>
        <w:rPr>
          <w:rFonts w:ascii="仿宋_gb2312" w:hAnsi="仿宋_gb2312" w:cs="仿宋_gb2312" w:eastAsia="仿宋_gb2312"/>
          <w:sz w:val="24"/>
        </w:rPr>
        <w:t>◎如果承租方违反本合同的任何条款且给出租方造成损失的，在接到出租方书面通知后10日内不予纠正的，则自该书面通知后20日起本合同自行解除，承租方应按出租方的要求迁出并归还该房屋；因违反本合同条款给出租方造成的损失及因承租方签出该房屋所造成的损失及费用，由承租方负担。</w:t>
      </w:r>
    </w:p>
    <w:p>
      <w:pPr>
        <w:pStyle w:val="null3"/>
        <w:ind w:firstLine="480"/>
        <w:jc w:val="both"/>
      </w:pPr>
      <w:r>
        <w:rPr>
          <w:rFonts w:ascii="仿宋_gb2312" w:hAnsi="仿宋_gb2312" w:cs="仿宋_gb2312" w:eastAsia="仿宋_gb2312"/>
          <w:sz w:val="24"/>
        </w:rPr>
        <w:t>◎如果出租方违反本合同的任何条款，并在接到承租方书面要求后10日内仍未予以纠正，给承租方造成损失的，承租方有权要求出租方赔偿其一切损失。</w:t>
      </w:r>
    </w:p>
    <w:p>
      <w:pPr>
        <w:pStyle w:val="null3"/>
        <w:ind w:firstLine="480"/>
        <w:jc w:val="both"/>
      </w:pPr>
      <w:r>
        <w:rPr>
          <w:rFonts w:ascii="仿宋_gb2312" w:hAnsi="仿宋_gb2312" w:cs="仿宋_gb2312" w:eastAsia="仿宋_gb2312"/>
          <w:sz w:val="24"/>
        </w:rPr>
        <w:t>◎如果承租方违反本合同的任何条款（包括拖欠租金和其他费用、损失赔偿及其它不按合同履行义务的行为），出租方有权催促承租方在指定时间内履行合同。若承租方在上述指定时间仍不能履行合同规定的义务，则出租方有权从租赁保证金中扣除与损失相当的部分。出租方按本合同规定用租赁保证金充抵承租方应付的款项后，所持租赁保证金少于本条第5款规定的数额时，则承租方应在接到出租方通知7日内将租赁保证金补足，否则出租方有权解除合同并收回房屋。</w:t>
      </w:r>
    </w:p>
    <w:p>
      <w:pPr>
        <w:pStyle w:val="null3"/>
        <w:ind w:firstLine="480"/>
        <w:jc w:val="both"/>
      </w:pPr>
      <w:r>
        <w:rPr>
          <w:rFonts w:ascii="仿宋_gb2312" w:hAnsi="仿宋_gb2312" w:cs="仿宋_gb2312" w:eastAsia="仿宋_gb2312"/>
          <w:sz w:val="24"/>
        </w:rPr>
        <w:t>◎如发生本合同第十条约定的情形，守约方解除合同的，违约方还应支付相当于三个月租金的违约金。</w:t>
      </w:r>
    </w:p>
    <w:p>
      <w:pPr>
        <w:pStyle w:val="null3"/>
        <w:ind w:firstLine="482"/>
        <w:jc w:val="both"/>
      </w:pPr>
      <w:r>
        <w:rPr>
          <w:rFonts w:ascii="仿宋_gb2312" w:hAnsi="仿宋_gb2312" w:cs="仿宋_gb2312" w:eastAsia="仿宋_gb2312"/>
          <w:sz w:val="24"/>
          <w:b/>
        </w:rPr>
        <w:t>第十二条合同验收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1）验收组织方式：√自行组织 □委托第三方组织</w:t>
      </w:r>
    </w:p>
    <w:p>
      <w:pPr>
        <w:pStyle w:val="null3"/>
        <w:ind w:firstLine="480"/>
        <w:jc w:val="both"/>
      </w:pPr>
      <w:r>
        <w:rPr>
          <w:rFonts w:ascii="仿宋_gb2312" w:hAnsi="仿宋_gb2312" w:cs="仿宋_gb2312" w:eastAsia="仿宋_gb2312"/>
          <w:sz w:val="24"/>
        </w:rPr>
        <w:t>◎验收主体：</w:t>
      </w:r>
      <w:r>
        <w:rPr>
          <w:u w:val="single"/>
        </w:rPr>
        <w:t xml:space="preserve">  </w:t>
      </w:r>
      <w:r>
        <w:rPr>
          <w:rFonts w:ascii="仿宋_gb2312" w:hAnsi="仿宋_gb2312" w:cs="仿宋_gb2312" w:eastAsia="仿宋_gb2312"/>
          <w:sz w:val="24"/>
          <w:u w:val="single"/>
        </w:rPr>
        <w:t>中国人民银行党校</w:t>
      </w:r>
      <w:r>
        <w:rPr>
          <w:rFonts w:ascii="仿宋_gb2312" w:hAnsi="仿宋_gb2312" w:cs="仿宋_gb2312" w:eastAsia="仿宋_gb2312"/>
          <w:sz w:val="24"/>
          <w:u w:val="single"/>
        </w:rPr>
        <w:t xml:space="preserve">        </w:t>
      </w:r>
    </w:p>
    <w:p>
      <w:pPr>
        <w:pStyle w:val="null3"/>
        <w:ind w:firstLine="480"/>
        <w:jc w:val="both"/>
      </w:pPr>
      <w:r>
        <w:rPr>
          <w:rFonts w:ascii="仿宋_gb2312" w:hAnsi="仿宋_gb2312" w:cs="仿宋_gb2312" w:eastAsia="仿宋_gb2312"/>
          <w:sz w:val="24"/>
        </w:rPr>
        <w:t>◎是否邀请本项目的其他供应商参加验收：□是  √否</w:t>
      </w:r>
    </w:p>
    <w:p>
      <w:pPr>
        <w:pStyle w:val="null3"/>
        <w:ind w:firstLine="480"/>
        <w:jc w:val="both"/>
      </w:pPr>
      <w:r>
        <w:rPr>
          <w:rFonts w:ascii="仿宋_gb2312" w:hAnsi="仿宋_gb2312" w:cs="仿宋_gb2312" w:eastAsia="仿宋_gb2312"/>
          <w:sz w:val="24"/>
        </w:rPr>
        <w:t>◎是否邀请专家参加验收：□是  √否</w:t>
      </w:r>
    </w:p>
    <w:p>
      <w:pPr>
        <w:pStyle w:val="null3"/>
        <w:ind w:firstLine="480"/>
        <w:jc w:val="both"/>
      </w:pPr>
      <w:r>
        <w:rPr>
          <w:rFonts w:ascii="仿宋_gb2312" w:hAnsi="仿宋_gb2312" w:cs="仿宋_gb2312" w:eastAsia="仿宋_gb2312"/>
          <w:sz w:val="24"/>
        </w:rPr>
        <w:t>◎是否邀请服务对象参加验收：□是  √否</w:t>
      </w:r>
    </w:p>
    <w:p>
      <w:pPr>
        <w:pStyle w:val="null3"/>
        <w:ind w:firstLine="480"/>
        <w:jc w:val="both"/>
      </w:pPr>
      <w:r>
        <w:rPr>
          <w:rFonts w:ascii="仿宋_gb2312" w:hAnsi="仿宋_gb2312" w:cs="仿宋_gb2312" w:eastAsia="仿宋_gb2312"/>
          <w:sz w:val="24"/>
        </w:rPr>
        <w:t>◎是否邀请第三方检测机构参加验收：□是  √否</w:t>
      </w:r>
    </w:p>
    <w:p>
      <w:pPr>
        <w:pStyle w:val="null3"/>
        <w:ind w:firstLine="480"/>
        <w:jc w:val="both"/>
      </w:pPr>
      <w:r>
        <w:rPr>
          <w:rFonts w:ascii="仿宋_gb2312" w:hAnsi="仿宋_gb2312" w:cs="仿宋_gb2312" w:eastAsia="仿宋_gb2312"/>
          <w:sz w:val="24"/>
        </w:rPr>
        <w:t>◎验收组织的其他事项：</w:t>
      </w:r>
      <w:r>
        <w:rPr>
          <w:u w:val="single"/>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2）履约验收时间：</w:t>
      </w:r>
      <w:r>
        <w:rPr>
          <w:rFonts w:ascii="仿宋_gb2312" w:hAnsi="仿宋_gb2312" w:cs="仿宋_gb2312" w:eastAsia="仿宋_gb2312"/>
          <w:sz w:val="24"/>
          <w:u w:val="single"/>
        </w:rPr>
        <w:t>租期内，自出租方提出验收申请之日起</w:t>
      </w:r>
      <w:r>
        <w:rPr>
          <w:rFonts w:ascii="仿宋_gb2312" w:hAnsi="仿宋_gb2312" w:cs="仿宋_gb2312" w:eastAsia="仿宋_gb2312"/>
          <w:sz w:val="24"/>
          <w:u w:val="single"/>
        </w:rPr>
        <w:t>15日内组织验收，验收时间最晚不超过当年的12月15日。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3）履约验收方式：□一次性验收      </w:t>
      </w:r>
    </w:p>
    <w:p>
      <w:pPr>
        <w:pStyle w:val="null3"/>
        <w:ind w:firstLine="480"/>
        <w:jc w:val="both"/>
      </w:pPr>
      <w:r>
        <w:rPr>
          <w:rFonts w:ascii="仿宋_gb2312" w:hAnsi="仿宋_gb2312" w:cs="仿宋_gb2312" w:eastAsia="仿宋_gb2312"/>
          <w:sz w:val="24"/>
        </w:rPr>
        <w:t xml:space="preserve">                   √分期/分项验收：</w:t>
      </w:r>
      <w:r>
        <w:rPr>
          <w:rFonts w:ascii="仿宋_gb2312" w:hAnsi="仿宋_gb2312" w:cs="仿宋_gb2312" w:eastAsia="仿宋_gb2312"/>
          <w:sz w:val="24"/>
          <w:u w:val="single"/>
        </w:rPr>
        <w:t>租期内，最晚当年</w:t>
      </w:r>
      <w:r>
        <w:rPr>
          <w:rFonts w:ascii="仿宋_gb2312" w:hAnsi="仿宋_gb2312" w:cs="仿宋_gb2312" w:eastAsia="仿宋_gb2312"/>
          <w:sz w:val="24"/>
          <w:u w:val="single"/>
        </w:rPr>
        <w:t>12月15日前验收一次。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4）履约验收程序：</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出租方方提出验收申请，承租方在</w:t>
      </w:r>
      <w:r>
        <w:rPr>
          <w:rFonts w:ascii="仿宋_gb2312" w:hAnsi="仿宋_gb2312" w:cs="仿宋_gb2312" w:eastAsia="仿宋_gb2312"/>
          <w:sz w:val="24"/>
          <w:u w:val="single"/>
        </w:rPr>
        <w:t>15日完成验收并出具验收通知书。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5）履约验收内容：</w:t>
      </w:r>
      <w:r>
        <w:rPr>
          <w:rFonts w:ascii="仿宋_gb2312" w:hAnsi="仿宋_gb2312" w:cs="仿宋_gb2312" w:eastAsia="仿宋_gb2312"/>
          <w:sz w:val="24"/>
          <w:u w:val="single"/>
        </w:rPr>
        <w:t>承租方对办公用房整体环境、物业服务管理水平进行验收，包括但不限于租期内办公环境干净整洁，房间内部地板平整无塌陷，内外墙面完好且未出现漏水漏风等问题，办公区域内的水、电管线安全可用，办公区域内不存在消防安全等风险隐患。</w:t>
      </w:r>
      <w:r>
        <w:rPr>
          <w:rFonts w:ascii="仿宋_gb2312" w:hAnsi="仿宋_gb2312" w:cs="仿宋_gb2312" w:eastAsia="仿宋_gb2312"/>
          <w:sz w:val="24"/>
          <w:u w:val="single"/>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6）履约验收标准：</w:t>
      </w:r>
      <w:r>
        <w:rPr>
          <w:rFonts w:ascii="仿宋_gb2312" w:hAnsi="仿宋_gb2312" w:cs="仿宋_gb2312" w:eastAsia="仿宋_gb2312"/>
          <w:sz w:val="24"/>
          <w:u w:val="single"/>
        </w:rPr>
        <w:t>办公用房符合承租方实际需求，办公环境收拾的干净整洁，房间内部地板平整无塌陷，内外墙面完好且未出现漏水漏风等问题，办公区域内的水、电管线安全可用，办公区域内不存在消防安全等风险隐患。</w:t>
      </w:r>
    </w:p>
    <w:p>
      <w:pPr>
        <w:pStyle w:val="null3"/>
        <w:numPr>
          <w:ilvl w:val="0"/>
          <w:numId w:val="1"/>
        </w:numPr>
        <w:jc w:val="both"/>
      </w:pPr>
      <w:r>
        <w:rPr>
          <w:rFonts w:ascii="仿宋_gb2312" w:hAnsi="仿宋_gb2312" w:cs="仿宋_gb2312" w:eastAsia="仿宋_gb2312"/>
          <w:sz w:val="24"/>
        </w:rPr>
        <w:t>履约验收其他事项：</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无。</w:t>
      </w:r>
      <w:r>
        <w:rPr>
          <w:rFonts w:ascii="仿宋_gb2312" w:hAnsi="仿宋_gb2312" w:cs="仿宋_gb2312" w:eastAsia="仿宋_gb2312"/>
          <w:sz w:val="24"/>
          <w:u w:val="single"/>
        </w:rPr>
        <w:t xml:space="preserve">                               </w:t>
      </w:r>
    </w:p>
    <w:p>
      <w:pPr>
        <w:pStyle w:val="null3"/>
        <w:ind w:left="480"/>
        <w:jc w:val="both"/>
      </w:pPr>
      <w:r>
        <w:rPr>
          <w:rFonts w:ascii="仿宋_gb2312" w:hAnsi="仿宋_gb2312" w:cs="仿宋_gb2312" w:eastAsia="仿宋_gb2312"/>
          <w:sz w:val="24"/>
          <w:b/>
        </w:rPr>
        <w:t>第十三条责任的免除</w:t>
      </w:r>
    </w:p>
    <w:p>
      <w:pPr>
        <w:pStyle w:val="null3"/>
        <w:ind w:firstLine="480"/>
        <w:jc w:val="both"/>
      </w:pPr>
      <w:r>
        <w:rPr>
          <w:rFonts w:ascii="仿宋_gb2312" w:hAnsi="仿宋_gb2312" w:cs="仿宋_gb2312" w:eastAsia="仿宋_gb2312"/>
          <w:sz w:val="24"/>
        </w:rPr>
        <w:t>◎由于地震、水灾等不可抗力造成的损失，双方互不承担责任，不可抗力发生后，双方应就本合同的中止或解除应达成一致意见并签署书面补充协议。合同中止的，不可抗力消失后双方应继续履行，本合同中的租赁期限相应顺延。</w:t>
      </w:r>
    </w:p>
    <w:p>
      <w:pPr>
        <w:pStyle w:val="null3"/>
        <w:ind w:firstLine="480"/>
        <w:jc w:val="both"/>
      </w:pPr>
      <w:r>
        <w:rPr>
          <w:rFonts w:ascii="仿宋_gb2312" w:hAnsi="仿宋_gb2312" w:cs="仿宋_gb2312" w:eastAsia="仿宋_gb2312"/>
          <w:sz w:val="24"/>
        </w:rPr>
        <w:t>◎在事先通知承租方的前提下，为进行必要的建筑物的维护保养工程致使公用设施的暂时性停止使用，出租方不负责任；非出租方原因致使公用设施的暂时性停止使用，出租方不负责任。</w:t>
      </w:r>
    </w:p>
    <w:p>
      <w:pPr>
        <w:pStyle w:val="null3"/>
        <w:ind w:firstLine="480"/>
        <w:jc w:val="both"/>
      </w:pPr>
      <w:r>
        <w:rPr>
          <w:rFonts w:ascii="仿宋_gb2312" w:hAnsi="仿宋_gb2312" w:cs="仿宋_gb2312" w:eastAsia="仿宋_gb2312"/>
          <w:sz w:val="24"/>
        </w:rPr>
        <w:t>◎由于其它承租人或第三者原因，致使承租方遭受损失时，出租方不承担责任；但法律规定与本合同约定的责任除外。</w:t>
      </w:r>
    </w:p>
    <w:p>
      <w:pPr>
        <w:pStyle w:val="null3"/>
        <w:ind w:firstLine="480"/>
        <w:jc w:val="both"/>
      </w:pPr>
      <w:r>
        <w:rPr>
          <w:rFonts w:ascii="仿宋_gb2312" w:hAnsi="仿宋_gb2312" w:cs="仿宋_gb2312" w:eastAsia="仿宋_gb2312"/>
          <w:sz w:val="24"/>
        </w:rPr>
        <w:t>◎该房屋占用范围内的土地使用权依法提前收回的或该房屋因社会公共利益或城市建设需要被依法征用的；双方互不承担责任。</w:t>
      </w:r>
    </w:p>
    <w:p>
      <w:pPr>
        <w:pStyle w:val="null3"/>
        <w:ind w:firstLine="480"/>
        <w:jc w:val="both"/>
      </w:pPr>
      <w:r>
        <w:rPr>
          <w:rFonts w:ascii="仿宋_gb2312" w:hAnsi="仿宋_gb2312" w:cs="仿宋_gb2312" w:eastAsia="仿宋_gb2312"/>
          <w:sz w:val="24"/>
        </w:rPr>
        <w:t>◎该房屋因为不可抗力毁损、灭失或者被鉴定为危险房屋的；双方互不承担责任。</w:t>
      </w:r>
    </w:p>
    <w:p>
      <w:pPr>
        <w:pStyle w:val="null3"/>
        <w:ind w:firstLine="482"/>
        <w:jc w:val="both"/>
      </w:pPr>
      <w:r>
        <w:rPr>
          <w:rFonts w:ascii="仿宋_gb2312" w:hAnsi="仿宋_gb2312" w:cs="仿宋_gb2312" w:eastAsia="仿宋_gb2312"/>
          <w:sz w:val="24"/>
          <w:b/>
        </w:rPr>
        <w:t>第十四条放弃权力</w:t>
      </w:r>
    </w:p>
    <w:p>
      <w:pPr>
        <w:pStyle w:val="null3"/>
        <w:ind w:firstLine="480"/>
        <w:jc w:val="both"/>
      </w:pPr>
      <w:r>
        <w:rPr>
          <w:rFonts w:ascii="仿宋_gb2312" w:hAnsi="仿宋_gb2312" w:cs="仿宋_gb2312" w:eastAsia="仿宋_gb2312"/>
          <w:sz w:val="24"/>
        </w:rPr>
        <w:t>◎双方放弃本合同各项条款规定的权力，只能以双方书面签字为据。</w:t>
      </w:r>
    </w:p>
    <w:p>
      <w:pPr>
        <w:pStyle w:val="null3"/>
        <w:ind w:firstLine="480"/>
        <w:jc w:val="both"/>
      </w:pPr>
      <w:r>
        <w:rPr>
          <w:rFonts w:ascii="仿宋_gb2312" w:hAnsi="仿宋_gb2312" w:cs="仿宋_gb2312" w:eastAsia="仿宋_gb2312"/>
          <w:sz w:val="24"/>
        </w:rPr>
        <w:t>◎出租方接受数额不足的租金或其它款项时，均不能视为同意少缴款额，不影响出租方追索欠款欠租的权利，亦不影响出租方按本合同或按法律规定采取其它措施的权利。</w:t>
      </w:r>
    </w:p>
    <w:p>
      <w:pPr>
        <w:pStyle w:val="null3"/>
        <w:ind w:firstLine="482"/>
        <w:jc w:val="both"/>
      </w:pPr>
      <w:r>
        <w:rPr>
          <w:rFonts w:ascii="仿宋_gb2312" w:hAnsi="仿宋_gb2312" w:cs="仿宋_gb2312" w:eastAsia="仿宋_gb2312"/>
          <w:sz w:val="24"/>
          <w:b/>
        </w:rPr>
        <w:t>第十五条营业执照</w:t>
      </w:r>
    </w:p>
    <w:p>
      <w:pPr>
        <w:pStyle w:val="null3"/>
        <w:ind w:firstLine="480"/>
        <w:jc w:val="both"/>
      </w:pPr>
      <w:r>
        <w:rPr>
          <w:rFonts w:ascii="仿宋_gb2312" w:hAnsi="仿宋_gb2312" w:cs="仿宋_gb2312" w:eastAsia="仿宋_gb2312"/>
          <w:sz w:val="24"/>
        </w:rPr>
        <w:t>◎双方在本合同签署之前，应互相出示中华人民共和国政府颁发的营业执照及授权承租人出租人代表签署本合同的授权书，并将营业执照复印件和授权书原本作为附件附于本合同后，本合同之附件与本合同同时生效并构成本合同重要部分。</w:t>
      </w:r>
    </w:p>
    <w:p>
      <w:pPr>
        <w:pStyle w:val="null3"/>
        <w:ind w:firstLine="482"/>
        <w:jc w:val="both"/>
      </w:pPr>
      <w:r>
        <w:rPr>
          <w:rFonts w:ascii="仿宋_gb2312" w:hAnsi="仿宋_gb2312" w:cs="仿宋_gb2312" w:eastAsia="仿宋_gb2312"/>
          <w:sz w:val="24"/>
          <w:b/>
        </w:rPr>
        <w:t>第十六条通知</w:t>
      </w:r>
    </w:p>
    <w:p>
      <w:pPr>
        <w:pStyle w:val="null3"/>
        <w:ind w:firstLine="480"/>
        <w:jc w:val="both"/>
      </w:pPr>
      <w:r>
        <w:rPr>
          <w:rFonts w:ascii="仿宋_gb2312" w:hAnsi="仿宋_gb2312" w:cs="仿宋_gb2312" w:eastAsia="仿宋_gb2312"/>
          <w:sz w:val="24"/>
        </w:rPr>
        <w:t>◎依据本合同要求有任何一方发出的通知或其他文件应以中文书写，可经专人递交，或以(预付邮资的)挂号信件，或以公认的快递服务，或传真发到另一方的下述地址（即双方于本租赁合同中预留之有效通讯地址）。如通讯地址发生变更，任何一方应及时通知另一方，如因通讯地址无效导致不能送达。责任完全由预留地址无效一方承担。</w:t>
      </w:r>
    </w:p>
    <w:p>
      <w:pPr>
        <w:pStyle w:val="null3"/>
        <w:jc w:val="both"/>
      </w:pPr>
      <w:r>
        <w:rPr>
          <w:rFonts w:ascii="仿宋_gb2312" w:hAnsi="仿宋_gb2312" w:cs="仿宋_gb2312" w:eastAsia="仿宋_gb2312"/>
          <w:sz w:val="24"/>
        </w:rPr>
        <w:t>双方通讯方式如下：</w:t>
      </w:r>
    </w:p>
    <w:p>
      <w:pPr>
        <w:pStyle w:val="null3"/>
        <w:jc w:val="both"/>
      </w:pPr>
      <w:r>
        <w:rPr>
          <w:rFonts w:ascii="仿宋_gb2312" w:hAnsi="仿宋_gb2312" w:cs="仿宋_gb2312" w:eastAsia="仿宋_gb2312"/>
          <w:sz w:val="24"/>
        </w:rPr>
        <w:t>出租方：</w:t>
      </w:r>
      <w:r>
        <w:rPr>
          <w:u w:val="single"/>
        </w:rPr>
        <w:t xml:space="preserve">                                       </w:t>
      </w:r>
    </w:p>
    <w:p>
      <w:pPr>
        <w:pStyle w:val="null3"/>
        <w:jc w:val="both"/>
      </w:pPr>
      <w:r>
        <w:rPr>
          <w:rFonts w:ascii="仿宋_gb2312" w:hAnsi="仿宋_gb2312" w:cs="仿宋_gb2312" w:eastAsia="仿宋_gb2312"/>
          <w:sz w:val="24"/>
        </w:rPr>
        <w:t>收件人：</w:t>
      </w:r>
      <w:r>
        <w:rPr>
          <w:u w:val="single"/>
        </w:rPr>
        <w:t xml:space="preserve">                                       </w:t>
      </w:r>
    </w:p>
    <w:p>
      <w:pPr>
        <w:pStyle w:val="null3"/>
        <w:jc w:val="both"/>
      </w:pPr>
      <w:r>
        <w:rPr>
          <w:rFonts w:ascii="仿宋_gb2312" w:hAnsi="仿宋_gb2312" w:cs="仿宋_gb2312" w:eastAsia="仿宋_gb2312"/>
          <w:sz w:val="24"/>
        </w:rPr>
        <w:t>地址：</w:t>
      </w:r>
      <w:r>
        <w:rPr>
          <w:u w:val="single"/>
        </w:rPr>
        <w:t xml:space="preserve">                                         </w:t>
      </w:r>
    </w:p>
    <w:p>
      <w:pPr>
        <w:pStyle w:val="null3"/>
        <w:jc w:val="both"/>
      </w:pPr>
      <w:r>
        <w:rPr>
          <w:rFonts w:ascii="仿宋_gb2312" w:hAnsi="仿宋_gb2312" w:cs="仿宋_gb2312" w:eastAsia="仿宋_gb2312"/>
          <w:sz w:val="24"/>
        </w:rPr>
        <w:t>邮编：</w:t>
      </w:r>
      <w:r>
        <w:rPr>
          <w:u w:val="single"/>
        </w:rPr>
        <w:t xml:space="preserve">                                         </w:t>
      </w:r>
    </w:p>
    <w:p>
      <w:pPr>
        <w:pStyle w:val="null3"/>
        <w:jc w:val="both"/>
      </w:pPr>
      <w:r>
        <w:rPr>
          <w:rFonts w:ascii="仿宋_gb2312" w:hAnsi="仿宋_gb2312" w:cs="仿宋_gb2312" w:eastAsia="仿宋_gb2312"/>
          <w:sz w:val="24"/>
        </w:rPr>
        <w:t>传真：</w:t>
      </w:r>
      <w:r>
        <w:rPr>
          <w:u w:val="single"/>
        </w:rPr>
        <w:t xml:space="preserve">                                         </w:t>
      </w:r>
    </w:p>
    <w:p>
      <w:pPr>
        <w:pStyle w:val="null3"/>
        <w:jc w:val="both"/>
      </w:pPr>
      <w:r>
        <w:rPr>
          <w:rFonts w:ascii="仿宋_gb2312" w:hAnsi="仿宋_gb2312" w:cs="仿宋_gb2312" w:eastAsia="仿宋_gb2312"/>
          <w:sz w:val="24"/>
        </w:rPr>
        <w:t>承租方：中国人民银行党校</w:t>
      </w:r>
    </w:p>
    <w:p>
      <w:pPr>
        <w:pStyle w:val="null3"/>
        <w:jc w:val="both"/>
      </w:pPr>
      <w:r>
        <w:rPr>
          <w:rFonts w:ascii="仿宋_gb2312" w:hAnsi="仿宋_gb2312" w:cs="仿宋_gb2312" w:eastAsia="仿宋_gb2312"/>
          <w:sz w:val="24"/>
        </w:rPr>
        <w:t>收件人：中国人民银行党校办公室</w:t>
      </w:r>
    </w:p>
    <w:p>
      <w:pPr>
        <w:pStyle w:val="null3"/>
        <w:jc w:val="both"/>
      </w:pPr>
      <w:r>
        <w:rPr>
          <w:rFonts w:ascii="仿宋_gb2312" w:hAnsi="仿宋_gb2312" w:cs="仿宋_gb2312" w:eastAsia="仿宋_gb2312"/>
          <w:sz w:val="24"/>
        </w:rPr>
        <w:t>地址：北京市西城区金融大街</w:t>
      </w:r>
      <w:r>
        <w:rPr>
          <w:rFonts w:ascii="仿宋_gb2312" w:hAnsi="仿宋_gb2312" w:cs="仿宋_gb2312" w:eastAsia="仿宋_gb2312"/>
          <w:sz w:val="24"/>
        </w:rPr>
        <w:t>33号通泰大厦A座</w:t>
      </w:r>
    </w:p>
    <w:p>
      <w:pPr>
        <w:pStyle w:val="null3"/>
        <w:jc w:val="both"/>
      </w:pPr>
      <w:r>
        <w:rPr>
          <w:rFonts w:ascii="仿宋_gb2312" w:hAnsi="仿宋_gb2312" w:cs="仿宋_gb2312" w:eastAsia="仿宋_gb2312"/>
          <w:sz w:val="24"/>
        </w:rPr>
        <w:t>邮编：</w:t>
      </w:r>
      <w:r>
        <w:rPr>
          <w:rFonts w:ascii="仿宋_gb2312" w:hAnsi="仿宋_gb2312" w:cs="仿宋_gb2312" w:eastAsia="仿宋_gb2312"/>
          <w:sz w:val="24"/>
        </w:rPr>
        <w:t>100800</w:t>
      </w:r>
    </w:p>
    <w:p>
      <w:pPr>
        <w:pStyle w:val="null3"/>
        <w:jc w:val="both"/>
      </w:pPr>
      <w:r>
        <w:rPr>
          <w:rFonts w:ascii="仿宋_gb2312" w:hAnsi="仿宋_gb2312" w:cs="仿宋_gb2312" w:eastAsia="仿宋_gb2312"/>
          <w:sz w:val="24"/>
        </w:rPr>
        <w:t>传真：</w:t>
      </w:r>
      <w:r>
        <w:rPr>
          <w:rFonts w:ascii="仿宋_gb2312" w:hAnsi="仿宋_gb2312" w:cs="仿宋_gb2312" w:eastAsia="仿宋_gb2312"/>
          <w:sz w:val="24"/>
        </w:rPr>
        <w:t>66013193</w:t>
      </w:r>
    </w:p>
    <w:p>
      <w:pPr>
        <w:pStyle w:val="null3"/>
        <w:jc w:val="both"/>
      </w:pPr>
      <w:r>
        <w:rPr>
          <w:rFonts w:ascii="仿宋_gb2312" w:hAnsi="仿宋_gb2312" w:cs="仿宋_gb2312" w:eastAsia="仿宋_gb2312"/>
          <w:sz w:val="24"/>
        </w:rPr>
        <w:t>通知被视为送达的日期应按如下方法决定：</w:t>
      </w:r>
    </w:p>
    <w:p>
      <w:pPr>
        <w:pStyle w:val="null3"/>
        <w:ind w:firstLine="480"/>
        <w:jc w:val="both"/>
      </w:pPr>
      <w:r>
        <w:rPr>
          <w:rFonts w:ascii="仿宋_gb2312" w:hAnsi="仿宋_gb2312" w:cs="仿宋_gb2312" w:eastAsia="仿宋_gb2312"/>
          <w:sz w:val="24"/>
        </w:rPr>
        <w:t>1、专人递交的通知在专人送达之日视为有效送达；</w:t>
      </w:r>
    </w:p>
    <w:p>
      <w:pPr>
        <w:pStyle w:val="null3"/>
        <w:ind w:firstLine="480"/>
        <w:jc w:val="both"/>
      </w:pPr>
      <w:r>
        <w:rPr>
          <w:rFonts w:ascii="仿宋_gb2312" w:hAnsi="仿宋_gb2312" w:cs="仿宋_gb2312" w:eastAsia="仿宋_gb2312"/>
          <w:sz w:val="24"/>
        </w:rPr>
        <w:t>2、以(预付邮资的)挂号信件发出的通知，应在寄出日（以邮戳为凭）后第3日视为有效送达；</w:t>
      </w:r>
    </w:p>
    <w:p>
      <w:pPr>
        <w:pStyle w:val="null3"/>
        <w:ind w:firstLine="480"/>
        <w:jc w:val="both"/>
      </w:pPr>
      <w:r>
        <w:rPr>
          <w:rFonts w:ascii="仿宋_gb2312" w:hAnsi="仿宋_gb2312" w:cs="仿宋_gb2312" w:eastAsia="仿宋_gb2312"/>
          <w:sz w:val="24"/>
        </w:rPr>
        <w:t>3、以快递发送的通知应于交予公认的快递服务发送后第2日视为有效送达；</w:t>
      </w:r>
    </w:p>
    <w:p>
      <w:pPr>
        <w:pStyle w:val="null3"/>
        <w:ind w:firstLine="480"/>
        <w:jc w:val="both"/>
      </w:pPr>
      <w:r>
        <w:rPr>
          <w:rFonts w:ascii="仿宋_gb2312" w:hAnsi="仿宋_gb2312" w:cs="仿宋_gb2312" w:eastAsia="仿宋_gb2312"/>
          <w:sz w:val="24"/>
        </w:rPr>
        <w:t>4、以传真发出的通知，在传送日视为有效送达。</w:t>
      </w:r>
    </w:p>
    <w:p>
      <w:pPr>
        <w:pStyle w:val="null3"/>
        <w:ind w:firstLine="482"/>
        <w:jc w:val="both"/>
      </w:pPr>
      <w:r>
        <w:rPr>
          <w:rFonts w:ascii="仿宋_gb2312" w:hAnsi="仿宋_gb2312" w:cs="仿宋_gb2312" w:eastAsia="仿宋_gb2312"/>
          <w:sz w:val="24"/>
          <w:b/>
        </w:rPr>
        <w:t>第十七条争议的解决</w:t>
      </w:r>
      <w:r>
        <w:rPr>
          <w:rFonts w:ascii="仿宋_gb2312" w:hAnsi="仿宋_gb2312" w:cs="仿宋_gb2312" w:eastAsia="仿宋_gb2312"/>
          <w:sz w:val="24"/>
          <w:b/>
        </w:rPr>
        <w:t xml:space="preserve">   </w:t>
      </w:r>
    </w:p>
    <w:p>
      <w:pPr>
        <w:pStyle w:val="null3"/>
        <w:ind w:firstLine="480"/>
        <w:jc w:val="both"/>
      </w:pPr>
      <w:r>
        <w:rPr>
          <w:rFonts w:ascii="仿宋_gb2312" w:hAnsi="仿宋_gb2312" w:cs="仿宋_gb2312" w:eastAsia="仿宋_gb2312"/>
          <w:sz w:val="24"/>
        </w:rPr>
        <w:t>凡与本合同有关的一切争议，双方可协商解决，协商不成双方可向北京市西城区人民法院提起诉讼。</w:t>
      </w:r>
    </w:p>
    <w:p>
      <w:pPr>
        <w:pStyle w:val="null3"/>
        <w:ind w:firstLine="482"/>
        <w:jc w:val="both"/>
      </w:pPr>
      <w:r>
        <w:rPr>
          <w:rFonts w:ascii="仿宋_gb2312" w:hAnsi="仿宋_gb2312" w:cs="仿宋_gb2312" w:eastAsia="仿宋_gb2312"/>
          <w:sz w:val="24"/>
          <w:b/>
        </w:rPr>
        <w:t>第十八条其他</w:t>
      </w:r>
    </w:p>
    <w:p>
      <w:pPr>
        <w:pStyle w:val="null3"/>
        <w:ind w:firstLine="480"/>
        <w:jc w:val="both"/>
      </w:pPr>
      <w:r>
        <w:rPr>
          <w:rFonts w:ascii="仿宋_gb2312" w:hAnsi="仿宋_gb2312" w:cs="仿宋_gb2312" w:eastAsia="仿宋_gb2312"/>
          <w:sz w:val="24"/>
        </w:rPr>
        <w:t>◎本合同未尽事宜，经双方共同协商，可签订补充协议，补充协议与本合同具有同等法律效力。</w:t>
      </w:r>
    </w:p>
    <w:p>
      <w:pPr>
        <w:pStyle w:val="null3"/>
        <w:ind w:firstLine="480"/>
        <w:jc w:val="both"/>
      </w:pPr>
      <w:r>
        <w:rPr>
          <w:rFonts w:ascii="仿宋_gb2312" w:hAnsi="仿宋_gb2312" w:cs="仿宋_gb2312" w:eastAsia="仿宋_gb2312"/>
          <w:sz w:val="24"/>
        </w:rPr>
        <w:t>◎本合同签约双方均应履行保密义务，未经对方同意，不得将在履行本合同过程中知悉的其它各方相关保密信息告知或故意泄露给无关单位或个人知晓，但根据法律法规及有关法院、政府机关、监管机构要求披露的除外。保密期限与本租赁合同期限保持一致。</w:t>
      </w:r>
    </w:p>
    <w:p>
      <w:pPr>
        <w:pStyle w:val="null3"/>
        <w:ind w:firstLine="480"/>
        <w:jc w:val="both"/>
      </w:pPr>
      <w:r>
        <w:rPr>
          <w:rFonts w:ascii="仿宋_gb2312" w:hAnsi="仿宋_gb2312" w:cs="仿宋_gb2312" w:eastAsia="仿宋_gb2312"/>
          <w:sz w:val="24"/>
        </w:rPr>
        <w:t>◎本合同经双方法定代表人（负责人）或委托代理人签字，并加盖公章之日生效。</w:t>
      </w:r>
    </w:p>
    <w:p>
      <w:pPr>
        <w:pStyle w:val="null3"/>
        <w:ind w:firstLine="480"/>
        <w:jc w:val="both"/>
      </w:pPr>
      <w:r>
        <w:rPr>
          <w:rFonts w:ascii="仿宋_gb2312" w:hAnsi="仿宋_gb2312" w:cs="仿宋_gb2312" w:eastAsia="仿宋_gb2312"/>
          <w:sz w:val="24"/>
        </w:rPr>
        <w:t>◎本合同一式肆份，出租方执贰份，承租方执贰份。</w:t>
      </w:r>
    </w:p>
    <w:p>
      <w:pPr>
        <w:pStyle w:val="null3"/>
        <w:ind w:firstLine="480"/>
        <w:jc w:val="both"/>
      </w:pPr>
      <w:r>
        <w:rPr>
          <w:rFonts w:ascii="仿宋_gb2312" w:hAnsi="仿宋_gb2312" w:cs="仿宋_gb2312" w:eastAsia="仿宋_gb2312"/>
          <w:sz w:val="24"/>
        </w:rPr>
        <w:t>出租方盖章：</w:t>
      </w:r>
      <w:r>
        <w:rPr>
          <w:rFonts w:ascii="仿宋_gb2312" w:hAnsi="仿宋_gb2312" w:cs="仿宋_gb2312" w:eastAsia="仿宋_gb2312"/>
          <w:sz w:val="24"/>
        </w:rPr>
        <w:t xml:space="preserve">                                         </w:t>
      </w:r>
      <w:r>
        <w:rPr>
          <w:rFonts w:ascii="仿宋_gb2312" w:hAnsi="仿宋_gb2312" w:cs="仿宋_gb2312" w:eastAsia="仿宋_gb2312"/>
          <w:sz w:val="24"/>
        </w:rPr>
        <w:t>承租方盖章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负责人签字：</w:t>
      </w:r>
      <w:r>
        <w:rPr>
          <w:rFonts w:ascii="仿宋_gb2312" w:hAnsi="仿宋_gb2312" w:cs="仿宋_gb2312" w:eastAsia="仿宋_gb2312"/>
          <w:sz w:val="24"/>
        </w:rPr>
        <w:t xml:space="preserve">                                         </w:t>
      </w:r>
      <w:r>
        <w:rPr>
          <w:rFonts w:ascii="仿宋_gb2312" w:hAnsi="仿宋_gb2312" w:cs="仿宋_gb2312" w:eastAsia="仿宋_gb2312"/>
          <w:sz w:val="24"/>
        </w:rPr>
        <w:t>法定代表人签字：</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 xml:space="preserve">                                                        </w:t>
      </w:r>
      <w:r>
        <w:rPr>
          <w:rFonts w:ascii="仿宋_gb2312" w:hAnsi="仿宋_gb2312" w:cs="仿宋_gb2312" w:eastAsia="仿宋_gb2312"/>
          <w:sz w:val="24"/>
        </w:rPr>
        <w:t>或</w:t>
      </w:r>
    </w:p>
    <w:p>
      <w:pPr>
        <w:pStyle w:val="null3"/>
        <w:jc w:val="both"/>
      </w:pPr>
      <w:r>
        <w:rPr>
          <w:rFonts w:ascii="仿宋_gb2312" w:hAnsi="仿宋_gb2312" w:cs="仿宋_gb2312" w:eastAsia="仿宋_gb2312"/>
          <w:sz w:val="24"/>
        </w:rPr>
        <w:t>委托代理人签字：</w:t>
      </w:r>
      <w:r>
        <w:rPr>
          <w:rFonts w:ascii="仿宋_gb2312" w:hAnsi="仿宋_gb2312" w:cs="仿宋_gb2312" w:eastAsia="仿宋_gb2312"/>
          <w:sz w:val="24"/>
        </w:rPr>
        <w:t xml:space="preserve">                                  </w:t>
      </w:r>
      <w:r>
        <w:rPr>
          <w:rFonts w:ascii="仿宋_gb2312" w:hAnsi="仿宋_gb2312" w:cs="仿宋_gb2312" w:eastAsia="仿宋_gb2312"/>
          <w:sz w:val="24"/>
        </w:rPr>
        <w:t>委托代理人签字：</w:t>
      </w:r>
    </w:p>
    <w:p>
      <w:pPr>
        <w:pStyle w:val="null3"/>
        <w:jc w:val="both"/>
      </w:pPr>
      <w:r>
        <w:rPr>
          <w:rFonts w:ascii="仿宋_gb2312" w:hAnsi="仿宋_gb2312" w:cs="仿宋_gb2312" w:eastAsia="仿宋_gb2312"/>
          <w:sz w:val="24"/>
        </w:rPr>
        <w:t>签约日期：</w:t>
      </w:r>
      <w:r>
        <w:rPr>
          <w:rFonts w:ascii="仿宋_gb2312" w:hAnsi="仿宋_gb2312" w:cs="仿宋_gb2312" w:eastAsia="仿宋_gb2312"/>
          <w:sz w:val="24"/>
        </w:rPr>
        <w:t xml:space="preserve">                                           </w:t>
      </w:r>
      <w:r>
        <w:rPr>
          <w:rFonts w:ascii="仿宋_gb2312" w:hAnsi="仿宋_gb2312" w:cs="仿宋_gb2312" w:eastAsia="仿宋_gb2312"/>
          <w:sz w:val="24"/>
        </w:rPr>
        <w:t>签约日期：</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jc w:val="both"/>
      </w:pPr>
      <w:r>
        <w:rPr/>
        <w:t>本磋商文件的解释权属于采购代理机构。</w:t>
      </w:r>
    </w:p>
    <w:p>
      <w:pPr>
        <w:pStyle w:val="null3"/>
        <w:jc w:val="left"/>
        <w:outlineLvl w:val="2"/>
      </w:pPr>
      <w:r>
        <w:rPr>
          <w:sz w:val="28"/>
          <w:b/>
        </w:rPr>
        <w:t>7.2 未尽事宜</w:t>
      </w:r>
    </w:p>
    <w:p>
      <w:pPr>
        <w:pStyle w:val="null3"/>
      </w:pPr>
      <w:r>
        <w:rPr/>
        <w:t xml:space="preserve"> 本磋商文件未尽事宜按照《中华人民共和国政府采购法》及其它有关法律法规的规定执行。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