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供应商需提供保密等级认定材料或在5年内服务过国家部委、副部级及以上单位、国企央企总部及子公司的服务承诺书。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