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需提供房产产权清晰、未涉及法律诉讼，不存在被查封、执行、拍卖的承诺书。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