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2025年第二批服务器及配套资源采购项目-包6</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064GSH2026021</w:t>
      </w:r>
      <w:r>
        <w:br/>
      </w:r>
      <w:r>
        <w:br/>
      </w:r>
      <w:r>
        <w:br/>
      </w:r>
    </w:p>
    <w:p>
      <w:pPr>
        <w:pStyle w:val="null3"/>
        <w:jc w:val="center"/>
      </w:pPr>
      <w:r>
        <w:rPr/>
        <w:t>中国人民银行集中采购中心</w:t>
      </w:r>
    </w:p>
    <w:p>
      <w:pPr>
        <w:pStyle w:val="null3"/>
        <w:jc w:val="center"/>
      </w:pPr>
      <w:r>
        <w:rPr/>
        <w:t>2026年03月11日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2025年第二批服务器及配套资源采购项目-包6</w:t>
      </w:r>
      <w:r>
        <w:rPr/>
        <w:t xml:space="preserve"> ”（项目编号： </w:t>
      </w:r>
      <w:r>
        <w:rPr/>
        <w:t>064GSH2026021</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10,840,000.00</w:t>
      </w:r>
    </w:p>
    <w:p>
      <w:pPr>
        <w:pStyle w:val="null3"/>
        <w:jc w:val="left"/>
      </w:pPr>
      <w:r>
        <w:rPr/>
        <w:t>采购包最高限价（元）: 10,840,000.00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高性能AI深度计算型服务器（含7年维保服务）</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8.00</w:t>
            </w:r>
          </w:p>
        </w:tc>
        <w:tc>
          <w:tcPr>
            <w:tcW w:type="dxa" w:w="593"/>
          </w:tcPr>
          <w:p>
            <w:pPr>
              <w:pStyle w:val="null3"/>
              <w:jc w:val="left"/>
            </w:pPr>
            <w:r>
              <w:rPr/>
              <w:t>软件和信息技术服务业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10,840,000.00</w:t>
            </w:r>
          </w:p>
        </w:tc>
        <w:tc>
          <w:tcPr>
            <w:tcW w:type="dxa" w:w="593"/>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不涉及</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网联清算有限公司</w:t>
      </w:r>
    </w:p>
    <w:p>
      <w:pPr>
        <w:pStyle w:val="null3"/>
        <w:jc w:val="left"/>
      </w:pPr>
      <w:r>
        <w:rPr/>
        <w:t xml:space="preserve"> 地址： </w:t>
      </w:r>
      <w:r>
        <w:rPr/>
        <w:t>北京市西城区月坛金融街中心7号楼10层</w:t>
      </w:r>
    </w:p>
    <w:p>
      <w:pPr>
        <w:pStyle w:val="null3"/>
        <w:jc w:val="left"/>
      </w:pPr>
      <w:r>
        <w:rPr/>
        <w:t xml:space="preserve"> 邮编： </w:t>
      </w:r>
      <w:r>
        <w:rPr/>
        <w:t>100045</w:t>
      </w:r>
    </w:p>
    <w:p>
      <w:pPr>
        <w:pStyle w:val="null3"/>
        <w:jc w:val="left"/>
      </w:pPr>
      <w:r>
        <w:rPr/>
        <w:t xml:space="preserve"> 联系人： </w:t>
      </w:r>
      <w:r>
        <w:rPr/>
        <w:t>王先生</w:t>
      </w:r>
    </w:p>
    <w:p>
      <w:pPr>
        <w:pStyle w:val="null3"/>
        <w:jc w:val="left"/>
      </w:pPr>
      <w:r>
        <w:rPr/>
        <w:t xml:space="preserve"> 联系电话： </w:t>
      </w:r>
      <w:r>
        <w:rPr/>
        <w:t>68148953</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010-66195317</w:t>
      </w:r>
    </w:p>
    <w:p>
      <w:pPr>
        <w:pStyle w:val="null3"/>
        <w:jc w:val="left"/>
      </w:pPr>
      <w:r>
        <w:rPr/>
        <w:t xml:space="preserve"> 联系人（开、评标咨询）： </w:t>
      </w:r>
      <w:r>
        <w:rPr/>
        <w:t>冯女士</w:t>
      </w:r>
    </w:p>
    <w:p>
      <w:pPr>
        <w:pStyle w:val="null3"/>
        <w:jc w:val="left"/>
      </w:pPr>
      <w:r>
        <w:rPr/>
        <w:t xml:space="preserve"> 联系电话（开、评标咨询）： </w:t>
      </w:r>
      <w:r>
        <w:rPr/>
        <w:t>010-66194472</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根据相关项目建设需求，开展2025年第二批服务器及配套资源采购项目-包6采购。</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1.本项目采购预算已审批通过，预算编号：XMYS-2024-0114。 2.本项目前置决策情况如下：本项目对应的信息化项目已于2025年11月25日完成信息化立项，并于2025年12月26日完成采购立项。</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通过8台高性能AI深度计算型服务器，搭建大模型平台底座。</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高性能AI深度计算型服务器8台（含7年维保服务）</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人工智能算力扩容，提升大模型平台底座服务能力，支撑算法研究、模型训练以及智能化场景建设</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落实公司2025年度信息化项目建设规划以及经营管理计划决策部署，推进人工智能技术创新应用。</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前期项目名称：2024年深度计算型服务器项目 前期项目合同签订时间：2025年9月30日 与前期项目的关系：与上次采购内容类似。</w:t>
            </w:r>
          </w:p>
        </w:tc>
      </w:tr>
    </w:tbl>
    <w:p>
      <w:pPr>
        <w:pStyle w:val="null3"/>
        <w:jc w:val="left"/>
        <w:outlineLvl w:val="2"/>
      </w:pPr>
      <w:r>
        <w:rPr>
          <w:sz w:val="28"/>
          <w:b/>
        </w:rPr>
        <w:t>3.2 技术及商务要求</w:t>
      </w:r>
    </w:p>
    <w:p>
      <w:pPr>
        <w:pStyle w:val="null3"/>
        <w:jc w:val="both"/>
      </w:pPr>
      <w:r>
        <w:rPr/>
        <w:t>本技术要求共有“★”指标93个，”#”指标1个，“▲”指标86个。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供应商给出CPU信息，包含CPU型号、物理核心数、主频、末级缓存容量、线程数、热设计功耗及支持内存的最高速率、通道数和位宽</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供应商给出主板支持的 CPU 和内存的型号数量</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a) 高度大于 44.45mm 双路或以上服务器 PCIe 插槽或接口应不少于 5 个； b)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a) 服务器机箱内主板可根据用户实际使用需求支持安装多功能导入装置板卡，机箱内需预留多功能导入装置板卡安装位置，容量不小于55mm×45mm×15mm（长×宽×高，单位毫米）； b)服务器主板可根据用户实际使用需求预留满足 USB2.0 或 USB3.0 数据传输规范的接口，工作电压 5V，采用 USB2.0 时，最大过电流应不小于 0.5A，采用 USB3.0 时，最大过电流应不小于 1A</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若支持板载网络接口应不少于 1 个1GE 网口</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产品规格</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≥DDR4</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供应商给出服务器支持硬磁盘和固态盘类型及规格</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服务器产品至少要配备一款存储设备 a) 若配备硬磁盘，服务器提供的实配硬磁盘可用容量应不小于 600GB b) 若配备固态盘，实配固态盘单盘可用容量不小于 480GB，NVMe SSD容量不小于 960GB</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a) 若配备硬磁盘，应提供SAS 3.0或SATA 3.0 及以上接口； b) 若配备固态盘，应提供至少 1 种类型固态盘接口，如 UFS、SATA、PCIe等</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a) 若配备硬磁盘，服务器提供的实配硬磁盘数量应不小于 2 块，可实现互为备份； b) 若配备固态盘，实配盘数应不小于 1 块</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 2.5 英寸、3.5 英寸硬磁盘； b) 机箱高度为 88.9mm 的服务器可支持的硬盘数量应不少于 8 块，机箱高度为 44.45mm 的服务器可支持的硬盘数量应不少于 4 块。 c) 存储型服务器可支持硬盘数量应不少于 24 块</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a) 机械硬盘准备时间应不大于 30s；侧面固定螺丝孔数量可为 4 孔或 6 孔；工作状态环境温度应满足 5℃~55℃，其它参数应符合 GB/T 12628的相关规定； b) 若服务器支持固态盘，固态盘符合SJ/T 11654 相关规定</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RAID卡规格（若支持 RAID卡）</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SAS直通卡规格(若支持SAS直通卡)</w:t>
            </w:r>
          </w:p>
        </w:tc>
        <w:tc>
          <w:tcPr>
            <w:tcW w:type="dxa" w:w="1038"/>
          </w:tcPr>
          <w:p>
            <w:pPr>
              <w:pStyle w:val="null3"/>
            </w:pPr>
            <w:r>
              <w:rPr/>
              <w:t>SAS直通卡SAS接口数量</w:t>
            </w:r>
          </w:p>
        </w:tc>
        <w:tc>
          <w:tcPr>
            <w:tcW w:type="dxa" w:w="1038"/>
          </w:tcPr>
          <w:p>
            <w:pPr>
              <w:pStyle w:val="null3"/>
            </w:pPr>
            <w:r>
              <w:rPr/>
              <w:t>≥0</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HBA 卡规格 (若支持HBA直通卡)</w:t>
            </w:r>
          </w:p>
        </w:tc>
        <w:tc>
          <w:tcPr>
            <w:tcW w:type="dxa" w:w="1038"/>
          </w:tcPr>
          <w:p>
            <w:pPr>
              <w:pStyle w:val="null3"/>
            </w:pPr>
            <w:r>
              <w:rPr/>
              <w:t>HBA 卡端口数量</w:t>
            </w:r>
          </w:p>
        </w:tc>
        <w:tc>
          <w:tcPr>
            <w:tcW w:type="dxa" w:w="1038"/>
          </w:tcPr>
          <w:p>
            <w:pPr>
              <w:pStyle w:val="null3"/>
            </w:pPr>
            <w:r>
              <w:rPr/>
              <w:t>≥0</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*网口速率和数量</w:t>
            </w:r>
          </w:p>
        </w:tc>
        <w:tc>
          <w:tcPr>
            <w:tcW w:type="dxa" w:w="1038"/>
          </w:tcPr>
          <w:p>
            <w:pPr>
              <w:pStyle w:val="null3"/>
            </w:pPr>
            <w:r>
              <w:rPr/>
              <w:t>配备网口数量不少于 1 个，且网口速率不少于 1GE</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产品规格</w:t>
            </w:r>
          </w:p>
        </w:tc>
        <w:tc>
          <w:tcPr>
            <w:tcW w:type="dxa" w:w="1038"/>
          </w:tcPr>
          <w:p/>
        </w:tc>
        <w:tc>
          <w:tcPr>
            <w:tcW w:type="dxa" w:w="1038"/>
          </w:tcPr>
          <w:p>
            <w:pPr>
              <w:pStyle w:val="null3"/>
            </w:pPr>
            <w:r>
              <w:rPr/>
              <w:t>*网络规格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独立网卡网口数量</w:t>
            </w:r>
          </w:p>
        </w:tc>
        <w:tc>
          <w:tcPr>
            <w:tcW w:type="dxa" w:w="1038"/>
          </w:tcPr>
          <w:p>
            <w:pPr>
              <w:pStyle w:val="null3"/>
            </w:pPr>
            <w:r>
              <w:rPr/>
              <w:t>若配备独立网卡，独立网卡网口数量≥0</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独立网卡接口类型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*显示接口</w:t>
            </w:r>
          </w:p>
        </w:tc>
        <w:tc>
          <w:tcPr>
            <w:tcW w:type="dxa" w:w="1038"/>
          </w:tcPr>
          <w:p>
            <w:pPr>
              <w:pStyle w:val="null3"/>
            </w:pPr>
            <w:r>
              <w:rPr/>
              <w:t>显示接口类型应不少于 1 种，如： VGA、DP、HDMI 等</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特殊接口及孔位</w:t>
            </w:r>
          </w:p>
        </w:tc>
        <w:tc>
          <w:tcPr>
            <w:tcW w:type="dxa" w:w="1038"/>
          </w:tcPr>
          <w:p>
            <w:pPr>
              <w:pStyle w:val="null3"/>
            </w:pPr>
            <w:r>
              <w:rPr/>
              <w:t>特殊接口及孔位</w:t>
            </w:r>
          </w:p>
        </w:tc>
        <w:tc>
          <w:tcPr>
            <w:tcW w:type="dxa" w:w="1038"/>
          </w:tcPr>
          <w:p>
            <w:pPr>
              <w:pStyle w:val="null3"/>
            </w:pPr>
            <w:r>
              <w:rPr/>
              <w:t>前面板预留 1 个专用USB 母座接口孔位</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w:t>
            </w:r>
          </w:p>
        </w:tc>
        <w:tc>
          <w:tcPr>
            <w:tcW w:type="dxa" w:w="1038"/>
          </w:tcPr>
          <w:p>
            <w:pPr>
              <w:pStyle w:val="null3"/>
            </w:pPr>
            <w:r>
              <w:rPr/>
              <w:t>▲</w:t>
            </w:r>
          </w:p>
        </w:tc>
        <w:tc>
          <w:tcPr>
            <w:tcW w:type="dxa" w:w="1038"/>
          </w:tcPr>
          <w:p>
            <w:pPr>
              <w:pStyle w:val="null3"/>
            </w:pPr>
            <w:r>
              <w:rPr/>
              <w:t>其他接口</w:t>
            </w:r>
          </w:p>
        </w:tc>
        <w:tc>
          <w:tcPr>
            <w:tcW w:type="dxa" w:w="1038"/>
          </w:tcPr>
          <w:p>
            <w:pPr>
              <w:pStyle w:val="null3"/>
            </w:pPr>
            <w:r>
              <w:rPr/>
              <w:t>其他接口</w:t>
            </w:r>
          </w:p>
        </w:tc>
        <w:tc>
          <w:tcPr>
            <w:tcW w:type="dxa" w:w="1038"/>
          </w:tcPr>
          <w:p>
            <w:pPr>
              <w:pStyle w:val="null3"/>
            </w:pPr>
            <w:r>
              <w:rPr/>
              <w:t>a) 串口数量不少于 1 个，并可实现 GB/T 6107 或 GB/T 26803.2 的相关功能； b) 服务器主机前面板可根据用户实际使用需求预留 1 个专用USB 母座接口孔位</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*电源模块数量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*外观和结构</w:t>
            </w:r>
          </w:p>
        </w:tc>
        <w:tc>
          <w:tcPr>
            <w:tcW w:type="dxa" w:w="1038"/>
          </w:tcPr>
          <w:p>
            <w:pPr>
              <w:pStyle w:val="null3"/>
            </w:pPr>
            <w:r>
              <w:rPr/>
              <w:t>a) 服务器的零部件应紧固无松动，可插拔部件应可靠连接，开关、按钮和其它控制部件应灵活可靠，布局应方便使用； b) 产品表面不应有明显的凹痕、划伤、裂缝、变形和污染等。表面涂层均匀，不应起泡、龟裂、脱落和磨损，金属零部件无锈蚀及其它机械损伤； c) 产品表面说明功能的文字、符号和标志应清晰、端正且牢固； d) 应在服务器的显著位置提供运行状态的指示功能，并在随机文件中明确具体含义； e) 机架、机箱的尺寸应符合通用机柜的安装要求，插入总线插座的电路板接口外形尺寸应符合有关总线标准的规定，将机箱固定在机柜上，机箱底面最大下垂变形不得干涉相邻机体； f)高密度服务器应给出CPU 个数与机柜高度； g)服务器尺寸具体要求在随机文件中明确。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*尺寸（高×宽×深）</w:t>
            </w:r>
          </w:p>
        </w:tc>
        <w:tc>
          <w:tcPr>
            <w:tcW w:type="dxa" w:w="1038"/>
          </w:tcPr>
          <w:p>
            <w:pPr>
              <w:pStyle w:val="null3"/>
            </w:pPr>
            <w:r>
              <w:rPr/>
              <w:t>供应商给出产品尺寸；设计应遵循标准化、系列化的要求；机箱的内部结构符合通用部件的安装需要</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服务器导轨</w:t>
            </w:r>
          </w:p>
        </w:tc>
        <w:tc>
          <w:tcPr>
            <w:tcW w:type="dxa" w:w="1038"/>
          </w:tcPr>
          <w:p>
            <w:pPr>
              <w:pStyle w:val="null3"/>
            </w:pPr>
            <w:r>
              <w:rPr/>
              <w:t>供应商给出导轨尺寸、安装方式等信息</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产品规格</w:t>
            </w:r>
          </w:p>
        </w:tc>
        <w:tc>
          <w:tcPr>
            <w:tcW w:type="dxa" w:w="1038"/>
          </w:tcPr>
          <w:p/>
        </w:tc>
        <w:tc>
          <w:tcPr>
            <w:tcW w:type="dxa" w:w="1038"/>
          </w:tcPr>
          <w:p>
            <w:pPr>
              <w:pStyle w:val="null3"/>
            </w:pPr>
            <w:r>
              <w:rPr/>
              <w:t>——</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特殊机型环境适应性</w:t>
            </w:r>
          </w:p>
        </w:tc>
        <w:tc>
          <w:tcPr>
            <w:tcW w:type="dxa" w:w="1038"/>
          </w:tcPr>
          <w:p>
            <w:pPr>
              <w:pStyle w:val="null3"/>
            </w:pPr>
            <w:r>
              <w:rPr/>
              <w:t>边缘应用服务器，工作环境温度宜为 0～45℃，短期工作可承受环境温度宜为-5～55℃，液冷服务器贮存运输温度宜为-30～55℃</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*机械环境适应性</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*噪声</w:t>
            </w:r>
          </w:p>
        </w:tc>
        <w:tc>
          <w:tcPr>
            <w:tcW w:type="dxa" w:w="1038"/>
          </w:tcPr>
          <w:p>
            <w:pPr>
              <w:pStyle w:val="null3"/>
            </w:pPr>
            <w:r>
              <w:rPr/>
              <w:t>符合GB/T 9813.3 的有关规定，在产品说明中给出具体测试值 塔式服务器噪声在空闲状态下不大于 50dB</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AI 计算单元规格</w:t>
            </w:r>
          </w:p>
        </w:tc>
        <w:tc>
          <w:tcPr>
            <w:tcW w:type="dxa" w:w="1038"/>
          </w:tcPr>
          <w:p>
            <w:pPr>
              <w:pStyle w:val="null3"/>
            </w:pPr>
            <w:r>
              <w:rPr/>
              <w:t>AI 计算单元</w:t>
            </w:r>
          </w:p>
        </w:tc>
        <w:tc>
          <w:tcPr>
            <w:tcW w:type="dxa" w:w="1038"/>
          </w:tcPr>
          <w:p>
            <w:pPr>
              <w:pStyle w:val="null3"/>
            </w:pPr>
            <w:r>
              <w:rPr/>
              <w:t>若配备 AI 计算单元应符合如下要求： a)具备人工智能加速处理器，计算精度至少支持 FP16、BF16、FP32、FP64、INT8 和 INT16 等中的 1 种； b)单推理卡或模块，具备视频解析、文本识别、语音分析等推理能力；在视觉场景下配备可直接调用的接口实现视觉计算加速，路数不小于 64（1080P 30FPS）</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AI 计算单元规格</w:t>
            </w:r>
          </w:p>
        </w:tc>
        <w:tc>
          <w:tcPr>
            <w:tcW w:type="dxa" w:w="1038"/>
          </w:tcPr>
          <w:p>
            <w:pPr>
              <w:pStyle w:val="null3"/>
            </w:pPr>
            <w:r>
              <w:rPr/>
              <w:t>一键式迁移</w:t>
            </w:r>
          </w:p>
        </w:tc>
        <w:tc>
          <w:tcPr>
            <w:tcW w:type="dxa" w:w="1038"/>
          </w:tcPr>
          <w:p>
            <w:pPr>
              <w:pStyle w:val="null3"/>
            </w:pPr>
            <w:r>
              <w:rPr/>
              <w:t>若服务器配备AI计算单元，提供训练脚本迁移工具</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机柜规格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产品规格</w:t>
            </w:r>
          </w:p>
        </w:tc>
        <w:tc>
          <w:tcPr>
            <w:tcW w:type="dxa" w:w="1038"/>
          </w:tcPr>
          <w:p/>
        </w:tc>
        <w:tc>
          <w:tcPr>
            <w:tcW w:type="dxa" w:w="1038"/>
          </w:tcPr>
          <w:p>
            <w:pPr>
              <w:pStyle w:val="null3"/>
            </w:pPr>
            <w:r>
              <w:rPr/>
              <w:t>机柜规格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产品规格</w:t>
            </w:r>
          </w:p>
        </w:tc>
        <w:tc>
          <w:tcPr>
            <w:tcW w:type="dxa" w:w="1038"/>
          </w:tcPr>
          <w:p/>
        </w:tc>
        <w:tc>
          <w:tcPr>
            <w:tcW w:type="dxa" w:w="1038"/>
          </w:tcPr>
          <w:p>
            <w:pPr>
              <w:pStyle w:val="null3"/>
            </w:pPr>
            <w:r>
              <w:rPr/>
              <w:t>机柜规格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实现至少一种扩展功能，如存储功能卡、显示功能卡、运算加速功能卡及网络功能卡等扩展功能</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 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RAID卡功能（若支持 RAID卡）</w:t>
            </w:r>
          </w:p>
        </w:tc>
        <w:tc>
          <w:tcPr>
            <w:tcW w:type="dxa" w:w="1038"/>
          </w:tcPr>
          <w:p>
            <w:pPr>
              <w:pStyle w:val="null3"/>
            </w:pPr>
            <w:r>
              <w:rPr/>
              <w:t>RAID 卡</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RAID卡功能（若支持 RAID卡）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光驱功能</w:t>
            </w:r>
          </w:p>
        </w:tc>
        <w:tc>
          <w:tcPr>
            <w:tcW w:type="dxa" w:w="1038"/>
          </w:tcPr>
          <w:p>
            <w:pPr>
              <w:pStyle w:val="null3"/>
            </w:pPr>
            <w:r>
              <w:rPr/>
              <w:t>光驱类型（是否支持 RW，以及光盘类型CD/DVD）</w:t>
            </w:r>
          </w:p>
        </w:tc>
        <w:tc>
          <w:tcPr>
            <w:tcW w:type="dxa" w:w="1038"/>
          </w:tcPr>
          <w:p>
            <w:pPr>
              <w:pStyle w:val="null3"/>
            </w:pPr>
            <w:r>
              <w:rPr/>
              <w:t>若配备光驱，应提供光驱的安装形式（如内置、外置）、光驱读写类型（如只读、可刻录等）、光盘类型的兼容列表（如CD-ROM、CD-RW、 DVD±RW 等）</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散热方式</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a) 支持关键部件冗余（包括电源、风扇等）； b) 支持熔断保护与恢复功能</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1) 支持DHCP 设置网络功能； 2) 支持静态IP 设置网络功能； 3) 支持设备日志记录，包括但不限于登录日志、操作日志和报警日志等功能； 4) 支持日志信息导出和记录删除功能； 5) 支持通过管理接口向外输出准确的报警信息功能； 6) 设备的BMC 管理软件应能够按报警的严重程度进行区分； 7) 支持IPMI2.0、SNMP 或Redfish等接口功能； 8) 支持键盘、鼠标和视频的重定向、文本控制台的重定向、远程虚拟媒体、高可靠的硬件监控和管理功能； 9)支持基于网络开启、关闭和重启设备的功能，并查询当前设备开机运行状态； 10) 支持故障提示功能，并可通过接口读取服务器故障信息； 11) 支持基于网络的固件更新功能，包括BMC 和BIOS 等； 12) 支持基于网络安装操作系统的功能，并可通过网络控制台访问设备； 13) 支持通过本地的硬盘或光驱等存储设备，基于网络完成设备的操作系统安装功能； 14) 支持通过浏览器打开管理界面并登录功能； 15) 支持设置口令策略功能； 16) 支持访问权限设置功能，并通过日志记录访问事件； 17) 支持对出厂默认的用户名及口令进行安全保护功能，并提供默认口令修改提示； 18) 支持读取设备主板的工作环境温度功能； 19) 支持读取服务器CPU 等核心器件的温度功能； 20) 支持通过外部管理工具进行 BMC 参数设置的功能，并可基于网络通过外部管理工具对BMC 进行管理； 21)应支持固件版本查询、固件升级 22) 支持基于网络实现开关机和复位控制的功能； 23) BMC 启动时间应不超过 180s，实现功能包括网络、IPMI、散热、传感器服务可用； 24)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a） 网络控制、安装提供图形访问界面网络； b） 设备的BMC 管理软件界面显示报警信息，且能够按报警的严重程度进行区分； c） Web GUI 采用 BMC 端口直连，平均响应时间为不大于 1s</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a） 支持查看固件版本、内存信息、主板信息、处理器信息和系统时间信息功能； b） 支持上电初始化界面显示 CPU 信息、内存信息、固件版本和部分快捷键信息功能； c） 支持设置界面中英文显示切换功能； d） 支持查看 PCIe 设备信息，SATA设备信息功能； e） 支持操作系统安装和引导功能，应并向操作系统提供计算机主板信息和服务接口； f） 支持设置启动顺序，并按照设置的启动顺序启动功能； g） 支持安全启动功能； h） 支持设置口令、修改口令、验证口令功能； i） 支持板载显示控制或独立显卡的显示控制功能； j） 支持 RAID 识别和启动功能； k）支持串口重定向功能； l） 支持固件更新功能； m） 支持 BIOS 固件设置的恢复出厂功能； n） 支持网络引导启用和关闭功能</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a) 支持访问控制、安全审计、网络接入鉴别等功能； b)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功能要求</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功能要求</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功能要求</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故障检测</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 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是</w:t>
            </w:r>
          </w:p>
        </w:tc>
        <w:tc>
          <w:tcPr>
            <w:tcW w:type="dxa" w:w="1038"/>
          </w:tcPr>
          <w:p>
            <w:pPr>
              <w:pStyle w:val="null3"/>
            </w:pPr>
            <w:r>
              <w:rPr/>
              <w:t>提供承诺书。承诺书需包含此项要求全部内容</w:t>
            </w:r>
          </w:p>
        </w:tc>
      </w:tr>
      <w:tr>
        <w:tc>
          <w:tcPr>
            <w:tcW w:type="dxa" w:w="1038"/>
          </w:tcPr>
          <w:p>
            <w:pPr>
              <w:pStyle w:val="null3"/>
            </w:pPr>
            <w:r>
              <w:rPr/>
              <w:t>97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是</w:t>
            </w:r>
          </w:p>
        </w:tc>
        <w:tc>
          <w:tcPr>
            <w:tcW w:type="dxa" w:w="1038"/>
          </w:tcPr>
          <w:p>
            <w:pPr>
              <w:pStyle w:val="null3"/>
            </w:pPr>
            <w:r>
              <w:rPr/>
              <w:t>提供承诺书。承诺书需包含此项要求全部内容</w:t>
            </w:r>
          </w:p>
        </w:tc>
      </w:tr>
      <w:tr>
        <w:tc>
          <w:tcPr>
            <w:tcW w:type="dxa" w:w="1038"/>
          </w:tcPr>
          <w:p>
            <w:pPr>
              <w:pStyle w:val="null3"/>
            </w:pPr>
            <w:r>
              <w:rPr/>
              <w:t>98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a) 嵌入物理可信根，实现设备的信任链构建； b) 支持可信平台控制模块(TPCM)； c) 支持在固件系统（BMC、BIOS）启动前实现对固件度量的功能，支持物理可信根对BMC 固件或BIOS 固件进行完整性检测、更新和恢复； d) 支持对 CPU、网络控制器等关键处理器进行身份识别与度量的功能； e) 支持基于处理器或可信计算模块度量的功能； f)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*限用物质的限量要求</w:t>
            </w:r>
          </w:p>
        </w:tc>
        <w:tc>
          <w:tcPr>
            <w:tcW w:type="dxa" w:w="1038"/>
          </w:tcPr>
          <w:p>
            <w:pPr>
              <w:pStyle w:val="null3"/>
            </w:pPr>
            <w:r>
              <w:rPr/>
              <w:t>*限用物质的限量要求</w:t>
            </w: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≥1.8GHz</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≥8MB</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≥16GB</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安装的硬磁盘转速不小于 7200rpm</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 卡缓存容量大小</w:t>
            </w:r>
          </w:p>
        </w:tc>
        <w:tc>
          <w:tcPr>
            <w:tcW w:type="dxa" w:w="1038"/>
          </w:tcPr>
          <w:p>
            <w:pPr>
              <w:pStyle w:val="null3"/>
            </w:pPr>
            <w:r>
              <w:rPr/>
              <w:t>若配备RAID 卡且 RAID 卡有缓存容量，容量不少于 1GB</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FC HBA卡性能</w:t>
            </w:r>
          </w:p>
        </w:tc>
        <w:tc>
          <w:tcPr>
            <w:tcW w:type="dxa" w:w="1038"/>
          </w:tcPr>
          <w:p>
            <w:pPr>
              <w:pStyle w:val="null3"/>
            </w:pPr>
            <w:r>
              <w:rPr/>
              <w:t>FC HBA 卡速率</w:t>
            </w:r>
          </w:p>
        </w:tc>
        <w:tc>
          <w:tcPr>
            <w:tcW w:type="dxa" w:w="1038"/>
          </w:tcPr>
          <w:p>
            <w:pPr>
              <w:pStyle w:val="null3"/>
            </w:pPr>
            <w:r>
              <w:rPr/>
              <w:t>若配备FC HBA 卡，单端口最大的连接速率不少于 8Gb/s</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≥10GE</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≥1GE</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FC HBA 应适配两种或以上厂商产品</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存储可靠性要求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包装及运输要求</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a) 提供电话、电子邮件、远程连接等多种形式服务； b) 提供同城 4h、异地 12h 技术响应服务，2 个工作日解决问题，对于未能解决的问题和故障应提供可行的升级方案，并提供周转设备； c) 建立全国技术服务体系和服务 团体，符合专业服务体系标准要求，提供原厂中文服务； d)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a) 服务器产品免费服务周期（含换件和维修）应为7年； b) 设备停产后继续提供质量保障服务（含备品备件），服务器设备服务终止时间与最后一批设备交付时间间隔不低于 7 年； c) 产品停止服务时间应提前 1 年告知客户； d) 产品发布日期需在随机文件中明确</w:t>
            </w:r>
          </w:p>
        </w:tc>
        <w:tc>
          <w:tcPr>
            <w:tcW w:type="dxa" w:w="1038"/>
          </w:tcPr>
          <w:p>
            <w:pPr>
              <w:pStyle w:val="null3"/>
            </w:pPr>
            <w:r>
              <w:rPr/>
              <w:t>否</w:t>
            </w:r>
          </w:p>
        </w:tc>
        <w:tc>
          <w:tcPr>
            <w:tcW w:type="dxa" w:w="1038"/>
          </w:tcPr>
          <w:p/>
        </w:tc>
      </w:tr>
      <w:tr>
        <w:tc>
          <w:tcPr>
            <w:tcW w:type="dxa" w:w="1038"/>
          </w:tcPr>
          <w:p>
            <w:pPr>
              <w:pStyle w:val="null3"/>
            </w:pPr>
            <w:r>
              <w:rPr/>
              <w:t>132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a) 本地的数据备份和还原功能； b) 网络的数据备份和还原功能； c) 服务器操作系统的自动安装功能； d)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随服务器打包提供开机箱工具</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供应商提供从其他CPU 架构到当前服务器CPU 架构的软件迁移工具产品，支持软件包迁移评估，对满足产品重构要求的软件包，能重构为当前服务器CPU 架构的软件包。提供源码迁移功能，检查分析 C/C++/Fortran/Go/解释型语言/汇编等源码文件，基于产品功能给出迁移指导</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供应商提供支持当前服务器CPU 架构的性能分析工具产品，支持系统性能分析、Java 性能分析和系统诊断，可分析系统或应用在 CPU、内存、 IO、网络等方面的性能，并给出优化建议</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w:t>
            </w:r>
          </w:p>
        </w:tc>
        <w:tc>
          <w:tcPr>
            <w:tcW w:type="dxa" w:w="1038"/>
          </w:tcPr>
          <w:p>
            <w:pPr>
              <w:pStyle w:val="null3"/>
            </w:pPr>
            <w:r>
              <w:rPr/>
              <w:t>跨架构平台应用兼容</w:t>
            </w:r>
          </w:p>
        </w:tc>
        <w:tc>
          <w:tcPr>
            <w:tcW w:type="dxa" w:w="1038"/>
          </w:tcPr>
          <w:p>
            <w:pPr>
              <w:pStyle w:val="null3"/>
            </w:pPr>
            <w:r>
              <w:rPr/>
              <w:t>跨CPU 架构平台应用兼容工具，可兼容一种或者一种以上不同架构平台的应用</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供应商有偿提供远程技术支持、软件授权服务、备件更换服务、现场支承服务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供应商具备提供上门服务的能力(可收费)</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供应商提供针对特定业务场景性能优化服务及整体架构升级服务</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供保要求</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供保要求</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是</w:t>
            </w:r>
          </w:p>
        </w:tc>
        <w:tc>
          <w:tcPr>
            <w:tcW w:type="dxa" w:w="1038"/>
          </w:tcPr>
          <w:p>
            <w:pPr>
              <w:pStyle w:val="null3"/>
            </w:pPr>
            <w:r>
              <w:rPr/>
              <w:t>提供承诺函。承诺函应包含本项要求标准的全部内容。</w:t>
            </w:r>
          </w:p>
        </w:tc>
      </w:tr>
      <w:tr>
        <w:tc>
          <w:tcPr>
            <w:tcW w:type="dxa" w:w="1038"/>
          </w:tcPr>
          <w:p>
            <w:pPr>
              <w:pStyle w:val="null3"/>
            </w:pPr>
            <w:r>
              <w:rPr/>
              <w:t>146</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须保证，采购人在使用其提供的产品或服务时，不存在任何已知的不合法的情形，也不存在任何已知的与第三方专利权、著作权、商标权或工业设计权相关的任何争议。如果有任何因采购人使用供应商提供的货物或服务而提起的侵权指控，供应商须依法承担全部责任</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供货要求</w:t>
            </w:r>
          </w:p>
        </w:tc>
        <w:tc>
          <w:tcPr>
            <w:tcW w:type="dxa" w:w="1038"/>
          </w:tcPr>
          <w:p>
            <w:pPr>
              <w:pStyle w:val="null3"/>
            </w:pPr>
            <w:r>
              <w:rPr/>
              <w:t>——</w:t>
            </w:r>
          </w:p>
        </w:tc>
        <w:tc>
          <w:tcPr>
            <w:tcW w:type="dxa" w:w="1038"/>
          </w:tcPr>
          <w:p>
            <w:pPr>
              <w:pStyle w:val="null3"/>
            </w:pPr>
            <w:r>
              <w:rPr/>
              <w:t>供应商承诺并确保设备及配件可以稳定供货，提供供应商列表材料，确保供应链安全稳定。供应商需承诺，如在供货期间供应商对供货产品进行更新或供应链市场困难，经采购人同意后可使用替换产品供货。替换产品的技术配置指标及性能不得低于此次采购的产品（需提供设备和配件原厂商同等性能证明材料）、价格不得高于中标价格、相关服务配套内容不得低于中标时的承诺。若逾期供货或不能供货，除正常处罚外，采购人有权保留将该品牌服务器列入采购人采购供应商黑名单的权利，且采购人将按照合同相关违约规定决定是否与逾期供货或不能供货的供应商解除合同。</w:t>
            </w:r>
          </w:p>
        </w:tc>
        <w:tc>
          <w:tcPr>
            <w:tcW w:type="dxa" w:w="1038"/>
          </w:tcPr>
          <w:p>
            <w:pPr>
              <w:pStyle w:val="null3"/>
            </w:pPr>
            <w:r>
              <w:rPr/>
              <w:t>是</w:t>
            </w:r>
          </w:p>
        </w:tc>
        <w:tc>
          <w:tcPr>
            <w:tcW w:type="dxa" w:w="1038"/>
          </w:tcPr>
          <w:p>
            <w:pPr>
              <w:pStyle w:val="null3"/>
            </w:pPr>
            <w:r>
              <w:rPr/>
              <w:t>提供承诺函。承诺函应包含本项要求标准的全部内容。</w:t>
            </w:r>
          </w:p>
        </w:tc>
      </w:tr>
      <w:tr>
        <w:tc>
          <w:tcPr>
            <w:tcW w:type="dxa" w:w="1038"/>
          </w:tcPr>
          <w:p>
            <w:pPr>
              <w:pStyle w:val="null3"/>
            </w:pPr>
            <w:r>
              <w:rPr/>
              <w:t>148</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需保证所投产品配置的完整性。本需求书列出的产品的主要技术要求，不代表已完全涵盖采购人完整的详细要求，对于维持整机独立、稳定运行所需要的其他部件，供应商在投标时应一并提供。如果供应商所提供的产品配置存在任何遗漏影响系统的完整性，在系统集成阶段，供应商必须负责免费提供遗漏的产品配置，采购人不再支付任何费用。</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供应商根据采购人的物理部署要求提供设备部署所需的相关配件、线缆；其中电源线规格以采购人机房实际环境为准，在供货时由采购人指定。</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必须针对技术需求提出的技术指标，就符合要求的设备按其配置要求提供设备品牌、型号、规格、配置及价格。供应商投标时可提供与本项目技术指标和规格要求不尽完全相同、但满足或优于本项目技术指标和规格要求的设备，并说明设备的具体配置。</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所采用的硬件产品需保证具有广泛的兼容性，确保与采购人网络设备、业务软件及系统软件兼容，实现互联互通；支持与主流服务器、网络、存储产品的互联互通。如果在项目实施过程中出现任何设备的兼容性问题，导致采购人业务系统无法正常运行或不满足项目要求，或硬件产品在初验阶段出现无法支撑采购人业务系统稳定运行的情况，无论是否与供应商所投货物有关，采购人均有权要求无条件免费退货，并终止合同。采购人有权要求供应商在合同签订后与采购人的设备或系统进行兼容性测试，包括但不限于网络设备、存储设备等，测试费用由供应商自行承担。</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采购人如对硬件性能有疑问，供应商须配合采购人对硬件性能进行测试。如不满足本项目技术指标，采购人有权要求更换并追究其责任，所产生的费用及损失全部由供应商承担。</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供货要求</w:t>
            </w:r>
          </w:p>
        </w:tc>
        <w:tc>
          <w:tcPr>
            <w:tcW w:type="dxa" w:w="1038"/>
          </w:tcPr>
          <w:p>
            <w:pPr>
              <w:pStyle w:val="null3"/>
            </w:pPr>
            <w:r>
              <w:rPr/>
              <w:t>——</w:t>
            </w:r>
          </w:p>
        </w:tc>
        <w:tc>
          <w:tcPr>
            <w:tcW w:type="dxa" w:w="1038"/>
          </w:tcPr>
          <w:p>
            <w:pPr>
              <w:pStyle w:val="null3"/>
            </w:pPr>
            <w:r>
              <w:rPr/>
              <w:t>投标人应提供所投产品停产计划表。</w:t>
            </w:r>
          </w:p>
        </w:tc>
        <w:tc>
          <w:tcPr>
            <w:tcW w:type="dxa" w:w="1038"/>
          </w:tcPr>
          <w:p>
            <w:pPr>
              <w:pStyle w:val="null3"/>
            </w:pPr>
            <w:r>
              <w:rPr/>
              <w:t>是</w:t>
            </w:r>
          </w:p>
        </w:tc>
        <w:tc>
          <w:tcPr>
            <w:tcW w:type="dxa" w:w="1038"/>
          </w:tcPr>
          <w:p>
            <w:pPr>
              <w:pStyle w:val="null3"/>
            </w:pPr>
            <w:r>
              <w:rPr/>
              <w:t>提供所投产品计划停产时间。</w:t>
            </w:r>
          </w:p>
        </w:tc>
      </w:tr>
      <w:tr>
        <w:tc>
          <w:tcPr>
            <w:tcW w:type="dxa" w:w="1038"/>
          </w:tcPr>
          <w:p>
            <w:pPr>
              <w:pStyle w:val="null3"/>
            </w:pPr>
            <w:r>
              <w:rPr/>
              <w:t>154</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供应商需保证所投服务器的备品备件支持期从产品终验通过次日开始不少于7年。</w:t>
            </w:r>
          </w:p>
        </w:tc>
        <w:tc>
          <w:tcPr>
            <w:tcW w:type="dxa" w:w="1038"/>
          </w:tcPr>
          <w:p>
            <w:pPr>
              <w:pStyle w:val="null3"/>
            </w:pPr>
            <w:r>
              <w:rPr/>
              <w:t>否</w:t>
            </w:r>
          </w:p>
        </w:tc>
        <w:tc>
          <w:tcPr>
            <w:tcW w:type="dxa" w:w="1038"/>
          </w:tcPr>
          <w:p/>
        </w:tc>
      </w:tr>
      <w:tr>
        <w:tc>
          <w:tcPr>
            <w:tcW w:type="dxa" w:w="1038"/>
          </w:tcPr>
          <w:p>
            <w:pPr>
              <w:pStyle w:val="null3"/>
            </w:pPr>
            <w:r>
              <w:rPr/>
              <w:t>155</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供应商所投产品及配件须符合国家网络安全相关要求。</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供货要求</w:t>
            </w:r>
          </w:p>
        </w:tc>
        <w:tc>
          <w:tcPr>
            <w:tcW w:type="dxa" w:w="1038"/>
          </w:tcPr>
          <w:p>
            <w:pPr>
              <w:pStyle w:val="null3"/>
            </w:pPr>
            <w:r>
              <w:rPr/>
              <w:t>——</w:t>
            </w:r>
          </w:p>
        </w:tc>
        <w:tc>
          <w:tcPr>
            <w:tcW w:type="dxa" w:w="1038"/>
          </w:tcPr>
          <w:p>
            <w:pPr>
              <w:pStyle w:val="null3"/>
            </w:pPr>
            <w:r>
              <w:rPr/>
              <w:t>供应商所投产品使用的CPU芯片通过安全可靠测评。</w:t>
            </w:r>
          </w:p>
        </w:tc>
        <w:tc>
          <w:tcPr>
            <w:tcW w:type="dxa" w:w="1038"/>
          </w:tcPr>
          <w:p>
            <w:pPr>
              <w:pStyle w:val="null3"/>
            </w:pPr>
            <w:r>
              <w:rPr/>
              <w:t>是</w:t>
            </w:r>
          </w:p>
        </w:tc>
        <w:tc>
          <w:tcPr>
            <w:tcW w:type="dxa" w:w="1038"/>
          </w:tcPr>
          <w:p>
            <w:pPr>
              <w:pStyle w:val="null3"/>
            </w:pPr>
            <w:r>
              <w:rPr/>
              <w:t>提供所投产品使用CPU芯片的安全可靠测评结果公告网站截图。</w:t>
            </w:r>
          </w:p>
        </w:tc>
      </w:tr>
      <w:tr>
        <w:tc>
          <w:tcPr>
            <w:tcW w:type="dxa" w:w="1038"/>
          </w:tcPr>
          <w:p>
            <w:pPr>
              <w:pStyle w:val="null3"/>
            </w:pPr>
            <w:r>
              <w:rPr/>
              <w:t>157</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其他要求</w:t>
            </w:r>
          </w:p>
        </w:tc>
        <w:tc>
          <w:tcPr>
            <w:tcW w:type="dxa" w:w="1038"/>
          </w:tcPr>
          <w:p>
            <w:pPr>
              <w:pStyle w:val="null3"/>
            </w:pPr>
            <w:r>
              <w:rPr/>
              <w:t>——</w:t>
            </w:r>
          </w:p>
        </w:tc>
        <w:tc>
          <w:tcPr>
            <w:tcW w:type="dxa" w:w="1038"/>
          </w:tcPr>
          <w:p>
            <w:pPr>
              <w:pStyle w:val="null3"/>
            </w:pPr>
            <w:r>
              <w:rPr/>
              <w:t>本次项目采购范围除设备供货外，还包括工程实施、设备集成服务、联调测试（包含不限于内实施准备、设备到货、设备上架、设备安装、系统调试、相关线缆提供及综合布线、与配套设备的联合调试和试运行技术支持等内容）、售后服务（售后服务方案内容应包含但不限于服务团队结构与数量、服务水平说明、应急预案、保修期内服务计划及培训计划等内容），供应商投标时需提供相应的工程实施、设备集成服务方案及售后服务方案。供应商应充分理解采购人的技术要求、配置要求及与现有系统兼容的要求，确保整个系统的完整性和可靠性，提供保证系统正常有效运行所需的所有设备及服务，包括但不限于采购人提出的设备要求及服务要求。</w:t>
            </w:r>
          </w:p>
        </w:tc>
        <w:tc>
          <w:tcPr>
            <w:tcW w:type="dxa" w:w="1038"/>
          </w:tcPr>
          <w:p>
            <w:pPr>
              <w:pStyle w:val="null3"/>
            </w:pPr>
            <w:r>
              <w:rPr/>
              <w:t>是</w:t>
            </w:r>
          </w:p>
        </w:tc>
        <w:tc>
          <w:tcPr>
            <w:tcW w:type="dxa" w:w="1038"/>
          </w:tcPr>
          <w:p>
            <w:pPr>
              <w:pStyle w:val="null3"/>
            </w:pPr>
            <w:r>
              <w:rPr/>
              <w:t>提供工程实施、设备集成服务方案及售后服务方案</w:t>
            </w:r>
          </w:p>
        </w:tc>
      </w:tr>
      <w:tr>
        <w:tc>
          <w:tcPr>
            <w:tcW w:type="dxa" w:w="1038"/>
          </w:tcPr>
          <w:p>
            <w:pPr>
              <w:pStyle w:val="null3"/>
            </w:pPr>
            <w:r>
              <w:rPr/>
              <w:t>158</w:t>
            </w:r>
          </w:p>
        </w:tc>
        <w:tc>
          <w:tcPr>
            <w:tcW w:type="dxa" w:w="1038"/>
          </w:tcPr>
          <w:p>
            <w:pPr>
              <w:pStyle w:val="null3"/>
            </w:pPr>
            <w:r>
              <w:rPr/>
              <w:t>采购内容</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高性能AI深度计算型服务器8台（含7年维保服务）</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CPU数量</w:t>
            </w:r>
          </w:p>
        </w:tc>
        <w:tc>
          <w:tcPr>
            <w:tcW w:type="dxa" w:w="1038"/>
          </w:tcPr>
          <w:p>
            <w:pPr>
              <w:pStyle w:val="null3"/>
            </w:pPr>
            <w:r>
              <w:rPr/>
              <w:t>配置4颗国产物理ARM芯片CPU，CPU满足等保2.0以及可信计算3.0的相关要求</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AI 计算单元规格</w:t>
            </w:r>
          </w:p>
        </w:tc>
        <w:tc>
          <w:tcPr>
            <w:tcW w:type="dxa" w:w="1038"/>
          </w:tcPr>
          <w:p>
            <w:pPr>
              <w:pStyle w:val="null3"/>
            </w:pPr>
            <w:r>
              <w:rPr/>
              <w:t>AI 计算单元</w:t>
            </w:r>
          </w:p>
        </w:tc>
        <w:tc>
          <w:tcPr>
            <w:tcW w:type="dxa" w:w="1038"/>
          </w:tcPr>
          <w:p>
            <w:pPr>
              <w:pStyle w:val="null3"/>
            </w:pPr>
            <w:r>
              <w:rPr/>
              <w:t>具备AI计算单元，计算精度至少支持FP16、BF16、FP32、 FP64、INT8 和 INT16 等中的 1 种</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AI 计算单元规格</w:t>
            </w:r>
          </w:p>
        </w:tc>
        <w:tc>
          <w:tcPr>
            <w:tcW w:type="dxa" w:w="1038"/>
          </w:tcPr>
          <w:p>
            <w:pPr>
              <w:pStyle w:val="null3"/>
            </w:pPr>
            <w:r>
              <w:rPr/>
              <w:t>AI 计算单元数量</w:t>
            </w:r>
          </w:p>
        </w:tc>
        <w:tc>
          <w:tcPr>
            <w:tcW w:type="dxa" w:w="1038"/>
          </w:tcPr>
          <w:p>
            <w:pPr>
              <w:pStyle w:val="null3"/>
            </w:pPr>
            <w:r>
              <w:rPr/>
              <w:t>配置至少８颗国产AI计算单元，处理器HBM内存总容量≥500GB，处理器FP16总算力≥2000 TFLOPS、FP32总算力≥600 TFLOPS；每个处理器提供直出网络带宽≥200Gb/s</w:t>
            </w:r>
          </w:p>
        </w:tc>
        <w:tc>
          <w:tcPr>
            <w:tcW w:type="dxa" w:w="1038"/>
          </w:tcPr>
          <w:p>
            <w:pPr>
              <w:pStyle w:val="null3"/>
            </w:pPr>
            <w:r>
              <w:rPr/>
              <w:t>否</w:t>
            </w:r>
          </w:p>
        </w:tc>
        <w:tc>
          <w:tcPr>
            <w:tcW w:type="dxa" w:w="1038"/>
          </w:tcPr>
          <w:p/>
        </w:tc>
      </w:tr>
      <w:tr>
        <w:tc>
          <w:tcPr>
            <w:tcW w:type="dxa" w:w="1038"/>
          </w:tcPr>
          <w:p>
            <w:pPr>
              <w:pStyle w:val="null3"/>
            </w:pPr>
            <w:r>
              <w:rPr/>
              <w:t>162</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≥32；内存条总数为偶数</w:t>
            </w:r>
          </w:p>
        </w:tc>
        <w:tc>
          <w:tcPr>
            <w:tcW w:type="dxa" w:w="1038"/>
          </w:tcPr>
          <w:p>
            <w:pPr>
              <w:pStyle w:val="null3"/>
            </w:pPr>
            <w:r>
              <w:rPr/>
              <w:t>否</w:t>
            </w:r>
          </w:p>
        </w:tc>
        <w:tc>
          <w:tcPr>
            <w:tcW w:type="dxa" w:w="1038"/>
          </w:tcPr>
          <w:p/>
        </w:tc>
      </w:tr>
      <w:tr>
        <w:tc>
          <w:tcPr>
            <w:tcW w:type="dxa" w:w="1038"/>
          </w:tcPr>
          <w:p>
            <w:pPr>
              <w:pStyle w:val="null3"/>
            </w:pPr>
            <w:r>
              <w:rPr/>
              <w:t>163</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单条不低于DDR4 RDIMM 3200MHz内存，整机内存总容量不低于1024GB</w:t>
            </w:r>
          </w:p>
        </w:tc>
        <w:tc>
          <w:tcPr>
            <w:tcW w:type="dxa" w:w="1038"/>
          </w:tcPr>
          <w:p>
            <w:pPr>
              <w:pStyle w:val="null3"/>
            </w:pPr>
            <w:r>
              <w:rPr/>
              <w:t>否</w:t>
            </w:r>
          </w:p>
        </w:tc>
        <w:tc>
          <w:tcPr>
            <w:tcW w:type="dxa" w:w="1038"/>
          </w:tcPr>
          <w:p/>
        </w:tc>
      </w:tr>
      <w:tr>
        <w:tc>
          <w:tcPr>
            <w:tcW w:type="dxa" w:w="1038"/>
          </w:tcPr>
          <w:p>
            <w:pPr>
              <w:pStyle w:val="null3"/>
            </w:pPr>
            <w:r>
              <w:rPr/>
              <w:t>164</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a) 系统盘：480GB SATA SSD硬盘2块 b) 数据盘：3200GB NVMe SSD硬盘2块</w:t>
            </w:r>
          </w:p>
        </w:tc>
        <w:tc>
          <w:tcPr>
            <w:tcW w:type="dxa" w:w="1038"/>
          </w:tcPr>
          <w:p>
            <w:pPr>
              <w:pStyle w:val="null3"/>
            </w:pPr>
            <w:r>
              <w:rPr/>
              <w:t>否</w:t>
            </w:r>
          </w:p>
        </w:tc>
        <w:tc>
          <w:tcPr>
            <w:tcW w:type="dxa" w:w="1038"/>
          </w:tcPr>
          <w:p/>
        </w:tc>
      </w:tr>
      <w:tr>
        <w:tc>
          <w:tcPr>
            <w:tcW w:type="dxa" w:w="1038"/>
          </w:tcPr>
          <w:p>
            <w:pPr>
              <w:pStyle w:val="null3"/>
            </w:pPr>
            <w:r>
              <w:rPr/>
              <w:t>165</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网口速率和数量</w:t>
            </w:r>
          </w:p>
        </w:tc>
        <w:tc>
          <w:tcPr>
            <w:tcW w:type="dxa" w:w="1038"/>
          </w:tcPr>
          <w:p>
            <w:pPr>
              <w:pStyle w:val="null3"/>
            </w:pPr>
            <w:r>
              <w:rPr/>
              <w:t>a)配置不少于4口10GE/25GE光口网卡（含配套光模块） b)配置不少于8口200GE光口网卡（含配套光模块） c)配置不少于2个千兆电口</w:t>
            </w:r>
          </w:p>
        </w:tc>
        <w:tc>
          <w:tcPr>
            <w:tcW w:type="dxa" w:w="1038"/>
          </w:tcPr>
          <w:p>
            <w:pPr>
              <w:pStyle w:val="null3"/>
            </w:pPr>
            <w:r>
              <w:rPr/>
              <w:t>否</w:t>
            </w:r>
          </w:p>
        </w:tc>
        <w:tc>
          <w:tcPr>
            <w:tcW w:type="dxa" w:w="1038"/>
          </w:tcPr>
          <w:p/>
        </w:tc>
      </w:tr>
      <w:tr>
        <w:tc>
          <w:tcPr>
            <w:tcW w:type="dxa" w:w="1038"/>
          </w:tcPr>
          <w:p>
            <w:pPr>
              <w:pStyle w:val="null3"/>
            </w:pPr>
            <w:r>
              <w:rPr/>
              <w:t>166</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电源模块数量</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167</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电源功率</w:t>
            </w:r>
          </w:p>
        </w:tc>
        <w:tc>
          <w:tcPr>
            <w:tcW w:type="dxa" w:w="1038"/>
          </w:tcPr>
          <w:p>
            <w:pPr>
              <w:pStyle w:val="null3"/>
            </w:pPr>
            <w:r>
              <w:rPr/>
              <w:t>a)电源模块功率应有一定冗余，满足处理器满载时的需求；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168</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电源功率</w:t>
            </w:r>
          </w:p>
        </w:tc>
        <w:tc>
          <w:tcPr>
            <w:tcW w:type="dxa" w:w="1038"/>
          </w:tcPr>
          <w:p>
            <w:pPr>
              <w:pStyle w:val="null3"/>
            </w:pPr>
            <w:r>
              <w:rPr/>
              <w:t>b)2600W或以上电源模块</w:t>
            </w:r>
          </w:p>
        </w:tc>
        <w:tc>
          <w:tcPr>
            <w:tcW w:type="dxa" w:w="1038"/>
          </w:tcPr>
          <w:p>
            <w:pPr>
              <w:pStyle w:val="null3"/>
            </w:pPr>
            <w:r>
              <w:rPr/>
              <w:t>否</w:t>
            </w:r>
          </w:p>
        </w:tc>
        <w:tc>
          <w:tcPr>
            <w:tcW w:type="dxa" w:w="1038"/>
          </w:tcPr>
          <w:p/>
        </w:tc>
      </w:tr>
      <w:tr>
        <w:tc>
          <w:tcPr>
            <w:tcW w:type="dxa" w:w="1038"/>
          </w:tcPr>
          <w:p>
            <w:pPr>
              <w:pStyle w:val="null3"/>
            </w:pPr>
            <w:r>
              <w:rPr/>
              <w:t>169</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环境适应性</w:t>
            </w:r>
          </w:p>
        </w:tc>
        <w:tc>
          <w:tcPr>
            <w:tcW w:type="dxa" w:w="1038"/>
          </w:tcPr>
          <w:p>
            <w:pPr>
              <w:pStyle w:val="null3"/>
            </w:pPr>
            <w:r>
              <w:rPr/>
              <w:t>气候环境适应性应符合GB/T9813.3的有关规定，工作温度10～35℃，贮存运输温度-30～55℃；工作相对湿度35%～80%，贮存运输相对湿度20％～90%（40℃）；大气压86～106kPa</w:t>
            </w:r>
          </w:p>
        </w:tc>
        <w:tc>
          <w:tcPr>
            <w:tcW w:type="dxa" w:w="1038"/>
          </w:tcPr>
          <w:p>
            <w:pPr>
              <w:pStyle w:val="null3"/>
            </w:pPr>
            <w:r>
              <w:rPr/>
              <w:t>否</w:t>
            </w:r>
          </w:p>
        </w:tc>
        <w:tc>
          <w:tcPr>
            <w:tcW w:type="dxa" w:w="1038"/>
          </w:tcPr>
          <w:p/>
        </w:tc>
      </w:tr>
      <w:tr>
        <w:tc>
          <w:tcPr>
            <w:tcW w:type="dxa" w:w="1038"/>
          </w:tcPr>
          <w:p>
            <w:pPr>
              <w:pStyle w:val="null3"/>
            </w:pPr>
            <w:r>
              <w:rPr/>
              <w:t>170</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配件规格</w:t>
            </w:r>
          </w:p>
        </w:tc>
        <w:tc>
          <w:tcPr>
            <w:tcW w:type="dxa" w:w="1038"/>
          </w:tcPr>
          <w:p>
            <w:pPr>
              <w:pStyle w:val="null3"/>
            </w:pPr>
            <w:r>
              <w:rPr/>
              <w:t>线材</w:t>
            </w:r>
          </w:p>
        </w:tc>
        <w:tc>
          <w:tcPr>
            <w:tcW w:type="dxa" w:w="1038"/>
          </w:tcPr>
          <w:p>
            <w:pPr>
              <w:pStyle w:val="null3"/>
            </w:pPr>
            <w:r>
              <w:rPr/>
              <w:t>a) 提供配套1.5至2.5米电源线，规格以采购人机房实际环境为准，在供货时由采购人指定; b)提供配套4至15米品牌原装成品光纤或2至15米品牌原装六类非屏蔽成品网线。</w:t>
            </w:r>
          </w:p>
        </w:tc>
        <w:tc>
          <w:tcPr>
            <w:tcW w:type="dxa" w:w="1038"/>
          </w:tcPr>
          <w:p>
            <w:pPr>
              <w:pStyle w:val="null3"/>
            </w:pPr>
            <w:r>
              <w:rPr/>
              <w:t>否</w:t>
            </w:r>
          </w:p>
        </w:tc>
        <w:tc>
          <w:tcPr>
            <w:tcW w:type="dxa" w:w="1038"/>
          </w:tcPr>
          <w:p/>
        </w:tc>
      </w:tr>
      <w:tr>
        <w:tc>
          <w:tcPr>
            <w:tcW w:type="dxa" w:w="1038"/>
          </w:tcPr>
          <w:p>
            <w:pPr>
              <w:pStyle w:val="null3"/>
            </w:pPr>
            <w:r>
              <w:rPr/>
              <w:t>171</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配件规格</w:t>
            </w:r>
          </w:p>
        </w:tc>
        <w:tc>
          <w:tcPr>
            <w:tcW w:type="dxa" w:w="1038"/>
          </w:tcPr>
          <w:p>
            <w:pPr>
              <w:pStyle w:val="null3"/>
            </w:pPr>
            <w:r>
              <w:rPr/>
              <w:t>安装套件</w:t>
            </w:r>
          </w:p>
        </w:tc>
        <w:tc>
          <w:tcPr>
            <w:tcW w:type="dxa" w:w="1038"/>
          </w:tcPr>
          <w:p>
            <w:pPr>
              <w:pStyle w:val="null3"/>
            </w:pPr>
            <w:r>
              <w:rPr/>
              <w:t>1套安装套件</w:t>
            </w:r>
          </w:p>
        </w:tc>
        <w:tc>
          <w:tcPr>
            <w:tcW w:type="dxa" w:w="1038"/>
          </w:tcPr>
          <w:p>
            <w:pPr>
              <w:pStyle w:val="null3"/>
            </w:pPr>
            <w:r>
              <w:rPr/>
              <w:t>否</w:t>
            </w:r>
          </w:p>
        </w:tc>
        <w:tc>
          <w:tcPr>
            <w:tcW w:type="dxa" w:w="1038"/>
          </w:tcPr>
          <w:p/>
        </w:tc>
      </w:tr>
      <w:tr>
        <w:tc>
          <w:tcPr>
            <w:tcW w:type="dxa" w:w="1038"/>
          </w:tcPr>
          <w:p>
            <w:pPr>
              <w:pStyle w:val="null3"/>
            </w:pPr>
            <w:r>
              <w:rPr/>
              <w:t>172</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173</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 CPU核数</w:t>
            </w:r>
          </w:p>
        </w:tc>
        <w:tc>
          <w:tcPr>
            <w:tcW w:type="dxa" w:w="1038"/>
          </w:tcPr>
          <w:p>
            <w:pPr>
              <w:pStyle w:val="null3"/>
            </w:pPr>
            <w:r>
              <w:rPr/>
              <w:t>≥48</w:t>
            </w:r>
          </w:p>
        </w:tc>
        <w:tc>
          <w:tcPr>
            <w:tcW w:type="dxa" w:w="1038"/>
          </w:tcPr>
          <w:p>
            <w:pPr>
              <w:pStyle w:val="null3"/>
            </w:pPr>
            <w:r>
              <w:rPr/>
              <w:t>否</w:t>
            </w:r>
          </w:p>
        </w:tc>
        <w:tc>
          <w:tcPr>
            <w:tcW w:type="dxa" w:w="1038"/>
          </w:tcPr>
          <w:p/>
        </w:tc>
      </w:tr>
      <w:tr>
        <w:tc>
          <w:tcPr>
            <w:tcW w:type="dxa" w:w="1038"/>
          </w:tcPr>
          <w:p>
            <w:pPr>
              <w:pStyle w:val="null3"/>
            </w:pPr>
            <w:r>
              <w:rPr/>
              <w:t>174</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 CPU末级缓存容量</w:t>
            </w:r>
          </w:p>
        </w:tc>
        <w:tc>
          <w:tcPr>
            <w:tcW w:type="dxa" w:w="1038"/>
          </w:tcPr>
          <w:p>
            <w:pPr>
              <w:pStyle w:val="null3"/>
            </w:pPr>
            <w:r>
              <w:rPr/>
              <w:t>≥48MB</w:t>
            </w:r>
          </w:p>
        </w:tc>
        <w:tc>
          <w:tcPr>
            <w:tcW w:type="dxa" w:w="1038"/>
          </w:tcPr>
          <w:p>
            <w:pPr>
              <w:pStyle w:val="null3"/>
            </w:pPr>
            <w:r>
              <w:rPr/>
              <w:t>否</w:t>
            </w:r>
          </w:p>
        </w:tc>
        <w:tc>
          <w:tcPr>
            <w:tcW w:type="dxa" w:w="1038"/>
          </w:tcPr>
          <w:p/>
        </w:tc>
      </w:tr>
      <w:tr>
        <w:tc>
          <w:tcPr>
            <w:tcW w:type="dxa" w:w="1038"/>
          </w:tcPr>
          <w:p>
            <w:pPr>
              <w:pStyle w:val="null3"/>
            </w:pPr>
            <w:r>
              <w:rPr/>
              <w:t>175</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AI计算单元性能</w:t>
            </w:r>
          </w:p>
        </w:tc>
        <w:tc>
          <w:tcPr>
            <w:tcW w:type="dxa" w:w="1038"/>
          </w:tcPr>
          <w:p>
            <w:pPr>
              <w:pStyle w:val="null3"/>
            </w:pPr>
            <w:r>
              <w:rPr/>
              <w:t>单AI计算单元算力</w:t>
            </w:r>
          </w:p>
        </w:tc>
        <w:tc>
          <w:tcPr>
            <w:tcW w:type="dxa" w:w="1038"/>
          </w:tcPr>
          <w:p>
            <w:pPr>
              <w:pStyle w:val="null3"/>
            </w:pPr>
            <w:r>
              <w:rPr/>
              <w:t>≥300 TFLOPS FP16</w:t>
            </w:r>
          </w:p>
        </w:tc>
        <w:tc>
          <w:tcPr>
            <w:tcW w:type="dxa" w:w="1038"/>
          </w:tcPr>
          <w:p>
            <w:pPr>
              <w:pStyle w:val="null3"/>
            </w:pPr>
            <w:r>
              <w:rPr/>
              <w:t>否</w:t>
            </w:r>
          </w:p>
        </w:tc>
        <w:tc>
          <w:tcPr>
            <w:tcW w:type="dxa" w:w="1038"/>
          </w:tcPr>
          <w:p/>
        </w:tc>
      </w:tr>
      <w:tr>
        <w:tc>
          <w:tcPr>
            <w:tcW w:type="dxa" w:w="1038"/>
          </w:tcPr>
          <w:p>
            <w:pPr>
              <w:pStyle w:val="null3"/>
            </w:pPr>
            <w:r>
              <w:rPr/>
              <w:t>176</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AI计算单元性能</w:t>
            </w:r>
          </w:p>
        </w:tc>
        <w:tc>
          <w:tcPr>
            <w:tcW w:type="dxa" w:w="1038"/>
          </w:tcPr>
          <w:p>
            <w:pPr>
              <w:pStyle w:val="null3"/>
            </w:pPr>
            <w:r>
              <w:rPr/>
              <w:t>单AI计算单元显存</w:t>
            </w:r>
          </w:p>
        </w:tc>
        <w:tc>
          <w:tcPr>
            <w:tcW w:type="dxa" w:w="1038"/>
          </w:tcPr>
          <w:p>
            <w:pPr>
              <w:pStyle w:val="null3"/>
            </w:pPr>
            <w:r>
              <w:rPr/>
              <w:t>≥64GB</w:t>
            </w:r>
          </w:p>
        </w:tc>
        <w:tc>
          <w:tcPr>
            <w:tcW w:type="dxa" w:w="1038"/>
          </w:tcPr>
          <w:p>
            <w:pPr>
              <w:pStyle w:val="null3"/>
            </w:pPr>
            <w:r>
              <w:rPr/>
              <w:t>否</w:t>
            </w:r>
          </w:p>
        </w:tc>
        <w:tc>
          <w:tcPr>
            <w:tcW w:type="dxa" w:w="1038"/>
          </w:tcPr>
          <w:p/>
        </w:tc>
      </w:tr>
      <w:tr>
        <w:tc>
          <w:tcPr>
            <w:tcW w:type="dxa" w:w="1038"/>
          </w:tcPr>
          <w:p>
            <w:pPr>
              <w:pStyle w:val="null3"/>
            </w:pPr>
            <w:r>
              <w:rPr/>
              <w:t>177</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178</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≥2933MT/s</w:t>
            </w:r>
          </w:p>
        </w:tc>
        <w:tc>
          <w:tcPr>
            <w:tcW w:type="dxa" w:w="1038"/>
          </w:tcPr>
          <w:p>
            <w:pPr>
              <w:pStyle w:val="null3"/>
            </w:pPr>
            <w:r>
              <w:rPr/>
              <w:t>否</w:t>
            </w:r>
          </w:p>
        </w:tc>
        <w:tc>
          <w:tcPr>
            <w:tcW w:type="dxa" w:w="1038"/>
          </w:tcPr>
          <w:p/>
        </w:tc>
      </w:tr>
      <w:tr>
        <w:tc>
          <w:tcPr>
            <w:tcW w:type="dxa" w:w="1038"/>
          </w:tcPr>
          <w:p>
            <w:pPr>
              <w:pStyle w:val="null3"/>
            </w:pPr>
            <w:r>
              <w:rPr/>
              <w:t>179</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若配备硬磁盘，转速不小15000rpm</w:t>
            </w:r>
          </w:p>
        </w:tc>
        <w:tc>
          <w:tcPr>
            <w:tcW w:type="dxa" w:w="1038"/>
          </w:tcPr>
          <w:p>
            <w:pPr>
              <w:pStyle w:val="null3"/>
            </w:pPr>
            <w:r>
              <w:rPr/>
              <w:t>否</w:t>
            </w:r>
          </w:p>
        </w:tc>
        <w:tc>
          <w:tcPr>
            <w:tcW w:type="dxa" w:w="1038"/>
          </w:tcPr>
          <w:p/>
        </w:tc>
      </w:tr>
      <w:tr>
        <w:tc>
          <w:tcPr>
            <w:tcW w:type="dxa" w:w="1038"/>
          </w:tcPr>
          <w:p>
            <w:pPr>
              <w:pStyle w:val="null3"/>
            </w:pPr>
            <w:r>
              <w:rPr/>
              <w:t>180</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存储性能</w:t>
            </w:r>
          </w:p>
        </w:tc>
        <w:tc>
          <w:tcPr>
            <w:tcW w:type="dxa" w:w="1038"/>
          </w:tcPr>
          <w:p>
            <w:pPr>
              <w:pStyle w:val="null3"/>
            </w:pPr>
            <w:r>
              <w:rPr/>
              <w:t>硬盘速率</w:t>
            </w:r>
          </w:p>
        </w:tc>
        <w:tc>
          <w:tcPr>
            <w:tcW w:type="dxa" w:w="1038"/>
          </w:tcPr>
          <w:p>
            <w:pPr>
              <w:pStyle w:val="null3"/>
            </w:pPr>
            <w:r>
              <w:rPr/>
              <w:t>若配备固态硬盘，4k随机读iops≥4万，4k随机写iops≥3万</w:t>
            </w:r>
          </w:p>
        </w:tc>
        <w:tc>
          <w:tcPr>
            <w:tcW w:type="dxa" w:w="1038"/>
          </w:tcPr>
          <w:p>
            <w:pPr>
              <w:pStyle w:val="null3"/>
            </w:pPr>
            <w:r>
              <w:rPr/>
              <w:t>否</w:t>
            </w:r>
          </w:p>
        </w:tc>
        <w:tc>
          <w:tcPr>
            <w:tcW w:type="dxa" w:w="1038"/>
          </w:tcPr>
          <w:p/>
        </w:tc>
      </w:tr>
      <w:tr>
        <w:tc>
          <w:tcPr>
            <w:tcW w:type="dxa" w:w="1038"/>
          </w:tcPr>
          <w:p>
            <w:pPr>
              <w:pStyle w:val="null3"/>
            </w:pPr>
            <w:r>
              <w:rPr/>
              <w:t>181</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RAID卡缓存容量大小</w:t>
            </w:r>
          </w:p>
        </w:tc>
        <w:tc>
          <w:tcPr>
            <w:tcW w:type="dxa" w:w="1038"/>
          </w:tcPr>
          <w:p>
            <w:pPr>
              <w:pStyle w:val="null3"/>
            </w:pPr>
            <w:r>
              <w:rPr/>
              <w:t>配备RAID卡且RAID卡有缓存容量，容量不少于2GB</w:t>
            </w:r>
          </w:p>
        </w:tc>
        <w:tc>
          <w:tcPr>
            <w:tcW w:type="dxa" w:w="1038"/>
          </w:tcPr>
          <w:p>
            <w:pPr>
              <w:pStyle w:val="null3"/>
            </w:pPr>
            <w:r>
              <w:rPr/>
              <w:t>否</w:t>
            </w:r>
          </w:p>
        </w:tc>
        <w:tc>
          <w:tcPr>
            <w:tcW w:type="dxa" w:w="1038"/>
          </w:tcPr>
          <w:p/>
        </w:tc>
      </w:tr>
      <w:tr>
        <w:tc>
          <w:tcPr>
            <w:tcW w:type="dxa" w:w="1038"/>
          </w:tcPr>
          <w:p>
            <w:pPr>
              <w:pStyle w:val="null3"/>
            </w:pPr>
            <w:r>
              <w:rPr/>
              <w:t>182</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光纤网卡 ≥10GE</w:t>
            </w:r>
          </w:p>
        </w:tc>
        <w:tc>
          <w:tcPr>
            <w:tcW w:type="dxa" w:w="1038"/>
          </w:tcPr>
          <w:p>
            <w:pPr>
              <w:pStyle w:val="null3"/>
            </w:pPr>
            <w:r>
              <w:rPr/>
              <w:t>否</w:t>
            </w:r>
          </w:p>
        </w:tc>
        <w:tc>
          <w:tcPr>
            <w:tcW w:type="dxa" w:w="1038"/>
          </w:tcPr>
          <w:p/>
        </w:tc>
      </w:tr>
      <w:tr>
        <w:tc>
          <w:tcPr>
            <w:tcW w:type="dxa" w:w="1038"/>
          </w:tcPr>
          <w:p>
            <w:pPr>
              <w:pStyle w:val="null3"/>
            </w:pPr>
            <w:r>
              <w:rPr/>
              <w:t>183</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光纤网卡 ≥10GE</w:t>
            </w:r>
          </w:p>
        </w:tc>
        <w:tc>
          <w:tcPr>
            <w:tcW w:type="dxa" w:w="1038"/>
          </w:tcPr>
          <w:p>
            <w:pPr>
              <w:pStyle w:val="null3"/>
            </w:pPr>
            <w:r>
              <w:rPr/>
              <w:t>否</w:t>
            </w:r>
          </w:p>
        </w:tc>
        <w:tc>
          <w:tcPr>
            <w:tcW w:type="dxa" w:w="1038"/>
          </w:tcPr>
          <w:p/>
        </w:tc>
      </w:tr>
      <w:tr>
        <w:tc>
          <w:tcPr>
            <w:tcW w:type="dxa" w:w="1038"/>
          </w:tcPr>
          <w:p>
            <w:pPr>
              <w:pStyle w:val="null3"/>
            </w:pPr>
            <w:r>
              <w:rPr/>
              <w:t>184</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网卡模块热备和冗余</w:t>
            </w:r>
          </w:p>
        </w:tc>
        <w:tc>
          <w:tcPr>
            <w:tcW w:type="dxa" w:w="1038"/>
          </w:tcPr>
          <w:p>
            <w:pPr>
              <w:pStyle w:val="null3"/>
            </w:pPr>
            <w:r>
              <w:rPr/>
              <w:t>网卡支持多bond模式</w:t>
            </w:r>
          </w:p>
        </w:tc>
        <w:tc>
          <w:tcPr>
            <w:tcW w:type="dxa" w:w="1038"/>
          </w:tcPr>
          <w:p>
            <w:pPr>
              <w:pStyle w:val="null3"/>
            </w:pPr>
            <w:r>
              <w:rPr/>
              <w:t>否</w:t>
            </w:r>
          </w:p>
        </w:tc>
        <w:tc>
          <w:tcPr>
            <w:tcW w:type="dxa" w:w="1038"/>
          </w:tcPr>
          <w:p/>
        </w:tc>
      </w:tr>
      <w:tr>
        <w:tc>
          <w:tcPr>
            <w:tcW w:type="dxa" w:w="1038"/>
          </w:tcPr>
          <w:p>
            <w:pPr>
              <w:pStyle w:val="null3"/>
            </w:pPr>
            <w:r>
              <w:rPr/>
              <w:t>185</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RAID卡功能（若支持RAID卡）</w:t>
            </w:r>
          </w:p>
        </w:tc>
        <w:tc>
          <w:tcPr>
            <w:tcW w:type="dxa" w:w="1038"/>
          </w:tcPr>
          <w:p>
            <w:pPr>
              <w:pStyle w:val="null3"/>
            </w:pPr>
            <w:r>
              <w:rPr/>
              <w:t>RAID卡RAID级别支持</w:t>
            </w:r>
          </w:p>
        </w:tc>
        <w:tc>
          <w:tcPr>
            <w:tcW w:type="dxa" w:w="1038"/>
          </w:tcPr>
          <w:p>
            <w:pPr>
              <w:pStyle w:val="null3"/>
            </w:pPr>
            <w:r>
              <w:rPr/>
              <w:t>RAID模式支持RAID 0/1/10/5</w:t>
            </w:r>
          </w:p>
        </w:tc>
        <w:tc>
          <w:tcPr>
            <w:tcW w:type="dxa" w:w="1038"/>
          </w:tcPr>
          <w:p>
            <w:pPr>
              <w:pStyle w:val="null3"/>
            </w:pPr>
            <w:r>
              <w:rPr/>
              <w:t>否</w:t>
            </w:r>
          </w:p>
        </w:tc>
        <w:tc>
          <w:tcPr>
            <w:tcW w:type="dxa" w:w="1038"/>
          </w:tcPr>
          <w:p/>
        </w:tc>
      </w:tr>
      <w:tr>
        <w:tc>
          <w:tcPr>
            <w:tcW w:type="dxa" w:w="1038"/>
          </w:tcPr>
          <w:p>
            <w:pPr>
              <w:pStyle w:val="null3"/>
            </w:pPr>
            <w:r>
              <w:rPr/>
              <w:t>186</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远程控制</w:t>
            </w:r>
          </w:p>
        </w:tc>
        <w:tc>
          <w:tcPr>
            <w:tcW w:type="dxa" w:w="1038"/>
          </w:tcPr>
          <w:p>
            <w:pPr>
              <w:pStyle w:val="null3"/>
            </w:pPr>
            <w:r>
              <w:rPr/>
              <w:t>远程管理卡，提供独立千兆管理口，支持远程监控图形界面, 可实现与操作系统无关的远程对服务器的完全控制，包括远程的开机、关机、重启、安装操作系统、更新固件、虚拟KVM、虚拟光驱等操作。支持远程管理接口BMC（HTTPS）或Redfish，获取服务器关键信息（包括主机、CPU、内存、磁盘、阵列卡、网卡等）、执行管理任务（如开关机、重启服务器、配置BIOS设置等）。</w:t>
            </w:r>
          </w:p>
        </w:tc>
        <w:tc>
          <w:tcPr>
            <w:tcW w:type="dxa" w:w="1038"/>
          </w:tcPr>
          <w:p>
            <w:pPr>
              <w:pStyle w:val="null3"/>
            </w:pPr>
            <w:r>
              <w:rPr/>
              <w:t>否</w:t>
            </w:r>
          </w:p>
        </w:tc>
        <w:tc>
          <w:tcPr>
            <w:tcW w:type="dxa" w:w="1038"/>
          </w:tcPr>
          <w:p/>
        </w:tc>
      </w:tr>
      <w:tr>
        <w:tc>
          <w:tcPr>
            <w:tcW w:type="dxa" w:w="1038"/>
          </w:tcPr>
          <w:p>
            <w:pPr>
              <w:pStyle w:val="null3"/>
            </w:pPr>
            <w:r>
              <w:rPr/>
              <w:t>187</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远程管理</w:t>
            </w:r>
          </w:p>
        </w:tc>
        <w:tc>
          <w:tcPr>
            <w:tcW w:type="dxa" w:w="1038"/>
          </w:tcPr>
          <w:p>
            <w:pPr>
              <w:pStyle w:val="null3"/>
            </w:pPr>
            <w:r>
              <w:rPr/>
              <w:t>1）console多用户登录：支持同时登录多个用户 2）虚拟光驱使用正常：支持挂载iso安装系统 3）syslog日志发送：支持将服务器硬件日志发送到syslog服务器上 4）ntp同步：支持ntp时间同步</w:t>
            </w:r>
          </w:p>
        </w:tc>
        <w:tc>
          <w:tcPr>
            <w:tcW w:type="dxa" w:w="1038"/>
          </w:tcPr>
          <w:p>
            <w:pPr>
              <w:pStyle w:val="null3"/>
            </w:pPr>
            <w:r>
              <w:rPr/>
              <w:t>否</w:t>
            </w:r>
          </w:p>
        </w:tc>
        <w:tc>
          <w:tcPr>
            <w:tcW w:type="dxa" w:w="1038"/>
          </w:tcPr>
          <w:p/>
        </w:tc>
      </w:tr>
      <w:tr>
        <w:tc>
          <w:tcPr>
            <w:tcW w:type="dxa" w:w="1038"/>
          </w:tcPr>
          <w:p>
            <w:pPr>
              <w:pStyle w:val="null3"/>
            </w:pPr>
            <w:r>
              <w:rPr/>
              <w:t>188</w:t>
            </w:r>
          </w:p>
        </w:tc>
        <w:tc>
          <w:tcPr>
            <w:tcW w:type="dxa" w:w="1038"/>
          </w:tcPr>
          <w:p>
            <w:pPr>
              <w:pStyle w:val="null3"/>
            </w:pPr>
            <w:r>
              <w:rPr/>
              <w:t>其他要求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对于技术要求指标项1-145项，除明确要求提供证明材料的，其余均在采购人要求时提供</w:t>
            </w:r>
          </w:p>
        </w:tc>
        <w:tc>
          <w:tcPr>
            <w:tcW w:type="dxa" w:w="1038"/>
          </w:tcPr>
          <w:p>
            <w:pPr>
              <w:pStyle w:val="null3"/>
            </w:pPr>
            <w:r>
              <w:rPr/>
              <w:t>否</w:t>
            </w:r>
          </w:p>
        </w:tc>
        <w:tc>
          <w:tcPr>
            <w:tcW w:type="dxa" w:w="1038"/>
          </w:tcPr>
          <w:p/>
        </w:tc>
      </w:tr>
    </w:tbl>
    <w:p>
      <w:pPr>
        <w:pStyle w:val="null3"/>
        <w:jc w:val="both"/>
      </w:pPr>
      <w:r>
        <w:rPr/>
        <w:t>本商务要求共有“★”指标39个，”#”指标2个，“▲”指标11个。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交付地点</w:t>
            </w:r>
          </w:p>
        </w:tc>
        <w:tc>
          <w:tcPr>
            <w:tcW w:type="dxa" w:w="1038"/>
          </w:tcPr>
          <w:p>
            <w:pPr>
              <w:pStyle w:val="null3"/>
            </w:pPr>
            <w:r>
              <w:rPr/>
              <w:t>交付地点为北京、上海、深圳，具体位置以采购人指定位置为准。</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交付时长</w:t>
            </w:r>
          </w:p>
        </w:tc>
        <w:tc>
          <w:tcPr>
            <w:tcW w:type="dxa" w:w="1038"/>
          </w:tcPr>
          <w:p>
            <w:pPr>
              <w:pStyle w:val="null3"/>
            </w:pPr>
            <w:r>
              <w:rPr/>
              <w:t>供应商应在合同签订并收到采购人供货通知后30个日历日内将供货通知内供货通知中要求的货物送至采购人指定地点。</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交付货物</w:t>
            </w:r>
          </w:p>
        </w:tc>
        <w:tc>
          <w:tcPr>
            <w:tcW w:type="dxa" w:w="1038"/>
          </w:tcPr>
          <w:p>
            <w:pPr>
              <w:pStyle w:val="null3"/>
            </w:pPr>
            <w:r>
              <w:rPr/>
              <w:t>供应商按照采购配置清单，提供完好、全新、未使用过的硬件产品</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供货要求</w:t>
            </w:r>
          </w:p>
        </w:tc>
        <w:tc>
          <w:tcPr>
            <w:tcW w:type="dxa" w:w="1038"/>
          </w:tcPr>
          <w:p>
            <w:pPr>
              <w:pStyle w:val="null3"/>
            </w:pPr>
            <w:r>
              <w:rPr/>
              <w:t>供货前，应按照采购人要求，提前准备好相关供货材料和信息（包括设备型号、规格、数量、序列号等），配合采购人完成到货清点、入库、拆箱检查、到货验收，以及资产扫描和入账等工作</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检查货物</w:t>
            </w:r>
          </w:p>
        </w:tc>
        <w:tc>
          <w:tcPr>
            <w:tcW w:type="dxa" w:w="1038"/>
          </w:tcPr>
          <w:p>
            <w:pPr>
              <w:pStyle w:val="null3"/>
            </w:pPr>
            <w:r>
              <w:rPr/>
              <w:t>供应商负责开箱验货，检查产品到货情况</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安装调试时长</w:t>
            </w:r>
          </w:p>
        </w:tc>
        <w:tc>
          <w:tcPr>
            <w:tcW w:type="dxa" w:w="1038"/>
          </w:tcPr>
          <w:p>
            <w:pPr>
              <w:pStyle w:val="null3"/>
            </w:pPr>
            <w:r>
              <w:rPr/>
              <w:t>设备到货后，根据采购人项目实施计划，在接到采购人通知后30个工作日内（如遇特殊情况，以双方协商时间为准），按照采购人要求完成所有安装调试工作。</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复核安装调试</w:t>
            </w:r>
          </w:p>
        </w:tc>
        <w:tc>
          <w:tcPr>
            <w:tcW w:type="dxa" w:w="1038"/>
          </w:tcPr>
          <w:p>
            <w:pPr>
              <w:pStyle w:val="null3"/>
            </w:pPr>
            <w:r>
              <w:rPr/>
              <w:t>供应商在采购人相关技术人员的复核下进行安装、检测和排除故障。供应商不得在现场安装未经采购人批准的任何设备</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设备损坏担责</w:t>
            </w:r>
          </w:p>
        </w:tc>
        <w:tc>
          <w:tcPr>
            <w:tcW w:type="dxa" w:w="1038"/>
          </w:tcPr>
          <w:p>
            <w:pPr>
              <w:pStyle w:val="null3"/>
            </w:pPr>
            <w:r>
              <w:rPr/>
              <w:t>在供应商安装、调试过程中造成的设备损坏，一切责任由供应商承担</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故障处理</w:t>
            </w:r>
          </w:p>
        </w:tc>
        <w:tc>
          <w:tcPr>
            <w:tcW w:type="dxa" w:w="1038"/>
          </w:tcPr>
          <w:p>
            <w:pPr>
              <w:pStyle w:val="null3"/>
            </w:pPr>
            <w:r>
              <w:rPr/>
              <w:t>项目实施过程中，如出现技术障碍、运行故障等问题，供应商有义务和责任组织、协调相关各方对问题进行快速解决</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平台和软件调试</w:t>
            </w:r>
          </w:p>
        </w:tc>
        <w:tc>
          <w:tcPr>
            <w:tcW w:type="dxa" w:w="1038"/>
          </w:tcPr>
          <w:p>
            <w:pPr>
              <w:pStyle w:val="null3"/>
            </w:pPr>
            <w:r>
              <w:rPr/>
              <w:t>供应商应根据采购人安排完成本次采购产品与配套设备的联合调试。同时，还应配合数据库软件、应用服务软件等进行相关的配置和系统优化调试</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联调测试</w:t>
            </w:r>
          </w:p>
        </w:tc>
        <w:tc>
          <w:tcPr>
            <w:tcW w:type="dxa" w:w="1038"/>
          </w:tcPr>
          <w:p>
            <w:pPr>
              <w:pStyle w:val="null3"/>
            </w:pPr>
            <w:r>
              <w:rPr/>
              <w:t>供应商应根据采购人安排完成本次采购产品与云平台、业务系统的联调测试，确保云平台，业务系统顺利上线，完成相关优化、测试、调试等相关工作</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维保期限</w:t>
            </w:r>
          </w:p>
        </w:tc>
        <w:tc>
          <w:tcPr>
            <w:tcW w:type="dxa" w:w="1038"/>
          </w:tcPr>
          <w:p>
            <w:pPr>
              <w:pStyle w:val="null3"/>
            </w:pPr>
            <w:r>
              <w:rPr/>
              <w:t>本项目所购设备终验合格后，即进入维保服务期，服务器从终验合格之次日起提供7年维保服务。</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维保承诺书</w:t>
            </w:r>
          </w:p>
        </w:tc>
        <w:tc>
          <w:tcPr>
            <w:tcW w:type="dxa" w:w="1038"/>
          </w:tcPr>
          <w:p>
            <w:pPr>
              <w:pStyle w:val="null3"/>
            </w:pPr>
            <w:r>
              <w:rPr/>
              <w:t>若为制造商维保，针对维保服务开始时间，投标时供应商需提供承诺书，承诺制造商同意设备在终验合格之次日起计算。 若为第三方维保，针对维保服务开始时间，投标时供应商需提供承诺书，承诺维保厂商同意设备在终验合格之次日起计算。</w:t>
            </w:r>
          </w:p>
        </w:tc>
        <w:tc>
          <w:tcPr>
            <w:tcW w:type="dxa" w:w="1038"/>
          </w:tcPr>
          <w:p>
            <w:pPr>
              <w:pStyle w:val="null3"/>
            </w:pPr>
            <w:r>
              <w:rPr/>
              <w:t>是</w:t>
            </w:r>
          </w:p>
        </w:tc>
        <w:tc>
          <w:tcPr>
            <w:tcW w:type="dxa" w:w="1038"/>
          </w:tcPr>
          <w:p>
            <w:pPr>
              <w:pStyle w:val="null3"/>
            </w:pPr>
            <w:r>
              <w:rPr/>
              <w:t>需提供承诺书。 1)若为制造商维保，承诺书内容包括“制造商同意在终验合格之次日起计算维保服务开始时间”。 2)若第三方维保，承诺书内容包括“维保服务商同意在终验合格之次日起计算维保服务开始时间”。</w:t>
            </w:r>
          </w:p>
        </w:tc>
      </w:tr>
      <w:tr>
        <w:tc>
          <w:tcPr>
            <w:tcW w:type="dxa" w:w="1038"/>
          </w:tcPr>
          <w:p>
            <w:pPr>
              <w:pStyle w:val="null3"/>
            </w:pPr>
            <w:r>
              <w:rPr/>
              <w:t>14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续保价格</w:t>
            </w:r>
          </w:p>
        </w:tc>
        <w:tc>
          <w:tcPr>
            <w:tcW w:type="dxa" w:w="1038"/>
          </w:tcPr>
          <w:p>
            <w:pPr>
              <w:pStyle w:val="null3"/>
            </w:pPr>
            <w:r>
              <w:rPr/>
              <w:t>维保期后，供应商所报的每年维保服务费（不含税）不超过设备报价（不含税）的10%</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紧急情况服务</w:t>
            </w:r>
          </w:p>
        </w:tc>
        <w:tc>
          <w:tcPr>
            <w:tcW w:type="dxa" w:w="1038"/>
          </w:tcPr>
          <w:p>
            <w:pPr>
              <w:pStyle w:val="null3"/>
            </w:pPr>
            <w:r>
              <w:rPr/>
              <w:t>供应商应保障不同场景下故障解决时效，具体情况如下： 1.在一级故障发生时，供应商承诺自报障时间起5分钟内电话响应；自采购人确认需要进行现场支持起2小时内到现场；并保证在人员到场且采购人设备运维人员允许实施故障排除操作后2小时内恢复运行，排除故障。 2.在二级故障发生时，供应商承诺自报障时间起5分钟内电话响应；自采购人确认需要进行现场支持起2小时内到现场；不涉及调用备件的情况下在人员到场且采购人设备运维人员允许实施故障排除操作后4小时内恢复运行，排除故障；有涉及备件的情况下，在备件和人员到场且采购人设备运维人员允许实施故障排除操作后4小时内恢复运行，排除故障。 3.在三级故障发生时，供应商承诺自报障时间起5分钟内电话响应；自采购人确认需要进行现场支持起2小时内到现场；不涉及调用备件的情况下在人员到场且采购人设备运维人员允许实施故障排除操作后6小时内恢复运行，排除故障；有涉及备件的情况下，在备件和人员到场且采购人设备运维人员允许实施故障排除操作后6小时内恢复运行，排除故障。 如果无法在规定的时间解决故障问题时，应采取其他可能的方式为采购人解决问题，并承担相关费用。</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服务启动要求</w:t>
            </w:r>
          </w:p>
        </w:tc>
        <w:tc>
          <w:tcPr>
            <w:tcW w:type="dxa" w:w="1038"/>
          </w:tcPr>
          <w:p>
            <w:pPr>
              <w:pStyle w:val="null3"/>
            </w:pPr>
            <w:r>
              <w:rPr/>
              <w:t>供应商需提供与合同约定的服务范围、服务周期一致的维保启动函。</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重要保障服务</w:t>
            </w:r>
          </w:p>
        </w:tc>
        <w:tc>
          <w:tcPr>
            <w:tcW w:type="dxa" w:w="1038"/>
          </w:tcPr>
          <w:p>
            <w:pPr>
              <w:pStyle w:val="null3"/>
            </w:pPr>
            <w:r>
              <w:rPr/>
              <w:t>1、重要通讯保障期间，采购人根据需要向供应商提出重要通讯保障服务请求，供应商与采购人共同制定重要通讯保障期间的设备系统保障方案。 2、重要通讯保障期间包括政治活动、重大节假日、重大变更、“双十一”、“春节”红包等。在重点通讯保障期间，如有必要，甲方可要求供应商提供技术支持工程师到现场完成通讯保障服务及巡检服务，同时应安排7*24原厂二线技术支持在线提供保障服务。</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技术支持服务</w:t>
            </w:r>
          </w:p>
        </w:tc>
        <w:tc>
          <w:tcPr>
            <w:tcW w:type="dxa" w:w="1038"/>
          </w:tcPr>
          <w:p>
            <w:pPr>
              <w:pStyle w:val="null3"/>
            </w:pPr>
            <w:r>
              <w:rPr/>
              <w:t>供应商应设立7*24小时的技术支持热线，保证采购人获得设备日常维护的技术支持，保证采购人关于设备的技术性问题得到及时、有效的解答。供应商保证技术支持热线电话接通时间小于30秒；当供应商需要查阅相关资料再对采购人的问题进行回复时，应确保在30分钟内回复。</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维修服务</w:t>
            </w:r>
          </w:p>
        </w:tc>
        <w:tc>
          <w:tcPr>
            <w:tcW w:type="dxa" w:w="1038"/>
          </w:tcPr>
          <w:p>
            <w:pPr>
              <w:pStyle w:val="null3"/>
            </w:pPr>
            <w:r>
              <w:rPr/>
              <w:t>1、电话响应要求：供应商设立7*24小时的值班响应电话。当设备出现故障时，采购人可通过供应商指定的值班响应电话进行报障。 2、现场支持要求：供应商在接到采购人现场支持要求后，按照采购人要求的时间，在采购人设备运维人员允许实施故障排除操作后分析故障原因，并排除故障。 3、如需更换设备配件，供应商要按照本需求书中规定的时限内把完好的配件送达采购人设备现场，并由供应商维修人员更换。 4、如需到采购人现场处置，需遵守采购人机房管理、安全管理等要求。</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备件服务</w:t>
            </w:r>
          </w:p>
        </w:tc>
        <w:tc>
          <w:tcPr>
            <w:tcW w:type="dxa" w:w="1038"/>
          </w:tcPr>
          <w:p>
            <w:pPr>
              <w:pStyle w:val="null3"/>
            </w:pPr>
            <w:r>
              <w:rPr/>
              <w:t>供应商须全天候的响应采购人的备件需求，及时提供备品、备件服务，保障采购人系统的稳定运行。 1、供应商在北京、上海、深圳3地均具有备件库房，在备件库里储备针对本项目专门的备品。 2、供应商须7*24小时响应采购人的备品、备件需求、备件。当采购人有备品、备件需求时，供应商要按照本需求书中规定的时限内把完好的备品、备件送达采购人设备现场。 3、如特定配件故障率较高、或在重保时段，采购人有权要求 服务商应在甲方机房内存放指定的备件。</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存储介质要求</w:t>
            </w:r>
          </w:p>
        </w:tc>
        <w:tc>
          <w:tcPr>
            <w:tcW w:type="dxa" w:w="1038"/>
          </w:tcPr>
          <w:p>
            <w:pPr>
              <w:pStyle w:val="null3"/>
            </w:pPr>
            <w:r>
              <w:rPr/>
              <w:t>本项目内所有存储介质不予以返还。</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服务总结报告</w:t>
            </w:r>
          </w:p>
        </w:tc>
        <w:tc>
          <w:tcPr>
            <w:tcW w:type="dxa" w:w="1038"/>
          </w:tcPr>
          <w:p>
            <w:pPr>
              <w:pStyle w:val="null3"/>
            </w:pPr>
            <w:r>
              <w:rPr/>
              <w:t>供应商须按照采购人验收要求提交维保服务总结报告。</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客户经理服务</w:t>
            </w:r>
          </w:p>
        </w:tc>
        <w:tc>
          <w:tcPr>
            <w:tcW w:type="dxa" w:w="1038"/>
          </w:tcPr>
          <w:p>
            <w:pPr>
              <w:pStyle w:val="null3"/>
            </w:pPr>
            <w:r>
              <w:rPr/>
              <w:t>维保期内供应商指定1名客户经理，协调相关资源，及时对采购人提供服务、保证故障的及时解决，7×24小时接听采购人电话。</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安全服务</w:t>
            </w:r>
          </w:p>
        </w:tc>
        <w:tc>
          <w:tcPr>
            <w:tcW w:type="dxa" w:w="1038"/>
          </w:tcPr>
          <w:p>
            <w:pPr>
              <w:pStyle w:val="null3"/>
            </w:pPr>
            <w:r>
              <w:rPr/>
              <w:t>供应商应主动报告其提供产品或服务是否受中高危漏洞影响。当发现提供的产品或服务存在漏洞时，有义务及时书面报告（书面发函、电子邮件）采购人，并尽快采取适当措施修正或减轻发现的威胁，不得隐瞒漏洞、不得设置后门或恶意程序。遇到紧急高危漏洞，应及时进行报告（不限于电话、邮件或其它约定方式）并出具解决方案，保障采购人提供的产品或服务安全、稳定运行。 供应商在收到采购人反馈其提供的产品或服务存在风险信息后，应立即核查确认，及时给出临时处置建议，确认受影响后应立即启动应急预案，安排专业工程师现场进行影响情况分析，同时二线专家全程进行技术的技术支持，并技术出具事件处置报告。</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软件支持服务</w:t>
            </w:r>
          </w:p>
        </w:tc>
        <w:tc>
          <w:tcPr>
            <w:tcW w:type="dxa" w:w="1038"/>
          </w:tcPr>
          <w:p>
            <w:pPr>
              <w:pStyle w:val="null3"/>
            </w:pPr>
            <w:r>
              <w:rPr/>
              <w:t>1.供应商每年至少提供一次设备的软件版本评估（其中服务器主要为BIOS和BMC），并依据评估情况出具评估报告，向采购人通报所采用软件产品的升级情况及升级建议，提供补丁或升级软件版本的介质。 2.对于可能会对有关系统、应用或业务造成影响的缺陷、隐患等问题，供应商需尽早且主动通知采购人，并提供解决方案建议书或补丁/微码安装建议书，提供补丁或升级软件版本的介质。上述情况经过采购人评估同意后，由技术服务商负责进行安装、测试和实施，并保证期间系统正常运行，不会对采购人生产系统造成不良影响；如遇疑难问题，能够根据问题分析结果发布新的软件补丁以保障系统稳定运行会。</w:t>
            </w:r>
          </w:p>
        </w:tc>
        <w:tc>
          <w:tcPr>
            <w:tcW w:type="dxa" w:w="1038"/>
          </w:tcPr>
          <w:p>
            <w:pPr>
              <w:pStyle w:val="null3"/>
            </w:pPr>
            <w:r>
              <w:rPr/>
              <w:t>是</w:t>
            </w:r>
          </w:p>
        </w:tc>
        <w:tc>
          <w:tcPr>
            <w:tcW w:type="dxa" w:w="1038"/>
          </w:tcPr>
          <w:p>
            <w:pPr>
              <w:pStyle w:val="null3"/>
            </w:pPr>
            <w:r>
              <w:rPr/>
              <w:t>提供承诺函。承诺函应包含本项要求标准的全部内容。</w:t>
            </w:r>
          </w:p>
        </w:tc>
      </w:tr>
      <w:tr>
        <w:tc>
          <w:tcPr>
            <w:tcW w:type="dxa" w:w="1038"/>
          </w:tcPr>
          <w:p>
            <w:pPr>
              <w:pStyle w:val="null3"/>
            </w:pPr>
            <w:r>
              <w:rPr/>
              <w:t>26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安全法规要求</w:t>
            </w:r>
          </w:p>
        </w:tc>
        <w:tc>
          <w:tcPr>
            <w:tcW w:type="dxa" w:w="1038"/>
          </w:tcPr>
          <w:p>
            <w:pPr>
              <w:pStyle w:val="null3"/>
            </w:pPr>
            <w:r>
              <w:rPr/>
              <w:t>根据《中华人民共和国网络安全法》，供应商向采购人提供的产品和服务必须遵守《中华人民共和国网络安全法》的相关规定。</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配合安全审查</w:t>
            </w:r>
          </w:p>
        </w:tc>
        <w:tc>
          <w:tcPr>
            <w:tcW w:type="dxa" w:w="1038"/>
          </w:tcPr>
          <w:p>
            <w:pPr>
              <w:pStyle w:val="null3"/>
            </w:pPr>
            <w:r>
              <w:rPr/>
              <w:t>当采购人提出要求时，供应商须配合采购人进行安全审查，包含但不限于网络安全审查、数据安全检查和供应链安全检查等</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雇员信息提供</w:t>
            </w:r>
          </w:p>
        </w:tc>
        <w:tc>
          <w:tcPr>
            <w:tcW w:type="dxa" w:w="1038"/>
          </w:tcPr>
          <w:p>
            <w:pPr>
              <w:pStyle w:val="null3"/>
            </w:pPr>
            <w:r>
              <w:rPr/>
              <w:t>如采购人要求，供应商需提供向采购人服务的雇员（或代理人）信息，包括但不限于人员身份验证、工作技能、教育背景等信息。采购人认为必要时，供应商还应审查其为采购人提供服务的雇员（或代理人）是否无犯罪记录等</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保密协议</w:t>
            </w:r>
          </w:p>
        </w:tc>
        <w:tc>
          <w:tcPr>
            <w:tcW w:type="dxa" w:w="1038"/>
          </w:tcPr>
          <w:p>
            <w:pPr>
              <w:pStyle w:val="null3"/>
            </w:pPr>
            <w:r>
              <w:rPr/>
              <w:t>采购人可根据需要与供应商为其提供服务的雇员（或代理人）单独签署保密协议</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安全保护培训</w:t>
            </w:r>
          </w:p>
        </w:tc>
        <w:tc>
          <w:tcPr>
            <w:tcW w:type="dxa" w:w="1038"/>
          </w:tcPr>
          <w:p>
            <w:pPr>
              <w:pStyle w:val="null3"/>
            </w:pPr>
            <w:r>
              <w:rPr/>
              <w:t>如采购人要求，供应商需为采购人提供服务的雇员（或代理人）须接受安全保护培训</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安全风险策略</w:t>
            </w:r>
          </w:p>
        </w:tc>
        <w:tc>
          <w:tcPr>
            <w:tcW w:type="dxa" w:w="1038"/>
          </w:tcPr>
          <w:p>
            <w:pPr>
              <w:pStyle w:val="null3"/>
            </w:pPr>
            <w:r>
              <w:rPr/>
              <w:t>供应商应在设计、开发、生产、交付等环节加强安全管理，应识别安全风险，供应商需采取适当的措施保障安全并制定安全策略</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软件安全保护</w:t>
            </w:r>
          </w:p>
        </w:tc>
        <w:tc>
          <w:tcPr>
            <w:tcW w:type="dxa" w:w="1038"/>
          </w:tcPr>
          <w:p>
            <w:pPr>
              <w:pStyle w:val="null3"/>
            </w:pPr>
            <w:r>
              <w:rPr/>
              <w:t>供应商提供的软件开发和外包服务必须位于中国境内</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漏洞扫描和渗透测试</w:t>
            </w:r>
          </w:p>
        </w:tc>
        <w:tc>
          <w:tcPr>
            <w:tcW w:type="dxa" w:w="1038"/>
          </w:tcPr>
          <w:p>
            <w:pPr>
              <w:pStyle w:val="null3"/>
            </w:pPr>
            <w:r>
              <w:rPr/>
              <w:t>采购人有权根据项目实际情况，要求乙方对提供的产品，供应商对提供的产品定期进行安全漏洞扫描和安全渗透测试或进行安全认证。供应商在发现其产品存在安全缺陷和漏洞时，有义务及时书面告知采购人同步并积极配合处置，并尽快采取适当的措施修正或减轻发现的威胁，建立应急响应机制和制定应急处置预案，不得隐瞒漏洞、不得设置后门或恶意程序</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网络安全审查要求</w:t>
            </w:r>
          </w:p>
        </w:tc>
        <w:tc>
          <w:tcPr>
            <w:tcW w:type="dxa" w:w="1038"/>
          </w:tcPr>
          <w:p>
            <w:pPr>
              <w:pStyle w:val="null3"/>
            </w:pPr>
            <w:r>
              <w:rPr/>
              <w:t>供应商提供的产品或服务须符合网络安全审查要求。如供应商提供产品或服务需进行网络安全审查的，则此项目合同须在产品或服务通过网络安全审查后方可生效；如未通过安全审查，供应商同意采购人可以此解除本项目合同，且不需要承担任何违约或者其他赔偿责任。如供应商提供的产品或服务（含芯片等配件）已被网络安全审查办公室依法作出不予通过网络安全审查结论的，采购人有权拒绝其响应或解除采购合同不予采购，且采购人不需要承担任何解除合同后的违约或者其他赔偿责任</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技术资料</w:t>
            </w:r>
          </w:p>
        </w:tc>
        <w:tc>
          <w:tcPr>
            <w:tcW w:type="dxa" w:w="1038"/>
          </w:tcPr>
          <w:p>
            <w:pPr>
              <w:pStyle w:val="null3"/>
            </w:pPr>
            <w:r>
              <w:rPr/>
              <w:t>采购人有权利根据项目的实际情况，要求供应商提供产品或服务的中文版运行维护、二次开发等技术资料</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其他安全要求</w:t>
            </w:r>
          </w:p>
        </w:tc>
        <w:tc>
          <w:tcPr>
            <w:tcW w:type="dxa" w:w="1038"/>
          </w:tcPr>
          <w:p>
            <w:pPr>
              <w:pStyle w:val="null3"/>
            </w:pPr>
            <w:r>
              <w:rPr/>
              <w:t>（1）供应商有义务严守采购人及采购人的商业秘密、国家秘密、内部资料和信息，不以任何的形式将采购人及采购人数据资料带出工作现场。 （2）供应商在服务过程中如果对供应商运行正常的硬件或软件因误操作造成损坏，供应商应负责修复或更换，确保采购人的正常使用并赔偿采购人的损失。</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验收主体</w:t>
            </w:r>
          </w:p>
        </w:tc>
        <w:tc>
          <w:tcPr>
            <w:tcW w:type="dxa" w:w="1038"/>
          </w:tcPr>
          <w:p>
            <w:pPr>
              <w:pStyle w:val="null3"/>
            </w:pPr>
            <w:r>
              <w:rPr/>
              <w:t>——</w:t>
            </w:r>
          </w:p>
        </w:tc>
        <w:tc>
          <w:tcPr>
            <w:tcW w:type="dxa" w:w="1038"/>
          </w:tcPr>
          <w:p>
            <w:pPr>
              <w:pStyle w:val="null3"/>
            </w:pPr>
            <w:r>
              <w:rPr/>
              <w:t>采购人内部需求部门。 拟邀请：采购人内部相关部门以及验收规定的其他部门组成验收小组。 （□本项目供应商 □第三方专业机构 □专家 □服务对象 ☑相关部门）</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验收时间</w:t>
            </w:r>
          </w:p>
        </w:tc>
        <w:tc>
          <w:tcPr>
            <w:tcW w:type="dxa" w:w="1038"/>
          </w:tcPr>
          <w:p>
            <w:pPr>
              <w:pStyle w:val="null3"/>
            </w:pPr>
            <w:r>
              <w:rPr/>
              <w:t>——</w:t>
            </w:r>
          </w:p>
        </w:tc>
        <w:tc>
          <w:tcPr>
            <w:tcW w:type="dxa" w:w="1038"/>
          </w:tcPr>
          <w:p>
            <w:pPr>
              <w:pStyle w:val="null3"/>
            </w:pPr>
            <w:r>
              <w:rPr/>
              <w:t>到货验收：设备到货且收到乙方纸质或邮件的验收申请后20个工作日内双方完成到货验收。 初步验收：产品完成安装调试且收到乙方纸质或邮件的验收申请后20个工作日内双方完成初步验收，其中无需安装设备在经过加电测试验证设备正常后，视为初步验收通过。 最终验收：产品试运行期三个月后（自初步验收完成次日起计算），且收到乙方纸质或邮件的验收申请后20个工作日内双方完成最终验收。如试运行期间已安装设备运行一切正常，无需安装设备终验时间即为安装设备通过终验之时。如试运行期间已安装设备出现故障，则需在已安装设备终验时对无需安装设备再次进行加电测试，测试无问题后，则视为终验通过。 维保验收：在维保服务期结束后，且收到乙方纸质或邮件的验收申请后20个工作日内采购人对当期的服务质量完成验收。</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验收地点</w:t>
            </w:r>
          </w:p>
        </w:tc>
        <w:tc>
          <w:tcPr>
            <w:tcW w:type="dxa" w:w="1038"/>
          </w:tcPr>
          <w:p>
            <w:pPr>
              <w:pStyle w:val="null3"/>
            </w:pPr>
            <w:r>
              <w:rPr/>
              <w:t>——</w:t>
            </w:r>
          </w:p>
        </w:tc>
        <w:tc>
          <w:tcPr>
            <w:tcW w:type="dxa" w:w="1038"/>
          </w:tcPr>
          <w:p>
            <w:pPr>
              <w:pStyle w:val="null3"/>
            </w:pPr>
            <w:r>
              <w:rPr/>
              <w:t>北京、上海、深圳，具体位置以采购人通知为准</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验收方式</w:t>
            </w:r>
          </w:p>
        </w:tc>
        <w:tc>
          <w:tcPr>
            <w:tcW w:type="dxa" w:w="1038"/>
          </w:tcPr>
          <w:p>
            <w:pPr>
              <w:pStyle w:val="null3"/>
            </w:pPr>
            <w:r>
              <w:rPr/>
              <w:t>——</w:t>
            </w:r>
          </w:p>
        </w:tc>
        <w:tc>
          <w:tcPr>
            <w:tcW w:type="dxa" w:w="1038"/>
          </w:tcPr>
          <w:p>
            <w:pPr>
              <w:pStyle w:val="null3"/>
            </w:pPr>
            <w:r>
              <w:rPr/>
              <w:t>分段验收</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验收方法</w:t>
            </w:r>
          </w:p>
        </w:tc>
        <w:tc>
          <w:tcPr>
            <w:tcW w:type="dxa" w:w="1038"/>
          </w:tcPr>
          <w:p>
            <w:pPr>
              <w:pStyle w:val="null3"/>
            </w:pPr>
            <w:r>
              <w:rPr/>
              <w:t>——</w:t>
            </w:r>
          </w:p>
        </w:tc>
        <w:tc>
          <w:tcPr>
            <w:tcW w:type="dxa" w:w="1038"/>
          </w:tcPr>
          <w:p>
            <w:pPr>
              <w:pStyle w:val="null3"/>
            </w:pPr>
            <w:r>
              <w:rPr/>
              <w:t>采购人发起部门组织验收小组进行验收</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验收内容</w:t>
            </w:r>
          </w:p>
        </w:tc>
        <w:tc>
          <w:tcPr>
            <w:tcW w:type="dxa" w:w="1038"/>
          </w:tcPr>
          <w:p>
            <w:pPr>
              <w:pStyle w:val="null3"/>
            </w:pPr>
            <w:r>
              <w:rPr/>
              <w:t>——</w:t>
            </w:r>
          </w:p>
        </w:tc>
        <w:tc>
          <w:tcPr>
            <w:tcW w:type="dxa" w:w="1038"/>
          </w:tcPr>
          <w:p>
            <w:pPr>
              <w:pStyle w:val="null3"/>
            </w:pPr>
            <w:r>
              <w:rPr/>
              <w:t>采购需求条款的每一项技术要求和商务要求，以及供应商响应、承诺的相关内容，但不得超出采购合同约定。</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验收标准</w:t>
            </w:r>
          </w:p>
        </w:tc>
        <w:tc>
          <w:tcPr>
            <w:tcW w:type="dxa" w:w="1038"/>
          </w:tcPr>
          <w:p>
            <w:pPr>
              <w:pStyle w:val="null3"/>
            </w:pPr>
            <w:r>
              <w:rPr/>
              <w:t>——</w:t>
            </w:r>
          </w:p>
        </w:tc>
        <w:tc>
          <w:tcPr>
            <w:tcW w:type="dxa" w:w="1038"/>
          </w:tcPr>
          <w:p>
            <w:pPr>
              <w:pStyle w:val="null3"/>
            </w:pPr>
            <w:r>
              <w:rPr/>
              <w:t>供应商提供的产品技术指标是否符合采购需求中对应的技术要求，服务内容是否符合采购需求中对应的服务要求，并按照列入采购合同的供应商响应、承诺内容完成所有服务。</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其他事项1</w:t>
            </w:r>
          </w:p>
        </w:tc>
        <w:tc>
          <w:tcPr>
            <w:tcW w:type="dxa" w:w="1038"/>
          </w:tcPr>
          <w:p>
            <w:pPr>
              <w:pStyle w:val="null3"/>
            </w:pPr>
            <w:r>
              <w:rPr/>
              <w:t>——</w:t>
            </w:r>
          </w:p>
        </w:tc>
        <w:tc>
          <w:tcPr>
            <w:tcW w:type="dxa" w:w="1038"/>
          </w:tcPr>
          <w:p>
            <w:pPr>
              <w:pStyle w:val="null3"/>
            </w:pPr>
            <w:r>
              <w:rPr/>
              <w:t>每次验收结束后，20个工作日内验收小组出具验收报告（格式详见附件），并应由供应商书面认定。供应商应按规定时间进行书面认定，供应商迟延或拒绝书面认定验收报告的，视为同意。</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其他事项2</w:t>
            </w:r>
          </w:p>
        </w:tc>
        <w:tc>
          <w:tcPr>
            <w:tcW w:type="dxa" w:w="1038"/>
          </w:tcPr>
          <w:p>
            <w:pPr>
              <w:pStyle w:val="null3"/>
            </w:pPr>
            <w:r>
              <w:rPr/>
              <w:t>——</w:t>
            </w:r>
          </w:p>
        </w:tc>
        <w:tc>
          <w:tcPr>
            <w:tcW w:type="dxa" w:w="1038"/>
          </w:tcPr>
          <w:p>
            <w:pPr>
              <w:pStyle w:val="null3"/>
            </w:pPr>
            <w:r>
              <w:rPr/>
              <w:t>如验收中出现质量问题或由于验收失败而影响采购人项目的进度，采购人保留索赔的权利。</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其他事项3</w:t>
            </w:r>
          </w:p>
        </w:tc>
        <w:tc>
          <w:tcPr>
            <w:tcW w:type="dxa" w:w="1038"/>
          </w:tcPr>
          <w:p>
            <w:pPr>
              <w:pStyle w:val="null3"/>
            </w:pPr>
            <w:r>
              <w:rPr/>
              <w:t>——</w:t>
            </w:r>
          </w:p>
        </w:tc>
        <w:tc>
          <w:tcPr>
            <w:tcW w:type="dxa" w:w="1038"/>
          </w:tcPr>
          <w:p>
            <w:pPr>
              <w:pStyle w:val="null3"/>
            </w:pPr>
            <w:r>
              <w:rPr/>
              <w:t>本次采购设备，如运行过程中两周内出现两次未知原因宕机，则原厂商须按采购人要求实施整机替换。</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违约处置</w:t>
            </w:r>
          </w:p>
        </w:tc>
        <w:tc>
          <w:tcPr>
            <w:tcW w:type="dxa" w:w="1038"/>
          </w:tcPr>
          <w:p>
            <w:pPr>
              <w:pStyle w:val="null3"/>
            </w:pPr>
            <w:r>
              <w:rPr/>
              <w:t>——</w:t>
            </w:r>
          </w:p>
        </w:tc>
        <w:tc>
          <w:tcPr>
            <w:tcW w:type="dxa" w:w="1038"/>
          </w:tcPr>
          <w:p>
            <w:pPr>
              <w:pStyle w:val="null3"/>
            </w:pPr>
            <w:r>
              <w:rPr/>
              <w:t>a）如乙方提供的【产品不满足采购需求中的“技术要求”】等导致履约异常事件，每发生一次，乙方应按照该批次货物（以供货通知为准）总金额的1‰且不低于5000元人民币的比例向甲方支付违约金。 同时甲方有权要求乙方整改或重新供货，如乙方未在甲方规定的期限内完成整改、支付的违约金累计达到该批次货物总金额的5%，则甲方有权解除合同。 b）乙方未在合同约定的期限内履行采购需求中约定【设备故障排除、电话技术支持、重要保障、辅助故障定位、微码升级、备品备件及其他维保服务要求】等服务内容、或服务不满足合同要求等履约异常事件，每发生一次，乙方应支付违约金，违约金以下述计算方法较高者为准。 计算方法1：如合同中明确提供了该项服务的报价、且价格不为0零，则扣除该服务异常的验收周期、该项服务的服务费作为违约金。 计算方法2：按照该批次货物（以供货通知为准）、该服务异常的验收周期应支付总金额的1‰且不低于5000元人民币的比例向甲方支付违约金。 同时甲方有权要求乙方整改，如乙方未在甲方规定的期限内完成整改或支付的违约金累计达到该批次货物总金额的5%，则甲方有权解除合同。</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履约验收交付文档</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一、到货阶段提供： 《安装部署实施方案》 《应急处理方案》 二、初步验收提供： 《安装部署实施报告》 三、最终验收提供： 《终验服务总结报告》 四、维保服务阶段提供： 《维保启动函》 《维保实施方案》 《服务总结报告》 《微码/固件审计评估报告》</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节能环保要求</w:t>
            </w:r>
          </w:p>
        </w:tc>
        <w:tc>
          <w:tcPr>
            <w:tcW w:type="dxa" w:w="1038"/>
          </w:tcPr>
          <w:p>
            <w:pPr>
              <w:pStyle w:val="null3"/>
            </w:pPr>
            <w:r>
              <w:rPr/>
              <w:t>#</w:t>
            </w:r>
          </w:p>
        </w:tc>
        <w:tc>
          <w:tcPr>
            <w:tcW w:type="dxa" w:w="1038"/>
          </w:tcPr>
          <w:p>
            <w:pPr>
              <w:pStyle w:val="null3"/>
            </w:pPr>
            <w:r>
              <w:rPr/>
              <w:t>节能环保要求</w:t>
            </w:r>
          </w:p>
        </w:tc>
        <w:tc>
          <w:tcPr>
            <w:tcW w:type="dxa" w:w="1038"/>
          </w:tcPr>
          <w:p>
            <w:pPr>
              <w:pStyle w:val="null3"/>
            </w:pPr>
            <w:r>
              <w:rPr/>
              <w:t>节能环保要求</w:t>
            </w:r>
          </w:p>
        </w:tc>
        <w:tc>
          <w:tcPr>
            <w:tcW w:type="dxa" w:w="1038"/>
          </w:tcPr>
          <w:p>
            <w:pPr>
              <w:pStyle w:val="null3"/>
            </w:pPr>
            <w:r>
              <w:rPr/>
              <w:t>服务器产品属于政府采购环境标志产品实施品目清单范围,投标人所有所投产品均需提供具有国家指定的认证机构出具的、有效的环境标志产品认证证书。</w:t>
            </w:r>
          </w:p>
        </w:tc>
        <w:tc>
          <w:tcPr>
            <w:tcW w:type="dxa" w:w="1038"/>
          </w:tcPr>
          <w:p>
            <w:pPr>
              <w:pStyle w:val="null3"/>
            </w:pPr>
            <w:r>
              <w:rPr/>
              <w:t>是</w:t>
            </w:r>
          </w:p>
        </w:tc>
        <w:tc>
          <w:tcPr>
            <w:tcW w:type="dxa" w:w="1038"/>
          </w:tcPr>
          <w:p>
            <w:pPr>
              <w:pStyle w:val="null3"/>
            </w:pPr>
            <w:r>
              <w:rPr/>
              <w:t>提供国家指定的认证机构出具的、处于有效期内的环境标志产品认证证书复印件。</w:t>
            </w:r>
          </w:p>
        </w:tc>
      </w:tr>
      <w:tr>
        <w:tc>
          <w:tcPr>
            <w:tcW w:type="dxa" w:w="1038"/>
          </w:tcPr>
          <w:p>
            <w:pPr>
              <w:pStyle w:val="null3"/>
            </w:pPr>
            <w:r>
              <w:rPr/>
              <w:t>50</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供应商或产品制造商需具备本项目标的同类型、同等规模(8台)及以上的项目案例，证明其服务或产品的成熟度。</w:t>
            </w:r>
          </w:p>
        </w:tc>
        <w:tc>
          <w:tcPr>
            <w:tcW w:type="dxa" w:w="1038"/>
          </w:tcPr>
          <w:p>
            <w:pPr>
              <w:pStyle w:val="null3"/>
            </w:pPr>
            <w:r>
              <w:rPr/>
              <w:t>是</w:t>
            </w:r>
          </w:p>
        </w:tc>
        <w:tc>
          <w:tcPr>
            <w:tcW w:type="dxa" w:w="1038"/>
          </w:tcPr>
          <w:p>
            <w:pPr>
              <w:pStyle w:val="null3"/>
            </w:pPr>
            <w:r>
              <w:rPr/>
              <w:t>需提供销售合同案例证明</w:t>
            </w:r>
          </w:p>
        </w:tc>
      </w:tr>
      <w:tr>
        <w:tc>
          <w:tcPr>
            <w:tcW w:type="dxa" w:w="1038"/>
          </w:tcPr>
          <w:p>
            <w:pPr>
              <w:pStyle w:val="null3"/>
            </w:pPr>
            <w:r>
              <w:rPr/>
              <w:t>51</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供应商完全认可采购人商务条款及合同模板所有条款，并按要求提供响应文件。</w:t>
            </w:r>
          </w:p>
        </w:tc>
        <w:tc>
          <w:tcPr>
            <w:tcW w:type="dxa" w:w="1038"/>
          </w:tcPr>
          <w:p>
            <w:pPr>
              <w:pStyle w:val="null3"/>
            </w:pPr>
            <w:r>
              <w:rPr/>
              <w:t>是</w:t>
            </w:r>
          </w:p>
        </w:tc>
        <w:tc>
          <w:tcPr>
            <w:tcW w:type="dxa" w:w="1038"/>
          </w:tcPr>
          <w:p>
            <w:pPr>
              <w:pStyle w:val="null3"/>
            </w:pPr>
            <w:r>
              <w:rPr/>
              <w:t>需提供商务条款及合同模版应答表</w:t>
            </w:r>
          </w:p>
        </w:tc>
      </w:tr>
      <w:tr>
        <w:tc>
          <w:tcPr>
            <w:tcW w:type="dxa" w:w="1038"/>
          </w:tcPr>
          <w:p>
            <w:pPr>
              <w:pStyle w:val="null3"/>
            </w:pPr>
            <w:r>
              <w:rPr/>
              <w:t>52</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单台设备配置明细清单</w:t>
            </w:r>
          </w:p>
        </w:tc>
        <w:tc>
          <w:tcPr>
            <w:tcW w:type="dxa" w:w="1038"/>
          </w:tcPr>
          <w:p>
            <w:pPr>
              <w:pStyle w:val="null3"/>
            </w:pPr>
            <w:r>
              <w:rPr/>
              <w:t>是</w:t>
            </w:r>
          </w:p>
        </w:tc>
        <w:tc>
          <w:tcPr>
            <w:tcW w:type="dxa" w:w="1038"/>
          </w:tcPr>
          <w:p>
            <w:pPr>
              <w:pStyle w:val="null3"/>
            </w:pPr>
            <w:r>
              <w:rPr/>
              <w:t>按照附件模板提供清单</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到货验收</w:t>
            </w:r>
          </w:p>
        </w:tc>
        <w:tc>
          <w:tcPr>
            <w:tcW w:type="dxa" w:w="1384"/>
          </w:tcPr>
          <w:p>
            <w:pPr>
              <w:pStyle w:val="null3"/>
              <w:jc w:val="left"/>
            </w:pPr>
            <w:r>
              <w:rPr/>
              <w:t>到货验收经采购人验收通过，出具生效的验收材料等单据，收到供应商提供的当期批次货物总金额的增值税专用发票，且付款材料经审核齐备后10个工作日内</w:t>
            </w:r>
          </w:p>
        </w:tc>
        <w:tc>
          <w:tcPr>
            <w:tcW w:type="dxa" w:w="1384"/>
          </w:tcPr>
          <w:p>
            <w:pPr>
              <w:pStyle w:val="null3"/>
              <w:jc w:val="left"/>
            </w:pPr>
            <w:r>
              <w:rPr/>
              <w:t>70.00</w:t>
            </w:r>
            <w:r>
              <w:rPr/>
              <w:t>%</w:t>
            </w:r>
          </w:p>
        </w:tc>
        <w:tc>
          <w:tcPr>
            <w:tcW w:type="dxa" w:w="1384"/>
          </w:tcPr>
          <w:p>
            <w:pPr>
              <w:pStyle w:val="null3"/>
              <w:jc w:val="left"/>
            </w:pPr>
            <w:r>
              <w:rPr/>
              <w:t>电汇</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最终验收</w:t>
            </w:r>
          </w:p>
        </w:tc>
        <w:tc>
          <w:tcPr>
            <w:tcW w:type="dxa" w:w="1384"/>
          </w:tcPr>
          <w:p>
            <w:pPr>
              <w:pStyle w:val="null3"/>
              <w:jc w:val="left"/>
            </w:pPr>
            <w:r>
              <w:rPr/>
              <w:t>最终验收经采购人验收通过，出具生效的验收材料等单据，且付款材料经审核齐备后10个工作日内</w:t>
            </w:r>
          </w:p>
        </w:tc>
        <w:tc>
          <w:tcPr>
            <w:tcW w:type="dxa" w:w="1384"/>
          </w:tcPr>
          <w:p>
            <w:pPr>
              <w:pStyle w:val="null3"/>
              <w:jc w:val="left"/>
            </w:pPr>
            <w:r>
              <w:rPr/>
              <w:t>28.00</w:t>
            </w:r>
            <w:r>
              <w:rPr/>
              <w:t>%</w:t>
            </w:r>
          </w:p>
        </w:tc>
        <w:tc>
          <w:tcPr>
            <w:tcW w:type="dxa" w:w="1384"/>
          </w:tcPr>
          <w:p>
            <w:pPr>
              <w:pStyle w:val="null3"/>
              <w:jc w:val="left"/>
            </w:pPr>
            <w:r>
              <w:rPr/>
              <w:t>电汇</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尾款</w:t>
            </w:r>
          </w:p>
        </w:tc>
        <w:tc>
          <w:tcPr>
            <w:tcW w:type="dxa" w:w="1384"/>
          </w:tcPr>
          <w:p>
            <w:pPr>
              <w:pStyle w:val="null3"/>
              <w:jc w:val="left"/>
            </w:pPr>
            <w:r>
              <w:rPr/>
              <w:t>全部维保服务结束后经采购人验收通过，出具生效的验收材料等单据，且付款材料经审核齐备后10个工作日内</w:t>
            </w:r>
          </w:p>
        </w:tc>
        <w:tc>
          <w:tcPr>
            <w:tcW w:type="dxa" w:w="1384"/>
          </w:tcPr>
          <w:p>
            <w:pPr>
              <w:pStyle w:val="null3"/>
              <w:jc w:val="left"/>
            </w:pPr>
            <w:r>
              <w:rPr/>
              <w:t>2.00</w:t>
            </w:r>
            <w:r>
              <w:rPr/>
              <w:t>%</w:t>
            </w:r>
          </w:p>
        </w:tc>
        <w:tc>
          <w:tcPr>
            <w:tcW w:type="dxa" w:w="1384"/>
          </w:tcPr>
          <w:p>
            <w:pPr>
              <w:pStyle w:val="null3"/>
              <w:jc w:val="left"/>
            </w:pPr>
            <w:r>
              <w:rPr/>
              <w:t>电汇</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基础设施部</w:t>
      </w:r>
    </w:p>
    <w:p>
      <w:pPr>
        <w:pStyle w:val="null3"/>
      </w:pPr>
      <w:r>
        <w:rPr/>
        <w:t>采购人（需求部门）拟邀请（</w:t>
      </w:r>
      <w:r>
        <w:rPr/>
        <w:t>）</w:t>
      </w:r>
    </w:p>
    <w:p>
      <w:pPr>
        <w:pStyle w:val="null3"/>
      </w:pPr>
      <w:r>
        <w:rPr/>
        <w:t>（2）验收时间</w:t>
      </w:r>
      <w:r>
        <w:rPr>
          <w:u w:val="single"/>
        </w:rPr>
        <w:t>到货验收时间：设备到货且收到乙方书面或邮件形式的验收申请后20个工作日内双方完成到货验收。 初步验收时间：产品完成安装调试且收到乙方书面或邮件形式的验收申请后20个工作日内双方完成初步验收。 最终验收时间：自初步验收完成次日起计算，产品试运行期三个月后，收到乙方书面或邮件形式的验收申请后20个工作日内双方完成最终验收。 维保验收时间：在维保服务期结束后，且收到乙方书面或邮件形式的验收申请后20个工作日内对维保服务质量完成验收。 因项目实际客观情况，在甲乙方协商一致后，可对验收时间进行调整。</w:t>
      </w:r>
    </w:p>
    <w:p>
      <w:pPr>
        <w:pStyle w:val="null3"/>
      </w:pPr>
      <w:r>
        <w:rPr/>
        <w:t>（3）验收方式</w:t>
      </w:r>
      <w:r>
        <w:rPr>
          <w:u w:val="single"/>
        </w:rPr>
        <w:t>分阶段验收。采购人需求部门发起成立跨部门联合验收小组，采用远程加现场方式进行验收。</w:t>
      </w:r>
    </w:p>
    <w:p>
      <w:pPr>
        <w:pStyle w:val="null3"/>
      </w:pPr>
      <w:r>
        <w:rPr/>
        <w:t>（4）验收程序</w:t>
      </w:r>
      <w:r>
        <w:rPr>
          <w:u w:val="single"/>
        </w:rPr>
        <w:t>验收小组按照合同要求对供应商提供的设备进行到货验收、初步验收、最终验收、服务验收。</w:t>
      </w:r>
    </w:p>
    <w:p>
      <w:pPr>
        <w:pStyle w:val="null3"/>
      </w:pPr>
      <w:r>
        <w:rPr/>
        <w:t>（5）验收内容</w:t>
      </w:r>
      <w:r>
        <w:rPr>
          <w:u w:val="single"/>
        </w:rPr>
        <w:t>采购需求条款的每一项技术要求和商务要求，以及供应商响应、承诺的相关内容，但不得超出采购合同约定。</w:t>
      </w:r>
    </w:p>
    <w:p>
      <w:pPr>
        <w:pStyle w:val="null3"/>
      </w:pPr>
      <w:r>
        <w:rPr/>
        <w:t>（6）验收标准</w:t>
      </w:r>
      <w:r>
        <w:rPr>
          <w:u w:val="single"/>
        </w:rPr>
        <w:t>供应商提供的产品及服务是否符合采购需求中对应的技术商务要求以及列入采购合同的供应商响应、承诺内容。</w:t>
      </w:r>
    </w:p>
    <w:p>
      <w:pPr>
        <w:pStyle w:val="null3"/>
      </w:pPr>
      <w:r>
        <w:rPr/>
        <w:t>（7）其他事项（如有）</w:t>
      </w:r>
      <w:r>
        <w:rPr>
          <w:u w:val="single"/>
        </w:rPr>
        <w:t>无。</w:t>
      </w:r>
      <w:r>
        <w:br/>
      </w:r>
    </w:p>
    <w:p>
      <w:pPr>
        <w:pStyle w:val="null3"/>
        <w:jc w:val="left"/>
        <w:outlineLvl w:val="2"/>
      </w:pPr>
      <w:r>
        <w:rPr>
          <w:sz w:val="28"/>
          <w:b/>
        </w:rPr>
        <w:t>3.5 其他</w:t>
      </w:r>
    </w:p>
    <w:p>
      <w:pPr>
        <w:pStyle w:val="null3"/>
        <w:jc w:val="both"/>
      </w:pPr>
      <w:r>
        <w:rPr>
          <w:rFonts w:ascii="黑体" w:hAnsi="黑体" w:cs="黑体" w:eastAsia="黑体"/>
          <w:sz w:val="32"/>
          <w:shd w:fill="FFFFFF" w:val="clear"/>
        </w:rPr>
        <w:t>采购需求附件：</w:t>
      </w:r>
      <w:r>
        <w:rPr>
          <w:rFonts w:ascii="黑体" w:hAnsi="黑体" w:cs="黑体" w:eastAsia="黑体"/>
          <w:sz w:val="32"/>
          <w:shd w:fill="FFFFFF" w:val="clear"/>
        </w:rPr>
        <w:t>验收单据</w:t>
      </w:r>
      <w:r>
        <w:rPr>
          <w:rFonts w:ascii="黑体" w:hAnsi="黑体" w:cs="黑体" w:eastAsia="黑体"/>
          <w:sz w:val="32"/>
          <w:shd w:fill="FFFFFF" w:val="clear"/>
        </w:rPr>
        <w:t>及配置明细清单（以采购人最终要求的格式为准）</w:t>
      </w:r>
    </w:p>
    <w:p>
      <w:pPr>
        <w:pStyle w:val="null3"/>
        <w:jc w:val="left"/>
      </w:pPr>
      <w:r>
        <w:rPr>
          <w:rFonts w:ascii="黑体" w:hAnsi="黑体" w:cs="黑体" w:eastAsia="黑体"/>
          <w:sz w:val="32"/>
          <w:color w:val="000000"/>
        </w:rPr>
        <w:t>1.</w:t>
      </w:r>
      <w:r>
        <w:rPr>
          <w:rFonts w:ascii="黑体" w:hAnsi="黑体" w:cs="黑体" w:eastAsia="黑体"/>
          <w:sz w:val="32"/>
          <w:color w:val="000000"/>
        </w:rPr>
        <w:t>验收</w:t>
      </w:r>
      <w:r>
        <w:rPr>
          <w:rFonts w:ascii="黑体" w:hAnsi="黑体" w:cs="黑体" w:eastAsia="黑体"/>
          <w:sz w:val="32"/>
          <w:color w:val="000000"/>
        </w:rPr>
        <w:t>清单</w:t>
      </w:r>
      <w:r>
        <w:rPr>
          <w:rFonts w:ascii="黑体" w:hAnsi="黑体" w:cs="黑体" w:eastAsia="黑体"/>
          <w:sz w:val="32"/>
          <w:color w:val="000000"/>
        </w:rPr>
        <w:t>模板</w:t>
      </w:r>
    </w:p>
    <w:p>
      <w:pPr>
        <w:pStyle w:val="null3"/>
        <w:jc w:val="center"/>
      </w:pPr>
      <w:r>
        <w:rPr>
          <w:rFonts w:ascii="仿宋_gb2312" w:hAnsi="仿宋_gb2312" w:cs="仿宋_gb2312" w:eastAsia="仿宋_gb2312"/>
          <w:sz w:val="32"/>
          <w:b/>
        </w:rPr>
        <w:t>验收</w:t>
      </w:r>
      <w:r>
        <w:rPr>
          <w:rFonts w:ascii="仿宋_gb2312" w:hAnsi="仿宋_gb2312" w:cs="仿宋_gb2312" w:eastAsia="仿宋_gb2312"/>
          <w:sz w:val="32"/>
          <w:b/>
        </w:rPr>
        <w:t>清单</w:t>
      </w:r>
    </w:p>
    <w:tbl>
      <w:tblPr>
        <w:tblW w:w="0" w:type="auto"/>
        <w:tblBorders>
          <w:top w:val="none" w:color="000000" w:sz="4"/>
          <w:left w:val="none" w:color="000000" w:sz="4"/>
          <w:bottom w:val="none" w:color="000000" w:sz="4"/>
          <w:right w:val="none" w:color="000000" w:sz="4"/>
          <w:insideH w:val="none"/>
          <w:insideV w:val="none"/>
        </w:tblBorders>
      </w:tblPr>
      <w:tblGrid>
        <w:gridCol w:w="4092"/>
        <w:gridCol w:w="6279"/>
      </w:tblGrid>
      <w:tr>
        <w:tc>
          <w:tcPr>
            <w:tcW w:type="dxa" w:w="4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采购</w:t>
            </w:r>
            <w:r>
              <w:rPr>
                <w:rFonts w:ascii="仿宋_gb2312" w:hAnsi="仿宋_gb2312" w:cs="仿宋_gb2312" w:eastAsia="仿宋_gb2312"/>
                <w:sz w:val="28"/>
              </w:rPr>
              <w:t>合同</w:t>
            </w:r>
            <w:r>
              <w:rPr>
                <w:rFonts w:ascii="仿宋_gb2312" w:hAnsi="仿宋_gb2312" w:cs="仿宋_gb2312" w:eastAsia="仿宋_gb2312"/>
                <w:sz w:val="28"/>
              </w:rPr>
              <w:t>基本信息</w:t>
            </w:r>
          </w:p>
        </w:tc>
        <w:tc>
          <w:tcPr>
            <w:tcW w:type="dxa" w:w="6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合同编号、合同名称</w:t>
            </w:r>
            <w:r>
              <w:rPr>
                <w:rFonts w:ascii="仿宋_gb2312" w:hAnsi="仿宋_gb2312" w:cs="仿宋_gb2312" w:eastAsia="仿宋_gb2312"/>
                <w:sz w:val="24"/>
              </w:rPr>
              <w:t>）</w:t>
            </w:r>
          </w:p>
        </w:tc>
      </w:tr>
      <w:tr>
        <w:tc>
          <w:tcPr>
            <w:tcW w:type="dxa" w:w="4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w:t>
            </w:r>
            <w:r>
              <w:rPr>
                <w:rFonts w:ascii="仿宋_gb2312" w:hAnsi="仿宋_gb2312" w:cs="仿宋_gb2312" w:eastAsia="仿宋_gb2312"/>
                <w:sz w:val="28"/>
              </w:rPr>
              <w:t>小组成员</w:t>
            </w:r>
          </w:p>
        </w:tc>
        <w:tc>
          <w:tcPr>
            <w:tcW w:type="dxa" w:w="6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验收内容</w:t>
            </w:r>
          </w:p>
        </w:tc>
        <w:tc>
          <w:tcPr>
            <w:tcW w:type="dxa" w:w="6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验收标准</w:t>
            </w:r>
          </w:p>
        </w:tc>
        <w:tc>
          <w:tcPr>
            <w:tcW w:type="dxa" w:w="6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left"/>
      </w:pPr>
      <w:r>
        <w:rPr>
          <w:rFonts w:ascii="黑体" w:hAnsi="黑体" w:cs="黑体" w:eastAsia="黑体"/>
          <w:sz w:val="32"/>
        </w:rPr>
        <w:t>2.验收实施计划</w:t>
      </w:r>
      <w:r>
        <w:rPr>
          <w:rFonts w:ascii="黑体" w:hAnsi="黑体" w:cs="黑体" w:eastAsia="黑体"/>
          <w:sz w:val="32"/>
        </w:rPr>
        <w:t>模板</w:t>
      </w:r>
    </w:p>
    <w:p>
      <w:pPr>
        <w:pStyle w:val="null3"/>
        <w:jc w:val="center"/>
      </w:pPr>
      <w:r>
        <w:rPr>
          <w:rFonts w:ascii="仿宋_gb2312" w:hAnsi="仿宋_gb2312" w:cs="仿宋_gb2312" w:eastAsia="仿宋_gb2312"/>
          <w:sz w:val="32"/>
          <w:b/>
        </w:rPr>
        <w:t>验收实施计划</w:t>
      </w:r>
    </w:p>
    <w:p>
      <w:pPr>
        <w:pStyle w:val="null3"/>
        <w:jc w:val="both"/>
      </w:pPr>
      <w:r>
        <w:rPr>
          <w:rFonts w:ascii="仿宋_gb2312" w:hAnsi="仿宋_gb2312" w:cs="仿宋_gb2312" w:eastAsia="仿宋_gb2312"/>
          <w:sz w:val="24"/>
        </w:rPr>
        <w:t>【使用说明】根据《网联清算有限公司采购合同履约工作规范（试行）》第十六条</w:t>
      </w:r>
      <w:r>
        <w:rPr>
          <w:rFonts w:ascii="仿宋_gb2312" w:hAnsi="仿宋_gb2312" w:cs="仿宋_gb2312" w:eastAsia="仿宋_gb2312"/>
          <w:sz w:val="24"/>
        </w:rPr>
        <w:t>“......对于合同金额大于等于500万的采购项目，验收小组还应在每阶段验收前制定验收实施计划。”要求，此验收实施计划模版在合同签订阶段根据实际成交金额判断是否需要提供。</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在每次验收前均应根据履约验收方案及有关条款，制定验收实施计划。验收实施计划应列明：该次验收的阶段、时间、地点、方法、内容、标准、验收小组人员构成等。</w:t>
      </w:r>
    </w:p>
    <w:p>
      <w:pPr>
        <w:pStyle w:val="null3"/>
        <w:numPr>
          <w:ilvl w:val="0"/>
          <w:numId w:val="1"/>
        </w:numPr>
        <w:jc w:val="both"/>
      </w:pPr>
      <w:r>
        <w:rPr>
          <w:rFonts w:ascii="仿宋_gb2312" w:hAnsi="仿宋_gb2312" w:cs="仿宋_gb2312" w:eastAsia="仿宋_gb2312"/>
          <w:sz w:val="32"/>
          <w:color w:val="000000"/>
        </w:rPr>
        <w:t>采购合同信息</w:t>
      </w:r>
      <w:r>
        <w:rPr>
          <w:rFonts w:ascii="等线" w:hAnsi="等线" w:cs="等线" w:eastAsia="等线"/>
          <w:sz w:val="21"/>
          <w:u w:val="single"/>
        </w:rPr>
        <w:t xml:space="preserve">            </w:t>
      </w:r>
    </w:p>
    <w:p>
      <w:pPr>
        <w:pStyle w:val="null3"/>
        <w:ind w:firstLine="420"/>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合同名称、合同编号等内容。</w:t>
      </w:r>
    </w:p>
    <w:p>
      <w:pPr>
        <w:pStyle w:val="null3"/>
        <w:numPr>
          <w:ilvl w:val="0"/>
          <w:numId w:val="1"/>
        </w:numPr>
        <w:jc w:val="both"/>
      </w:pPr>
      <w:r>
        <w:rPr>
          <w:rFonts w:ascii="仿宋" w:hAnsi="仿宋" w:cs="仿宋" w:eastAsia="仿宋"/>
          <w:sz w:val="32"/>
          <w:color w:val="000000"/>
        </w:rPr>
        <w:t>验收阶段（期）</w:t>
      </w:r>
      <w:r>
        <w:rPr>
          <w:rFonts w:ascii="等线" w:hAnsi="等线" w:cs="等线" w:eastAsia="等线"/>
          <w:sz w:val="21"/>
          <w:u w:val="single"/>
        </w:rPr>
        <w:t xml:space="preserve">            </w:t>
      </w:r>
      <w:r>
        <w:rPr>
          <w:rFonts w:ascii="仿宋_gb2312" w:hAnsi="仿宋_gb2312" w:cs="仿宋_gb2312" w:eastAsia="仿宋_gb2312"/>
          <w:sz w:val="31"/>
          <w:color w:val="000000"/>
        </w:rPr>
        <w:t>，第</w:t>
      </w:r>
      <w:r>
        <w:rPr>
          <w:rFonts w:ascii="等线" w:hAnsi="等线" w:cs="等线" w:eastAsia="等线"/>
          <w:sz w:val="21"/>
          <w:u w:val="single"/>
        </w:rPr>
        <w:t xml:space="preserve">  </w:t>
      </w:r>
      <w:r>
        <w:rPr>
          <w:rFonts w:ascii="仿宋_gb2312" w:hAnsi="仿宋_gb2312" w:cs="仿宋_gb2312" w:eastAsia="仿宋_gb2312"/>
          <w:sz w:val="31"/>
          <w:color w:val="000000"/>
        </w:rPr>
        <w:t>次验收</w:t>
      </w:r>
      <w:r>
        <w:rPr>
          <w:rFonts w:ascii="仿宋_gb2312" w:hAnsi="仿宋_gb2312" w:cs="仿宋_gb2312" w:eastAsia="仿宋_gb2312"/>
          <w:sz w:val="31"/>
          <w:color w:val="000000"/>
        </w:rPr>
        <w:t>，</w:t>
      </w:r>
      <w:r>
        <w:rPr>
          <w:rFonts w:ascii="仿宋_gb2312" w:hAnsi="仿宋_gb2312" w:cs="仿宋_gb2312" w:eastAsia="仿宋_gb2312"/>
          <w:sz w:val="31"/>
          <w:color w:val="000000"/>
        </w:rPr>
        <w:t>本次验收对应付款金额</w:t>
      </w:r>
      <w:r>
        <w:rPr>
          <w:rFonts w:ascii="仿宋_gb2312" w:hAnsi="仿宋_gb2312" w:cs="仿宋_gb2312" w:eastAsia="仿宋_gb2312"/>
          <w:sz w:val="31"/>
          <w:color w:val="000000"/>
          <w:u w:val="single"/>
        </w:rPr>
        <w:t xml:space="preserve">       </w:t>
      </w:r>
      <w:r>
        <w:rPr>
          <w:rFonts w:ascii="仿宋_gb2312" w:hAnsi="仿宋_gb2312" w:cs="仿宋_gb2312" w:eastAsia="仿宋_gb2312"/>
          <w:sz w:val="31"/>
          <w:color w:val="000000"/>
          <w:u w:val="single"/>
        </w:rPr>
        <w:t>万元</w:t>
      </w:r>
      <w:r>
        <w:rPr>
          <w:rFonts w:ascii="仿宋_gb2312" w:hAnsi="仿宋_gb2312" w:cs="仿宋_gb2312" w:eastAsia="仿宋_gb2312"/>
          <w:sz w:val="31"/>
          <w:color w:val="000000"/>
        </w:rPr>
        <w:t>。</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即本次验收属于履约验收方案中哪一阶段（期），不得减少验收频次。以货物类分段验收方式为例，可以填交货验收</w:t>
      </w:r>
      <w:r>
        <w:rPr>
          <w:rFonts w:ascii="仿宋_gb2312" w:hAnsi="仿宋_gb2312" w:cs="仿宋_gb2312" w:eastAsia="仿宋_gb2312"/>
          <w:sz w:val="24"/>
        </w:rPr>
        <w:t>/初验/终验等。该阶段（期）第一次验收不合格的，如重新组织第二次验收，应另行出具验收实施计划。</w:t>
      </w:r>
    </w:p>
    <w:p>
      <w:pPr>
        <w:pStyle w:val="null3"/>
        <w:numPr>
          <w:ilvl w:val="0"/>
          <w:numId w:val="1"/>
        </w:numPr>
        <w:jc w:val="both"/>
      </w:pPr>
      <w:r>
        <w:rPr>
          <w:rFonts w:ascii="仿宋" w:hAnsi="仿宋" w:cs="仿宋" w:eastAsia="仿宋"/>
          <w:sz w:val="32"/>
          <w:color w:val="000000"/>
        </w:rPr>
        <w:t>验收时间</w:t>
      </w:r>
      <w:r>
        <w:rPr>
          <w:rFonts w:ascii="等线" w:hAnsi="等线" w:cs="等线" w:eastAsia="等线"/>
          <w:sz w:val="21"/>
          <w:u w:val="single"/>
        </w:rPr>
        <w:t xml:space="preserve">            </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在履约验收方案约定的验收时间段之内，填具体验收的时间点，即</w:t>
      </w:r>
      <w:r>
        <w:rPr>
          <w:rFonts w:ascii="仿宋_gb2312" w:hAnsi="仿宋_gb2312" w:cs="仿宋_gb2312" w:eastAsia="仿宋_gb2312"/>
          <w:sz w:val="24"/>
        </w:rPr>
        <w:t>XX年XX月XX日，不得超出履约验收方案放宽验收时间。</w:t>
      </w:r>
    </w:p>
    <w:p>
      <w:pPr>
        <w:pStyle w:val="null3"/>
        <w:numPr>
          <w:ilvl w:val="0"/>
          <w:numId w:val="1"/>
        </w:numPr>
        <w:jc w:val="both"/>
      </w:pPr>
      <w:r>
        <w:rPr>
          <w:rFonts w:ascii="仿宋" w:hAnsi="仿宋" w:cs="仿宋" w:eastAsia="仿宋"/>
          <w:sz w:val="32"/>
          <w:color w:val="000000"/>
        </w:rPr>
        <w:t>验收地点</w:t>
      </w:r>
      <w:r>
        <w:rPr>
          <w:rFonts w:ascii="等线" w:hAnsi="等线" w:cs="等线" w:eastAsia="等线"/>
          <w:sz w:val="21"/>
          <w:u w:val="single"/>
        </w:rPr>
        <w:t xml:space="preserve">            </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与履约验收方案约定的地点一致，可以进行细化。</w:t>
      </w:r>
    </w:p>
    <w:p>
      <w:pPr>
        <w:pStyle w:val="null3"/>
        <w:numPr>
          <w:ilvl w:val="0"/>
          <w:numId w:val="1"/>
        </w:numPr>
        <w:jc w:val="both"/>
      </w:pPr>
      <w:r>
        <w:rPr>
          <w:rFonts w:ascii="仿宋" w:hAnsi="仿宋" w:cs="仿宋" w:eastAsia="仿宋"/>
          <w:sz w:val="32"/>
          <w:color w:val="000000"/>
        </w:rPr>
        <w:t>验收方法</w:t>
      </w:r>
      <w:r>
        <w:rPr>
          <w:rFonts w:ascii="仿宋" w:hAnsi="仿宋" w:cs="仿宋" w:eastAsia="仿宋"/>
          <w:sz w:val="32"/>
          <w:color w:val="000000"/>
        </w:rPr>
        <w:t xml:space="preserve">            </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与履约验收方案约定的一致，可以进行细化。</w:t>
      </w:r>
    </w:p>
    <w:p>
      <w:pPr>
        <w:pStyle w:val="null3"/>
        <w:numPr>
          <w:ilvl w:val="0"/>
          <w:numId w:val="1"/>
        </w:numPr>
        <w:jc w:val="both"/>
      </w:pPr>
      <w:r>
        <w:rPr>
          <w:rFonts w:ascii="仿宋" w:hAnsi="仿宋" w:cs="仿宋" w:eastAsia="仿宋"/>
          <w:sz w:val="32"/>
          <w:color w:val="000000"/>
        </w:rPr>
        <w:t>验收内容</w:t>
      </w:r>
      <w:r>
        <w:rPr>
          <w:rFonts w:ascii="仿宋" w:hAnsi="仿宋" w:cs="仿宋" w:eastAsia="仿宋"/>
          <w:sz w:val="32"/>
          <w:color w:val="000000"/>
        </w:rPr>
        <w:t xml:space="preserve">            </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验收实施计划内容既包括采购文件中的技术需求，也包括供应商响应、承诺的相关内容，但不得超出采购合同约定。</w:t>
      </w:r>
    </w:p>
    <w:p>
      <w:pPr>
        <w:pStyle w:val="null3"/>
        <w:numPr>
          <w:ilvl w:val="0"/>
          <w:numId w:val="1"/>
        </w:numPr>
        <w:jc w:val="both"/>
      </w:pPr>
      <w:r>
        <w:rPr>
          <w:rFonts w:ascii="仿宋" w:hAnsi="仿宋" w:cs="仿宋" w:eastAsia="仿宋"/>
          <w:sz w:val="32"/>
          <w:color w:val="000000"/>
        </w:rPr>
        <w:t>验收标准</w:t>
      </w:r>
      <w:r>
        <w:rPr>
          <w:rFonts w:ascii="仿宋" w:hAnsi="仿宋" w:cs="仿宋" w:eastAsia="仿宋"/>
          <w:sz w:val="32"/>
          <w:color w:val="000000"/>
        </w:rPr>
        <w:t xml:space="preserve">            </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与履约验收方案约定的标准一致，可以进行细化。</w:t>
      </w:r>
    </w:p>
    <w:p>
      <w:pPr>
        <w:pStyle w:val="null3"/>
        <w:numPr>
          <w:ilvl w:val="0"/>
          <w:numId w:val="1"/>
        </w:numPr>
        <w:jc w:val="both"/>
      </w:pPr>
      <w:r>
        <w:rPr>
          <w:rFonts w:ascii="仿宋" w:hAnsi="仿宋" w:cs="仿宋" w:eastAsia="仿宋"/>
          <w:sz w:val="32"/>
          <w:color w:val="000000"/>
        </w:rPr>
        <w:t>验收小组成员</w:t>
      </w:r>
      <w:r>
        <w:rPr>
          <w:rFonts w:ascii="仿宋" w:hAnsi="仿宋" w:cs="仿宋" w:eastAsia="仿宋"/>
          <w:sz w:val="32"/>
          <w:color w:val="000000"/>
        </w:rPr>
        <w:t xml:space="preserve">              </w:t>
      </w:r>
    </w:p>
    <w:p>
      <w:pPr>
        <w:pStyle w:val="null3"/>
        <w:jc w:val="both"/>
      </w:pPr>
      <w:r>
        <w:rPr>
          <w:rFonts w:ascii="等线" w:hAnsi="等线" w:cs="等线" w:eastAsia="等线"/>
          <w:sz w:val="21"/>
        </w:rPr>
        <w:t xml:space="preserve"> </w:t>
      </w:r>
    </w:p>
    <w:p>
      <w:pPr>
        <w:pStyle w:val="null3"/>
        <w:jc w:val="both"/>
      </w:pPr>
      <w:r>
        <w:rPr>
          <w:rFonts w:ascii="仿宋_gb2312" w:hAnsi="仿宋_gb2312" w:cs="仿宋_gb2312" w:eastAsia="仿宋_gb2312"/>
          <w:sz w:val="24"/>
        </w:rPr>
        <w:t>【编写说明】</w:t>
      </w:r>
    </w:p>
    <w:p>
      <w:pPr>
        <w:pStyle w:val="null3"/>
        <w:jc w:val="both"/>
      </w:pPr>
      <w:r>
        <w:rPr>
          <w:rFonts w:ascii="仿宋_gb2312" w:hAnsi="仿宋_gb2312" w:cs="仿宋_gb2312" w:eastAsia="仿宋_gb2312"/>
          <w:sz w:val="24"/>
        </w:rPr>
        <w:t>验收小组成员由履约执行人员（部门）牵头组成，并明确主要负责人员。验收小组至少由</w:t>
      </w:r>
      <w:r>
        <w:rPr>
          <w:rFonts w:ascii="仿宋_gb2312" w:hAnsi="仿宋_gb2312" w:cs="仿宋_gb2312" w:eastAsia="仿宋_gb2312"/>
          <w:sz w:val="24"/>
        </w:rPr>
        <w:t>3人（含）以上单数人员组成，相关专业人员人数不得少于验收小组人员总数的三分之二。验收小组成员不得与供应商存在利害关系。</w:t>
      </w:r>
    </w:p>
    <w:p>
      <w:pPr>
        <w:pStyle w:val="null3"/>
        <w:jc w:val="both"/>
      </w:pPr>
      <w:r>
        <w:rPr/>
        <w:t xml:space="preserve"> </w:t>
      </w:r>
    </w:p>
    <w:p>
      <w:pPr>
        <w:pStyle w:val="null3"/>
        <w:jc w:val="left"/>
      </w:pPr>
      <w:r>
        <w:rPr>
          <w:rFonts w:ascii="黑体" w:hAnsi="黑体" w:cs="黑体" w:eastAsia="黑体"/>
          <w:sz w:val="32"/>
        </w:rPr>
        <w:t>3.</w:t>
      </w:r>
      <w:r>
        <w:rPr>
          <w:rFonts w:ascii="黑体" w:hAnsi="黑体" w:cs="黑体" w:eastAsia="黑体"/>
          <w:sz w:val="32"/>
        </w:rPr>
        <w:t>验收报告模板</w:t>
      </w:r>
    </w:p>
    <w:p>
      <w:pPr>
        <w:pStyle w:val="null3"/>
        <w:jc w:val="center"/>
      </w:pPr>
      <w:r>
        <w:rPr>
          <w:rFonts w:ascii="仿宋_gb2312" w:hAnsi="仿宋_gb2312" w:cs="仿宋_gb2312" w:eastAsia="仿宋_gb2312"/>
          <w:sz w:val="32"/>
          <w:b/>
        </w:rPr>
        <w:t>验收报告</w:t>
      </w:r>
    </w:p>
    <w:p>
      <w:pPr>
        <w:pStyle w:val="null3"/>
        <w:jc w:val="both"/>
      </w:pPr>
      <w:r>
        <w:rPr>
          <w:rFonts w:ascii="仿宋_gb2312" w:hAnsi="仿宋_gb2312" w:cs="仿宋_gb2312" w:eastAsia="仿宋_gb2312"/>
          <w:sz w:val="28"/>
        </w:rPr>
        <w:t>验收</w:t>
      </w:r>
      <w:r>
        <w:rPr>
          <w:rFonts w:ascii="仿宋_gb2312" w:hAnsi="仿宋_gb2312" w:cs="仿宋_gb2312" w:eastAsia="仿宋_gb2312"/>
          <w:sz w:val="28"/>
        </w:rPr>
        <w:t>阶段（</w:t>
      </w:r>
      <w:r>
        <w:rPr>
          <w:rFonts w:ascii="仿宋_gb2312" w:hAnsi="仿宋_gb2312" w:cs="仿宋_gb2312" w:eastAsia="仿宋_gb2312"/>
          <w:sz w:val="28"/>
        </w:rPr>
        <w:t>期</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第</w:t>
      </w:r>
      <w:r>
        <w:rPr>
          <w:rFonts w:ascii="仿宋_gb2312" w:hAnsi="仿宋_gb2312" w:cs="仿宋_gb2312" w:eastAsia="仿宋_gb2312"/>
          <w:sz w:val="28"/>
        </w:rPr>
        <w:t xml:space="preserve">  </w:t>
      </w:r>
      <w:r>
        <w:rPr>
          <w:rFonts w:ascii="等线" w:hAnsi="等线" w:cs="等线" w:eastAsia="等线"/>
          <w:sz w:val="21"/>
        </w:rPr>
        <w:t xml:space="preserve"> </w:t>
      </w:r>
      <w:r>
        <w:rPr>
          <w:rFonts w:ascii="仿宋_gb2312" w:hAnsi="仿宋_gb2312" w:cs="仿宋_gb2312" w:eastAsia="仿宋_gb2312"/>
          <w:sz w:val="28"/>
        </w:rPr>
        <w:t>次验收</w:t>
      </w:r>
    </w:p>
    <w:tbl>
      <w:tblPr>
        <w:tblW w:w="0" w:type="auto"/>
        <w:tblBorders>
          <w:top w:val="none" w:color="000000" w:sz="4"/>
          <w:left w:val="none" w:color="000000" w:sz="4"/>
          <w:bottom w:val="none" w:color="000000" w:sz="4"/>
          <w:right w:val="none" w:color="000000" w:sz="4"/>
          <w:insideH w:val="none"/>
          <w:insideV w:val="none"/>
        </w:tblBorders>
      </w:tblPr>
      <w:tblGrid>
        <w:gridCol w:w="2401"/>
        <w:gridCol w:w="7957"/>
      </w:tblGrid>
      <w:tr>
        <w:tc>
          <w:tcPr>
            <w:tcW w:type="dxa" w:w="2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采购合同信息</w:t>
            </w:r>
          </w:p>
        </w:tc>
        <w:tc>
          <w:tcPr>
            <w:tcW w:type="dxa" w:w="7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（合同名称、合同编号等内容）</w:t>
            </w: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验收信息</w:t>
            </w:r>
          </w:p>
        </w:tc>
        <w:tc>
          <w:tcPr>
            <w:tcW w:type="dxa" w:w="7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验收小组成员</w:t>
            </w:r>
          </w:p>
        </w:tc>
        <w:tc>
          <w:tcPr>
            <w:tcW w:type="dxa" w:w="7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验收内容</w:t>
            </w:r>
          </w:p>
        </w:tc>
        <w:tc>
          <w:tcPr>
            <w:tcW w:type="dxa" w:w="7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验收标准</w:t>
            </w:r>
          </w:p>
        </w:tc>
        <w:tc>
          <w:tcPr>
            <w:tcW w:type="dxa" w:w="7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本次验收对应付款金额</w:t>
            </w:r>
          </w:p>
        </w:tc>
        <w:tc>
          <w:tcPr>
            <w:tcW w:type="dxa" w:w="7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240"/>
              <w:jc w:val="both"/>
            </w:pPr>
            <w:r>
              <w:rPr>
                <w:rFonts w:ascii="等线" w:hAnsi="等线" w:cs="等线" w:eastAsia="等线"/>
                <w:sz w:val="21"/>
                <w:u w:val="single"/>
              </w:rPr>
              <w:t xml:space="preserve">    </w:t>
            </w:r>
            <w:r>
              <w:rPr>
                <w:rFonts w:ascii="仿宋_gb2312" w:hAnsi="仿宋_gb2312" w:cs="仿宋_gb2312" w:eastAsia="仿宋_gb2312"/>
                <w:sz w:val="28"/>
              </w:rPr>
              <w:t>万</w:t>
            </w:r>
            <w:r>
              <w:rPr>
                <w:rFonts w:ascii="仿宋_gb2312" w:hAnsi="仿宋_gb2312" w:cs="仿宋_gb2312" w:eastAsia="仿宋_gb2312"/>
                <w:sz w:val="28"/>
              </w:rPr>
              <w:t>元</w:t>
            </w: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验收报告</w:t>
            </w:r>
          </w:p>
        </w:tc>
        <w:tc>
          <w:tcPr>
            <w:tcW w:type="dxa" w:w="7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验收结果</w:t>
            </w:r>
          </w:p>
        </w:tc>
        <w:tc>
          <w:tcPr>
            <w:tcW w:type="dxa" w:w="7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125"/>
              <w:jc w:val="both"/>
            </w:pPr>
            <w:r>
              <w:rPr>
                <w:rFonts w:ascii="仿宋_gb2312" w:hAnsi="仿宋_gb2312" w:cs="仿宋_gb2312" w:eastAsia="仿宋_gb2312"/>
                <w:sz w:val="28"/>
              </w:rPr>
              <w:t>合格</w:t>
            </w:r>
            <w:r>
              <w:rPr>
                <w:rFonts w:ascii="仿宋_gb2312" w:hAnsi="仿宋_gb2312" w:cs="仿宋_gb2312" w:eastAsia="仿宋_gb2312"/>
                <w:sz w:val="28"/>
              </w:rPr>
              <w:t>或</w:t>
            </w:r>
            <w:r>
              <w:rPr>
                <w:rFonts w:ascii="仿宋_gb2312" w:hAnsi="仿宋_gb2312" w:cs="仿宋_gb2312" w:eastAsia="仿宋_gb2312"/>
                <w:sz w:val="28"/>
              </w:rPr>
              <w:t>不合格</w:t>
            </w:r>
          </w:p>
          <w:p>
            <w:pPr>
              <w:pStyle w:val="null3"/>
              <w:jc w:val="center"/>
            </w:pPr>
            <w:r>
              <w:rPr>
                <w:rFonts w:ascii="仿宋_gb2312" w:hAnsi="仿宋_gb2312" w:cs="仿宋_gb2312" w:eastAsia="仿宋_gb2312"/>
                <w:sz w:val="28"/>
              </w:rPr>
              <w:t>验收小组成员签字：</w:t>
            </w:r>
          </w:p>
        </w:tc>
      </w:tr>
      <w:tr>
        <w:tc>
          <w:tcPr>
            <w:tcW w:type="dxa" w:w="2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供应商</w:t>
            </w:r>
            <w:r>
              <w:rPr>
                <w:rFonts w:ascii="仿宋_gb2312" w:hAnsi="仿宋_gb2312" w:cs="仿宋_gb2312" w:eastAsia="仿宋_gb2312"/>
                <w:sz w:val="28"/>
              </w:rPr>
              <w:t>认定意见</w:t>
            </w:r>
          </w:p>
        </w:tc>
        <w:tc>
          <w:tcPr>
            <w:tcW w:type="dxa" w:w="7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rFonts w:ascii="仿宋_gb2312" w:hAnsi="仿宋_gb2312" w:cs="仿宋_gb2312" w:eastAsia="仿宋_gb2312"/>
                <w:sz w:val="28"/>
              </w:rPr>
              <w:t>认定意见：同意</w:t>
            </w:r>
            <w:r>
              <w:rPr>
                <w:rFonts w:ascii="仿宋_gb2312" w:hAnsi="仿宋_gb2312" w:cs="仿宋_gb2312" w:eastAsia="仿宋_gb2312"/>
                <w:sz w:val="28"/>
              </w:rPr>
              <w:t>或</w:t>
            </w:r>
            <w:r>
              <w:rPr>
                <w:rFonts w:ascii="仿宋_gb2312" w:hAnsi="仿宋_gb2312" w:cs="仿宋_gb2312" w:eastAsia="仿宋_gb2312"/>
                <w:sz w:val="28"/>
              </w:rPr>
              <w:t>不同意</w:t>
            </w:r>
          </w:p>
          <w:p>
            <w:pPr>
              <w:pStyle w:val="null3"/>
              <w:ind w:right="-105"/>
              <w:jc w:val="center"/>
            </w:pPr>
            <w:r>
              <w:rPr>
                <w:rFonts w:ascii="仿宋_gb2312" w:hAnsi="仿宋_gb2312" w:cs="仿宋_gb2312" w:eastAsia="仿宋_gb2312"/>
                <w:sz w:val="28"/>
              </w:rPr>
              <w:t>法定代表人或其授权代表签字或</w:t>
            </w:r>
            <w:r>
              <w:rPr>
                <w:rFonts w:ascii="仿宋_gb2312" w:hAnsi="仿宋_gb2312" w:cs="仿宋_gb2312" w:eastAsia="仿宋_gb2312"/>
                <w:sz w:val="28"/>
              </w:rPr>
              <w:t>加盖公章或验收专用章：</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无论验收结果是否合格，供应商均应</w:t>
            </w:r>
            <w:r>
              <w:rPr>
                <w:rFonts w:ascii="仿宋_gb2312" w:hAnsi="仿宋_gb2312" w:cs="仿宋_gb2312" w:eastAsia="仿宋_gb2312"/>
                <w:sz w:val="24"/>
              </w:rPr>
              <w:t>签字或盖章认定。供应商签字确认的，</w:t>
            </w:r>
            <w:r>
              <w:rPr>
                <w:rFonts w:ascii="仿宋_gb2312" w:hAnsi="仿宋_gb2312" w:cs="仿宋_gb2312" w:eastAsia="仿宋_gb2312"/>
                <w:sz w:val="24"/>
              </w:rPr>
              <w:t>应要求其提供法定代表人授权书并签字认定，授权书作为本报告附件留存。如供应商拒绝认定，则视为同意，并由验收小组备注说明。</w:t>
            </w:r>
            <w:r>
              <w:rPr>
                <w:rFonts w:ascii="仿宋_gb2312" w:hAnsi="仿宋_gb2312" w:cs="仿宋_gb2312" w:eastAsia="仿宋_gb2312"/>
                <w:sz w:val="24"/>
              </w:rPr>
              <w:t>）</w:t>
            </w:r>
          </w:p>
          <w:p>
            <w:pPr>
              <w:pStyle w:val="null3"/>
              <w:ind w:firstLine="420"/>
              <w:jc w:val="right"/>
            </w:pPr>
            <w:r>
              <w:rPr>
                <w:rFonts w:ascii="仿宋_gb2312" w:hAnsi="仿宋_gb2312" w:cs="仿宋_gb2312" w:eastAsia="仿宋_gb2312"/>
                <w:sz w:val="28"/>
              </w:rPr>
              <w:t>年</w:t>
            </w:r>
            <w:r>
              <w:rPr>
                <w:rFonts w:ascii="等线" w:hAnsi="等线" w:cs="等线" w:eastAsia="等线"/>
                <w:sz w:val="21"/>
              </w:rPr>
              <w:t xml:space="preserve"> </w:t>
            </w:r>
            <w:r>
              <w:rPr>
                <w:rFonts w:ascii="仿宋_gb2312" w:hAnsi="仿宋_gb2312" w:cs="仿宋_gb2312" w:eastAsia="仿宋_gb2312"/>
                <w:sz w:val="28"/>
              </w:rPr>
              <w:t>月</w:t>
            </w:r>
            <w:r>
              <w:rPr>
                <w:rFonts w:ascii="等线" w:hAnsi="等线" w:cs="等线" w:eastAsia="等线"/>
                <w:sz w:val="21"/>
              </w:rPr>
              <w:t xml:space="preserve"> </w:t>
            </w:r>
            <w:r>
              <w:rPr>
                <w:rFonts w:ascii="仿宋_gb2312" w:hAnsi="仿宋_gb2312" w:cs="仿宋_gb2312" w:eastAsia="仿宋_gb2312"/>
                <w:sz w:val="28"/>
              </w:rPr>
              <w:t>日</w:t>
            </w:r>
          </w:p>
        </w:tc>
      </w:tr>
    </w:tbl>
    <w:p>
      <w:pPr>
        <w:pStyle w:val="null3"/>
        <w:jc w:val="left"/>
      </w:pPr>
      <w:r>
        <w:rPr/>
        <w:t xml:space="preserve"> </w:t>
      </w:r>
    </w:p>
    <w:p>
      <w:pPr>
        <w:pStyle w:val="null3"/>
        <w:jc w:val="left"/>
      </w:pPr>
      <w:r>
        <w:rPr>
          <w:rFonts w:ascii="黑体" w:hAnsi="黑体" w:cs="黑体" w:eastAsia="黑体"/>
          <w:sz w:val="32"/>
        </w:rPr>
        <w:t>4.</w:t>
      </w:r>
      <w:r>
        <w:rPr>
          <w:rFonts w:ascii="黑体" w:hAnsi="黑体" w:cs="黑体" w:eastAsia="黑体"/>
          <w:sz w:val="32"/>
        </w:rPr>
        <w:t>验收</w:t>
      </w:r>
      <w:r>
        <w:rPr>
          <w:rFonts w:ascii="黑体" w:hAnsi="黑体" w:cs="黑体" w:eastAsia="黑体"/>
          <w:sz w:val="32"/>
        </w:rPr>
        <w:t>结论</w:t>
      </w:r>
      <w:r>
        <w:rPr>
          <w:rFonts w:ascii="黑体" w:hAnsi="黑体" w:cs="黑体" w:eastAsia="黑体"/>
          <w:sz w:val="32"/>
        </w:rPr>
        <w:t>模板</w:t>
      </w:r>
    </w:p>
    <w:p>
      <w:pPr>
        <w:pStyle w:val="null3"/>
        <w:jc w:val="center"/>
      </w:pPr>
      <w:r>
        <w:rPr>
          <w:rFonts w:ascii="仿宋_gb2312" w:hAnsi="仿宋_gb2312" w:cs="仿宋_gb2312" w:eastAsia="仿宋_gb2312"/>
          <w:sz w:val="32"/>
          <w:b/>
        </w:rPr>
        <w:t>验收结论</w:t>
      </w:r>
    </w:p>
    <w:p>
      <w:pPr>
        <w:pStyle w:val="null3"/>
        <w:jc w:val="both"/>
      </w:pPr>
      <w:r>
        <w:rPr>
          <w:rFonts w:ascii="仿宋_gb2312" w:hAnsi="仿宋_gb2312" w:cs="仿宋_gb2312" w:eastAsia="仿宋_gb2312"/>
          <w:sz w:val="28"/>
        </w:rPr>
        <w:t>验收</w:t>
      </w:r>
      <w:r>
        <w:rPr>
          <w:rFonts w:ascii="仿宋_gb2312" w:hAnsi="仿宋_gb2312" w:cs="仿宋_gb2312" w:eastAsia="仿宋_gb2312"/>
          <w:sz w:val="28"/>
        </w:rPr>
        <w:t>阶段（</w:t>
      </w:r>
      <w:r>
        <w:rPr>
          <w:rFonts w:ascii="仿宋_gb2312" w:hAnsi="仿宋_gb2312" w:cs="仿宋_gb2312" w:eastAsia="仿宋_gb2312"/>
          <w:sz w:val="28"/>
        </w:rPr>
        <w:t>期</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第</w:t>
      </w:r>
      <w:r>
        <w:rPr>
          <w:rFonts w:ascii="仿宋_gb2312" w:hAnsi="仿宋_gb2312" w:cs="仿宋_gb2312" w:eastAsia="仿宋_gb2312"/>
          <w:sz w:val="28"/>
        </w:rPr>
        <w:t xml:space="preserve">  </w:t>
      </w:r>
      <w:r>
        <w:rPr>
          <w:rFonts w:ascii="等线" w:hAnsi="等线" w:cs="等线" w:eastAsia="等线"/>
          <w:sz w:val="21"/>
        </w:rPr>
        <w:t xml:space="preserve"> </w:t>
      </w:r>
      <w:r>
        <w:rPr>
          <w:rFonts w:ascii="仿宋_gb2312" w:hAnsi="仿宋_gb2312" w:cs="仿宋_gb2312" w:eastAsia="仿宋_gb2312"/>
          <w:sz w:val="28"/>
        </w:rPr>
        <w:t>次验收</w:t>
      </w:r>
    </w:p>
    <w:tbl>
      <w:tblPr>
        <w:tblW w:w="0" w:type="auto"/>
        <w:tblBorders>
          <w:top w:val="none" w:color="000000" w:sz="4"/>
          <w:left w:val="none" w:color="000000" w:sz="4"/>
          <w:bottom w:val="none" w:color="000000" w:sz="4"/>
          <w:right w:val="none" w:color="000000" w:sz="4"/>
          <w:insideH w:val="none"/>
          <w:insideV w:val="none"/>
        </w:tblBorders>
      </w:tblPr>
      <w:tblGrid>
        <w:gridCol w:w="2643"/>
        <w:gridCol w:w="7715"/>
      </w:tblGrid>
      <w:tr>
        <w:tc>
          <w:tcPr>
            <w:tcW w:type="dxa" w:w="2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采购合同信息</w:t>
            </w:r>
          </w:p>
        </w:tc>
        <w:tc>
          <w:tcPr>
            <w:tcW w:type="dxa" w:w="7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rFonts w:ascii="仿宋_gb2312" w:hAnsi="仿宋_gb2312" w:cs="仿宋_gb2312" w:eastAsia="仿宋_gb2312"/>
                <w:sz w:val="28"/>
              </w:rPr>
              <w:t>（</w:t>
            </w:r>
            <w:r>
              <w:rPr>
                <w:rFonts w:ascii="仿宋_gb2312" w:hAnsi="仿宋_gb2312" w:cs="仿宋_gb2312" w:eastAsia="仿宋_gb2312"/>
                <w:sz w:val="24"/>
              </w:rPr>
              <w:t>合同名称、合同编号等内容</w:t>
            </w:r>
            <w:r>
              <w:rPr>
                <w:rFonts w:ascii="仿宋_gb2312" w:hAnsi="仿宋_gb2312" w:cs="仿宋_gb2312" w:eastAsia="仿宋_gb2312"/>
                <w:sz w:val="28"/>
              </w:rPr>
              <w:t>）</w:t>
            </w:r>
          </w:p>
        </w:tc>
      </w:tr>
      <w:tr>
        <w:tc>
          <w:tcPr>
            <w:tcW w:type="dxa" w:w="2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验收信息</w:t>
            </w:r>
          </w:p>
        </w:tc>
        <w:tc>
          <w:tcPr>
            <w:tcW w:type="dxa" w:w="7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p>
        </w:tc>
      </w:tr>
      <w:tr>
        <w:tc>
          <w:tcPr>
            <w:tcW w:type="dxa" w:w="2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验收报告信息</w:t>
            </w:r>
          </w:p>
        </w:tc>
        <w:tc>
          <w:tcPr>
            <w:tcW w:type="dxa" w:w="7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履约执行</w:t>
            </w:r>
            <w:r>
              <w:rPr>
                <w:rFonts w:ascii="仿宋_gb2312" w:hAnsi="仿宋_gb2312" w:cs="仿宋_gb2312" w:eastAsia="仿宋_gb2312"/>
                <w:sz w:val="28"/>
              </w:rPr>
              <w:t>部门（人员）</w:t>
            </w:r>
            <w:r>
              <w:rPr>
                <w:rFonts w:ascii="仿宋_gb2312" w:hAnsi="仿宋_gb2312" w:cs="仿宋_gb2312" w:eastAsia="仿宋_gb2312"/>
                <w:sz w:val="28"/>
              </w:rPr>
              <w:t>认定意见</w:t>
            </w:r>
          </w:p>
        </w:tc>
        <w:tc>
          <w:tcPr>
            <w:tcW w:type="dxa" w:w="7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480"/>
              <w:jc w:val="left"/>
            </w:pPr>
            <w:r>
              <w:rPr>
                <w:rFonts w:ascii="仿宋_gb2312" w:hAnsi="仿宋_gb2312" w:cs="仿宋_gb2312" w:eastAsia="仿宋_gb2312"/>
                <w:sz w:val="28"/>
              </w:rPr>
              <w:t>验收结论：验收合格</w:t>
            </w:r>
            <w:r>
              <w:rPr>
                <w:rFonts w:ascii="仿宋_gb2312" w:hAnsi="仿宋_gb2312" w:cs="仿宋_gb2312" w:eastAsia="仿宋_gb2312"/>
                <w:sz w:val="28"/>
              </w:rPr>
              <w:t>或</w:t>
            </w:r>
            <w:r>
              <w:rPr>
                <w:rFonts w:ascii="仿宋_gb2312" w:hAnsi="仿宋_gb2312" w:cs="仿宋_gb2312" w:eastAsia="仿宋_gb2312"/>
                <w:sz w:val="28"/>
              </w:rPr>
              <w:t>验收不合格</w:t>
            </w:r>
          </w:p>
          <w:p>
            <w:pPr>
              <w:pStyle w:val="null3"/>
              <w:ind w:left="3360"/>
              <w:jc w:val="both"/>
            </w:pPr>
            <w:r>
              <w:rPr>
                <w:rFonts w:ascii="等线" w:hAnsi="等线" w:cs="等线" w:eastAsia="等线"/>
                <w:sz w:val="21"/>
              </w:rPr>
              <w:t xml:space="preserve">           </w:t>
            </w:r>
            <w:r>
              <w:rPr>
                <w:rFonts w:ascii="仿宋_gb2312" w:hAnsi="仿宋_gb2312" w:cs="仿宋_gb2312" w:eastAsia="仿宋_gb2312"/>
                <w:sz w:val="28"/>
              </w:rPr>
              <w:t xml:space="preserve">  </w:t>
            </w:r>
            <w:r>
              <w:rPr>
                <w:rFonts w:ascii="仿宋_gb2312" w:hAnsi="仿宋_gb2312" w:cs="仿宋_gb2312" w:eastAsia="仿宋_gb2312"/>
                <w:sz w:val="28"/>
              </w:rPr>
              <w:t>部门负责人签字</w:t>
            </w:r>
            <w:r>
              <w:rPr>
                <w:rFonts w:ascii="仿宋_gb2312" w:hAnsi="仿宋_gb2312" w:cs="仿宋_gb2312" w:eastAsia="仿宋_gb2312"/>
                <w:sz w:val="28"/>
              </w:rPr>
              <w:t>：</w:t>
            </w:r>
            <w:r>
              <w:rPr>
                <w:rFonts w:ascii="等线" w:hAnsi="等线" w:cs="等线" w:eastAsia="等线"/>
                <w:sz w:val="21"/>
              </w:rPr>
              <w:t xml:space="preserve">         </w:t>
            </w:r>
          </w:p>
          <w:p>
            <w:pPr>
              <w:pStyle w:val="null3"/>
              <w:jc w:val="both"/>
            </w:pPr>
            <w:r>
              <w:rPr>
                <w:rFonts w:ascii="等线" w:hAnsi="等线" w:cs="等线" w:eastAsia="等线"/>
                <w:sz w:val="21"/>
              </w:rPr>
              <w:t xml:space="preserve"> </w:t>
            </w:r>
          </w:p>
          <w:p>
            <w:pPr>
              <w:pStyle w:val="null3"/>
              <w:jc w:val="center"/>
            </w:pP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r>
              <w:rPr>
                <w:rFonts w:ascii="等线" w:hAnsi="等线" w:cs="等线" w:eastAsia="等线"/>
                <w:sz w:val="21"/>
              </w:rPr>
              <w:t xml:space="preserve">  </w:t>
            </w:r>
          </w:p>
        </w:tc>
      </w:tr>
      <w:tr>
        <w:tc>
          <w:tcPr>
            <w:tcW w:type="dxa" w:w="2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履约监督</w:t>
            </w:r>
            <w:r>
              <w:rPr>
                <w:rFonts w:ascii="仿宋_gb2312" w:hAnsi="仿宋_gb2312" w:cs="仿宋_gb2312" w:eastAsia="仿宋_gb2312"/>
                <w:sz w:val="28"/>
              </w:rPr>
              <w:t>部门（人员）</w:t>
            </w:r>
            <w:r>
              <w:rPr>
                <w:rFonts w:ascii="仿宋_gb2312" w:hAnsi="仿宋_gb2312" w:cs="仿宋_gb2312" w:eastAsia="仿宋_gb2312"/>
                <w:sz w:val="28"/>
              </w:rPr>
              <w:t>复核意见</w:t>
            </w:r>
          </w:p>
        </w:tc>
        <w:tc>
          <w:tcPr>
            <w:tcW w:type="dxa" w:w="7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签字</w:t>
            </w:r>
            <w:r>
              <w:rPr>
                <w:rFonts w:ascii="仿宋_gb2312" w:hAnsi="仿宋_gb2312" w:cs="仿宋_gb2312" w:eastAsia="仿宋_gb2312"/>
                <w:sz w:val="28"/>
              </w:rPr>
              <w:t>：</w:t>
            </w:r>
          </w:p>
          <w:p>
            <w:pPr>
              <w:pStyle w:val="null3"/>
              <w:ind w:firstLine="420"/>
              <w:jc w:val="both"/>
            </w:pP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r>
              <w:rPr>
                <w:rFonts w:ascii="等线" w:hAnsi="等线" w:cs="等线" w:eastAsia="等线"/>
                <w:sz w:val="21"/>
              </w:rPr>
              <w:t xml:space="preserve"> </w:t>
            </w:r>
          </w:p>
        </w:tc>
      </w:tr>
      <w:tr>
        <w:tc>
          <w:tcPr>
            <w:tcW w:type="dxa" w:w="2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履约执行部门分管领导审批意见</w:t>
            </w:r>
          </w:p>
        </w:tc>
        <w:tc>
          <w:tcPr>
            <w:tcW w:type="dxa" w:w="7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1400"/>
              <w:jc w:val="both"/>
            </w:pPr>
            <w:r>
              <w:rPr>
                <w:rFonts w:ascii="等线" w:hAnsi="等线" w:cs="等线" w:eastAsia="等线"/>
                <w:sz w:val="21"/>
              </w:rPr>
              <w:t xml:space="preserve">                    </w:t>
            </w:r>
          </w:p>
          <w:p>
            <w:pPr>
              <w:pStyle w:val="null3"/>
              <w:ind w:firstLine="2800"/>
              <w:jc w:val="both"/>
            </w:pPr>
            <w:r>
              <w:rPr>
                <w:rFonts w:ascii="仿宋_gb2312" w:hAnsi="仿宋_gb2312" w:cs="仿宋_gb2312" w:eastAsia="仿宋_gb2312"/>
                <w:sz w:val="28"/>
              </w:rPr>
              <w:t>签字</w:t>
            </w:r>
            <w:r>
              <w:rPr>
                <w:rFonts w:ascii="仿宋_gb2312" w:hAnsi="仿宋_gb2312" w:cs="仿宋_gb2312" w:eastAsia="仿宋_gb2312"/>
                <w:sz w:val="28"/>
              </w:rPr>
              <w:t>：</w:t>
            </w:r>
            <w:r>
              <w:rPr>
                <w:rFonts w:ascii="等线" w:hAnsi="等线" w:cs="等线" w:eastAsia="等线"/>
                <w:sz w:val="21"/>
              </w:rPr>
              <w:t xml:space="preserve">         </w:t>
            </w:r>
          </w:p>
          <w:p>
            <w:pPr>
              <w:pStyle w:val="null3"/>
              <w:jc w:val="both"/>
            </w:pP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r>
              <w:rPr>
                <w:rFonts w:ascii="等线" w:hAnsi="等线" w:cs="等线" w:eastAsia="等线"/>
                <w:sz w:val="21"/>
              </w:rPr>
              <w:t xml:space="preserve"> </w:t>
            </w:r>
          </w:p>
        </w:tc>
      </w:tr>
      <w:tr>
        <w:tc>
          <w:tcPr>
            <w:tcW w:type="dxa" w:w="2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总裁签批</w:t>
            </w:r>
          </w:p>
        </w:tc>
        <w:tc>
          <w:tcPr>
            <w:tcW w:type="dxa" w:w="7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360"/>
              <w:jc w:val="both"/>
            </w:pPr>
            <w:r>
              <w:rPr>
                <w:rFonts w:ascii="仿宋_gb2312" w:hAnsi="仿宋_gb2312" w:cs="仿宋_gb2312" w:eastAsia="仿宋_gb2312"/>
                <w:sz w:val="24"/>
              </w:rPr>
              <w:t>（涉及单次支付金额超过</w:t>
            </w:r>
            <w:r>
              <w:rPr>
                <w:rFonts w:ascii="仿宋_gb2312" w:hAnsi="仿宋_gb2312" w:cs="仿宋_gb2312" w:eastAsia="仿宋_gb2312"/>
                <w:sz w:val="24"/>
              </w:rPr>
              <w:t>1,000万元的采购验收结论需公司总裁</w:t>
            </w:r>
          </w:p>
          <w:p>
            <w:pPr>
              <w:pStyle w:val="null3"/>
              <w:ind w:left="3360"/>
              <w:jc w:val="both"/>
            </w:pPr>
            <w:r>
              <w:rPr>
                <w:rFonts w:ascii="仿宋_gb2312" w:hAnsi="仿宋_gb2312" w:cs="仿宋_gb2312" w:eastAsia="仿宋_gb2312"/>
                <w:sz w:val="24"/>
              </w:rPr>
              <w:t>审批，如不涉及请删除此栏）</w:t>
            </w:r>
            <w:r>
              <w:rPr>
                <w:rFonts w:ascii="等线" w:hAnsi="等线" w:cs="等线" w:eastAsia="等线"/>
                <w:sz w:val="21"/>
              </w:rPr>
              <w:t xml:space="preserve">                    </w:t>
            </w:r>
          </w:p>
          <w:p>
            <w:pPr>
              <w:pStyle w:val="null3"/>
              <w:ind w:left="3360"/>
              <w:jc w:val="both"/>
            </w:pPr>
            <w:r>
              <w:rPr>
                <w:rFonts w:ascii="仿宋_gb2312" w:hAnsi="仿宋_gb2312" w:cs="仿宋_gb2312" w:eastAsia="仿宋_gb2312"/>
                <w:sz w:val="28"/>
              </w:rPr>
              <w:t>签字：</w:t>
            </w:r>
            <w:r>
              <w:rPr>
                <w:rFonts w:ascii="仿宋_gb2312" w:hAnsi="仿宋_gb2312" w:cs="仿宋_gb2312" w:eastAsia="仿宋_gb2312"/>
                <w:sz w:val="28"/>
              </w:rPr>
              <w:t xml:space="preserve">         </w:t>
            </w:r>
          </w:p>
          <w:p>
            <w:pPr>
              <w:pStyle w:val="null3"/>
              <w:ind w:left="3360"/>
              <w:jc w:val="both"/>
            </w:pP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p>
        </w:tc>
      </w:tr>
    </w:tbl>
    <w:p>
      <w:pPr>
        <w:pStyle w:val="null3"/>
        <w:jc w:val="left"/>
      </w:pPr>
      <w:r>
        <w:rPr/>
        <w:t xml:space="preserve"> </w:t>
      </w:r>
    </w:p>
    <w:p>
      <w:pPr>
        <w:pStyle w:val="null3"/>
        <w:numPr>
          <w:ilvl w:val="0"/>
          <w:numId w:val="1"/>
        </w:numPr>
        <w:jc w:val="left"/>
      </w:pPr>
      <w:r>
        <w:rPr>
          <w:rFonts w:ascii="黑体" w:hAnsi="黑体" w:cs="黑体" w:eastAsia="黑体"/>
          <w:sz w:val="32"/>
        </w:rPr>
        <w:t>设备配置明细清单</w:t>
      </w:r>
    </w:p>
    <w:p>
      <w:pPr>
        <w:pStyle w:val="null3"/>
        <w:jc w:val="center"/>
      </w:pPr>
      <w:r>
        <w:rPr>
          <w:rFonts w:ascii="宋体" w:hAnsi="宋体" w:cs="宋体" w:eastAsia="宋体"/>
          <w:sz w:val="28"/>
          <w:b/>
        </w:rPr>
        <w:t>配置明细清单</w:t>
      </w:r>
      <w:r>
        <w:rPr>
          <w:rFonts w:ascii="宋体" w:hAnsi="宋体" w:cs="宋体" w:eastAsia="宋体"/>
          <w:sz w:val="28"/>
          <w:b/>
        </w:rPr>
        <w:t>-</w:t>
      </w:r>
      <w:r>
        <w:rPr>
          <w:rFonts w:ascii="宋体" w:hAnsi="宋体" w:cs="宋体" w:eastAsia="宋体"/>
          <w:sz w:val="28"/>
          <w:b/>
        </w:rPr>
        <w:t>x</w:t>
      </w:r>
      <w:r>
        <w:rPr>
          <w:rFonts w:ascii="宋体" w:hAnsi="宋体" w:cs="宋体" w:eastAsia="宋体"/>
          <w:sz w:val="28"/>
          <w:b/>
        </w:rPr>
        <w:t>（</w:t>
      </w:r>
      <w:r>
        <w:rPr>
          <w:rFonts w:ascii="宋体" w:hAnsi="宋体" w:cs="宋体" w:eastAsia="宋体"/>
          <w:sz w:val="28"/>
          <w:b/>
        </w:rPr>
        <w:t>xx</w:t>
      </w:r>
      <w:r>
        <w:rPr>
          <w:rFonts w:ascii="宋体" w:hAnsi="宋体" w:cs="宋体" w:eastAsia="宋体"/>
          <w:sz w:val="28"/>
          <w:b/>
        </w:rPr>
        <w:t>型服务器）</w:t>
      </w:r>
    </w:p>
    <w:tbl>
      <w:tblPr>
        <w:tblW w:w="0" w:type="auto"/>
        <w:tblBorders>
          <w:top w:val="none" w:color="000000" w:sz="4"/>
          <w:left w:val="none" w:color="000000" w:sz="4"/>
          <w:bottom w:val="none" w:color="000000" w:sz="4"/>
          <w:right w:val="none" w:color="000000" w:sz="4"/>
          <w:insideH w:val="none"/>
          <w:insideV w:val="none"/>
        </w:tblBorders>
      </w:tblPr>
      <w:tblGrid>
        <w:gridCol w:w="381"/>
        <w:gridCol w:w="635"/>
        <w:gridCol w:w="492"/>
        <w:gridCol w:w="600"/>
        <w:gridCol w:w="791"/>
        <w:gridCol w:w="2276"/>
        <w:gridCol w:w="424"/>
        <w:gridCol w:w="617"/>
        <w:gridCol w:w="783"/>
        <w:gridCol w:w="610"/>
        <w:gridCol w:w="697"/>
      </w:tblGrid>
      <w:tr>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序号</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设备名称</w:t>
            </w:r>
          </w:p>
        </w:tc>
        <w:tc>
          <w:tcPr>
            <w:tcW w:type="dxa" w:w="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分类</w:t>
            </w:r>
          </w:p>
        </w:tc>
        <w:tc>
          <w:tcPr>
            <w:tcW w:type="dxa" w:w="6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构成组件</w:t>
            </w:r>
          </w:p>
        </w:tc>
        <w:tc>
          <w:tcPr>
            <w:tcW w:type="dxa" w:w="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细项产品号</w:t>
            </w:r>
          </w:p>
        </w:tc>
        <w:tc>
          <w:tcPr>
            <w:tcW w:type="dxa" w:w="2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8"/>
                <w:color w:val="000000"/>
              </w:rPr>
              <w:t>配置及性能描述（中文）</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数量</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列表价</w:t>
            </w:r>
          </w:p>
        </w:tc>
        <w:tc>
          <w:tcPr>
            <w:tcW w:type="dxa" w:w="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折扣后单价</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增值税</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税后小计</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w:t>
            </w:r>
          </w:p>
        </w:tc>
        <w:tc>
          <w:tcPr>
            <w:tcW w:type="dxa" w:w="63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xx</w:t>
            </w:r>
            <w:r>
              <w:rPr>
                <w:rFonts w:ascii="宋体" w:hAnsi="宋体" w:cs="宋体" w:eastAsia="宋体"/>
                <w:sz w:val="18"/>
                <w:color w:val="000000"/>
              </w:rPr>
              <w:t>服务器</w:t>
            </w:r>
          </w:p>
        </w:tc>
        <w:tc>
          <w:tcPr>
            <w:tcW w:type="dxa" w:w="49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硬件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机框</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2</w:t>
            </w:r>
          </w:p>
        </w:tc>
        <w:tc>
          <w:tcPr>
            <w:tcW w:type="dxa" w:w="635"/>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AI计算单元（GPU）</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3</w:t>
            </w:r>
          </w:p>
        </w:tc>
        <w:tc>
          <w:tcPr>
            <w:tcW w:type="dxa" w:w="635"/>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CPU</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4</w:t>
            </w:r>
          </w:p>
        </w:tc>
        <w:tc>
          <w:tcPr>
            <w:tcW w:type="dxa" w:w="635"/>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内存</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5</w:t>
            </w:r>
          </w:p>
        </w:tc>
        <w:tc>
          <w:tcPr>
            <w:tcW w:type="dxa" w:w="635"/>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硬盘</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6</w:t>
            </w:r>
          </w:p>
        </w:tc>
        <w:tc>
          <w:tcPr>
            <w:tcW w:type="dxa" w:w="635"/>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硬盘</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7</w:t>
            </w:r>
          </w:p>
        </w:tc>
        <w:tc>
          <w:tcPr>
            <w:tcW w:type="dxa" w:w="635"/>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RAID</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8</w:t>
            </w:r>
          </w:p>
        </w:tc>
        <w:tc>
          <w:tcPr>
            <w:tcW w:type="dxa" w:w="635"/>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电源</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9</w:t>
            </w:r>
          </w:p>
        </w:tc>
        <w:tc>
          <w:tcPr>
            <w:tcW w:type="dxa" w:w="635"/>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千兆网卡</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10</w:t>
            </w:r>
          </w:p>
        </w:tc>
        <w:tc>
          <w:tcPr>
            <w:tcW w:type="dxa" w:w="635"/>
            <w:vMerge/>
            <w:tcBorders>
              <w:top w:val="none" w:color="000000" w:sz="4"/>
              <w:left w:val="none" w:color="000000" w:sz="4"/>
              <w:bottom w:val="none" w:color="000000" w:sz="4"/>
              <w:right w:val="single" w:color="000000" w:sz="4"/>
            </w:tcBorders>
          </w:tcPr>
          <w:p/>
        </w:tc>
        <w:tc>
          <w:tcPr>
            <w:tcW w:type="dxa" w:w="492"/>
            <w:vMerge/>
            <w:tcBorders>
              <w:top w:val="none" w:color="000000" w:sz="4"/>
              <w:left w:val="non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万兆网卡</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11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合计</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18"/>
                <w:color w:val="000000"/>
              </w:rPr>
              <w:t>/</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w:t>
            </w: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color w:val="000000"/>
              </w:rPr>
              <w:t>/</w:t>
            </w: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jc w:val="left"/>
      </w:pPr>
      <w:r>
        <w:rPr/>
        <w:t>本项目不执行《关于推动解决政府采购异常低价问题的通知》（财库〔2026〕2号）。</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技术部分40.00分</w:t>
            </w:r>
          </w:p>
          <w:p>
            <w:pPr>
              <w:pStyle w:val="null3"/>
            </w:pPr>
            <w:r>
              <w:rPr/>
              <w:t>商务部分10.00分</w:t>
            </w:r>
          </w:p>
          <w:p>
            <w:pPr>
              <w:pStyle w:val="null3"/>
            </w:pPr>
            <w:r>
              <w:rPr/>
              <w:t>报价得分50.00分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pPr>
            <w:r>
              <w:rPr/>
              <w:t>技术评审</w:t>
            </w:r>
          </w:p>
        </w:tc>
        <w:tc>
          <w:tcPr>
            <w:tcW w:type="dxa" w:w="2076"/>
          </w:tcPr>
          <w:p>
            <w:pPr>
              <w:pStyle w:val="null3"/>
            </w:pPr>
            <w:r>
              <w:rPr/>
              <w:t>总体技术方案1</w:t>
            </w:r>
          </w:p>
        </w:tc>
        <w:tc>
          <w:tcPr>
            <w:tcW w:type="dxa" w:w="2769"/>
          </w:tcPr>
          <w:p>
            <w:pPr>
              <w:pStyle w:val="null3"/>
            </w:pPr>
            <w:r>
              <w:rPr/>
              <w:t>投标人针对本项目提交工程实施、设备集成服务方案，内容应包括：实施准备及设备到货、设备上架安装、系统调试与配套网络设备的联合调试、相关线缆提供及综合布线、试运行技术支持内容。 方案要素（实施准备及设备到货、设备上架安装、系统调试与配套网络设备的联合调试、相关线缆提供及综合布线、试运行技术支持5部分）齐全无缺失得3分，缺失一项得1.5分，缺失两项及以上不得分。</w:t>
            </w:r>
          </w:p>
        </w:tc>
        <w:tc>
          <w:tcPr>
            <w:tcW w:type="dxa" w:w="692"/>
          </w:tcPr>
          <w:p>
            <w:pPr>
              <w:pStyle w:val="null3"/>
              <w:jc w:val="right"/>
            </w:pPr>
            <w:r>
              <w:rPr/>
              <w:t>3.00</w:t>
            </w:r>
          </w:p>
        </w:tc>
        <w:tc>
          <w:tcPr>
            <w:tcW w:type="dxa" w:w="692"/>
          </w:tcPr>
          <w:p>
            <w:pPr>
              <w:pStyle w:val="null3"/>
            </w:pPr>
            <w:r>
              <w:rPr/>
              <w:t>客观</w:t>
            </w:r>
          </w:p>
        </w:tc>
      </w:tr>
      <w:tr>
        <w:tc>
          <w:tcPr>
            <w:tcW w:type="dxa" w:w="692"/>
            <w:vMerge/>
          </w:tcPr>
          <w:p/>
        </w:tc>
        <w:tc>
          <w:tcPr>
            <w:tcW w:type="dxa" w:w="2076"/>
          </w:tcPr>
          <w:p>
            <w:pPr>
              <w:pStyle w:val="null3"/>
            </w:pPr>
            <w:r>
              <w:rPr/>
              <w:t>总体技术方案1.1</w:t>
            </w:r>
          </w:p>
        </w:tc>
        <w:tc>
          <w:tcPr>
            <w:tcW w:type="dxa" w:w="2769"/>
          </w:tcPr>
          <w:p>
            <w:pPr>
              <w:pStyle w:val="null3"/>
            </w:pPr>
            <w:r>
              <w:rPr/>
              <w:t>投标人能提供具有可行性、高效的实施准备及设备到货方案得1分，否则不得分。</w:t>
            </w:r>
          </w:p>
        </w:tc>
        <w:tc>
          <w:tcPr>
            <w:tcW w:type="dxa" w:w="692"/>
          </w:tcPr>
          <w:p>
            <w:pPr>
              <w:pStyle w:val="null3"/>
              <w:jc w:val="right"/>
            </w:pPr>
            <w:r>
              <w:rPr/>
              <w:t>1.00</w:t>
            </w:r>
          </w:p>
        </w:tc>
        <w:tc>
          <w:tcPr>
            <w:tcW w:type="dxa" w:w="692"/>
          </w:tcPr>
          <w:p>
            <w:pPr>
              <w:pStyle w:val="null3"/>
            </w:pPr>
            <w:r>
              <w:rPr/>
              <w:t>主观</w:t>
            </w:r>
          </w:p>
        </w:tc>
      </w:tr>
      <w:tr>
        <w:tc>
          <w:tcPr>
            <w:tcW w:type="dxa" w:w="692"/>
            <w:vMerge/>
          </w:tcPr>
          <w:p/>
        </w:tc>
        <w:tc>
          <w:tcPr>
            <w:tcW w:type="dxa" w:w="2076"/>
          </w:tcPr>
          <w:p>
            <w:pPr>
              <w:pStyle w:val="null3"/>
            </w:pPr>
            <w:r>
              <w:rPr/>
              <w:t>总体技术方案1.2</w:t>
            </w:r>
          </w:p>
        </w:tc>
        <w:tc>
          <w:tcPr>
            <w:tcW w:type="dxa" w:w="2769"/>
          </w:tcPr>
          <w:p>
            <w:pPr>
              <w:pStyle w:val="null3"/>
            </w:pPr>
            <w:r>
              <w:rPr/>
              <w:t>投标人能提供具有可行性、高效的设备上架安装实施方案得2分，否则不得分。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总体技术方案1.3</w:t>
            </w:r>
          </w:p>
        </w:tc>
        <w:tc>
          <w:tcPr>
            <w:tcW w:type="dxa" w:w="2769"/>
          </w:tcPr>
          <w:p>
            <w:pPr>
              <w:pStyle w:val="null3"/>
            </w:pPr>
            <w:r>
              <w:rPr/>
              <w:t>投标人能提供具有可行性、高效的的系统调试及与配套网络设备的联合调试方案得2分，否则不得分。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总体技术方案1.4</w:t>
            </w:r>
          </w:p>
        </w:tc>
        <w:tc>
          <w:tcPr>
            <w:tcW w:type="dxa" w:w="2769"/>
          </w:tcPr>
          <w:p>
            <w:pPr>
              <w:pStyle w:val="null3"/>
            </w:pPr>
            <w:r>
              <w:rPr/>
              <w:t>投标人能提供具有可行性、高效的的综合布线实施方案得2分，否则不得分。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总体技术方案1.5</w:t>
            </w:r>
          </w:p>
        </w:tc>
        <w:tc>
          <w:tcPr>
            <w:tcW w:type="dxa" w:w="2769"/>
          </w:tcPr>
          <w:p>
            <w:pPr>
              <w:pStyle w:val="null3"/>
            </w:pPr>
            <w:r>
              <w:rPr/>
              <w:t>投标人能提供具有可行性、高效的试运行技术支持方案得2分，否则不得分。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总体技术方案2</w:t>
            </w:r>
          </w:p>
        </w:tc>
        <w:tc>
          <w:tcPr>
            <w:tcW w:type="dxa" w:w="2769"/>
          </w:tcPr>
          <w:p>
            <w:pPr>
              <w:pStyle w:val="null3"/>
            </w:pPr>
            <w:r>
              <w:rPr/>
              <w:t>投标人针对本项目提供售后服务方案，内容包括服务团队结构与数量、服务水平说明、服务级别、应急预案、技术支持力量、备品备件、响应时长及故障解决时长、保修期内服务计划、培训计划等内容。 方案要素（服务团队结构与数量、服务水平说明（含服务级别、技术支持力量）、应急预案（含备品备件、响应时长及故障解决时长）、保修期内服务计划及培训计划4部分）齐全无缺失得2分，缺失一项得1分，缺失两项及以上不得分。</w:t>
            </w:r>
          </w:p>
        </w:tc>
        <w:tc>
          <w:tcPr>
            <w:tcW w:type="dxa" w:w="692"/>
          </w:tcPr>
          <w:p>
            <w:pPr>
              <w:pStyle w:val="null3"/>
              <w:jc w:val="right"/>
            </w:pPr>
            <w:r>
              <w:rPr/>
              <w:t>2.00</w:t>
            </w:r>
          </w:p>
        </w:tc>
        <w:tc>
          <w:tcPr>
            <w:tcW w:type="dxa" w:w="692"/>
          </w:tcPr>
          <w:p>
            <w:pPr>
              <w:pStyle w:val="null3"/>
            </w:pPr>
            <w:r>
              <w:rPr/>
              <w:t>客观</w:t>
            </w:r>
          </w:p>
        </w:tc>
      </w:tr>
      <w:tr>
        <w:tc>
          <w:tcPr>
            <w:tcW w:type="dxa" w:w="692"/>
            <w:vMerge/>
          </w:tcPr>
          <w:p/>
        </w:tc>
        <w:tc>
          <w:tcPr>
            <w:tcW w:type="dxa" w:w="2076"/>
          </w:tcPr>
          <w:p>
            <w:pPr>
              <w:pStyle w:val="null3"/>
            </w:pPr>
            <w:r>
              <w:rPr/>
              <w:t>总体技术方案2.1</w:t>
            </w:r>
          </w:p>
        </w:tc>
        <w:tc>
          <w:tcPr>
            <w:tcW w:type="dxa" w:w="2769"/>
          </w:tcPr>
          <w:p>
            <w:pPr>
              <w:pStyle w:val="null3"/>
            </w:pPr>
            <w:r>
              <w:rPr/>
              <w:t>投标人能提供可行的服务团队结构与数量的组成方案得2分，否则不得分。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总体技术方案2.2</w:t>
            </w:r>
          </w:p>
        </w:tc>
        <w:tc>
          <w:tcPr>
            <w:tcW w:type="dxa" w:w="2769"/>
          </w:tcPr>
          <w:p>
            <w:pPr>
              <w:pStyle w:val="null3"/>
            </w:pPr>
            <w:r>
              <w:rPr/>
              <w:t>投标人能提供可行的服务水平说明得2分，否则不得分。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总体技术方案2.3</w:t>
            </w:r>
          </w:p>
        </w:tc>
        <w:tc>
          <w:tcPr>
            <w:tcW w:type="dxa" w:w="2769"/>
          </w:tcPr>
          <w:p>
            <w:pPr>
              <w:pStyle w:val="null3"/>
            </w:pPr>
            <w:r>
              <w:rPr/>
              <w:t>投标人能提供可行的应急预案得3分，否则不得分。</w:t>
            </w:r>
          </w:p>
        </w:tc>
        <w:tc>
          <w:tcPr>
            <w:tcW w:type="dxa" w:w="692"/>
          </w:tcPr>
          <w:p>
            <w:pPr>
              <w:pStyle w:val="null3"/>
              <w:jc w:val="right"/>
            </w:pPr>
            <w:r>
              <w:rPr/>
              <w:t>3.00</w:t>
            </w:r>
          </w:p>
        </w:tc>
        <w:tc>
          <w:tcPr>
            <w:tcW w:type="dxa" w:w="692"/>
          </w:tcPr>
          <w:p>
            <w:pPr>
              <w:pStyle w:val="null3"/>
            </w:pPr>
            <w:r>
              <w:rPr/>
              <w:t>主观</w:t>
            </w:r>
          </w:p>
        </w:tc>
      </w:tr>
      <w:tr>
        <w:tc>
          <w:tcPr>
            <w:tcW w:type="dxa" w:w="692"/>
            <w:vMerge/>
          </w:tcPr>
          <w:p/>
        </w:tc>
        <w:tc>
          <w:tcPr>
            <w:tcW w:type="dxa" w:w="2076"/>
          </w:tcPr>
          <w:p>
            <w:pPr>
              <w:pStyle w:val="null3"/>
            </w:pPr>
            <w:r>
              <w:rPr/>
              <w:t>总体技术方案2.4</w:t>
            </w:r>
          </w:p>
        </w:tc>
        <w:tc>
          <w:tcPr>
            <w:tcW w:type="dxa" w:w="2769"/>
          </w:tcPr>
          <w:p>
            <w:pPr>
              <w:pStyle w:val="null3"/>
            </w:pPr>
            <w:r>
              <w:rPr/>
              <w:t>投标人能提供可行的保修期内服务计划、培训计划方案得2分，否则不得分。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需求响应情况</w:t>
            </w:r>
          </w:p>
        </w:tc>
        <w:tc>
          <w:tcPr>
            <w:tcW w:type="dxa" w:w="2769"/>
          </w:tcPr>
          <w:p>
            <w:pPr>
              <w:pStyle w:val="null3"/>
            </w:pPr>
            <w:r>
              <w:rPr/>
              <w:t>根据投标人针对招标文件“采购需求”的应答情况进行评分，除★指标、采购需求技术要求中的序号157条、商务要求中的序号49条、序号50条的其余可作为评分因素的条款全部满足且无负偏离的，得15分，不满足的条款数在5项以下（含5项），其余项全部满足且无负偏离的，得7.5分，否则不得分；</w:t>
            </w:r>
          </w:p>
        </w:tc>
        <w:tc>
          <w:tcPr>
            <w:tcW w:type="dxa" w:w="692"/>
          </w:tcPr>
          <w:p>
            <w:pPr>
              <w:pStyle w:val="null3"/>
              <w:jc w:val="right"/>
            </w:pPr>
            <w:r>
              <w:rPr/>
              <w:t>15.00</w:t>
            </w:r>
          </w:p>
        </w:tc>
        <w:tc>
          <w:tcPr>
            <w:tcW w:type="dxa" w:w="692"/>
          </w:tcPr>
          <w:p>
            <w:pPr>
              <w:pStyle w:val="null3"/>
            </w:pPr>
            <w:r>
              <w:rPr/>
              <w:t>客观</w:t>
            </w:r>
          </w:p>
        </w:tc>
      </w:tr>
      <w:tr>
        <w:tc>
          <w:tcPr>
            <w:tcW w:type="dxa" w:w="692"/>
            <w:vMerge/>
          </w:tcPr>
          <w:p/>
        </w:tc>
        <w:tc>
          <w:tcPr>
            <w:tcW w:type="dxa" w:w="2076"/>
          </w:tcPr>
          <w:p>
            <w:pPr>
              <w:pStyle w:val="null3"/>
            </w:pPr>
            <w:r>
              <w:rPr/>
              <w:t>节能环保要求</w:t>
            </w:r>
          </w:p>
        </w:tc>
        <w:tc>
          <w:tcPr>
            <w:tcW w:type="dxa" w:w="2769"/>
          </w:tcPr>
          <w:p>
            <w:pPr>
              <w:pStyle w:val="null3"/>
            </w:pPr>
            <w:r>
              <w:rPr/>
              <w:t>获得相关环保认证，除政府强制采购的节能产品外： 环保产品:根据财库[2019]9号、18号文，国家市场监督管理总局公告16号文要求，服务器产品属于政府采购环境标志产品实施品目清单范围，投标人所投所有服务器产品应有指定认证机构出具的、有效的环境标志产品认证证书，得2分；否则0分。 投标人需提供认证证书复印件，否则不予承认。 关于节能产品、环境标志产品的相关规定请参见: 《财政部发展改革委生态环境部市场监管总局关于调整优化节能产品环境标志产品政府采购执行机制的通知》（财库〔2019〕9号） 《关于印发环境标志产品政府采购品目清单的通知》（财库〔2019〕18号） 《市场监管总局关于发布参与实施政府采购节能产品、环境标志产品认证机构名录的公告》（2019年第16号）</w:t>
            </w:r>
          </w:p>
        </w:tc>
        <w:tc>
          <w:tcPr>
            <w:tcW w:type="dxa" w:w="692"/>
          </w:tcPr>
          <w:p>
            <w:pPr>
              <w:pStyle w:val="null3"/>
              <w:jc w:val="right"/>
            </w:pPr>
            <w:r>
              <w:rPr/>
              <w:t>2.00</w:t>
            </w:r>
          </w:p>
        </w:tc>
        <w:tc>
          <w:tcPr>
            <w:tcW w:type="dxa" w:w="692"/>
          </w:tcPr>
          <w:p>
            <w:pPr>
              <w:pStyle w:val="null3"/>
            </w:pPr>
            <w:r>
              <w:rPr/>
              <w:t>客观</w:t>
            </w:r>
          </w:p>
        </w:tc>
      </w:tr>
      <w:tr>
        <w:tc>
          <w:tcPr>
            <w:tcW w:type="dxa" w:w="692"/>
          </w:tcPr>
          <w:p>
            <w:pPr>
              <w:pStyle w:val="null3"/>
            </w:pPr>
            <w:r>
              <w:rPr/>
              <w:t>商务评审</w:t>
            </w:r>
          </w:p>
        </w:tc>
        <w:tc>
          <w:tcPr>
            <w:tcW w:type="dxa" w:w="2076"/>
          </w:tcPr>
          <w:p>
            <w:pPr>
              <w:pStyle w:val="null3"/>
            </w:pPr>
            <w:r>
              <w:rPr/>
              <w:t>销售使用情况</w:t>
            </w:r>
          </w:p>
        </w:tc>
        <w:tc>
          <w:tcPr>
            <w:tcW w:type="dxa" w:w="2769"/>
          </w:tcPr>
          <w:p>
            <w:pPr>
              <w:pStyle w:val="null3"/>
            </w:pPr>
            <w:r>
              <w:rPr/>
              <w:t>供应商自2023年1月1日至递交投标文件截止日（以合同签订时间为准），每提供一个所投服务器产品或其同系列服务器产品（服务器品牌相同、CPU芯片品牌相同、AI计算单元品牌相同），在国内的同等规模（8台或以上）销售案例得2分，最高得10分。 案例要求： 1. 投标人需提供案例证明文件，至少包含合同名称页、采购内容和金额页/数量页（或提供可体现产品采购清单）、签字盖章页等合同主要页的复印件。证明材料不全无法确定为相关业绩的，不予认可。合同原件备查；仅提供案例列表的不得分； 2.使用同系列产品案例的须由投标人出具产品系列表，以证明业绩案例中的服务器产品与所投服务器产品为同系列产品，评审现场仅通过产品系列表确认业绩案例中的服务器产品与所投服务器产品为同系列产品，未提供产品系列表或产品系列表中无法证明为同系列产品的该同系列产品案例不得分； 3.所投产品或同系列产品销售案例合同乙方不限定必须为投标人； 4.针对同一采购人及其全资子公司、控股子公司、分公司的不同销售案例按一个案例计算，销售数量不累加计算；</w:t>
            </w:r>
          </w:p>
        </w:tc>
        <w:tc>
          <w:tcPr>
            <w:tcW w:type="dxa" w:w="692"/>
          </w:tcPr>
          <w:p>
            <w:pPr>
              <w:pStyle w:val="null3"/>
              <w:jc w:val="right"/>
            </w:pPr>
            <w:r>
              <w:rPr/>
              <w:t>10.00</w:t>
            </w:r>
          </w:p>
        </w:tc>
        <w:tc>
          <w:tcPr>
            <w:tcW w:type="dxa" w:w="692"/>
          </w:tcPr>
          <w:p>
            <w:pPr>
              <w:pStyle w:val="null3"/>
            </w:pPr>
            <w:r>
              <w:rPr/>
              <w:t>客观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投标总价价格评审：综合评分法中的价格分采用低价优先法计算，即满足招标文件要求且投标价格最低的投标报价为评标基准价，其价格分为满分。其他投标人的价格分统一按照下列公式计算：投标人报价得分=（评标基准价/投标报价）×价格权值×100； 本项目中价格权值=50%</w:t>
            </w:r>
          </w:p>
        </w:tc>
        <w:tc>
          <w:tcPr>
            <w:tcW w:type="dxa" w:w="692"/>
          </w:tcPr>
          <w:p>
            <w:pPr>
              <w:pStyle w:val="null3"/>
              <w:jc w:val="right"/>
            </w:pPr>
            <w:r>
              <w:rPr/>
              <w:t>50.00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详见附件：技术条款第96条证明文件</w:t>
      </w:r>
    </w:p>
    <w:p>
      <w:pPr>
        <w:pStyle w:val="null3"/>
        <w:ind w:firstLine="960"/>
      </w:pPr>
      <w:r>
        <w:rPr/>
        <w:t>详见附件：技术条款第97条证明文件</w:t>
      </w:r>
    </w:p>
    <w:p>
      <w:pPr>
        <w:pStyle w:val="null3"/>
        <w:ind w:firstLine="960"/>
      </w:pPr>
      <w:r>
        <w:rPr/>
        <w:t>详见附件：技术条款第145条证明文件</w:t>
      </w:r>
    </w:p>
    <w:p>
      <w:pPr>
        <w:pStyle w:val="null3"/>
        <w:ind w:firstLine="960"/>
      </w:pPr>
      <w:r>
        <w:rPr/>
        <w:t>详见附件：技术条款第147条证明文件</w:t>
      </w:r>
    </w:p>
    <w:p>
      <w:pPr>
        <w:pStyle w:val="null3"/>
        <w:ind w:firstLine="960"/>
      </w:pPr>
      <w:r>
        <w:rPr/>
        <w:t>详见附件：技术条款第153条证明文件</w:t>
      </w:r>
    </w:p>
    <w:p>
      <w:pPr>
        <w:pStyle w:val="null3"/>
        <w:ind w:firstLine="960"/>
      </w:pPr>
      <w:r>
        <w:rPr/>
        <w:t>详见附件：技术条款第156条证明文件</w:t>
      </w:r>
    </w:p>
    <w:p>
      <w:pPr>
        <w:pStyle w:val="null3"/>
        <w:ind w:firstLine="960"/>
      </w:pPr>
      <w:r>
        <w:rPr/>
        <w:t>详见附件：技术条款第157条证明文件</w:t>
      </w:r>
    </w:p>
    <w:p>
      <w:pPr>
        <w:pStyle w:val="null3"/>
        <w:ind w:firstLine="960"/>
      </w:pPr>
      <w:r>
        <w:rPr/>
        <w:t>详见附件：商务条款第13条证明文件</w:t>
      </w:r>
    </w:p>
    <w:p>
      <w:pPr>
        <w:pStyle w:val="null3"/>
        <w:ind w:firstLine="960"/>
      </w:pPr>
      <w:r>
        <w:rPr/>
        <w:t>详见附件：商务条款第25条证明文件</w:t>
      </w:r>
    </w:p>
    <w:p>
      <w:pPr>
        <w:pStyle w:val="null3"/>
        <w:ind w:firstLine="960"/>
      </w:pPr>
      <w:r>
        <w:rPr/>
        <w:t>详见附件：商务条款第49条证明文件</w:t>
      </w:r>
    </w:p>
    <w:p>
      <w:pPr>
        <w:pStyle w:val="null3"/>
        <w:ind w:firstLine="960"/>
      </w:pPr>
      <w:r>
        <w:rPr/>
        <w:t>详见附件：商务条款第50条证明文件</w:t>
      </w:r>
    </w:p>
    <w:p>
      <w:pPr>
        <w:pStyle w:val="null3"/>
        <w:ind w:firstLine="960"/>
      </w:pPr>
      <w:r>
        <w:rPr/>
        <w:t>详见附件：商务条款第51条证明文件</w:t>
      </w:r>
    </w:p>
    <w:p>
      <w:pPr>
        <w:pStyle w:val="null3"/>
        <w:ind w:firstLine="960"/>
      </w:pPr>
      <w:r>
        <w:rPr/>
        <w:t>详见附件：商务条款第52条证明文件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宋体" w:hAnsi="宋体" w:cs="宋体" w:eastAsia="宋体"/>
          <w:sz w:val="52"/>
          <w:b/>
        </w:rPr>
        <w:t>【】</w:t>
      </w:r>
      <w:r>
        <w:rPr>
          <w:rFonts w:ascii="宋体" w:hAnsi="宋体" w:cs="宋体" w:eastAsia="宋体"/>
          <w:sz w:val="52"/>
          <w:b/>
        </w:rPr>
        <w:t>项目</w:t>
      </w:r>
    </w:p>
    <w:p>
      <w:pPr>
        <w:pStyle w:val="null3"/>
        <w:jc w:val="center"/>
      </w:pPr>
      <w:r>
        <w:rPr>
          <w:rFonts w:ascii="宋体" w:hAnsi="宋体" w:cs="宋体" w:eastAsia="宋体"/>
          <w:sz w:val="52"/>
          <w:b/>
        </w:rPr>
        <w:t>采购合同</w:t>
      </w:r>
    </w:p>
    <w:p>
      <w:pPr>
        <w:pStyle w:val="null3"/>
        <w:ind w:left="105" w:right="-15"/>
        <w:jc w:val="both"/>
      </w:pPr>
      <w:r>
        <w:rPr>
          <w:rFonts w:ascii="宋体" w:hAnsi="宋体" w:cs="宋体" w:eastAsia="宋体"/>
          <w:sz w:val="24"/>
        </w:rPr>
        <w:t>合同编号：</w:t>
      </w:r>
      <w:r>
        <w:rPr>
          <w:rFonts w:ascii="宋体" w:hAnsi="宋体" w:cs="宋体" w:eastAsia="宋体"/>
          <w:sz w:val="24"/>
          <w:b/>
        </w:rPr>
        <w:t>【】</w:t>
      </w:r>
    </w:p>
    <w:p>
      <w:pPr>
        <w:pStyle w:val="null3"/>
        <w:ind w:left="105" w:right="-15"/>
        <w:jc w:val="both"/>
      </w:pPr>
      <w:r>
        <w:rPr>
          <w:rFonts w:ascii="宋体" w:hAnsi="宋体" w:cs="宋体" w:eastAsia="宋体"/>
          <w:sz w:val="24"/>
          <w:b/>
        </w:rPr>
        <w:t>甲</w:t>
      </w:r>
      <w:r>
        <w:rPr>
          <w:rFonts w:ascii="calibri" w:hAnsi="calibri" w:cs="calibri" w:eastAsia="calibri"/>
          <w:sz w:val="24"/>
          <w:b/>
        </w:rPr>
        <w:t xml:space="preserve">   </w:t>
      </w:r>
      <w:r>
        <w:rPr>
          <w:rFonts w:ascii="宋体" w:hAnsi="宋体" w:cs="宋体" w:eastAsia="宋体"/>
          <w:sz w:val="24"/>
          <w:b/>
        </w:rPr>
        <w:t>方</w:t>
      </w:r>
      <w:r>
        <w:rPr>
          <w:rFonts w:ascii="宋体" w:hAnsi="宋体" w:cs="宋体" w:eastAsia="宋体"/>
          <w:sz w:val="24"/>
          <w:b/>
        </w:rPr>
        <w:t>：</w:t>
      </w:r>
      <w:r>
        <w:rPr>
          <w:rFonts w:ascii="宋体" w:hAnsi="宋体" w:cs="宋体" w:eastAsia="宋体"/>
          <w:sz w:val="24"/>
          <w:b/>
        </w:rPr>
        <w:t>网联清算有限公司</w:t>
      </w:r>
    </w:p>
    <w:p>
      <w:pPr>
        <w:pStyle w:val="null3"/>
        <w:ind w:left="105" w:right="-15"/>
        <w:jc w:val="both"/>
      </w:pPr>
      <w:r>
        <w:rPr>
          <w:rFonts w:ascii="宋体" w:hAnsi="宋体" w:cs="宋体" w:eastAsia="宋体"/>
          <w:sz w:val="24"/>
        </w:rPr>
        <w:t>法定代表人：</w:t>
      </w:r>
      <w:r>
        <w:rPr>
          <w:rFonts w:ascii="宋体" w:hAnsi="宋体" w:cs="宋体" w:eastAsia="宋体"/>
          <w:sz w:val="24"/>
        </w:rPr>
        <w:t>罗延枫</w:t>
      </w:r>
    </w:p>
    <w:p>
      <w:pPr>
        <w:pStyle w:val="null3"/>
        <w:ind w:left="105" w:right="-15"/>
        <w:jc w:val="both"/>
      </w:pPr>
      <w:r>
        <w:rPr>
          <w:rFonts w:ascii="宋体" w:hAnsi="宋体" w:cs="宋体" w:eastAsia="宋体"/>
          <w:sz w:val="24"/>
        </w:rPr>
        <w:t>地址：北京市西城区北三环中路甲</w:t>
      </w:r>
      <w:r>
        <w:rPr>
          <w:rFonts w:ascii="calibri" w:hAnsi="calibri" w:cs="calibri" w:eastAsia="calibri"/>
          <w:sz w:val="24"/>
        </w:rPr>
        <w:t>29</w:t>
      </w:r>
      <w:r>
        <w:rPr>
          <w:rFonts w:ascii="宋体" w:hAnsi="宋体" w:cs="宋体" w:eastAsia="宋体"/>
          <w:sz w:val="24"/>
        </w:rPr>
        <w:t>号院</w:t>
      </w:r>
      <w:r>
        <w:rPr>
          <w:rFonts w:ascii="calibri" w:hAnsi="calibri" w:cs="calibri" w:eastAsia="calibri"/>
          <w:sz w:val="24"/>
        </w:rPr>
        <w:t>3</w:t>
      </w:r>
      <w:r>
        <w:rPr>
          <w:rFonts w:ascii="宋体" w:hAnsi="宋体" w:cs="宋体" w:eastAsia="宋体"/>
          <w:sz w:val="24"/>
        </w:rPr>
        <w:t>号楼</w:t>
      </w:r>
      <w:r>
        <w:rPr>
          <w:rFonts w:ascii="calibri" w:hAnsi="calibri" w:cs="calibri" w:eastAsia="calibri"/>
          <w:sz w:val="24"/>
        </w:rPr>
        <w:t>101</w:t>
      </w:r>
      <w:r>
        <w:rPr>
          <w:rFonts w:ascii="宋体" w:hAnsi="宋体" w:cs="宋体" w:eastAsia="宋体"/>
          <w:sz w:val="24"/>
        </w:rPr>
        <w:t>号内</w:t>
      </w:r>
      <w:r>
        <w:rPr>
          <w:rFonts w:ascii="calibri" w:hAnsi="calibri" w:cs="calibri" w:eastAsia="calibri"/>
          <w:sz w:val="24"/>
        </w:rPr>
        <w:t>101</w:t>
      </w:r>
      <w:r>
        <w:rPr>
          <w:rFonts w:ascii="宋体" w:hAnsi="宋体" w:cs="宋体" w:eastAsia="宋体"/>
          <w:sz w:val="24"/>
        </w:rPr>
        <w:t>室</w:t>
      </w:r>
    </w:p>
    <w:p>
      <w:pPr>
        <w:pStyle w:val="null3"/>
        <w:ind w:left="105" w:right="-15"/>
        <w:jc w:val="both"/>
      </w:pPr>
      <w:r>
        <w:rPr>
          <w:rFonts w:ascii="宋体" w:hAnsi="宋体" w:cs="宋体" w:eastAsia="宋体"/>
          <w:sz w:val="24"/>
        </w:rPr>
        <w:t>邮政编码：</w:t>
      </w:r>
      <w:r>
        <w:rPr>
          <w:rFonts w:ascii="calibri" w:hAnsi="calibri" w:cs="calibri" w:eastAsia="calibri"/>
          <w:sz w:val="24"/>
        </w:rPr>
        <w:t>100088</w:t>
      </w:r>
    </w:p>
    <w:p>
      <w:pPr>
        <w:pStyle w:val="null3"/>
        <w:ind w:left="420"/>
        <w:jc w:val="left"/>
      </w:pPr>
      <w:r>
        <w:rPr>
          <w:rFonts w:ascii="宋体" w:hAnsi="宋体" w:cs="宋体" w:eastAsia="宋体"/>
          <w:sz w:val="24"/>
          <w:b/>
        </w:rPr>
        <w:t>乙</w:t>
      </w:r>
      <w:r>
        <w:rPr>
          <w:rFonts w:ascii="calibri" w:hAnsi="calibri" w:cs="calibri" w:eastAsia="calibri"/>
          <w:sz w:val="24"/>
          <w:b/>
        </w:rPr>
        <w:t xml:space="preserve">    </w:t>
      </w:r>
      <w:r>
        <w:rPr>
          <w:rFonts w:ascii="宋体" w:hAnsi="宋体" w:cs="宋体" w:eastAsia="宋体"/>
          <w:sz w:val="24"/>
          <w:b/>
        </w:rPr>
        <w:t>方：</w:t>
      </w:r>
      <w:r>
        <w:rPr>
          <w:rFonts w:ascii="宋体" w:hAnsi="宋体" w:cs="宋体" w:eastAsia="宋体"/>
          <w:sz w:val="24"/>
          <w:b/>
        </w:rPr>
        <w:t>【】</w:t>
      </w:r>
    </w:p>
    <w:p>
      <w:pPr>
        <w:pStyle w:val="null3"/>
        <w:ind w:left="105" w:right="-15"/>
        <w:jc w:val="both"/>
      </w:pPr>
      <w:r>
        <w:rPr>
          <w:rFonts w:ascii="宋体" w:hAnsi="宋体" w:cs="宋体" w:eastAsia="宋体"/>
          <w:sz w:val="24"/>
        </w:rPr>
        <w:t>法定代表人：</w:t>
      </w:r>
      <w:r>
        <w:rPr>
          <w:rFonts w:ascii="宋体" w:hAnsi="宋体" w:cs="宋体" w:eastAsia="宋体"/>
          <w:sz w:val="24"/>
        </w:rPr>
        <w:t>【】</w:t>
      </w:r>
    </w:p>
    <w:p>
      <w:pPr>
        <w:pStyle w:val="null3"/>
        <w:ind w:left="105" w:right="-15"/>
        <w:jc w:val="both"/>
      </w:pPr>
      <w:r>
        <w:rPr>
          <w:rFonts w:ascii="宋体" w:hAnsi="宋体" w:cs="宋体" w:eastAsia="宋体"/>
          <w:sz w:val="24"/>
        </w:rPr>
        <w:t>地址：</w:t>
      </w:r>
      <w:r>
        <w:rPr>
          <w:rFonts w:ascii="宋体" w:hAnsi="宋体" w:cs="宋体" w:eastAsia="宋体"/>
          <w:sz w:val="24"/>
          <w:b/>
        </w:rPr>
        <w:t>【】</w:t>
      </w:r>
    </w:p>
    <w:p>
      <w:pPr>
        <w:pStyle w:val="null3"/>
        <w:ind w:left="105" w:right="-15"/>
        <w:jc w:val="both"/>
      </w:pPr>
      <w:r>
        <w:rPr>
          <w:rFonts w:ascii="宋体" w:hAnsi="宋体" w:cs="宋体" w:eastAsia="宋体"/>
          <w:sz w:val="24"/>
        </w:rPr>
        <w:t>邮政编码：</w:t>
      </w:r>
      <w:r>
        <w:rPr>
          <w:rFonts w:ascii="宋体" w:hAnsi="宋体" w:cs="宋体" w:eastAsia="宋体"/>
          <w:sz w:val="24"/>
          <w:b/>
        </w:rPr>
        <w:t>【】</w:t>
      </w:r>
    </w:p>
    <w:p>
      <w:pPr>
        <w:pStyle w:val="null3"/>
      </w:pPr>
      <w:r>
        <w:rPr>
          <w:rFonts w:ascii="宋体" w:hAnsi="宋体" w:cs="宋体" w:eastAsia="宋体"/>
          <w:sz w:val="24"/>
        </w:rPr>
        <w:t>根据</w:t>
      </w:r>
      <w:r>
        <w:rPr>
          <w:rFonts w:ascii="宋体" w:hAnsi="宋体" w:cs="宋体" w:eastAsia="宋体"/>
          <w:sz w:val="24"/>
        </w:rPr>
        <w:t>【</w:t>
      </w:r>
      <w:r>
        <w:rPr>
          <w:rFonts w:ascii="calibri" w:hAnsi="calibri" w:cs="calibri" w:eastAsia="calibri"/>
          <w:sz w:val="24"/>
        </w:rPr>
        <w:t>2025</w:t>
      </w:r>
      <w:r>
        <w:rPr>
          <w:rFonts w:ascii="宋体" w:hAnsi="宋体" w:cs="宋体" w:eastAsia="宋体"/>
          <w:sz w:val="24"/>
        </w:rPr>
        <w:t>年第二批服务器采购】</w:t>
      </w:r>
      <w:r>
        <w:rPr>
          <w:rFonts w:ascii="宋体" w:hAnsi="宋体" w:cs="宋体" w:eastAsia="宋体"/>
          <w:sz w:val="24"/>
        </w:rPr>
        <w:t>项目</w:t>
      </w:r>
      <w:r>
        <w:rPr>
          <w:rFonts w:ascii="宋体" w:hAnsi="宋体" w:cs="宋体" w:eastAsia="宋体"/>
          <w:sz w:val="24"/>
        </w:rPr>
        <w:t>的采购结果，</w:t>
      </w:r>
      <w:r>
        <w:rPr>
          <w:rFonts w:ascii="宋体" w:hAnsi="宋体" w:cs="宋体" w:eastAsia="宋体"/>
          <w:sz w:val="24"/>
        </w:rPr>
        <w:t>甲方与乙方经过充分协商，本着自愿、平等、互利、诚实信用的原则，签署</w:t>
      </w:r>
      <w:r>
        <w:rPr>
          <w:rFonts w:ascii="宋体" w:hAnsi="宋体" w:cs="宋体" w:eastAsia="宋体"/>
          <w:sz w:val="24"/>
        </w:rPr>
        <w:t>本采购合同</w:t>
      </w:r>
      <w:r>
        <w:rPr>
          <w:rFonts w:ascii="宋体" w:hAnsi="宋体" w:cs="宋体" w:eastAsia="宋体"/>
          <w:sz w:val="24"/>
        </w:rPr>
        <w:t>具体</w:t>
      </w:r>
      <w:r>
        <w:rPr>
          <w:rFonts w:ascii="宋体" w:hAnsi="宋体" w:cs="宋体" w:eastAsia="宋体"/>
          <w:sz w:val="24"/>
        </w:rPr>
        <w:t>如下</w:t>
      </w:r>
      <w:r>
        <w:rPr>
          <w:rFonts w:ascii="宋体" w:hAnsi="宋体" w:cs="宋体" w:eastAsia="宋体"/>
          <w:sz w:val="24"/>
        </w:rPr>
        <w:t>：</w:t>
      </w:r>
    </w:p>
    <w:p>
      <w:pPr>
        <w:pStyle w:val="null3"/>
        <w:numPr>
          <w:ilvl w:val="0"/>
          <w:numId w:val="2"/>
        </w:numPr>
        <w:ind w:left="420"/>
        <w:jc w:val="left"/>
      </w:pPr>
      <w:r>
        <w:rPr>
          <w:rFonts w:ascii="宋体" w:hAnsi="宋体" w:cs="宋体" w:eastAsia="宋体"/>
          <w:sz w:val="24"/>
          <w:b/>
        </w:rPr>
        <w:t>合同的组成</w:t>
      </w:r>
    </w:p>
    <w:p>
      <w:pPr>
        <w:pStyle w:val="null3"/>
        <w:ind w:right="-15" w:firstLine="480"/>
        <w:jc w:val="both"/>
      </w:pPr>
      <w:r>
        <w:rPr>
          <w:rFonts w:ascii="calibri" w:hAnsi="calibri" w:cs="calibri" w:eastAsia="calibri"/>
          <w:sz w:val="24"/>
        </w:rPr>
        <w:t xml:space="preserve">1.1 </w:t>
      </w:r>
      <w:r>
        <w:rPr>
          <w:rFonts w:ascii="宋体" w:hAnsi="宋体" w:cs="宋体" w:eastAsia="宋体"/>
          <w:sz w:val="24"/>
        </w:rPr>
        <w:t>本合同包括合同正文、合同附件、双方与履行本合同相关的盖章函件（如有）、补充条款（如有）</w:t>
      </w:r>
      <w:r>
        <w:rPr>
          <w:rFonts w:ascii="宋体" w:hAnsi="宋体" w:cs="宋体" w:eastAsia="宋体"/>
          <w:sz w:val="24"/>
        </w:rPr>
        <w:t>等，</w:t>
      </w:r>
      <w:r>
        <w:rPr>
          <w:rFonts w:ascii="宋体" w:hAnsi="宋体" w:cs="宋体" w:eastAsia="宋体"/>
          <w:sz w:val="24"/>
        </w:rPr>
        <w:t>前述文件均</w:t>
      </w:r>
      <w:r>
        <w:rPr>
          <w:rFonts w:ascii="宋体" w:hAnsi="宋体" w:cs="宋体" w:eastAsia="宋体"/>
          <w:sz w:val="24"/>
        </w:rPr>
        <w:t>为本合同有效组成部分。</w:t>
      </w:r>
    </w:p>
    <w:p>
      <w:pPr>
        <w:pStyle w:val="null3"/>
        <w:ind w:right="-15" w:firstLine="480"/>
        <w:jc w:val="both"/>
      </w:pPr>
      <w:r>
        <w:rPr>
          <w:rFonts w:ascii="calibri" w:hAnsi="calibri" w:cs="calibri" w:eastAsia="calibri"/>
          <w:sz w:val="24"/>
        </w:rPr>
        <w:t xml:space="preserve">1.2 </w:t>
      </w:r>
      <w:r>
        <w:rPr>
          <w:rFonts w:ascii="宋体" w:hAnsi="宋体" w:cs="宋体" w:eastAsia="宋体"/>
          <w:sz w:val="24"/>
        </w:rPr>
        <w:t>若</w:t>
      </w:r>
      <w:r>
        <w:rPr>
          <w:rFonts w:ascii="宋体" w:hAnsi="宋体" w:cs="宋体" w:eastAsia="宋体"/>
          <w:sz w:val="24"/>
        </w:rPr>
        <w:t>合同</w:t>
      </w:r>
      <w:r>
        <w:rPr>
          <w:rFonts w:ascii="宋体" w:hAnsi="宋体" w:cs="宋体" w:eastAsia="宋体"/>
          <w:sz w:val="24"/>
        </w:rPr>
        <w:t>正文</w:t>
      </w:r>
      <w:r>
        <w:rPr>
          <w:rFonts w:ascii="宋体" w:hAnsi="宋体" w:cs="宋体" w:eastAsia="宋体"/>
          <w:sz w:val="24"/>
        </w:rPr>
        <w:t>、附件、</w:t>
      </w:r>
      <w:r>
        <w:rPr>
          <w:rFonts w:ascii="宋体" w:hAnsi="宋体" w:cs="宋体" w:eastAsia="宋体"/>
          <w:sz w:val="24"/>
        </w:rPr>
        <w:t>函件、补充条款</w:t>
      </w:r>
      <w:r>
        <w:rPr>
          <w:rFonts w:ascii="宋体" w:hAnsi="宋体" w:cs="宋体" w:eastAsia="宋体"/>
          <w:sz w:val="24"/>
        </w:rPr>
        <w:t>等</w:t>
      </w:r>
      <w:r>
        <w:rPr>
          <w:rFonts w:ascii="宋体" w:hAnsi="宋体" w:cs="宋体" w:eastAsia="宋体"/>
          <w:sz w:val="24"/>
        </w:rPr>
        <w:t>之间</w:t>
      </w:r>
      <w:r>
        <w:rPr>
          <w:rFonts w:ascii="宋体" w:hAnsi="宋体" w:cs="宋体" w:eastAsia="宋体"/>
          <w:sz w:val="24"/>
        </w:rPr>
        <w:t>有矛盾之处，</w:t>
      </w:r>
      <w:r>
        <w:rPr>
          <w:rFonts w:ascii="宋体" w:hAnsi="宋体" w:cs="宋体" w:eastAsia="宋体"/>
          <w:sz w:val="24"/>
        </w:rPr>
        <w:t>以有利于甲方的内容为准。</w:t>
      </w:r>
    </w:p>
    <w:p>
      <w:pPr>
        <w:pStyle w:val="null3"/>
        <w:ind w:right="-15" w:firstLine="480"/>
        <w:jc w:val="both"/>
      </w:pPr>
      <w:r>
        <w:rPr>
          <w:rFonts w:ascii="calibri" w:hAnsi="calibri" w:cs="calibri" w:eastAsia="calibri"/>
          <w:sz w:val="24"/>
        </w:rPr>
        <w:t xml:space="preserve">1.3 </w:t>
      </w:r>
      <w:r>
        <w:rPr>
          <w:rFonts w:ascii="宋体" w:hAnsi="宋体" w:cs="宋体" w:eastAsia="宋体"/>
          <w:sz w:val="24"/>
        </w:rPr>
        <w:t>双方一致同意：就同一事项，如果乙方提供的产品标准、技术标准、服务标准、服务水平等承诺内容与甲方要求的标准不一致的，乙方应以较高标准要求履行相应的义务。</w:t>
      </w:r>
    </w:p>
    <w:p>
      <w:pPr>
        <w:pStyle w:val="null3"/>
        <w:numPr>
          <w:ilvl w:val="0"/>
          <w:numId w:val="2"/>
        </w:numPr>
        <w:jc w:val="both"/>
      </w:pPr>
      <w:r>
        <w:rPr>
          <w:rFonts w:ascii="宋体" w:hAnsi="宋体" w:cs="宋体" w:eastAsia="宋体"/>
          <w:sz w:val="24"/>
          <w:b/>
        </w:rPr>
        <w:t>合同标的</w:t>
      </w:r>
    </w:p>
    <w:p>
      <w:pPr>
        <w:pStyle w:val="null3"/>
        <w:ind w:firstLine="480"/>
        <w:jc w:val="both"/>
      </w:pPr>
      <w:r>
        <w:rPr>
          <w:rFonts w:ascii="calibri" w:hAnsi="calibri" w:cs="calibri" w:eastAsia="calibri"/>
          <w:sz w:val="24"/>
        </w:rPr>
        <w:t xml:space="preserve">2.1 </w:t>
      </w:r>
      <w:r>
        <w:rPr>
          <w:rFonts w:ascii="宋体" w:hAnsi="宋体" w:cs="宋体" w:eastAsia="宋体"/>
          <w:sz w:val="24"/>
        </w:rPr>
        <w:t>本合同项下的价格标准详见</w:t>
      </w:r>
      <w:r>
        <w:rPr>
          <w:rFonts w:ascii="宋体" w:hAnsi="宋体" w:cs="宋体" w:eastAsia="宋体"/>
          <w:sz w:val="24"/>
        </w:rPr>
        <w:t>附件</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价格清单</w:t>
      </w:r>
      <w:r>
        <w:rPr>
          <w:rFonts w:ascii="宋体" w:hAnsi="宋体" w:cs="宋体" w:eastAsia="宋体"/>
          <w:sz w:val="24"/>
        </w:rPr>
        <w:t>》。</w:t>
      </w:r>
    </w:p>
    <w:p>
      <w:pPr>
        <w:pStyle w:val="null3"/>
        <w:ind w:firstLine="480"/>
        <w:jc w:val="both"/>
      </w:pPr>
      <w:r>
        <w:rPr>
          <w:rFonts w:ascii="calibri" w:hAnsi="calibri" w:cs="calibri" w:eastAsia="calibri"/>
          <w:sz w:val="24"/>
        </w:rPr>
        <w:t xml:space="preserve">2.2 </w:t>
      </w:r>
      <w:r>
        <w:rPr>
          <w:rFonts w:ascii="宋体" w:hAnsi="宋体" w:cs="宋体" w:eastAsia="宋体"/>
          <w:sz w:val="24"/>
        </w:rPr>
        <w:t>乙方保证设备配置完整、全新未曾使用且满足</w:t>
      </w:r>
      <w:r>
        <w:rPr>
          <w:rFonts w:ascii="宋体" w:hAnsi="宋体" w:cs="宋体" w:eastAsia="宋体"/>
          <w:sz w:val="24"/>
        </w:rPr>
        <w:t>本</w:t>
      </w:r>
      <w:r>
        <w:rPr>
          <w:rFonts w:ascii="宋体" w:hAnsi="宋体" w:cs="宋体" w:eastAsia="宋体"/>
          <w:sz w:val="24"/>
        </w:rPr>
        <w:t>合同约定，有关产品的详细情况</w:t>
      </w:r>
      <w:r>
        <w:rPr>
          <w:rFonts w:ascii="宋体" w:hAnsi="宋体" w:cs="宋体" w:eastAsia="宋体"/>
          <w:sz w:val="24"/>
        </w:rPr>
        <w:t>（如名称、配置、规格、型号、数量等）</w:t>
      </w:r>
      <w:r>
        <w:rPr>
          <w:rFonts w:ascii="宋体" w:hAnsi="宋体" w:cs="宋体" w:eastAsia="宋体"/>
          <w:sz w:val="24"/>
        </w:rPr>
        <w:t>见附件</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甲方采购需求书</w:t>
      </w:r>
      <w:r>
        <w:rPr>
          <w:rFonts w:ascii="宋体" w:hAnsi="宋体" w:cs="宋体" w:eastAsia="宋体"/>
          <w:sz w:val="24"/>
        </w:rPr>
        <w:t>》。</w:t>
      </w:r>
    </w:p>
    <w:p>
      <w:pPr>
        <w:pStyle w:val="null3"/>
        <w:ind w:firstLine="480"/>
        <w:jc w:val="both"/>
      </w:pPr>
      <w:r>
        <w:rPr>
          <w:rFonts w:ascii="calibri" w:hAnsi="calibri" w:cs="calibri" w:eastAsia="calibri"/>
          <w:sz w:val="24"/>
        </w:rPr>
        <w:t xml:space="preserve">2.3 </w:t>
      </w:r>
      <w:r>
        <w:rPr>
          <w:rFonts w:ascii="宋体" w:hAnsi="宋体" w:cs="宋体" w:eastAsia="宋体"/>
          <w:sz w:val="24"/>
        </w:rPr>
        <w:t>本合同项下乙方向甲方销售的产品</w:t>
      </w:r>
      <w:r>
        <w:rPr>
          <w:rFonts w:ascii="宋体" w:hAnsi="宋体" w:cs="宋体" w:eastAsia="宋体"/>
          <w:sz w:val="24"/>
        </w:rPr>
        <w:t>原产地：</w:t>
      </w:r>
      <w:r>
        <w:rPr>
          <w:rFonts w:ascii="宋体" w:hAnsi="宋体" w:cs="宋体" w:eastAsia="宋体"/>
          <w:sz w:val="24"/>
        </w:rPr>
        <w:t>【】，</w:t>
      </w:r>
      <w:r>
        <w:rPr>
          <w:rFonts w:ascii="宋体" w:hAnsi="宋体" w:cs="宋体" w:eastAsia="宋体"/>
          <w:sz w:val="24"/>
        </w:rPr>
        <w:t>产品制造商：</w:t>
      </w:r>
      <w:r>
        <w:rPr>
          <w:rFonts w:ascii="宋体" w:hAnsi="宋体" w:cs="宋体" w:eastAsia="宋体"/>
          <w:sz w:val="24"/>
        </w:rPr>
        <w:t>【】。</w:t>
      </w:r>
    </w:p>
    <w:p>
      <w:pPr>
        <w:pStyle w:val="null3"/>
        <w:numPr>
          <w:ilvl w:val="0"/>
          <w:numId w:val="2"/>
        </w:numPr>
        <w:ind w:firstLine="480"/>
        <w:jc w:val="both"/>
      </w:pPr>
      <w:r>
        <w:rPr>
          <w:rFonts w:ascii="宋体" w:hAnsi="宋体" w:cs="宋体" w:eastAsia="宋体"/>
          <w:sz w:val="24"/>
          <w:b/>
        </w:rPr>
        <w:t>交货</w:t>
      </w:r>
    </w:p>
    <w:p>
      <w:pPr>
        <w:pStyle w:val="null3"/>
        <w:ind w:firstLine="480"/>
        <w:jc w:val="both"/>
      </w:pPr>
      <w:r>
        <w:rPr>
          <w:rFonts w:ascii="calibri" w:hAnsi="calibri" w:cs="calibri" w:eastAsia="calibri"/>
          <w:sz w:val="24"/>
        </w:rPr>
        <w:t xml:space="preserve">3.1 </w:t>
      </w:r>
      <w:r>
        <w:rPr>
          <w:rFonts w:ascii="宋体" w:hAnsi="宋体" w:cs="宋体" w:eastAsia="宋体"/>
          <w:sz w:val="24"/>
        </w:rPr>
        <w:t>交货地点：</w:t>
      </w:r>
      <w:r>
        <w:rPr>
          <w:rFonts w:ascii="宋体" w:hAnsi="宋体" w:cs="宋体" w:eastAsia="宋体"/>
          <w:sz w:val="24"/>
        </w:rPr>
        <w:t>【</w:t>
      </w:r>
      <w:r>
        <w:rPr>
          <w:rFonts w:ascii="宋体" w:hAnsi="宋体" w:cs="宋体" w:eastAsia="宋体"/>
          <w:sz w:val="24"/>
        </w:rPr>
        <w:t>北京、上海、深圳，具体位置以</w:t>
      </w:r>
      <w:r>
        <w:rPr>
          <w:rFonts w:ascii="宋体" w:hAnsi="宋体" w:cs="宋体" w:eastAsia="宋体"/>
          <w:sz w:val="24"/>
        </w:rPr>
        <w:t>甲方</w:t>
      </w:r>
      <w:r>
        <w:rPr>
          <w:rFonts w:ascii="宋体" w:hAnsi="宋体" w:cs="宋体" w:eastAsia="宋体"/>
          <w:sz w:val="24"/>
        </w:rPr>
        <w:t>指定位置为准</w:t>
      </w:r>
      <w:r>
        <w:rPr>
          <w:rFonts w:ascii="宋体" w:hAnsi="宋体" w:cs="宋体" w:eastAsia="宋体"/>
          <w:sz w:val="24"/>
        </w:rPr>
        <w:t>】</w:t>
      </w:r>
      <w:r>
        <w:rPr>
          <w:rFonts w:ascii="宋体" w:hAnsi="宋体" w:cs="宋体" w:eastAsia="宋体"/>
          <w:sz w:val="24"/>
        </w:rPr>
        <w:t>。</w:t>
      </w:r>
      <w:r>
        <w:rPr>
          <w:rFonts w:ascii="宋体" w:hAnsi="宋体" w:cs="宋体" w:eastAsia="宋体"/>
          <w:sz w:val="24"/>
        </w:rPr>
        <w:t>如甲方变更交货地点，需按第十</w:t>
      </w:r>
      <w:r>
        <w:rPr>
          <w:rFonts w:ascii="宋体" w:hAnsi="宋体" w:cs="宋体" w:eastAsia="宋体"/>
          <w:sz w:val="24"/>
        </w:rPr>
        <w:t>五</w:t>
      </w:r>
      <w:r>
        <w:rPr>
          <w:rFonts w:ascii="宋体" w:hAnsi="宋体" w:cs="宋体" w:eastAsia="宋体"/>
          <w:sz w:val="24"/>
        </w:rPr>
        <w:t>条的约定通知乙方</w:t>
      </w:r>
      <w:r>
        <w:rPr>
          <w:rFonts w:ascii="宋体" w:hAnsi="宋体" w:cs="宋体" w:eastAsia="宋体"/>
          <w:sz w:val="24"/>
        </w:rPr>
        <w:t>。</w:t>
      </w:r>
    </w:p>
    <w:p>
      <w:pPr>
        <w:pStyle w:val="null3"/>
        <w:ind w:firstLine="480"/>
        <w:jc w:val="both"/>
      </w:pPr>
      <w:r>
        <w:rPr>
          <w:rFonts w:ascii="calibri" w:hAnsi="calibri" w:cs="calibri" w:eastAsia="calibri"/>
          <w:sz w:val="24"/>
        </w:rPr>
        <w:t xml:space="preserve">3.2 </w:t>
      </w:r>
      <w:r>
        <w:rPr>
          <w:rFonts w:ascii="宋体" w:hAnsi="宋体" w:cs="宋体" w:eastAsia="宋体"/>
          <w:sz w:val="24"/>
        </w:rPr>
        <w:t>交货期：【</w:t>
      </w:r>
      <w:r>
        <w:rPr>
          <w:rFonts w:ascii="宋体" w:hAnsi="宋体" w:cs="宋体" w:eastAsia="宋体"/>
          <w:sz w:val="24"/>
        </w:rPr>
        <w:t>乙方</w:t>
      </w:r>
      <w:r>
        <w:rPr>
          <w:rFonts w:ascii="宋体" w:hAnsi="宋体" w:cs="宋体" w:eastAsia="宋体"/>
          <w:sz w:val="24"/>
        </w:rPr>
        <w:t>应在合同签订或订单下达并收到</w:t>
      </w:r>
      <w:r>
        <w:rPr>
          <w:rFonts w:ascii="宋体" w:hAnsi="宋体" w:cs="宋体" w:eastAsia="宋体"/>
          <w:sz w:val="24"/>
        </w:rPr>
        <w:t>甲方</w:t>
      </w:r>
      <w:r>
        <w:rPr>
          <w:rFonts w:ascii="宋体" w:hAnsi="宋体" w:cs="宋体" w:eastAsia="宋体"/>
          <w:sz w:val="24"/>
        </w:rPr>
        <w:t>供货通知后，</w:t>
      </w:r>
      <w:r>
        <w:rPr>
          <w:rFonts w:ascii="calibri" w:hAnsi="calibri" w:cs="calibri" w:eastAsia="calibri"/>
          <w:sz w:val="24"/>
        </w:rPr>
        <w:t>30</w:t>
      </w:r>
      <w:r>
        <w:rPr>
          <w:rFonts w:ascii="宋体" w:hAnsi="宋体" w:cs="宋体" w:eastAsia="宋体"/>
          <w:sz w:val="24"/>
        </w:rPr>
        <w:t>个日历日内将</w:t>
      </w:r>
      <w:r>
        <w:rPr>
          <w:rFonts w:ascii="宋体" w:hAnsi="宋体" w:cs="宋体" w:eastAsia="宋体"/>
          <w:sz w:val="24"/>
        </w:rPr>
        <w:t>供货通知内</w:t>
      </w:r>
      <w:r>
        <w:rPr>
          <w:rFonts w:ascii="宋体" w:hAnsi="宋体" w:cs="宋体" w:eastAsia="宋体"/>
          <w:sz w:val="24"/>
        </w:rPr>
        <w:t>所有货物送至</w:t>
      </w:r>
      <w:r>
        <w:rPr>
          <w:rFonts w:ascii="宋体" w:hAnsi="宋体" w:cs="宋体" w:eastAsia="宋体"/>
          <w:sz w:val="24"/>
        </w:rPr>
        <w:t>甲方</w:t>
      </w:r>
      <w:r>
        <w:rPr>
          <w:rFonts w:ascii="宋体" w:hAnsi="宋体" w:cs="宋体" w:eastAsia="宋体"/>
          <w:sz w:val="24"/>
        </w:rPr>
        <w:t>指定地点</w:t>
      </w:r>
      <w:r>
        <w:rPr>
          <w:rFonts w:ascii="宋体" w:hAnsi="宋体" w:cs="宋体" w:eastAsia="宋体"/>
          <w:sz w:val="24"/>
        </w:rPr>
        <w:t>】。</w:t>
      </w:r>
    </w:p>
    <w:p>
      <w:pPr>
        <w:pStyle w:val="null3"/>
        <w:ind w:firstLine="480"/>
        <w:jc w:val="both"/>
      </w:pPr>
      <w:r>
        <w:rPr>
          <w:rFonts w:ascii="calibri" w:hAnsi="calibri" w:cs="calibri" w:eastAsia="calibri"/>
          <w:sz w:val="24"/>
        </w:rPr>
        <w:t xml:space="preserve">3.3 </w:t>
      </w:r>
      <w:r>
        <w:rPr>
          <w:rFonts w:ascii="宋体" w:hAnsi="宋体" w:cs="宋体" w:eastAsia="宋体"/>
          <w:sz w:val="24"/>
        </w:rPr>
        <w:t>乙方在交货期内将产品运送至交货地点，并通知甲方接收。甲方接收产品并核实无误后出具【</w:t>
      </w:r>
      <w:r>
        <w:rPr>
          <w:rFonts w:ascii="宋体" w:hAnsi="宋体" w:cs="宋体" w:eastAsia="宋体"/>
          <w:sz w:val="24"/>
        </w:rPr>
        <w:t>验收报告</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之后，产品所有权转移至甲方，产品毁损</w:t>
      </w:r>
      <w:r>
        <w:rPr>
          <w:rFonts w:ascii="宋体" w:hAnsi="宋体" w:cs="宋体" w:eastAsia="宋体"/>
          <w:sz w:val="24"/>
        </w:rPr>
        <w:t>、</w:t>
      </w:r>
      <w:r>
        <w:rPr>
          <w:rFonts w:ascii="宋体" w:hAnsi="宋体" w:cs="宋体" w:eastAsia="宋体"/>
          <w:sz w:val="24"/>
        </w:rPr>
        <w:t>灭失的风险转移至甲方承担。</w:t>
      </w:r>
    </w:p>
    <w:p>
      <w:pPr>
        <w:pStyle w:val="null3"/>
        <w:ind w:firstLine="480"/>
        <w:jc w:val="both"/>
      </w:pPr>
      <w:r>
        <w:rPr>
          <w:rFonts w:ascii="calibri" w:hAnsi="calibri" w:cs="calibri" w:eastAsia="calibri"/>
          <w:sz w:val="24"/>
        </w:rPr>
        <w:t xml:space="preserve">3.4 </w:t>
      </w:r>
      <w:r>
        <w:rPr>
          <w:rFonts w:ascii="宋体" w:hAnsi="宋体" w:cs="宋体" w:eastAsia="宋体"/>
          <w:sz w:val="24"/>
        </w:rPr>
        <w:t>乙方应根据产品的属性，采用合理的包装及运输方式，因不当包装、运输问题等造成的损失由乙方承担。乙方将产品运输至交货地点的运费、</w:t>
      </w:r>
      <w:r>
        <w:rPr>
          <w:rFonts w:ascii="宋体" w:hAnsi="宋体" w:cs="宋体" w:eastAsia="宋体"/>
          <w:sz w:val="24"/>
        </w:rPr>
        <w:t>包装费、</w:t>
      </w:r>
      <w:r>
        <w:rPr>
          <w:rFonts w:ascii="宋体" w:hAnsi="宋体" w:cs="宋体" w:eastAsia="宋体"/>
          <w:sz w:val="24"/>
        </w:rPr>
        <w:t>保险、运输风险等由乙方承担。</w:t>
      </w:r>
    </w:p>
    <w:p>
      <w:pPr>
        <w:pStyle w:val="null3"/>
        <w:numPr>
          <w:ilvl w:val="0"/>
          <w:numId w:val="2"/>
        </w:numPr>
        <w:ind w:left="420"/>
        <w:jc w:val="left"/>
      </w:pPr>
      <w:r>
        <w:rPr>
          <w:rFonts w:ascii="宋体" w:hAnsi="宋体" w:cs="宋体" w:eastAsia="宋体"/>
          <w:sz w:val="24"/>
          <w:b/>
        </w:rPr>
        <w:t>验收</w:t>
      </w:r>
    </w:p>
    <w:p>
      <w:pPr>
        <w:pStyle w:val="null3"/>
        <w:ind w:firstLine="480"/>
        <w:jc w:val="both"/>
      </w:pPr>
      <w:r>
        <w:rPr>
          <w:rFonts w:ascii="calibri" w:hAnsi="calibri" w:cs="calibri" w:eastAsia="calibri"/>
          <w:sz w:val="24"/>
        </w:rPr>
        <w:t xml:space="preserve">4.1 </w:t>
      </w:r>
      <w:r>
        <w:rPr>
          <w:rFonts w:ascii="宋体" w:hAnsi="宋体" w:cs="宋体" w:eastAsia="宋体"/>
          <w:sz w:val="24"/>
        </w:rPr>
        <w:t>满足验收条件后，</w:t>
      </w:r>
      <w:r>
        <w:rPr>
          <w:rFonts w:ascii="宋体" w:hAnsi="宋体" w:cs="宋体" w:eastAsia="宋体"/>
          <w:sz w:val="24"/>
        </w:rPr>
        <w:t>甲方对产品进行验收</w:t>
      </w:r>
      <w:r>
        <w:rPr>
          <w:rFonts w:ascii="宋体" w:hAnsi="宋体" w:cs="宋体" w:eastAsia="宋体"/>
          <w:sz w:val="24"/>
        </w:rPr>
        <w:t>，</w:t>
      </w:r>
      <w:r>
        <w:rPr>
          <w:rFonts w:ascii="宋体" w:hAnsi="宋体" w:cs="宋体" w:eastAsia="宋体"/>
          <w:sz w:val="24"/>
        </w:rPr>
        <w:t>乙方配合验收。验收结果以甲方</w:t>
      </w:r>
      <w:r>
        <w:rPr>
          <w:rFonts w:ascii="宋体" w:hAnsi="宋体" w:cs="宋体" w:eastAsia="宋体"/>
          <w:sz w:val="24"/>
        </w:rPr>
        <w:t>意见</w:t>
      </w:r>
      <w:r>
        <w:rPr>
          <w:rFonts w:ascii="宋体" w:hAnsi="宋体" w:cs="宋体" w:eastAsia="宋体"/>
          <w:sz w:val="24"/>
        </w:rPr>
        <w:t>为准</w:t>
      </w:r>
      <w:r>
        <w:rPr>
          <w:rFonts w:ascii="宋体" w:hAnsi="宋体" w:cs="宋体" w:eastAsia="宋体"/>
          <w:sz w:val="24"/>
        </w:rPr>
        <w:t>。</w:t>
      </w:r>
      <w:r>
        <w:rPr>
          <w:rFonts w:ascii="宋体" w:hAnsi="宋体" w:cs="宋体" w:eastAsia="宋体"/>
          <w:sz w:val="24"/>
        </w:rPr>
        <w:t>甲方有权根据验收结果出具【验收报告】，乙方应在【</w:t>
      </w:r>
      <w:r>
        <w:rPr>
          <w:rFonts w:ascii="calibri" w:hAnsi="calibri" w:cs="calibri" w:eastAsia="calibri"/>
          <w:sz w:val="24"/>
        </w:rPr>
        <w:t>3</w:t>
      </w:r>
      <w:r>
        <w:rPr>
          <w:rFonts w:ascii="宋体" w:hAnsi="宋体" w:cs="宋体" w:eastAsia="宋体"/>
          <w:sz w:val="24"/>
        </w:rPr>
        <w:t>】个工作日内进行书面</w:t>
      </w:r>
      <w:r>
        <w:rPr>
          <w:rFonts w:ascii="宋体" w:hAnsi="宋体" w:cs="宋体" w:eastAsia="宋体"/>
          <w:sz w:val="24"/>
        </w:rPr>
        <w:t>认定</w:t>
      </w:r>
      <w:r>
        <w:rPr>
          <w:rFonts w:ascii="宋体" w:hAnsi="宋体" w:cs="宋体" w:eastAsia="宋体"/>
          <w:sz w:val="24"/>
        </w:rPr>
        <w:t>，乙方迟延或拒绝书面</w:t>
      </w:r>
      <w:r>
        <w:rPr>
          <w:rFonts w:ascii="宋体" w:hAnsi="宋体" w:cs="宋体" w:eastAsia="宋体"/>
          <w:sz w:val="24"/>
        </w:rPr>
        <w:t>认定</w:t>
      </w:r>
      <w:r>
        <w:rPr>
          <w:rFonts w:ascii="宋体" w:hAnsi="宋体" w:cs="宋体" w:eastAsia="宋体"/>
          <w:sz w:val="24"/>
        </w:rPr>
        <w:t>的，视为同意</w:t>
      </w:r>
      <w:r>
        <w:rPr>
          <w:rFonts w:ascii="宋体" w:hAnsi="宋体" w:cs="宋体" w:eastAsia="宋体"/>
          <w:sz w:val="24"/>
        </w:rPr>
        <w:t>。</w:t>
      </w:r>
    </w:p>
    <w:p>
      <w:pPr>
        <w:pStyle w:val="null3"/>
        <w:ind w:firstLine="480"/>
        <w:jc w:val="both"/>
      </w:pPr>
      <w:r>
        <w:rPr>
          <w:rFonts w:ascii="calibri" w:hAnsi="calibri" w:cs="calibri" w:eastAsia="calibri"/>
          <w:sz w:val="24"/>
        </w:rPr>
        <w:t xml:space="preserve">4.2 </w:t>
      </w:r>
      <w:r>
        <w:rPr>
          <w:rFonts w:ascii="宋体" w:hAnsi="宋体" w:cs="宋体" w:eastAsia="宋体"/>
          <w:sz w:val="24"/>
        </w:rPr>
        <w:t>本合同项下的验收包括：</w:t>
      </w:r>
    </w:p>
    <w:p>
      <w:pPr>
        <w:pStyle w:val="null3"/>
        <w:numPr>
          <w:ilvl w:val="0"/>
          <w:numId w:val="1"/>
        </w:numPr>
        <w:jc w:val="both"/>
      </w:pPr>
      <w:r>
        <w:rPr>
          <w:rFonts w:ascii="宋体" w:hAnsi="宋体" w:cs="宋体" w:eastAsia="宋体"/>
          <w:sz w:val="24"/>
        </w:rPr>
        <w:t>【</w:t>
      </w:r>
      <w:r>
        <w:rPr>
          <w:rFonts w:ascii="宋体" w:hAnsi="宋体" w:cs="宋体" w:eastAsia="宋体"/>
          <w:sz w:val="24"/>
        </w:rPr>
        <w:t>到货</w:t>
      </w:r>
      <w:r>
        <w:rPr>
          <w:rFonts w:ascii="宋体" w:hAnsi="宋体" w:cs="宋体" w:eastAsia="宋体"/>
          <w:sz w:val="24"/>
        </w:rPr>
        <w:t>】验收：【</w:t>
      </w:r>
      <w:r>
        <w:rPr>
          <w:rFonts w:ascii="宋体" w:hAnsi="宋体" w:cs="宋体" w:eastAsia="宋体"/>
          <w:sz w:val="24"/>
        </w:rPr>
        <w:t>设备到货且收到乙方纸质或邮件的验收申请后</w:t>
      </w:r>
      <w:r>
        <w:rPr>
          <w:rFonts w:ascii="calibri" w:hAnsi="calibri" w:cs="calibri" w:eastAsia="calibri"/>
          <w:sz w:val="24"/>
        </w:rPr>
        <w:t>20</w:t>
      </w:r>
      <w:r>
        <w:rPr>
          <w:rFonts w:ascii="宋体" w:hAnsi="宋体" w:cs="宋体" w:eastAsia="宋体"/>
          <w:sz w:val="24"/>
        </w:rPr>
        <w:t>个工作日内双方完成到货验收</w:t>
      </w:r>
      <w:r>
        <w:rPr>
          <w:rFonts w:ascii="宋体" w:hAnsi="宋体" w:cs="宋体" w:eastAsia="宋体"/>
          <w:sz w:val="24"/>
        </w:rPr>
        <w:t>】，甲方验收合格后出具【</w:t>
      </w:r>
      <w:r>
        <w:rPr>
          <w:rFonts w:ascii="宋体" w:hAnsi="宋体" w:cs="宋体" w:eastAsia="宋体"/>
          <w:sz w:val="24"/>
        </w:rPr>
        <w:t>验收报告</w:t>
      </w:r>
      <w:r>
        <w:rPr>
          <w:rFonts w:ascii="宋体" w:hAnsi="宋体" w:cs="宋体" w:eastAsia="宋体"/>
          <w:sz w:val="24"/>
        </w:rPr>
        <w:t>】</w:t>
      </w:r>
      <w:r>
        <w:rPr>
          <w:rFonts w:ascii="宋体" w:hAnsi="宋体" w:cs="宋体" w:eastAsia="宋体"/>
          <w:sz w:val="24"/>
        </w:rPr>
        <w:t>（</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乙方应提供如下验收证明材料：【《安装部署实施方案》、《应急处理方案》</w:t>
      </w:r>
      <w:r>
        <w:rPr>
          <w:rFonts w:ascii="宋体" w:hAnsi="宋体" w:cs="宋体" w:eastAsia="宋体"/>
          <w:sz w:val="24"/>
        </w:rPr>
        <w:t>】</w:t>
      </w:r>
      <w:r>
        <w:rPr>
          <w:rFonts w:ascii="宋体" w:hAnsi="宋体" w:cs="宋体" w:eastAsia="宋体"/>
          <w:sz w:val="24"/>
        </w:rPr>
        <w:t>。</w:t>
      </w:r>
    </w:p>
    <w:p>
      <w:pPr>
        <w:pStyle w:val="null3"/>
        <w:numPr>
          <w:ilvl w:val="0"/>
          <w:numId w:val="1"/>
        </w:numPr>
        <w:jc w:val="both"/>
      </w:pPr>
      <w:r>
        <w:rPr>
          <w:rFonts w:ascii="宋体" w:hAnsi="宋体" w:cs="宋体" w:eastAsia="宋体"/>
          <w:sz w:val="24"/>
        </w:rPr>
        <w:t>【</w:t>
      </w:r>
      <w:r>
        <w:rPr>
          <w:rFonts w:ascii="宋体" w:hAnsi="宋体" w:cs="宋体" w:eastAsia="宋体"/>
          <w:sz w:val="24"/>
        </w:rPr>
        <w:t>初验</w:t>
      </w:r>
      <w:r>
        <w:rPr>
          <w:rFonts w:ascii="宋体" w:hAnsi="宋体" w:cs="宋体" w:eastAsia="宋体"/>
          <w:sz w:val="24"/>
        </w:rPr>
        <w:t>】验收：【</w:t>
      </w:r>
      <w:r>
        <w:rPr>
          <w:rFonts w:ascii="宋体" w:hAnsi="宋体" w:cs="宋体" w:eastAsia="宋体"/>
          <w:sz w:val="24"/>
        </w:rPr>
        <w:t>产品完成安装调试且收到乙方纸质或邮件的验收申请后</w:t>
      </w:r>
      <w:r>
        <w:rPr>
          <w:rFonts w:ascii="calibri" w:hAnsi="calibri" w:cs="calibri" w:eastAsia="calibri"/>
          <w:sz w:val="24"/>
        </w:rPr>
        <w:t>20</w:t>
      </w:r>
      <w:r>
        <w:rPr>
          <w:rFonts w:ascii="宋体" w:hAnsi="宋体" w:cs="宋体" w:eastAsia="宋体"/>
          <w:sz w:val="24"/>
        </w:rPr>
        <w:t>个工作日内双方完成初步验收，其中无需安装设备在经过加电测试验证设备正常后，视为初步验收通过</w:t>
      </w:r>
      <w:r>
        <w:rPr>
          <w:rFonts w:ascii="宋体" w:hAnsi="宋体" w:cs="宋体" w:eastAsia="宋体"/>
          <w:sz w:val="24"/>
        </w:rPr>
        <w:t>】，甲方验收合格后出具【</w:t>
      </w:r>
      <w:r>
        <w:rPr>
          <w:rFonts w:ascii="宋体" w:hAnsi="宋体" w:cs="宋体" w:eastAsia="宋体"/>
          <w:sz w:val="24"/>
        </w:rPr>
        <w:t>验收报告</w:t>
      </w:r>
      <w:r>
        <w:rPr>
          <w:rFonts w:ascii="宋体" w:hAnsi="宋体" w:cs="宋体" w:eastAsia="宋体"/>
          <w:sz w:val="24"/>
        </w:rPr>
        <w:t>】</w:t>
      </w:r>
      <w:r>
        <w:rPr>
          <w:rFonts w:ascii="宋体" w:hAnsi="宋体" w:cs="宋体" w:eastAsia="宋体"/>
          <w:sz w:val="24"/>
        </w:rPr>
        <w:t>（</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乙方应提供如下验收证明材料：【《安装部署实施报告》】</w:t>
      </w:r>
      <w:r>
        <w:rPr>
          <w:rFonts w:ascii="宋体" w:hAnsi="宋体" w:cs="宋体" w:eastAsia="宋体"/>
          <w:sz w:val="24"/>
        </w:rPr>
        <w:t>。</w:t>
      </w:r>
    </w:p>
    <w:p>
      <w:pPr>
        <w:pStyle w:val="null3"/>
        <w:numPr>
          <w:ilvl w:val="0"/>
          <w:numId w:val="1"/>
        </w:numPr>
        <w:jc w:val="both"/>
      </w:pPr>
      <w:r>
        <w:rPr>
          <w:rFonts w:ascii="宋体" w:hAnsi="宋体" w:cs="宋体" w:eastAsia="宋体"/>
          <w:sz w:val="24"/>
        </w:rPr>
        <w:t>【</w:t>
      </w:r>
      <w:r>
        <w:rPr>
          <w:rFonts w:ascii="宋体" w:hAnsi="宋体" w:cs="宋体" w:eastAsia="宋体"/>
          <w:sz w:val="24"/>
        </w:rPr>
        <w:t>终验</w:t>
      </w:r>
      <w:r>
        <w:rPr>
          <w:rFonts w:ascii="宋体" w:hAnsi="宋体" w:cs="宋体" w:eastAsia="宋体"/>
          <w:sz w:val="24"/>
        </w:rPr>
        <w:t>】验</w:t>
      </w:r>
      <w:r>
        <w:rPr>
          <w:rFonts w:ascii="宋体" w:hAnsi="宋体" w:cs="宋体" w:eastAsia="宋体"/>
          <w:sz w:val="24"/>
        </w:rPr>
        <w:t>收：【产品试运行期三个月后（自初步验收完成次日起计算），且收到乙方纸质或邮件的验收申请后</w:t>
      </w:r>
      <w:r>
        <w:rPr>
          <w:rFonts w:ascii="calibri" w:hAnsi="calibri" w:cs="calibri" w:eastAsia="calibri"/>
          <w:sz w:val="24"/>
        </w:rPr>
        <w:t>20</w:t>
      </w:r>
      <w:r>
        <w:rPr>
          <w:rFonts w:ascii="宋体" w:hAnsi="宋体" w:cs="宋体" w:eastAsia="宋体"/>
          <w:sz w:val="24"/>
        </w:rPr>
        <w:t>个工作日内双方完成最终验收。如试运行期间已安装设备运行一切正常，无需安装设备终验时间即为安装设备通过终验之时。如试运行期间已安装设备出现故障，则需在已安装设备终验时对无需安装设备再次进行加电测试，测试无问题后，则视为终验通过】</w:t>
      </w:r>
      <w:r>
        <w:rPr>
          <w:rFonts w:ascii="宋体" w:hAnsi="宋体" w:cs="宋体" w:eastAsia="宋体"/>
          <w:sz w:val="24"/>
        </w:rPr>
        <w:t>，甲方验收合格后出具【</w:t>
      </w:r>
      <w:r>
        <w:rPr>
          <w:rFonts w:ascii="宋体" w:hAnsi="宋体" w:cs="宋体" w:eastAsia="宋体"/>
          <w:sz w:val="24"/>
        </w:rPr>
        <w:t>验收报告</w:t>
      </w:r>
      <w:r>
        <w:rPr>
          <w:rFonts w:ascii="宋体" w:hAnsi="宋体" w:cs="宋体" w:eastAsia="宋体"/>
          <w:sz w:val="24"/>
        </w:rPr>
        <w:t>】</w:t>
      </w:r>
      <w:r>
        <w:rPr>
          <w:rFonts w:ascii="宋体" w:hAnsi="宋体" w:cs="宋体" w:eastAsia="宋体"/>
          <w:sz w:val="24"/>
        </w:rPr>
        <w:t>（</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乙方应提供如下验收证明材料：【《终验服务总结报告》】</w:t>
      </w:r>
      <w:r>
        <w:rPr>
          <w:rFonts w:ascii="宋体" w:hAnsi="宋体" w:cs="宋体" w:eastAsia="宋体"/>
          <w:sz w:val="24"/>
        </w:rPr>
        <w:t>。</w:t>
      </w:r>
    </w:p>
    <w:p>
      <w:pPr>
        <w:pStyle w:val="null3"/>
        <w:numPr>
          <w:ilvl w:val="0"/>
          <w:numId w:val="1"/>
        </w:numPr>
        <w:jc w:val="both"/>
      </w:pPr>
      <w:r>
        <w:rPr>
          <w:rFonts w:ascii="宋体" w:hAnsi="宋体" w:cs="宋体" w:eastAsia="宋体"/>
          <w:sz w:val="24"/>
        </w:rPr>
        <w:t>【</w:t>
      </w:r>
      <w:r>
        <w:rPr>
          <w:rFonts w:ascii="宋体" w:hAnsi="宋体" w:cs="宋体" w:eastAsia="宋体"/>
          <w:sz w:val="24"/>
        </w:rPr>
        <w:t>维保</w:t>
      </w:r>
      <w:r>
        <w:rPr>
          <w:rFonts w:ascii="宋体" w:hAnsi="宋体" w:cs="宋体" w:eastAsia="宋体"/>
          <w:sz w:val="24"/>
        </w:rPr>
        <w:t>】验</w:t>
      </w:r>
      <w:r>
        <w:rPr>
          <w:rFonts w:ascii="宋体" w:hAnsi="宋体" w:cs="宋体" w:eastAsia="宋体"/>
          <w:sz w:val="24"/>
        </w:rPr>
        <w:t>收：【在维保服务期结束后，且收到乙方纸质或邮件的验收申请后</w:t>
      </w:r>
      <w:r>
        <w:rPr>
          <w:rFonts w:ascii="calibri" w:hAnsi="calibri" w:cs="calibri" w:eastAsia="calibri"/>
          <w:sz w:val="24"/>
        </w:rPr>
        <w:t>20</w:t>
      </w:r>
      <w:r>
        <w:rPr>
          <w:rFonts w:ascii="宋体" w:hAnsi="宋体" w:cs="宋体" w:eastAsia="宋体"/>
          <w:sz w:val="24"/>
        </w:rPr>
        <w:t>个工作日内采购人对当期的服务质量完成验收】</w:t>
      </w:r>
      <w:r>
        <w:rPr>
          <w:rFonts w:ascii="宋体" w:hAnsi="宋体" w:cs="宋体" w:eastAsia="宋体"/>
          <w:sz w:val="24"/>
        </w:rPr>
        <w:t>，甲方验收合格后出具【</w:t>
      </w:r>
      <w:r>
        <w:rPr>
          <w:rFonts w:ascii="宋体" w:hAnsi="宋体" w:cs="宋体" w:eastAsia="宋体"/>
          <w:sz w:val="24"/>
        </w:rPr>
        <w:t>验收报告</w:t>
      </w:r>
      <w:r>
        <w:rPr>
          <w:rFonts w:ascii="宋体" w:hAnsi="宋体" w:cs="宋体" w:eastAsia="宋体"/>
          <w:sz w:val="24"/>
        </w:rPr>
        <w:t>】</w:t>
      </w:r>
      <w:r>
        <w:rPr>
          <w:rFonts w:ascii="宋体" w:hAnsi="宋体" w:cs="宋体" w:eastAsia="宋体"/>
          <w:sz w:val="24"/>
        </w:rPr>
        <w:t>（</w:t>
      </w:r>
      <w:r>
        <w:rPr>
          <w:rFonts w:ascii="宋体" w:hAnsi="宋体" w:cs="宋体" w:eastAsia="宋体"/>
          <w:sz w:val="24"/>
        </w:rPr>
        <w:t>见附件</w:t>
      </w:r>
      <w:r>
        <w:rPr>
          <w:rFonts w:ascii="宋体" w:hAnsi="宋体" w:cs="宋体" w:eastAsia="宋体"/>
          <w:sz w:val="24"/>
        </w:rPr>
        <w:t>【】《</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w:t>
      </w:r>
      <w:r>
        <w:rPr>
          <w:rFonts w:ascii="宋体" w:hAnsi="宋体" w:cs="宋体" w:eastAsia="宋体"/>
          <w:sz w:val="24"/>
        </w:rPr>
        <w:t>。</w:t>
      </w:r>
      <w:r>
        <w:rPr>
          <w:rFonts w:ascii="宋体" w:hAnsi="宋体" w:cs="宋体" w:eastAsia="宋体"/>
          <w:sz w:val="24"/>
        </w:rPr>
        <w:t>乙方应提供如下验收证明材料：【《维保启动函》、《维保实施方案》、《服务总结报告》、《微码</w:t>
      </w:r>
      <w:r>
        <w:rPr>
          <w:rFonts w:ascii="calibri" w:hAnsi="calibri" w:cs="calibri" w:eastAsia="calibri"/>
          <w:sz w:val="24"/>
        </w:rPr>
        <w:t>/</w:t>
      </w:r>
      <w:r>
        <w:rPr>
          <w:rFonts w:ascii="宋体" w:hAnsi="宋体" w:cs="宋体" w:eastAsia="宋体"/>
          <w:sz w:val="24"/>
        </w:rPr>
        <w:t>固件审计评估报告》】</w:t>
      </w:r>
      <w:r>
        <w:rPr>
          <w:rFonts w:ascii="宋体" w:hAnsi="宋体" w:cs="宋体" w:eastAsia="宋体"/>
          <w:sz w:val="24"/>
        </w:rPr>
        <w:t>。</w:t>
      </w:r>
    </w:p>
    <w:p>
      <w:pPr>
        <w:pStyle w:val="null3"/>
        <w:ind w:right="-15" w:firstLine="420"/>
        <w:jc w:val="both"/>
      </w:pPr>
      <w:r>
        <w:rPr>
          <w:rFonts w:ascii="calibri" w:hAnsi="calibri" w:cs="calibri" w:eastAsia="calibri"/>
          <w:sz w:val="24"/>
        </w:rPr>
        <w:t xml:space="preserve">4.3 </w:t>
      </w:r>
      <w:r>
        <w:rPr>
          <w:rFonts w:ascii="宋体" w:hAnsi="宋体" w:cs="宋体" w:eastAsia="宋体"/>
          <w:sz w:val="24"/>
        </w:rPr>
        <w:t>如果产品中的任何部分不能满足本合同约定而不能通过</w:t>
      </w:r>
      <w:r>
        <w:rPr>
          <w:rFonts w:ascii="宋体" w:hAnsi="宋体" w:cs="宋体" w:eastAsia="宋体"/>
          <w:sz w:val="24"/>
        </w:rPr>
        <w:t>相应的验收</w:t>
      </w:r>
      <w:r>
        <w:rPr>
          <w:rFonts w:ascii="宋体" w:hAnsi="宋体" w:cs="宋体" w:eastAsia="宋体"/>
          <w:sz w:val="24"/>
        </w:rPr>
        <w:t>，乙方将采取一切补救措施以使验收能够在甲方</w:t>
      </w:r>
      <w:r>
        <w:rPr>
          <w:rFonts w:ascii="宋体" w:hAnsi="宋体" w:cs="宋体" w:eastAsia="宋体"/>
          <w:sz w:val="24"/>
        </w:rPr>
        <w:t>指定</w:t>
      </w:r>
      <w:r>
        <w:rPr>
          <w:rFonts w:ascii="宋体" w:hAnsi="宋体" w:cs="宋体" w:eastAsia="宋体"/>
          <w:sz w:val="24"/>
        </w:rPr>
        <w:t>的期限内</w:t>
      </w:r>
      <w:r>
        <w:rPr>
          <w:rFonts w:ascii="宋体" w:hAnsi="宋体" w:cs="宋体" w:eastAsia="宋体"/>
          <w:sz w:val="24"/>
        </w:rPr>
        <w:t>完成</w:t>
      </w:r>
      <w:r>
        <w:rPr>
          <w:rFonts w:ascii="宋体" w:hAnsi="宋体" w:cs="宋体" w:eastAsia="宋体"/>
          <w:sz w:val="24"/>
        </w:rPr>
        <w:t>，</w:t>
      </w:r>
      <w:r>
        <w:rPr>
          <w:rFonts w:ascii="宋体" w:hAnsi="宋体" w:cs="宋体" w:eastAsia="宋体"/>
          <w:sz w:val="24"/>
        </w:rPr>
        <w:t>因此而产生的费用（如产品的更换、运输、</w:t>
      </w:r>
      <w:r>
        <w:rPr>
          <w:rFonts w:ascii="宋体" w:hAnsi="宋体" w:cs="宋体" w:eastAsia="宋体"/>
          <w:sz w:val="24"/>
        </w:rPr>
        <w:t>再次验收</w:t>
      </w:r>
      <w:r>
        <w:rPr>
          <w:rFonts w:ascii="宋体" w:hAnsi="宋体" w:cs="宋体" w:eastAsia="宋体"/>
          <w:sz w:val="24"/>
        </w:rPr>
        <w:t>费用等）</w:t>
      </w:r>
      <w:r>
        <w:rPr>
          <w:rFonts w:ascii="宋体" w:hAnsi="宋体" w:cs="宋体" w:eastAsia="宋体"/>
          <w:sz w:val="24"/>
        </w:rPr>
        <w:t>由乙方</w:t>
      </w:r>
      <w:r>
        <w:rPr>
          <w:rFonts w:ascii="宋体" w:hAnsi="宋体" w:cs="宋体" w:eastAsia="宋体"/>
          <w:sz w:val="24"/>
        </w:rPr>
        <w:t>承担</w:t>
      </w:r>
      <w:r>
        <w:rPr>
          <w:rFonts w:ascii="宋体" w:hAnsi="宋体" w:cs="宋体" w:eastAsia="宋体"/>
          <w:sz w:val="24"/>
        </w:rPr>
        <w:t>。</w:t>
      </w:r>
    </w:p>
    <w:p>
      <w:pPr>
        <w:pStyle w:val="null3"/>
        <w:ind w:firstLine="480"/>
        <w:jc w:val="both"/>
      </w:pPr>
      <w:r>
        <w:rPr>
          <w:rFonts w:ascii="calibri" w:hAnsi="calibri" w:cs="calibri" w:eastAsia="calibri"/>
          <w:sz w:val="24"/>
        </w:rPr>
        <w:t xml:space="preserve">4.4 </w:t>
      </w:r>
      <w:r>
        <w:rPr>
          <w:rFonts w:ascii="宋体" w:hAnsi="宋体" w:cs="宋体" w:eastAsia="宋体"/>
          <w:sz w:val="24"/>
        </w:rPr>
        <w:t>验收合格并不免除乙方的责任，即</w:t>
      </w:r>
      <w:r>
        <w:rPr>
          <w:rFonts w:ascii="宋体" w:hAnsi="宋体" w:cs="宋体" w:eastAsia="宋体"/>
          <w:sz w:val="24"/>
        </w:rPr>
        <w:t>若乙方提供的产品或服务不符合合同约定</w:t>
      </w:r>
      <w:r>
        <w:rPr>
          <w:rFonts w:ascii="宋体" w:hAnsi="宋体" w:cs="宋体" w:eastAsia="宋体"/>
          <w:sz w:val="24"/>
        </w:rPr>
        <w:t>，甲方仍可以根据合同</w:t>
      </w:r>
      <w:r>
        <w:rPr>
          <w:rFonts w:ascii="宋体" w:hAnsi="宋体" w:cs="宋体" w:eastAsia="宋体"/>
          <w:sz w:val="24"/>
        </w:rPr>
        <w:t>要求乙方承担违约责任</w:t>
      </w:r>
      <w:r>
        <w:rPr>
          <w:rFonts w:ascii="宋体" w:hAnsi="宋体" w:cs="宋体" w:eastAsia="宋体"/>
          <w:sz w:val="24"/>
        </w:rPr>
        <w:t>。</w:t>
      </w:r>
    </w:p>
    <w:p>
      <w:pPr>
        <w:pStyle w:val="null3"/>
        <w:numPr>
          <w:ilvl w:val="0"/>
          <w:numId w:val="2"/>
        </w:numPr>
        <w:ind w:right="-15"/>
        <w:jc w:val="both"/>
      </w:pPr>
      <w:r>
        <w:rPr>
          <w:rFonts w:ascii="宋体" w:hAnsi="宋体" w:cs="宋体" w:eastAsia="宋体"/>
          <w:sz w:val="24"/>
          <w:b/>
        </w:rPr>
        <w:t>付款</w:t>
      </w:r>
    </w:p>
    <w:p>
      <w:pPr>
        <w:pStyle w:val="null3"/>
        <w:ind w:firstLine="480"/>
        <w:jc w:val="both"/>
      </w:pPr>
      <w:r>
        <w:rPr>
          <w:rFonts w:ascii="calibri" w:hAnsi="calibri" w:cs="calibri" w:eastAsia="calibri"/>
          <w:sz w:val="24"/>
        </w:rPr>
        <w:t>5</w:t>
      </w:r>
      <w:r>
        <w:rPr>
          <w:rFonts w:ascii="calibri" w:hAnsi="calibri" w:cs="calibri" w:eastAsia="calibri"/>
          <w:sz w:val="24"/>
        </w:rPr>
        <w:t xml:space="preserve">.1 </w:t>
      </w:r>
      <w:r>
        <w:rPr>
          <w:rFonts w:ascii="宋体" w:hAnsi="宋体" w:cs="宋体" w:eastAsia="宋体"/>
          <w:sz w:val="24"/>
        </w:rPr>
        <w:t>甲方按以下方式付款：</w:t>
      </w:r>
    </w:p>
    <w:p>
      <w:pPr>
        <w:pStyle w:val="null3"/>
        <w:ind w:firstLine="420"/>
        <w:jc w:val="both"/>
      </w:pPr>
      <w:r>
        <w:rPr>
          <w:rFonts w:ascii="宋体" w:hAnsi="宋体" w:cs="宋体" w:eastAsia="宋体"/>
          <w:sz w:val="24"/>
        </w:rPr>
        <w:t>合同总金额为人民币【】元</w:t>
      </w:r>
      <w:r>
        <w:rPr>
          <w:rFonts w:ascii="宋体" w:hAnsi="宋体" w:cs="宋体" w:eastAsia="宋体"/>
          <w:sz w:val="24"/>
        </w:rPr>
        <w:t>整</w:t>
      </w:r>
      <w:r>
        <w:rPr>
          <w:rFonts w:ascii="宋体" w:hAnsi="宋体" w:cs="宋体" w:eastAsia="宋体"/>
          <w:sz w:val="24"/>
        </w:rPr>
        <w:t>（</w:t>
      </w:r>
      <w:r>
        <w:rPr>
          <w:rFonts w:ascii="宋体" w:hAnsi="宋体" w:cs="宋体" w:eastAsia="宋体"/>
          <w:sz w:val="24"/>
        </w:rPr>
        <w:t>含税</w:t>
      </w:r>
      <w:r>
        <w:rPr>
          <w:rFonts w:ascii="宋体" w:hAnsi="宋体" w:cs="宋体" w:eastAsia="宋体"/>
          <w:sz w:val="24"/>
        </w:rPr>
        <w:t>），</w:t>
      </w:r>
      <w:r>
        <w:rPr>
          <w:rFonts w:ascii="宋体" w:hAnsi="宋体" w:cs="宋体" w:eastAsia="宋体"/>
          <w:sz w:val="24"/>
        </w:rPr>
        <w:t>大写</w:t>
      </w:r>
      <w:r>
        <w:rPr>
          <w:rFonts w:ascii="宋体" w:hAnsi="宋体" w:cs="宋体" w:eastAsia="宋体"/>
          <w:sz w:val="24"/>
        </w:rPr>
        <w:t>【】</w:t>
      </w:r>
      <w:r>
        <w:rPr>
          <w:rFonts w:ascii="宋体" w:hAnsi="宋体" w:cs="宋体" w:eastAsia="宋体"/>
          <w:sz w:val="24"/>
        </w:rPr>
        <w:t>。</w:t>
      </w:r>
      <w:r>
        <w:rPr>
          <w:rFonts w:ascii="宋体" w:hAnsi="宋体" w:cs="宋体" w:eastAsia="宋体"/>
          <w:sz w:val="24"/>
        </w:rPr>
        <w:t>不含税总金额【】</w:t>
      </w:r>
      <w:r>
        <w:rPr>
          <w:rFonts w:ascii="宋体" w:hAnsi="宋体" w:cs="宋体" w:eastAsia="宋体"/>
          <w:sz w:val="24"/>
        </w:rPr>
        <w:t>元</w:t>
      </w:r>
      <w:r>
        <w:rPr>
          <w:rFonts w:ascii="宋体" w:hAnsi="宋体" w:cs="宋体" w:eastAsia="宋体"/>
          <w:sz w:val="24"/>
        </w:rPr>
        <w:t>，税额【】</w:t>
      </w:r>
      <w:r>
        <w:rPr>
          <w:rFonts w:ascii="宋体" w:hAnsi="宋体" w:cs="宋体" w:eastAsia="宋体"/>
          <w:sz w:val="24"/>
        </w:rPr>
        <w:t>元。</w:t>
      </w:r>
      <w:r>
        <w:rPr>
          <w:rFonts w:ascii="宋体" w:hAnsi="宋体" w:cs="宋体" w:eastAsia="宋体"/>
          <w:sz w:val="24"/>
        </w:rPr>
        <w:t>甲方按下述比例支付：</w:t>
      </w:r>
    </w:p>
    <w:p>
      <w:pPr>
        <w:pStyle w:val="null3"/>
        <w:ind w:firstLine="480"/>
        <w:jc w:val="both"/>
      </w:pPr>
      <w:r>
        <w:rPr>
          <w:rFonts w:ascii="calibri" w:hAnsi="calibri" w:cs="calibri" w:eastAsia="calibri"/>
          <w:sz w:val="24"/>
        </w:rPr>
        <w:t>①</w:t>
      </w:r>
      <w:r>
        <w:rPr>
          <w:rFonts w:ascii="宋体" w:hAnsi="宋体" w:cs="宋体" w:eastAsia="宋体"/>
          <w:sz w:val="24"/>
        </w:rPr>
        <w:t>第一期，甲方向乙方</w:t>
      </w:r>
      <w:r>
        <w:rPr>
          <w:rFonts w:ascii="宋体" w:hAnsi="宋体" w:cs="宋体" w:eastAsia="宋体"/>
          <w:sz w:val="24"/>
        </w:rPr>
        <w:t>支付当期批次货物合同金额的【</w:t>
      </w:r>
      <w:r>
        <w:rPr>
          <w:rFonts w:ascii="calibri" w:hAnsi="calibri" w:cs="calibri" w:eastAsia="calibri"/>
          <w:sz w:val="24"/>
        </w:rPr>
        <w:t>70</w:t>
      </w:r>
      <w:r>
        <w:rPr>
          <w:rFonts w:ascii="宋体" w:hAnsi="宋体" w:cs="宋体" w:eastAsia="宋体"/>
          <w:sz w:val="24"/>
        </w:rPr>
        <w:t>】</w:t>
      </w:r>
      <w:r>
        <w:rPr>
          <w:rFonts w:ascii="calibri" w:hAnsi="calibri" w:cs="calibri" w:eastAsia="calibri"/>
          <w:sz w:val="24"/>
        </w:rPr>
        <w:t>%</w:t>
      </w:r>
      <w:r>
        <w:rPr>
          <w:rFonts w:ascii="宋体" w:hAnsi="宋体" w:cs="宋体" w:eastAsia="宋体"/>
          <w:sz w:val="24"/>
        </w:rPr>
        <w:t>，即人民币【】元（大写：人民币【】）</w:t>
      </w:r>
      <w:r>
        <w:rPr>
          <w:rFonts w:ascii="宋体" w:hAnsi="宋体" w:cs="宋体" w:eastAsia="宋体"/>
          <w:sz w:val="24"/>
        </w:rPr>
        <w:t>。</w:t>
      </w:r>
      <w:r>
        <w:rPr>
          <w:rFonts w:ascii="宋体" w:hAnsi="宋体" w:cs="宋体" w:eastAsia="宋体"/>
          <w:sz w:val="24"/>
        </w:rPr>
        <w:t>支付</w:t>
      </w:r>
      <w:r>
        <w:rPr>
          <w:rFonts w:ascii="宋体" w:hAnsi="宋体" w:cs="宋体" w:eastAsia="宋体"/>
          <w:sz w:val="24"/>
        </w:rPr>
        <w:t>条件：【</w:t>
      </w:r>
      <w:r>
        <w:rPr>
          <w:rFonts w:ascii="宋体" w:hAnsi="宋体" w:cs="宋体" w:eastAsia="宋体"/>
          <w:sz w:val="24"/>
        </w:rPr>
        <w:t>到货验收经采购人验收通过，出具生效的</w:t>
      </w:r>
      <w:r>
        <w:rPr>
          <w:rFonts w:ascii="宋体" w:hAnsi="宋体" w:cs="宋体" w:eastAsia="宋体"/>
          <w:sz w:val="24"/>
        </w:rPr>
        <w:t>验收报告</w:t>
      </w:r>
      <w:r>
        <w:rPr>
          <w:rFonts w:ascii="宋体" w:hAnsi="宋体" w:cs="宋体" w:eastAsia="宋体"/>
          <w:sz w:val="24"/>
        </w:rPr>
        <w:t>，收到供应商提供的当期批次货物总金额的增值税专用发票，且付款材料经审核齐备后</w:t>
      </w:r>
      <w:r>
        <w:rPr>
          <w:rFonts w:ascii="calibri" w:hAnsi="calibri" w:cs="calibri" w:eastAsia="calibri"/>
          <w:sz w:val="24"/>
        </w:rPr>
        <w:t>10</w:t>
      </w:r>
      <w:r>
        <w:rPr>
          <w:rFonts w:ascii="宋体" w:hAnsi="宋体" w:cs="宋体" w:eastAsia="宋体"/>
          <w:sz w:val="24"/>
        </w:rPr>
        <w:t>个工作日内</w:t>
      </w:r>
      <w:r>
        <w:rPr>
          <w:rFonts w:ascii="宋体" w:hAnsi="宋体" w:cs="宋体" w:eastAsia="宋体"/>
          <w:sz w:val="24"/>
        </w:rPr>
        <w:t>支付</w:t>
      </w:r>
      <w:r>
        <w:rPr>
          <w:rFonts w:ascii="宋体" w:hAnsi="宋体" w:cs="宋体" w:eastAsia="宋体"/>
          <w:sz w:val="24"/>
        </w:rPr>
        <w:t>】</w:t>
      </w:r>
      <w:r>
        <w:rPr>
          <w:rFonts w:ascii="宋体" w:hAnsi="宋体" w:cs="宋体" w:eastAsia="宋体"/>
          <w:sz w:val="24"/>
        </w:rPr>
        <w:t>。</w:t>
      </w:r>
    </w:p>
    <w:p>
      <w:pPr>
        <w:pStyle w:val="null3"/>
        <w:ind w:firstLine="480"/>
        <w:jc w:val="both"/>
      </w:pPr>
      <w:r>
        <w:rPr>
          <w:rFonts w:ascii="calibri" w:hAnsi="calibri" w:cs="calibri" w:eastAsia="calibri"/>
          <w:sz w:val="24"/>
        </w:rPr>
        <w:t>②</w:t>
      </w:r>
      <w:r>
        <w:rPr>
          <w:rFonts w:ascii="宋体" w:hAnsi="宋体" w:cs="宋体" w:eastAsia="宋体"/>
          <w:sz w:val="24"/>
        </w:rPr>
        <w:t>第二期，甲方向乙方</w:t>
      </w:r>
      <w:r>
        <w:rPr>
          <w:rFonts w:ascii="宋体" w:hAnsi="宋体" w:cs="宋体" w:eastAsia="宋体"/>
          <w:sz w:val="24"/>
        </w:rPr>
        <w:t>支付当期批次货物合同金额的【</w:t>
      </w:r>
      <w:r>
        <w:rPr>
          <w:rFonts w:ascii="calibri" w:hAnsi="calibri" w:cs="calibri" w:eastAsia="calibri"/>
          <w:sz w:val="24"/>
        </w:rPr>
        <w:t>28</w:t>
      </w:r>
      <w:r>
        <w:rPr>
          <w:rFonts w:ascii="宋体" w:hAnsi="宋体" w:cs="宋体" w:eastAsia="宋体"/>
          <w:sz w:val="24"/>
        </w:rPr>
        <w:t>】</w:t>
      </w:r>
      <w:r>
        <w:rPr>
          <w:rFonts w:ascii="calibri" w:hAnsi="calibri" w:cs="calibri" w:eastAsia="calibri"/>
          <w:sz w:val="24"/>
        </w:rPr>
        <w:t>%</w:t>
      </w:r>
      <w:r>
        <w:rPr>
          <w:rFonts w:ascii="宋体" w:hAnsi="宋体" w:cs="宋体" w:eastAsia="宋体"/>
          <w:sz w:val="24"/>
        </w:rPr>
        <w:t>，</w:t>
      </w:r>
      <w:r>
        <w:rPr>
          <w:rFonts w:ascii="宋体" w:hAnsi="宋体" w:cs="宋体" w:eastAsia="宋体"/>
          <w:sz w:val="24"/>
        </w:rPr>
        <w:t>即人民币【】元（大写：人民币【】）</w:t>
      </w:r>
      <w:r>
        <w:rPr>
          <w:rFonts w:ascii="宋体" w:hAnsi="宋体" w:cs="宋体" w:eastAsia="宋体"/>
          <w:sz w:val="24"/>
        </w:rPr>
        <w:t>。</w:t>
      </w:r>
      <w:r>
        <w:rPr>
          <w:rFonts w:ascii="宋体" w:hAnsi="宋体" w:cs="宋体" w:eastAsia="宋体"/>
          <w:sz w:val="24"/>
        </w:rPr>
        <w:t>支付</w:t>
      </w:r>
      <w:r>
        <w:rPr>
          <w:rFonts w:ascii="宋体" w:hAnsi="宋体" w:cs="宋体" w:eastAsia="宋体"/>
          <w:sz w:val="24"/>
        </w:rPr>
        <w:t>条件：【最终验收经采购人验收通过，出具生效的</w:t>
      </w:r>
      <w:r>
        <w:rPr>
          <w:rFonts w:ascii="宋体" w:hAnsi="宋体" w:cs="宋体" w:eastAsia="宋体"/>
          <w:sz w:val="24"/>
        </w:rPr>
        <w:t>验收报告</w:t>
      </w:r>
      <w:r>
        <w:rPr>
          <w:rFonts w:ascii="宋体" w:hAnsi="宋体" w:cs="宋体" w:eastAsia="宋体"/>
          <w:sz w:val="24"/>
        </w:rPr>
        <w:t>，且付款材料经审核齐备后</w:t>
      </w:r>
      <w:r>
        <w:rPr>
          <w:rFonts w:ascii="calibri" w:hAnsi="calibri" w:cs="calibri" w:eastAsia="calibri"/>
          <w:sz w:val="24"/>
        </w:rPr>
        <w:t>10</w:t>
      </w:r>
      <w:r>
        <w:rPr>
          <w:rFonts w:ascii="宋体" w:hAnsi="宋体" w:cs="宋体" w:eastAsia="宋体"/>
          <w:sz w:val="24"/>
        </w:rPr>
        <w:t>个工作日内</w:t>
      </w:r>
      <w:r>
        <w:rPr>
          <w:rFonts w:ascii="宋体" w:hAnsi="宋体" w:cs="宋体" w:eastAsia="宋体"/>
          <w:sz w:val="24"/>
        </w:rPr>
        <w:t>支付</w:t>
      </w:r>
      <w:r>
        <w:rPr>
          <w:rFonts w:ascii="宋体" w:hAnsi="宋体" w:cs="宋体" w:eastAsia="宋体"/>
          <w:sz w:val="24"/>
        </w:rPr>
        <w:t>】</w:t>
      </w:r>
      <w:r>
        <w:rPr>
          <w:rFonts w:ascii="宋体" w:hAnsi="宋体" w:cs="宋体" w:eastAsia="宋体"/>
          <w:sz w:val="24"/>
        </w:rPr>
        <w:t>。</w:t>
      </w:r>
    </w:p>
    <w:p>
      <w:pPr>
        <w:pStyle w:val="null3"/>
        <w:ind w:firstLine="420"/>
        <w:jc w:val="both"/>
      </w:pPr>
      <w:r>
        <w:rPr>
          <w:rFonts w:ascii="calibri" w:hAnsi="calibri" w:cs="calibri" w:eastAsia="calibri"/>
          <w:sz w:val="24"/>
        </w:rPr>
        <w:t>③</w:t>
      </w:r>
      <w:r>
        <w:rPr>
          <w:rFonts w:ascii="宋体" w:hAnsi="宋体" w:cs="宋体" w:eastAsia="宋体"/>
          <w:sz w:val="24"/>
        </w:rPr>
        <w:t>第三期，</w:t>
      </w:r>
      <w:r>
        <w:rPr>
          <w:rFonts w:ascii="宋体" w:hAnsi="宋体" w:cs="宋体" w:eastAsia="宋体"/>
          <w:sz w:val="24"/>
        </w:rPr>
        <w:t>甲方向乙方</w:t>
      </w:r>
      <w:r>
        <w:rPr>
          <w:rFonts w:ascii="宋体" w:hAnsi="宋体" w:cs="宋体" w:eastAsia="宋体"/>
          <w:sz w:val="24"/>
        </w:rPr>
        <w:t>支付当期批次货物合同金额的【</w:t>
      </w:r>
      <w:r>
        <w:rPr>
          <w:rFonts w:ascii="calibri" w:hAnsi="calibri" w:cs="calibri" w:eastAsia="calibri"/>
          <w:sz w:val="24"/>
        </w:rPr>
        <w:t>2</w:t>
      </w:r>
      <w:r>
        <w:rPr>
          <w:rFonts w:ascii="宋体" w:hAnsi="宋体" w:cs="宋体" w:eastAsia="宋体"/>
          <w:sz w:val="24"/>
        </w:rPr>
        <w:t>】</w:t>
      </w:r>
      <w:r>
        <w:rPr>
          <w:rFonts w:ascii="calibri" w:hAnsi="calibri" w:cs="calibri" w:eastAsia="calibri"/>
          <w:sz w:val="24"/>
        </w:rPr>
        <w:t>%</w:t>
      </w:r>
      <w:r>
        <w:rPr>
          <w:rFonts w:ascii="宋体" w:hAnsi="宋体" w:cs="宋体" w:eastAsia="宋体"/>
          <w:sz w:val="24"/>
        </w:rPr>
        <w:t>，</w:t>
      </w:r>
      <w:r>
        <w:rPr>
          <w:rFonts w:ascii="宋体" w:hAnsi="宋体" w:cs="宋体" w:eastAsia="宋体"/>
          <w:sz w:val="24"/>
        </w:rPr>
        <w:t>即人民币【】元（大写：人民币【】）</w:t>
      </w:r>
      <w:r>
        <w:rPr>
          <w:rFonts w:ascii="宋体" w:hAnsi="宋体" w:cs="宋体" w:eastAsia="宋体"/>
          <w:sz w:val="24"/>
        </w:rPr>
        <w:t>。</w:t>
      </w:r>
      <w:r>
        <w:rPr>
          <w:rFonts w:ascii="宋体" w:hAnsi="宋体" w:cs="宋体" w:eastAsia="宋体"/>
          <w:sz w:val="24"/>
        </w:rPr>
        <w:t>支付</w:t>
      </w:r>
      <w:r>
        <w:rPr>
          <w:rFonts w:ascii="宋体" w:hAnsi="宋体" w:cs="宋体" w:eastAsia="宋体"/>
          <w:sz w:val="24"/>
        </w:rPr>
        <w:t>条件：【</w:t>
      </w:r>
      <w:r>
        <w:rPr>
          <w:rFonts w:ascii="宋体" w:hAnsi="宋体" w:cs="宋体" w:eastAsia="宋体"/>
          <w:sz w:val="24"/>
        </w:rPr>
        <w:t>全部</w:t>
      </w:r>
      <w:r>
        <w:rPr>
          <w:rFonts w:ascii="宋体" w:hAnsi="宋体" w:cs="宋体" w:eastAsia="宋体"/>
          <w:sz w:val="24"/>
        </w:rPr>
        <w:t>维保服务</w:t>
      </w:r>
      <w:r>
        <w:rPr>
          <w:rFonts w:ascii="宋体" w:hAnsi="宋体" w:cs="宋体" w:eastAsia="宋体"/>
          <w:sz w:val="24"/>
        </w:rPr>
        <w:t>结束</w:t>
      </w:r>
      <w:r>
        <w:rPr>
          <w:rFonts w:ascii="宋体" w:hAnsi="宋体" w:cs="宋体" w:eastAsia="宋体"/>
          <w:sz w:val="24"/>
        </w:rPr>
        <w:t>后</w:t>
      </w:r>
      <w:r>
        <w:rPr>
          <w:rFonts w:ascii="宋体" w:hAnsi="宋体" w:cs="宋体" w:eastAsia="宋体"/>
          <w:sz w:val="24"/>
        </w:rPr>
        <w:t>经采购人验收通过，出具生效的</w:t>
      </w:r>
      <w:r>
        <w:rPr>
          <w:rFonts w:ascii="宋体" w:hAnsi="宋体" w:cs="宋体" w:eastAsia="宋体"/>
          <w:sz w:val="24"/>
        </w:rPr>
        <w:t>验收报告</w:t>
      </w:r>
      <w:r>
        <w:rPr>
          <w:rFonts w:ascii="宋体" w:hAnsi="宋体" w:cs="宋体" w:eastAsia="宋体"/>
          <w:sz w:val="24"/>
        </w:rPr>
        <w:t>，且付款材料经审核齐备后</w:t>
      </w:r>
      <w:r>
        <w:rPr>
          <w:rFonts w:ascii="calibri" w:hAnsi="calibri" w:cs="calibri" w:eastAsia="calibri"/>
          <w:sz w:val="24"/>
        </w:rPr>
        <w:t>10</w:t>
      </w:r>
      <w:r>
        <w:rPr>
          <w:rFonts w:ascii="宋体" w:hAnsi="宋体" w:cs="宋体" w:eastAsia="宋体"/>
          <w:sz w:val="24"/>
        </w:rPr>
        <w:t>个工作日内</w:t>
      </w:r>
      <w:r>
        <w:rPr>
          <w:rFonts w:ascii="宋体" w:hAnsi="宋体" w:cs="宋体" w:eastAsia="宋体"/>
          <w:sz w:val="24"/>
        </w:rPr>
        <w:t>支付</w:t>
      </w:r>
      <w:r>
        <w:rPr>
          <w:rFonts w:ascii="宋体" w:hAnsi="宋体" w:cs="宋体" w:eastAsia="宋体"/>
          <w:sz w:val="24"/>
        </w:rPr>
        <w:t>】</w:t>
      </w:r>
      <w:r>
        <w:rPr>
          <w:rFonts w:ascii="宋体" w:hAnsi="宋体" w:cs="宋体" w:eastAsia="宋体"/>
          <w:sz w:val="24"/>
        </w:rPr>
        <w:t>。</w:t>
      </w:r>
    </w:p>
    <w:p>
      <w:pPr>
        <w:pStyle w:val="null3"/>
        <w:ind w:firstLine="420"/>
        <w:jc w:val="both"/>
      </w:pPr>
      <w:r>
        <w:rPr>
          <w:rFonts w:ascii="calibri" w:hAnsi="calibri" w:cs="calibri" w:eastAsia="calibri"/>
          <w:sz w:val="24"/>
        </w:rPr>
        <w:t xml:space="preserve">5.2 </w:t>
      </w:r>
      <w:r>
        <w:rPr>
          <w:rFonts w:ascii="宋体" w:hAnsi="宋体" w:cs="宋体" w:eastAsia="宋体"/>
          <w:sz w:val="24"/>
        </w:rPr>
        <w:t>除双方约定的价款外，甲方无需向乙方再支付其他任何款项，乙方不得以任何理由再要求甲方支付任何款项。</w:t>
      </w:r>
    </w:p>
    <w:p>
      <w:pPr>
        <w:pStyle w:val="null3"/>
        <w:ind w:firstLine="420"/>
        <w:jc w:val="both"/>
      </w:pPr>
      <w:r>
        <w:rPr>
          <w:rFonts w:ascii="calibri" w:hAnsi="calibri" w:cs="calibri" w:eastAsia="calibri"/>
          <w:sz w:val="24"/>
        </w:rPr>
        <w:t xml:space="preserve">5.3 </w:t>
      </w:r>
      <w:r>
        <w:rPr>
          <w:rFonts w:ascii="宋体" w:hAnsi="宋体" w:cs="宋体" w:eastAsia="宋体"/>
          <w:sz w:val="24"/>
        </w:rPr>
        <w:t>甲方发票</w:t>
      </w:r>
      <w:r>
        <w:rPr>
          <w:rFonts w:ascii="宋体" w:hAnsi="宋体" w:cs="宋体" w:eastAsia="宋体"/>
          <w:sz w:val="24"/>
        </w:rPr>
        <w:t>信息：</w:t>
      </w:r>
    </w:p>
    <w:p>
      <w:pPr>
        <w:pStyle w:val="null3"/>
        <w:ind w:firstLine="420"/>
        <w:jc w:val="both"/>
      </w:pPr>
      <w:r>
        <w:rPr>
          <w:rFonts w:ascii="宋体" w:hAnsi="宋体" w:cs="宋体" w:eastAsia="宋体"/>
          <w:sz w:val="24"/>
        </w:rPr>
        <w:t>开票</w:t>
      </w:r>
      <w:r>
        <w:rPr>
          <w:rFonts w:ascii="宋体" w:hAnsi="宋体" w:cs="宋体" w:eastAsia="宋体"/>
          <w:sz w:val="24"/>
        </w:rPr>
        <w:t>名称：网联清算有限公司</w:t>
      </w:r>
    </w:p>
    <w:p>
      <w:pPr>
        <w:pStyle w:val="null3"/>
        <w:ind w:firstLine="420"/>
        <w:jc w:val="both"/>
      </w:pPr>
      <w:r>
        <w:rPr>
          <w:rFonts w:ascii="宋体" w:hAnsi="宋体" w:cs="宋体" w:eastAsia="宋体"/>
          <w:sz w:val="24"/>
        </w:rPr>
        <w:t>税号：</w:t>
      </w:r>
      <w:r>
        <w:rPr>
          <w:rFonts w:ascii="calibri" w:hAnsi="calibri" w:cs="calibri" w:eastAsia="calibri"/>
          <w:sz w:val="24"/>
        </w:rPr>
        <w:t>91110102MA0179UA3A</w:t>
      </w:r>
    </w:p>
    <w:p>
      <w:pPr>
        <w:pStyle w:val="null3"/>
        <w:ind w:firstLine="420"/>
        <w:jc w:val="both"/>
      </w:pPr>
      <w:r>
        <w:rPr>
          <w:rFonts w:ascii="宋体" w:hAnsi="宋体" w:cs="宋体" w:eastAsia="宋体"/>
          <w:sz w:val="24"/>
        </w:rPr>
        <w:t>注册地址：北京市西城区北三环中路甲</w:t>
      </w:r>
      <w:r>
        <w:rPr>
          <w:rFonts w:ascii="calibri" w:hAnsi="calibri" w:cs="calibri" w:eastAsia="calibri"/>
          <w:sz w:val="24"/>
        </w:rPr>
        <w:t>29</w:t>
      </w:r>
      <w:r>
        <w:rPr>
          <w:rFonts w:ascii="宋体" w:hAnsi="宋体" w:cs="宋体" w:eastAsia="宋体"/>
          <w:sz w:val="24"/>
        </w:rPr>
        <w:t>号院</w:t>
      </w:r>
      <w:r>
        <w:rPr>
          <w:rFonts w:ascii="calibri" w:hAnsi="calibri" w:cs="calibri" w:eastAsia="calibri"/>
          <w:sz w:val="24"/>
        </w:rPr>
        <w:t>3</w:t>
      </w:r>
      <w:r>
        <w:rPr>
          <w:rFonts w:ascii="宋体" w:hAnsi="宋体" w:cs="宋体" w:eastAsia="宋体"/>
          <w:sz w:val="24"/>
        </w:rPr>
        <w:t>号楼</w:t>
      </w:r>
      <w:r>
        <w:rPr>
          <w:rFonts w:ascii="calibri" w:hAnsi="calibri" w:cs="calibri" w:eastAsia="calibri"/>
          <w:sz w:val="24"/>
        </w:rPr>
        <w:t>101</w:t>
      </w:r>
      <w:r>
        <w:rPr>
          <w:rFonts w:ascii="宋体" w:hAnsi="宋体" w:cs="宋体" w:eastAsia="宋体"/>
          <w:sz w:val="24"/>
        </w:rPr>
        <w:t>号内</w:t>
      </w:r>
      <w:r>
        <w:rPr>
          <w:rFonts w:ascii="calibri" w:hAnsi="calibri" w:cs="calibri" w:eastAsia="calibri"/>
          <w:sz w:val="24"/>
        </w:rPr>
        <w:t>101</w:t>
      </w:r>
      <w:r>
        <w:rPr>
          <w:rFonts w:ascii="宋体" w:hAnsi="宋体" w:cs="宋体" w:eastAsia="宋体"/>
          <w:sz w:val="24"/>
        </w:rPr>
        <w:t>室</w:t>
      </w:r>
    </w:p>
    <w:p>
      <w:pPr>
        <w:pStyle w:val="null3"/>
        <w:ind w:firstLine="420"/>
        <w:jc w:val="both"/>
      </w:pPr>
      <w:r>
        <w:rPr>
          <w:rFonts w:ascii="宋体" w:hAnsi="宋体" w:cs="宋体" w:eastAsia="宋体"/>
          <w:sz w:val="24"/>
        </w:rPr>
        <w:t>办公电话：</w:t>
      </w:r>
      <w:r>
        <w:rPr>
          <w:rFonts w:ascii="&quot;times new roman&quot;" w:hAnsi="&quot;times new roman&quot;" w:cs="&quot;times new roman&quot;" w:eastAsia="&quot;times new roman&quot;"/>
          <w:sz w:val="24"/>
        </w:rPr>
        <w:t>010-68148881</w:t>
      </w:r>
    </w:p>
    <w:p>
      <w:pPr>
        <w:pStyle w:val="null3"/>
        <w:ind w:firstLine="420"/>
        <w:jc w:val="both"/>
      </w:pPr>
      <w:r>
        <w:rPr>
          <w:rFonts w:ascii="宋体" w:hAnsi="宋体" w:cs="宋体" w:eastAsia="宋体"/>
          <w:sz w:val="24"/>
        </w:rPr>
        <w:t>开户银行：招商银行股份有限公司北京金融街支行</w:t>
      </w:r>
    </w:p>
    <w:p>
      <w:pPr>
        <w:pStyle w:val="null3"/>
        <w:ind w:firstLine="420"/>
        <w:jc w:val="both"/>
      </w:pPr>
      <w:r>
        <w:rPr>
          <w:rFonts w:ascii="宋体" w:hAnsi="宋体" w:cs="宋体" w:eastAsia="宋体"/>
          <w:sz w:val="24"/>
        </w:rPr>
        <w:t>银行账户：</w:t>
      </w:r>
      <w:r>
        <w:rPr>
          <w:rFonts w:ascii="calibri" w:hAnsi="calibri" w:cs="calibri" w:eastAsia="calibri"/>
          <w:sz w:val="24"/>
        </w:rPr>
        <w:t>110929723810801</w:t>
      </w:r>
    </w:p>
    <w:p>
      <w:pPr>
        <w:pStyle w:val="null3"/>
        <w:ind w:firstLine="420"/>
        <w:jc w:val="both"/>
      </w:pPr>
      <w:r>
        <w:rPr>
          <w:rFonts w:ascii="calibri" w:hAnsi="calibri" w:cs="calibri" w:eastAsia="calibri"/>
          <w:sz w:val="24"/>
        </w:rPr>
        <w:t xml:space="preserve">5.4 </w:t>
      </w:r>
      <w:r>
        <w:rPr>
          <w:rFonts w:ascii="宋体" w:hAnsi="宋体" w:cs="宋体" w:eastAsia="宋体"/>
          <w:sz w:val="24"/>
        </w:rPr>
        <w:t>乙方收款信息：</w:t>
      </w:r>
    </w:p>
    <w:p>
      <w:pPr>
        <w:pStyle w:val="null3"/>
        <w:ind w:firstLine="420"/>
        <w:jc w:val="both"/>
      </w:pPr>
      <w:r>
        <w:rPr>
          <w:rFonts w:ascii="宋体" w:hAnsi="宋体" w:cs="宋体" w:eastAsia="宋体"/>
          <w:sz w:val="24"/>
        </w:rPr>
        <w:t>账</w:t>
      </w:r>
      <w:r>
        <w:rPr>
          <w:rFonts w:ascii="宋体" w:hAnsi="宋体" w:cs="宋体" w:eastAsia="宋体"/>
          <w:sz w:val="24"/>
        </w:rPr>
        <w:t>户名：</w:t>
      </w:r>
      <w:r>
        <w:rPr>
          <w:rFonts w:ascii="宋体" w:hAnsi="宋体" w:cs="宋体" w:eastAsia="宋体"/>
          <w:sz w:val="24"/>
        </w:rPr>
        <w:t>【】</w:t>
      </w:r>
    </w:p>
    <w:p>
      <w:pPr>
        <w:pStyle w:val="null3"/>
        <w:ind w:firstLine="420"/>
        <w:jc w:val="both"/>
      </w:pPr>
      <w:r>
        <w:rPr>
          <w:rFonts w:ascii="宋体" w:hAnsi="宋体" w:cs="宋体" w:eastAsia="宋体"/>
          <w:sz w:val="24"/>
        </w:rPr>
        <w:t>开户银行：</w:t>
      </w:r>
      <w:r>
        <w:rPr>
          <w:rFonts w:ascii="宋体" w:hAnsi="宋体" w:cs="宋体" w:eastAsia="宋体"/>
          <w:sz w:val="24"/>
        </w:rPr>
        <w:t>【】（</w:t>
      </w:r>
      <w:r>
        <w:rPr>
          <w:rFonts w:ascii="宋体" w:hAnsi="宋体" w:cs="宋体" w:eastAsia="宋体"/>
          <w:sz w:val="24"/>
        </w:rPr>
        <w:t>详细至支行</w:t>
      </w:r>
      <w:r>
        <w:rPr>
          <w:rFonts w:ascii="宋体" w:hAnsi="宋体" w:cs="宋体" w:eastAsia="宋体"/>
          <w:sz w:val="24"/>
        </w:rPr>
        <w:t>）</w:t>
      </w:r>
    </w:p>
    <w:p>
      <w:pPr>
        <w:pStyle w:val="null3"/>
        <w:ind w:firstLine="420"/>
        <w:jc w:val="both"/>
      </w:pPr>
      <w:r>
        <w:rPr>
          <w:rFonts w:ascii="宋体" w:hAnsi="宋体" w:cs="宋体" w:eastAsia="宋体"/>
          <w:sz w:val="24"/>
        </w:rPr>
        <w:t>开户银行地址：</w:t>
      </w:r>
      <w:r>
        <w:rPr>
          <w:rFonts w:ascii="宋体" w:hAnsi="宋体" w:cs="宋体" w:eastAsia="宋体"/>
          <w:sz w:val="24"/>
        </w:rPr>
        <w:t>【】</w:t>
      </w:r>
    </w:p>
    <w:p>
      <w:pPr>
        <w:pStyle w:val="null3"/>
        <w:ind w:firstLine="420"/>
        <w:jc w:val="both"/>
      </w:pPr>
      <w:r>
        <w:rPr>
          <w:rFonts w:ascii="宋体" w:hAnsi="宋体" w:cs="宋体" w:eastAsia="宋体"/>
          <w:sz w:val="24"/>
        </w:rPr>
        <w:t>银行帐号：</w:t>
      </w:r>
      <w:r>
        <w:rPr>
          <w:rFonts w:ascii="宋体" w:hAnsi="宋体" w:cs="宋体" w:eastAsia="宋体"/>
          <w:sz w:val="24"/>
        </w:rPr>
        <w:t>【】</w:t>
      </w:r>
    </w:p>
    <w:p>
      <w:pPr>
        <w:pStyle w:val="null3"/>
        <w:ind w:firstLine="420"/>
        <w:jc w:val="both"/>
      </w:pPr>
      <w:r>
        <w:rPr>
          <w:rFonts w:ascii="宋体" w:hAnsi="宋体" w:cs="宋体" w:eastAsia="宋体"/>
          <w:sz w:val="24"/>
        </w:rPr>
        <w:t>税号：</w:t>
      </w:r>
      <w:r>
        <w:rPr>
          <w:rFonts w:ascii="宋体" w:hAnsi="宋体" w:cs="宋体" w:eastAsia="宋体"/>
          <w:sz w:val="24"/>
        </w:rPr>
        <w:t>【】</w:t>
      </w:r>
    </w:p>
    <w:p>
      <w:pPr>
        <w:pStyle w:val="null3"/>
        <w:ind w:firstLine="420"/>
        <w:jc w:val="both"/>
      </w:pPr>
      <w:r>
        <w:rPr>
          <w:rFonts w:ascii="calibri" w:hAnsi="calibri" w:cs="calibri" w:eastAsia="calibri"/>
          <w:sz w:val="24"/>
        </w:rPr>
        <w:t xml:space="preserve">5.5 </w:t>
      </w:r>
      <w:r>
        <w:rPr>
          <w:rFonts w:ascii="宋体" w:hAnsi="宋体" w:cs="宋体" w:eastAsia="宋体"/>
          <w:sz w:val="24"/>
        </w:rPr>
        <w:t>乙方应</w:t>
      </w:r>
      <w:r>
        <w:rPr>
          <w:rFonts w:ascii="宋体" w:hAnsi="宋体" w:cs="宋体" w:eastAsia="宋体"/>
          <w:sz w:val="24"/>
        </w:rPr>
        <w:t>按照合同约定</w:t>
      </w:r>
      <w:r>
        <w:rPr>
          <w:rFonts w:ascii="宋体" w:hAnsi="宋体" w:cs="宋体" w:eastAsia="宋体"/>
          <w:sz w:val="24"/>
        </w:rPr>
        <w:t>向甲方开具足额合法的增值税发票。如发票认证不成功，甲方有权延迟付款并要求乙方重新开具发票</w:t>
      </w:r>
      <w:r>
        <w:rPr>
          <w:rFonts w:ascii="宋体" w:hAnsi="宋体" w:cs="宋体" w:eastAsia="宋体"/>
          <w:sz w:val="24"/>
        </w:rPr>
        <w:t>，如对甲方造成损失</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应承担赔偿责任</w:t>
      </w:r>
      <w:r>
        <w:rPr>
          <w:rFonts w:ascii="宋体" w:hAnsi="宋体" w:cs="宋体" w:eastAsia="宋体"/>
          <w:sz w:val="24"/>
        </w:rPr>
        <w:t>。</w:t>
      </w:r>
    </w:p>
    <w:p>
      <w:pPr>
        <w:pStyle w:val="null3"/>
        <w:ind w:firstLine="420"/>
        <w:jc w:val="both"/>
      </w:pPr>
      <w:r>
        <w:rPr>
          <w:rFonts w:ascii="calibri" w:hAnsi="calibri" w:cs="calibri" w:eastAsia="calibri"/>
          <w:sz w:val="24"/>
        </w:rPr>
        <w:t xml:space="preserve">5.6 </w:t>
      </w:r>
      <w:r>
        <w:rPr>
          <w:rFonts w:ascii="宋体" w:hAnsi="宋体" w:cs="宋体" w:eastAsia="宋体"/>
          <w:sz w:val="24"/>
        </w:rPr>
        <w:t>甲乙双方应自行承担各自所有与履行本合同相关的税费。本合同履行期间如遇国家税率调整致使本合同约定的税率不适用的，则含税价格以本合同及附件约定的不含税价格及调整后的税率进行确定。</w:t>
      </w:r>
    </w:p>
    <w:p>
      <w:pPr>
        <w:pStyle w:val="null3"/>
        <w:ind w:firstLine="420"/>
        <w:jc w:val="both"/>
      </w:pPr>
      <w:r>
        <w:rPr>
          <w:rFonts w:ascii="calibri" w:hAnsi="calibri" w:cs="calibri" w:eastAsia="calibri"/>
          <w:sz w:val="24"/>
        </w:rPr>
        <w:t xml:space="preserve">5.7 </w:t>
      </w:r>
      <w:r>
        <w:rPr>
          <w:rFonts w:ascii="宋体" w:hAnsi="宋体" w:cs="宋体" w:eastAsia="宋体"/>
          <w:sz w:val="24"/>
        </w:rPr>
        <w:t>如任何一方修改发票信息、收款信息等，需按第十五条的方式提前通知对方。</w:t>
      </w:r>
    </w:p>
    <w:p>
      <w:pPr>
        <w:pStyle w:val="null3"/>
        <w:numPr>
          <w:ilvl w:val="0"/>
          <w:numId w:val="2"/>
        </w:numPr>
        <w:ind w:left="420"/>
        <w:jc w:val="left"/>
      </w:pPr>
      <w:r>
        <w:rPr>
          <w:rFonts w:ascii="宋体" w:hAnsi="宋体" w:cs="宋体" w:eastAsia="宋体"/>
          <w:sz w:val="24"/>
          <w:b/>
        </w:rPr>
        <w:t>安装</w:t>
      </w:r>
      <w:r>
        <w:rPr>
          <w:rFonts w:ascii="宋体" w:hAnsi="宋体" w:cs="宋体" w:eastAsia="宋体"/>
          <w:sz w:val="24"/>
          <w:b/>
        </w:rPr>
        <w:t>、</w:t>
      </w:r>
      <w:r>
        <w:rPr>
          <w:rFonts w:ascii="宋体" w:hAnsi="宋体" w:cs="宋体" w:eastAsia="宋体"/>
          <w:sz w:val="24"/>
          <w:b/>
        </w:rPr>
        <w:t>测试</w:t>
      </w:r>
      <w:r>
        <w:rPr>
          <w:rFonts w:ascii="宋体" w:hAnsi="宋体" w:cs="宋体" w:eastAsia="宋体"/>
          <w:sz w:val="24"/>
          <w:b/>
        </w:rPr>
        <w:t>和</w:t>
      </w:r>
      <w:r>
        <w:rPr>
          <w:rFonts w:ascii="宋体" w:hAnsi="宋体" w:cs="宋体" w:eastAsia="宋体"/>
          <w:sz w:val="24"/>
          <w:b/>
        </w:rPr>
        <w:t>维保</w:t>
      </w:r>
    </w:p>
    <w:p>
      <w:pPr>
        <w:pStyle w:val="null3"/>
        <w:ind w:firstLine="360"/>
        <w:jc w:val="both"/>
      </w:pPr>
      <w:r>
        <w:rPr>
          <w:rFonts w:ascii="calibri" w:hAnsi="calibri" w:cs="calibri" w:eastAsia="calibri"/>
          <w:sz w:val="24"/>
        </w:rPr>
        <w:t>6</w:t>
      </w:r>
      <w:r>
        <w:rPr>
          <w:rFonts w:ascii="calibri" w:hAnsi="calibri" w:cs="calibri" w:eastAsia="calibri"/>
          <w:sz w:val="24"/>
        </w:rPr>
        <w:t>.</w:t>
      </w:r>
      <w:r>
        <w:rPr>
          <w:rFonts w:ascii="calibri" w:hAnsi="calibri" w:cs="calibri" w:eastAsia="calibri"/>
          <w:sz w:val="24"/>
        </w:rPr>
        <w:t>1</w:t>
      </w:r>
      <w:r>
        <w:rPr>
          <w:rFonts w:ascii="calibri" w:hAnsi="calibri" w:cs="calibri" w:eastAsia="calibri"/>
          <w:sz w:val="24"/>
        </w:rPr>
        <w:t xml:space="preserve"> </w:t>
      </w:r>
      <w:r>
        <w:rPr>
          <w:rFonts w:ascii="宋体" w:hAnsi="宋体" w:cs="宋体" w:eastAsia="宋体"/>
          <w:sz w:val="24"/>
        </w:rPr>
        <w:t>产品运到交货场地</w:t>
      </w:r>
      <w:r>
        <w:rPr>
          <w:rFonts w:ascii="宋体" w:hAnsi="宋体" w:cs="宋体" w:eastAsia="宋体"/>
          <w:sz w:val="24"/>
        </w:rPr>
        <w:t>后</w:t>
      </w:r>
      <w:r>
        <w:rPr>
          <w:rFonts w:ascii="宋体" w:hAnsi="宋体" w:cs="宋体" w:eastAsia="宋体"/>
          <w:sz w:val="24"/>
        </w:rPr>
        <w:t>，乙方</w:t>
      </w:r>
      <w:r>
        <w:rPr>
          <w:rFonts w:ascii="宋体" w:hAnsi="宋体" w:cs="宋体" w:eastAsia="宋体"/>
          <w:sz w:val="24"/>
        </w:rPr>
        <w:t>应按甲方要求</w:t>
      </w:r>
      <w:r>
        <w:rPr>
          <w:rFonts w:ascii="宋体" w:hAnsi="宋体" w:cs="宋体" w:eastAsia="宋体"/>
          <w:sz w:val="24"/>
        </w:rPr>
        <w:t>开箱验机、进行系统测试，按产品制造商的技术标准进行系统安装调试。有关安装</w:t>
      </w:r>
      <w:r>
        <w:rPr>
          <w:rFonts w:ascii="宋体" w:hAnsi="宋体" w:cs="宋体" w:eastAsia="宋体"/>
          <w:sz w:val="24"/>
        </w:rPr>
        <w:t>及测试</w:t>
      </w:r>
      <w:r>
        <w:rPr>
          <w:rFonts w:ascii="宋体" w:hAnsi="宋体" w:cs="宋体" w:eastAsia="宋体"/>
          <w:sz w:val="24"/>
        </w:rPr>
        <w:t>费用由乙方承担。</w:t>
      </w:r>
    </w:p>
    <w:p>
      <w:pPr>
        <w:pStyle w:val="null3"/>
        <w:ind w:firstLine="480"/>
        <w:jc w:val="both"/>
      </w:pPr>
      <w:r>
        <w:rPr>
          <w:rFonts w:ascii="calibri" w:hAnsi="calibri" w:cs="calibri" w:eastAsia="calibri"/>
          <w:sz w:val="24"/>
        </w:rPr>
        <w:t>6</w:t>
      </w:r>
      <w:r>
        <w:rPr>
          <w:rFonts w:ascii="calibri" w:hAnsi="calibri" w:cs="calibri" w:eastAsia="calibri"/>
          <w:sz w:val="24"/>
        </w:rPr>
        <w:t>.</w:t>
      </w:r>
      <w:r>
        <w:rPr>
          <w:rFonts w:ascii="calibri" w:hAnsi="calibri" w:cs="calibri" w:eastAsia="calibri"/>
          <w:sz w:val="24"/>
        </w:rPr>
        <w:t>2</w:t>
      </w:r>
      <w:r>
        <w:rPr>
          <w:rFonts w:ascii="calibri" w:hAnsi="calibri" w:cs="calibri" w:eastAsia="calibri"/>
          <w:sz w:val="24"/>
        </w:rPr>
        <w:t xml:space="preserve"> </w:t>
      </w:r>
      <w:r>
        <w:rPr>
          <w:rFonts w:ascii="宋体" w:hAnsi="宋体" w:cs="宋体" w:eastAsia="宋体"/>
          <w:sz w:val="24"/>
        </w:rPr>
        <w:t>自</w:t>
      </w:r>
      <w:r>
        <w:rPr>
          <w:rFonts w:ascii="宋体" w:hAnsi="宋体" w:cs="宋体" w:eastAsia="宋体"/>
          <w:sz w:val="24"/>
        </w:rPr>
        <w:t>【</w:t>
      </w:r>
      <w:r>
        <w:rPr>
          <w:rFonts w:ascii="宋体" w:hAnsi="宋体" w:cs="宋体" w:eastAsia="宋体"/>
          <w:sz w:val="21"/>
        </w:rPr>
        <w:t>终验合格之次日</w:t>
      </w:r>
      <w:r>
        <w:rPr>
          <w:rFonts w:ascii="宋体" w:hAnsi="宋体" w:cs="宋体" w:eastAsia="宋体"/>
          <w:sz w:val="24"/>
        </w:rPr>
        <w:t>】</w:t>
      </w:r>
      <w:r>
        <w:rPr>
          <w:rFonts w:ascii="宋体" w:hAnsi="宋体" w:cs="宋体" w:eastAsia="宋体"/>
          <w:sz w:val="24"/>
        </w:rPr>
        <w:t>起，乙方提供为期</w:t>
      </w:r>
      <w:r>
        <w:rPr>
          <w:rFonts w:ascii="宋体" w:hAnsi="宋体" w:cs="宋体" w:eastAsia="宋体"/>
          <w:sz w:val="24"/>
        </w:rPr>
        <w:t>【</w:t>
      </w:r>
      <w:r>
        <w:rPr>
          <w:rFonts w:ascii="宋体" w:hAnsi="宋体" w:cs="宋体" w:eastAsia="宋体"/>
          <w:sz w:val="21"/>
        </w:rPr>
        <w:t>84</w:t>
      </w:r>
      <w:r>
        <w:rPr>
          <w:rFonts w:ascii="宋体" w:hAnsi="宋体" w:cs="宋体" w:eastAsia="宋体"/>
          <w:sz w:val="24"/>
        </w:rPr>
        <w:t>】</w:t>
      </w:r>
      <w:r>
        <w:rPr>
          <w:rFonts w:ascii="宋体" w:hAnsi="宋体" w:cs="宋体" w:eastAsia="宋体"/>
          <w:sz w:val="24"/>
        </w:rPr>
        <w:t>个月的产品</w:t>
      </w:r>
      <w:r>
        <w:rPr>
          <w:rFonts w:ascii="宋体" w:hAnsi="宋体" w:cs="宋体" w:eastAsia="宋体"/>
          <w:sz w:val="24"/>
        </w:rPr>
        <w:t>【】</w:t>
      </w:r>
      <w:r>
        <w:rPr>
          <w:rFonts w:ascii="宋体" w:hAnsi="宋体" w:cs="宋体" w:eastAsia="宋体"/>
          <w:sz w:val="24"/>
        </w:rPr>
        <w:t>维保</w:t>
      </w:r>
      <w:r>
        <w:rPr>
          <w:rFonts w:ascii="宋体" w:hAnsi="宋体" w:cs="宋体" w:eastAsia="宋体"/>
          <w:sz w:val="24"/>
        </w:rPr>
        <w:t>，</w:t>
      </w:r>
      <w:r>
        <w:rPr>
          <w:rFonts w:ascii="宋体" w:hAnsi="宋体" w:cs="宋体" w:eastAsia="宋体"/>
          <w:sz w:val="24"/>
        </w:rPr>
        <w:t>在此期间甲方无需支付任何费用。在上述</w:t>
      </w:r>
      <w:r>
        <w:rPr>
          <w:rFonts w:ascii="宋体" w:hAnsi="宋体" w:cs="宋体" w:eastAsia="宋体"/>
          <w:sz w:val="24"/>
        </w:rPr>
        <w:t>产品</w:t>
      </w:r>
      <w:r>
        <w:rPr>
          <w:rFonts w:ascii="宋体" w:hAnsi="宋体" w:cs="宋体" w:eastAsia="宋体"/>
          <w:sz w:val="24"/>
        </w:rPr>
        <w:t>制造商</w:t>
      </w:r>
      <w:r>
        <w:rPr>
          <w:rFonts w:ascii="宋体" w:hAnsi="宋体" w:cs="宋体" w:eastAsia="宋体"/>
          <w:sz w:val="24"/>
        </w:rPr>
        <w:t>维保</w:t>
      </w:r>
      <w:r>
        <w:rPr>
          <w:rFonts w:ascii="宋体" w:hAnsi="宋体" w:cs="宋体" w:eastAsia="宋体"/>
          <w:sz w:val="24"/>
        </w:rPr>
        <w:t>结束后，如甲方产品需乙方</w:t>
      </w:r>
      <w:r>
        <w:rPr>
          <w:rFonts w:ascii="宋体" w:hAnsi="宋体" w:cs="宋体" w:eastAsia="宋体"/>
          <w:sz w:val="24"/>
        </w:rPr>
        <w:t>继续</w:t>
      </w:r>
      <w:r>
        <w:rPr>
          <w:rFonts w:ascii="宋体" w:hAnsi="宋体" w:cs="宋体" w:eastAsia="宋体"/>
          <w:sz w:val="24"/>
        </w:rPr>
        <w:t>提供</w:t>
      </w:r>
      <w:r>
        <w:rPr>
          <w:rFonts w:ascii="宋体" w:hAnsi="宋体" w:cs="宋体" w:eastAsia="宋体"/>
          <w:sz w:val="24"/>
        </w:rPr>
        <w:t>维保</w:t>
      </w:r>
      <w:r>
        <w:rPr>
          <w:rFonts w:ascii="宋体" w:hAnsi="宋体" w:cs="宋体" w:eastAsia="宋体"/>
          <w:sz w:val="24"/>
        </w:rPr>
        <w:t>服务，双方协商确定具体维保费用标准</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承诺维保</w:t>
      </w:r>
      <w:r>
        <w:rPr>
          <w:rFonts w:ascii="宋体" w:hAnsi="宋体" w:cs="宋体" w:eastAsia="宋体"/>
          <w:sz w:val="24"/>
        </w:rPr>
        <w:t>价格不高于</w:t>
      </w:r>
      <w:r>
        <w:rPr>
          <w:rFonts w:ascii="宋体" w:hAnsi="宋体" w:cs="宋体" w:eastAsia="宋体"/>
          <w:sz w:val="24"/>
        </w:rPr>
        <w:t>【】</w:t>
      </w:r>
      <w:r>
        <w:rPr>
          <w:rFonts w:ascii="宋体" w:hAnsi="宋体" w:cs="宋体" w:eastAsia="宋体"/>
          <w:sz w:val="24"/>
        </w:rPr>
        <w:t>。</w:t>
      </w:r>
    </w:p>
    <w:p>
      <w:pPr>
        <w:pStyle w:val="null3"/>
        <w:numPr>
          <w:ilvl w:val="0"/>
          <w:numId w:val="2"/>
        </w:numPr>
        <w:ind w:right="-15"/>
        <w:jc w:val="both"/>
      </w:pPr>
      <w:r>
        <w:rPr>
          <w:rFonts w:ascii="宋体" w:hAnsi="宋体" w:cs="宋体" w:eastAsia="宋体"/>
          <w:sz w:val="24"/>
          <w:b/>
        </w:rPr>
        <w:t>安全条款</w:t>
      </w:r>
    </w:p>
    <w:p>
      <w:pPr>
        <w:pStyle w:val="null3"/>
        <w:ind w:firstLine="480"/>
        <w:jc w:val="both"/>
      </w:pPr>
      <w:r>
        <w:rPr>
          <w:rFonts w:ascii="宋体" w:hAnsi="宋体" w:cs="宋体" w:eastAsia="宋体"/>
          <w:sz w:val="24"/>
        </w:rPr>
        <w:t>根据《中华人民共和国网络安全法》</w:t>
      </w:r>
      <w:r>
        <w:rPr>
          <w:rFonts w:ascii="宋体" w:hAnsi="宋体" w:cs="宋体" w:eastAsia="宋体"/>
          <w:sz w:val="24"/>
        </w:rPr>
        <w:t>等法律法规</w:t>
      </w:r>
      <w:r>
        <w:rPr>
          <w:rFonts w:ascii="宋体" w:hAnsi="宋体" w:cs="宋体" w:eastAsia="宋体"/>
          <w:sz w:val="24"/>
        </w:rPr>
        <w:t>，乙方与甲方签订产品或服务供应合同必须遵守《中华人民共和国网络安全法》</w:t>
      </w:r>
      <w:r>
        <w:rPr>
          <w:rFonts w:ascii="宋体" w:hAnsi="宋体" w:cs="宋体" w:eastAsia="宋体"/>
          <w:sz w:val="24"/>
        </w:rPr>
        <w:t>等法律法规</w:t>
      </w:r>
      <w:r>
        <w:rPr>
          <w:rFonts w:ascii="宋体" w:hAnsi="宋体" w:cs="宋体" w:eastAsia="宋体"/>
          <w:sz w:val="24"/>
        </w:rPr>
        <w:t>的相关规定，包括但不限于：</w:t>
      </w:r>
    </w:p>
    <w:p>
      <w:pPr>
        <w:pStyle w:val="null3"/>
        <w:ind w:firstLine="480"/>
        <w:jc w:val="both"/>
      </w:pPr>
      <w:r>
        <w:rPr>
          <w:rFonts w:ascii="&quot;times new roman&quot;" w:hAnsi="&quot;times new roman&quot;" w:cs="&quot;times new roman&quot;" w:eastAsia="&quot;times new roman&quot;"/>
          <w:sz w:val="24"/>
        </w:rPr>
        <w:t xml:space="preserve">7.1 </w:t>
      </w:r>
      <w:r>
        <w:rPr>
          <w:rFonts w:ascii="宋体" w:hAnsi="宋体" w:cs="宋体" w:eastAsia="宋体"/>
          <w:sz w:val="24"/>
        </w:rPr>
        <w:t>乙方为甲方提供服务的雇员（或代理人）须经过审查，包括人员身份验证、工作技能、教育背景等。甲方认为必要时，乙方还应审查其为甲方提供服务的雇员（或代理人）是否无犯罪记录等。</w:t>
      </w:r>
    </w:p>
    <w:p>
      <w:pPr>
        <w:pStyle w:val="null3"/>
        <w:ind w:firstLine="480"/>
        <w:jc w:val="both"/>
      </w:pPr>
      <w:r>
        <w:rPr>
          <w:rFonts w:ascii="&quot;times new roman&quot;" w:hAnsi="&quot;times new roman&quot;" w:cs="&quot;times new roman&quot;" w:eastAsia="&quot;times new roman&quot;"/>
          <w:sz w:val="24"/>
        </w:rPr>
        <w:t xml:space="preserve">7.2 </w:t>
      </w:r>
      <w:r>
        <w:rPr>
          <w:rFonts w:ascii="宋体" w:hAnsi="宋体" w:cs="宋体" w:eastAsia="宋体"/>
          <w:sz w:val="24"/>
        </w:rPr>
        <w:t>如</w:t>
      </w:r>
      <w:r>
        <w:rPr>
          <w:rFonts w:ascii="宋体" w:hAnsi="宋体" w:cs="宋体" w:eastAsia="宋体"/>
          <w:sz w:val="24"/>
        </w:rPr>
        <w:t>乙方提供软件开发和外包服务</w:t>
      </w:r>
      <w:r>
        <w:rPr>
          <w:rFonts w:ascii="宋体" w:hAnsi="宋体" w:cs="宋体" w:eastAsia="宋体"/>
          <w:sz w:val="24"/>
        </w:rPr>
        <w:t>，</w:t>
      </w:r>
      <w:r>
        <w:rPr>
          <w:rFonts w:ascii="宋体" w:hAnsi="宋体" w:cs="宋体" w:eastAsia="宋体"/>
          <w:sz w:val="24"/>
        </w:rPr>
        <w:t>必须位于中国境内。</w:t>
      </w:r>
    </w:p>
    <w:p>
      <w:pPr>
        <w:pStyle w:val="null3"/>
        <w:ind w:firstLine="480"/>
        <w:jc w:val="both"/>
      </w:pPr>
      <w:r>
        <w:rPr>
          <w:rFonts w:ascii="&quot;times new roman&quot;" w:hAnsi="&quot;times new roman&quot;" w:cs="&quot;times new roman&quot;" w:eastAsia="&quot;times new roman&quot;"/>
          <w:sz w:val="24"/>
        </w:rPr>
        <w:t xml:space="preserve">7.3 </w:t>
      </w:r>
      <w:r>
        <w:rPr>
          <w:rFonts w:ascii="宋体" w:hAnsi="宋体" w:cs="宋体" w:eastAsia="宋体"/>
          <w:sz w:val="24"/>
        </w:rPr>
        <w:t>乙方应在设计、开发、生产、交付等环节加强安全管理，识别安全风险，制定安全策略，采取适当的措施保障安全，建立应对安全缺陷和漏洞的响应机制。</w:t>
      </w:r>
      <w:r>
        <w:rPr>
          <w:rFonts w:ascii="calibri" w:hAnsi="calibri" w:cs="calibri" w:eastAsia="calibri"/>
          <w:sz w:val="21"/>
        </w:rPr>
        <w:t xml:space="preserve"> </w:t>
      </w:r>
    </w:p>
    <w:p>
      <w:pPr>
        <w:pStyle w:val="null3"/>
        <w:ind w:firstLine="480"/>
        <w:jc w:val="both"/>
      </w:pPr>
      <w:r>
        <w:rPr>
          <w:rFonts w:ascii="&quot;times new roman&quot;" w:hAnsi="&quot;times new roman&quot;" w:cs="&quot;times new roman&quot;" w:eastAsia="&quot;times new roman&quot;"/>
          <w:sz w:val="24"/>
        </w:rPr>
        <w:t xml:space="preserve">7.4 </w:t>
      </w:r>
      <w:r>
        <w:rPr>
          <w:rFonts w:ascii="宋体" w:hAnsi="宋体" w:cs="宋体" w:eastAsia="宋体"/>
          <w:sz w:val="24"/>
        </w:rPr>
        <w:t>甲方有权根据项目实际情况，要求乙方对提供的产品定期进行安全漏洞检查、渗透测试或进行安全认证。当发现提供的产品存在漏洞时，乙方有义务及时书面告知甲方，并尽快采取措施修正或减轻发现的威胁，不得隐瞒漏洞，不得设置后门或恶意程序。书面告知方式限于书面发函和电子邮件形式，告知内容包括但不限于描述安全风险事实、漏洞详情、可能后果及建议措施等。书面告知应不晚于乙方发现或应当发现相关漏洞当日。</w:t>
      </w:r>
    </w:p>
    <w:p>
      <w:pPr>
        <w:pStyle w:val="null3"/>
        <w:ind w:firstLine="480"/>
        <w:jc w:val="both"/>
      </w:pPr>
      <w:r>
        <w:rPr>
          <w:rFonts w:ascii="&quot;times new roman&quot;" w:hAnsi="&quot;times new roman&quot;" w:cs="&quot;times new roman&quot;" w:eastAsia="&quot;times new roman&quot;"/>
          <w:sz w:val="24"/>
        </w:rPr>
        <w:t xml:space="preserve">7.5 </w:t>
      </w:r>
      <w:r>
        <w:rPr>
          <w:rFonts w:ascii="宋体" w:hAnsi="宋体" w:cs="宋体" w:eastAsia="宋体"/>
          <w:sz w:val="24"/>
        </w:rPr>
        <w:t>甲方有权根据项目实际情况，要求乙方提供网络产品或服务的中文版运行维护、二次开发等技术资料。若相应的产品或服务涉及源代码，甲方有权根据实际情况自行或委托第三方网络安全服务机构对定制开发的软件进行源代码安全检测，或由乙方提供第三方网络安全服务机构出具的代码安全检测报告。</w:t>
      </w:r>
    </w:p>
    <w:p>
      <w:pPr>
        <w:pStyle w:val="null3"/>
        <w:ind w:firstLine="480"/>
        <w:jc w:val="both"/>
      </w:pPr>
      <w:r>
        <w:rPr>
          <w:rFonts w:ascii="&quot;times new roman&quot;" w:hAnsi="&quot;times new roman&quot;" w:cs="&quot;times new roman&quot;" w:eastAsia="&quot;times new roman&quot;"/>
          <w:sz w:val="24"/>
        </w:rPr>
        <w:t xml:space="preserve">7.6 </w:t>
      </w:r>
      <w:r>
        <w:rPr>
          <w:rFonts w:ascii="宋体" w:hAnsi="宋体" w:cs="宋体" w:eastAsia="宋体"/>
          <w:sz w:val="24"/>
        </w:rPr>
        <w:t>乙方提供的产品或服务须符合网络安全审查要求。如乙方提供产品或服务需进行网络安全审查的，则此项目合同须在产品或服务通过网络安全审查后方可生效；如未通过安全审查，乙方同意甲方可以此解除本项目合同，且不需要承担任何违约或者赔偿责任。如乙方提供的产品或服务（含芯片等配件）已被网络安全审查办公室依法作出不予通过网络安全审查结论的，甲方有权拒绝其响应或解除采购合同、不予采购，且甲方不需要承担任何违约或者赔偿责任。</w:t>
      </w:r>
    </w:p>
    <w:p>
      <w:pPr>
        <w:pStyle w:val="null3"/>
        <w:ind w:right="-15" w:firstLine="480"/>
        <w:jc w:val="both"/>
      </w:pPr>
      <w:r>
        <w:rPr>
          <w:rFonts w:ascii="&quot;times new roman&quot;" w:hAnsi="&quot;times new roman&quot;" w:cs="&quot;times new roman&quot;" w:eastAsia="&quot;times new roman&quot;"/>
          <w:sz w:val="24"/>
        </w:rPr>
        <w:t xml:space="preserve">7.7 </w:t>
      </w:r>
      <w:r>
        <w:rPr>
          <w:rFonts w:ascii="宋体" w:hAnsi="宋体" w:cs="宋体" w:eastAsia="宋体"/>
          <w:sz w:val="24"/>
        </w:rPr>
        <w:t>乙方应根据甲方需要提供产品完整准确的组件成分清单和暴露应用接口清单，严禁使用不安全的外部组件并关闭非必要暴露的应用接口。</w:t>
      </w:r>
    </w:p>
    <w:p>
      <w:pPr>
        <w:pStyle w:val="null3"/>
        <w:ind w:right="-15" w:firstLine="480"/>
        <w:jc w:val="both"/>
      </w:pPr>
      <w:r>
        <w:rPr>
          <w:rFonts w:ascii="&quot;times new roman&quot;" w:hAnsi="&quot;times new roman&quot;" w:cs="&quot;times new roman&quot;" w:eastAsia="&quot;times new roman&quot;"/>
          <w:sz w:val="24"/>
        </w:rPr>
        <w:t xml:space="preserve">7.8 </w:t>
      </w:r>
      <w:r>
        <w:rPr>
          <w:rFonts w:ascii="宋体" w:hAnsi="宋体" w:cs="宋体" w:eastAsia="宋体"/>
          <w:sz w:val="24"/>
        </w:rPr>
        <w:t>乙方供应产品应确保产品质量和安全性，避免存在安全隐患。乙方仓储设施的消防设施、环境安全、入库人员管理、人员安全培训等均需满足</w:t>
      </w:r>
      <w:r>
        <w:rPr>
          <w:rFonts w:ascii="宋体" w:hAnsi="宋体" w:cs="宋体" w:eastAsia="宋体"/>
          <w:sz w:val="24"/>
        </w:rPr>
        <w:t>甲方</w:t>
      </w:r>
      <w:r>
        <w:rPr>
          <w:rFonts w:ascii="宋体" w:hAnsi="宋体" w:cs="宋体" w:eastAsia="宋体"/>
          <w:sz w:val="24"/>
        </w:rPr>
        <w:t>的安全要求，保证仓储设施的良好运行，在包装、运输和安装过程都需要严格遵守各项要求，确保产品供应满足甲方需要。</w:t>
      </w:r>
    </w:p>
    <w:p>
      <w:pPr>
        <w:pStyle w:val="null3"/>
        <w:ind w:right="-15" w:firstLine="480"/>
        <w:jc w:val="both"/>
      </w:pPr>
      <w:r>
        <w:rPr>
          <w:rFonts w:ascii="&quot;times new roman&quot;" w:hAnsi="&quot;times new roman&quot;" w:cs="&quot;times new roman&quot;" w:eastAsia="&quot;times new roman&quot;"/>
          <w:sz w:val="24"/>
        </w:rPr>
        <w:t xml:space="preserve">7.9 </w:t>
      </w:r>
      <w:r>
        <w:rPr>
          <w:rFonts w:ascii="宋体" w:hAnsi="宋体" w:cs="宋体" w:eastAsia="宋体"/>
          <w:sz w:val="24"/>
        </w:rPr>
        <w:t>乙方应根据甲方需要制定应急处理预案，包括但不限于服务连续性、服务中断、信息安全事件、服务水平下降等事项的应急处理预案。其中针对核心系统或部件，乙方还应对安全类、运营类、管理类等事件进行分级分类（例如源代码泄露、供应链中断、漏洞修补等）。乙方产品相关信息发生重大变化或乙方发生、发现网络安全事件时，乙方应及时向甲方报告，做到不瞒报、不谎报、不拖延。根据甲方要求，乙方积极参与网络安全事件处置、调查等工作，保证提供的产品和服务在面临非法控制、干扰或中断风险时，具备启动应急处置预案的能力。</w:t>
      </w:r>
    </w:p>
    <w:p>
      <w:pPr>
        <w:pStyle w:val="null3"/>
        <w:ind w:right="-30" w:firstLine="480"/>
        <w:jc w:val="both"/>
      </w:pPr>
      <w:r>
        <w:rPr>
          <w:rFonts w:ascii="&quot;times new roman&quot;" w:hAnsi="&quot;times new roman&quot;" w:cs="&quot;times new roman&quot;" w:eastAsia="&quot;times new roman&quot;"/>
          <w:sz w:val="24"/>
        </w:rPr>
        <w:t xml:space="preserve">7.10 </w:t>
      </w:r>
      <w:r>
        <w:rPr>
          <w:rFonts w:ascii="宋体" w:hAnsi="宋体" w:cs="宋体" w:eastAsia="宋体"/>
          <w:sz w:val="24"/>
        </w:rPr>
        <w:t>乙方为甲方提供的服务资源至少与第三方相互逻辑隔离，且仅甲方具有对业务系统和数据的最高访问权限。</w:t>
      </w:r>
    </w:p>
    <w:p>
      <w:pPr>
        <w:pStyle w:val="null3"/>
        <w:ind w:right="-30" w:firstLine="480"/>
        <w:jc w:val="both"/>
      </w:pPr>
      <w:r>
        <w:rPr>
          <w:rFonts w:ascii="&quot;times new roman&quot;" w:hAnsi="&quot;times new roman&quot;" w:cs="&quot;times new roman&quot;" w:eastAsia="&quot;times new roman&quot;"/>
          <w:sz w:val="24"/>
        </w:rPr>
        <w:t xml:space="preserve">7.11 </w:t>
      </w:r>
      <w:r>
        <w:rPr>
          <w:rFonts w:ascii="宋体" w:hAnsi="宋体" w:cs="宋体" w:eastAsia="宋体"/>
          <w:sz w:val="24"/>
        </w:rPr>
        <w:t>甲方有权要求乙方的工作人员在生产环境下操作认证、授权，并记录其操作行为。禁止乙方擅自修改配置或者数据，查看与服务内容无关的数据，复制、拍摄业务信息、源代码、文档和将相关存储介质带离工作场所。</w:t>
      </w:r>
      <w:r>
        <w:rPr>
          <w:rFonts w:ascii="宋体" w:hAnsi="宋体" w:cs="宋体" w:eastAsia="宋体"/>
          <w:sz w:val="24"/>
        </w:rPr>
        <w:t>如涉及定制化开发，</w:t>
      </w:r>
      <w:r>
        <w:rPr>
          <w:rFonts w:ascii="宋体" w:hAnsi="宋体" w:cs="宋体" w:eastAsia="宋体"/>
          <w:sz w:val="24"/>
        </w:rPr>
        <w:t>未经甲方授权</w:t>
      </w:r>
      <w:r>
        <w:rPr>
          <w:rFonts w:ascii="宋体" w:hAnsi="宋体" w:cs="宋体" w:eastAsia="宋体"/>
          <w:sz w:val="24"/>
        </w:rPr>
        <w:t>，</w:t>
      </w:r>
      <w:r>
        <w:rPr>
          <w:rFonts w:ascii="宋体" w:hAnsi="宋体" w:cs="宋体" w:eastAsia="宋体"/>
          <w:sz w:val="24"/>
        </w:rPr>
        <w:t>乙方不得</w:t>
      </w:r>
      <w:r>
        <w:rPr>
          <w:rFonts w:ascii="宋体" w:hAnsi="宋体" w:cs="宋体" w:eastAsia="宋体"/>
          <w:sz w:val="24"/>
        </w:rPr>
        <w:t>留存源代码，不得将</w:t>
      </w:r>
      <w:r>
        <w:rPr>
          <w:rFonts w:ascii="宋体" w:hAnsi="宋体" w:cs="宋体" w:eastAsia="宋体"/>
          <w:sz w:val="24"/>
        </w:rPr>
        <w:t>产品</w:t>
      </w:r>
      <w:r>
        <w:rPr>
          <w:rFonts w:ascii="宋体" w:hAnsi="宋体" w:cs="宋体" w:eastAsia="宋体"/>
          <w:sz w:val="24"/>
        </w:rPr>
        <w:t>所涉及的源代码在互联网进行托管、测试，并应审核其在服务中所使用开源代码、软件等的来源合法性、安全检测情况和加固情况。</w:t>
      </w:r>
    </w:p>
    <w:p>
      <w:pPr>
        <w:pStyle w:val="null3"/>
        <w:numPr>
          <w:ilvl w:val="0"/>
          <w:numId w:val="2"/>
        </w:numPr>
        <w:jc w:val="left"/>
      </w:pPr>
      <w:r>
        <w:rPr>
          <w:rFonts w:ascii="宋体" w:hAnsi="宋体" w:cs="宋体" w:eastAsia="宋体"/>
          <w:sz w:val="24"/>
          <w:b/>
        </w:rPr>
        <w:t>知识产权</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.1 </w:t>
      </w:r>
      <w:r>
        <w:rPr>
          <w:rFonts w:ascii="宋体" w:hAnsi="宋体" w:cs="宋体" w:eastAsia="宋体"/>
          <w:sz w:val="24"/>
        </w:rPr>
        <w:t>本合同生效时已经存在并为各方合法拥有或使用的所有技术或资料、信息的知识产权和所有权，仍应属于其各自的原权利人所有或享有。</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.2 </w:t>
      </w:r>
      <w:r>
        <w:rPr>
          <w:rFonts w:ascii="宋体" w:hAnsi="宋体" w:cs="宋体" w:eastAsia="宋体"/>
          <w:sz w:val="24"/>
        </w:rPr>
        <w:t>乙方保证</w:t>
      </w:r>
      <w:r>
        <w:rPr>
          <w:rFonts w:ascii="宋体" w:hAnsi="宋体" w:cs="宋体" w:eastAsia="宋体"/>
          <w:sz w:val="24"/>
        </w:rPr>
        <w:t>：</w:t>
      </w:r>
      <w:r>
        <w:rPr>
          <w:rFonts w:ascii="宋体" w:hAnsi="宋体" w:cs="宋体" w:eastAsia="宋体"/>
          <w:sz w:val="24"/>
        </w:rPr>
        <w:t>对</w:t>
      </w:r>
      <w:r>
        <w:rPr>
          <w:rFonts w:ascii="宋体" w:hAnsi="宋体" w:cs="宋体" w:eastAsia="宋体"/>
          <w:sz w:val="24"/>
        </w:rPr>
        <w:t>向甲方提供的</w:t>
      </w:r>
      <w:r>
        <w:rPr>
          <w:rFonts w:ascii="宋体" w:hAnsi="宋体" w:cs="宋体" w:eastAsia="宋体"/>
          <w:sz w:val="24"/>
        </w:rPr>
        <w:t>产品</w:t>
      </w:r>
      <w:r>
        <w:rPr>
          <w:rFonts w:ascii="宋体" w:hAnsi="宋体" w:cs="宋体" w:eastAsia="宋体"/>
          <w:sz w:val="24"/>
        </w:rPr>
        <w:t>拥有合法知识产权，</w:t>
      </w:r>
      <w:r>
        <w:rPr>
          <w:rFonts w:ascii="宋体" w:hAnsi="宋体" w:cs="宋体" w:eastAsia="宋体"/>
          <w:sz w:val="24"/>
        </w:rPr>
        <w:t>甲方使用本合同项下的产品将不会侵害任何第三方的权利。若有第三方提出侵权指控，乙方负责与第三方交涉</w:t>
      </w:r>
      <w:r>
        <w:rPr>
          <w:rFonts w:ascii="宋体" w:hAnsi="宋体" w:cs="宋体" w:eastAsia="宋体"/>
          <w:sz w:val="24"/>
        </w:rPr>
        <w:t>、</w:t>
      </w:r>
      <w:r>
        <w:rPr>
          <w:rFonts w:ascii="宋体" w:hAnsi="宋体" w:cs="宋体" w:eastAsia="宋体"/>
          <w:sz w:val="24"/>
        </w:rPr>
        <w:t>处理</w:t>
      </w:r>
      <w:r>
        <w:rPr>
          <w:rFonts w:ascii="宋体" w:hAnsi="宋体" w:cs="宋体" w:eastAsia="宋体"/>
          <w:sz w:val="24"/>
        </w:rPr>
        <w:t>，并由乙方承担可能发生的一切法律责任并承担甲方因此而</w:t>
      </w:r>
      <w:r>
        <w:rPr>
          <w:rFonts w:ascii="宋体" w:hAnsi="宋体" w:cs="宋体" w:eastAsia="宋体"/>
          <w:sz w:val="24"/>
        </w:rPr>
        <w:t>受到的</w:t>
      </w:r>
      <w:r>
        <w:rPr>
          <w:rFonts w:ascii="宋体" w:hAnsi="宋体" w:cs="宋体" w:eastAsia="宋体"/>
          <w:sz w:val="24"/>
        </w:rPr>
        <w:t>损失，包括索赔、罚款、诉讼费、保全费、律师费、执行费等。</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.3 </w:t>
      </w:r>
      <w:r>
        <w:rPr>
          <w:rFonts w:ascii="宋体" w:hAnsi="宋体" w:cs="宋体" w:eastAsia="宋体"/>
          <w:sz w:val="24"/>
        </w:rPr>
        <w:t>乙方应全力防止因上述侵权给甲方带来任何损失，包括但不限于提供甲方继续使用本合同项下的产品而需取得的第三方授权、提供功能符合</w:t>
      </w:r>
      <w:r>
        <w:rPr>
          <w:rFonts w:ascii="宋体" w:hAnsi="宋体" w:cs="宋体" w:eastAsia="宋体"/>
          <w:sz w:val="24"/>
        </w:rPr>
        <w:t>本</w:t>
      </w:r>
      <w:r>
        <w:rPr>
          <w:rFonts w:ascii="宋体" w:hAnsi="宋体" w:cs="宋体" w:eastAsia="宋体"/>
          <w:sz w:val="24"/>
        </w:rPr>
        <w:t>合同目的的产品等，并承担因此而产生的所有费用。</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.4 </w:t>
      </w:r>
      <w:r>
        <w:rPr>
          <w:rFonts w:ascii="宋体" w:hAnsi="宋体" w:cs="宋体" w:eastAsia="宋体"/>
          <w:sz w:val="24"/>
        </w:rPr>
        <w:t>乙方为甲方二次开发产生的软件、源代码及实施过程中所产生的所有技术文件，甲方拥有</w:t>
      </w:r>
      <w:r>
        <w:rPr>
          <w:rFonts w:ascii="宋体" w:hAnsi="宋体" w:cs="宋体" w:eastAsia="宋体"/>
          <w:sz w:val="24"/>
        </w:rPr>
        <w:t>全部权利</w:t>
      </w:r>
      <w:r>
        <w:rPr>
          <w:rFonts w:ascii="宋体" w:hAnsi="宋体" w:cs="宋体" w:eastAsia="宋体"/>
          <w:sz w:val="24"/>
        </w:rPr>
        <w:t>，包括</w:t>
      </w:r>
      <w:r>
        <w:rPr>
          <w:rFonts w:ascii="宋体" w:hAnsi="宋体" w:cs="宋体" w:eastAsia="宋体"/>
          <w:sz w:val="24"/>
        </w:rPr>
        <w:t>但不限于</w:t>
      </w:r>
      <w:r>
        <w:rPr>
          <w:rFonts w:ascii="宋体" w:hAnsi="宋体" w:cs="宋体" w:eastAsia="宋体"/>
          <w:sz w:val="24"/>
        </w:rPr>
        <w:t>知识产权、所有权及相应的利益。乙方不对</w:t>
      </w:r>
      <w:r>
        <w:rPr>
          <w:rFonts w:ascii="宋体" w:hAnsi="宋体" w:cs="宋体" w:eastAsia="宋体"/>
          <w:sz w:val="24"/>
        </w:rPr>
        <w:t>本</w:t>
      </w:r>
      <w:r>
        <w:rPr>
          <w:rFonts w:ascii="宋体" w:hAnsi="宋体" w:cs="宋体" w:eastAsia="宋体"/>
          <w:sz w:val="24"/>
        </w:rPr>
        <w:t>合同项下的成果具有任何知识产权和申请知识产权的权利，甲方享有署名权在内的全部知识产权及申请知识产权的权利。</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.5 </w:t>
      </w:r>
      <w:r>
        <w:rPr>
          <w:rFonts w:ascii="宋体" w:hAnsi="宋体" w:cs="宋体" w:eastAsia="宋体"/>
          <w:sz w:val="24"/>
        </w:rPr>
        <w:t>乙方</w:t>
      </w:r>
      <w:r>
        <w:rPr>
          <w:rFonts w:ascii="宋体" w:hAnsi="宋体" w:cs="宋体" w:eastAsia="宋体"/>
          <w:sz w:val="24"/>
        </w:rPr>
        <w:t>不因本合同协商、签订</w:t>
      </w:r>
      <w:r>
        <w:rPr>
          <w:rFonts w:ascii="宋体" w:hAnsi="宋体" w:cs="宋体" w:eastAsia="宋体"/>
          <w:sz w:val="24"/>
        </w:rPr>
        <w:t>、</w:t>
      </w:r>
      <w:r>
        <w:rPr>
          <w:rFonts w:ascii="宋体" w:hAnsi="宋体" w:cs="宋体" w:eastAsia="宋体"/>
          <w:sz w:val="24"/>
        </w:rPr>
        <w:t>履行而获得明示或暗示的使用</w:t>
      </w:r>
      <w:r>
        <w:rPr>
          <w:rFonts w:ascii="宋体" w:hAnsi="宋体" w:cs="宋体" w:eastAsia="宋体"/>
          <w:sz w:val="24"/>
        </w:rPr>
        <w:t>甲方</w:t>
      </w:r>
      <w:r>
        <w:rPr>
          <w:rFonts w:ascii="宋体" w:hAnsi="宋体" w:cs="宋体" w:eastAsia="宋体"/>
          <w:sz w:val="24"/>
        </w:rPr>
        <w:t>（包括</w:t>
      </w:r>
      <w:r>
        <w:rPr>
          <w:rFonts w:ascii="宋体" w:hAnsi="宋体" w:cs="宋体" w:eastAsia="宋体"/>
          <w:sz w:val="24"/>
        </w:rPr>
        <w:t>甲方分、</w:t>
      </w:r>
      <w:r>
        <w:rPr>
          <w:rFonts w:ascii="宋体" w:hAnsi="宋体" w:cs="宋体" w:eastAsia="宋体"/>
          <w:sz w:val="24"/>
        </w:rPr>
        <w:t>子公司）的</w:t>
      </w:r>
      <w:r>
        <w:rPr>
          <w:rFonts w:ascii="宋体" w:hAnsi="宋体" w:cs="宋体" w:eastAsia="宋体"/>
          <w:sz w:val="24"/>
        </w:rPr>
        <w:t>名称、</w:t>
      </w:r>
      <w:r>
        <w:rPr>
          <w:rFonts w:ascii="宋体" w:hAnsi="宋体" w:cs="宋体" w:eastAsia="宋体"/>
          <w:sz w:val="24"/>
        </w:rPr>
        <w:t>商标、商号、标识、标志</w:t>
      </w:r>
      <w:r>
        <w:rPr>
          <w:rFonts w:ascii="宋体" w:hAnsi="宋体" w:cs="宋体" w:eastAsia="宋体"/>
          <w:sz w:val="24"/>
        </w:rPr>
        <w:t>、</w:t>
      </w:r>
      <w:r>
        <w:rPr>
          <w:rFonts w:ascii="宋体" w:hAnsi="宋体" w:cs="宋体" w:eastAsia="宋体"/>
          <w:sz w:val="24"/>
        </w:rPr>
        <w:t>技术</w:t>
      </w:r>
      <w:r>
        <w:rPr>
          <w:rFonts w:ascii="宋体" w:hAnsi="宋体" w:cs="宋体" w:eastAsia="宋体"/>
          <w:sz w:val="24"/>
        </w:rPr>
        <w:t>资料、</w:t>
      </w:r>
      <w:r>
        <w:rPr>
          <w:rFonts w:ascii="宋体" w:hAnsi="宋体" w:cs="宋体" w:eastAsia="宋体"/>
          <w:sz w:val="24"/>
        </w:rPr>
        <w:t>业务资料</w:t>
      </w:r>
      <w:r>
        <w:rPr>
          <w:rFonts w:ascii="宋体" w:hAnsi="宋体" w:cs="宋体" w:eastAsia="宋体"/>
          <w:sz w:val="24"/>
        </w:rPr>
        <w:t>等</w:t>
      </w:r>
      <w:r>
        <w:rPr>
          <w:rFonts w:ascii="宋体" w:hAnsi="宋体" w:cs="宋体" w:eastAsia="宋体"/>
          <w:sz w:val="24"/>
        </w:rPr>
        <w:t>的权利</w:t>
      </w:r>
      <w:r>
        <w:rPr>
          <w:rFonts w:ascii="宋体" w:hAnsi="宋体" w:cs="宋体" w:eastAsia="宋体"/>
          <w:sz w:val="24"/>
        </w:rPr>
        <w:t>。</w:t>
      </w:r>
      <w:r>
        <w:rPr>
          <w:rFonts w:ascii="宋体" w:hAnsi="宋体" w:cs="宋体" w:eastAsia="宋体"/>
          <w:sz w:val="24"/>
        </w:rPr>
        <w:t>未经甲方书面</w:t>
      </w:r>
      <w:r>
        <w:rPr>
          <w:rFonts w:ascii="宋体" w:hAnsi="宋体" w:cs="宋体" w:eastAsia="宋体"/>
          <w:sz w:val="24"/>
        </w:rPr>
        <w:t>授权</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不得</w:t>
      </w:r>
      <w:r>
        <w:rPr>
          <w:rFonts w:ascii="宋体" w:hAnsi="宋体" w:cs="宋体" w:eastAsia="宋体"/>
          <w:sz w:val="24"/>
        </w:rPr>
        <w:t>将甲方的名称、商号、商标、标记</w:t>
      </w:r>
      <w:r>
        <w:rPr>
          <w:rFonts w:ascii="宋体" w:hAnsi="宋体" w:cs="宋体" w:eastAsia="宋体"/>
          <w:sz w:val="24"/>
        </w:rPr>
        <w:t>等</w:t>
      </w:r>
      <w:r>
        <w:rPr>
          <w:rFonts w:ascii="宋体" w:hAnsi="宋体" w:cs="宋体" w:eastAsia="宋体"/>
          <w:sz w:val="24"/>
        </w:rPr>
        <w:t>用作广告宣传或</w:t>
      </w:r>
      <w:r>
        <w:rPr>
          <w:rFonts w:ascii="宋体" w:hAnsi="宋体" w:cs="宋体" w:eastAsia="宋体"/>
          <w:sz w:val="24"/>
        </w:rPr>
        <w:t>任何其他与履行本合同无关的用途</w:t>
      </w:r>
      <w:r>
        <w:rPr>
          <w:rFonts w:ascii="宋体" w:hAnsi="宋体" w:cs="宋体" w:eastAsia="宋体"/>
          <w:sz w:val="24"/>
        </w:rPr>
        <w:t>。</w:t>
      </w:r>
    </w:p>
    <w:p>
      <w:pPr>
        <w:pStyle w:val="null3"/>
        <w:ind w:right="-15" w:firstLine="480"/>
        <w:jc w:val="both"/>
      </w:pPr>
      <w:r>
        <w:rPr>
          <w:rFonts w:ascii="calibri" w:hAnsi="calibri" w:cs="calibri" w:eastAsia="calibri"/>
          <w:sz w:val="24"/>
        </w:rPr>
        <w:t>8</w:t>
      </w:r>
      <w:r>
        <w:rPr>
          <w:rFonts w:ascii="calibri" w:hAnsi="calibri" w:cs="calibri" w:eastAsia="calibri"/>
          <w:sz w:val="24"/>
        </w:rPr>
        <w:t xml:space="preserve">.6 </w:t>
      </w:r>
      <w:r>
        <w:rPr>
          <w:rFonts w:ascii="宋体" w:hAnsi="宋体" w:cs="宋体" w:eastAsia="宋体"/>
          <w:sz w:val="24"/>
        </w:rPr>
        <w:t>本</w:t>
      </w:r>
      <w:r>
        <w:rPr>
          <w:rFonts w:ascii="宋体" w:hAnsi="宋体" w:cs="宋体" w:eastAsia="宋体"/>
          <w:sz w:val="24"/>
        </w:rPr>
        <w:t>合同知识产权</w:t>
      </w:r>
      <w:r>
        <w:rPr>
          <w:rFonts w:ascii="宋体" w:hAnsi="宋体" w:cs="宋体" w:eastAsia="宋体"/>
          <w:sz w:val="24"/>
        </w:rPr>
        <w:t>条款持续有效</w:t>
      </w:r>
      <w:r>
        <w:rPr>
          <w:rFonts w:ascii="宋体" w:hAnsi="宋体" w:cs="宋体" w:eastAsia="宋体"/>
          <w:sz w:val="24"/>
        </w:rPr>
        <w:t>，</w:t>
      </w:r>
      <w:r>
        <w:rPr>
          <w:rFonts w:ascii="宋体" w:hAnsi="宋体" w:cs="宋体" w:eastAsia="宋体"/>
          <w:sz w:val="24"/>
        </w:rPr>
        <w:t>不因</w:t>
      </w:r>
      <w:r>
        <w:rPr>
          <w:rFonts w:ascii="宋体" w:hAnsi="宋体" w:cs="宋体" w:eastAsia="宋体"/>
          <w:sz w:val="24"/>
        </w:rPr>
        <w:t>合同</w:t>
      </w:r>
      <w:r>
        <w:rPr>
          <w:rFonts w:ascii="宋体" w:hAnsi="宋体" w:cs="宋体" w:eastAsia="宋体"/>
          <w:sz w:val="24"/>
        </w:rPr>
        <w:t>的</w:t>
      </w:r>
      <w:r>
        <w:rPr>
          <w:rFonts w:ascii="宋体" w:hAnsi="宋体" w:cs="宋体" w:eastAsia="宋体"/>
          <w:sz w:val="24"/>
        </w:rPr>
        <w:t>解除或终止</w:t>
      </w:r>
      <w:r>
        <w:rPr>
          <w:rFonts w:ascii="宋体" w:hAnsi="宋体" w:cs="宋体" w:eastAsia="宋体"/>
          <w:sz w:val="24"/>
        </w:rPr>
        <w:t>而终止</w:t>
      </w:r>
      <w:r>
        <w:rPr>
          <w:rFonts w:ascii="宋体" w:hAnsi="宋体" w:cs="宋体" w:eastAsia="宋体"/>
          <w:sz w:val="24"/>
        </w:rPr>
        <w:t>。</w:t>
      </w:r>
    </w:p>
    <w:p>
      <w:pPr>
        <w:pStyle w:val="null3"/>
        <w:numPr>
          <w:ilvl w:val="0"/>
          <w:numId w:val="2"/>
        </w:numPr>
        <w:ind w:left="420"/>
        <w:jc w:val="left"/>
      </w:pPr>
      <w:r>
        <w:rPr>
          <w:rFonts w:ascii="宋体" w:hAnsi="宋体" w:cs="宋体" w:eastAsia="宋体"/>
          <w:sz w:val="24"/>
          <w:b/>
        </w:rPr>
        <w:t>违约责任</w:t>
      </w:r>
    </w:p>
    <w:p>
      <w:pPr>
        <w:pStyle w:val="null3"/>
        <w:ind w:firstLine="480"/>
        <w:jc w:val="both"/>
      </w:pPr>
      <w:r>
        <w:rPr>
          <w:rFonts w:ascii="calibri" w:hAnsi="calibri" w:cs="calibri" w:eastAsia="calibri"/>
          <w:sz w:val="24"/>
        </w:rPr>
        <w:t xml:space="preserve">9.1 </w:t>
      </w:r>
      <w:r>
        <w:rPr>
          <w:rFonts w:ascii="宋体" w:hAnsi="宋体" w:cs="宋体" w:eastAsia="宋体"/>
          <w:sz w:val="24"/>
        </w:rPr>
        <w:t>任何一方未按本合同的约定履行义务均构成违约。任何一方的违约行为给对方造成损失的，应予以赔偿；任何一方的违约行为致使本合同目的不能实现的，守约方有权解除本合同，要求违约方</w:t>
      </w:r>
      <w:r>
        <w:rPr>
          <w:rFonts w:ascii="宋体" w:hAnsi="宋体" w:cs="宋体" w:eastAsia="宋体"/>
          <w:sz w:val="24"/>
        </w:rPr>
        <w:t>赔偿全部损失</w:t>
      </w:r>
      <w:r>
        <w:rPr>
          <w:rFonts w:ascii="宋体" w:hAnsi="宋体" w:cs="宋体" w:eastAsia="宋体"/>
          <w:sz w:val="24"/>
        </w:rPr>
        <w:t>，</w:t>
      </w:r>
      <w:r>
        <w:rPr>
          <w:rFonts w:ascii="宋体" w:hAnsi="宋体" w:cs="宋体" w:eastAsia="宋体"/>
          <w:sz w:val="24"/>
        </w:rPr>
        <w:t>同时</w:t>
      </w:r>
      <w:r>
        <w:rPr>
          <w:rFonts w:ascii="宋体" w:hAnsi="宋体" w:cs="宋体" w:eastAsia="宋体"/>
          <w:sz w:val="24"/>
        </w:rPr>
        <w:t>违约方应向守约方</w:t>
      </w:r>
      <w:r>
        <w:rPr>
          <w:rFonts w:ascii="宋体" w:hAnsi="宋体" w:cs="宋体" w:eastAsia="宋体"/>
          <w:sz w:val="24"/>
        </w:rPr>
        <w:t>支付</w:t>
      </w:r>
      <w:r>
        <w:rPr>
          <w:rFonts w:ascii="宋体" w:hAnsi="宋体" w:cs="宋体" w:eastAsia="宋体"/>
          <w:sz w:val="24"/>
        </w:rPr>
        <w:t>合同总金额</w:t>
      </w:r>
      <w:r>
        <w:rPr>
          <w:rFonts w:ascii="calibri" w:hAnsi="calibri" w:cs="calibri" w:eastAsia="calibri"/>
          <w:sz w:val="24"/>
        </w:rPr>
        <w:t>1</w:t>
      </w:r>
      <w:r>
        <w:rPr>
          <w:rFonts w:ascii="calibri" w:hAnsi="calibri" w:cs="calibri" w:eastAsia="calibri"/>
          <w:sz w:val="24"/>
        </w:rPr>
        <w:t>0%</w:t>
      </w:r>
      <w:r>
        <w:rPr>
          <w:rFonts w:ascii="宋体" w:hAnsi="宋体" w:cs="宋体" w:eastAsia="宋体"/>
          <w:sz w:val="24"/>
        </w:rPr>
        <w:t>的违约金</w:t>
      </w:r>
      <w:r>
        <w:rPr>
          <w:rFonts w:ascii="宋体" w:hAnsi="宋体" w:cs="宋体" w:eastAsia="宋体"/>
          <w:sz w:val="24"/>
        </w:rPr>
        <w:t>。本条或本合同其他条款另有约定的，从其约定。</w:t>
      </w:r>
    </w:p>
    <w:p>
      <w:pPr>
        <w:pStyle w:val="null3"/>
        <w:ind w:firstLine="480"/>
        <w:jc w:val="left"/>
      </w:pPr>
      <w:r>
        <w:rPr>
          <w:rFonts w:ascii="&quot;times new roman&quot;" w:hAnsi="&quot;times new roman&quot;" w:cs="&quot;times new roman&quot;" w:eastAsia="&quot;times new roman&quot;"/>
          <w:sz w:val="24"/>
          <w:i/>
        </w:rPr>
        <w:t xml:space="preserve">9.2 </w:t>
      </w:r>
      <w:r>
        <w:rPr>
          <w:rFonts w:ascii="宋体" w:hAnsi="宋体" w:cs="宋体" w:eastAsia="宋体"/>
          <w:sz w:val="24"/>
          <w:i/>
        </w:rPr>
        <w:t>乙方未按本合同的约定向甲方提供产品、技术服务，或提供的产品、技术服务不合格的，甲方有权要求乙方在甲方规定的时间内进行整改。乙方未整改或整改后仍不符合甲方要求的，则从乙方未整改或整改仍不符合要求之日起，甲方有权要求乙方每日按合同总金</w:t>
      </w:r>
      <w:r>
        <w:rPr>
          <w:rFonts w:ascii="宋体" w:hAnsi="宋体" w:cs="宋体" w:eastAsia="宋体"/>
          <w:sz w:val="24"/>
          <w:i/>
        </w:rPr>
        <w:t>额</w:t>
      </w:r>
      <w:r>
        <w:rPr>
          <w:rFonts w:ascii="&quot;times new roman&quot;" w:hAnsi="&quot;times new roman&quot;" w:cs="&quot;times new roman&quot;" w:eastAsia="&quot;times new roman&quot;"/>
          <w:sz w:val="24"/>
          <w:i/>
        </w:rPr>
        <w:t>1.5‰</w:t>
      </w:r>
      <w:r>
        <w:rPr>
          <w:rFonts w:ascii="宋体" w:hAnsi="宋体" w:cs="宋体" w:eastAsia="宋体"/>
          <w:sz w:val="24"/>
          <w:i/>
        </w:rPr>
        <w:t>支付违约金。当乙方需支付的违约金累计达到合同总金额的</w:t>
      </w:r>
      <w:r>
        <w:rPr>
          <w:rFonts w:ascii="&quot;times new roman&quot;" w:hAnsi="&quot;times new roman&quot;" w:cs="&quot;times new roman&quot;" w:eastAsia="&quot;times new roman&quot;"/>
          <w:sz w:val="24"/>
          <w:i/>
        </w:rPr>
        <w:t>5%</w:t>
      </w:r>
      <w:r>
        <w:rPr>
          <w:rFonts w:ascii="宋体" w:hAnsi="宋体" w:cs="宋体" w:eastAsia="宋体"/>
          <w:sz w:val="24"/>
          <w:i/>
        </w:rPr>
        <w:t>时，甲方有权选择单方解除本合同</w:t>
      </w:r>
      <w:r>
        <w:rPr>
          <w:rFonts w:ascii="宋体" w:hAnsi="宋体" w:cs="宋体" w:eastAsia="宋体"/>
          <w:sz w:val="24"/>
          <w:i/>
        </w:rPr>
        <w:t>并</w:t>
      </w:r>
      <w:r>
        <w:rPr>
          <w:rFonts w:ascii="宋体" w:hAnsi="宋体" w:cs="宋体" w:eastAsia="宋体"/>
          <w:sz w:val="24"/>
          <w:i/>
        </w:rPr>
        <w:t>要求乙方按合同总金额的</w:t>
      </w:r>
      <w:r>
        <w:rPr>
          <w:rFonts w:ascii="&quot;times new roman&quot;" w:hAnsi="&quot;times new roman&quot;" w:cs="&quot;times new roman&quot;" w:eastAsia="&quot;times new roman&quot;"/>
          <w:sz w:val="24"/>
          <w:i/>
        </w:rPr>
        <w:t>10%</w:t>
      </w:r>
      <w:r>
        <w:rPr>
          <w:rFonts w:ascii="宋体" w:hAnsi="宋体" w:cs="宋体" w:eastAsia="宋体"/>
          <w:sz w:val="24"/>
          <w:i/>
        </w:rPr>
        <w:t>向甲方支付违约金。甲方因此受到损失的，乙方赔偿甲方的损失。本条或本合同其他条款另有约定的，从其约定。</w:t>
      </w:r>
    </w:p>
    <w:p>
      <w:pPr>
        <w:pStyle w:val="null3"/>
        <w:ind w:right="-15" w:firstLine="448"/>
        <w:jc w:val="both"/>
      </w:pPr>
      <w:r>
        <w:rPr>
          <w:rFonts w:ascii="calibri" w:hAnsi="calibri" w:cs="calibri" w:eastAsia="calibri"/>
          <w:sz w:val="24"/>
        </w:rPr>
        <w:t xml:space="preserve">9.3 </w:t>
      </w:r>
      <w:r>
        <w:rPr>
          <w:rFonts w:ascii="宋体" w:hAnsi="宋体" w:cs="宋体" w:eastAsia="宋体"/>
          <w:sz w:val="24"/>
        </w:rPr>
        <w:t>乙方未在合同约定的期限内履行安装、调试、维保、培训等任何一项义务的，甲方有权要求乙方在甲方规定的时间内</w:t>
      </w:r>
      <w:r>
        <w:rPr>
          <w:rFonts w:ascii="宋体" w:hAnsi="宋体" w:cs="宋体" w:eastAsia="宋体"/>
          <w:sz w:val="24"/>
        </w:rPr>
        <w:t>整改</w:t>
      </w:r>
      <w:r>
        <w:rPr>
          <w:rFonts w:ascii="宋体" w:hAnsi="宋体" w:cs="宋体" w:eastAsia="宋体"/>
          <w:sz w:val="24"/>
        </w:rPr>
        <w:t>。乙方未</w:t>
      </w:r>
      <w:r>
        <w:rPr>
          <w:rFonts w:ascii="宋体" w:hAnsi="宋体" w:cs="宋体" w:eastAsia="宋体"/>
          <w:sz w:val="24"/>
        </w:rPr>
        <w:t>整改</w:t>
      </w:r>
      <w:r>
        <w:rPr>
          <w:rFonts w:ascii="宋体" w:hAnsi="宋体" w:cs="宋体" w:eastAsia="宋体"/>
          <w:sz w:val="24"/>
        </w:rPr>
        <w:t>或经</w:t>
      </w:r>
      <w:r>
        <w:rPr>
          <w:rFonts w:ascii="宋体" w:hAnsi="宋体" w:cs="宋体" w:eastAsia="宋体"/>
          <w:sz w:val="24"/>
        </w:rPr>
        <w:t>整改后</w:t>
      </w:r>
      <w:r>
        <w:rPr>
          <w:rFonts w:ascii="宋体" w:hAnsi="宋体" w:cs="宋体" w:eastAsia="宋体"/>
          <w:sz w:val="24"/>
        </w:rPr>
        <w:t>仍不符合甲方要求的，则从乙方未整改或经整改仍不符合要求之日起，甲方有权要求乙方每日按合同总金额</w:t>
      </w:r>
      <w:r>
        <w:rPr>
          <w:rFonts w:ascii="calibri" w:hAnsi="calibri" w:cs="calibri" w:eastAsia="calibri"/>
          <w:sz w:val="24"/>
        </w:rPr>
        <w:t>1.5‰</w:t>
      </w:r>
      <w:r>
        <w:rPr>
          <w:rFonts w:ascii="宋体" w:hAnsi="宋体" w:cs="宋体" w:eastAsia="宋体"/>
          <w:sz w:val="24"/>
        </w:rPr>
        <w:t>支付违约</w:t>
      </w:r>
      <w:r>
        <w:rPr>
          <w:rFonts w:ascii="宋体" w:hAnsi="宋体" w:cs="宋体" w:eastAsia="宋体"/>
          <w:sz w:val="24"/>
        </w:rPr>
        <w:t>金。当乙方需支付的违约金累计达到合同总金额的</w:t>
      </w:r>
      <w:r>
        <w:rPr>
          <w:rFonts w:ascii="calibri" w:hAnsi="calibri" w:cs="calibri" w:eastAsia="calibri"/>
          <w:sz w:val="24"/>
        </w:rPr>
        <w:t>5%</w:t>
      </w:r>
      <w:r>
        <w:rPr>
          <w:rFonts w:ascii="宋体" w:hAnsi="宋体" w:cs="宋体" w:eastAsia="宋体"/>
          <w:sz w:val="24"/>
        </w:rPr>
        <w:t>时，甲方有权选择单方解除本合同</w:t>
      </w:r>
      <w:r>
        <w:rPr>
          <w:rFonts w:ascii="宋体" w:hAnsi="宋体" w:cs="宋体" w:eastAsia="宋体"/>
          <w:sz w:val="24"/>
        </w:rPr>
        <w:t>并</w:t>
      </w:r>
      <w:r>
        <w:rPr>
          <w:rFonts w:ascii="宋体" w:hAnsi="宋体" w:cs="宋体" w:eastAsia="宋体"/>
          <w:sz w:val="24"/>
        </w:rPr>
        <w:t>要求乙方按合同总金额的</w:t>
      </w:r>
      <w:r>
        <w:rPr>
          <w:rFonts w:ascii="calibri" w:hAnsi="calibri" w:cs="calibri" w:eastAsia="calibri"/>
          <w:sz w:val="24"/>
        </w:rPr>
        <w:t>10%</w:t>
      </w:r>
      <w:r>
        <w:rPr>
          <w:rFonts w:ascii="宋体" w:hAnsi="宋体" w:cs="宋体" w:eastAsia="宋体"/>
          <w:sz w:val="24"/>
        </w:rPr>
        <w:t>向甲方支付违约金。甲方因此受到损失的，乙方赔偿甲方的损失</w:t>
      </w:r>
      <w:r>
        <w:rPr>
          <w:rFonts w:ascii="宋体" w:hAnsi="宋体" w:cs="宋体" w:eastAsia="宋体"/>
          <w:sz w:val="24"/>
        </w:rPr>
        <w:t>。本条或本合同其他条款另有约定的，从其约定</w:t>
      </w:r>
      <w:r>
        <w:rPr>
          <w:rFonts w:ascii="宋体" w:hAnsi="宋体" w:cs="宋体" w:eastAsia="宋体"/>
          <w:sz w:val="24"/>
        </w:rPr>
        <w:t>。</w:t>
      </w:r>
    </w:p>
    <w:p>
      <w:pPr>
        <w:pStyle w:val="null3"/>
        <w:ind w:firstLine="480"/>
        <w:jc w:val="both"/>
      </w:pPr>
      <w:r>
        <w:rPr>
          <w:rFonts w:ascii="calibri" w:hAnsi="calibri" w:cs="calibri" w:eastAsia="calibri"/>
          <w:sz w:val="24"/>
        </w:rPr>
        <w:t xml:space="preserve">9.4 </w:t>
      </w:r>
      <w:r>
        <w:rPr>
          <w:rFonts w:ascii="宋体" w:hAnsi="宋体" w:cs="宋体" w:eastAsia="宋体"/>
          <w:sz w:val="24"/>
        </w:rPr>
        <w:t>如</w:t>
      </w:r>
      <w:r>
        <w:rPr>
          <w:rFonts w:ascii="宋体" w:hAnsi="宋体" w:cs="宋体" w:eastAsia="宋体"/>
          <w:sz w:val="24"/>
        </w:rPr>
        <w:t>乙方提供的产品</w:t>
      </w:r>
      <w:r>
        <w:rPr>
          <w:rFonts w:ascii="宋体" w:hAnsi="宋体" w:cs="宋体" w:eastAsia="宋体"/>
          <w:sz w:val="24"/>
        </w:rPr>
        <w:t>或</w:t>
      </w:r>
      <w:r>
        <w:rPr>
          <w:rFonts w:ascii="宋体" w:hAnsi="宋体" w:cs="宋体" w:eastAsia="宋体"/>
          <w:sz w:val="24"/>
        </w:rPr>
        <w:t>技术服务侵犯甲方或任何第三方的</w:t>
      </w:r>
      <w:r>
        <w:rPr>
          <w:rFonts w:ascii="宋体" w:hAnsi="宋体" w:cs="宋体" w:eastAsia="宋体"/>
          <w:sz w:val="24"/>
        </w:rPr>
        <w:t>合法权益</w:t>
      </w:r>
      <w:r>
        <w:rPr>
          <w:rFonts w:ascii="宋体" w:hAnsi="宋体" w:cs="宋体" w:eastAsia="宋体"/>
          <w:sz w:val="24"/>
        </w:rPr>
        <w:t>，乙方</w:t>
      </w:r>
      <w:r>
        <w:rPr>
          <w:rFonts w:ascii="宋体" w:hAnsi="宋体" w:cs="宋体" w:eastAsia="宋体"/>
          <w:sz w:val="24"/>
        </w:rPr>
        <w:t>应负责</w:t>
      </w:r>
      <w:r>
        <w:rPr>
          <w:rFonts w:ascii="宋体" w:hAnsi="宋体" w:cs="宋体" w:eastAsia="宋体"/>
          <w:sz w:val="24"/>
        </w:rPr>
        <w:t>相关争议事项的处理并承担全部费用。如乙方未在甲方</w:t>
      </w:r>
      <w:r>
        <w:rPr>
          <w:rFonts w:ascii="宋体" w:hAnsi="宋体" w:cs="宋体" w:eastAsia="宋体"/>
          <w:sz w:val="24"/>
        </w:rPr>
        <w:t>规定的期限内妥善处理、</w:t>
      </w:r>
      <w:r>
        <w:rPr>
          <w:rFonts w:ascii="宋体" w:hAnsi="宋体" w:cs="宋体" w:eastAsia="宋体"/>
          <w:sz w:val="24"/>
        </w:rPr>
        <w:t>消除影响</w:t>
      </w:r>
      <w:r>
        <w:rPr>
          <w:rFonts w:ascii="宋体" w:hAnsi="宋体" w:cs="宋体" w:eastAsia="宋体"/>
          <w:sz w:val="24"/>
        </w:rPr>
        <w:t>并</w:t>
      </w:r>
      <w:r>
        <w:rPr>
          <w:rFonts w:ascii="宋体" w:hAnsi="宋体" w:cs="宋体" w:eastAsia="宋体"/>
          <w:sz w:val="24"/>
        </w:rPr>
        <w:t>完成整改，</w:t>
      </w:r>
      <w:r>
        <w:rPr>
          <w:rFonts w:ascii="宋体" w:hAnsi="宋体" w:cs="宋体" w:eastAsia="宋体"/>
          <w:sz w:val="24"/>
        </w:rPr>
        <w:t>甲方有权解除合同，要求乙方</w:t>
      </w:r>
      <w:r>
        <w:rPr>
          <w:rFonts w:ascii="宋体" w:hAnsi="宋体" w:cs="宋体" w:eastAsia="宋体"/>
          <w:sz w:val="24"/>
        </w:rPr>
        <w:t>支付合同总金额</w:t>
      </w:r>
      <w:r>
        <w:rPr>
          <w:rFonts w:ascii="calibri" w:hAnsi="calibri" w:cs="calibri" w:eastAsia="calibri"/>
          <w:sz w:val="24"/>
        </w:rPr>
        <w:t>10%</w:t>
      </w:r>
      <w:r>
        <w:rPr>
          <w:rFonts w:ascii="宋体" w:hAnsi="宋体" w:cs="宋体" w:eastAsia="宋体"/>
          <w:sz w:val="24"/>
        </w:rPr>
        <w:t>的违约金。</w:t>
      </w:r>
      <w:r>
        <w:rPr>
          <w:rFonts w:ascii="宋体" w:hAnsi="宋体" w:cs="宋体" w:eastAsia="宋体"/>
          <w:sz w:val="24"/>
        </w:rPr>
        <w:t>甲方因此受到损失的，乙方赔偿甲方</w:t>
      </w:r>
      <w:r>
        <w:rPr>
          <w:rFonts w:ascii="宋体" w:hAnsi="宋体" w:cs="宋体" w:eastAsia="宋体"/>
          <w:sz w:val="24"/>
        </w:rPr>
        <w:t>的全部损失。</w:t>
      </w:r>
    </w:p>
    <w:p>
      <w:pPr>
        <w:pStyle w:val="null3"/>
        <w:ind w:right="-15" w:firstLine="448"/>
        <w:jc w:val="both"/>
      </w:pPr>
      <w:r>
        <w:rPr>
          <w:rFonts w:ascii="calibri" w:hAnsi="calibri" w:cs="calibri" w:eastAsia="calibri"/>
          <w:sz w:val="24"/>
        </w:rPr>
        <w:t xml:space="preserve">9.5 </w:t>
      </w:r>
      <w:r>
        <w:rPr>
          <w:rFonts w:ascii="宋体" w:hAnsi="宋体" w:cs="宋体" w:eastAsia="宋体"/>
          <w:sz w:val="24"/>
        </w:rPr>
        <w:t>乙方未履行本合同约定的保密义务、网络及数据安全义务，或提供虚假的材料，违反承诺与保证等，甲方有权要求乙方在规定的时间内进行整改。乙方未整改或整改后仍不符合要求的，甲方有权解除本合同，要求乙方向甲方支付合同总金额</w:t>
      </w:r>
      <w:r>
        <w:rPr>
          <w:rFonts w:ascii="calibri" w:hAnsi="calibri" w:cs="calibri" w:eastAsia="calibri"/>
          <w:sz w:val="24"/>
        </w:rPr>
        <w:t>10%</w:t>
      </w:r>
      <w:r>
        <w:rPr>
          <w:rFonts w:ascii="宋体" w:hAnsi="宋体" w:cs="宋体" w:eastAsia="宋体"/>
          <w:sz w:val="24"/>
        </w:rPr>
        <w:t>的违约金。甲方因此遭受损失的，乙方应予以赔偿。</w:t>
      </w:r>
    </w:p>
    <w:p>
      <w:pPr>
        <w:pStyle w:val="null3"/>
        <w:ind w:right="-15" w:firstLine="448"/>
        <w:jc w:val="both"/>
      </w:pPr>
      <w:r>
        <w:rPr>
          <w:rFonts w:ascii="calibri" w:hAnsi="calibri" w:cs="calibri" w:eastAsia="calibri"/>
          <w:sz w:val="24"/>
        </w:rPr>
        <w:t xml:space="preserve">9.6 </w:t>
      </w:r>
      <w:r>
        <w:rPr>
          <w:rFonts w:ascii="宋体" w:hAnsi="宋体" w:cs="宋体" w:eastAsia="宋体"/>
          <w:sz w:val="24"/>
        </w:rPr>
        <w:t>乙方擅自将本合同项下的权利义务转包或分包给第三方，甲方有权解除合同，并要求乙方赔偿甲方因此遭受的全部损失，同时有权主张乙方支付甲方合同总金额</w:t>
      </w:r>
      <w:r>
        <w:rPr>
          <w:rFonts w:ascii="calibri" w:hAnsi="calibri" w:cs="calibri" w:eastAsia="calibri"/>
          <w:sz w:val="24"/>
        </w:rPr>
        <w:t>10%</w:t>
      </w:r>
      <w:r>
        <w:rPr>
          <w:rFonts w:ascii="宋体" w:hAnsi="宋体" w:cs="宋体" w:eastAsia="宋体"/>
          <w:sz w:val="24"/>
        </w:rPr>
        <w:t>的违约金。同时，乙方转包、分包部分的费用</w:t>
      </w:r>
      <w:r>
        <w:rPr>
          <w:rFonts w:ascii="宋体" w:hAnsi="宋体" w:cs="宋体" w:eastAsia="宋体"/>
          <w:sz w:val="24"/>
        </w:rPr>
        <w:t>由乙方承担</w:t>
      </w:r>
      <w:r>
        <w:rPr>
          <w:rFonts w:ascii="宋体" w:hAnsi="宋体" w:cs="宋体" w:eastAsia="宋体"/>
          <w:sz w:val="24"/>
        </w:rPr>
        <w:t>。</w:t>
      </w:r>
    </w:p>
    <w:p>
      <w:pPr>
        <w:pStyle w:val="null3"/>
        <w:ind w:right="-15" w:firstLine="448"/>
        <w:jc w:val="both"/>
      </w:pPr>
      <w:r>
        <w:rPr>
          <w:rFonts w:ascii="calibri" w:hAnsi="calibri" w:cs="calibri" w:eastAsia="calibri"/>
          <w:sz w:val="24"/>
        </w:rPr>
        <w:t>9.</w:t>
      </w:r>
      <w:r>
        <w:rPr>
          <w:rFonts w:ascii="calibri" w:hAnsi="calibri" w:cs="calibri" w:eastAsia="calibri"/>
          <w:sz w:val="24"/>
        </w:rPr>
        <w:t>7</w:t>
      </w:r>
      <w:r>
        <w:rPr>
          <w:rFonts w:ascii="calibri" w:hAnsi="calibri" w:cs="calibri" w:eastAsia="calibri"/>
          <w:sz w:val="24"/>
        </w:rPr>
        <w:t xml:space="preserve"> </w:t>
      </w:r>
      <w:r>
        <w:rPr>
          <w:rFonts w:ascii="宋体" w:hAnsi="宋体" w:cs="宋体" w:eastAsia="宋体"/>
          <w:sz w:val="24"/>
        </w:rPr>
        <w:t>乙方提供的产品部分合格的，甲方有权按照</w:t>
      </w:r>
      <w:r>
        <w:rPr>
          <w:rFonts w:ascii="宋体" w:hAnsi="宋体" w:cs="宋体" w:eastAsia="宋体"/>
          <w:sz w:val="24"/>
        </w:rPr>
        <w:t>乙方</w:t>
      </w:r>
      <w:r>
        <w:rPr>
          <w:rFonts w:ascii="宋体" w:hAnsi="宋体" w:cs="宋体" w:eastAsia="宋体"/>
          <w:sz w:val="24"/>
        </w:rPr>
        <w:t>实际提供</w:t>
      </w:r>
      <w:r>
        <w:rPr>
          <w:rFonts w:ascii="宋体" w:hAnsi="宋体" w:cs="宋体" w:eastAsia="宋体"/>
          <w:sz w:val="24"/>
        </w:rPr>
        <w:t>合格</w:t>
      </w:r>
      <w:r>
        <w:rPr>
          <w:rFonts w:ascii="宋体" w:hAnsi="宋体" w:cs="宋体" w:eastAsia="宋体"/>
          <w:sz w:val="24"/>
        </w:rPr>
        <w:t>产品的比例进行付款。</w:t>
      </w:r>
    </w:p>
    <w:p>
      <w:pPr>
        <w:pStyle w:val="null3"/>
        <w:ind w:right="-15" w:firstLine="448"/>
        <w:jc w:val="both"/>
      </w:pPr>
      <w:r>
        <w:rPr>
          <w:rFonts w:ascii="calibri" w:hAnsi="calibri" w:cs="calibri" w:eastAsia="calibri"/>
          <w:sz w:val="24"/>
        </w:rPr>
        <w:t>9.</w:t>
      </w:r>
      <w:r>
        <w:rPr>
          <w:rFonts w:ascii="calibri" w:hAnsi="calibri" w:cs="calibri" w:eastAsia="calibri"/>
          <w:sz w:val="24"/>
        </w:rPr>
        <w:t>8</w:t>
      </w:r>
      <w:r>
        <w:rPr>
          <w:rFonts w:ascii="calibri" w:hAnsi="calibri" w:cs="calibri" w:eastAsia="calibri"/>
          <w:sz w:val="21"/>
        </w:rPr>
        <w:t xml:space="preserve"> </w:t>
      </w:r>
      <w:r>
        <w:rPr>
          <w:rFonts w:ascii="宋体" w:hAnsi="宋体" w:cs="宋体" w:eastAsia="宋体"/>
          <w:sz w:val="24"/>
        </w:rPr>
        <w:t>任何一方</w:t>
      </w:r>
      <w:r>
        <w:rPr>
          <w:rFonts w:ascii="宋体" w:hAnsi="宋体" w:cs="宋体" w:eastAsia="宋体"/>
          <w:sz w:val="24"/>
        </w:rPr>
        <w:t>承担违约责任并不影响双方继续履行合同未履行的部分。</w:t>
      </w:r>
    </w:p>
    <w:p>
      <w:pPr>
        <w:pStyle w:val="null3"/>
        <w:ind w:right="-15" w:firstLine="448"/>
        <w:jc w:val="both"/>
      </w:pPr>
      <w:r>
        <w:rPr>
          <w:rFonts w:ascii="calibri" w:hAnsi="calibri" w:cs="calibri" w:eastAsia="calibri"/>
          <w:sz w:val="24"/>
        </w:rPr>
        <w:t>9.</w:t>
      </w:r>
      <w:r>
        <w:rPr>
          <w:rFonts w:ascii="calibri" w:hAnsi="calibri" w:cs="calibri" w:eastAsia="calibri"/>
          <w:sz w:val="24"/>
        </w:rPr>
        <w:t>9</w:t>
      </w:r>
      <w:r>
        <w:rPr>
          <w:rFonts w:ascii="calibri" w:hAnsi="calibri" w:cs="calibri" w:eastAsia="calibri"/>
          <w:sz w:val="21"/>
        </w:rPr>
        <w:t xml:space="preserve"> </w:t>
      </w:r>
      <w:r>
        <w:rPr>
          <w:rFonts w:ascii="宋体" w:hAnsi="宋体" w:cs="宋体" w:eastAsia="宋体"/>
          <w:sz w:val="24"/>
        </w:rPr>
        <w:t>如果乙方在收到甲方关于违约金额</w:t>
      </w:r>
      <w:r>
        <w:rPr>
          <w:rFonts w:ascii="宋体" w:hAnsi="宋体" w:cs="宋体" w:eastAsia="宋体"/>
          <w:sz w:val="24"/>
        </w:rPr>
        <w:t>、</w:t>
      </w:r>
      <w:r>
        <w:rPr>
          <w:rFonts w:ascii="宋体" w:hAnsi="宋体" w:cs="宋体" w:eastAsia="宋体"/>
          <w:sz w:val="24"/>
        </w:rPr>
        <w:t>赔偿金额</w:t>
      </w:r>
      <w:r>
        <w:rPr>
          <w:rFonts w:ascii="宋体" w:hAnsi="宋体" w:cs="宋体" w:eastAsia="宋体"/>
          <w:sz w:val="24"/>
        </w:rPr>
        <w:t>的书面通知</w:t>
      </w:r>
      <w:r>
        <w:rPr>
          <w:rFonts w:ascii="宋体" w:hAnsi="宋体" w:cs="宋体" w:eastAsia="宋体"/>
          <w:sz w:val="24"/>
        </w:rPr>
        <w:t>（</w:t>
      </w:r>
      <w:r>
        <w:rPr>
          <w:rFonts w:ascii="宋体" w:hAnsi="宋体" w:cs="宋体" w:eastAsia="宋体"/>
          <w:sz w:val="24"/>
        </w:rPr>
        <w:t>含电子邮件）</w:t>
      </w:r>
      <w:r>
        <w:rPr>
          <w:rFonts w:ascii="宋体" w:hAnsi="宋体" w:cs="宋体" w:eastAsia="宋体"/>
          <w:sz w:val="24"/>
        </w:rPr>
        <w:t>后十个日历日内没有书面答复，则视为乙方对甲方提出的违约金额</w:t>
      </w:r>
      <w:r>
        <w:rPr>
          <w:rFonts w:ascii="宋体" w:hAnsi="宋体" w:cs="宋体" w:eastAsia="宋体"/>
          <w:sz w:val="24"/>
        </w:rPr>
        <w:t>、</w:t>
      </w:r>
      <w:r>
        <w:rPr>
          <w:rFonts w:ascii="宋体" w:hAnsi="宋体" w:cs="宋体" w:eastAsia="宋体"/>
          <w:sz w:val="24"/>
        </w:rPr>
        <w:t>赔偿金额</w:t>
      </w:r>
      <w:r>
        <w:rPr>
          <w:rFonts w:ascii="宋体" w:hAnsi="宋体" w:cs="宋体" w:eastAsia="宋体"/>
          <w:sz w:val="24"/>
        </w:rPr>
        <w:t>无异议。其后乙方不得以任何原因对该金额提出抗辩。</w:t>
      </w:r>
      <w:r>
        <w:rPr>
          <w:rFonts w:ascii="宋体" w:hAnsi="宋体" w:cs="宋体" w:eastAsia="宋体"/>
          <w:sz w:val="24"/>
        </w:rPr>
        <w:t>乙方根据本合同约定须向甲方支付的违约金或赔偿款，甲方有权在其应付</w:t>
      </w:r>
      <w:r>
        <w:rPr>
          <w:rFonts w:ascii="宋体" w:hAnsi="宋体" w:cs="宋体" w:eastAsia="宋体"/>
          <w:sz w:val="24"/>
        </w:rPr>
        <w:t>乙方</w:t>
      </w:r>
      <w:r>
        <w:rPr>
          <w:rFonts w:ascii="宋体" w:hAnsi="宋体" w:cs="宋体" w:eastAsia="宋体"/>
          <w:sz w:val="24"/>
        </w:rPr>
        <w:t>的</w:t>
      </w:r>
      <w:r>
        <w:rPr>
          <w:rFonts w:ascii="宋体" w:hAnsi="宋体" w:cs="宋体" w:eastAsia="宋体"/>
          <w:sz w:val="24"/>
        </w:rPr>
        <w:t>款项</w:t>
      </w:r>
      <w:r>
        <w:rPr>
          <w:rFonts w:ascii="宋体" w:hAnsi="宋体" w:cs="宋体" w:eastAsia="宋体"/>
          <w:sz w:val="24"/>
        </w:rPr>
        <w:t>中予以直接扣除。</w:t>
      </w:r>
    </w:p>
    <w:p>
      <w:pPr>
        <w:pStyle w:val="null3"/>
        <w:ind w:right="-15" w:firstLine="448"/>
        <w:jc w:val="both"/>
      </w:pPr>
      <w:r>
        <w:rPr>
          <w:rFonts w:ascii="calibri" w:hAnsi="calibri" w:cs="calibri" w:eastAsia="calibri"/>
          <w:sz w:val="24"/>
        </w:rPr>
        <w:t xml:space="preserve">9.10 </w:t>
      </w:r>
      <w:r>
        <w:rPr>
          <w:rFonts w:ascii="宋体" w:hAnsi="宋体" w:cs="宋体" w:eastAsia="宋体"/>
          <w:sz w:val="24"/>
        </w:rPr>
        <w:t>如乙方有本条中的违约情形，甲方有暂停或者在一定期限内取消乙方供应商准入资格的权利。</w:t>
      </w:r>
      <w:r>
        <w:rPr>
          <w:rFonts w:ascii="calibri" w:hAnsi="calibri" w:cs="calibri" w:eastAsia="calibri"/>
          <w:sz w:val="21"/>
        </w:rPr>
        <w:t xml:space="preserve"> </w:t>
      </w:r>
    </w:p>
    <w:p>
      <w:pPr>
        <w:pStyle w:val="null3"/>
        <w:ind w:right="-15" w:firstLine="480"/>
        <w:jc w:val="both"/>
      </w:pPr>
      <w:r>
        <w:rPr>
          <w:rFonts w:ascii="宋体" w:hAnsi="宋体" w:cs="宋体" w:eastAsia="宋体"/>
          <w:sz w:val="24"/>
        </w:rPr>
        <w:t>9.11 如本合同无固定总金额，则以双方当期</w:t>
      </w:r>
      <w:r>
        <w:rPr>
          <w:rFonts w:ascii="宋体" w:hAnsi="宋体" w:cs="宋体" w:eastAsia="宋体"/>
          <w:sz w:val="24"/>
        </w:rPr>
        <w:t>应</w:t>
      </w:r>
      <w:r>
        <w:rPr>
          <w:rFonts w:ascii="宋体" w:hAnsi="宋体" w:cs="宋体" w:eastAsia="宋体"/>
          <w:sz w:val="24"/>
        </w:rPr>
        <w:t>结算金额为基数计算违约金。</w:t>
      </w:r>
    </w:p>
    <w:p>
      <w:pPr>
        <w:pStyle w:val="null3"/>
        <w:ind w:right="-15" w:firstLine="448"/>
        <w:jc w:val="both"/>
      </w:pPr>
      <w:r>
        <w:rPr>
          <w:rFonts w:ascii="宋体" w:hAnsi="宋体" w:cs="宋体" w:eastAsia="宋体"/>
          <w:sz w:val="24"/>
        </w:rPr>
        <w:t>9.12 a）如乙方提供的【产品不满足采购需求中的“技术要求”】等导致履约异常事件，每发生一次，乙方应按照该批次货物（以供货通知为准）总金额的1‰且不低于5000元人民币的比例向甲方支付违约金。</w:t>
      </w:r>
    </w:p>
    <w:p>
      <w:pPr>
        <w:pStyle w:val="null3"/>
        <w:ind w:right="-15" w:firstLine="448"/>
        <w:jc w:val="both"/>
      </w:pPr>
      <w:r>
        <w:rPr>
          <w:rFonts w:ascii="宋体" w:hAnsi="宋体" w:cs="宋体" w:eastAsia="宋体"/>
          <w:sz w:val="24"/>
        </w:rPr>
        <w:t>同时甲方有权要求乙方整改或重新供货，如乙方未在甲方规定的期限内完成整改、支付的违约金累计达到该批次货物总金额的</w:t>
      </w:r>
      <w:r>
        <w:rPr>
          <w:rFonts w:ascii="宋体" w:hAnsi="宋体" w:cs="宋体" w:eastAsia="宋体"/>
          <w:sz w:val="24"/>
        </w:rPr>
        <w:t>5%，则甲方有权解除合同。</w:t>
      </w:r>
    </w:p>
    <w:p>
      <w:pPr>
        <w:pStyle w:val="null3"/>
        <w:ind w:right="-15" w:firstLine="448"/>
        <w:jc w:val="both"/>
      </w:pPr>
      <w:r>
        <w:rPr>
          <w:rFonts w:ascii="宋体" w:hAnsi="宋体" w:cs="宋体" w:eastAsia="宋体"/>
          <w:sz w:val="24"/>
        </w:rPr>
        <w:t>9.12 b）乙方未在合同约定的期限内履行采购需求中约定【设备故障排除、电话技术支持、重要保障、辅助故障定位、微码升级、备品备件及其他维保服务要求】等服务内容、或服务不满足合同要求等履约异常事件，每发生一次，乙方应支付违约金，违约金以下述计算方法较高者为准。</w:t>
      </w:r>
    </w:p>
    <w:p>
      <w:pPr>
        <w:pStyle w:val="null3"/>
        <w:ind w:right="-15" w:firstLine="448"/>
        <w:jc w:val="both"/>
      </w:pPr>
      <w:r>
        <w:rPr>
          <w:rFonts w:ascii="宋体" w:hAnsi="宋体" w:cs="宋体" w:eastAsia="宋体"/>
          <w:sz w:val="24"/>
        </w:rPr>
        <w:t>计算方法</w:t>
      </w:r>
      <w:r>
        <w:rPr>
          <w:rFonts w:ascii="宋体" w:hAnsi="宋体" w:cs="宋体" w:eastAsia="宋体"/>
          <w:sz w:val="24"/>
        </w:rPr>
        <w:t>1：如合同中明确提供了该项服务的报价、且价格不为0零，则扣除该服务异常的验收周期、该项服务的服务费作为违约金。</w:t>
      </w:r>
    </w:p>
    <w:p>
      <w:pPr>
        <w:pStyle w:val="null3"/>
        <w:ind w:right="-15" w:firstLine="448"/>
        <w:jc w:val="both"/>
      </w:pPr>
      <w:r>
        <w:rPr>
          <w:rFonts w:ascii="宋体" w:hAnsi="宋体" w:cs="宋体" w:eastAsia="宋体"/>
          <w:sz w:val="24"/>
        </w:rPr>
        <w:t>计算方法</w:t>
      </w:r>
      <w:r>
        <w:rPr>
          <w:rFonts w:ascii="宋体" w:hAnsi="宋体" w:cs="宋体" w:eastAsia="宋体"/>
          <w:sz w:val="24"/>
        </w:rPr>
        <w:t>2：按照该批次货物（以供货通知为准）、该服务异常的验收周期应支付总金额的1‰且不低于5000元人民币的比例向甲方支付违约金。</w:t>
      </w:r>
    </w:p>
    <w:p>
      <w:pPr>
        <w:pStyle w:val="null3"/>
        <w:ind w:right="-15" w:firstLine="448"/>
        <w:jc w:val="both"/>
      </w:pPr>
      <w:r>
        <w:rPr>
          <w:rFonts w:ascii="宋体" w:hAnsi="宋体" w:cs="宋体" w:eastAsia="宋体"/>
          <w:sz w:val="24"/>
        </w:rPr>
        <w:t>同时甲方有权要求乙方整改，如乙方未在甲方规定的期限内完成整改或支付的违约金累计达到该批次货物总金额的</w:t>
      </w:r>
      <w:r>
        <w:rPr>
          <w:rFonts w:ascii="宋体" w:hAnsi="宋体" w:cs="宋体" w:eastAsia="宋体"/>
          <w:sz w:val="24"/>
        </w:rPr>
        <w:t>5%，则甲方有权解除合同</w:t>
      </w:r>
    </w:p>
    <w:p>
      <w:pPr>
        <w:pStyle w:val="null3"/>
        <w:numPr>
          <w:ilvl w:val="0"/>
          <w:numId w:val="2"/>
        </w:numPr>
        <w:ind w:left="420"/>
        <w:jc w:val="left"/>
      </w:pPr>
      <w:r>
        <w:rPr>
          <w:rFonts w:ascii="宋体" w:hAnsi="宋体" w:cs="宋体" w:eastAsia="宋体"/>
          <w:sz w:val="24"/>
          <w:b/>
        </w:rPr>
        <w:t>不可抗力</w:t>
      </w:r>
    </w:p>
    <w:p>
      <w:pPr>
        <w:pStyle w:val="null3"/>
        <w:ind w:firstLine="480"/>
        <w:jc w:val="both"/>
      </w:pPr>
      <w:r>
        <w:rPr>
          <w:rFonts w:ascii="calibri" w:hAnsi="calibri" w:cs="calibri" w:eastAsia="calibri"/>
          <w:sz w:val="24"/>
        </w:rPr>
        <w:t>10</w:t>
      </w:r>
      <w:r>
        <w:rPr>
          <w:rFonts w:ascii="calibri" w:hAnsi="calibri" w:cs="calibri" w:eastAsia="calibri"/>
          <w:sz w:val="24"/>
        </w:rPr>
        <w:t>.</w:t>
      </w:r>
      <w:r>
        <w:rPr>
          <w:rFonts w:ascii="calibri" w:hAnsi="calibri" w:cs="calibri" w:eastAsia="calibri"/>
          <w:sz w:val="24"/>
        </w:rPr>
        <w:t>1</w:t>
      </w:r>
      <w:r>
        <w:rPr>
          <w:rFonts w:ascii="calibri" w:hAnsi="calibri" w:cs="calibri" w:eastAsia="calibri"/>
          <w:sz w:val="21"/>
        </w:rPr>
        <w:t xml:space="preserve"> </w:t>
      </w:r>
      <w:r>
        <w:rPr>
          <w:rFonts w:ascii="宋体" w:hAnsi="宋体" w:cs="宋体" w:eastAsia="宋体"/>
          <w:sz w:val="24"/>
        </w:rPr>
        <w:t>本合同所称不可抗力，是指</w:t>
      </w:r>
      <w:r>
        <w:rPr>
          <w:rFonts w:ascii="宋体" w:hAnsi="宋体" w:cs="宋体" w:eastAsia="宋体"/>
          <w:sz w:val="24"/>
        </w:rPr>
        <w:t>重大</w:t>
      </w:r>
      <w:r>
        <w:rPr>
          <w:rFonts w:ascii="宋体" w:hAnsi="宋体" w:cs="宋体" w:eastAsia="宋体"/>
          <w:sz w:val="24"/>
        </w:rPr>
        <w:t>地震、台风、水灾、火灾、战争、传染病以及其他不能预见</w:t>
      </w:r>
      <w:r>
        <w:rPr>
          <w:rFonts w:ascii="宋体" w:hAnsi="宋体" w:cs="宋体" w:eastAsia="宋体"/>
          <w:sz w:val="24"/>
        </w:rPr>
        <w:t>、</w:t>
      </w:r>
      <w:r>
        <w:rPr>
          <w:rFonts w:ascii="宋体" w:hAnsi="宋体" w:cs="宋体" w:eastAsia="宋体"/>
          <w:sz w:val="24"/>
        </w:rPr>
        <w:t>不能避免</w:t>
      </w:r>
      <w:r>
        <w:rPr>
          <w:rFonts w:ascii="宋体" w:hAnsi="宋体" w:cs="宋体" w:eastAsia="宋体"/>
          <w:sz w:val="24"/>
        </w:rPr>
        <w:t>且</w:t>
      </w:r>
      <w:r>
        <w:rPr>
          <w:rFonts w:ascii="宋体" w:hAnsi="宋体" w:cs="宋体" w:eastAsia="宋体"/>
          <w:sz w:val="24"/>
        </w:rPr>
        <w:t>不能克服的客观情况。</w:t>
      </w:r>
    </w:p>
    <w:p>
      <w:pPr>
        <w:pStyle w:val="null3"/>
        <w:ind w:firstLine="480"/>
        <w:jc w:val="both"/>
      </w:pPr>
      <w:r>
        <w:rPr>
          <w:rFonts w:ascii="calibri" w:hAnsi="calibri" w:cs="calibri" w:eastAsia="calibri"/>
          <w:sz w:val="24"/>
        </w:rPr>
        <w:t>10</w:t>
      </w:r>
      <w:r>
        <w:rPr>
          <w:rFonts w:ascii="calibri" w:hAnsi="calibri" w:cs="calibri" w:eastAsia="calibri"/>
          <w:sz w:val="24"/>
        </w:rPr>
        <w:t>.</w:t>
      </w:r>
      <w:r>
        <w:rPr>
          <w:rFonts w:ascii="calibri" w:hAnsi="calibri" w:cs="calibri" w:eastAsia="calibri"/>
          <w:sz w:val="24"/>
        </w:rPr>
        <w:t>2</w:t>
      </w:r>
      <w:r>
        <w:rPr>
          <w:rFonts w:ascii="calibri" w:hAnsi="calibri" w:cs="calibri" w:eastAsia="calibri"/>
          <w:sz w:val="21"/>
        </w:rPr>
        <w:t xml:space="preserve"> </w:t>
      </w:r>
      <w:r>
        <w:rPr>
          <w:rFonts w:ascii="宋体" w:hAnsi="宋体" w:cs="宋体" w:eastAsia="宋体"/>
          <w:sz w:val="24"/>
        </w:rPr>
        <w:t>任何一方</w:t>
      </w:r>
      <w:r>
        <w:rPr>
          <w:rFonts w:ascii="宋体" w:hAnsi="宋体" w:cs="宋体" w:eastAsia="宋体"/>
          <w:sz w:val="24"/>
        </w:rPr>
        <w:t>因</w:t>
      </w:r>
      <w:r>
        <w:rPr>
          <w:rFonts w:ascii="宋体" w:hAnsi="宋体" w:cs="宋体" w:eastAsia="宋体"/>
          <w:sz w:val="24"/>
        </w:rPr>
        <w:t>不可抗力</w:t>
      </w:r>
      <w:r>
        <w:rPr>
          <w:rFonts w:ascii="宋体" w:hAnsi="宋体" w:cs="宋体" w:eastAsia="宋体"/>
          <w:sz w:val="24"/>
        </w:rPr>
        <w:t>事件而</w:t>
      </w:r>
      <w:r>
        <w:rPr>
          <w:rFonts w:ascii="宋体" w:hAnsi="宋体" w:cs="宋体" w:eastAsia="宋体"/>
          <w:sz w:val="24"/>
        </w:rPr>
        <w:t>不能履行合同时，应及时向对方通报不能履行或不能完全履行的原因，与对方协商是否延期履行、部分履行或者不履行本合同，</w:t>
      </w:r>
      <w:r>
        <w:rPr>
          <w:rFonts w:ascii="宋体" w:hAnsi="宋体" w:cs="宋体" w:eastAsia="宋体"/>
          <w:sz w:val="24"/>
        </w:rPr>
        <w:t>并对此</w:t>
      </w:r>
      <w:r>
        <w:rPr>
          <w:rFonts w:ascii="宋体" w:hAnsi="宋体" w:cs="宋体" w:eastAsia="宋体"/>
          <w:sz w:val="24"/>
        </w:rPr>
        <w:t>不承担违约责任。</w:t>
      </w:r>
      <w:r>
        <w:rPr>
          <w:rFonts w:ascii="宋体" w:hAnsi="宋体" w:cs="宋体" w:eastAsia="宋体"/>
          <w:sz w:val="24"/>
        </w:rPr>
        <w:t>但</w:t>
      </w:r>
      <w:r>
        <w:rPr>
          <w:rFonts w:ascii="宋体" w:hAnsi="宋体" w:cs="宋体" w:eastAsia="宋体"/>
          <w:sz w:val="24"/>
        </w:rPr>
        <w:t>遭受不可抗力</w:t>
      </w:r>
      <w:r>
        <w:rPr>
          <w:rFonts w:ascii="宋体" w:hAnsi="宋体" w:cs="宋体" w:eastAsia="宋体"/>
          <w:sz w:val="24"/>
        </w:rPr>
        <w:t>事件的</w:t>
      </w:r>
      <w:r>
        <w:rPr>
          <w:rFonts w:ascii="宋体" w:hAnsi="宋体" w:cs="宋体" w:eastAsia="宋体"/>
          <w:sz w:val="24"/>
        </w:rPr>
        <w:t>一方有责任尽可能及时采取措施</w:t>
      </w:r>
      <w:r>
        <w:rPr>
          <w:rFonts w:ascii="宋体" w:hAnsi="宋体" w:cs="宋体" w:eastAsia="宋体"/>
          <w:sz w:val="24"/>
        </w:rPr>
        <w:t>以</w:t>
      </w:r>
      <w:r>
        <w:rPr>
          <w:rFonts w:ascii="宋体" w:hAnsi="宋体" w:cs="宋体" w:eastAsia="宋体"/>
          <w:sz w:val="24"/>
        </w:rPr>
        <w:t>减少</w:t>
      </w:r>
      <w:r>
        <w:rPr>
          <w:rFonts w:ascii="宋体" w:hAnsi="宋体" w:cs="宋体" w:eastAsia="宋体"/>
          <w:sz w:val="24"/>
        </w:rPr>
        <w:t>对方的损失、</w:t>
      </w:r>
      <w:r>
        <w:rPr>
          <w:rFonts w:ascii="宋体" w:hAnsi="宋体" w:cs="宋体" w:eastAsia="宋体"/>
          <w:sz w:val="24"/>
        </w:rPr>
        <w:t>消除不可抗力</w:t>
      </w:r>
      <w:r>
        <w:rPr>
          <w:rFonts w:ascii="宋体" w:hAnsi="宋体" w:cs="宋体" w:eastAsia="宋体"/>
          <w:sz w:val="24"/>
        </w:rPr>
        <w:t>事件</w:t>
      </w:r>
      <w:r>
        <w:rPr>
          <w:rFonts w:ascii="宋体" w:hAnsi="宋体" w:cs="宋体" w:eastAsia="宋体"/>
          <w:sz w:val="24"/>
        </w:rPr>
        <w:t>的影响</w:t>
      </w:r>
      <w:r>
        <w:rPr>
          <w:rFonts w:ascii="宋体" w:hAnsi="宋体" w:cs="宋体" w:eastAsia="宋体"/>
          <w:sz w:val="24"/>
        </w:rPr>
        <w:t>，</w:t>
      </w:r>
      <w:r>
        <w:rPr>
          <w:rFonts w:ascii="宋体" w:hAnsi="宋体" w:cs="宋体" w:eastAsia="宋体"/>
          <w:sz w:val="24"/>
        </w:rPr>
        <w:t>否则对</w:t>
      </w:r>
      <w:r>
        <w:rPr>
          <w:rFonts w:ascii="宋体" w:hAnsi="宋体" w:cs="宋体" w:eastAsia="宋体"/>
          <w:sz w:val="24"/>
        </w:rPr>
        <w:t>未尽本项义务而</w:t>
      </w:r>
      <w:r>
        <w:rPr>
          <w:rFonts w:ascii="宋体" w:hAnsi="宋体" w:cs="宋体" w:eastAsia="宋体"/>
          <w:sz w:val="24"/>
        </w:rPr>
        <w:t>导致</w:t>
      </w:r>
      <w:r>
        <w:rPr>
          <w:rFonts w:ascii="宋体" w:hAnsi="宋体" w:cs="宋体" w:eastAsia="宋体"/>
          <w:sz w:val="24"/>
        </w:rPr>
        <w:t>的损失承担赔偿责任。</w:t>
      </w:r>
    </w:p>
    <w:p>
      <w:pPr>
        <w:pStyle w:val="null3"/>
        <w:ind w:firstLine="480"/>
        <w:jc w:val="both"/>
      </w:pPr>
      <w:r>
        <w:rPr>
          <w:rFonts w:ascii="calibri" w:hAnsi="calibri" w:cs="calibri" w:eastAsia="calibri"/>
          <w:sz w:val="24"/>
        </w:rPr>
        <w:t xml:space="preserve">10.3 </w:t>
      </w:r>
      <w:r>
        <w:rPr>
          <w:rFonts w:ascii="宋体" w:hAnsi="宋体" w:cs="宋体" w:eastAsia="宋体"/>
          <w:sz w:val="24"/>
        </w:rPr>
        <w:t>遭受不可抗力</w:t>
      </w:r>
      <w:r>
        <w:rPr>
          <w:rFonts w:ascii="宋体" w:hAnsi="宋体" w:cs="宋体" w:eastAsia="宋体"/>
          <w:sz w:val="24"/>
        </w:rPr>
        <w:t>事件的</w:t>
      </w:r>
      <w:r>
        <w:rPr>
          <w:rFonts w:ascii="宋体" w:hAnsi="宋体" w:cs="宋体" w:eastAsia="宋体"/>
          <w:sz w:val="24"/>
        </w:rPr>
        <w:t>一方</w:t>
      </w:r>
      <w:r>
        <w:rPr>
          <w:rFonts w:ascii="宋体" w:hAnsi="宋体" w:cs="宋体" w:eastAsia="宋体"/>
          <w:sz w:val="24"/>
        </w:rPr>
        <w:t>应尽力</w:t>
      </w:r>
      <w:r>
        <w:rPr>
          <w:rFonts w:ascii="宋体" w:hAnsi="宋体" w:cs="宋体" w:eastAsia="宋体"/>
          <w:sz w:val="24"/>
        </w:rPr>
        <w:t>在</w:t>
      </w:r>
      <w:r>
        <w:rPr>
          <w:rFonts w:ascii="宋体" w:hAnsi="宋体" w:cs="宋体" w:eastAsia="宋体"/>
          <w:sz w:val="24"/>
        </w:rPr>
        <w:t>不可抗力事件</w:t>
      </w:r>
      <w:r>
        <w:rPr>
          <w:rFonts w:ascii="宋体" w:hAnsi="宋体" w:cs="宋体" w:eastAsia="宋体"/>
          <w:sz w:val="24"/>
        </w:rPr>
        <w:t>发生后十（</w:t>
      </w:r>
      <w:r>
        <w:rPr>
          <w:rFonts w:ascii="calibri" w:hAnsi="calibri" w:cs="calibri" w:eastAsia="calibri"/>
          <w:sz w:val="24"/>
        </w:rPr>
        <w:t>10</w:t>
      </w:r>
      <w:r>
        <w:rPr>
          <w:rFonts w:ascii="宋体" w:hAnsi="宋体" w:cs="宋体" w:eastAsia="宋体"/>
          <w:sz w:val="24"/>
        </w:rPr>
        <w:t>）个日历日内取得</w:t>
      </w:r>
      <w:r>
        <w:rPr>
          <w:rFonts w:ascii="宋体" w:hAnsi="宋体" w:cs="宋体" w:eastAsia="宋体"/>
          <w:sz w:val="24"/>
        </w:rPr>
        <w:t>有关部门的</w:t>
      </w:r>
      <w:r>
        <w:rPr>
          <w:rFonts w:ascii="宋体" w:hAnsi="宋体" w:cs="宋体" w:eastAsia="宋体"/>
          <w:sz w:val="24"/>
        </w:rPr>
        <w:t>证明，</w:t>
      </w:r>
      <w:r>
        <w:rPr>
          <w:rFonts w:ascii="宋体" w:hAnsi="宋体" w:cs="宋体" w:eastAsia="宋体"/>
          <w:sz w:val="24"/>
        </w:rPr>
        <w:t>并</w:t>
      </w:r>
      <w:r>
        <w:rPr>
          <w:rFonts w:ascii="宋体" w:hAnsi="宋体" w:cs="宋体" w:eastAsia="宋体"/>
          <w:sz w:val="24"/>
        </w:rPr>
        <w:t>将有关部门出具的证明文件</w:t>
      </w:r>
      <w:r>
        <w:rPr>
          <w:rFonts w:ascii="宋体" w:hAnsi="宋体" w:cs="宋体" w:eastAsia="宋体"/>
          <w:sz w:val="24"/>
        </w:rPr>
        <w:t>以及</w:t>
      </w:r>
      <w:r>
        <w:rPr>
          <w:rFonts w:ascii="宋体" w:hAnsi="宋体" w:cs="宋体" w:eastAsia="宋体"/>
          <w:sz w:val="24"/>
        </w:rPr>
        <w:t>详细情况报告、不可抗力</w:t>
      </w:r>
      <w:r>
        <w:rPr>
          <w:rFonts w:ascii="宋体" w:hAnsi="宋体" w:cs="宋体" w:eastAsia="宋体"/>
          <w:sz w:val="24"/>
        </w:rPr>
        <w:t>事件</w:t>
      </w:r>
      <w:r>
        <w:rPr>
          <w:rFonts w:ascii="宋体" w:hAnsi="宋体" w:cs="宋体" w:eastAsia="宋体"/>
          <w:sz w:val="24"/>
        </w:rPr>
        <w:t>对合同影响的说明用特快专递</w:t>
      </w:r>
      <w:r>
        <w:rPr>
          <w:rFonts w:ascii="宋体" w:hAnsi="宋体" w:cs="宋体" w:eastAsia="宋体"/>
          <w:sz w:val="24"/>
        </w:rPr>
        <w:t>或</w:t>
      </w:r>
      <w:r>
        <w:rPr>
          <w:rFonts w:ascii="宋体" w:hAnsi="宋体" w:cs="宋体" w:eastAsia="宋体"/>
          <w:sz w:val="24"/>
        </w:rPr>
        <w:t>挂号信形式寄给另一方。</w:t>
      </w:r>
    </w:p>
    <w:p>
      <w:pPr>
        <w:pStyle w:val="null3"/>
        <w:ind w:firstLine="480"/>
        <w:jc w:val="both"/>
      </w:pPr>
      <w:r>
        <w:rPr>
          <w:rFonts w:ascii="calibri" w:hAnsi="calibri" w:cs="calibri" w:eastAsia="calibri"/>
          <w:sz w:val="24"/>
        </w:rPr>
        <w:t xml:space="preserve">10.4 </w:t>
      </w:r>
      <w:r>
        <w:rPr>
          <w:rFonts w:ascii="宋体" w:hAnsi="宋体" w:cs="宋体" w:eastAsia="宋体"/>
          <w:sz w:val="24"/>
        </w:rPr>
        <w:t>任何一方延迟履行合同后发生不可抗力</w:t>
      </w:r>
      <w:r>
        <w:rPr>
          <w:rFonts w:ascii="宋体" w:hAnsi="宋体" w:cs="宋体" w:eastAsia="宋体"/>
          <w:sz w:val="24"/>
        </w:rPr>
        <w:t>事件</w:t>
      </w:r>
      <w:r>
        <w:rPr>
          <w:rFonts w:ascii="宋体" w:hAnsi="宋体" w:cs="宋体" w:eastAsia="宋体"/>
          <w:sz w:val="24"/>
        </w:rPr>
        <w:t>的，不能免除因</w:t>
      </w:r>
      <w:r>
        <w:rPr>
          <w:rFonts w:ascii="宋体" w:hAnsi="宋体" w:cs="宋体" w:eastAsia="宋体"/>
          <w:sz w:val="24"/>
        </w:rPr>
        <w:t>延迟履行产生的违约</w:t>
      </w:r>
      <w:r>
        <w:rPr>
          <w:rFonts w:ascii="宋体" w:hAnsi="宋体" w:cs="宋体" w:eastAsia="宋体"/>
          <w:sz w:val="24"/>
        </w:rPr>
        <w:t>责任。</w:t>
      </w:r>
    </w:p>
    <w:p>
      <w:pPr>
        <w:pStyle w:val="null3"/>
        <w:numPr>
          <w:ilvl w:val="0"/>
          <w:numId w:val="2"/>
        </w:numPr>
        <w:ind w:left="420"/>
        <w:jc w:val="left"/>
      </w:pPr>
      <w:r>
        <w:rPr>
          <w:rFonts w:ascii="宋体" w:hAnsi="宋体" w:cs="宋体" w:eastAsia="宋体"/>
          <w:sz w:val="24"/>
          <w:b/>
        </w:rPr>
        <w:t>情势变更</w:t>
      </w:r>
    </w:p>
    <w:p>
      <w:pPr>
        <w:pStyle w:val="null3"/>
        <w:ind w:firstLine="480"/>
        <w:jc w:val="both"/>
      </w:pPr>
      <w:r>
        <w:rPr>
          <w:rFonts w:ascii="calibri" w:hAnsi="calibri" w:cs="calibri" w:eastAsia="calibri"/>
          <w:sz w:val="24"/>
        </w:rPr>
        <w:t xml:space="preserve">11.1 </w:t>
      </w:r>
      <w:r>
        <w:rPr>
          <w:rFonts w:ascii="宋体" w:hAnsi="宋体" w:cs="宋体" w:eastAsia="宋体"/>
          <w:sz w:val="24"/>
        </w:rPr>
        <w:t>本合同所称情势变更指合同成立后，合同的基础条件发生了甲乙双方在合同订立时无法预见的、不属于商业风险的</w:t>
      </w:r>
      <w:r>
        <w:rPr>
          <w:rFonts w:ascii="宋体" w:hAnsi="宋体" w:cs="宋体" w:eastAsia="宋体"/>
          <w:sz w:val="24"/>
        </w:rPr>
        <w:t>重</w:t>
      </w:r>
      <w:r>
        <w:rPr>
          <w:rFonts w:ascii="宋体" w:hAnsi="宋体" w:cs="宋体" w:eastAsia="宋体"/>
          <w:sz w:val="24"/>
        </w:rPr>
        <w:t>大变化，继续履行合同对其中一方明显不公平，则受不利影响的一方可以与对方重新协商，双方根据公平原则变更或解除合同。</w:t>
      </w:r>
    </w:p>
    <w:p>
      <w:pPr>
        <w:pStyle w:val="null3"/>
        <w:ind w:firstLine="480"/>
        <w:jc w:val="both"/>
      </w:pPr>
      <w:r>
        <w:rPr>
          <w:rFonts w:ascii="calibri" w:hAnsi="calibri" w:cs="calibri" w:eastAsia="calibri"/>
          <w:sz w:val="24"/>
        </w:rPr>
        <w:t xml:space="preserve">11.2 </w:t>
      </w:r>
      <w:r>
        <w:rPr>
          <w:rFonts w:ascii="宋体" w:hAnsi="宋体" w:cs="宋体" w:eastAsia="宋体"/>
          <w:sz w:val="24"/>
        </w:rPr>
        <w:t>双方协商不成的，可根据本合同争议解决条款请求有管辖权的人民法院变更或</w:t>
      </w:r>
      <w:r>
        <w:rPr>
          <w:rFonts w:ascii="宋体" w:hAnsi="宋体" w:cs="宋体" w:eastAsia="宋体"/>
          <w:sz w:val="24"/>
        </w:rPr>
        <w:t>解除</w:t>
      </w:r>
      <w:r>
        <w:rPr>
          <w:rFonts w:ascii="宋体" w:hAnsi="宋体" w:cs="宋体" w:eastAsia="宋体"/>
          <w:sz w:val="24"/>
        </w:rPr>
        <w:t>合同。</w:t>
      </w:r>
    </w:p>
    <w:p>
      <w:pPr>
        <w:pStyle w:val="null3"/>
        <w:numPr>
          <w:ilvl w:val="0"/>
          <w:numId w:val="2"/>
        </w:numPr>
        <w:ind w:left="420"/>
        <w:jc w:val="left"/>
      </w:pPr>
      <w:r>
        <w:rPr>
          <w:rFonts w:ascii="宋体" w:hAnsi="宋体" w:cs="宋体" w:eastAsia="宋体"/>
          <w:sz w:val="24"/>
          <w:b/>
        </w:rPr>
        <w:t>保密</w:t>
      </w:r>
    </w:p>
    <w:p>
      <w:pPr>
        <w:pStyle w:val="null3"/>
        <w:ind w:firstLine="480"/>
        <w:jc w:val="both"/>
      </w:pPr>
      <w:r>
        <w:rPr>
          <w:rFonts w:ascii="宋体" w:hAnsi="宋体" w:cs="宋体" w:eastAsia="宋体"/>
          <w:sz w:val="24"/>
        </w:rPr>
        <w:t>见附件《安全保密</w:t>
      </w:r>
      <w:r>
        <w:rPr>
          <w:rFonts w:ascii="宋体" w:hAnsi="宋体" w:cs="宋体" w:eastAsia="宋体"/>
          <w:sz w:val="24"/>
        </w:rPr>
        <w:t>协议</w:t>
      </w:r>
      <w:r>
        <w:rPr>
          <w:rFonts w:ascii="宋体" w:hAnsi="宋体" w:cs="宋体" w:eastAsia="宋体"/>
          <w:sz w:val="24"/>
        </w:rPr>
        <w:t>》</w:t>
      </w:r>
      <w:r>
        <w:rPr>
          <w:rFonts w:ascii="宋体" w:hAnsi="宋体" w:cs="宋体" w:eastAsia="宋体"/>
          <w:sz w:val="24"/>
        </w:rPr>
        <w:t>。</w:t>
      </w:r>
    </w:p>
    <w:p>
      <w:pPr>
        <w:pStyle w:val="null3"/>
        <w:numPr>
          <w:ilvl w:val="0"/>
          <w:numId w:val="2"/>
        </w:numPr>
        <w:ind w:right="-15"/>
        <w:jc w:val="both"/>
      </w:pPr>
      <w:r>
        <w:rPr>
          <w:rFonts w:ascii="宋体" w:hAnsi="宋体" w:cs="宋体" w:eastAsia="宋体"/>
          <w:sz w:val="24"/>
          <w:b/>
        </w:rPr>
        <w:t>合同的转让</w:t>
      </w:r>
    </w:p>
    <w:p>
      <w:pPr>
        <w:pStyle w:val="null3"/>
        <w:ind w:right="-15" w:firstLine="480"/>
        <w:jc w:val="both"/>
      </w:pPr>
      <w:r>
        <w:rPr>
          <w:rFonts w:ascii="宋体" w:hAnsi="宋体" w:cs="宋体" w:eastAsia="宋体"/>
          <w:sz w:val="24"/>
        </w:rPr>
        <w:t>未经甲方书面同意，乙方不得将其在本合同项下的全部或部分权利义务转让或分包给第三方。甲方有权根据需要通知乙方向甲方指定的第三方履行本合同项下的义务，相关第三方有权行使本合同项下甲方的权利。</w:t>
      </w:r>
    </w:p>
    <w:p>
      <w:pPr>
        <w:pStyle w:val="null3"/>
        <w:numPr>
          <w:ilvl w:val="0"/>
          <w:numId w:val="2"/>
        </w:numPr>
        <w:ind w:right="-15"/>
        <w:jc w:val="both"/>
      </w:pPr>
      <w:r>
        <w:rPr>
          <w:rFonts w:ascii="宋体" w:hAnsi="宋体" w:cs="宋体" w:eastAsia="宋体"/>
          <w:sz w:val="24"/>
          <w:b/>
        </w:rPr>
        <w:t>合同的终止与解除</w:t>
      </w:r>
    </w:p>
    <w:p>
      <w:pPr>
        <w:pStyle w:val="null3"/>
        <w:ind w:firstLine="480"/>
        <w:jc w:val="both"/>
      </w:pPr>
      <w:r>
        <w:rPr>
          <w:rFonts w:ascii="calibri" w:hAnsi="calibri" w:cs="calibri" w:eastAsia="calibri"/>
          <w:sz w:val="24"/>
        </w:rPr>
        <w:t>14</w:t>
      </w:r>
      <w:r>
        <w:rPr>
          <w:rFonts w:ascii="calibri" w:hAnsi="calibri" w:cs="calibri" w:eastAsia="calibri"/>
          <w:sz w:val="24"/>
        </w:rPr>
        <w:t xml:space="preserve">.1 </w:t>
      </w:r>
      <w:r>
        <w:rPr>
          <w:rFonts w:ascii="宋体" w:hAnsi="宋体" w:cs="宋体" w:eastAsia="宋体"/>
          <w:sz w:val="24"/>
        </w:rPr>
        <w:t>除本合同另有约定外，任何一方</w:t>
      </w:r>
      <w:r>
        <w:rPr>
          <w:rFonts w:ascii="宋体" w:hAnsi="宋体" w:cs="宋体" w:eastAsia="宋体"/>
          <w:sz w:val="24"/>
        </w:rPr>
        <w:t>均不得单方随意</w:t>
      </w:r>
      <w:r>
        <w:rPr>
          <w:rFonts w:ascii="宋体" w:hAnsi="宋体" w:cs="宋体" w:eastAsia="宋体"/>
          <w:sz w:val="24"/>
        </w:rPr>
        <w:t>终止</w:t>
      </w:r>
      <w:r>
        <w:rPr>
          <w:rFonts w:ascii="宋体" w:hAnsi="宋体" w:cs="宋体" w:eastAsia="宋体"/>
          <w:sz w:val="24"/>
        </w:rPr>
        <w:t>或解除合同。</w:t>
      </w:r>
      <w:r>
        <w:rPr>
          <w:rFonts w:ascii="宋体" w:hAnsi="宋体" w:cs="宋体" w:eastAsia="宋体"/>
          <w:sz w:val="24"/>
        </w:rPr>
        <w:t>但出现如下情形时，合同终止或解除：</w:t>
      </w:r>
    </w:p>
    <w:p>
      <w:pPr>
        <w:pStyle w:val="null3"/>
        <w:ind w:left="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本合同正常履行完毕；</w:t>
      </w:r>
    </w:p>
    <w:p>
      <w:pPr>
        <w:pStyle w:val="null3"/>
        <w:ind w:left="480"/>
        <w:jc w:val="both"/>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不可抗力</w:t>
      </w:r>
      <w:r>
        <w:rPr>
          <w:rFonts w:ascii="宋体" w:hAnsi="宋体" w:cs="宋体" w:eastAsia="宋体"/>
          <w:sz w:val="24"/>
        </w:rPr>
        <w:t>或情势变更事件</w:t>
      </w:r>
      <w:r>
        <w:rPr>
          <w:rFonts w:ascii="宋体" w:hAnsi="宋体" w:cs="宋体" w:eastAsia="宋体"/>
          <w:sz w:val="24"/>
        </w:rPr>
        <w:t>导致本合同无法履行或不必要履行时；</w:t>
      </w:r>
    </w:p>
    <w:p>
      <w:pPr>
        <w:pStyle w:val="null3"/>
        <w:ind w:left="480"/>
        <w:jc w:val="both"/>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w:t>
      </w:r>
      <w:r>
        <w:rPr>
          <w:rFonts w:ascii="宋体" w:hAnsi="宋体" w:cs="宋体" w:eastAsia="宋体"/>
          <w:sz w:val="24"/>
        </w:rPr>
        <w:t>双方协商一致</w:t>
      </w:r>
      <w:r>
        <w:rPr>
          <w:rFonts w:ascii="宋体" w:hAnsi="宋体" w:cs="宋体" w:eastAsia="宋体"/>
          <w:sz w:val="24"/>
        </w:rPr>
        <w:t>终止或</w:t>
      </w:r>
      <w:r>
        <w:rPr>
          <w:rFonts w:ascii="宋体" w:hAnsi="宋体" w:cs="宋体" w:eastAsia="宋体"/>
          <w:sz w:val="24"/>
        </w:rPr>
        <w:t>解除；</w:t>
      </w:r>
    </w:p>
    <w:p>
      <w:pPr>
        <w:pStyle w:val="null3"/>
        <w:ind w:left="480"/>
        <w:jc w:val="both"/>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w:t>
      </w:r>
      <w:r>
        <w:rPr>
          <w:rFonts w:ascii="宋体" w:hAnsi="宋体" w:cs="宋体" w:eastAsia="宋体"/>
          <w:sz w:val="24"/>
        </w:rPr>
        <w:t>本合同约定解除</w:t>
      </w:r>
      <w:r>
        <w:rPr>
          <w:rFonts w:ascii="宋体" w:hAnsi="宋体" w:cs="宋体" w:eastAsia="宋体"/>
          <w:sz w:val="24"/>
        </w:rPr>
        <w:t>或终止</w:t>
      </w:r>
      <w:r>
        <w:rPr>
          <w:rFonts w:ascii="宋体" w:hAnsi="宋体" w:cs="宋体" w:eastAsia="宋体"/>
          <w:sz w:val="24"/>
        </w:rPr>
        <w:t>的情形满足时。</w:t>
      </w:r>
    </w:p>
    <w:p>
      <w:pPr>
        <w:pStyle w:val="null3"/>
        <w:ind w:firstLine="480"/>
        <w:jc w:val="both"/>
      </w:pPr>
      <w:r>
        <w:rPr>
          <w:rFonts w:ascii="calibri" w:hAnsi="calibri" w:cs="calibri" w:eastAsia="calibri"/>
          <w:sz w:val="24"/>
        </w:rPr>
        <w:t>14.2</w:t>
      </w:r>
      <w:r>
        <w:rPr>
          <w:rFonts w:ascii="calibri" w:hAnsi="calibri" w:cs="calibri" w:eastAsia="calibri"/>
          <w:sz w:val="24"/>
        </w:rPr>
        <w:t xml:space="preserve"> </w:t>
      </w:r>
      <w:r>
        <w:rPr>
          <w:rFonts w:ascii="宋体" w:hAnsi="宋体" w:cs="宋体" w:eastAsia="宋体"/>
          <w:sz w:val="24"/>
        </w:rPr>
        <w:t>除本合同另有约定外，在下列情况下，甲方可向乙方发出书面通知解除部分或全部合同</w:t>
      </w:r>
      <w:r>
        <w:rPr>
          <w:rFonts w:ascii="宋体" w:hAnsi="宋体" w:cs="宋体" w:eastAsia="宋体"/>
          <w:sz w:val="24"/>
        </w:rPr>
        <w:t>，</w:t>
      </w:r>
      <w:r>
        <w:rPr>
          <w:rFonts w:ascii="宋体" w:hAnsi="宋体" w:cs="宋体" w:eastAsia="宋体"/>
          <w:sz w:val="24"/>
        </w:rPr>
        <w:t>要求乙方支付合同总金额</w:t>
      </w:r>
      <w:r>
        <w:rPr>
          <w:rFonts w:ascii="calibri" w:hAnsi="calibri" w:cs="calibri" w:eastAsia="calibri"/>
          <w:sz w:val="24"/>
        </w:rPr>
        <w:t>10%</w:t>
      </w:r>
      <w:r>
        <w:rPr>
          <w:rFonts w:ascii="宋体" w:hAnsi="宋体" w:cs="宋体" w:eastAsia="宋体"/>
          <w:sz w:val="24"/>
        </w:rPr>
        <w:t>的违约金，并赔偿甲方的全部损失。</w:t>
      </w:r>
      <w:r>
        <w:rPr>
          <w:rFonts w:ascii="宋体" w:hAnsi="宋体" w:cs="宋体" w:eastAsia="宋体"/>
          <w:sz w:val="24"/>
        </w:rPr>
        <w:t>解除合同行为不影响甲方采取其他补救措施，也不免除乙方的损害赔偿责任，对于由此给乙方造成的损失</w:t>
      </w:r>
      <w:r>
        <w:rPr>
          <w:rFonts w:ascii="宋体" w:hAnsi="宋体" w:cs="宋体" w:eastAsia="宋体"/>
          <w:sz w:val="24"/>
        </w:rPr>
        <w:t>，</w:t>
      </w:r>
      <w:r>
        <w:rPr>
          <w:rFonts w:ascii="宋体" w:hAnsi="宋体" w:cs="宋体" w:eastAsia="宋体"/>
          <w:sz w:val="24"/>
        </w:rPr>
        <w:t>甲方不承担赔偿责任：</w:t>
      </w:r>
    </w:p>
    <w:p>
      <w:pPr>
        <w:pStyle w:val="null3"/>
        <w:ind w:firstLine="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经营状况、声誉等恶化导致其履行本合同困难或不再具备履行本合同所需的资质；</w:t>
      </w:r>
    </w:p>
    <w:p>
      <w:pPr>
        <w:pStyle w:val="null3"/>
        <w:ind w:firstLine="480"/>
        <w:jc w:val="both"/>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乙方拒绝接受或不配合甲方</w:t>
      </w:r>
      <w:r>
        <w:rPr>
          <w:rFonts w:ascii="宋体" w:hAnsi="宋体" w:cs="宋体" w:eastAsia="宋体"/>
          <w:sz w:val="24"/>
        </w:rPr>
        <w:t>、</w:t>
      </w:r>
      <w:r>
        <w:rPr>
          <w:rFonts w:ascii="宋体" w:hAnsi="宋体" w:cs="宋体" w:eastAsia="宋体"/>
          <w:sz w:val="24"/>
        </w:rPr>
        <w:t>金融业监督管理机构对</w:t>
      </w:r>
      <w:r>
        <w:rPr>
          <w:rFonts w:ascii="宋体" w:hAnsi="宋体" w:cs="宋体" w:eastAsia="宋体"/>
          <w:sz w:val="24"/>
        </w:rPr>
        <w:t>合同</w:t>
      </w:r>
      <w:r>
        <w:rPr>
          <w:rFonts w:ascii="宋体" w:hAnsi="宋体" w:cs="宋体" w:eastAsia="宋体"/>
          <w:sz w:val="24"/>
        </w:rPr>
        <w:t>履行情况的检查和审计；</w:t>
      </w:r>
    </w:p>
    <w:p>
      <w:pPr>
        <w:pStyle w:val="null3"/>
        <w:ind w:firstLine="480"/>
        <w:jc w:val="both"/>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w:t>
      </w:r>
      <w:r>
        <w:rPr>
          <w:rFonts w:ascii="宋体" w:hAnsi="宋体" w:cs="宋体" w:eastAsia="宋体"/>
          <w:sz w:val="24"/>
        </w:rPr>
        <w:t>乙方或其工作人员发生刺探</w:t>
      </w:r>
      <w:r>
        <w:rPr>
          <w:rFonts w:ascii="宋体" w:hAnsi="宋体" w:cs="宋体" w:eastAsia="宋体"/>
          <w:sz w:val="24"/>
        </w:rPr>
        <w:t>或</w:t>
      </w:r>
      <w:r>
        <w:rPr>
          <w:rFonts w:ascii="宋体" w:hAnsi="宋体" w:cs="宋体" w:eastAsia="宋体"/>
          <w:sz w:val="24"/>
        </w:rPr>
        <w:t>泄露国家秘密、以甲方名义对外开展活动</w:t>
      </w:r>
      <w:r>
        <w:rPr>
          <w:rFonts w:ascii="宋体" w:hAnsi="宋体" w:cs="宋体" w:eastAsia="宋体"/>
          <w:sz w:val="24"/>
        </w:rPr>
        <w:t>、</w:t>
      </w:r>
      <w:r>
        <w:rPr>
          <w:rFonts w:ascii="宋体" w:hAnsi="宋体" w:cs="宋体" w:eastAsia="宋体"/>
          <w:sz w:val="24"/>
        </w:rPr>
        <w:t>恶意破坏金融信息系统</w:t>
      </w:r>
      <w:r>
        <w:rPr>
          <w:rFonts w:ascii="宋体" w:hAnsi="宋体" w:cs="宋体" w:eastAsia="宋体"/>
          <w:sz w:val="24"/>
        </w:rPr>
        <w:t>或关键</w:t>
      </w:r>
      <w:r>
        <w:rPr>
          <w:rFonts w:ascii="宋体" w:hAnsi="宋体" w:cs="宋体" w:eastAsia="宋体"/>
          <w:sz w:val="24"/>
        </w:rPr>
        <w:t>信息基础设施等情形；</w:t>
      </w:r>
    </w:p>
    <w:p>
      <w:pPr>
        <w:pStyle w:val="null3"/>
        <w:ind w:firstLine="480"/>
        <w:jc w:val="both"/>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w:t>
      </w:r>
      <w:r>
        <w:rPr>
          <w:rFonts w:ascii="宋体" w:hAnsi="宋体" w:cs="宋体" w:eastAsia="宋体"/>
          <w:sz w:val="24"/>
        </w:rPr>
        <w:t>乙方发生造成甲方声誉</w:t>
      </w:r>
      <w:r>
        <w:rPr>
          <w:rFonts w:ascii="宋体" w:hAnsi="宋体" w:cs="宋体" w:eastAsia="宋体"/>
          <w:sz w:val="24"/>
        </w:rPr>
        <w:t>损失、</w:t>
      </w:r>
      <w:r>
        <w:rPr>
          <w:rFonts w:ascii="宋体" w:hAnsi="宋体" w:cs="宋体" w:eastAsia="宋体"/>
          <w:sz w:val="24"/>
        </w:rPr>
        <w:t>经济损失或损害甲方利益</w:t>
      </w:r>
      <w:r>
        <w:rPr>
          <w:rFonts w:ascii="宋体" w:hAnsi="宋体" w:cs="宋体" w:eastAsia="宋体"/>
          <w:sz w:val="24"/>
        </w:rPr>
        <w:t>的</w:t>
      </w:r>
      <w:r>
        <w:rPr>
          <w:rFonts w:ascii="宋体" w:hAnsi="宋体" w:cs="宋体" w:eastAsia="宋体"/>
          <w:sz w:val="24"/>
        </w:rPr>
        <w:t>行为</w:t>
      </w:r>
      <w:r>
        <w:rPr>
          <w:rFonts w:ascii="宋体" w:hAnsi="宋体" w:cs="宋体" w:eastAsia="宋体"/>
          <w:sz w:val="24"/>
        </w:rPr>
        <w:t>；</w:t>
      </w:r>
    </w:p>
    <w:p>
      <w:pPr>
        <w:pStyle w:val="null3"/>
        <w:ind w:firstLine="480"/>
        <w:jc w:val="both"/>
      </w:pPr>
      <w:r>
        <w:rPr>
          <w:rFonts w:ascii="宋体" w:hAnsi="宋体" w:cs="宋体" w:eastAsia="宋体"/>
          <w:sz w:val="24"/>
        </w:rPr>
        <w:t>（</w:t>
      </w:r>
      <w:r>
        <w:rPr>
          <w:rFonts w:ascii="calibri" w:hAnsi="calibri" w:cs="calibri" w:eastAsia="calibri"/>
          <w:sz w:val="24"/>
        </w:rPr>
        <w:t>5</w:t>
      </w:r>
      <w:r>
        <w:rPr>
          <w:rFonts w:ascii="宋体" w:hAnsi="宋体" w:cs="宋体" w:eastAsia="宋体"/>
          <w:sz w:val="24"/>
        </w:rPr>
        <w:t>）</w:t>
      </w:r>
      <w:r>
        <w:rPr>
          <w:rFonts w:ascii="宋体" w:hAnsi="宋体" w:cs="宋体" w:eastAsia="宋体"/>
          <w:sz w:val="24"/>
        </w:rPr>
        <w:t>乙方</w:t>
      </w:r>
      <w:r>
        <w:rPr>
          <w:rFonts w:ascii="宋体" w:hAnsi="宋体" w:cs="宋体" w:eastAsia="宋体"/>
          <w:sz w:val="24"/>
        </w:rPr>
        <w:t>的行为</w:t>
      </w:r>
      <w:r>
        <w:rPr>
          <w:rFonts w:ascii="宋体" w:hAnsi="宋体" w:cs="宋体" w:eastAsia="宋体"/>
          <w:sz w:val="24"/>
        </w:rPr>
        <w:t>导致</w:t>
      </w:r>
      <w:r>
        <w:rPr>
          <w:rFonts w:ascii="宋体" w:hAnsi="宋体" w:cs="宋体" w:eastAsia="宋体"/>
          <w:sz w:val="24"/>
        </w:rPr>
        <w:t>本</w:t>
      </w:r>
      <w:r>
        <w:rPr>
          <w:rFonts w:ascii="宋体" w:hAnsi="宋体" w:cs="宋体" w:eastAsia="宋体"/>
          <w:sz w:val="24"/>
        </w:rPr>
        <w:t>合同实质无法履行。</w:t>
      </w:r>
    </w:p>
    <w:p>
      <w:pPr>
        <w:pStyle w:val="null3"/>
        <w:numPr>
          <w:ilvl w:val="0"/>
          <w:numId w:val="2"/>
        </w:numPr>
        <w:jc w:val="both"/>
      </w:pPr>
      <w:r>
        <w:rPr>
          <w:rFonts w:ascii="宋体" w:hAnsi="宋体" w:cs="宋体" w:eastAsia="宋体"/>
          <w:sz w:val="24"/>
          <w:b/>
        </w:rPr>
        <w:t>通知与送达</w:t>
      </w:r>
    </w:p>
    <w:p>
      <w:pPr>
        <w:pStyle w:val="null3"/>
        <w:ind w:firstLine="480"/>
        <w:jc w:val="both"/>
      </w:pPr>
      <w:r>
        <w:rPr>
          <w:rFonts w:ascii="calibri" w:hAnsi="calibri" w:cs="calibri" w:eastAsia="calibri"/>
          <w:sz w:val="24"/>
        </w:rPr>
        <w:t xml:space="preserve">15.1 </w:t>
      </w:r>
      <w:r>
        <w:rPr>
          <w:rFonts w:ascii="宋体" w:hAnsi="宋体" w:cs="宋体" w:eastAsia="宋体"/>
          <w:sz w:val="24"/>
        </w:rPr>
        <w:t>各方发出与本合同有关的通知或回复，应以专人送递</w:t>
      </w:r>
      <w:r>
        <w:rPr>
          <w:rFonts w:ascii="宋体" w:hAnsi="宋体" w:cs="宋体" w:eastAsia="宋体"/>
          <w:sz w:val="24"/>
        </w:rPr>
        <w:t>、</w:t>
      </w:r>
      <w:r>
        <w:rPr>
          <w:rFonts w:ascii="宋体" w:hAnsi="宋体" w:cs="宋体" w:eastAsia="宋体"/>
          <w:sz w:val="24"/>
        </w:rPr>
        <w:t>特快专递、电子邮件等方式送至指定联系人。</w:t>
      </w:r>
      <w:r>
        <w:rPr>
          <w:rFonts w:ascii="宋体" w:hAnsi="宋体" w:cs="宋体" w:eastAsia="宋体"/>
          <w:sz w:val="24"/>
        </w:rPr>
        <w:t>前述送达方式具有同等法律效力。</w:t>
      </w:r>
      <w:r>
        <w:rPr>
          <w:rFonts w:ascii="宋体" w:hAnsi="宋体" w:cs="宋体" w:eastAsia="宋体"/>
          <w:sz w:val="24"/>
        </w:rPr>
        <w:t>如果以专人送递或特快专递发送，以送达至</w:t>
      </w:r>
      <w:r>
        <w:rPr>
          <w:rFonts w:ascii="宋体" w:hAnsi="宋体" w:cs="宋体" w:eastAsia="宋体"/>
          <w:sz w:val="24"/>
        </w:rPr>
        <w:t>以下</w:t>
      </w:r>
      <w:r>
        <w:rPr>
          <w:rFonts w:ascii="宋体" w:hAnsi="宋体" w:cs="宋体" w:eastAsia="宋体"/>
          <w:sz w:val="24"/>
        </w:rPr>
        <w:t>约定地点或双方指定的其他地址</w:t>
      </w:r>
      <w:r>
        <w:rPr>
          <w:rFonts w:ascii="宋体" w:hAnsi="宋体" w:cs="宋体" w:eastAsia="宋体"/>
          <w:sz w:val="24"/>
        </w:rPr>
        <w:t>并</w:t>
      </w:r>
      <w:r>
        <w:rPr>
          <w:rFonts w:ascii="宋体" w:hAnsi="宋体" w:cs="宋体" w:eastAsia="宋体"/>
          <w:sz w:val="24"/>
        </w:rPr>
        <w:t>经对方签收视为送达（但对方故意不签收时，送达至前述地址即视为送达）；以电子邮件发出的，以电子邮件进入对方邮件系统时视为送达。双方指定</w:t>
      </w:r>
      <w:r>
        <w:rPr>
          <w:rFonts w:ascii="宋体" w:hAnsi="宋体" w:cs="宋体" w:eastAsia="宋体"/>
          <w:sz w:val="24"/>
        </w:rPr>
        <w:t>联系人和</w:t>
      </w:r>
      <w:r>
        <w:rPr>
          <w:rFonts w:ascii="宋体" w:hAnsi="宋体" w:cs="宋体" w:eastAsia="宋体"/>
          <w:sz w:val="24"/>
        </w:rPr>
        <w:t>联系方式</w:t>
      </w:r>
      <w:r>
        <w:rPr>
          <w:rFonts w:ascii="宋体" w:hAnsi="宋体" w:cs="宋体" w:eastAsia="宋体"/>
          <w:sz w:val="24"/>
        </w:rPr>
        <w:t>如下：</w:t>
      </w:r>
    </w:p>
    <w:p>
      <w:pPr>
        <w:pStyle w:val="null3"/>
        <w:ind w:firstLine="480"/>
        <w:jc w:val="both"/>
      </w:pPr>
      <w:r>
        <w:rPr>
          <w:rFonts w:ascii="宋体" w:hAnsi="宋体" w:cs="宋体" w:eastAsia="宋体"/>
          <w:sz w:val="24"/>
        </w:rPr>
        <w:t>甲方指定联系人：</w:t>
      </w:r>
      <w:r>
        <w:rPr>
          <w:rFonts w:ascii="宋体" w:hAnsi="宋体" w:cs="宋体" w:eastAsia="宋体"/>
          <w:sz w:val="24"/>
        </w:rPr>
        <w:t>【】</w:t>
      </w:r>
    </w:p>
    <w:p>
      <w:pPr>
        <w:pStyle w:val="null3"/>
        <w:ind w:firstLine="480"/>
        <w:jc w:val="both"/>
      </w:pPr>
      <w:r>
        <w:rPr>
          <w:rFonts w:ascii="宋体" w:hAnsi="宋体" w:cs="宋体" w:eastAsia="宋体"/>
          <w:sz w:val="24"/>
        </w:rPr>
        <w:t>地址：</w:t>
      </w:r>
      <w:r>
        <w:rPr>
          <w:rFonts w:ascii="宋体" w:hAnsi="宋体" w:cs="宋体" w:eastAsia="宋体"/>
          <w:sz w:val="24"/>
        </w:rPr>
        <w:t>【】</w:t>
      </w:r>
    </w:p>
    <w:p>
      <w:pPr>
        <w:pStyle w:val="null3"/>
        <w:ind w:firstLine="480"/>
        <w:jc w:val="both"/>
      </w:pPr>
      <w:r>
        <w:rPr>
          <w:rFonts w:ascii="宋体" w:hAnsi="宋体" w:cs="宋体" w:eastAsia="宋体"/>
          <w:sz w:val="24"/>
        </w:rPr>
        <w:t>电话：</w:t>
      </w:r>
      <w:r>
        <w:rPr>
          <w:rFonts w:ascii="宋体" w:hAnsi="宋体" w:cs="宋体" w:eastAsia="宋体"/>
          <w:sz w:val="24"/>
        </w:rPr>
        <w:t>【】</w:t>
      </w:r>
    </w:p>
    <w:p>
      <w:pPr>
        <w:pStyle w:val="null3"/>
        <w:ind w:firstLine="480"/>
        <w:jc w:val="both"/>
      </w:pPr>
      <w:r>
        <w:rPr>
          <w:rFonts w:ascii="宋体" w:hAnsi="宋体" w:cs="宋体" w:eastAsia="宋体"/>
          <w:sz w:val="24"/>
        </w:rPr>
        <w:t>电子邮件：</w:t>
      </w:r>
      <w:r>
        <w:rPr>
          <w:rFonts w:ascii="宋体" w:hAnsi="宋体" w:cs="宋体" w:eastAsia="宋体"/>
          <w:sz w:val="24"/>
        </w:rPr>
        <w:t>【】</w:t>
      </w:r>
    </w:p>
    <w:p>
      <w:pPr>
        <w:pStyle w:val="null3"/>
        <w:ind w:firstLine="480"/>
        <w:jc w:val="both"/>
      </w:pPr>
      <w:r>
        <w:rPr>
          <w:rFonts w:ascii="宋体" w:hAnsi="宋体" w:cs="宋体" w:eastAsia="宋体"/>
          <w:sz w:val="24"/>
        </w:rPr>
        <w:t>乙</w:t>
      </w:r>
      <w:r>
        <w:rPr>
          <w:rFonts w:ascii="宋体" w:hAnsi="宋体" w:cs="宋体" w:eastAsia="宋体"/>
          <w:sz w:val="24"/>
        </w:rPr>
        <w:t>方指定联系人：</w:t>
      </w:r>
      <w:r>
        <w:rPr>
          <w:rFonts w:ascii="宋体" w:hAnsi="宋体" w:cs="宋体" w:eastAsia="宋体"/>
          <w:sz w:val="24"/>
        </w:rPr>
        <w:t>【】</w:t>
      </w:r>
    </w:p>
    <w:p>
      <w:pPr>
        <w:pStyle w:val="null3"/>
        <w:ind w:firstLine="480"/>
        <w:jc w:val="both"/>
      </w:pPr>
      <w:r>
        <w:rPr>
          <w:rFonts w:ascii="宋体" w:hAnsi="宋体" w:cs="宋体" w:eastAsia="宋体"/>
          <w:sz w:val="24"/>
        </w:rPr>
        <w:t>地址：</w:t>
      </w:r>
      <w:r>
        <w:rPr>
          <w:rFonts w:ascii="宋体" w:hAnsi="宋体" w:cs="宋体" w:eastAsia="宋体"/>
          <w:sz w:val="24"/>
        </w:rPr>
        <w:t>【】</w:t>
      </w:r>
    </w:p>
    <w:p>
      <w:pPr>
        <w:pStyle w:val="null3"/>
        <w:ind w:firstLine="480"/>
        <w:jc w:val="both"/>
      </w:pPr>
      <w:r>
        <w:rPr>
          <w:rFonts w:ascii="宋体" w:hAnsi="宋体" w:cs="宋体" w:eastAsia="宋体"/>
          <w:sz w:val="24"/>
        </w:rPr>
        <w:t>电话：</w:t>
      </w:r>
      <w:r>
        <w:rPr>
          <w:rFonts w:ascii="宋体" w:hAnsi="宋体" w:cs="宋体" w:eastAsia="宋体"/>
          <w:sz w:val="24"/>
        </w:rPr>
        <w:t>【】</w:t>
      </w:r>
    </w:p>
    <w:p>
      <w:pPr>
        <w:pStyle w:val="null3"/>
        <w:ind w:firstLine="480"/>
        <w:jc w:val="both"/>
      </w:pPr>
      <w:r>
        <w:rPr>
          <w:rFonts w:ascii="宋体" w:hAnsi="宋体" w:cs="宋体" w:eastAsia="宋体"/>
          <w:sz w:val="24"/>
        </w:rPr>
        <w:t>电子邮件：</w:t>
      </w:r>
      <w:r>
        <w:rPr>
          <w:rFonts w:ascii="宋体" w:hAnsi="宋体" w:cs="宋体" w:eastAsia="宋体"/>
          <w:sz w:val="24"/>
        </w:rPr>
        <w:t>【】</w:t>
      </w:r>
    </w:p>
    <w:p>
      <w:pPr>
        <w:pStyle w:val="null3"/>
        <w:ind w:firstLine="480"/>
        <w:jc w:val="both"/>
      </w:pPr>
      <w:r>
        <w:rPr>
          <w:rFonts w:ascii="calibri" w:hAnsi="calibri" w:cs="calibri" w:eastAsia="calibri"/>
          <w:sz w:val="24"/>
        </w:rPr>
        <w:t xml:space="preserve">15.2 </w:t>
      </w:r>
      <w:r>
        <w:rPr>
          <w:rFonts w:ascii="宋体" w:hAnsi="宋体" w:cs="宋体" w:eastAsia="宋体"/>
          <w:sz w:val="24"/>
        </w:rPr>
        <w:t>一方指定联系人</w:t>
      </w:r>
      <w:r>
        <w:rPr>
          <w:rFonts w:ascii="宋体" w:hAnsi="宋体" w:cs="宋体" w:eastAsia="宋体"/>
          <w:sz w:val="24"/>
        </w:rPr>
        <w:t>或联系方式</w:t>
      </w:r>
      <w:r>
        <w:rPr>
          <w:rFonts w:ascii="宋体" w:hAnsi="宋体" w:cs="宋体" w:eastAsia="宋体"/>
          <w:sz w:val="24"/>
        </w:rPr>
        <w:t>变更的，应提前三个工作日书面通知对方。</w:t>
      </w:r>
    </w:p>
    <w:p>
      <w:pPr>
        <w:pStyle w:val="null3"/>
        <w:numPr>
          <w:ilvl w:val="0"/>
          <w:numId w:val="2"/>
        </w:numPr>
        <w:ind w:right="-15"/>
        <w:jc w:val="both"/>
      </w:pPr>
      <w:r>
        <w:rPr>
          <w:rFonts w:ascii="宋体" w:hAnsi="宋体" w:cs="宋体" w:eastAsia="宋体"/>
          <w:sz w:val="24"/>
          <w:b/>
        </w:rPr>
        <w:t>法律适用及争议解决</w:t>
      </w:r>
    </w:p>
    <w:p>
      <w:pPr>
        <w:pStyle w:val="null3"/>
        <w:ind w:firstLine="480"/>
        <w:jc w:val="both"/>
      </w:pPr>
      <w:r>
        <w:rPr>
          <w:rFonts w:ascii="calibri" w:hAnsi="calibri" w:cs="calibri" w:eastAsia="calibri"/>
          <w:sz w:val="24"/>
        </w:rPr>
        <w:t xml:space="preserve">16.1 </w:t>
      </w:r>
      <w:r>
        <w:rPr>
          <w:rFonts w:ascii="宋体" w:hAnsi="宋体" w:cs="宋体" w:eastAsia="宋体"/>
          <w:sz w:val="24"/>
        </w:rPr>
        <w:t>本合同的订立、效力、履行、解释、争议解决等适用中华人民共和国法律法规。</w:t>
      </w:r>
    </w:p>
    <w:p>
      <w:pPr>
        <w:pStyle w:val="null3"/>
        <w:ind w:firstLine="480"/>
        <w:jc w:val="both"/>
      </w:pPr>
      <w:r>
        <w:rPr>
          <w:rFonts w:ascii="calibri" w:hAnsi="calibri" w:cs="calibri" w:eastAsia="calibri"/>
          <w:sz w:val="24"/>
        </w:rPr>
        <w:t xml:space="preserve">16.2 </w:t>
      </w:r>
      <w:r>
        <w:rPr>
          <w:rFonts w:ascii="宋体" w:hAnsi="宋体" w:cs="宋体" w:eastAsia="宋体"/>
          <w:sz w:val="24"/>
        </w:rPr>
        <w:t>凡因本</w:t>
      </w:r>
      <w:r>
        <w:rPr>
          <w:rFonts w:ascii="宋体" w:hAnsi="宋体" w:cs="宋体" w:eastAsia="宋体"/>
          <w:sz w:val="24"/>
        </w:rPr>
        <w:t>合同</w:t>
      </w:r>
      <w:r>
        <w:rPr>
          <w:rFonts w:ascii="宋体" w:hAnsi="宋体" w:cs="宋体" w:eastAsia="宋体"/>
          <w:sz w:val="24"/>
        </w:rPr>
        <w:t>引起的或与本</w:t>
      </w:r>
      <w:r>
        <w:rPr>
          <w:rFonts w:ascii="宋体" w:hAnsi="宋体" w:cs="宋体" w:eastAsia="宋体"/>
          <w:sz w:val="24"/>
        </w:rPr>
        <w:t>合同</w:t>
      </w:r>
      <w:r>
        <w:rPr>
          <w:rFonts w:ascii="宋体" w:hAnsi="宋体" w:cs="宋体" w:eastAsia="宋体"/>
          <w:sz w:val="24"/>
        </w:rPr>
        <w:t>有关的任何争议，双方均应友好协商解决。</w:t>
      </w:r>
      <w:r>
        <w:rPr>
          <w:rFonts w:ascii="宋体" w:hAnsi="宋体" w:cs="宋体" w:eastAsia="宋体"/>
          <w:sz w:val="24"/>
        </w:rPr>
        <w:t>经</w:t>
      </w:r>
      <w:r>
        <w:rPr>
          <w:rFonts w:ascii="宋体" w:hAnsi="宋体" w:cs="宋体" w:eastAsia="宋体"/>
          <w:sz w:val="24"/>
        </w:rPr>
        <w:t>友好协商不能达成一致意见时，双方同意</w:t>
      </w:r>
      <w:r>
        <w:rPr>
          <w:rFonts w:ascii="宋体" w:hAnsi="宋体" w:cs="宋体" w:eastAsia="宋体"/>
          <w:sz w:val="24"/>
        </w:rPr>
        <w:t>提交</w:t>
      </w:r>
      <w:r>
        <w:rPr>
          <w:rFonts w:ascii="宋体" w:hAnsi="宋体" w:cs="宋体" w:eastAsia="宋体"/>
          <w:sz w:val="24"/>
        </w:rPr>
        <w:t>至</w:t>
      </w:r>
      <w:r>
        <w:rPr>
          <w:rFonts w:ascii="宋体" w:hAnsi="宋体" w:cs="宋体" w:eastAsia="宋体"/>
          <w:sz w:val="24"/>
        </w:rPr>
        <w:t>甲方住所地有管辖权的人民法院诉讼解决。</w:t>
      </w:r>
    </w:p>
    <w:p>
      <w:pPr>
        <w:pStyle w:val="null3"/>
        <w:ind w:firstLine="480"/>
        <w:jc w:val="both"/>
      </w:pPr>
      <w:r>
        <w:rPr>
          <w:rFonts w:ascii="calibri" w:hAnsi="calibri" w:cs="calibri" w:eastAsia="calibri"/>
          <w:sz w:val="24"/>
        </w:rPr>
        <w:t xml:space="preserve">16.3 </w:t>
      </w:r>
      <w:r>
        <w:rPr>
          <w:rFonts w:ascii="宋体" w:hAnsi="宋体" w:cs="宋体" w:eastAsia="宋体"/>
          <w:sz w:val="24"/>
        </w:rPr>
        <w:t>在协商</w:t>
      </w:r>
      <w:r>
        <w:rPr>
          <w:rFonts w:ascii="宋体" w:hAnsi="宋体" w:cs="宋体" w:eastAsia="宋体"/>
          <w:sz w:val="24"/>
        </w:rPr>
        <w:t>或</w:t>
      </w:r>
      <w:r>
        <w:rPr>
          <w:rFonts w:ascii="宋体" w:hAnsi="宋体" w:cs="宋体" w:eastAsia="宋体"/>
          <w:sz w:val="24"/>
        </w:rPr>
        <w:t>诉讼期间，本</w:t>
      </w:r>
      <w:r>
        <w:rPr>
          <w:rFonts w:ascii="宋体" w:hAnsi="宋体" w:cs="宋体" w:eastAsia="宋体"/>
          <w:sz w:val="24"/>
        </w:rPr>
        <w:t>合同</w:t>
      </w:r>
      <w:r>
        <w:rPr>
          <w:rFonts w:ascii="宋体" w:hAnsi="宋体" w:cs="宋体" w:eastAsia="宋体"/>
          <w:sz w:val="24"/>
        </w:rPr>
        <w:t>不涉及争议的条款仍须履行。</w:t>
      </w:r>
    </w:p>
    <w:p>
      <w:pPr>
        <w:pStyle w:val="null3"/>
        <w:numPr>
          <w:ilvl w:val="0"/>
          <w:numId w:val="2"/>
        </w:numPr>
        <w:jc w:val="both"/>
      </w:pPr>
      <w:r>
        <w:rPr>
          <w:rFonts w:ascii="宋体" w:hAnsi="宋体" w:cs="宋体" w:eastAsia="宋体"/>
          <w:sz w:val="24"/>
          <w:b/>
        </w:rPr>
        <w:t>权利的保留</w:t>
      </w:r>
    </w:p>
    <w:p>
      <w:pPr>
        <w:pStyle w:val="null3"/>
        <w:ind w:firstLine="480"/>
        <w:jc w:val="both"/>
      </w:pPr>
      <w:r>
        <w:rPr>
          <w:rFonts w:ascii="calibri" w:hAnsi="calibri" w:cs="calibri" w:eastAsia="calibri"/>
          <w:sz w:val="24"/>
        </w:rPr>
        <w:t>17</w:t>
      </w:r>
      <w:r>
        <w:rPr>
          <w:rFonts w:ascii="calibri" w:hAnsi="calibri" w:cs="calibri" w:eastAsia="calibri"/>
          <w:sz w:val="24"/>
        </w:rPr>
        <w:t xml:space="preserve">.1 </w:t>
      </w:r>
      <w:r>
        <w:rPr>
          <w:rFonts w:ascii="宋体" w:hAnsi="宋体" w:cs="宋体" w:eastAsia="宋体"/>
          <w:sz w:val="24"/>
        </w:rPr>
        <w:t>任何一方没有行使其权利或没有就违约方的违约行为采取行动，不应被视为是对其权利的放弃或对追究另一方违约责任权利的放弃。任何一方放弃针对违约方的某种权利，或放弃追究违约方的某种责任，不应视为对其他权利或追究其他责任的放弃。</w:t>
      </w:r>
    </w:p>
    <w:p>
      <w:pPr>
        <w:pStyle w:val="null3"/>
        <w:ind w:firstLine="480"/>
        <w:jc w:val="both"/>
      </w:pPr>
      <w:r>
        <w:rPr>
          <w:rFonts w:ascii="calibri" w:hAnsi="calibri" w:cs="calibri" w:eastAsia="calibri"/>
          <w:sz w:val="24"/>
        </w:rPr>
        <w:t xml:space="preserve">17.2 </w:t>
      </w:r>
      <w:r>
        <w:rPr>
          <w:rFonts w:ascii="宋体" w:hAnsi="宋体" w:cs="宋体" w:eastAsia="宋体"/>
          <w:sz w:val="24"/>
        </w:rPr>
        <w:t>如果本合同部分条款依据现行有关法律法规被确认为无效或无法履行，但不影响本合同其他条款效力的，本合同其他条款继续有效。双方可依据现行法律法规，遵照本合同的原则和精神，拟定补充协议，补全相关约定。</w:t>
      </w:r>
    </w:p>
    <w:p>
      <w:pPr>
        <w:pStyle w:val="null3"/>
        <w:ind w:firstLine="480"/>
        <w:jc w:val="both"/>
      </w:pPr>
      <w:r>
        <w:rPr>
          <w:rFonts w:ascii="calibri" w:hAnsi="calibri" w:cs="calibri" w:eastAsia="calibri"/>
          <w:sz w:val="24"/>
        </w:rPr>
        <w:t>17</w:t>
      </w:r>
      <w:r>
        <w:rPr>
          <w:rFonts w:ascii="calibri" w:hAnsi="calibri" w:cs="calibri" w:eastAsia="calibri"/>
          <w:sz w:val="24"/>
        </w:rPr>
        <w:t xml:space="preserve">.3 </w:t>
      </w:r>
      <w:r>
        <w:rPr>
          <w:rFonts w:ascii="宋体" w:hAnsi="宋体" w:cs="宋体" w:eastAsia="宋体"/>
          <w:sz w:val="24"/>
        </w:rPr>
        <w:t>在本合同履行期间，因中国法律法规的变化致使本合同部分条款相冲突、无效时，双方应协商尽快修改</w:t>
      </w:r>
      <w:r>
        <w:rPr>
          <w:rFonts w:ascii="宋体" w:hAnsi="宋体" w:cs="宋体" w:eastAsia="宋体"/>
          <w:sz w:val="24"/>
        </w:rPr>
        <w:t>相关</w:t>
      </w:r>
      <w:r>
        <w:rPr>
          <w:rFonts w:ascii="宋体" w:hAnsi="宋体" w:cs="宋体" w:eastAsia="宋体"/>
          <w:sz w:val="24"/>
        </w:rPr>
        <w:t>条款。</w:t>
      </w:r>
    </w:p>
    <w:p>
      <w:pPr>
        <w:pStyle w:val="null3"/>
        <w:numPr>
          <w:ilvl w:val="0"/>
          <w:numId w:val="2"/>
        </w:numPr>
        <w:ind w:left="420"/>
        <w:jc w:val="left"/>
      </w:pPr>
      <w:r>
        <w:rPr>
          <w:rFonts w:ascii="宋体" w:hAnsi="宋体" w:cs="宋体" w:eastAsia="宋体"/>
          <w:sz w:val="24"/>
          <w:b/>
        </w:rPr>
        <w:t>其他</w:t>
      </w:r>
    </w:p>
    <w:p>
      <w:pPr>
        <w:pStyle w:val="null3"/>
        <w:ind w:firstLine="480"/>
        <w:jc w:val="both"/>
      </w:pPr>
      <w:r>
        <w:rPr>
          <w:rFonts w:ascii="calibri" w:hAnsi="calibri" w:cs="calibri" w:eastAsia="calibri"/>
          <w:sz w:val="24"/>
        </w:rPr>
        <w:t>18</w:t>
      </w:r>
      <w:r>
        <w:rPr>
          <w:rFonts w:ascii="calibri" w:hAnsi="calibri" w:cs="calibri" w:eastAsia="calibri"/>
          <w:sz w:val="24"/>
        </w:rPr>
        <w:t xml:space="preserve">.1 </w:t>
      </w:r>
      <w:r>
        <w:rPr>
          <w:rFonts w:ascii="宋体" w:hAnsi="宋体" w:cs="宋体" w:eastAsia="宋体"/>
          <w:sz w:val="24"/>
        </w:rPr>
        <w:t>本合同自</w:t>
      </w:r>
      <w:r>
        <w:rPr>
          <w:rFonts w:ascii="宋体" w:hAnsi="宋体" w:cs="宋体" w:eastAsia="宋体"/>
          <w:sz w:val="24"/>
        </w:rPr>
        <w:t>甲乙双方</w:t>
      </w:r>
      <w:r>
        <w:rPr>
          <w:rFonts w:ascii="宋体" w:hAnsi="宋体" w:cs="宋体" w:eastAsia="宋体"/>
          <w:sz w:val="24"/>
        </w:rPr>
        <w:t>加盖公章或合同专用章后生效，合同将保持有效至双方履行</w:t>
      </w:r>
      <w:r>
        <w:rPr>
          <w:rFonts w:ascii="宋体" w:hAnsi="宋体" w:cs="宋体" w:eastAsia="宋体"/>
          <w:sz w:val="24"/>
        </w:rPr>
        <w:t>完毕</w:t>
      </w:r>
      <w:r>
        <w:rPr>
          <w:rFonts w:ascii="宋体" w:hAnsi="宋体" w:cs="宋体" w:eastAsia="宋体"/>
          <w:sz w:val="24"/>
        </w:rPr>
        <w:t>合同项下的所有义务，合同款项和索赔已结清。</w:t>
      </w:r>
      <w:r>
        <w:rPr>
          <w:rFonts w:ascii="宋体" w:hAnsi="宋体" w:cs="宋体" w:eastAsia="宋体"/>
          <w:sz w:val="24"/>
        </w:rPr>
        <w:t>需持续或长久有效的条款，以该条款的约定为准。</w:t>
      </w:r>
    </w:p>
    <w:p>
      <w:pPr>
        <w:pStyle w:val="null3"/>
        <w:ind w:firstLine="480"/>
        <w:jc w:val="both"/>
      </w:pPr>
      <w:r>
        <w:rPr>
          <w:rFonts w:ascii="calibri" w:hAnsi="calibri" w:cs="calibri" w:eastAsia="calibri"/>
          <w:sz w:val="24"/>
        </w:rPr>
        <w:t>18</w:t>
      </w:r>
      <w:r>
        <w:rPr>
          <w:rFonts w:ascii="calibri" w:hAnsi="calibri" w:cs="calibri" w:eastAsia="calibri"/>
          <w:sz w:val="24"/>
        </w:rPr>
        <w:t xml:space="preserve">.2 </w:t>
      </w:r>
      <w:r>
        <w:rPr>
          <w:rFonts w:ascii="宋体" w:hAnsi="宋体" w:cs="宋体" w:eastAsia="宋体"/>
          <w:sz w:val="24"/>
        </w:rPr>
        <w:t>本合同一式肆份，双方各</w:t>
      </w:r>
      <w:r>
        <w:rPr>
          <w:rFonts w:ascii="宋体" w:hAnsi="宋体" w:cs="宋体" w:eastAsia="宋体"/>
          <w:sz w:val="24"/>
        </w:rPr>
        <w:t>持</w:t>
      </w:r>
      <w:r>
        <w:rPr>
          <w:rFonts w:ascii="宋体" w:hAnsi="宋体" w:cs="宋体" w:eastAsia="宋体"/>
          <w:sz w:val="24"/>
        </w:rPr>
        <w:t>贰份，具有</w:t>
      </w:r>
      <w:r>
        <w:rPr>
          <w:rFonts w:ascii="宋体" w:hAnsi="宋体" w:cs="宋体" w:eastAsia="宋体"/>
          <w:sz w:val="24"/>
        </w:rPr>
        <w:t>同等</w:t>
      </w:r>
      <w:r>
        <w:rPr>
          <w:rFonts w:ascii="宋体" w:hAnsi="宋体" w:cs="宋体" w:eastAsia="宋体"/>
          <w:sz w:val="24"/>
        </w:rPr>
        <w:t>法律效力。</w:t>
      </w:r>
    </w:p>
    <w:p>
      <w:pPr>
        <w:pStyle w:val="null3"/>
        <w:ind w:firstLine="480"/>
        <w:jc w:val="both"/>
      </w:pPr>
      <w:r>
        <w:rPr>
          <w:rFonts w:ascii="calibri" w:hAnsi="calibri" w:cs="calibri" w:eastAsia="calibri"/>
          <w:sz w:val="24"/>
        </w:rPr>
        <w:t>18</w:t>
      </w:r>
      <w:r>
        <w:rPr>
          <w:rFonts w:ascii="calibri" w:hAnsi="calibri" w:cs="calibri" w:eastAsia="calibri"/>
          <w:sz w:val="24"/>
        </w:rPr>
        <w:t xml:space="preserve">.3 </w:t>
      </w:r>
      <w:r>
        <w:rPr>
          <w:rFonts w:ascii="宋体" w:hAnsi="宋体" w:cs="宋体" w:eastAsia="宋体"/>
          <w:sz w:val="24"/>
        </w:rPr>
        <w:t>本合同生效后，除本合同另有约定外，双方均不得随意变更或解除合同。如有未尽事宜，双方可签署补充协议或用其他书面方式进行约定。</w:t>
      </w:r>
    </w:p>
    <w:p>
      <w:pPr>
        <w:pStyle w:val="null3"/>
        <w:ind w:firstLine="480"/>
        <w:jc w:val="both"/>
      </w:pPr>
      <w:r>
        <w:rPr>
          <w:rFonts w:ascii="calibri" w:hAnsi="calibri" w:cs="calibri" w:eastAsia="calibri"/>
          <w:sz w:val="24"/>
        </w:rPr>
        <w:t>18.</w:t>
      </w:r>
      <w:r>
        <w:rPr>
          <w:rFonts w:ascii="calibri" w:hAnsi="calibri" w:cs="calibri" w:eastAsia="calibri"/>
          <w:sz w:val="24"/>
        </w:rPr>
        <w:t xml:space="preserve">4 </w:t>
      </w:r>
      <w:r>
        <w:rPr>
          <w:rFonts w:ascii="宋体" w:hAnsi="宋体" w:cs="宋体" w:eastAsia="宋体"/>
          <w:sz w:val="24"/>
        </w:rPr>
        <w:t>本</w:t>
      </w:r>
      <w:r>
        <w:rPr>
          <w:rFonts w:ascii="宋体" w:hAnsi="宋体" w:cs="宋体" w:eastAsia="宋体"/>
          <w:sz w:val="24"/>
        </w:rPr>
        <w:t>合同</w:t>
      </w:r>
      <w:r>
        <w:rPr>
          <w:rFonts w:ascii="宋体" w:hAnsi="宋体" w:cs="宋体" w:eastAsia="宋体"/>
          <w:sz w:val="24"/>
        </w:rPr>
        <w:t>附件包括：</w:t>
      </w:r>
    </w:p>
    <w:p>
      <w:pPr>
        <w:pStyle w:val="null3"/>
        <w:ind w:firstLine="480"/>
        <w:jc w:val="both"/>
      </w:pPr>
      <w:r>
        <w:rPr>
          <w:rFonts w:ascii="宋体" w:hAnsi="宋体" w:cs="宋体" w:eastAsia="宋体"/>
          <w:sz w:val="24"/>
        </w:rPr>
        <w:t>附件</w:t>
      </w:r>
      <w:r>
        <w:rPr>
          <w:rFonts w:ascii="&quot;times new roman&quot;" w:hAnsi="&quot;times new roman&quot;" w:cs="&quot;times new roman&quot;" w:eastAsia="&quot;times new roman&quot;"/>
          <w:sz w:val="24"/>
        </w:rPr>
        <w:t>1</w:t>
      </w:r>
      <w:r>
        <w:rPr>
          <w:rFonts w:ascii="宋体" w:hAnsi="宋体" w:cs="宋体" w:eastAsia="宋体"/>
          <w:sz w:val="24"/>
        </w:rPr>
        <w:t>《价格清单》</w:t>
      </w:r>
    </w:p>
    <w:p>
      <w:pPr>
        <w:pStyle w:val="null3"/>
        <w:ind w:firstLine="480"/>
        <w:jc w:val="both"/>
      </w:pPr>
      <w:r>
        <w:rPr>
          <w:rFonts w:ascii="宋体" w:hAnsi="宋体" w:cs="宋体" w:eastAsia="宋体"/>
          <w:sz w:val="24"/>
        </w:rPr>
        <w:t>附件</w:t>
      </w:r>
      <w:r>
        <w:rPr>
          <w:rFonts w:ascii="&quot;times new roman&quot;" w:hAnsi="&quot;times new roman&quot;" w:cs="&quot;times new roman&quot;" w:eastAsia="&quot;times new roman&quot;"/>
          <w:sz w:val="24"/>
        </w:rPr>
        <w:t>2</w:t>
      </w:r>
      <w:r>
        <w:rPr>
          <w:rFonts w:ascii="宋体" w:hAnsi="宋体" w:cs="宋体" w:eastAsia="宋体"/>
          <w:sz w:val="24"/>
        </w:rPr>
        <w:t>《甲方采购需求书》</w:t>
      </w:r>
    </w:p>
    <w:p>
      <w:pPr>
        <w:pStyle w:val="null3"/>
        <w:ind w:firstLine="480"/>
        <w:jc w:val="both"/>
      </w:pPr>
      <w:r>
        <w:rPr>
          <w:rFonts w:ascii="宋体" w:hAnsi="宋体" w:cs="宋体" w:eastAsia="宋体"/>
          <w:sz w:val="24"/>
        </w:rPr>
        <w:t>附件</w:t>
      </w:r>
      <w:r>
        <w:rPr>
          <w:rFonts w:ascii="calibri" w:hAnsi="calibri" w:cs="calibri" w:eastAsia="calibri"/>
          <w:sz w:val="24"/>
        </w:rPr>
        <w:t>3</w:t>
      </w:r>
      <w:r>
        <w:rPr>
          <w:rFonts w:ascii="宋体" w:hAnsi="宋体" w:cs="宋体" w:eastAsia="宋体"/>
          <w:sz w:val="24"/>
        </w:rPr>
        <w:t>《</w:t>
      </w:r>
      <w:r>
        <w:rPr>
          <w:rFonts w:ascii="宋体" w:hAnsi="宋体" w:cs="宋体" w:eastAsia="宋体"/>
          <w:sz w:val="24"/>
        </w:rPr>
        <w:t>乙方服务承诺</w:t>
      </w:r>
      <w:r>
        <w:rPr>
          <w:rFonts w:ascii="宋体" w:hAnsi="宋体" w:cs="宋体" w:eastAsia="宋体"/>
          <w:sz w:val="24"/>
        </w:rPr>
        <w:t>》</w:t>
      </w:r>
    </w:p>
    <w:p>
      <w:pPr>
        <w:pStyle w:val="null3"/>
        <w:ind w:firstLine="480"/>
        <w:jc w:val="both"/>
      </w:pPr>
      <w:r>
        <w:rPr>
          <w:rFonts w:ascii="宋体" w:hAnsi="宋体" w:cs="宋体" w:eastAsia="宋体"/>
          <w:sz w:val="24"/>
        </w:rPr>
        <w:t>附件</w:t>
      </w:r>
      <w:r>
        <w:rPr>
          <w:rFonts w:ascii="calibri" w:hAnsi="calibri" w:cs="calibri" w:eastAsia="calibri"/>
          <w:sz w:val="24"/>
        </w:rPr>
        <w:t>4</w:t>
      </w:r>
      <w:r>
        <w:rPr>
          <w:rFonts w:ascii="宋体" w:hAnsi="宋体" w:cs="宋体" w:eastAsia="宋体"/>
          <w:sz w:val="24"/>
        </w:rPr>
        <w:t>《验收相关单据》</w:t>
      </w:r>
    </w:p>
    <w:p>
      <w:pPr>
        <w:pStyle w:val="null3"/>
        <w:ind w:firstLine="480"/>
        <w:jc w:val="both"/>
      </w:pPr>
      <w:r>
        <w:rPr>
          <w:rFonts w:ascii="宋体" w:hAnsi="宋体" w:cs="宋体" w:eastAsia="宋体"/>
          <w:sz w:val="24"/>
        </w:rPr>
        <w:t>附件</w:t>
      </w:r>
      <w:r>
        <w:rPr>
          <w:rFonts w:ascii="宋体" w:hAnsi="宋体" w:cs="宋体" w:eastAsia="宋体"/>
          <w:sz w:val="24"/>
        </w:rPr>
        <w:t>5</w:t>
      </w:r>
      <w:r>
        <w:rPr>
          <w:rFonts w:ascii="宋体" w:hAnsi="宋体" w:cs="宋体" w:eastAsia="宋体"/>
          <w:sz w:val="24"/>
        </w:rPr>
        <w:t>《其他补充条款》</w:t>
      </w:r>
    </w:p>
    <w:p>
      <w:pPr>
        <w:pStyle w:val="null3"/>
        <w:ind w:firstLine="480"/>
        <w:jc w:val="both"/>
      </w:pPr>
      <w:r>
        <w:rPr>
          <w:rFonts w:ascii="宋体" w:hAnsi="宋体" w:cs="宋体" w:eastAsia="宋体"/>
          <w:sz w:val="24"/>
        </w:rPr>
        <w:t>附件</w:t>
      </w:r>
      <w:r>
        <w:rPr>
          <w:rFonts w:ascii="宋体" w:hAnsi="宋体" w:cs="宋体" w:eastAsia="宋体"/>
          <w:sz w:val="24"/>
        </w:rPr>
        <w:t>6</w:t>
      </w:r>
      <w:r>
        <w:rPr>
          <w:rFonts w:ascii="宋体" w:hAnsi="宋体" w:cs="宋体" w:eastAsia="宋体"/>
          <w:sz w:val="24"/>
        </w:rPr>
        <w:t>《安全保密协议》</w:t>
      </w:r>
    </w:p>
    <w:p>
      <w:pPr>
        <w:pStyle w:val="null3"/>
        <w:jc w:val="both"/>
      </w:pPr>
      <w:r>
        <w:rPr>
          <w:rFonts w:ascii="宋体" w:hAnsi="宋体" w:cs="宋体" w:eastAsia="宋体"/>
          <w:sz w:val="24"/>
        </w:rPr>
        <w:t>（以下无正文）</w:t>
      </w:r>
    </w:p>
    <w:p>
      <w:pPr>
        <w:pStyle w:val="null3"/>
        <w:jc w:val="left"/>
      </w:pPr>
      <w:r>
        <w:rPr>
          <w:rFonts w:ascii="宋体" w:hAnsi="宋体" w:cs="宋体" w:eastAsia="宋体"/>
          <w:sz w:val="24"/>
          <w:b/>
          <w:i/>
        </w:rPr>
        <w:t>双方盖章：</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5"/>
              <w:jc w:val="both"/>
            </w:pPr>
            <w:r>
              <w:rPr>
                <w:rFonts w:ascii="宋体" w:hAnsi="宋体" w:cs="宋体" w:eastAsia="宋体"/>
                <w:sz w:val="24"/>
                <w:b/>
              </w:rPr>
              <w:t>甲方</w:t>
            </w:r>
            <w:r>
              <w:rPr>
                <w:rFonts w:ascii="宋体" w:hAnsi="宋体" w:cs="宋体" w:eastAsia="宋体"/>
                <w:sz w:val="24"/>
                <w:b/>
              </w:rPr>
              <w:t>：</w:t>
            </w:r>
            <w:r>
              <w:rPr>
                <w:rFonts w:ascii="宋体" w:hAnsi="宋体" w:cs="宋体" w:eastAsia="宋体"/>
                <w:sz w:val="24"/>
                <w:b/>
              </w:rPr>
              <w:t>网联清算有限公司</w:t>
            </w:r>
            <w:r>
              <w:rPr>
                <w:rFonts w:ascii="宋体" w:hAnsi="宋体" w:cs="宋体" w:eastAsia="宋体"/>
                <w:sz w:val="24"/>
              </w:rPr>
              <w:t>（盖</w:t>
            </w:r>
            <w:r>
              <w:rPr>
                <w:rFonts w:ascii="宋体" w:hAnsi="宋体" w:cs="宋体" w:eastAsia="宋体"/>
                <w:sz w:val="24"/>
              </w:rPr>
              <w:t>章</w:t>
            </w:r>
            <w:r>
              <w:rPr>
                <w:rFonts w:ascii="宋体" w:hAnsi="宋体" w:cs="宋体" w:eastAsia="宋体"/>
                <w:sz w:val="24"/>
              </w:rPr>
              <w:t>）</w:t>
            </w:r>
          </w:p>
          <w:p>
            <w:pPr>
              <w:pStyle w:val="null3"/>
              <w:ind w:right="-15"/>
              <w:jc w:val="both"/>
            </w:pPr>
            <w:r>
              <w:rPr>
                <w:rFonts w:ascii="宋体" w:hAnsi="宋体" w:cs="宋体" w:eastAsia="宋体"/>
                <w:sz w:val="24"/>
              </w:rPr>
              <w:t>签署</w:t>
            </w:r>
            <w:r>
              <w:rPr>
                <w:rFonts w:ascii="宋体" w:hAnsi="宋体" w:cs="宋体" w:eastAsia="宋体"/>
                <w:sz w:val="24"/>
              </w:rPr>
              <w:t>日</w:t>
            </w:r>
            <w:r>
              <w:rPr>
                <w:rFonts w:ascii="宋体" w:hAnsi="宋体" w:cs="宋体" w:eastAsia="宋体"/>
                <w:sz w:val="24"/>
              </w:rPr>
              <w:t>期</w:t>
            </w:r>
            <w:r>
              <w:rPr>
                <w:rFonts w:ascii="宋体" w:hAnsi="宋体" w:cs="宋体" w:eastAsia="宋体"/>
                <w:sz w:val="24"/>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5"/>
              <w:jc w:val="both"/>
            </w:pPr>
            <w:r>
              <w:rPr>
                <w:rFonts w:ascii="宋体" w:hAnsi="宋体" w:cs="宋体" w:eastAsia="宋体"/>
                <w:sz w:val="24"/>
                <w:b/>
              </w:rPr>
              <w:t>乙方</w:t>
            </w:r>
            <w:r>
              <w:rPr>
                <w:rFonts w:ascii="宋体" w:hAnsi="宋体" w:cs="宋体" w:eastAsia="宋体"/>
                <w:sz w:val="24"/>
                <w:b/>
              </w:rPr>
              <w:t>：</w:t>
            </w:r>
            <w:r>
              <w:rPr>
                <w:rFonts w:ascii="宋体" w:hAnsi="宋体" w:cs="宋体" w:eastAsia="宋体"/>
                <w:sz w:val="24"/>
                <w:b/>
              </w:rPr>
              <w:t>【</w:t>
            </w:r>
            <w:r>
              <w:rPr>
                <w:rFonts w:ascii="宋体" w:hAnsi="宋体" w:cs="宋体" w:eastAsia="宋体"/>
                <w:sz w:val="24"/>
                <w:b/>
              </w:rPr>
              <w:t>】</w:t>
            </w:r>
            <w:r>
              <w:rPr>
                <w:rFonts w:ascii="宋体" w:hAnsi="宋体" w:cs="宋体" w:eastAsia="宋体"/>
                <w:sz w:val="24"/>
              </w:rPr>
              <w:t>（盖</w:t>
            </w:r>
            <w:r>
              <w:rPr>
                <w:rFonts w:ascii="宋体" w:hAnsi="宋体" w:cs="宋体" w:eastAsia="宋体"/>
                <w:sz w:val="24"/>
              </w:rPr>
              <w:t>章</w:t>
            </w:r>
            <w:r>
              <w:rPr>
                <w:rFonts w:ascii="宋体" w:hAnsi="宋体" w:cs="宋体" w:eastAsia="宋体"/>
                <w:sz w:val="24"/>
              </w:rPr>
              <w:t>）</w:t>
            </w:r>
          </w:p>
          <w:p>
            <w:pPr>
              <w:pStyle w:val="null3"/>
              <w:ind w:right="-15"/>
              <w:jc w:val="both"/>
            </w:pPr>
            <w:r>
              <w:rPr>
                <w:rFonts w:ascii="宋体" w:hAnsi="宋体" w:cs="宋体" w:eastAsia="宋体"/>
                <w:sz w:val="24"/>
              </w:rPr>
              <w:t>签署日</w:t>
            </w:r>
            <w:r>
              <w:rPr>
                <w:rFonts w:ascii="宋体" w:hAnsi="宋体" w:cs="宋体" w:eastAsia="宋体"/>
                <w:sz w:val="24"/>
              </w:rPr>
              <w:t>期</w:t>
            </w:r>
            <w:r>
              <w:rPr>
                <w:rFonts w:ascii="宋体" w:hAnsi="宋体" w:cs="宋体" w:eastAsia="宋体"/>
                <w:sz w:val="24"/>
              </w:rPr>
              <w:t>：</w:t>
            </w:r>
          </w:p>
        </w:tc>
      </w:tr>
    </w:tbl>
    <w:p>
      <w:pPr>
        <w:pStyle w:val="null3"/>
        <w:jc w:val="both"/>
      </w:pPr>
      <w:r>
        <w:rPr>
          <w:rFonts w:ascii="宋体" w:hAnsi="宋体" w:cs="宋体" w:eastAsia="宋体"/>
          <w:sz w:val="24"/>
          <w:b/>
        </w:rPr>
        <w:t>附件【</w:t>
      </w:r>
      <w:r>
        <w:rPr>
          <w:b/>
        </w:rPr>
        <w:t xml:space="preserve"> </w:t>
      </w:r>
      <w:r>
        <w:rPr>
          <w:rFonts w:ascii="宋体" w:hAnsi="宋体" w:cs="宋体" w:eastAsia="宋体"/>
          <w:sz w:val="24"/>
          <w:b/>
        </w:rPr>
        <w:t>】：其他补充条款</w:t>
      </w:r>
    </w:p>
    <w:p>
      <w:pPr>
        <w:pStyle w:val="null3"/>
      </w:pPr>
      <w:r>
        <w:rPr/>
        <w:t xml:space="preserve"> </w:t>
      </w:r>
    </w:p>
    <w:p>
      <w:pPr>
        <w:pStyle w:val="null3"/>
        <w:ind w:firstLine="480"/>
        <w:jc w:val="both"/>
      </w:pPr>
      <w:r>
        <w:rPr>
          <w:rFonts w:ascii="宋体" w:hAnsi="宋体" w:cs="宋体" w:eastAsia="宋体"/>
          <w:sz w:val="24"/>
        </w:rPr>
        <w:t>双方一致同意，乙方还应根据项目实际情况履行如下义务：</w:t>
      </w:r>
    </w:p>
    <w:p>
      <w:pPr>
        <w:pStyle w:val="null3"/>
        <w:ind w:firstLine="480"/>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乙方必须自行完成本合同要求的项目工作，不得将项目相关工作转包或变相转包、分包给其他任何第三方进行。</w:t>
      </w:r>
    </w:p>
    <w:p>
      <w:pPr>
        <w:pStyle w:val="null3"/>
        <w:ind w:firstLine="480"/>
        <w:jc w:val="both"/>
      </w:pPr>
      <w:r>
        <w:rPr>
          <w:rFonts w:ascii="宋体" w:hAnsi="宋体" w:cs="宋体" w:eastAsia="宋体"/>
          <w:sz w:val="24"/>
        </w:rPr>
        <w:t>2</w:t>
      </w:r>
      <w:r>
        <w:rPr>
          <w:rFonts w:ascii="宋体" w:hAnsi="宋体" w:cs="宋体" w:eastAsia="宋体"/>
          <w:sz w:val="24"/>
        </w:rPr>
        <w:t>、甲方有权根据项目情况要求乙方向甲方提供项目进度报告，内容包括但不限于项目计划、实施进度、问题报告、人员变动，风险提示等。如乙方在本合同履行过程中遇到任何影响项目的突发事件（包括但不限于信息科技突发事件、可能引发信息科技风险的突发事件等），乙方应立即采取应急措施并书面通知甲方。</w:t>
      </w:r>
    </w:p>
    <w:p>
      <w:pPr>
        <w:pStyle w:val="null3"/>
        <w:ind w:firstLine="480"/>
        <w:jc w:val="both"/>
      </w:pPr>
      <w:r>
        <w:rPr>
          <w:rFonts w:ascii="宋体" w:hAnsi="宋体" w:cs="宋体" w:eastAsia="宋体"/>
          <w:sz w:val="24"/>
        </w:rPr>
        <w:t>3</w:t>
      </w:r>
      <w:r>
        <w:rPr>
          <w:rFonts w:ascii="宋体" w:hAnsi="宋体" w:cs="宋体" w:eastAsia="宋体"/>
          <w:sz w:val="24"/>
        </w:rPr>
        <w:t>、乙方应按照甲方风险评估要求，聘请或者委托独立第三方机构开展风险评估，如实披露相关信息，并为甲方的后续核实工作提供必要的协助。</w:t>
      </w:r>
    </w:p>
    <w:p>
      <w:pPr>
        <w:pStyle w:val="null3"/>
        <w:ind w:firstLine="480"/>
        <w:jc w:val="both"/>
      </w:pPr>
      <w:r>
        <w:rPr>
          <w:rFonts w:ascii="宋体" w:hAnsi="宋体" w:cs="宋体" w:eastAsia="宋体"/>
          <w:sz w:val="24"/>
        </w:rPr>
        <w:t>4</w:t>
      </w:r>
      <w:r>
        <w:rPr>
          <w:rFonts w:ascii="宋体" w:hAnsi="宋体" w:cs="宋体" w:eastAsia="宋体"/>
          <w:sz w:val="24"/>
        </w:rPr>
        <w:t>、甲方有权根据项目实际情况要求乙方提供相关的产品、服务或技术培训。</w:t>
      </w:r>
    </w:p>
    <w:p>
      <w:pPr>
        <w:pStyle w:val="null3"/>
        <w:ind w:firstLine="480"/>
        <w:jc w:val="both"/>
      </w:pPr>
      <w:r>
        <w:rPr>
          <w:rFonts w:ascii="宋体" w:hAnsi="宋体" w:cs="宋体" w:eastAsia="宋体"/>
          <w:sz w:val="24"/>
        </w:rPr>
        <w:t>5</w:t>
      </w:r>
      <w:r>
        <w:rPr>
          <w:rFonts w:ascii="宋体" w:hAnsi="宋体" w:cs="宋体" w:eastAsia="宋体"/>
          <w:sz w:val="24"/>
        </w:rPr>
        <w:t>、乙方应配合甲方接受甲方或金融业监督管理机构对项目的风险监测和检查，并接受甲方指定人员或机构对项目进行的审计。</w:t>
      </w:r>
    </w:p>
    <w:p>
      <w:pPr>
        <w:pStyle w:val="null3"/>
        <w:ind w:firstLine="480"/>
        <w:jc w:val="both"/>
      </w:pPr>
      <w:r>
        <w:rPr>
          <w:rFonts w:ascii="宋体" w:hAnsi="宋体" w:cs="宋体" w:eastAsia="宋体"/>
          <w:sz w:val="24"/>
        </w:rPr>
        <w:t>6</w:t>
      </w:r>
      <w:r>
        <w:rPr>
          <w:rFonts w:ascii="宋体" w:hAnsi="宋体" w:cs="宋体" w:eastAsia="宋体"/>
          <w:sz w:val="24"/>
        </w:rPr>
        <w:t>、乙方应当采取必要的内控及风险管理措施，使乙方履行本合同符合法律法规及甲方项目管理制度的要求。</w:t>
      </w:r>
    </w:p>
    <w:p>
      <w:pPr>
        <w:pStyle w:val="null3"/>
        <w:ind w:firstLine="480"/>
        <w:jc w:val="both"/>
      </w:pPr>
      <w:r>
        <w:rPr>
          <w:rFonts w:ascii="宋体" w:hAnsi="宋体" w:cs="宋体" w:eastAsia="宋体"/>
          <w:sz w:val="24"/>
        </w:rPr>
        <w:t>7</w:t>
      </w:r>
      <w:r>
        <w:rPr>
          <w:rFonts w:ascii="宋体" w:hAnsi="宋体" w:cs="宋体" w:eastAsia="宋体"/>
          <w:sz w:val="24"/>
        </w:rPr>
        <w:t>、在本合同的变更或终止的过程中，乙方应配合甲方做好过渡期间的相关服务，包括但不限于服务文档、服务信息、数据资料和设施的交接处置等。</w:t>
      </w:r>
    </w:p>
    <w:p>
      <w:pPr>
        <w:pStyle w:val="null3"/>
        <w:ind w:firstLine="480"/>
        <w:jc w:val="both"/>
      </w:pPr>
      <w:r>
        <w:rPr>
          <w:rFonts w:ascii="宋体" w:hAnsi="宋体" w:cs="宋体" w:eastAsia="宋体"/>
          <w:sz w:val="24"/>
        </w:rPr>
        <w:t>8</w:t>
      </w:r>
      <w:r>
        <w:rPr>
          <w:rFonts w:ascii="宋体" w:hAnsi="宋体" w:cs="宋体" w:eastAsia="宋体"/>
          <w:sz w:val="24"/>
        </w:rPr>
        <w:t>、乙方保证不以甲方的名义对外开展任何活动。</w:t>
      </w:r>
    </w:p>
    <w:p>
      <w:pPr>
        <w:pStyle w:val="null3"/>
        <w:ind w:firstLine="480"/>
        <w:jc w:val="both"/>
      </w:pPr>
      <w:r>
        <w:rPr>
          <w:rFonts w:ascii="宋体" w:hAnsi="宋体" w:cs="宋体" w:eastAsia="宋体"/>
          <w:sz w:val="24"/>
        </w:rPr>
        <w:t>9</w:t>
      </w:r>
      <w:r>
        <w:rPr>
          <w:rFonts w:ascii="宋体" w:hAnsi="宋体" w:cs="宋体" w:eastAsia="宋体"/>
          <w:sz w:val="24"/>
        </w:rPr>
        <w:t>、乙方保证为履行本合同设立服务连续性管理目标，保证提前准备并维护好实现该服务连续性目标所需的各种资源。乙方同意甲方对其服务连续性管理进行监控和评价。</w:t>
      </w:r>
    </w:p>
    <w:p>
      <w:pPr>
        <w:pStyle w:val="null3"/>
        <w:ind w:firstLine="480"/>
        <w:jc w:val="both"/>
      </w:pPr>
      <w:r>
        <w:rPr>
          <w:rFonts w:ascii="宋体" w:hAnsi="宋体" w:cs="宋体" w:eastAsia="宋体"/>
          <w:sz w:val="24"/>
        </w:rPr>
        <w:t>10</w:t>
      </w:r>
      <w:r>
        <w:rPr>
          <w:rFonts w:ascii="宋体" w:hAnsi="宋体" w:cs="宋体" w:eastAsia="宋体"/>
          <w:sz w:val="24"/>
        </w:rPr>
        <w:t>、甲方有权根据项目情况要求乙方为甲方配备适用于履行本合同的独立或专用的资源，包括但不限于服务团队、场地、系统、设备、设施等，并同意接受甲方对履行资源的检查。</w:t>
      </w:r>
    </w:p>
    <w:p>
      <w:pPr>
        <w:pStyle w:val="null3"/>
        <w:ind w:firstLine="480"/>
        <w:jc w:val="both"/>
      </w:pPr>
      <w:r>
        <w:rPr>
          <w:rFonts w:ascii="宋体" w:hAnsi="宋体" w:cs="宋体" w:eastAsia="宋体"/>
          <w:sz w:val="24"/>
        </w:rPr>
        <w:t>11</w:t>
      </w:r>
      <w:r>
        <w:rPr>
          <w:rFonts w:ascii="宋体" w:hAnsi="宋体" w:cs="宋体" w:eastAsia="宋体"/>
          <w:sz w:val="24"/>
        </w:rPr>
        <w:t>、乙方保证在其服务质量不能满足本合同要求的情况下、外包服务中断的情况下或因乙方经营问题导致无法提供相应外包服务情况下，甲方有权优先获取乙方届时拥有的服务资源，包括但不限于乙方履行本合同义务中使用工具的原厂商服务资源等，由此产生的费用全部由乙方承担。</w:t>
      </w:r>
    </w:p>
    <w:p>
      <w:pPr>
        <w:pStyle w:val="null3"/>
        <w:ind w:firstLine="480"/>
        <w:jc w:val="both"/>
      </w:pPr>
      <w:r>
        <w:rPr>
          <w:rFonts w:ascii="宋体" w:hAnsi="宋体" w:cs="宋体" w:eastAsia="宋体"/>
          <w:sz w:val="24"/>
        </w:rPr>
        <w:t>12</w:t>
      </w:r>
      <w:r>
        <w:rPr>
          <w:rFonts w:ascii="宋体" w:hAnsi="宋体" w:cs="宋体" w:eastAsia="宋体"/>
          <w:sz w:val="24"/>
        </w:rPr>
        <w:t>、乙方同意甲方对其内部控制、质量管理、信息安全的有效性进行评估，对于评估结果为高风险的，应按照甲方的要求进行限期整改，对于逾期未整改的，甲方有权中止或终止合同。</w:t>
      </w:r>
    </w:p>
    <w:p>
      <w:pPr>
        <w:pStyle w:val="null3"/>
        <w:ind w:firstLine="480"/>
        <w:jc w:val="both"/>
      </w:pPr>
      <w:r>
        <w:rPr>
          <w:rFonts w:ascii="宋体" w:hAnsi="宋体" w:cs="宋体" w:eastAsia="宋体"/>
          <w:sz w:val="24"/>
        </w:rPr>
        <w:t>13</w:t>
      </w:r>
      <w:r>
        <w:rPr>
          <w:rFonts w:ascii="宋体" w:hAnsi="宋体" w:cs="宋体" w:eastAsia="宋体"/>
          <w:sz w:val="24"/>
        </w:rPr>
        <w:t>、乙方保证自身及工作人员具有履行本合同所需的法定资质，包括但不限于各类现行适用的许可或审批。乙方需保证其工作人员遵守法律法规、无犯罪记录，与乙方具备合法有效的劳动关系并已按受安全保密培训；乙方工作人员需符合甲方项目的要求。</w:t>
      </w:r>
    </w:p>
    <w:p>
      <w:pPr>
        <w:pStyle w:val="null3"/>
        <w:ind w:firstLine="480"/>
        <w:jc w:val="both"/>
      </w:pPr>
      <w:r>
        <w:rPr>
          <w:rFonts w:ascii="宋体" w:hAnsi="宋体" w:cs="宋体" w:eastAsia="宋体"/>
          <w:sz w:val="24"/>
        </w:rPr>
        <w:t>14</w:t>
      </w:r>
      <w:r>
        <w:rPr>
          <w:rFonts w:ascii="宋体" w:hAnsi="宋体" w:cs="宋体" w:eastAsia="宋体"/>
          <w:sz w:val="24"/>
        </w:rPr>
        <w:t>、乙方应配合开展风险评估、配合提供工商信息变更、企业股权变动、管理人员变动、财务经营、涉诉纠纷等经营监测信息要求。乙方根据甲方要求配合接受服务质量评价、合同履行情况现场评估等。</w:t>
      </w:r>
    </w:p>
    <w:p>
      <w:pPr>
        <w:pStyle w:val="null3"/>
        <w:ind w:firstLine="480"/>
        <w:jc w:val="both"/>
      </w:pPr>
      <w:r>
        <w:rPr>
          <w:rFonts w:ascii="宋体" w:hAnsi="宋体" w:cs="宋体" w:eastAsia="宋体"/>
          <w:sz w:val="24"/>
        </w:rPr>
        <w:t>15</w:t>
      </w:r>
      <w:r>
        <w:rPr>
          <w:rFonts w:ascii="宋体" w:hAnsi="宋体" w:cs="宋体" w:eastAsia="宋体"/>
          <w:sz w:val="24"/>
        </w:rPr>
        <w:t>、在发生可能引发系统性、区域性甲方平台信息科技风险类突发事件时，乙方应及时向甲方报告，包括但不限于事件的影响以及处置和纠正措施。</w:t>
      </w:r>
    </w:p>
    <w:p>
      <w:pPr>
        <w:pStyle w:val="null3"/>
        <w:ind w:firstLine="480"/>
        <w:jc w:val="both"/>
      </w:pPr>
      <w:r>
        <w:rPr>
          <w:rFonts w:ascii="宋体" w:hAnsi="宋体" w:cs="宋体" w:eastAsia="宋体"/>
          <w:sz w:val="24"/>
        </w:rPr>
        <w:t>16</w:t>
      </w:r>
      <w:r>
        <w:rPr>
          <w:rFonts w:ascii="宋体" w:hAnsi="宋体" w:cs="宋体" w:eastAsia="宋体"/>
          <w:sz w:val="24"/>
        </w:rPr>
        <w:t>、商业廉洁。甲乙双方都清楚并愿意严格遵守中华人民共和国反商业贿赂的法律规定，双方都清楚任何形式的贿赂和贪渎行为都将触犯法律，并将受到法律的严惩。甲方或乙方均不得向对方或对方经办人或其他相关人员索要、收受、提供、给予合同约定外的任何利益，包括但不限于明扣、暗扣、现金、购物卡、实物、有价证券、旅游或其他非物质性利益等，但如该等利益属于行业惯例或通常做法，则须在合同中明示。</w:t>
      </w:r>
    </w:p>
    <w:p>
      <w:pPr>
        <w:pStyle w:val="null3"/>
        <w:jc w:val="left"/>
      </w:pPr>
      <w:r>
        <w:rPr>
          <w:rFonts w:ascii="宋体" w:hAnsi="宋体" w:cs="宋体" w:eastAsia="宋体"/>
          <w:sz w:val="24"/>
          <w:b/>
        </w:rPr>
        <w:t>附件【</w:t>
      </w:r>
      <w:r>
        <w:rPr>
          <w:rFonts w:ascii="宋体" w:hAnsi="宋体" w:cs="宋体" w:eastAsia="宋体"/>
          <w:sz w:val="24"/>
          <w:b/>
        </w:rPr>
        <w:t>】：安全保密协议</w:t>
      </w:r>
    </w:p>
    <w:p>
      <w:pPr>
        <w:pStyle w:val="null3"/>
      </w:pPr>
      <w:r>
        <w:rPr/>
        <w:t xml:space="preserve"> </w:t>
      </w:r>
    </w:p>
    <w:p>
      <w:pPr>
        <w:pStyle w:val="null3"/>
        <w:jc w:val="left"/>
      </w:pPr>
      <w:r>
        <w:rPr>
          <w:rFonts w:ascii="宋体" w:hAnsi="宋体" w:cs="宋体" w:eastAsia="宋体"/>
          <w:sz w:val="24"/>
        </w:rPr>
        <w:t>安全保密协议</w:t>
      </w:r>
    </w:p>
    <w:p>
      <w:pPr>
        <w:pStyle w:val="null3"/>
        <w:ind w:left="480"/>
        <w:jc w:val="center"/>
      </w:pPr>
      <w:r>
        <w:rPr>
          <w:rFonts w:ascii="宋体" w:hAnsi="宋体" w:cs="宋体" w:eastAsia="宋体"/>
          <w:sz w:val="24"/>
        </w:rPr>
        <w:t>甲方：网联清算有限公司</w:t>
      </w:r>
    </w:p>
    <w:p>
      <w:pPr>
        <w:pStyle w:val="null3"/>
        <w:jc w:val="both"/>
      </w:pPr>
      <w:r>
        <w:rPr>
          <w:rFonts w:ascii="宋体" w:hAnsi="宋体" w:cs="宋体" w:eastAsia="宋体"/>
          <w:sz w:val="24"/>
        </w:rPr>
        <w:t>乙方：【</w:t>
      </w:r>
      <w:r>
        <w:rPr>
          <w:rFonts w:ascii="calibri" w:hAnsi="calibri" w:cs="calibri" w:eastAsia="calibri"/>
          <w:sz w:val="21"/>
        </w:rPr>
        <w:t xml:space="preserve"> </w:t>
      </w:r>
      <w:r>
        <w:rPr>
          <w:rFonts w:ascii="宋体" w:hAnsi="宋体" w:cs="宋体" w:eastAsia="宋体"/>
          <w:sz w:val="24"/>
        </w:rPr>
        <w:t>】</w:t>
      </w:r>
    </w:p>
    <w:p>
      <w:pPr>
        <w:pStyle w:val="null3"/>
        <w:ind w:left="840"/>
        <w:jc w:val="center"/>
      </w:pPr>
      <w:r>
        <w:rPr>
          <w:rFonts w:ascii="宋体" w:hAnsi="宋体" w:cs="宋体" w:eastAsia="宋体"/>
          <w:sz w:val="24"/>
        </w:rPr>
        <w:t>乙方为甲方提供产品及服务。为进一步明确保密和网络安全保护责任，确保合作期间甲方网络与信息系统安全、稳定运行，根据有关法律法规、制度规定，经双方友好协商，乙方就有关保密和网络安全保护义务做出如下承诺：</w:t>
      </w:r>
    </w:p>
    <w:p>
      <w:pPr>
        <w:pStyle w:val="null3"/>
        <w:ind w:firstLine="480"/>
        <w:jc w:val="both"/>
      </w:pPr>
      <w:r>
        <w:rPr>
          <w:rFonts w:ascii="宋体" w:hAnsi="宋体" w:cs="宋体" w:eastAsia="宋体"/>
          <w:sz w:val="24"/>
        </w:rPr>
        <w:t>一、保密责任与义务</w:t>
      </w:r>
    </w:p>
    <w:p>
      <w:pPr>
        <w:pStyle w:val="null3"/>
        <w:ind w:firstLine="480"/>
        <w:jc w:val="both"/>
      </w:pPr>
      <w:r>
        <w:rPr>
          <w:rFonts w:ascii="宋体" w:hAnsi="宋体" w:cs="宋体" w:eastAsia="宋体"/>
          <w:sz w:val="24"/>
        </w:rPr>
        <w:t>1、乙方同意：凡甲方提供给乙方的任何书面或口头的商业、客户、技术、业务、财务、法律、人事和其他方面的资料、数据、信息，以及本合同履行过程中形成的所有资料、信息，除非甲方书面明确说明为公共知晓的信息外，均构成甲方的保密信息。</w:t>
      </w:r>
    </w:p>
    <w:p>
      <w:pPr>
        <w:pStyle w:val="null3"/>
        <w:ind w:firstLine="480"/>
        <w:jc w:val="both"/>
      </w:pPr>
      <w:r>
        <w:rPr>
          <w:rFonts w:ascii="宋体" w:hAnsi="宋体" w:cs="宋体" w:eastAsia="宋体"/>
          <w:sz w:val="24"/>
        </w:rPr>
        <w:t>2、乙方同意：乙方对所有甲方保密信息均应承担保密义务，相关保密信息仅用于本合同项下的工作。除进行本合同项下相关工作的甲方及乙方人员之外，乙方不向任何第三方（包括但不限于乙方雇员、代理人、关联公司、其他单位或个人）披露甲方的保密信息。未经甲方事先书面同意，乙方不得将本合同及与甲方洽谈合作中的任何内容向第三方披露。乙方同意为其相关人员的行为承担全部责任。</w:t>
      </w:r>
    </w:p>
    <w:p>
      <w:pPr>
        <w:pStyle w:val="null3"/>
        <w:ind w:firstLine="480"/>
        <w:jc w:val="both"/>
      </w:pPr>
      <w:r>
        <w:rPr>
          <w:rFonts w:ascii="宋体" w:hAnsi="宋体" w:cs="宋体" w:eastAsia="宋体"/>
          <w:sz w:val="24"/>
        </w:rPr>
        <w:t>3、乙方保证：如为本合同目的确实需要向第三方披露甲方的保密信息，需事先得到甲方的书面许可，并与该第三方签订保密合同。</w:t>
      </w:r>
    </w:p>
    <w:p>
      <w:pPr>
        <w:pStyle w:val="null3"/>
        <w:ind w:firstLine="480"/>
        <w:jc w:val="both"/>
      </w:pPr>
      <w:r>
        <w:rPr>
          <w:rFonts w:ascii="宋体" w:hAnsi="宋体" w:cs="宋体" w:eastAsia="宋体"/>
          <w:sz w:val="24"/>
        </w:rPr>
        <w:t>4、乙方保证：为防止甲方的保密信息进入公共领域或被未经甲方允许的人员或单位掌握，乙方将采取一切措施以保护甲方信息的机密性（包括与乙方相关人员签订保密合同），防止甲方保密信息被披露或使用。乙方同意，一旦发现任何对甲方保密信息的滥用或窃用情况，均以书面形式立即通知甲方。</w:t>
      </w:r>
    </w:p>
    <w:p>
      <w:pPr>
        <w:pStyle w:val="null3"/>
        <w:ind w:firstLine="480"/>
        <w:jc w:val="both"/>
      </w:pPr>
      <w:r>
        <w:rPr>
          <w:rFonts w:ascii="宋体" w:hAnsi="宋体" w:cs="宋体" w:eastAsia="宋体"/>
          <w:sz w:val="24"/>
        </w:rPr>
        <w:t>5、乙方保证：在双方合作关系结束后，乙方有义务按照甲方的要求将保密信息及其载体返还给甲方或者按照甲方的要求予以销毁并出具加盖乙方公章的已销毁甲方保密信息的书面声明，不得再以任何形式使用甲方保密信息，并对此负有长期（终身）保密义务。</w:t>
      </w:r>
    </w:p>
    <w:p>
      <w:pPr>
        <w:pStyle w:val="null3"/>
        <w:ind w:firstLine="480"/>
        <w:jc w:val="both"/>
      </w:pPr>
      <w:r>
        <w:rPr>
          <w:rFonts w:ascii="宋体" w:hAnsi="宋体" w:cs="宋体" w:eastAsia="宋体"/>
          <w:sz w:val="24"/>
        </w:rPr>
        <w:t>6、乙方同意：除非甲方特别声明，乙方的保密义务为无限期保密，直至甲方宣布解密或者甲方保密信息实际上已经完全公开为止。</w:t>
      </w:r>
    </w:p>
    <w:p>
      <w:pPr>
        <w:pStyle w:val="null3"/>
        <w:ind w:firstLine="480"/>
        <w:jc w:val="both"/>
      </w:pPr>
      <w:r>
        <w:rPr>
          <w:rFonts w:ascii="宋体" w:hAnsi="宋体" w:cs="宋体" w:eastAsia="宋体"/>
          <w:sz w:val="24"/>
        </w:rPr>
        <w:t>7、乙方同意：如发生任何保密信息、敏感信息泄露事件，包括但不限于因乙方原因导致的泄露事件或者因第三方非法获取和使用而造成的泄露事件，乙方均应立即通知甲方，并采取有效措施防止泄密进一步扩大。</w:t>
      </w:r>
    </w:p>
    <w:p>
      <w:pPr>
        <w:pStyle w:val="null3"/>
        <w:ind w:firstLine="480"/>
        <w:jc w:val="both"/>
      </w:pPr>
      <w:r>
        <w:rPr>
          <w:rFonts w:ascii="宋体" w:hAnsi="宋体" w:cs="宋体" w:eastAsia="宋体"/>
          <w:sz w:val="24"/>
        </w:rPr>
        <w:t>二、网络安全责任与义务</w:t>
      </w:r>
    </w:p>
    <w:p>
      <w:pPr>
        <w:pStyle w:val="null3"/>
        <w:ind w:firstLine="480"/>
        <w:jc w:val="both"/>
      </w:pPr>
      <w:r>
        <w:rPr>
          <w:rFonts w:ascii="宋体" w:hAnsi="宋体" w:cs="宋体" w:eastAsia="宋体"/>
          <w:sz w:val="24"/>
        </w:rPr>
        <w:t>1、乙方保证：严格遵守甲方各项网络安全制度和管理要求，确保责任期内不发生网络安全事件。合作项目涉及分包时，乙方负责相应分包商的网络安全管理，承担外包服务过程中的总体网络安全责任。</w:t>
      </w:r>
    </w:p>
    <w:p>
      <w:pPr>
        <w:pStyle w:val="null3"/>
        <w:ind w:firstLine="480"/>
        <w:jc w:val="both"/>
      </w:pPr>
      <w:r>
        <w:rPr>
          <w:rFonts w:ascii="宋体" w:hAnsi="宋体" w:cs="宋体" w:eastAsia="宋体"/>
          <w:sz w:val="24"/>
        </w:rPr>
        <w:t>2、乙方保证：加强派遣人员管理，负责对派遣到甲方的人员进行网络安全培训，明确其网络安全责任，按甲方需要签署保密合同。</w:t>
      </w:r>
    </w:p>
    <w:p>
      <w:pPr>
        <w:pStyle w:val="null3"/>
        <w:ind w:firstLine="480"/>
        <w:jc w:val="both"/>
      </w:pPr>
      <w:r>
        <w:rPr>
          <w:rFonts w:ascii="宋体" w:hAnsi="宋体" w:cs="宋体" w:eastAsia="宋体"/>
          <w:sz w:val="24"/>
        </w:rPr>
        <w:t>3、乙方保证：加强网络安全管理，及时将甲方的各项网络安全管理要求落实到位；积极配合甲方开展的各项网络安全工作，如实汇报相关情况；在重大节日及敏感时期，根据甲方要求开展保障工作，随时应对各类突发事件。</w:t>
      </w:r>
    </w:p>
    <w:p>
      <w:pPr>
        <w:pStyle w:val="null3"/>
        <w:ind w:firstLine="480"/>
        <w:jc w:val="both"/>
      </w:pPr>
      <w:r>
        <w:rPr>
          <w:rFonts w:ascii="宋体" w:hAnsi="宋体" w:cs="宋体" w:eastAsia="宋体"/>
          <w:sz w:val="24"/>
        </w:rPr>
        <w:t>4、乙方保证：发生或发现网络安全事件时，及时向甲方信息科技外包使用方和信息科技外包归口管理部门报告，做到不瞒报、不谎报、不拖延；根据甲方要求，积极参与网络安全事件处置、调查等工作；对相关责任人，按照甲方要求和乙方有关规定给予处理。</w:t>
      </w:r>
    </w:p>
    <w:p>
      <w:pPr>
        <w:pStyle w:val="null3"/>
        <w:ind w:firstLine="480"/>
        <w:jc w:val="both"/>
      </w:pPr>
      <w:r>
        <w:rPr>
          <w:rFonts w:ascii="宋体" w:hAnsi="宋体" w:cs="宋体" w:eastAsia="宋体"/>
          <w:sz w:val="24"/>
        </w:rPr>
        <w:t>5、乙方保证：提供的产品和服务在面临非法控制、干扰或中断风险时，具备启动应急处置预案的能力。</w:t>
      </w:r>
    </w:p>
    <w:p>
      <w:pPr>
        <w:pStyle w:val="null3"/>
        <w:ind w:firstLine="480"/>
        <w:jc w:val="both"/>
      </w:pPr>
      <w:r>
        <w:rPr>
          <w:rFonts w:ascii="宋体" w:hAnsi="宋体" w:cs="宋体" w:eastAsia="宋体"/>
          <w:sz w:val="24"/>
        </w:rPr>
        <w:t xml:space="preserve">6、乙方保证：根据项目实际情况仅在甲方书面授权许可范围内采集和处理为甲方提供服务所必需的数据，不超范围采集和处理数据。  </w:t>
      </w:r>
    </w:p>
    <w:p>
      <w:pPr>
        <w:pStyle w:val="null3"/>
        <w:ind w:firstLine="480"/>
        <w:jc w:val="both"/>
      </w:pPr>
      <w:r>
        <w:rPr>
          <w:rFonts w:ascii="宋体" w:hAnsi="宋体" w:cs="宋体" w:eastAsia="宋体"/>
          <w:sz w:val="24"/>
        </w:rPr>
        <w:t>7、乙方承诺：保证配合进行产品和服务的网络安全审查；保证不利用提供产品和服务的便利条件非法获取用户数据、非法控制和操纵用户设备，无正当理由不中断产品供应或者必要的技术支持服务等；不得利用甲方对产品的依赖性谋取不正当利益或者迫使甲方更新换代。</w:t>
      </w:r>
    </w:p>
    <w:p>
      <w:pPr>
        <w:pStyle w:val="null3"/>
        <w:ind w:firstLine="480"/>
        <w:jc w:val="both"/>
      </w:pPr>
      <w:r>
        <w:rPr>
          <w:rFonts w:ascii="宋体" w:hAnsi="宋体" w:cs="宋体" w:eastAsia="宋体"/>
          <w:sz w:val="24"/>
        </w:rPr>
        <w:t>三、违约责任</w:t>
      </w:r>
    </w:p>
    <w:p>
      <w:pPr>
        <w:pStyle w:val="null3"/>
        <w:ind w:firstLine="480"/>
        <w:jc w:val="both"/>
      </w:pPr>
      <w:r>
        <w:rPr>
          <w:rFonts w:ascii="宋体" w:hAnsi="宋体" w:cs="宋体" w:eastAsia="宋体"/>
          <w:sz w:val="24"/>
        </w:rPr>
        <w:t>如乙方违反安全或保密承诺，按主合同（即合同正文，下同）违约责任条款执行。</w:t>
      </w:r>
    </w:p>
    <w:p>
      <w:pPr>
        <w:pStyle w:val="null3"/>
        <w:ind w:firstLine="480"/>
        <w:jc w:val="both"/>
      </w:pPr>
      <w:r>
        <w:rPr>
          <w:rFonts w:ascii="宋体" w:hAnsi="宋体" w:cs="宋体" w:eastAsia="宋体"/>
          <w:sz w:val="24"/>
        </w:rPr>
        <w:t>四、其他</w:t>
      </w:r>
    </w:p>
    <w:p>
      <w:pPr>
        <w:pStyle w:val="null3"/>
        <w:ind w:firstLine="540"/>
        <w:jc w:val="both"/>
      </w:pPr>
      <w:r>
        <w:rPr>
          <w:rFonts w:ascii="宋体" w:hAnsi="宋体" w:cs="宋体" w:eastAsia="宋体"/>
          <w:sz w:val="24"/>
        </w:rPr>
        <w:t>1、本《安全保密协议》未尽事宜，按国家有关法律法规、主合同的约定执行。</w:t>
      </w:r>
    </w:p>
    <w:p>
      <w:pPr>
        <w:pStyle w:val="null3"/>
        <w:ind w:firstLine="540"/>
        <w:jc w:val="both"/>
      </w:pPr>
      <w:r>
        <w:rPr>
          <w:rFonts w:ascii="宋体" w:hAnsi="宋体" w:cs="宋体" w:eastAsia="宋体"/>
          <w:sz w:val="24"/>
        </w:rPr>
        <w:t>2、本《安全保密协议》与主合同约定不一致的，以有利于甲方的约定为准。</w:t>
      </w:r>
    </w:p>
    <w:p>
      <w:pPr>
        <w:pStyle w:val="null3"/>
        <w:ind w:firstLine="540"/>
        <w:jc w:val="both"/>
      </w:pPr>
      <w:r>
        <w:rPr>
          <w:rFonts w:ascii="宋体" w:hAnsi="宋体" w:cs="宋体" w:eastAsia="宋体"/>
          <w:sz w:val="24"/>
        </w:rPr>
        <w:t>3、本《安全保密协议》自双方盖章后生效。</w:t>
      </w:r>
    </w:p>
    <w:p>
      <w:pPr>
        <w:pStyle w:val="null3"/>
        <w:jc w:val="both"/>
      </w:pPr>
      <w:r>
        <w:rPr>
          <w:rFonts w:ascii="宋体" w:hAnsi="宋体" w:cs="宋体" w:eastAsia="宋体"/>
          <w:sz w:val="24"/>
        </w:rPr>
        <w:t>（以下无正文）</w:t>
      </w:r>
    </w:p>
    <w:p>
      <w:pPr>
        <w:pStyle w:val="null3"/>
        <w:ind w:left="840"/>
        <w:jc w:val="center"/>
      </w:pPr>
      <w:r>
        <w:rPr>
          <w:rFonts w:ascii="宋体" w:hAnsi="宋体" w:cs="宋体" w:eastAsia="宋体"/>
          <w:sz w:val="24"/>
          <w:b/>
        </w:rPr>
        <w:t>双方盖章：</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甲方：网联清算有限公司（盖章）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b/>
              </w:rPr>
              <w:t>日期：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b/>
              </w:rPr>
              <w:t>日期：</w:t>
            </w:r>
          </w:p>
        </w:tc>
      </w:tr>
    </w:tbl>
    <w:p>
      <w:pPr>
        <w:pStyle w:val="null3"/>
        <w:jc w:val="both"/>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