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2025年第二批服务器及配套资源采购项目-包2</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064GSH2026027</w:t>
      </w:r>
      <w:r>
        <w:br/>
      </w:r>
      <w:r>
        <w:br/>
      </w:r>
      <w:r>
        <w:br/>
      </w:r>
    </w:p>
    <w:p>
      <w:pPr>
        <w:pStyle w:val="null3"/>
        <w:jc w:val="center"/>
      </w:pPr>
      <w:r>
        <w:rPr/>
        <w:t>中国人民银行集中采购中心</w:t>
      </w:r>
    </w:p>
    <w:p>
      <w:pPr>
        <w:pStyle w:val="null3"/>
        <w:jc w:val="center"/>
      </w:pPr>
      <w:r>
        <w:rPr/>
        <w:t>2026年03月25日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2025年第二批服务器及配套资源采购项目-包2</w:t>
      </w:r>
      <w:r>
        <w:rPr/>
        <w:t xml:space="preserve"> ”（项目编号： </w:t>
      </w:r>
      <w:r>
        <w:rPr/>
        <w:t>064GSH2026027</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64,280,000.00</w:t>
      </w:r>
    </w:p>
    <w:p>
      <w:pPr>
        <w:pStyle w:val="null3"/>
        <w:jc w:val="left"/>
      </w:pPr>
      <w:r>
        <w:rPr/>
        <w:t>采购包最高限价（元）: 62,480,000.00</w:t>
      </w: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t>序号</w:t>
            </w:r>
          </w:p>
        </w:tc>
        <w:tc>
          <w:tcPr>
            <w:tcW w:type="dxa" w:w="593"/>
          </w:tcPr>
          <w:p>
            <w:pPr>
              <w:pStyle w:val="null3"/>
              <w:jc w:val="left"/>
            </w:pPr>
            <w:r>
              <w:rPr/>
              <w:t>标的名称</w:t>
            </w:r>
          </w:p>
        </w:tc>
        <w:tc>
          <w:tcPr>
            <w:tcW w:type="dxa" w:w="593"/>
          </w:tcPr>
          <w:p>
            <w:pPr>
              <w:pStyle w:val="null3"/>
              <w:jc w:val="left"/>
            </w:pPr>
            <w:r>
              <w:rPr/>
              <w:t>品目名称</w:t>
            </w:r>
          </w:p>
        </w:tc>
        <w:tc>
          <w:tcPr>
            <w:tcW w:type="dxa" w:w="593"/>
          </w:tcPr>
          <w:p>
            <w:pPr>
              <w:pStyle w:val="null3"/>
              <w:jc w:val="left"/>
            </w:pPr>
            <w:r>
              <w:rPr/>
              <w:t>品目分类编码</w:t>
            </w:r>
          </w:p>
        </w:tc>
        <w:tc>
          <w:tcPr>
            <w:tcW w:type="dxa" w:w="593"/>
          </w:tcPr>
          <w:p>
            <w:pPr>
              <w:pStyle w:val="null3"/>
              <w:jc w:val="left"/>
            </w:pPr>
            <w:r>
              <w:rPr/>
              <w:t>标的类别</w:t>
            </w:r>
          </w:p>
        </w:tc>
        <w:tc>
          <w:tcPr>
            <w:tcW w:type="dxa" w:w="593"/>
          </w:tcPr>
          <w:p>
            <w:pPr>
              <w:pStyle w:val="null3"/>
              <w:jc w:val="left"/>
            </w:pPr>
            <w:r>
              <w:rPr/>
              <w:t>计量单位</w:t>
            </w:r>
          </w:p>
        </w:tc>
        <w:tc>
          <w:tcPr>
            <w:tcW w:type="dxa" w:w="593"/>
          </w:tcPr>
          <w:p>
            <w:pPr>
              <w:pStyle w:val="null3"/>
              <w:jc w:val="left"/>
            </w:pPr>
            <w:r>
              <w:rPr/>
              <w:t>数量</w:t>
            </w:r>
          </w:p>
        </w:tc>
        <w:tc>
          <w:tcPr>
            <w:tcW w:type="dxa" w:w="593"/>
          </w:tcPr>
          <w:p>
            <w:pPr>
              <w:pStyle w:val="null3"/>
              <w:jc w:val="left"/>
            </w:pPr>
            <w:r>
              <w:rPr/>
              <w:t>中小企业划分标准所属行业</w:t>
            </w:r>
          </w:p>
        </w:tc>
        <w:tc>
          <w:tcPr>
            <w:tcW w:type="dxa" w:w="593"/>
          </w:tcPr>
          <w:p>
            <w:pPr>
              <w:pStyle w:val="null3"/>
              <w:jc w:val="left"/>
            </w:pPr>
            <w:r>
              <w:rPr/>
              <w:t>是否核心产品</w:t>
            </w:r>
          </w:p>
        </w:tc>
        <w:tc>
          <w:tcPr>
            <w:tcW w:type="dxa" w:w="593"/>
          </w:tcPr>
          <w:p>
            <w:pPr>
              <w:pStyle w:val="null3"/>
              <w:jc w:val="left"/>
            </w:pPr>
            <w:r>
              <w:rPr/>
              <w:t>是否允许进口产品</w:t>
            </w:r>
          </w:p>
        </w:tc>
        <w:tc>
          <w:tcPr>
            <w:tcW w:type="dxa" w:w="593"/>
          </w:tcPr>
          <w:p>
            <w:pPr>
              <w:pStyle w:val="null3"/>
              <w:jc w:val="left"/>
            </w:pPr>
            <w:r>
              <w:rPr/>
              <w:t>是否属于节能产品</w:t>
            </w:r>
          </w:p>
        </w:tc>
        <w:tc>
          <w:tcPr>
            <w:tcW w:type="dxa" w:w="593"/>
          </w:tcPr>
          <w:p>
            <w:pPr>
              <w:pStyle w:val="null3"/>
              <w:jc w:val="left"/>
            </w:pPr>
            <w:r>
              <w:rPr/>
              <w:t>是否属于环境标志产品</w:t>
            </w:r>
          </w:p>
        </w:tc>
        <w:tc>
          <w:tcPr>
            <w:tcW w:type="dxa" w:w="593"/>
          </w:tcPr>
          <w:p>
            <w:pPr>
              <w:pStyle w:val="null3"/>
              <w:jc w:val="left"/>
            </w:pPr>
            <w:r>
              <w:rPr/>
              <w:t>最高限价</w:t>
            </w:r>
          </w:p>
        </w:tc>
        <w:tc>
          <w:tcPr>
            <w:tcW w:type="dxa" w:w="593"/>
          </w:tcPr>
          <w:p>
            <w:pPr>
              <w:pStyle w:val="null3"/>
              <w:jc w:val="left"/>
            </w:pPr>
            <w:r>
              <w:rPr/>
              <w:t>备注</w:t>
            </w:r>
          </w:p>
        </w:tc>
      </w:tr>
      <w:tr>
        <w:tc>
          <w:tcPr>
            <w:tcW w:type="dxa" w:w="593"/>
          </w:tcPr>
          <w:p>
            <w:pPr>
              <w:pStyle w:val="null3"/>
              <w:jc w:val="left"/>
            </w:pPr>
            <w:r>
              <w:rPr/>
              <w:t>1</w:t>
            </w:r>
          </w:p>
        </w:tc>
        <w:tc>
          <w:tcPr>
            <w:tcW w:type="dxa" w:w="593"/>
          </w:tcPr>
          <w:p>
            <w:pPr>
              <w:pStyle w:val="null3"/>
              <w:jc w:val="left"/>
            </w:pPr>
            <w:r>
              <w:rPr/>
              <w:t>大数据型服务器</w:t>
            </w:r>
          </w:p>
        </w:tc>
        <w:tc>
          <w:tcPr>
            <w:tcW w:type="dxa" w:w="593"/>
          </w:tcPr>
          <w:p>
            <w:pPr>
              <w:pStyle w:val="null3"/>
              <w:jc w:val="left"/>
            </w:pPr>
            <w:r>
              <w:rPr/>
              <w:t>A02010104 服务器</w:t>
            </w:r>
          </w:p>
        </w:tc>
        <w:tc>
          <w:tcPr>
            <w:tcW w:type="dxa" w:w="593"/>
          </w:tcPr>
          <w:p>
            <w:pPr>
              <w:pStyle w:val="null3"/>
              <w:jc w:val="left"/>
            </w:pPr>
            <w:r>
              <w:rPr/>
              <w:t>A02010104</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220.00</w:t>
            </w:r>
          </w:p>
        </w:tc>
        <w:tc>
          <w:tcPr>
            <w:tcW w:type="dxa" w:w="593"/>
          </w:tcPr>
          <w:p>
            <w:pPr>
              <w:pStyle w:val="null3"/>
              <w:jc w:val="left"/>
            </w:pPr>
            <w:r>
              <w:rPr/>
              <w:t>软件和信息技术服务业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right"/>
            </w:pPr>
            <w:r>
              <w:rPr/>
              <w:t>64,280,000.00</w:t>
            </w:r>
          </w:p>
        </w:tc>
        <w:tc>
          <w:tcPr>
            <w:tcW w:type="dxa" w:w="593"/>
          </w:tcP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 根据《国务院办公厅关于在政府采购中实施本国产品标准及相关政策的通知》实施本国产品标准： </w:t>
      </w:r>
      <w:r>
        <w:rPr/>
        <w:t>不涉及</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网联清算有限公司</w:t>
      </w:r>
    </w:p>
    <w:p>
      <w:pPr>
        <w:pStyle w:val="null3"/>
        <w:jc w:val="left"/>
      </w:pPr>
      <w:r>
        <w:rPr/>
        <w:t xml:space="preserve"> 地址： </w:t>
      </w:r>
      <w:r>
        <w:rPr/>
        <w:t>北京市西城区月坛金融街中心7号楼10层</w:t>
      </w:r>
    </w:p>
    <w:p>
      <w:pPr>
        <w:pStyle w:val="null3"/>
        <w:jc w:val="left"/>
      </w:pPr>
      <w:r>
        <w:rPr/>
        <w:t xml:space="preserve"> 邮编： </w:t>
      </w:r>
      <w:r>
        <w:rPr/>
        <w:t>100045</w:t>
      </w:r>
    </w:p>
    <w:p>
      <w:pPr>
        <w:pStyle w:val="null3"/>
        <w:jc w:val="left"/>
      </w:pPr>
      <w:r>
        <w:rPr/>
        <w:t xml:space="preserve"> 联系人： </w:t>
      </w:r>
      <w:r>
        <w:rPr/>
        <w:t>丛先生</w:t>
      </w:r>
    </w:p>
    <w:p>
      <w:pPr>
        <w:pStyle w:val="null3"/>
        <w:jc w:val="left"/>
      </w:pPr>
      <w:r>
        <w:rPr/>
        <w:t xml:space="preserve"> 联系电话： </w:t>
      </w:r>
      <w:r>
        <w:rPr/>
        <w:t>68148726</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北京北京市西城区北京市西城区成方街32号</w:t>
      </w:r>
    </w:p>
    <w:p>
      <w:pPr>
        <w:pStyle w:val="null3"/>
        <w:jc w:val="left"/>
      </w:pPr>
      <w:r>
        <w:rPr/>
        <w:t xml:space="preserve"> 邮编： </w:t>
      </w:r>
      <w:r>
        <w:rPr/>
        <w:t>100032</w:t>
      </w:r>
    </w:p>
    <w:p>
      <w:pPr>
        <w:pStyle w:val="null3"/>
        <w:jc w:val="left"/>
      </w:pPr>
      <w:r>
        <w:rPr/>
        <w:t xml:space="preserve"> 联系人（文件发放、开标前咨询）： </w:t>
      </w:r>
      <w:r>
        <w:rPr/>
        <w:t>李先生</w:t>
      </w:r>
    </w:p>
    <w:p>
      <w:pPr>
        <w:pStyle w:val="null3"/>
        <w:jc w:val="left"/>
      </w:pPr>
      <w:r>
        <w:rPr/>
        <w:t xml:space="preserve"> 联系电话（文件发放、开标前咨询）： </w:t>
      </w:r>
      <w:r>
        <w:rPr/>
        <w:t>010-66195317</w:t>
      </w:r>
    </w:p>
    <w:p>
      <w:pPr>
        <w:pStyle w:val="null3"/>
        <w:jc w:val="left"/>
      </w:pPr>
      <w:r>
        <w:rPr/>
        <w:t xml:space="preserve"> 联系人（开、评标咨询）： </w:t>
      </w:r>
      <w:r>
        <w:rPr/>
        <w:t>赵女士</w:t>
      </w:r>
    </w:p>
    <w:p>
      <w:pPr>
        <w:pStyle w:val="null3"/>
        <w:jc w:val="left"/>
      </w:pPr>
      <w:r>
        <w:rPr/>
        <w:t xml:space="preserve"> 联系电话（开、评标咨询）： </w:t>
      </w:r>
      <w:r>
        <w:rPr/>
        <w:t>010-66195465</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共7人，</w:t>
            </w:r>
            <w:r>
              <w:rPr/>
              <w:t>其中评审专家5人，</w:t>
            </w:r>
            <w:r>
              <w:rPr/>
              <w:t>采购人代表2人。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w:t>
            </w:r>
          </w:p>
          <w:p>
            <w:pPr>
              <w:pStyle w:val="null3"/>
            </w:pPr>
            <w:r>
              <w:rPr/>
              <w:t>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根据相关项目建设需求，对2025年第二批服务器及配套资源采购项目发起采购。</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1.本项目采购预算已审批通过，预算编号：YSXM20250049、YSXM20250050、YSXM20250053。 2.本项目前置决策情况如下： 本项目采购立项于2025年12月26日、2026年2月28日经党委会审议通过审批。</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通过采购服务器及配套资源，满足网联项目建设相关资源需求。</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货物名称及数量： 包2：国产X86芯片服务器220台（含7年维保服务）</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采购设备用于公司网络支付清算平台等。</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为完成公司网络支付清算平台等业务系统改造目标及项目建设需求，需要采购符合国家安全可靠测评要求的服务器。</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前期项目名称：2023-2024年服务器及网络设备等软硬件采购项目 前期项目合同签订时间：2025年6月5日 与前期项目的关系：与上次采购内容类似。</w:t>
            </w:r>
          </w:p>
        </w:tc>
      </w:tr>
    </w:tbl>
    <w:p>
      <w:pPr>
        <w:pStyle w:val="null3"/>
        <w:jc w:val="left"/>
        <w:outlineLvl w:val="2"/>
      </w:pPr>
      <w:r>
        <w:rPr>
          <w:sz w:val="28"/>
          <w:b/>
        </w:rPr>
        <w:t>3.2 技术及商务要求</w:t>
      </w:r>
    </w:p>
    <w:p>
      <w:pPr>
        <w:pStyle w:val="null3"/>
        <w:jc w:val="both"/>
      </w:pPr>
      <w:r>
        <w:rPr/>
        <w:t>本技术要求共有“★”指标86个，”#”指标1个，“▲”指标81个。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供应商给出CPU信息，包含CPU型号、物理核心数、主频、末级缓存容量、线程数、热设计功耗及支持内存的最高速率、通道数和位宽</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 和内存情况</w:t>
            </w:r>
          </w:p>
        </w:tc>
        <w:tc>
          <w:tcPr>
            <w:tcW w:type="dxa" w:w="1038"/>
          </w:tcPr>
          <w:p>
            <w:pPr>
              <w:pStyle w:val="null3"/>
            </w:pPr>
            <w:r>
              <w:rPr/>
              <w:t>供应商给出主板支持的 CPU 和内存的型号数量</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*主板内存槽数量</w:t>
            </w:r>
          </w:p>
        </w:tc>
        <w:tc>
          <w:tcPr>
            <w:tcW w:type="dxa" w:w="1038"/>
          </w:tcPr>
          <w:p>
            <w:pPr>
              <w:pStyle w:val="null3"/>
            </w:pPr>
            <w:r>
              <w:rPr/>
              <w:t>非板载内存的可扩展插槽数量应不少于 4 个</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*主板存储接口</w:t>
            </w:r>
          </w:p>
        </w:tc>
        <w:tc>
          <w:tcPr>
            <w:tcW w:type="dxa" w:w="1038"/>
          </w:tcPr>
          <w:p>
            <w:pPr>
              <w:pStyle w:val="null3"/>
            </w:pPr>
            <w:r>
              <w:rPr/>
              <w:t>至少支持 SATA、SAS、M.2、U.2 等存储接口中的 1 种</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*PCIe 插槽接口</w:t>
            </w:r>
          </w:p>
        </w:tc>
        <w:tc>
          <w:tcPr>
            <w:tcW w:type="dxa" w:w="1038"/>
          </w:tcPr>
          <w:p>
            <w:pPr>
              <w:pStyle w:val="null3"/>
            </w:pPr>
            <w:r>
              <w:rPr/>
              <w:t>符合 PCIe3.0 或以上的高速串行计算机扩展总线标准，PCIe 的接口速率与位宽需保证向下兼容</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a) 高度大于 44.45mm 双路或以上服务器 PCIe 插槽或接口应不少于 5 个； b) 单路服务器 PCIe 插槽或接口应不少于 4 个，可通过扩展卡进行插槽扩展</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a) 服务器机箱内主板可根据用户实际使用需求支持安装多功能导入装置板卡，机箱内需预留多功能导入装置板卡安装位置，容量不小于55mm×45mm×15mm（长×宽×高，单位毫米）； b)服务器主板可根据用户实际使用需求预留满足 USB2.0 或 USB3.0 数据传输规范的接口，工作电压 5V，采用 USB2.0 时，最大过电流应不小于 0.5A，采用 USB3.0 时，最大过电流应不小于 1A</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板载网络接口</w:t>
            </w:r>
          </w:p>
        </w:tc>
        <w:tc>
          <w:tcPr>
            <w:tcW w:type="dxa" w:w="1038"/>
          </w:tcPr>
          <w:p>
            <w:pPr>
              <w:pStyle w:val="null3"/>
            </w:pPr>
            <w:r>
              <w:rPr/>
              <w:t>若支持板载网络接口应不少于 1 个1GE 网口</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产品规格</w:t>
            </w:r>
          </w:p>
        </w:tc>
        <w:tc>
          <w:tcPr>
            <w:tcW w:type="dxa" w:w="1038"/>
          </w:tcPr>
          <w:p/>
        </w:tc>
        <w:tc>
          <w:tcPr>
            <w:tcW w:type="dxa" w:w="1038"/>
          </w:tcPr>
          <w:p>
            <w:pPr>
              <w:pStyle w:val="null3"/>
            </w:pPr>
            <w:r>
              <w:rPr/>
              <w:t>*主板规格</w:t>
            </w:r>
          </w:p>
        </w:tc>
        <w:tc>
          <w:tcPr>
            <w:tcW w:type="dxa" w:w="1038"/>
          </w:tcPr>
          <w:p>
            <w:pPr>
              <w:pStyle w:val="null3"/>
            </w:pPr>
            <w:r>
              <w:rPr/>
              <w:t>主板OCP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≥4</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≥DDR4</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*内存通道</w:t>
            </w:r>
          </w:p>
        </w:tc>
        <w:tc>
          <w:tcPr>
            <w:tcW w:type="dxa" w:w="1038"/>
          </w:tcPr>
          <w:p>
            <w:pPr>
              <w:pStyle w:val="null3"/>
            </w:pPr>
            <w:r>
              <w:rPr/>
              <w:t>支持多个内存接口通道，每个通道可支持 1DPC 或 2DPC，当支持 2DPC时，印制电路板上应具备插槽的序号标识，具体通道数应在随机文件中明确</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硬盘类型</w:t>
            </w:r>
          </w:p>
        </w:tc>
        <w:tc>
          <w:tcPr>
            <w:tcW w:type="dxa" w:w="1038"/>
          </w:tcPr>
          <w:p>
            <w:pPr>
              <w:pStyle w:val="null3"/>
            </w:pPr>
            <w:r>
              <w:rPr/>
              <w:t>供应商给出服务器支持硬磁盘和固态盘类型及规格</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w:t>
            </w:r>
          </w:p>
        </w:tc>
        <w:tc>
          <w:tcPr>
            <w:tcW w:type="dxa" w:w="1038"/>
          </w:tcPr>
          <w:p>
            <w:pPr>
              <w:pStyle w:val="null3"/>
            </w:pPr>
            <w:r>
              <w:rPr/>
              <w:t>服务器产品至少要配备一款存储设备 a) 若配备硬磁盘，服务器提供的实配硬磁盘可用容量应不小于 600GB b) 若配备固态盘，实配固态盘单盘可用容量不小于 480GB，NVMe SSD容量不小于 960GB</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硬盘接口类型</w:t>
            </w:r>
          </w:p>
        </w:tc>
        <w:tc>
          <w:tcPr>
            <w:tcW w:type="dxa" w:w="1038"/>
          </w:tcPr>
          <w:p>
            <w:pPr>
              <w:pStyle w:val="null3"/>
            </w:pPr>
            <w:r>
              <w:rPr/>
              <w:t>a) 若配备硬磁盘，应提供SAS 3.0或SATA 3.0 及以上接口； b) 若配备固态盘，应提供至少 1 种类型固态盘接口，如 UFS、SATA、PCIe等</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*硬盘实配数量</w:t>
            </w:r>
          </w:p>
        </w:tc>
        <w:tc>
          <w:tcPr>
            <w:tcW w:type="dxa" w:w="1038"/>
          </w:tcPr>
          <w:p>
            <w:pPr>
              <w:pStyle w:val="null3"/>
            </w:pPr>
            <w:r>
              <w:rPr/>
              <w:t>a) 若配备硬磁盘，服务器提供的实配硬磁盘数量应不小于 2 块，可实现互为备份； b) 若配备固态盘，实配盘数应不小于 1 块</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*硬盘插槽数量及规格</w:t>
            </w:r>
          </w:p>
        </w:tc>
        <w:tc>
          <w:tcPr>
            <w:tcW w:type="dxa" w:w="1038"/>
          </w:tcPr>
          <w:p>
            <w:pPr>
              <w:pStyle w:val="null3"/>
            </w:pPr>
            <w:r>
              <w:rPr/>
              <w:t>a) 供应商应给出配置的硬盘尺寸，如 2.5 英寸、3.5 英寸硬磁盘； b) 机箱高度为 88.9mm 的服务器可支持的硬盘数量应不少于 8 块，机箱高度为 44.45mm 的服务器可支持的硬盘数量应不少于 4 块。 c) 存储型服务器可支持硬盘数量应不少于 24 块</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硬盘其他参数要求</w:t>
            </w:r>
          </w:p>
        </w:tc>
        <w:tc>
          <w:tcPr>
            <w:tcW w:type="dxa" w:w="1038"/>
          </w:tcPr>
          <w:p>
            <w:pPr>
              <w:pStyle w:val="null3"/>
            </w:pPr>
            <w:r>
              <w:rPr/>
              <w:t>a) 机械硬盘准备时间应不大于 30s；侧面固定螺丝孔数量可为 4 孔或 6 孔；工作状态环境温度应满足 5℃~55℃，其它参数应符合 GB/T 12628的相关规定； b) 若服务器支持固态盘，固态盘符合SJ/T 11654 相关规定</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RAID卡规格（若支持 RAID卡）</w:t>
            </w:r>
          </w:p>
        </w:tc>
        <w:tc>
          <w:tcPr>
            <w:tcW w:type="dxa" w:w="1038"/>
          </w:tcPr>
          <w:p>
            <w:pPr>
              <w:pStyle w:val="null3"/>
            </w:pPr>
            <w:r>
              <w:rPr/>
              <w:t>RAID 卡支持的 SAS接口数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SAS直通卡规格(若支持SAS直通卡)</w:t>
            </w:r>
          </w:p>
        </w:tc>
        <w:tc>
          <w:tcPr>
            <w:tcW w:type="dxa" w:w="1038"/>
          </w:tcPr>
          <w:p>
            <w:pPr>
              <w:pStyle w:val="null3"/>
            </w:pPr>
            <w:r>
              <w:rPr/>
              <w:t>SAS直通卡SAS接口数量</w:t>
            </w:r>
          </w:p>
        </w:tc>
        <w:tc>
          <w:tcPr>
            <w:tcW w:type="dxa" w:w="1038"/>
          </w:tcPr>
          <w:p>
            <w:pPr>
              <w:pStyle w:val="null3"/>
            </w:pPr>
            <w:r>
              <w:rPr/>
              <w:t>≥0</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HBA 卡规格 (若支持HBA直通卡)</w:t>
            </w:r>
          </w:p>
        </w:tc>
        <w:tc>
          <w:tcPr>
            <w:tcW w:type="dxa" w:w="1038"/>
          </w:tcPr>
          <w:p>
            <w:pPr>
              <w:pStyle w:val="null3"/>
            </w:pPr>
            <w:r>
              <w:rPr/>
              <w:t>HBA 卡端口数量</w:t>
            </w:r>
          </w:p>
        </w:tc>
        <w:tc>
          <w:tcPr>
            <w:tcW w:type="dxa" w:w="1038"/>
          </w:tcPr>
          <w:p>
            <w:pPr>
              <w:pStyle w:val="null3"/>
            </w:pPr>
            <w:r>
              <w:rPr/>
              <w:t>≥0</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*网口速率和数量</w:t>
            </w:r>
          </w:p>
        </w:tc>
        <w:tc>
          <w:tcPr>
            <w:tcW w:type="dxa" w:w="1038"/>
          </w:tcPr>
          <w:p>
            <w:pPr>
              <w:pStyle w:val="null3"/>
            </w:pPr>
            <w:r>
              <w:rPr/>
              <w:t>配备网口数量不少于 1 个，且网口速率不少于 1GE</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产品规格</w:t>
            </w:r>
          </w:p>
        </w:tc>
        <w:tc>
          <w:tcPr>
            <w:tcW w:type="dxa" w:w="1038"/>
          </w:tcPr>
          <w:p/>
        </w:tc>
        <w:tc>
          <w:tcPr>
            <w:tcW w:type="dxa" w:w="1038"/>
          </w:tcPr>
          <w:p>
            <w:pPr>
              <w:pStyle w:val="null3"/>
            </w:pPr>
            <w:r>
              <w:rPr/>
              <w:t>*网络规格</w:t>
            </w:r>
          </w:p>
        </w:tc>
        <w:tc>
          <w:tcPr>
            <w:tcW w:type="dxa" w:w="1038"/>
          </w:tcPr>
          <w:p>
            <w:pPr>
              <w:pStyle w:val="null3"/>
            </w:pPr>
            <w:r>
              <w:rPr/>
              <w:t>存储型服务器网口速率和数量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独立网卡网口数量</w:t>
            </w:r>
          </w:p>
        </w:tc>
        <w:tc>
          <w:tcPr>
            <w:tcW w:type="dxa" w:w="1038"/>
          </w:tcPr>
          <w:p>
            <w:pPr>
              <w:pStyle w:val="null3"/>
            </w:pPr>
            <w:r>
              <w:rPr/>
              <w:t>若配备独立网卡，独立网卡网口数量≥0</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独立网卡接口类型</w:t>
            </w:r>
          </w:p>
        </w:tc>
        <w:tc>
          <w:tcPr>
            <w:tcW w:type="dxa" w:w="1038"/>
          </w:tcPr>
          <w:p>
            <w:pPr>
              <w:pStyle w:val="null3"/>
            </w:pPr>
            <w:r>
              <w:rPr/>
              <w:t>支持RJ45/QSFP/SFP 等</w:t>
            </w:r>
          </w:p>
        </w:tc>
        <w:tc>
          <w:tcPr>
            <w:tcW w:type="dxa" w:w="1038"/>
          </w:tcPr>
          <w:p>
            <w:pPr>
              <w:pStyle w:val="null3"/>
            </w:pPr>
            <w:r>
              <w:rPr/>
              <w:t>否</w:t>
            </w:r>
          </w:p>
        </w:tc>
        <w:tc>
          <w:tcPr>
            <w:tcW w:type="dxa" w:w="1038"/>
          </w:tcPr>
          <w:p/>
        </w:tc>
      </w:tr>
      <w:tr>
        <w:tc>
          <w:tcPr>
            <w:tcW w:type="dxa" w:w="1038"/>
          </w:tcPr>
          <w:p>
            <w:pPr>
              <w:pStyle w:val="null3"/>
            </w:pPr>
            <w:r>
              <w:rPr/>
              <w:t>26</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板载网卡接口类型</w:t>
            </w:r>
          </w:p>
        </w:tc>
        <w:tc>
          <w:tcPr>
            <w:tcW w:type="dxa" w:w="1038"/>
          </w:tcPr>
          <w:p>
            <w:pPr>
              <w:pStyle w:val="null3"/>
            </w:pPr>
            <w:r>
              <w:rPr/>
              <w:t>支持RJ45/QSFP/SFP 等</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*显示接口</w:t>
            </w:r>
          </w:p>
        </w:tc>
        <w:tc>
          <w:tcPr>
            <w:tcW w:type="dxa" w:w="1038"/>
          </w:tcPr>
          <w:p>
            <w:pPr>
              <w:pStyle w:val="null3"/>
            </w:pPr>
            <w:r>
              <w:rPr/>
              <w:t>显示接口类型应不少于 1 种，如： VGA、DP、HDMI 等</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 接口</w:t>
            </w:r>
          </w:p>
        </w:tc>
        <w:tc>
          <w:tcPr>
            <w:tcW w:type="dxa" w:w="1038"/>
          </w:tcPr>
          <w:p>
            <w:pPr>
              <w:pStyle w:val="null3"/>
            </w:pPr>
            <w:r>
              <w:rPr/>
              <w:t>配备USB 接口，如USB2.0、USB3.0等</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特殊接口及孔位</w:t>
            </w:r>
          </w:p>
        </w:tc>
        <w:tc>
          <w:tcPr>
            <w:tcW w:type="dxa" w:w="1038"/>
          </w:tcPr>
          <w:p>
            <w:pPr>
              <w:pStyle w:val="null3"/>
            </w:pPr>
            <w:r>
              <w:rPr/>
              <w:t>特殊接口及孔位</w:t>
            </w:r>
          </w:p>
        </w:tc>
        <w:tc>
          <w:tcPr>
            <w:tcW w:type="dxa" w:w="1038"/>
          </w:tcPr>
          <w:p>
            <w:pPr>
              <w:pStyle w:val="null3"/>
            </w:pPr>
            <w:r>
              <w:rPr/>
              <w:t>前面板预留 1 个专用USB 母座接口孔位</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w:t>
            </w:r>
          </w:p>
        </w:tc>
        <w:tc>
          <w:tcPr>
            <w:tcW w:type="dxa" w:w="1038"/>
          </w:tcPr>
          <w:p>
            <w:pPr>
              <w:pStyle w:val="null3"/>
            </w:pPr>
            <w:r>
              <w:rPr/>
              <w:t>▲</w:t>
            </w:r>
          </w:p>
        </w:tc>
        <w:tc>
          <w:tcPr>
            <w:tcW w:type="dxa" w:w="1038"/>
          </w:tcPr>
          <w:p>
            <w:pPr>
              <w:pStyle w:val="null3"/>
            </w:pPr>
            <w:r>
              <w:rPr/>
              <w:t>其他接口</w:t>
            </w:r>
          </w:p>
        </w:tc>
        <w:tc>
          <w:tcPr>
            <w:tcW w:type="dxa" w:w="1038"/>
          </w:tcPr>
          <w:p>
            <w:pPr>
              <w:pStyle w:val="null3"/>
            </w:pPr>
            <w:r>
              <w:rPr/>
              <w:t>其他接口</w:t>
            </w:r>
          </w:p>
        </w:tc>
        <w:tc>
          <w:tcPr>
            <w:tcW w:type="dxa" w:w="1038"/>
          </w:tcPr>
          <w:p>
            <w:pPr>
              <w:pStyle w:val="null3"/>
            </w:pPr>
            <w:r>
              <w:rPr/>
              <w:t>a) 串口数量不少于 1 个，并可实现 GB/T 6107 或 GB/T 26803.2 的相关功能； b) 服务器主机前面板可根据用户实际使用需求预留 1 个专用USB 母座接口孔位</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电源冗余模式</w:t>
            </w:r>
          </w:p>
        </w:tc>
        <w:tc>
          <w:tcPr>
            <w:tcW w:type="dxa" w:w="1038"/>
          </w:tcPr>
          <w:p>
            <w:pPr>
              <w:pStyle w:val="null3"/>
            </w:pPr>
            <w:r>
              <w:rPr/>
              <w:t>整机电源模块按 1+1 冗余或N+1 冗余配置</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*电源模块数量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33</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*电源功率</w:t>
            </w:r>
          </w:p>
        </w:tc>
        <w:tc>
          <w:tcPr>
            <w:tcW w:type="dxa" w:w="1038"/>
          </w:tcPr>
          <w:p>
            <w:pPr>
              <w:pStyle w:val="null3"/>
            </w:pPr>
            <w:r>
              <w:rPr/>
              <w:t>电源模块功率应有一定冗余，满足处理器满载时的需求</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电源指示灯</w:t>
            </w:r>
          </w:p>
        </w:tc>
        <w:tc>
          <w:tcPr>
            <w:tcW w:type="dxa" w:w="1038"/>
          </w:tcPr>
          <w:p>
            <w:pPr>
              <w:pStyle w:val="null3"/>
            </w:pPr>
            <w:r>
              <w:rPr/>
              <w:t>配备电源指示灯，指示待机、工作异常等状态</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*外观和结构</w:t>
            </w:r>
          </w:p>
        </w:tc>
        <w:tc>
          <w:tcPr>
            <w:tcW w:type="dxa" w:w="1038"/>
          </w:tcPr>
          <w:p>
            <w:pPr>
              <w:pStyle w:val="null3"/>
            </w:pPr>
            <w:r>
              <w:rPr/>
              <w:t>a) 服务器的零部件应紧固无松动，可插拔部件应可靠连接，开关、按钮和其它控制部件应灵活可靠，布局应方便使用； b) 产品表面不应有明显的凹痕、划伤、裂缝、变形和污染等。表面涂层均匀，不应起泡、龟裂、脱落和磨损，金属零部件无锈蚀及其它机械损伤； c) 产品表面说明功能的文字、符号和标志应清晰、端正且牢固； d) 应在服务器的显著位置提供运行状态的指示功能，并在随机文件中明确具体含义； e) 机架、机箱的尺寸应符合通用机柜的安装要求，插入总线插座的电路板接口外形尺寸应符合有关总线标准的规定，将机箱固定在机柜上，机箱底面最大下垂变形不得干涉相邻机体； f)高密度服务器应给出CPU 个数与机柜高度； g)服务器尺寸具体要求在随机文件中明确。</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*尺寸（高×宽×深）</w:t>
            </w:r>
          </w:p>
        </w:tc>
        <w:tc>
          <w:tcPr>
            <w:tcW w:type="dxa" w:w="1038"/>
          </w:tcPr>
          <w:p>
            <w:pPr>
              <w:pStyle w:val="null3"/>
            </w:pPr>
            <w:r>
              <w:rPr/>
              <w:t>供应商给出产品尺寸；设计应遵循标准化、系列化的要求；机箱的内部结构符合通用部件的安装需要</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服务器导轨</w:t>
            </w:r>
          </w:p>
        </w:tc>
        <w:tc>
          <w:tcPr>
            <w:tcW w:type="dxa" w:w="1038"/>
          </w:tcPr>
          <w:p>
            <w:pPr>
              <w:pStyle w:val="null3"/>
            </w:pPr>
            <w:r>
              <w:rPr/>
              <w:t>供应商给出导轨尺寸、安装方式等信息</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产品规格</w:t>
            </w:r>
          </w:p>
        </w:tc>
        <w:tc>
          <w:tcPr>
            <w:tcW w:type="dxa" w:w="1038"/>
          </w:tcPr>
          <w:p/>
        </w:tc>
        <w:tc>
          <w:tcPr>
            <w:tcW w:type="dxa" w:w="1038"/>
          </w:tcPr>
          <w:p>
            <w:pPr>
              <w:pStyle w:val="null3"/>
            </w:pPr>
            <w:r>
              <w:rPr/>
              <w:t>——</w:t>
            </w:r>
          </w:p>
        </w:tc>
        <w:tc>
          <w:tcPr>
            <w:tcW w:type="dxa" w:w="1038"/>
          </w:tcPr>
          <w:p>
            <w:pPr>
              <w:pStyle w:val="null3"/>
            </w:pPr>
            <w:r>
              <w:rPr/>
              <w:t>CPU 个数与机柜高度单位(U)比</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*环境适应性</w:t>
            </w:r>
          </w:p>
        </w:tc>
        <w:tc>
          <w:tcPr>
            <w:tcW w:type="dxa" w:w="1038"/>
          </w:tcPr>
          <w:p>
            <w:pPr>
              <w:pStyle w:val="null3"/>
            </w:pPr>
            <w:r>
              <w:rPr/>
              <w:t>气候环境适应性应符合GB/T 9813.3 的有关规定，工作温度 10～35℃，贮存运输温度-40～55℃；工作相对湿度 35%～80%，贮存运输相对湿度 20％～93%（40℃）；大气压86～106kPa</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特殊机型环境适应性</w:t>
            </w:r>
          </w:p>
        </w:tc>
        <w:tc>
          <w:tcPr>
            <w:tcW w:type="dxa" w:w="1038"/>
          </w:tcPr>
          <w:p>
            <w:pPr>
              <w:pStyle w:val="null3"/>
            </w:pPr>
            <w:r>
              <w:rPr/>
              <w:t>边缘应用服务器，工作环境温度宜为 0～45℃，短期工作可承受环境温度宜为-5～55℃，液冷服务器贮存运输温度宜为-30～55℃</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*机械环境适应性</w:t>
            </w:r>
          </w:p>
        </w:tc>
        <w:tc>
          <w:tcPr>
            <w:tcW w:type="dxa" w:w="1038"/>
          </w:tcPr>
          <w:p>
            <w:pPr>
              <w:pStyle w:val="null3"/>
            </w:pPr>
            <w:r>
              <w:rPr/>
              <w:t>机械环境适应性应符合GB/T9813.3 的有关规定</w:t>
            </w:r>
          </w:p>
        </w:tc>
        <w:tc>
          <w:tcPr>
            <w:tcW w:type="dxa" w:w="1038"/>
          </w:tcPr>
          <w:p>
            <w:pPr>
              <w:pStyle w:val="null3"/>
            </w:pPr>
            <w:r>
              <w:rPr/>
              <w:t>否</w:t>
            </w:r>
          </w:p>
        </w:tc>
        <w:tc>
          <w:tcPr>
            <w:tcW w:type="dxa" w:w="1038"/>
          </w:tcPr>
          <w:p/>
        </w:tc>
      </w:tr>
      <w:tr>
        <w:tc>
          <w:tcPr>
            <w:tcW w:type="dxa" w:w="1038"/>
          </w:tcPr>
          <w:p>
            <w:pPr>
              <w:pStyle w:val="null3"/>
            </w:pPr>
            <w:r>
              <w:rPr/>
              <w:t>42</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*噪声</w:t>
            </w:r>
          </w:p>
        </w:tc>
        <w:tc>
          <w:tcPr>
            <w:tcW w:type="dxa" w:w="1038"/>
          </w:tcPr>
          <w:p>
            <w:pPr>
              <w:pStyle w:val="null3"/>
            </w:pPr>
            <w:r>
              <w:rPr/>
              <w:t>符合GB/T 9813.3 的有关规定，在产品说明中给出具体测试值</w:t>
            </w:r>
          </w:p>
        </w:tc>
        <w:tc>
          <w:tcPr>
            <w:tcW w:type="dxa" w:w="1038"/>
          </w:tcPr>
          <w:p>
            <w:pPr>
              <w:pStyle w:val="null3"/>
            </w:pPr>
            <w:r>
              <w:rPr/>
              <w:t>否</w:t>
            </w:r>
          </w:p>
        </w:tc>
        <w:tc>
          <w:tcPr>
            <w:tcW w:type="dxa" w:w="1038"/>
          </w:tcPr>
          <w:p/>
        </w:tc>
      </w:tr>
      <w:tr>
        <w:tc>
          <w:tcPr>
            <w:tcW w:type="dxa" w:w="1038"/>
          </w:tcPr>
          <w:p>
            <w:pPr>
              <w:pStyle w:val="null3"/>
            </w:pPr>
            <w:r>
              <w:rPr/>
              <w:t>43</w:t>
            </w:r>
          </w:p>
        </w:tc>
        <w:tc>
          <w:tcPr>
            <w:tcW w:type="dxa" w:w="1038"/>
          </w:tcPr>
          <w:p>
            <w:pPr>
              <w:pStyle w:val="null3"/>
            </w:pPr>
            <w:r>
              <w:rPr/>
              <w:t>产品规格</w:t>
            </w:r>
          </w:p>
        </w:tc>
        <w:tc>
          <w:tcPr>
            <w:tcW w:type="dxa" w:w="1038"/>
          </w:tcPr>
          <w:p/>
        </w:tc>
        <w:tc>
          <w:tcPr>
            <w:tcW w:type="dxa" w:w="1038"/>
          </w:tcPr>
          <w:p>
            <w:pPr>
              <w:pStyle w:val="null3"/>
            </w:pPr>
            <w:r>
              <w:rPr/>
              <w:t>AI 计算单元规格</w:t>
            </w:r>
          </w:p>
        </w:tc>
        <w:tc>
          <w:tcPr>
            <w:tcW w:type="dxa" w:w="1038"/>
          </w:tcPr>
          <w:p>
            <w:pPr>
              <w:pStyle w:val="null3"/>
            </w:pPr>
            <w:r>
              <w:rPr/>
              <w:t>AI 计算单元</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44</w:t>
            </w:r>
          </w:p>
        </w:tc>
        <w:tc>
          <w:tcPr>
            <w:tcW w:type="dxa" w:w="1038"/>
          </w:tcPr>
          <w:p>
            <w:pPr>
              <w:pStyle w:val="null3"/>
            </w:pPr>
            <w:r>
              <w:rPr/>
              <w:t>产品规格</w:t>
            </w:r>
          </w:p>
        </w:tc>
        <w:tc>
          <w:tcPr>
            <w:tcW w:type="dxa" w:w="1038"/>
          </w:tcPr>
          <w:p/>
        </w:tc>
        <w:tc>
          <w:tcPr>
            <w:tcW w:type="dxa" w:w="1038"/>
          </w:tcPr>
          <w:p>
            <w:pPr>
              <w:pStyle w:val="null3"/>
            </w:pPr>
            <w:r>
              <w:rPr/>
              <w:t>AI 计算单元规格</w:t>
            </w:r>
          </w:p>
        </w:tc>
        <w:tc>
          <w:tcPr>
            <w:tcW w:type="dxa" w:w="1038"/>
          </w:tcPr>
          <w:p>
            <w:pPr>
              <w:pStyle w:val="null3"/>
            </w:pPr>
            <w:r>
              <w:rPr/>
              <w:t>一键式迁移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45</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机柜规格</w:t>
            </w:r>
          </w:p>
        </w:tc>
        <w:tc>
          <w:tcPr>
            <w:tcW w:type="dxa" w:w="1038"/>
          </w:tcPr>
          <w:p>
            <w:pPr>
              <w:pStyle w:val="null3"/>
            </w:pPr>
            <w:r>
              <w:rPr/>
              <w:t>*机柜尺寸</w:t>
            </w:r>
          </w:p>
        </w:tc>
        <w:tc>
          <w:tcPr>
            <w:tcW w:type="dxa" w:w="1038"/>
          </w:tcPr>
          <w:p>
            <w:pPr>
              <w:pStyle w:val="null3"/>
            </w:pPr>
            <w:r>
              <w:rPr/>
              <w:t>供应商给出长度、高度和深度</w:t>
            </w:r>
          </w:p>
        </w:tc>
        <w:tc>
          <w:tcPr>
            <w:tcW w:type="dxa" w:w="1038"/>
          </w:tcPr>
          <w:p>
            <w:pPr>
              <w:pStyle w:val="null3"/>
            </w:pPr>
            <w:r>
              <w:rPr/>
              <w:t>否</w:t>
            </w:r>
          </w:p>
        </w:tc>
        <w:tc>
          <w:tcPr>
            <w:tcW w:type="dxa" w:w="1038"/>
          </w:tcPr>
          <w:p/>
        </w:tc>
      </w:tr>
      <w:tr>
        <w:tc>
          <w:tcPr>
            <w:tcW w:type="dxa" w:w="1038"/>
          </w:tcPr>
          <w:p>
            <w:pPr>
              <w:pStyle w:val="null3"/>
            </w:pPr>
            <w:r>
              <w:rPr/>
              <w:t>46</w:t>
            </w:r>
          </w:p>
        </w:tc>
        <w:tc>
          <w:tcPr>
            <w:tcW w:type="dxa" w:w="1038"/>
          </w:tcPr>
          <w:p>
            <w:pPr>
              <w:pStyle w:val="null3"/>
            </w:pPr>
            <w:r>
              <w:rPr/>
              <w:t>产品规格</w:t>
            </w:r>
          </w:p>
        </w:tc>
        <w:tc>
          <w:tcPr>
            <w:tcW w:type="dxa" w:w="1038"/>
          </w:tcPr>
          <w:p/>
        </w:tc>
        <w:tc>
          <w:tcPr>
            <w:tcW w:type="dxa" w:w="1038"/>
          </w:tcPr>
          <w:p>
            <w:pPr>
              <w:pStyle w:val="null3"/>
            </w:pPr>
            <w:r>
              <w:rPr/>
              <w:t>机柜规格</w:t>
            </w:r>
          </w:p>
        </w:tc>
        <w:tc>
          <w:tcPr>
            <w:tcW w:type="dxa" w:w="1038"/>
          </w:tcPr>
          <w:p>
            <w:pPr>
              <w:pStyle w:val="null3"/>
            </w:pPr>
            <w:r>
              <w:rPr/>
              <w:t>机柜管理板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47</w:t>
            </w:r>
          </w:p>
        </w:tc>
        <w:tc>
          <w:tcPr>
            <w:tcW w:type="dxa" w:w="1038"/>
          </w:tcPr>
          <w:p>
            <w:pPr>
              <w:pStyle w:val="null3"/>
            </w:pPr>
            <w:r>
              <w:rPr/>
              <w:t>产品规格</w:t>
            </w:r>
          </w:p>
        </w:tc>
        <w:tc>
          <w:tcPr>
            <w:tcW w:type="dxa" w:w="1038"/>
          </w:tcPr>
          <w:p/>
        </w:tc>
        <w:tc>
          <w:tcPr>
            <w:tcW w:type="dxa" w:w="1038"/>
          </w:tcPr>
          <w:p>
            <w:pPr>
              <w:pStyle w:val="null3"/>
            </w:pPr>
            <w:r>
              <w:rPr/>
              <w:t>机柜规格</w:t>
            </w:r>
          </w:p>
        </w:tc>
        <w:tc>
          <w:tcPr>
            <w:tcW w:type="dxa" w:w="1038"/>
          </w:tcPr>
          <w:p>
            <w:pPr>
              <w:pStyle w:val="null3"/>
            </w:pPr>
            <w:r>
              <w:rPr/>
              <w:t>机柜电源规格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*主板外部接口种类</w:t>
            </w:r>
          </w:p>
        </w:tc>
        <w:tc>
          <w:tcPr>
            <w:tcW w:type="dxa" w:w="1038"/>
          </w:tcPr>
          <w:p>
            <w:pPr>
              <w:pStyle w:val="null3"/>
            </w:pPr>
            <w:r>
              <w:rPr/>
              <w:t>支持USB、显示、管理等接口，如VGA、DP、HDMI、USB3.0、PS/2 接口、 BMC 管理端口：</w:t>
            </w:r>
          </w:p>
        </w:tc>
        <w:tc>
          <w:tcPr>
            <w:tcW w:type="dxa" w:w="1038"/>
          </w:tcPr>
          <w:p>
            <w:pPr>
              <w:pStyle w:val="null3"/>
            </w:pPr>
            <w:r>
              <w:rPr/>
              <w:t>否</w:t>
            </w:r>
          </w:p>
        </w:tc>
        <w:tc>
          <w:tcPr>
            <w:tcW w:type="dxa" w:w="1038"/>
          </w:tcPr>
          <w:p/>
        </w:tc>
      </w:tr>
      <w:tr>
        <w:tc>
          <w:tcPr>
            <w:tcW w:type="dxa" w:w="1038"/>
          </w:tcPr>
          <w:p>
            <w:pPr>
              <w:pStyle w:val="null3"/>
            </w:pPr>
            <w:r>
              <w:rPr/>
              <w:t>49</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主板防烧板设计</w:t>
            </w:r>
          </w:p>
        </w:tc>
        <w:tc>
          <w:tcPr>
            <w:tcW w:type="dxa" w:w="1038"/>
          </w:tcPr>
          <w:p>
            <w:pPr>
              <w:pStyle w:val="null3"/>
            </w:pPr>
            <w:r>
              <w:rPr/>
              <w:t>支持主板防烧板设计，保证电源故障后不扩散</w:t>
            </w:r>
          </w:p>
        </w:tc>
        <w:tc>
          <w:tcPr>
            <w:tcW w:type="dxa" w:w="1038"/>
          </w:tcPr>
          <w:p>
            <w:pPr>
              <w:pStyle w:val="null3"/>
            </w:pPr>
            <w:r>
              <w:rPr/>
              <w:t>否</w:t>
            </w:r>
          </w:p>
        </w:tc>
        <w:tc>
          <w:tcPr>
            <w:tcW w:type="dxa" w:w="1038"/>
          </w:tcPr>
          <w:p/>
        </w:tc>
      </w:tr>
      <w:tr>
        <w:tc>
          <w:tcPr>
            <w:tcW w:type="dxa" w:w="1038"/>
          </w:tcPr>
          <w:p>
            <w:pPr>
              <w:pStyle w:val="null3"/>
            </w:pPr>
            <w:r>
              <w:rPr/>
              <w:t>50</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扩展功能</w:t>
            </w:r>
          </w:p>
        </w:tc>
        <w:tc>
          <w:tcPr>
            <w:tcW w:type="dxa" w:w="1038"/>
          </w:tcPr>
          <w:p>
            <w:pPr>
              <w:pStyle w:val="null3"/>
            </w:pPr>
            <w:r>
              <w:rPr/>
              <w:t>实现至少一种扩展功能，如存储功能卡、显示功能卡、运算加速功能卡及网络功能卡等扩展功能</w:t>
            </w:r>
          </w:p>
        </w:tc>
        <w:tc>
          <w:tcPr>
            <w:tcW w:type="dxa" w:w="1038"/>
          </w:tcPr>
          <w:p>
            <w:pPr>
              <w:pStyle w:val="null3"/>
            </w:pPr>
            <w:r>
              <w:rPr/>
              <w:t>否</w:t>
            </w:r>
          </w:p>
        </w:tc>
        <w:tc>
          <w:tcPr>
            <w:tcW w:type="dxa" w:w="1038"/>
          </w:tcPr>
          <w:p/>
        </w:tc>
      </w:tr>
      <w:tr>
        <w:tc>
          <w:tcPr>
            <w:tcW w:type="dxa" w:w="1038"/>
          </w:tcPr>
          <w:p>
            <w:pPr>
              <w:pStyle w:val="null3"/>
            </w:pPr>
            <w:r>
              <w:rPr/>
              <w:t>51</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*网络功能</w:t>
            </w:r>
          </w:p>
        </w:tc>
        <w:tc>
          <w:tcPr>
            <w:tcW w:type="dxa" w:w="1038"/>
          </w:tcPr>
          <w:p>
            <w:pPr>
              <w:pStyle w:val="null3"/>
            </w:pPr>
            <w:r>
              <w:rPr/>
              <w:t>*网络功能</w:t>
            </w:r>
          </w:p>
        </w:tc>
        <w:tc>
          <w:tcPr>
            <w:tcW w:type="dxa" w:w="1038"/>
          </w:tcPr>
          <w:p>
            <w:pPr>
              <w:pStyle w:val="null3"/>
            </w:pPr>
            <w:r>
              <w:rPr/>
              <w:t>支持网络连接、网络访问、数据交换和网络管控功能</w:t>
            </w:r>
          </w:p>
        </w:tc>
        <w:tc>
          <w:tcPr>
            <w:tcW w:type="dxa" w:w="1038"/>
          </w:tcPr>
          <w:p>
            <w:pPr>
              <w:pStyle w:val="null3"/>
            </w:pPr>
            <w:r>
              <w:rPr/>
              <w:t>否</w:t>
            </w:r>
          </w:p>
        </w:tc>
        <w:tc>
          <w:tcPr>
            <w:tcW w:type="dxa" w:w="1038"/>
          </w:tcPr>
          <w:p/>
        </w:tc>
      </w:tr>
      <w:tr>
        <w:tc>
          <w:tcPr>
            <w:tcW w:type="dxa" w:w="1038"/>
          </w:tcPr>
          <w:p>
            <w:pPr>
              <w:pStyle w:val="null3"/>
            </w:pPr>
            <w:r>
              <w:rPr/>
              <w:t>52</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*计算处理</w:t>
            </w:r>
          </w:p>
        </w:tc>
        <w:tc>
          <w:tcPr>
            <w:tcW w:type="dxa" w:w="1038"/>
          </w:tcPr>
          <w:p>
            <w:pPr>
              <w:pStyle w:val="null3"/>
            </w:pPr>
            <w:r>
              <w:rPr/>
              <w:t>支持通用计算及虚拟化功能。处理器需集成整型计算单元、浮点计算单元、内存控制器、I/O 模块等，处理器与存储部件、网络部件、I/O部件等组成计算系统，提供数据处理、网络接入等计算相关功能</w:t>
            </w:r>
          </w:p>
        </w:tc>
        <w:tc>
          <w:tcPr>
            <w:tcW w:type="dxa" w:w="1038"/>
          </w:tcPr>
          <w:p>
            <w:pPr>
              <w:pStyle w:val="null3"/>
            </w:pPr>
            <w:r>
              <w:rPr/>
              <w:t>否</w:t>
            </w:r>
          </w:p>
        </w:tc>
        <w:tc>
          <w:tcPr>
            <w:tcW w:type="dxa" w:w="1038"/>
          </w:tcPr>
          <w:p/>
        </w:tc>
      </w:tr>
      <w:tr>
        <w:tc>
          <w:tcPr>
            <w:tcW w:type="dxa" w:w="1038"/>
          </w:tcPr>
          <w:p>
            <w:pPr>
              <w:pStyle w:val="null3"/>
            </w:pPr>
            <w:r>
              <w:rPr/>
              <w:t>53</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*密码算法实现</w:t>
            </w:r>
          </w:p>
        </w:tc>
        <w:tc>
          <w:tcPr>
            <w:tcW w:type="dxa" w:w="1038"/>
          </w:tcPr>
          <w:p>
            <w:pPr>
              <w:pStyle w:val="null3"/>
            </w:pPr>
            <w:r>
              <w:rPr/>
              <w:t>CPU 芯片应符合GM/T 0008 的相关规定，或芯片密码模块应符合GB/T 37092 或 GM/T 0028 的相关规定</w:t>
            </w:r>
          </w:p>
        </w:tc>
        <w:tc>
          <w:tcPr>
            <w:tcW w:type="dxa" w:w="1038"/>
          </w:tcPr>
          <w:p>
            <w:pPr>
              <w:pStyle w:val="null3"/>
            </w:pPr>
            <w:r>
              <w:rPr/>
              <w:t>否</w:t>
            </w:r>
          </w:p>
        </w:tc>
        <w:tc>
          <w:tcPr>
            <w:tcW w:type="dxa" w:w="1038"/>
          </w:tcPr>
          <w:p/>
        </w:tc>
      </w:tr>
      <w:tr>
        <w:tc>
          <w:tcPr>
            <w:tcW w:type="dxa" w:w="1038"/>
          </w:tcPr>
          <w:p>
            <w:pPr>
              <w:pStyle w:val="null3"/>
            </w:pPr>
            <w:r>
              <w:rPr/>
              <w:t>54</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内存校验</w:t>
            </w:r>
          </w:p>
        </w:tc>
        <w:tc>
          <w:tcPr>
            <w:tcW w:type="dxa" w:w="1038"/>
          </w:tcPr>
          <w:p>
            <w:pPr>
              <w:pStyle w:val="null3"/>
            </w:pPr>
            <w:r>
              <w:rPr/>
              <w:t>支持内存校验或内存增强型纠错功能</w:t>
            </w:r>
          </w:p>
        </w:tc>
        <w:tc>
          <w:tcPr>
            <w:tcW w:type="dxa" w:w="1038"/>
          </w:tcPr>
          <w:p>
            <w:pPr>
              <w:pStyle w:val="null3"/>
            </w:pPr>
            <w:r>
              <w:rPr/>
              <w:t>否</w:t>
            </w:r>
          </w:p>
        </w:tc>
        <w:tc>
          <w:tcPr>
            <w:tcW w:type="dxa" w:w="1038"/>
          </w:tcPr>
          <w:p/>
        </w:tc>
      </w:tr>
      <w:tr>
        <w:tc>
          <w:tcPr>
            <w:tcW w:type="dxa" w:w="1038"/>
          </w:tcPr>
          <w:p>
            <w:pPr>
              <w:pStyle w:val="null3"/>
            </w:pPr>
            <w:r>
              <w:rPr/>
              <w:t>55</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 NAND 健康状态上报</w:t>
            </w:r>
          </w:p>
        </w:tc>
        <w:tc>
          <w:tcPr>
            <w:tcW w:type="dxa" w:w="1038"/>
          </w:tcPr>
          <w:p>
            <w:pPr>
              <w:pStyle w:val="null3"/>
            </w:pPr>
            <w:r>
              <w:rPr/>
              <w:t>支持关键外部存储器（硬磁盘、SSD等）的健康状态上报并进行故障诊断</w:t>
            </w:r>
          </w:p>
        </w:tc>
        <w:tc>
          <w:tcPr>
            <w:tcW w:type="dxa" w:w="1038"/>
          </w:tcPr>
          <w:p>
            <w:pPr>
              <w:pStyle w:val="null3"/>
            </w:pPr>
            <w:r>
              <w:rPr/>
              <w:t>否</w:t>
            </w:r>
          </w:p>
        </w:tc>
        <w:tc>
          <w:tcPr>
            <w:tcW w:type="dxa" w:w="1038"/>
          </w:tcPr>
          <w:p/>
        </w:tc>
      </w:tr>
      <w:tr>
        <w:tc>
          <w:tcPr>
            <w:tcW w:type="dxa" w:w="1038"/>
          </w:tcPr>
          <w:p>
            <w:pPr>
              <w:pStyle w:val="null3"/>
            </w:pPr>
            <w:r>
              <w:rPr/>
              <w:t>56</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SSD单 die 故障隔离</w:t>
            </w:r>
          </w:p>
        </w:tc>
        <w:tc>
          <w:tcPr>
            <w:tcW w:type="dxa" w:w="1038"/>
          </w:tcPr>
          <w:p>
            <w:pPr>
              <w:pStyle w:val="null3"/>
            </w:pPr>
            <w:r>
              <w:rPr/>
              <w:t>支持SSD 关键外部存储器中单存储晶元故障隔离</w:t>
            </w:r>
          </w:p>
        </w:tc>
        <w:tc>
          <w:tcPr>
            <w:tcW w:type="dxa" w:w="1038"/>
          </w:tcPr>
          <w:p>
            <w:pPr>
              <w:pStyle w:val="null3"/>
            </w:pPr>
            <w:r>
              <w:rPr/>
              <w:t>否</w:t>
            </w:r>
          </w:p>
        </w:tc>
        <w:tc>
          <w:tcPr>
            <w:tcW w:type="dxa" w:w="1038"/>
          </w:tcPr>
          <w:p/>
        </w:tc>
      </w:tr>
      <w:tr>
        <w:tc>
          <w:tcPr>
            <w:tcW w:type="dxa" w:w="1038"/>
          </w:tcPr>
          <w:p>
            <w:pPr>
              <w:pStyle w:val="null3"/>
            </w:pPr>
            <w:r>
              <w:rPr/>
              <w:t>57</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RAID卡功能（若支持 RAID卡）</w:t>
            </w:r>
          </w:p>
        </w:tc>
        <w:tc>
          <w:tcPr>
            <w:tcW w:type="dxa" w:w="1038"/>
          </w:tcPr>
          <w:p>
            <w:pPr>
              <w:pStyle w:val="null3"/>
            </w:pPr>
            <w:r>
              <w:rPr/>
              <w:t>RAID 卡</w:t>
            </w:r>
          </w:p>
        </w:tc>
        <w:tc>
          <w:tcPr>
            <w:tcW w:type="dxa" w:w="1038"/>
          </w:tcPr>
          <w:p>
            <w:pPr>
              <w:pStyle w:val="null3"/>
            </w:pPr>
            <w:r>
              <w:rPr/>
              <w:t>RAID 模式支持 RAID 0/1/10/5，存储型支持RAID 0/1/5/6/10/50/60</w:t>
            </w:r>
          </w:p>
        </w:tc>
        <w:tc>
          <w:tcPr>
            <w:tcW w:type="dxa" w:w="1038"/>
          </w:tcPr>
          <w:p>
            <w:pPr>
              <w:pStyle w:val="null3"/>
            </w:pPr>
            <w:r>
              <w:rPr/>
              <w:t>否</w:t>
            </w:r>
          </w:p>
        </w:tc>
        <w:tc>
          <w:tcPr>
            <w:tcW w:type="dxa" w:w="1038"/>
          </w:tcPr>
          <w:p/>
        </w:tc>
      </w:tr>
      <w:tr>
        <w:tc>
          <w:tcPr>
            <w:tcW w:type="dxa" w:w="1038"/>
          </w:tcPr>
          <w:p>
            <w:pPr>
              <w:pStyle w:val="null3"/>
            </w:pPr>
            <w:r>
              <w:rPr/>
              <w:t>58</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RAID卡功能（若支持 RAID卡）</w:t>
            </w:r>
          </w:p>
        </w:tc>
        <w:tc>
          <w:tcPr>
            <w:tcW w:type="dxa" w:w="1038"/>
          </w:tcPr>
          <w:p>
            <w:pPr>
              <w:pStyle w:val="null3"/>
            </w:pPr>
            <w:r>
              <w:rPr/>
              <w:t>RAID 卡BBU 单元</w:t>
            </w:r>
          </w:p>
        </w:tc>
        <w:tc>
          <w:tcPr>
            <w:tcW w:type="dxa" w:w="1038"/>
          </w:tcPr>
          <w:p>
            <w:pPr>
              <w:pStyle w:val="null3"/>
            </w:pPr>
            <w:r>
              <w:rPr/>
              <w:t>RAID 卡支持电池或电容备份单元</w:t>
            </w:r>
          </w:p>
        </w:tc>
        <w:tc>
          <w:tcPr>
            <w:tcW w:type="dxa" w:w="1038"/>
          </w:tcPr>
          <w:p>
            <w:pPr>
              <w:pStyle w:val="null3"/>
            </w:pPr>
            <w:r>
              <w:rPr/>
              <w:t>否</w:t>
            </w:r>
          </w:p>
        </w:tc>
        <w:tc>
          <w:tcPr>
            <w:tcW w:type="dxa" w:w="1038"/>
          </w:tcPr>
          <w:p/>
        </w:tc>
      </w:tr>
      <w:tr>
        <w:tc>
          <w:tcPr>
            <w:tcW w:type="dxa" w:w="1038"/>
          </w:tcPr>
          <w:p>
            <w:pPr>
              <w:pStyle w:val="null3"/>
            </w:pPr>
            <w:r>
              <w:rPr/>
              <w:t>59</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光驱功能</w:t>
            </w:r>
          </w:p>
        </w:tc>
        <w:tc>
          <w:tcPr>
            <w:tcW w:type="dxa" w:w="1038"/>
          </w:tcPr>
          <w:p>
            <w:pPr>
              <w:pStyle w:val="null3"/>
            </w:pPr>
            <w:r>
              <w:rPr/>
              <w:t>光驱类型（是否支持 RW，以及光盘类型CD/DVD）</w:t>
            </w:r>
          </w:p>
        </w:tc>
        <w:tc>
          <w:tcPr>
            <w:tcW w:type="dxa" w:w="1038"/>
          </w:tcPr>
          <w:p>
            <w:pPr>
              <w:pStyle w:val="null3"/>
            </w:pPr>
            <w:r>
              <w:rPr/>
              <w:t>若配备光驱，应提供光驱的安装形式（如内置、外置）、光驱读写类型（如只读、可刻录等）、光盘类型的兼容列表（如CD-ROM、CD-RW、 DVD±RW 等）</w:t>
            </w:r>
          </w:p>
        </w:tc>
        <w:tc>
          <w:tcPr>
            <w:tcW w:type="dxa" w:w="1038"/>
          </w:tcPr>
          <w:p>
            <w:pPr>
              <w:pStyle w:val="null3"/>
            </w:pPr>
            <w:r>
              <w:rPr/>
              <w:t>否</w:t>
            </w:r>
          </w:p>
        </w:tc>
        <w:tc>
          <w:tcPr>
            <w:tcW w:type="dxa" w:w="1038"/>
          </w:tcPr>
          <w:p/>
        </w:tc>
      </w:tr>
      <w:tr>
        <w:tc>
          <w:tcPr>
            <w:tcW w:type="dxa" w:w="1038"/>
          </w:tcPr>
          <w:p>
            <w:pPr>
              <w:pStyle w:val="null3"/>
            </w:pPr>
            <w:r>
              <w:rPr/>
              <w:t>60</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*电源热插拔</w:t>
            </w:r>
          </w:p>
        </w:tc>
        <w:tc>
          <w:tcPr>
            <w:tcW w:type="dxa" w:w="1038"/>
          </w:tcPr>
          <w:p>
            <w:pPr>
              <w:pStyle w:val="null3"/>
            </w:pPr>
            <w:r>
              <w:rPr/>
              <w:t>整机电源模块应具备热插拔功能</w:t>
            </w:r>
          </w:p>
        </w:tc>
        <w:tc>
          <w:tcPr>
            <w:tcW w:type="dxa" w:w="1038"/>
          </w:tcPr>
          <w:p>
            <w:pPr>
              <w:pStyle w:val="null3"/>
            </w:pPr>
            <w:r>
              <w:rPr/>
              <w:t>否</w:t>
            </w:r>
          </w:p>
        </w:tc>
        <w:tc>
          <w:tcPr>
            <w:tcW w:type="dxa" w:w="1038"/>
          </w:tcPr>
          <w:p/>
        </w:tc>
      </w:tr>
      <w:tr>
        <w:tc>
          <w:tcPr>
            <w:tcW w:type="dxa" w:w="1038"/>
          </w:tcPr>
          <w:p>
            <w:pPr>
              <w:pStyle w:val="null3"/>
            </w:pPr>
            <w:r>
              <w:rPr/>
              <w:t>61</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*电源过流保护</w:t>
            </w:r>
          </w:p>
        </w:tc>
        <w:tc>
          <w:tcPr>
            <w:tcW w:type="dxa" w:w="1038"/>
          </w:tcPr>
          <w:p>
            <w:pPr>
              <w:pStyle w:val="null3"/>
            </w:pPr>
            <w:r>
              <w:rPr/>
              <w:t>支持过流及短路保护的功能</w:t>
            </w:r>
          </w:p>
        </w:tc>
        <w:tc>
          <w:tcPr>
            <w:tcW w:type="dxa" w:w="1038"/>
          </w:tcPr>
          <w:p>
            <w:pPr>
              <w:pStyle w:val="null3"/>
            </w:pPr>
            <w:r>
              <w:rPr/>
              <w:t>否</w:t>
            </w:r>
          </w:p>
        </w:tc>
        <w:tc>
          <w:tcPr>
            <w:tcW w:type="dxa" w:w="1038"/>
          </w:tcPr>
          <w:p/>
        </w:tc>
      </w:tr>
      <w:tr>
        <w:tc>
          <w:tcPr>
            <w:tcW w:type="dxa" w:w="1038"/>
          </w:tcPr>
          <w:p>
            <w:pPr>
              <w:pStyle w:val="null3"/>
            </w:pPr>
            <w:r>
              <w:rPr/>
              <w:t>62</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散热方式</w:t>
            </w:r>
          </w:p>
        </w:tc>
        <w:tc>
          <w:tcPr>
            <w:tcW w:type="dxa" w:w="1038"/>
          </w:tcPr>
          <w:p>
            <w:pPr>
              <w:pStyle w:val="null3"/>
            </w:pPr>
            <w:r>
              <w:rPr/>
              <w:t>*散热方式</w:t>
            </w:r>
          </w:p>
        </w:tc>
        <w:tc>
          <w:tcPr>
            <w:tcW w:type="dxa" w:w="1038"/>
          </w:tcPr>
          <w:p>
            <w:pPr>
              <w:pStyle w:val="null3"/>
            </w:pPr>
            <w:r>
              <w:rPr/>
              <w:t>支持风冷或液冷等散热方式</w:t>
            </w:r>
          </w:p>
        </w:tc>
        <w:tc>
          <w:tcPr>
            <w:tcW w:type="dxa" w:w="1038"/>
          </w:tcPr>
          <w:p>
            <w:pPr>
              <w:pStyle w:val="null3"/>
            </w:pPr>
            <w:r>
              <w:rPr/>
              <w:t>否</w:t>
            </w:r>
          </w:p>
        </w:tc>
        <w:tc>
          <w:tcPr>
            <w:tcW w:type="dxa" w:w="1038"/>
          </w:tcPr>
          <w:p/>
        </w:tc>
      </w:tr>
      <w:tr>
        <w:tc>
          <w:tcPr>
            <w:tcW w:type="dxa" w:w="1038"/>
          </w:tcPr>
          <w:p>
            <w:pPr>
              <w:pStyle w:val="null3"/>
            </w:pPr>
            <w:r>
              <w:rPr/>
              <w:t>63</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其他功能</w:t>
            </w:r>
          </w:p>
        </w:tc>
        <w:tc>
          <w:tcPr>
            <w:tcW w:type="dxa" w:w="1038"/>
          </w:tcPr>
          <w:p>
            <w:pPr>
              <w:pStyle w:val="null3"/>
            </w:pPr>
            <w:r>
              <w:rPr/>
              <w:t>a) 支持关键部件冗余（包括电源、风扇等）； b) 支持熔断保护与恢复功能</w:t>
            </w:r>
          </w:p>
        </w:tc>
        <w:tc>
          <w:tcPr>
            <w:tcW w:type="dxa" w:w="1038"/>
          </w:tcPr>
          <w:p>
            <w:pPr>
              <w:pStyle w:val="null3"/>
            </w:pPr>
            <w:r>
              <w:rPr/>
              <w:t>否</w:t>
            </w:r>
          </w:p>
        </w:tc>
        <w:tc>
          <w:tcPr>
            <w:tcW w:type="dxa" w:w="1038"/>
          </w:tcPr>
          <w:p/>
        </w:tc>
      </w:tr>
      <w:tr>
        <w:tc>
          <w:tcPr>
            <w:tcW w:type="dxa" w:w="1038"/>
          </w:tcPr>
          <w:p>
            <w:pPr>
              <w:pStyle w:val="null3"/>
            </w:pPr>
            <w:r>
              <w:rPr/>
              <w:t>64</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*BMC 固件基础功能</w:t>
            </w:r>
          </w:p>
        </w:tc>
        <w:tc>
          <w:tcPr>
            <w:tcW w:type="dxa" w:w="1038"/>
          </w:tcPr>
          <w:p>
            <w:pPr>
              <w:pStyle w:val="null3"/>
            </w:pPr>
            <w:r>
              <w:rPr/>
              <w:t>1) 支持DHCP 设置网络功能； 2) 支持静态IP 设置网络功能； 3) 支持设备日志记录，包括但不限于登录日志、操作日志和报警日志等功能； 4) 支持日志信息导出和记录删除功能； 5) 支持通过管理接口向外输出准确的报警信息功能； 6) 设备的BMC 管理软件应能够按报警的严重程度进行区分； 7) 支持IPMI2.0、SNMP 或Redfish等接口功能； 8) 支持键盘、鼠标和视频的重定向、文本控制台的重定向、远程虚拟媒体、高可靠的硬件监控和管理功能； 9)支持基于网络开启、关闭和重启设备的功能，并查询当前设备开机运行状态； 10) 支持故障提示功能，并可通过接口读取服务器故障信息； 11) 支持基于网络的固件更新功能，包括BMC 和BIOS 等； 12) 支持基于网络安装操作系统的功能，并可通过网络控制台访问设备； 13) 支持通过本地的硬盘或光驱等存储设备，基于网络完成设备的操作系统安装功能； 14) 支持通过浏览器打开管理界面并登录功能； 15) 支持设置口令策略功能； 16) 支持访问权限设置功能，并通过日志记录访问事件； 17) 支持对出厂默认的用户名及口令进行安全保护功能，并提供默认口令修改提示； 18) 支持读取设备主板的工作环境温度功能； 19) 支持读取服务器CPU 等核心器件的温度功能； 20) 支持通过外部管理工具进行 BMC 参数设置的功能，并可基于网络通过外部管理工具对BMC 进行管理； 21)应支持固件版本查询、固件升级 22) 支持基于网络实现开关机和复位控制的功能； 23) BMC 启动时间应不超过 180s，实现功能包括网络、IPMI、散热、传感器服务可用； 24) 支持BMC 固件设置的恢复出厂功能；</w:t>
            </w:r>
          </w:p>
        </w:tc>
        <w:tc>
          <w:tcPr>
            <w:tcW w:type="dxa" w:w="1038"/>
          </w:tcPr>
          <w:p>
            <w:pPr>
              <w:pStyle w:val="null3"/>
            </w:pPr>
            <w:r>
              <w:rPr/>
              <w:t>否</w:t>
            </w:r>
          </w:p>
        </w:tc>
        <w:tc>
          <w:tcPr>
            <w:tcW w:type="dxa" w:w="1038"/>
          </w:tcPr>
          <w:p/>
        </w:tc>
      </w:tr>
      <w:tr>
        <w:tc>
          <w:tcPr>
            <w:tcW w:type="dxa" w:w="1038"/>
          </w:tcPr>
          <w:p>
            <w:pPr>
              <w:pStyle w:val="null3"/>
            </w:pPr>
            <w:r>
              <w:rPr/>
              <w:t>65</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BMC 固件增强功能</w:t>
            </w:r>
          </w:p>
        </w:tc>
        <w:tc>
          <w:tcPr>
            <w:tcW w:type="dxa" w:w="1038"/>
          </w:tcPr>
          <w:p>
            <w:pPr>
              <w:pStyle w:val="null3"/>
            </w:pPr>
            <w:r>
              <w:rPr/>
              <w:t>BMC 固件增强功能</w:t>
            </w:r>
          </w:p>
        </w:tc>
        <w:tc>
          <w:tcPr>
            <w:tcW w:type="dxa" w:w="1038"/>
          </w:tcPr>
          <w:p>
            <w:pPr>
              <w:pStyle w:val="null3"/>
            </w:pPr>
            <w:r>
              <w:rPr/>
              <w:t>a） 网络控制、安装提供图形访问界面网络； b） 设备的BMC 管理软件界面显示报警信息，且能够按报警的严重程度进行区分； c） Web GUI 采用 BMC 端口直连，平均响应时间为不大于 1s</w:t>
            </w:r>
          </w:p>
        </w:tc>
        <w:tc>
          <w:tcPr>
            <w:tcW w:type="dxa" w:w="1038"/>
          </w:tcPr>
          <w:p>
            <w:pPr>
              <w:pStyle w:val="null3"/>
            </w:pPr>
            <w:r>
              <w:rPr/>
              <w:t>否</w:t>
            </w:r>
          </w:p>
        </w:tc>
        <w:tc>
          <w:tcPr>
            <w:tcW w:type="dxa" w:w="1038"/>
          </w:tcPr>
          <w:p/>
        </w:tc>
      </w:tr>
      <w:tr>
        <w:tc>
          <w:tcPr>
            <w:tcW w:type="dxa" w:w="1038"/>
          </w:tcPr>
          <w:p>
            <w:pPr>
              <w:pStyle w:val="null3"/>
            </w:pPr>
            <w:r>
              <w:rPr/>
              <w:t>66</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BIOS 固件基础功能</w:t>
            </w:r>
          </w:p>
        </w:tc>
        <w:tc>
          <w:tcPr>
            <w:tcW w:type="dxa" w:w="1038"/>
          </w:tcPr>
          <w:p>
            <w:pPr>
              <w:pStyle w:val="null3"/>
            </w:pPr>
            <w:r>
              <w:rPr/>
              <w:t>*BIOS 固件基础功能</w:t>
            </w:r>
          </w:p>
        </w:tc>
        <w:tc>
          <w:tcPr>
            <w:tcW w:type="dxa" w:w="1038"/>
          </w:tcPr>
          <w:p>
            <w:pPr>
              <w:pStyle w:val="null3"/>
            </w:pPr>
            <w:r>
              <w:rPr/>
              <w:t>a） 支持查看固件版本、内存信息、主板信息、处理器信息和系统时间信息功能； b） 支持上电初始化界面显示 CPU 信息、内存信息、固件版本和部分快捷键信息功能； c） 支持设置界面中英文显示切换功能； d） 支持查看 PCIe 设备信息，SATA设备信息功能； e） 支持操作系统安装和引导功能，应并向操作系统提供计算机主板信息和服务接口； f） 支持设置启动顺序，并按照设置的启动顺序启动功能； g） 支持安全启动功能； h） 支持设置口令、修改口令、验证口令功能； i） 支持板载显示控制或独立显卡的显示控制功能； j） 支持 RAID 识别和启动功能； k）支持串口重定向功能； l） 支持固件更新功能； m） 支持 BIOS 固件设置的恢复出厂功能； n） 支持网络引导启用和关闭功能</w:t>
            </w:r>
          </w:p>
        </w:tc>
        <w:tc>
          <w:tcPr>
            <w:tcW w:type="dxa" w:w="1038"/>
          </w:tcPr>
          <w:p>
            <w:pPr>
              <w:pStyle w:val="null3"/>
            </w:pPr>
            <w:r>
              <w:rPr/>
              <w:t>否</w:t>
            </w:r>
          </w:p>
        </w:tc>
        <w:tc>
          <w:tcPr>
            <w:tcW w:type="dxa" w:w="1038"/>
          </w:tcPr>
          <w:p/>
        </w:tc>
      </w:tr>
      <w:tr>
        <w:tc>
          <w:tcPr>
            <w:tcW w:type="dxa" w:w="1038"/>
          </w:tcPr>
          <w:p>
            <w:pPr>
              <w:pStyle w:val="null3"/>
            </w:pPr>
            <w:r>
              <w:rPr/>
              <w:t>67</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远程控制</w:t>
            </w:r>
          </w:p>
        </w:tc>
        <w:tc>
          <w:tcPr>
            <w:tcW w:type="dxa" w:w="1038"/>
          </w:tcPr>
          <w:p>
            <w:pPr>
              <w:pStyle w:val="null3"/>
            </w:pPr>
            <w:r>
              <w:rPr/>
              <w:t>*远程控制</w:t>
            </w:r>
          </w:p>
        </w:tc>
        <w:tc>
          <w:tcPr>
            <w:tcW w:type="dxa" w:w="1038"/>
          </w:tcPr>
          <w:p>
            <w:pPr>
              <w:pStyle w:val="null3"/>
            </w:pPr>
            <w:r>
              <w:rPr/>
              <w:t>支持远程关机和重新启动功能</w:t>
            </w:r>
          </w:p>
        </w:tc>
        <w:tc>
          <w:tcPr>
            <w:tcW w:type="dxa" w:w="1038"/>
          </w:tcPr>
          <w:p>
            <w:pPr>
              <w:pStyle w:val="null3"/>
            </w:pPr>
            <w:r>
              <w:rPr/>
              <w:t>否</w:t>
            </w:r>
          </w:p>
        </w:tc>
        <w:tc>
          <w:tcPr>
            <w:tcW w:type="dxa" w:w="1038"/>
          </w:tcPr>
          <w:p/>
        </w:tc>
      </w:tr>
      <w:tr>
        <w:tc>
          <w:tcPr>
            <w:tcW w:type="dxa" w:w="1038"/>
          </w:tcPr>
          <w:p>
            <w:pPr>
              <w:pStyle w:val="null3"/>
            </w:pPr>
            <w:r>
              <w:rPr/>
              <w:t>68</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*操作系统及驱动的升级</w:t>
            </w:r>
          </w:p>
        </w:tc>
        <w:tc>
          <w:tcPr>
            <w:tcW w:type="dxa" w:w="1038"/>
          </w:tcPr>
          <w:p>
            <w:pPr>
              <w:pStyle w:val="null3"/>
            </w:pPr>
            <w:r>
              <w:rPr/>
              <w:t>支持通过网络、闪存盘对操作系统、驱动进行升级</w:t>
            </w:r>
          </w:p>
        </w:tc>
        <w:tc>
          <w:tcPr>
            <w:tcW w:type="dxa" w:w="1038"/>
          </w:tcPr>
          <w:p>
            <w:pPr>
              <w:pStyle w:val="null3"/>
            </w:pPr>
            <w:r>
              <w:rPr/>
              <w:t>否</w:t>
            </w:r>
          </w:p>
        </w:tc>
        <w:tc>
          <w:tcPr>
            <w:tcW w:type="dxa" w:w="1038"/>
          </w:tcPr>
          <w:p/>
        </w:tc>
      </w:tr>
      <w:tr>
        <w:tc>
          <w:tcPr>
            <w:tcW w:type="dxa" w:w="1038"/>
          </w:tcPr>
          <w:p>
            <w:pPr>
              <w:pStyle w:val="null3"/>
            </w:pPr>
            <w:r>
              <w:rPr/>
              <w:t>69</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操作系统及驱动的备份还原</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70</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*操作系统功能</w:t>
            </w:r>
          </w:p>
        </w:tc>
        <w:tc>
          <w:tcPr>
            <w:tcW w:type="dxa" w:w="1038"/>
          </w:tcPr>
          <w:p>
            <w:pPr>
              <w:pStyle w:val="null3"/>
            </w:pPr>
            <w:r>
              <w:rPr/>
              <w:t>a) 支持访问控制、安全审计、网络接入鉴别等功能； b) 操作系统其他功能应满足操作系统政府采购需求标准中加*的指标要求</w:t>
            </w:r>
          </w:p>
        </w:tc>
        <w:tc>
          <w:tcPr>
            <w:tcW w:type="dxa" w:w="1038"/>
          </w:tcPr>
          <w:p>
            <w:pPr>
              <w:pStyle w:val="null3"/>
            </w:pPr>
            <w:r>
              <w:rPr/>
              <w:t>否</w:t>
            </w:r>
          </w:p>
        </w:tc>
        <w:tc>
          <w:tcPr>
            <w:tcW w:type="dxa" w:w="1038"/>
          </w:tcPr>
          <w:p/>
        </w:tc>
      </w:tr>
      <w:tr>
        <w:tc>
          <w:tcPr>
            <w:tcW w:type="dxa" w:w="1038"/>
          </w:tcPr>
          <w:p>
            <w:pPr>
              <w:pStyle w:val="null3"/>
            </w:pPr>
            <w:r>
              <w:rPr/>
              <w:t>71</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*中文信息处理功能</w:t>
            </w:r>
          </w:p>
        </w:tc>
        <w:tc>
          <w:tcPr>
            <w:tcW w:type="dxa" w:w="1038"/>
          </w:tcPr>
          <w:p>
            <w:pPr>
              <w:pStyle w:val="null3"/>
            </w:pPr>
            <w:r>
              <w:rPr/>
              <w:t>*中文信息处理</w:t>
            </w:r>
          </w:p>
        </w:tc>
        <w:tc>
          <w:tcPr>
            <w:tcW w:type="dxa" w:w="1038"/>
          </w:tcPr>
          <w:p>
            <w:pPr>
              <w:pStyle w:val="null3"/>
            </w:pPr>
            <w:r>
              <w:rPr/>
              <w:t>符合GB 18030 的有关规定</w:t>
            </w:r>
          </w:p>
        </w:tc>
        <w:tc>
          <w:tcPr>
            <w:tcW w:type="dxa" w:w="1038"/>
          </w:tcPr>
          <w:p>
            <w:pPr>
              <w:pStyle w:val="null3"/>
            </w:pPr>
            <w:r>
              <w:rPr/>
              <w:t>否</w:t>
            </w:r>
          </w:p>
        </w:tc>
        <w:tc>
          <w:tcPr>
            <w:tcW w:type="dxa" w:w="1038"/>
          </w:tcPr>
          <w:p/>
        </w:tc>
      </w:tr>
      <w:tr>
        <w:tc>
          <w:tcPr>
            <w:tcW w:type="dxa" w:w="1038"/>
          </w:tcPr>
          <w:p>
            <w:pPr>
              <w:pStyle w:val="null3"/>
            </w:pPr>
            <w:r>
              <w:rPr/>
              <w:t>72</w:t>
            </w:r>
          </w:p>
        </w:tc>
        <w:tc>
          <w:tcPr>
            <w:tcW w:type="dxa" w:w="1038"/>
          </w:tcPr>
          <w:p>
            <w:pPr>
              <w:pStyle w:val="null3"/>
            </w:pPr>
            <w:r>
              <w:rPr/>
              <w:t>功能要求</w:t>
            </w:r>
          </w:p>
        </w:tc>
        <w:tc>
          <w:tcPr>
            <w:tcW w:type="dxa" w:w="1038"/>
          </w:tcPr>
          <w:p/>
        </w:tc>
        <w:tc>
          <w:tcPr>
            <w:tcW w:type="dxa" w:w="1038"/>
          </w:tcPr>
          <w:p>
            <w:pPr>
              <w:pStyle w:val="null3"/>
            </w:pPr>
            <w:r>
              <w:rPr/>
              <w:t>机柜功能</w:t>
            </w:r>
          </w:p>
        </w:tc>
        <w:tc>
          <w:tcPr>
            <w:tcW w:type="dxa" w:w="1038"/>
          </w:tcPr>
          <w:p>
            <w:pPr>
              <w:pStyle w:val="null3"/>
            </w:pPr>
            <w:r>
              <w:rPr/>
              <w:t>机柜管理功能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73</w:t>
            </w:r>
          </w:p>
        </w:tc>
        <w:tc>
          <w:tcPr>
            <w:tcW w:type="dxa" w:w="1038"/>
          </w:tcPr>
          <w:p>
            <w:pPr>
              <w:pStyle w:val="null3"/>
            </w:pPr>
            <w:r>
              <w:rPr/>
              <w:t>功能要求</w:t>
            </w:r>
          </w:p>
        </w:tc>
        <w:tc>
          <w:tcPr>
            <w:tcW w:type="dxa" w:w="1038"/>
          </w:tcPr>
          <w:p/>
        </w:tc>
        <w:tc>
          <w:tcPr>
            <w:tcW w:type="dxa" w:w="1038"/>
          </w:tcPr>
          <w:p>
            <w:pPr>
              <w:pStyle w:val="null3"/>
            </w:pPr>
            <w:r>
              <w:rPr/>
              <w:t>机柜功能</w:t>
            </w:r>
          </w:p>
        </w:tc>
        <w:tc>
          <w:tcPr>
            <w:tcW w:type="dxa" w:w="1038"/>
          </w:tcPr>
          <w:p>
            <w:pPr>
              <w:pStyle w:val="null3"/>
            </w:pPr>
            <w:r>
              <w:rPr/>
              <w:t>机柜通信方式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74</w:t>
            </w:r>
          </w:p>
        </w:tc>
        <w:tc>
          <w:tcPr>
            <w:tcW w:type="dxa" w:w="1038"/>
          </w:tcPr>
          <w:p>
            <w:pPr>
              <w:pStyle w:val="null3"/>
            </w:pPr>
            <w:r>
              <w:rPr/>
              <w:t>功能要求</w:t>
            </w:r>
          </w:p>
        </w:tc>
        <w:tc>
          <w:tcPr>
            <w:tcW w:type="dxa" w:w="1038"/>
          </w:tcPr>
          <w:p/>
        </w:tc>
        <w:tc>
          <w:tcPr>
            <w:tcW w:type="dxa" w:w="1038"/>
          </w:tcPr>
          <w:p>
            <w:pPr>
              <w:pStyle w:val="null3"/>
            </w:pPr>
            <w:r>
              <w:rPr/>
              <w:t>机柜功能</w:t>
            </w:r>
          </w:p>
        </w:tc>
        <w:tc>
          <w:tcPr>
            <w:tcW w:type="dxa" w:w="1038"/>
          </w:tcPr>
          <w:p>
            <w:pPr>
              <w:pStyle w:val="null3"/>
            </w:pPr>
            <w:r>
              <w:rPr/>
              <w:t>多集群作业管理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75</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 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76</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故障检测</w:t>
            </w:r>
          </w:p>
        </w:tc>
        <w:tc>
          <w:tcPr>
            <w:tcW w:type="dxa" w:w="1038"/>
          </w:tcPr>
          <w:p>
            <w:pPr>
              <w:pStyle w:val="null3"/>
            </w:pPr>
            <w:r>
              <w:rPr/>
              <w:t>*故障检测</w:t>
            </w:r>
          </w:p>
        </w:tc>
        <w:tc>
          <w:tcPr>
            <w:tcW w:type="dxa" w:w="1038"/>
          </w:tcPr>
          <w:p>
            <w:pPr>
              <w:pStyle w:val="null3"/>
            </w:pPr>
            <w:r>
              <w:rPr/>
              <w:t>支持故障检测功能，可以检测到具体的FRU（内存、硬盘等）的故障并发出告警</w:t>
            </w:r>
          </w:p>
        </w:tc>
        <w:tc>
          <w:tcPr>
            <w:tcW w:type="dxa" w:w="1038"/>
          </w:tcPr>
          <w:p>
            <w:pPr>
              <w:pStyle w:val="null3"/>
            </w:pPr>
            <w:r>
              <w:rPr/>
              <w:t>否</w:t>
            </w:r>
          </w:p>
        </w:tc>
        <w:tc>
          <w:tcPr>
            <w:tcW w:type="dxa" w:w="1038"/>
          </w:tcPr>
          <w:p/>
        </w:tc>
      </w:tr>
      <w:tr>
        <w:tc>
          <w:tcPr>
            <w:tcW w:type="dxa" w:w="1038"/>
          </w:tcPr>
          <w:p>
            <w:pPr>
              <w:pStyle w:val="null3"/>
            </w:pPr>
            <w:r>
              <w:rPr/>
              <w:t>77</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内存故障智能预测和自愈修复</w:t>
            </w:r>
          </w:p>
        </w:tc>
        <w:tc>
          <w:tcPr>
            <w:tcW w:type="dxa" w:w="1038"/>
          </w:tcPr>
          <w:p>
            <w:pPr>
              <w:pStyle w:val="null3"/>
            </w:pPr>
            <w:r>
              <w:rPr/>
              <w:t>支持内存故障智能预测和自愈修 复，提前自动硬隔离，避免内存故障引起的非预期宕机以及内存寿命的降低</w:t>
            </w:r>
          </w:p>
        </w:tc>
        <w:tc>
          <w:tcPr>
            <w:tcW w:type="dxa" w:w="1038"/>
          </w:tcPr>
          <w:p>
            <w:pPr>
              <w:pStyle w:val="null3"/>
            </w:pPr>
            <w:r>
              <w:rPr/>
              <w:t>否</w:t>
            </w:r>
          </w:p>
        </w:tc>
        <w:tc>
          <w:tcPr>
            <w:tcW w:type="dxa" w:w="1038"/>
          </w:tcPr>
          <w:p/>
        </w:tc>
      </w:tr>
      <w:tr>
        <w:tc>
          <w:tcPr>
            <w:tcW w:type="dxa" w:w="1038"/>
          </w:tcPr>
          <w:p>
            <w:pPr>
              <w:pStyle w:val="null3"/>
            </w:pPr>
            <w:r>
              <w:rPr/>
              <w:t>78</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硬盘故障智能预测</w:t>
            </w:r>
          </w:p>
        </w:tc>
        <w:tc>
          <w:tcPr>
            <w:tcW w:type="dxa" w:w="1038"/>
          </w:tcPr>
          <w:p>
            <w:pPr>
              <w:pStyle w:val="null3"/>
            </w:pPr>
            <w:r>
              <w:rPr/>
              <w:t>支持硬盘故障智能预测，基于故障模型预测出硬盘的故障</w:t>
            </w:r>
          </w:p>
        </w:tc>
        <w:tc>
          <w:tcPr>
            <w:tcW w:type="dxa" w:w="1038"/>
          </w:tcPr>
          <w:p>
            <w:pPr>
              <w:pStyle w:val="null3"/>
            </w:pPr>
            <w:r>
              <w:rPr/>
              <w:t>否</w:t>
            </w:r>
          </w:p>
        </w:tc>
        <w:tc>
          <w:tcPr>
            <w:tcW w:type="dxa" w:w="1038"/>
          </w:tcPr>
          <w:p/>
        </w:tc>
      </w:tr>
      <w:tr>
        <w:tc>
          <w:tcPr>
            <w:tcW w:type="dxa" w:w="1038"/>
          </w:tcPr>
          <w:p>
            <w:pPr>
              <w:pStyle w:val="null3"/>
            </w:pPr>
            <w:r>
              <w:rPr/>
              <w:t>79</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PCIe 链路故障智能诊断</w:t>
            </w:r>
          </w:p>
        </w:tc>
        <w:tc>
          <w:tcPr>
            <w:tcW w:type="dxa" w:w="1038"/>
          </w:tcPr>
          <w:p>
            <w:pPr>
              <w:pStyle w:val="null3"/>
            </w:pPr>
            <w:r>
              <w:rPr/>
              <w:t>支持PCIe 链路故障智能诊断，判断出现故障的PCIe 链路</w:t>
            </w:r>
          </w:p>
        </w:tc>
        <w:tc>
          <w:tcPr>
            <w:tcW w:type="dxa" w:w="1038"/>
          </w:tcPr>
          <w:p>
            <w:pPr>
              <w:pStyle w:val="null3"/>
            </w:pPr>
            <w:r>
              <w:rPr/>
              <w:t>否</w:t>
            </w:r>
          </w:p>
        </w:tc>
        <w:tc>
          <w:tcPr>
            <w:tcW w:type="dxa" w:w="1038"/>
          </w:tcPr>
          <w:p/>
        </w:tc>
      </w:tr>
      <w:tr>
        <w:tc>
          <w:tcPr>
            <w:tcW w:type="dxa" w:w="1038"/>
          </w:tcPr>
          <w:p>
            <w:pPr>
              <w:pStyle w:val="null3"/>
            </w:pPr>
            <w:r>
              <w:rPr/>
              <w:t>80</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内存故障隔离</w:t>
            </w:r>
          </w:p>
        </w:tc>
        <w:tc>
          <w:tcPr>
            <w:tcW w:type="dxa" w:w="1038"/>
          </w:tcPr>
          <w:p>
            <w:pPr>
              <w:pStyle w:val="null3"/>
            </w:pPr>
            <w:r>
              <w:rPr/>
              <w:t>支持内存故障隔离，在内存产生CE故障时，内存地址被隔离成功，服务器正常运行，业务系统不中断</w:t>
            </w:r>
          </w:p>
        </w:tc>
        <w:tc>
          <w:tcPr>
            <w:tcW w:type="dxa" w:w="1038"/>
          </w:tcPr>
          <w:p>
            <w:pPr>
              <w:pStyle w:val="null3"/>
            </w:pPr>
            <w:r>
              <w:rPr/>
              <w:t>否</w:t>
            </w:r>
          </w:p>
        </w:tc>
        <w:tc>
          <w:tcPr>
            <w:tcW w:type="dxa" w:w="1038"/>
          </w:tcPr>
          <w:p/>
        </w:tc>
      </w:tr>
      <w:tr>
        <w:tc>
          <w:tcPr>
            <w:tcW w:type="dxa" w:w="1038"/>
          </w:tcPr>
          <w:p>
            <w:pPr>
              <w:pStyle w:val="null3"/>
            </w:pPr>
            <w:r>
              <w:rPr/>
              <w:t>81</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内存、PCIe卡的故障精准告警功能</w:t>
            </w:r>
          </w:p>
        </w:tc>
        <w:tc>
          <w:tcPr>
            <w:tcW w:type="dxa" w:w="1038"/>
          </w:tcPr>
          <w:p>
            <w:pPr>
              <w:pStyle w:val="null3"/>
            </w:pPr>
            <w:r>
              <w:rPr/>
              <w:t>支持内存、PCIe 卡的故障精准告警功能，触发告警并明确指示具体的故障位置</w:t>
            </w:r>
          </w:p>
        </w:tc>
        <w:tc>
          <w:tcPr>
            <w:tcW w:type="dxa" w:w="1038"/>
          </w:tcPr>
          <w:p>
            <w:pPr>
              <w:pStyle w:val="null3"/>
            </w:pPr>
            <w:r>
              <w:rPr/>
              <w:t>否</w:t>
            </w:r>
          </w:p>
        </w:tc>
        <w:tc>
          <w:tcPr>
            <w:tcW w:type="dxa" w:w="1038"/>
          </w:tcPr>
          <w:p/>
        </w:tc>
      </w:tr>
      <w:tr>
        <w:tc>
          <w:tcPr>
            <w:tcW w:type="dxa" w:w="1038"/>
          </w:tcPr>
          <w:p>
            <w:pPr>
              <w:pStyle w:val="null3"/>
            </w:pPr>
            <w:r>
              <w:rPr/>
              <w:t>82</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异常下电关键数据保护</w:t>
            </w:r>
          </w:p>
        </w:tc>
        <w:tc>
          <w:tcPr>
            <w:tcW w:type="dxa" w:w="1038"/>
          </w:tcPr>
          <w:p>
            <w:pPr>
              <w:pStyle w:val="null3"/>
            </w:pPr>
            <w:r>
              <w:rPr/>
              <w:t>支持异常下电关键数据保护，支持数据备份恢复机制，防止系统异常掉电导致的数据文件丢失</w:t>
            </w:r>
          </w:p>
        </w:tc>
        <w:tc>
          <w:tcPr>
            <w:tcW w:type="dxa" w:w="1038"/>
          </w:tcPr>
          <w:p>
            <w:pPr>
              <w:pStyle w:val="null3"/>
            </w:pPr>
            <w:r>
              <w:rPr/>
              <w:t>否</w:t>
            </w:r>
          </w:p>
        </w:tc>
        <w:tc>
          <w:tcPr>
            <w:tcW w:type="dxa" w:w="1038"/>
          </w:tcPr>
          <w:p/>
        </w:tc>
      </w:tr>
      <w:tr>
        <w:tc>
          <w:tcPr>
            <w:tcW w:type="dxa" w:w="1038"/>
          </w:tcPr>
          <w:p>
            <w:pPr>
              <w:pStyle w:val="null3"/>
            </w:pPr>
            <w:r>
              <w:rPr/>
              <w:t>83</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BMC/BIOS固件双镜像保护</w:t>
            </w:r>
          </w:p>
        </w:tc>
        <w:tc>
          <w:tcPr>
            <w:tcW w:type="dxa" w:w="1038"/>
          </w:tcPr>
          <w:p>
            <w:pPr>
              <w:pStyle w:val="null3"/>
            </w:pPr>
            <w:r>
              <w:rPr/>
              <w:t>支持BMC/BIOS 固件双镜像保护，运行异常时自动切换到备份镜像运行，提升系统稳定性</w:t>
            </w:r>
          </w:p>
        </w:tc>
        <w:tc>
          <w:tcPr>
            <w:tcW w:type="dxa" w:w="1038"/>
          </w:tcPr>
          <w:p>
            <w:pPr>
              <w:pStyle w:val="null3"/>
            </w:pPr>
            <w:r>
              <w:rPr/>
              <w:t>否</w:t>
            </w:r>
          </w:p>
        </w:tc>
        <w:tc>
          <w:tcPr>
            <w:tcW w:type="dxa" w:w="1038"/>
          </w:tcPr>
          <w:p/>
        </w:tc>
      </w:tr>
      <w:tr>
        <w:tc>
          <w:tcPr>
            <w:tcW w:type="dxa" w:w="1038"/>
          </w:tcPr>
          <w:p>
            <w:pPr>
              <w:pStyle w:val="null3"/>
            </w:pPr>
            <w:r>
              <w:rPr/>
              <w:t>84</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CPU 核重启隔离</w:t>
            </w:r>
          </w:p>
        </w:tc>
        <w:tc>
          <w:tcPr>
            <w:tcW w:type="dxa" w:w="1038"/>
          </w:tcPr>
          <w:p>
            <w:pPr>
              <w:pStyle w:val="null3"/>
            </w:pPr>
            <w:r>
              <w:rPr/>
              <w:t>支持CPU 核发生不可纠正故障后，重启后由BIOS 隔离该故障核，OS不可见，防止 OS 再次使用导致系统异常，核 0 除外</w:t>
            </w:r>
          </w:p>
        </w:tc>
        <w:tc>
          <w:tcPr>
            <w:tcW w:type="dxa" w:w="1038"/>
          </w:tcPr>
          <w:p>
            <w:pPr>
              <w:pStyle w:val="null3"/>
            </w:pPr>
            <w:r>
              <w:rPr/>
              <w:t>否</w:t>
            </w:r>
          </w:p>
        </w:tc>
        <w:tc>
          <w:tcPr>
            <w:tcW w:type="dxa" w:w="1038"/>
          </w:tcPr>
          <w:p/>
        </w:tc>
      </w:tr>
      <w:tr>
        <w:tc>
          <w:tcPr>
            <w:tcW w:type="dxa" w:w="1038"/>
          </w:tcPr>
          <w:p>
            <w:pPr>
              <w:pStyle w:val="null3"/>
            </w:pPr>
            <w:r>
              <w:rPr/>
              <w:t>85</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内存地址隔离</w:t>
            </w:r>
          </w:p>
        </w:tc>
        <w:tc>
          <w:tcPr>
            <w:tcW w:type="dxa" w:w="1038"/>
          </w:tcPr>
          <w:p>
            <w:pPr>
              <w:pStyle w:val="null3"/>
            </w:pPr>
            <w:r>
              <w:rPr/>
              <w:t>在硬件支持的情况下，支持故障内存地址重启后隔离</w:t>
            </w:r>
          </w:p>
        </w:tc>
        <w:tc>
          <w:tcPr>
            <w:tcW w:type="dxa" w:w="1038"/>
          </w:tcPr>
          <w:p>
            <w:pPr>
              <w:pStyle w:val="null3"/>
            </w:pPr>
            <w:r>
              <w:rPr/>
              <w:t>否</w:t>
            </w:r>
          </w:p>
        </w:tc>
        <w:tc>
          <w:tcPr>
            <w:tcW w:type="dxa" w:w="1038"/>
          </w:tcPr>
          <w:p/>
        </w:tc>
      </w:tr>
      <w:tr>
        <w:tc>
          <w:tcPr>
            <w:tcW w:type="dxa" w:w="1038"/>
          </w:tcPr>
          <w:p>
            <w:pPr>
              <w:pStyle w:val="null3"/>
            </w:pPr>
            <w:r>
              <w:rPr/>
              <w:t>86</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内存存储阵列替换</w:t>
            </w:r>
          </w:p>
        </w:tc>
        <w:tc>
          <w:tcPr>
            <w:tcW w:type="dxa" w:w="1038"/>
          </w:tcPr>
          <w:p>
            <w:pPr>
              <w:pStyle w:val="null3"/>
            </w:pPr>
            <w:r>
              <w:rPr/>
              <w:t>在硬件支持的情况下，支持故障内存存储阵列替换</w:t>
            </w:r>
          </w:p>
        </w:tc>
        <w:tc>
          <w:tcPr>
            <w:tcW w:type="dxa" w:w="1038"/>
          </w:tcPr>
          <w:p>
            <w:pPr>
              <w:pStyle w:val="null3"/>
            </w:pPr>
            <w:r>
              <w:rPr/>
              <w:t>否</w:t>
            </w:r>
          </w:p>
        </w:tc>
        <w:tc>
          <w:tcPr>
            <w:tcW w:type="dxa" w:w="1038"/>
          </w:tcPr>
          <w:p/>
        </w:tc>
      </w:tr>
      <w:tr>
        <w:tc>
          <w:tcPr>
            <w:tcW w:type="dxa" w:w="1038"/>
          </w:tcPr>
          <w:p>
            <w:pPr>
              <w:pStyle w:val="null3"/>
            </w:pPr>
            <w:r>
              <w:rPr/>
              <w:t>87</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安全启动</w:t>
            </w:r>
          </w:p>
        </w:tc>
        <w:tc>
          <w:tcPr>
            <w:tcW w:type="dxa" w:w="1038"/>
          </w:tcPr>
          <w:p>
            <w:pPr>
              <w:pStyle w:val="null3"/>
            </w:pPr>
            <w:r>
              <w:rPr/>
              <w:t>支持执行环境要求在整个系统启动的过程中，系统应提供一个机制来保护平台的完整性</w:t>
            </w:r>
          </w:p>
        </w:tc>
        <w:tc>
          <w:tcPr>
            <w:tcW w:type="dxa" w:w="1038"/>
          </w:tcPr>
          <w:p>
            <w:pPr>
              <w:pStyle w:val="null3"/>
            </w:pPr>
            <w:r>
              <w:rPr/>
              <w:t>否</w:t>
            </w:r>
          </w:p>
        </w:tc>
        <w:tc>
          <w:tcPr>
            <w:tcW w:type="dxa" w:w="1038"/>
          </w:tcPr>
          <w:p/>
        </w:tc>
      </w:tr>
      <w:tr>
        <w:tc>
          <w:tcPr>
            <w:tcW w:type="dxa" w:w="1038"/>
          </w:tcPr>
          <w:p>
            <w:pPr>
              <w:pStyle w:val="null3"/>
            </w:pPr>
            <w:r>
              <w:rPr/>
              <w:t>88</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syslog 双向鉴别</w:t>
            </w:r>
          </w:p>
        </w:tc>
        <w:tc>
          <w:tcPr>
            <w:tcW w:type="dxa" w:w="1038"/>
          </w:tcPr>
          <w:p>
            <w:pPr>
              <w:pStyle w:val="null3"/>
            </w:pPr>
            <w:r>
              <w:rPr/>
              <w:t>支持系统日志双向鉴别，对服务器根证书和客户端根证书进行鉴别</w:t>
            </w:r>
          </w:p>
        </w:tc>
        <w:tc>
          <w:tcPr>
            <w:tcW w:type="dxa" w:w="1038"/>
          </w:tcPr>
          <w:p>
            <w:pPr>
              <w:pStyle w:val="null3"/>
            </w:pPr>
            <w:r>
              <w:rPr/>
              <w:t>否</w:t>
            </w:r>
          </w:p>
        </w:tc>
        <w:tc>
          <w:tcPr>
            <w:tcW w:type="dxa" w:w="1038"/>
          </w:tcPr>
          <w:p/>
        </w:tc>
      </w:tr>
      <w:tr>
        <w:tc>
          <w:tcPr>
            <w:tcW w:type="dxa" w:w="1038"/>
          </w:tcPr>
          <w:p>
            <w:pPr>
              <w:pStyle w:val="null3"/>
            </w:pPr>
            <w:r>
              <w:rPr/>
              <w:t>89</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*弱口令字典检查</w:t>
            </w:r>
          </w:p>
        </w:tc>
        <w:tc>
          <w:tcPr>
            <w:tcW w:type="dxa" w:w="1038"/>
          </w:tcPr>
          <w:p>
            <w:pPr>
              <w:pStyle w:val="null3"/>
            </w:pPr>
            <w:r>
              <w:rPr/>
              <w:t>支持弱口令字典检查功能，出现在弱口令字典中的字符串不能被设置为用户口令</w:t>
            </w:r>
          </w:p>
        </w:tc>
        <w:tc>
          <w:tcPr>
            <w:tcW w:type="dxa" w:w="1038"/>
          </w:tcPr>
          <w:p>
            <w:pPr>
              <w:pStyle w:val="null3"/>
            </w:pPr>
            <w:r>
              <w:rPr/>
              <w:t>否</w:t>
            </w:r>
          </w:p>
        </w:tc>
        <w:tc>
          <w:tcPr>
            <w:tcW w:type="dxa" w:w="1038"/>
          </w:tcPr>
          <w:p/>
        </w:tc>
      </w:tr>
      <w:tr>
        <w:tc>
          <w:tcPr>
            <w:tcW w:type="dxa" w:w="1038"/>
          </w:tcPr>
          <w:p>
            <w:pPr>
              <w:pStyle w:val="null3"/>
            </w:pPr>
            <w:r>
              <w:rPr/>
              <w:t>90</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*白名单访问控制</w:t>
            </w:r>
          </w:p>
        </w:tc>
        <w:tc>
          <w:tcPr>
            <w:tcW w:type="dxa" w:w="1038"/>
          </w:tcPr>
          <w:p>
            <w:pPr>
              <w:pStyle w:val="null3"/>
            </w:pPr>
            <w:r>
              <w:rPr/>
              <w:t>支持基于时间、IP 或 MAC 白名单访问控制</w:t>
            </w:r>
          </w:p>
        </w:tc>
        <w:tc>
          <w:tcPr>
            <w:tcW w:type="dxa" w:w="1038"/>
          </w:tcPr>
          <w:p>
            <w:pPr>
              <w:pStyle w:val="null3"/>
            </w:pPr>
            <w:r>
              <w:rPr/>
              <w:t>否</w:t>
            </w:r>
          </w:p>
        </w:tc>
        <w:tc>
          <w:tcPr>
            <w:tcW w:type="dxa" w:w="1038"/>
          </w:tcPr>
          <w:p/>
        </w:tc>
      </w:tr>
      <w:tr>
        <w:tc>
          <w:tcPr>
            <w:tcW w:type="dxa" w:w="1038"/>
          </w:tcPr>
          <w:p>
            <w:pPr>
              <w:pStyle w:val="null3"/>
            </w:pPr>
            <w:r>
              <w:rPr/>
              <w:t>91</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双因素鉴别</w:t>
            </w:r>
          </w:p>
        </w:tc>
        <w:tc>
          <w:tcPr>
            <w:tcW w:type="dxa" w:w="1038"/>
          </w:tcPr>
          <w:p>
            <w:pPr>
              <w:pStyle w:val="null3"/>
            </w:pPr>
            <w:r>
              <w:rPr/>
              <w:t>支持使用客户端证书和证书密码的双因素鉴别方式登录管理系统</w:t>
            </w:r>
          </w:p>
        </w:tc>
        <w:tc>
          <w:tcPr>
            <w:tcW w:type="dxa" w:w="1038"/>
          </w:tcPr>
          <w:p>
            <w:pPr>
              <w:pStyle w:val="null3"/>
            </w:pPr>
            <w:r>
              <w:rPr/>
              <w:t>否</w:t>
            </w:r>
          </w:p>
        </w:tc>
        <w:tc>
          <w:tcPr>
            <w:tcW w:type="dxa" w:w="1038"/>
          </w:tcPr>
          <w:p/>
        </w:tc>
      </w:tr>
      <w:tr>
        <w:tc>
          <w:tcPr>
            <w:tcW w:type="dxa" w:w="1038"/>
          </w:tcPr>
          <w:p>
            <w:pPr>
              <w:pStyle w:val="null3"/>
            </w:pPr>
            <w:r>
              <w:rPr/>
              <w:t>92</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*二次鉴别</w:t>
            </w:r>
          </w:p>
        </w:tc>
        <w:tc>
          <w:tcPr>
            <w:tcW w:type="dxa" w:w="1038"/>
          </w:tcPr>
          <w:p>
            <w:pPr>
              <w:pStyle w:val="null3"/>
            </w:pPr>
            <w:r>
              <w:rPr/>
              <w:t>支持二次鉴别功能。对于用户配置、权限配置、公钥导入等重要的管理操作，已登录用户应通过二次鉴别后，才能执行操作</w:t>
            </w:r>
          </w:p>
        </w:tc>
        <w:tc>
          <w:tcPr>
            <w:tcW w:type="dxa" w:w="1038"/>
          </w:tcPr>
          <w:p>
            <w:pPr>
              <w:pStyle w:val="null3"/>
            </w:pPr>
            <w:r>
              <w:rPr/>
              <w:t>否</w:t>
            </w:r>
          </w:p>
        </w:tc>
        <w:tc>
          <w:tcPr>
            <w:tcW w:type="dxa" w:w="1038"/>
          </w:tcPr>
          <w:p/>
        </w:tc>
      </w:tr>
      <w:tr>
        <w:tc>
          <w:tcPr>
            <w:tcW w:type="dxa" w:w="1038"/>
          </w:tcPr>
          <w:p>
            <w:pPr>
              <w:pStyle w:val="null3"/>
            </w:pPr>
            <w:r>
              <w:rPr/>
              <w:t>93</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匿名化用户告警接收邮箱</w:t>
            </w:r>
          </w:p>
        </w:tc>
        <w:tc>
          <w:tcPr>
            <w:tcW w:type="dxa" w:w="1038"/>
          </w:tcPr>
          <w:p>
            <w:pPr>
              <w:pStyle w:val="null3"/>
            </w:pPr>
            <w:r>
              <w:rPr/>
              <w:t>支持带外管理系统中的用户告警接收邮箱进行匿名化处理</w:t>
            </w:r>
          </w:p>
        </w:tc>
        <w:tc>
          <w:tcPr>
            <w:tcW w:type="dxa" w:w="1038"/>
          </w:tcPr>
          <w:p>
            <w:pPr>
              <w:pStyle w:val="null3"/>
            </w:pPr>
            <w:r>
              <w:rPr/>
              <w:t>否</w:t>
            </w:r>
          </w:p>
        </w:tc>
        <w:tc>
          <w:tcPr>
            <w:tcW w:type="dxa" w:w="1038"/>
          </w:tcPr>
          <w:p/>
        </w:tc>
      </w:tr>
      <w:tr>
        <w:tc>
          <w:tcPr>
            <w:tcW w:type="dxa" w:w="1038"/>
          </w:tcPr>
          <w:p>
            <w:pPr>
              <w:pStyle w:val="null3"/>
            </w:pPr>
            <w:r>
              <w:rPr/>
              <w:t>94</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*密码证书安全加密存储</w:t>
            </w:r>
          </w:p>
        </w:tc>
        <w:tc>
          <w:tcPr>
            <w:tcW w:type="dxa" w:w="1038"/>
          </w:tcPr>
          <w:p>
            <w:pPr>
              <w:pStyle w:val="null3"/>
            </w:pPr>
            <w:r>
              <w:rPr/>
              <w:t>支持对带外管理系统中的用户口令和证书等敏感信息进行加密存储，禁止使用私有的和业界已知不安全的密码算法</w:t>
            </w:r>
          </w:p>
        </w:tc>
        <w:tc>
          <w:tcPr>
            <w:tcW w:type="dxa" w:w="1038"/>
          </w:tcPr>
          <w:p>
            <w:pPr>
              <w:pStyle w:val="null3"/>
            </w:pPr>
            <w:r>
              <w:rPr/>
              <w:t>否</w:t>
            </w:r>
          </w:p>
        </w:tc>
        <w:tc>
          <w:tcPr>
            <w:tcW w:type="dxa" w:w="1038"/>
          </w:tcPr>
          <w:p/>
        </w:tc>
      </w:tr>
      <w:tr>
        <w:tc>
          <w:tcPr>
            <w:tcW w:type="dxa" w:w="1038"/>
          </w:tcPr>
          <w:p>
            <w:pPr>
              <w:pStyle w:val="null3"/>
            </w:pPr>
            <w:r>
              <w:rPr/>
              <w:t>95</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*敏感信息安全加密传输</w:t>
            </w:r>
          </w:p>
        </w:tc>
        <w:tc>
          <w:tcPr>
            <w:tcW w:type="dxa" w:w="1038"/>
          </w:tcPr>
          <w:p>
            <w:pPr>
              <w:pStyle w:val="null3"/>
            </w:pPr>
            <w:r>
              <w:rPr/>
              <w:t>支持使用安全的传输加密协议（如 SSH 或 HTTPS 等）传输用户的敏感信息</w:t>
            </w:r>
          </w:p>
        </w:tc>
        <w:tc>
          <w:tcPr>
            <w:tcW w:type="dxa" w:w="1038"/>
          </w:tcPr>
          <w:p>
            <w:pPr>
              <w:pStyle w:val="null3"/>
            </w:pPr>
            <w:r>
              <w:rPr/>
              <w:t>否</w:t>
            </w:r>
          </w:p>
        </w:tc>
        <w:tc>
          <w:tcPr>
            <w:tcW w:type="dxa" w:w="1038"/>
          </w:tcPr>
          <w:p/>
        </w:tc>
      </w:tr>
      <w:tr>
        <w:tc>
          <w:tcPr>
            <w:tcW w:type="dxa" w:w="1038"/>
          </w:tcPr>
          <w:p>
            <w:pPr>
              <w:pStyle w:val="null3"/>
            </w:pPr>
            <w:r>
              <w:rPr/>
              <w:t>96</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*研发过程安全</w:t>
            </w:r>
          </w:p>
        </w:tc>
        <w:tc>
          <w:tcPr>
            <w:tcW w:type="dxa" w:w="1038"/>
          </w:tcPr>
          <w:p>
            <w:pPr>
              <w:pStyle w:val="null3"/>
            </w:pPr>
            <w:r>
              <w:rPr/>
              <w:t>供应商承诺，生产商已建立从需求、设计、开发、测试、维护端到端的开发流程管理机制，输出和保存开发流程中每个阶段的产品需求清单、设计文档、开发文档、测试记录等材料，保证各个流程可追溯</w:t>
            </w:r>
          </w:p>
        </w:tc>
        <w:tc>
          <w:tcPr>
            <w:tcW w:type="dxa" w:w="1038"/>
          </w:tcPr>
          <w:p>
            <w:pPr>
              <w:pStyle w:val="null3"/>
            </w:pPr>
            <w:r>
              <w:rPr/>
              <w:t>是</w:t>
            </w:r>
          </w:p>
        </w:tc>
        <w:tc>
          <w:tcPr>
            <w:tcW w:type="dxa" w:w="1038"/>
          </w:tcPr>
          <w:p>
            <w:pPr>
              <w:pStyle w:val="null3"/>
            </w:pPr>
            <w:r>
              <w:rPr/>
              <w:t>提供承诺书。承诺书需包含此项要求全部内容</w:t>
            </w:r>
          </w:p>
        </w:tc>
      </w:tr>
      <w:tr>
        <w:tc>
          <w:tcPr>
            <w:tcW w:type="dxa" w:w="1038"/>
          </w:tcPr>
          <w:p>
            <w:pPr>
              <w:pStyle w:val="null3"/>
            </w:pPr>
            <w:r>
              <w:rPr/>
              <w:t>97</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漏洞管理</w:t>
            </w:r>
          </w:p>
        </w:tc>
        <w:tc>
          <w:tcPr>
            <w:tcW w:type="dxa" w:w="1038"/>
          </w:tcPr>
          <w:p>
            <w:pPr>
              <w:pStyle w:val="null3"/>
            </w:pPr>
            <w:r>
              <w:rPr/>
              <w:t>供应商承诺，生产商已建立漏洞全量视图，保证产品版本涉及到的所有漏洞(如驱动程序、BMC 软件等)都可以查看</w:t>
            </w:r>
          </w:p>
        </w:tc>
        <w:tc>
          <w:tcPr>
            <w:tcW w:type="dxa" w:w="1038"/>
          </w:tcPr>
          <w:p>
            <w:pPr>
              <w:pStyle w:val="null3"/>
            </w:pPr>
            <w:r>
              <w:rPr/>
              <w:t>是</w:t>
            </w:r>
          </w:p>
        </w:tc>
        <w:tc>
          <w:tcPr>
            <w:tcW w:type="dxa" w:w="1038"/>
          </w:tcPr>
          <w:p>
            <w:pPr>
              <w:pStyle w:val="null3"/>
            </w:pPr>
            <w:r>
              <w:rPr/>
              <w:t>提供承诺书。承诺书需包含此项要求全部内容</w:t>
            </w:r>
          </w:p>
        </w:tc>
      </w:tr>
      <w:tr>
        <w:tc>
          <w:tcPr>
            <w:tcW w:type="dxa" w:w="1038"/>
          </w:tcPr>
          <w:p>
            <w:pPr>
              <w:pStyle w:val="null3"/>
            </w:pPr>
            <w:r>
              <w:rPr/>
              <w:t>98</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w:t>
            </w:r>
          </w:p>
        </w:tc>
        <w:tc>
          <w:tcPr>
            <w:tcW w:type="dxa" w:w="1038"/>
          </w:tcPr>
          <w:p>
            <w:pPr>
              <w:pStyle w:val="null3"/>
            </w:pPr>
            <w:r>
              <w:rPr/>
              <w:t>网络关键设备服务器要求</w:t>
            </w:r>
          </w:p>
        </w:tc>
        <w:tc>
          <w:tcPr>
            <w:tcW w:type="dxa" w:w="1038"/>
          </w:tcPr>
          <w:p>
            <w:pPr>
              <w:pStyle w:val="null3"/>
            </w:pPr>
            <w:r>
              <w:rPr/>
              <w:t>作为网络关键设备的服务器应符合 GB 40050 的相关规定</w:t>
            </w:r>
          </w:p>
        </w:tc>
        <w:tc>
          <w:tcPr>
            <w:tcW w:type="dxa" w:w="1038"/>
          </w:tcPr>
          <w:p>
            <w:pPr>
              <w:pStyle w:val="null3"/>
            </w:pPr>
            <w:r>
              <w:rPr/>
              <w:t>否</w:t>
            </w:r>
          </w:p>
        </w:tc>
        <w:tc>
          <w:tcPr>
            <w:tcW w:type="dxa" w:w="1038"/>
          </w:tcPr>
          <w:p/>
        </w:tc>
      </w:tr>
      <w:tr>
        <w:tc>
          <w:tcPr>
            <w:tcW w:type="dxa" w:w="1038"/>
          </w:tcPr>
          <w:p>
            <w:pPr>
              <w:pStyle w:val="null3"/>
            </w:pPr>
            <w:r>
              <w:rPr/>
              <w:t>99</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增强要求</w:t>
            </w:r>
          </w:p>
        </w:tc>
        <w:tc>
          <w:tcPr>
            <w:tcW w:type="dxa" w:w="1038"/>
          </w:tcPr>
          <w:p>
            <w:pPr>
              <w:pStyle w:val="null3"/>
            </w:pPr>
            <w:r>
              <w:rPr/>
              <w:t>a) 嵌入物理可信根，实现设备的信任链构建； b) 支持可信平台控制模块(TPCM)； c) 支持在固件系统（BMC、BIOS）启动前实现对固件度量的功能，支持物理可信根对BMC 固件或BIOS 固件进行完整性检测、更新和恢复； d) 支持对 CPU、网络控制器等关键处理器进行身份识别与度量的功能； e) 支持基于处理器或可信计算模块度量的功能； f) 所采用的可信密码模块接口应符合GM/T 0012 的相关规定； 可信安全管理模块、处理器等硬件载体应通过国家相关部门的认证和许可</w:t>
            </w:r>
          </w:p>
        </w:tc>
        <w:tc>
          <w:tcPr>
            <w:tcW w:type="dxa" w:w="1038"/>
          </w:tcPr>
          <w:p>
            <w:pPr>
              <w:pStyle w:val="null3"/>
            </w:pPr>
            <w:r>
              <w:rPr/>
              <w:t>否</w:t>
            </w:r>
          </w:p>
        </w:tc>
        <w:tc>
          <w:tcPr>
            <w:tcW w:type="dxa" w:w="1038"/>
          </w:tcPr>
          <w:p/>
        </w:tc>
      </w:tr>
      <w:tr>
        <w:tc>
          <w:tcPr>
            <w:tcW w:type="dxa" w:w="1038"/>
          </w:tcPr>
          <w:p>
            <w:pPr>
              <w:pStyle w:val="null3"/>
            </w:pPr>
            <w:r>
              <w:rPr/>
              <w:t>100</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*物理安全</w:t>
            </w:r>
          </w:p>
        </w:tc>
        <w:tc>
          <w:tcPr>
            <w:tcW w:type="dxa" w:w="1038"/>
          </w:tcPr>
          <w:p>
            <w:pPr>
              <w:pStyle w:val="null3"/>
            </w:pPr>
            <w:r>
              <w:rPr/>
              <w:t>*物理安全</w:t>
            </w:r>
          </w:p>
        </w:tc>
        <w:tc>
          <w:tcPr>
            <w:tcW w:type="dxa" w:w="1038"/>
          </w:tcPr>
          <w:p>
            <w:pPr>
              <w:pStyle w:val="null3"/>
            </w:pPr>
            <w:r>
              <w:rPr/>
              <w:t>安全要求应符合GB 4943.1 的规定</w:t>
            </w:r>
          </w:p>
        </w:tc>
        <w:tc>
          <w:tcPr>
            <w:tcW w:type="dxa" w:w="1038"/>
          </w:tcPr>
          <w:p>
            <w:pPr>
              <w:pStyle w:val="null3"/>
            </w:pPr>
            <w:r>
              <w:rPr/>
              <w:t>否</w:t>
            </w:r>
          </w:p>
        </w:tc>
        <w:tc>
          <w:tcPr>
            <w:tcW w:type="dxa" w:w="1038"/>
          </w:tcPr>
          <w:p/>
        </w:tc>
      </w:tr>
      <w:tr>
        <w:tc>
          <w:tcPr>
            <w:tcW w:type="dxa" w:w="1038"/>
          </w:tcPr>
          <w:p>
            <w:pPr>
              <w:pStyle w:val="null3"/>
            </w:pPr>
            <w:r>
              <w:rPr/>
              <w:t>101</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*限用物质的限量要求</w:t>
            </w:r>
          </w:p>
        </w:tc>
        <w:tc>
          <w:tcPr>
            <w:tcW w:type="dxa" w:w="1038"/>
          </w:tcPr>
          <w:p>
            <w:pPr>
              <w:pStyle w:val="null3"/>
            </w:pPr>
            <w:r>
              <w:rPr/>
              <w:t>*限用物质的限量要求</w:t>
            </w:r>
          </w:p>
        </w:tc>
        <w:tc>
          <w:tcPr>
            <w:tcW w:type="dxa" w:w="1038"/>
          </w:tcPr>
          <w:p>
            <w:pPr>
              <w:pStyle w:val="null3"/>
            </w:pPr>
            <w:r>
              <w:rPr/>
              <w:t>限用物质的限量应符合GB/T 26572的要求</w:t>
            </w:r>
          </w:p>
        </w:tc>
        <w:tc>
          <w:tcPr>
            <w:tcW w:type="dxa" w:w="1038"/>
          </w:tcPr>
          <w:p>
            <w:pPr>
              <w:pStyle w:val="null3"/>
            </w:pPr>
            <w:r>
              <w:rPr/>
              <w:t>否</w:t>
            </w:r>
          </w:p>
        </w:tc>
        <w:tc>
          <w:tcPr>
            <w:tcW w:type="dxa" w:w="1038"/>
          </w:tcPr>
          <w:p/>
        </w:tc>
      </w:tr>
      <w:tr>
        <w:tc>
          <w:tcPr>
            <w:tcW w:type="dxa" w:w="1038"/>
          </w:tcPr>
          <w:p>
            <w:pPr>
              <w:pStyle w:val="null3"/>
            </w:pPr>
            <w:r>
              <w:rPr/>
              <w:t>102</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≥1.8GHz</w:t>
            </w:r>
          </w:p>
        </w:tc>
        <w:tc>
          <w:tcPr>
            <w:tcW w:type="dxa" w:w="1038"/>
          </w:tcPr>
          <w:p>
            <w:pPr>
              <w:pStyle w:val="null3"/>
            </w:pPr>
            <w:r>
              <w:rPr/>
              <w:t>否</w:t>
            </w:r>
          </w:p>
        </w:tc>
        <w:tc>
          <w:tcPr>
            <w:tcW w:type="dxa" w:w="1038"/>
          </w:tcPr>
          <w:p/>
        </w:tc>
      </w:tr>
      <w:tr>
        <w:tc>
          <w:tcPr>
            <w:tcW w:type="dxa" w:w="1038"/>
          </w:tcPr>
          <w:p>
            <w:pPr>
              <w:pStyle w:val="null3"/>
            </w:pPr>
            <w:r>
              <w:rPr/>
              <w:t>103</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核数</w:t>
            </w:r>
          </w:p>
        </w:tc>
        <w:tc>
          <w:tcPr>
            <w:tcW w:type="dxa" w:w="1038"/>
          </w:tcPr>
          <w:p>
            <w:pPr>
              <w:pStyle w:val="null3"/>
            </w:pPr>
            <w:r>
              <w:rPr/>
              <w:t>≥4</w:t>
            </w:r>
          </w:p>
        </w:tc>
        <w:tc>
          <w:tcPr>
            <w:tcW w:type="dxa" w:w="1038"/>
          </w:tcPr>
          <w:p>
            <w:pPr>
              <w:pStyle w:val="null3"/>
            </w:pPr>
            <w:r>
              <w:rPr/>
              <w:t>否</w:t>
            </w:r>
          </w:p>
        </w:tc>
        <w:tc>
          <w:tcPr>
            <w:tcW w:type="dxa" w:w="1038"/>
          </w:tcPr>
          <w:p/>
        </w:tc>
      </w:tr>
      <w:tr>
        <w:tc>
          <w:tcPr>
            <w:tcW w:type="dxa" w:w="1038"/>
          </w:tcPr>
          <w:p>
            <w:pPr>
              <w:pStyle w:val="null3"/>
            </w:pPr>
            <w:r>
              <w:rPr/>
              <w:t>104</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末级缓存容量</w:t>
            </w:r>
          </w:p>
        </w:tc>
        <w:tc>
          <w:tcPr>
            <w:tcW w:type="dxa" w:w="1038"/>
          </w:tcPr>
          <w:p>
            <w:pPr>
              <w:pStyle w:val="null3"/>
            </w:pPr>
            <w:r>
              <w:rPr/>
              <w:t>≥8MB</w:t>
            </w:r>
          </w:p>
        </w:tc>
        <w:tc>
          <w:tcPr>
            <w:tcW w:type="dxa" w:w="1038"/>
          </w:tcPr>
          <w:p>
            <w:pPr>
              <w:pStyle w:val="null3"/>
            </w:pPr>
            <w:r>
              <w:rPr/>
              <w:t>否</w:t>
            </w:r>
          </w:p>
        </w:tc>
        <w:tc>
          <w:tcPr>
            <w:tcW w:type="dxa" w:w="1038"/>
          </w:tcPr>
          <w:p/>
        </w:tc>
      </w:tr>
      <w:tr>
        <w:tc>
          <w:tcPr>
            <w:tcW w:type="dxa" w:w="1038"/>
          </w:tcPr>
          <w:p>
            <w:pPr>
              <w:pStyle w:val="null3"/>
            </w:pPr>
            <w:r>
              <w:rPr/>
              <w:t>105</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单内存模块容量</w:t>
            </w:r>
          </w:p>
        </w:tc>
        <w:tc>
          <w:tcPr>
            <w:tcW w:type="dxa" w:w="1038"/>
          </w:tcPr>
          <w:p>
            <w:pPr>
              <w:pStyle w:val="null3"/>
            </w:pPr>
            <w:r>
              <w:rPr/>
              <w:t>≥16GB</w:t>
            </w:r>
          </w:p>
        </w:tc>
        <w:tc>
          <w:tcPr>
            <w:tcW w:type="dxa" w:w="1038"/>
          </w:tcPr>
          <w:p>
            <w:pPr>
              <w:pStyle w:val="null3"/>
            </w:pPr>
            <w:r>
              <w:rPr/>
              <w:t>否</w:t>
            </w:r>
          </w:p>
        </w:tc>
        <w:tc>
          <w:tcPr>
            <w:tcW w:type="dxa" w:w="1038"/>
          </w:tcPr>
          <w:p/>
        </w:tc>
      </w:tr>
      <w:tr>
        <w:tc>
          <w:tcPr>
            <w:tcW w:type="dxa" w:w="1038"/>
          </w:tcPr>
          <w:p>
            <w:pPr>
              <w:pStyle w:val="null3"/>
            </w:pPr>
            <w:r>
              <w:rPr/>
              <w:t>106</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*内存速率</w:t>
            </w:r>
          </w:p>
        </w:tc>
        <w:tc>
          <w:tcPr>
            <w:tcW w:type="dxa" w:w="1038"/>
          </w:tcPr>
          <w:p>
            <w:pPr>
              <w:pStyle w:val="null3"/>
            </w:pPr>
            <w:r>
              <w:rPr/>
              <w:t>≥2666MT/s</w:t>
            </w:r>
          </w:p>
        </w:tc>
        <w:tc>
          <w:tcPr>
            <w:tcW w:type="dxa" w:w="1038"/>
          </w:tcPr>
          <w:p>
            <w:pPr>
              <w:pStyle w:val="null3"/>
            </w:pPr>
            <w:r>
              <w:rPr/>
              <w:t>否</w:t>
            </w:r>
          </w:p>
        </w:tc>
        <w:tc>
          <w:tcPr>
            <w:tcW w:type="dxa" w:w="1038"/>
          </w:tcPr>
          <w:p/>
        </w:tc>
      </w:tr>
      <w:tr>
        <w:tc>
          <w:tcPr>
            <w:tcW w:type="dxa" w:w="1038"/>
          </w:tcPr>
          <w:p>
            <w:pPr>
              <w:pStyle w:val="null3"/>
            </w:pPr>
            <w:r>
              <w:rPr/>
              <w:t>107</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存储性能</w:t>
            </w:r>
          </w:p>
        </w:tc>
        <w:tc>
          <w:tcPr>
            <w:tcW w:type="dxa" w:w="1038"/>
          </w:tcPr>
          <w:p>
            <w:pPr>
              <w:pStyle w:val="null3"/>
            </w:pPr>
            <w:r>
              <w:rPr/>
              <w:t>硬盘转速</w:t>
            </w:r>
          </w:p>
        </w:tc>
        <w:tc>
          <w:tcPr>
            <w:tcW w:type="dxa" w:w="1038"/>
          </w:tcPr>
          <w:p>
            <w:pPr>
              <w:pStyle w:val="null3"/>
            </w:pPr>
            <w:r>
              <w:rPr/>
              <w:t>安装的硬磁盘转速不小于 7200rpm</w:t>
            </w:r>
          </w:p>
        </w:tc>
        <w:tc>
          <w:tcPr>
            <w:tcW w:type="dxa" w:w="1038"/>
          </w:tcPr>
          <w:p>
            <w:pPr>
              <w:pStyle w:val="null3"/>
            </w:pPr>
            <w:r>
              <w:rPr/>
              <w:t>否</w:t>
            </w:r>
          </w:p>
        </w:tc>
        <w:tc>
          <w:tcPr>
            <w:tcW w:type="dxa" w:w="1038"/>
          </w:tcPr>
          <w:p/>
        </w:tc>
      </w:tr>
      <w:tr>
        <w:tc>
          <w:tcPr>
            <w:tcW w:type="dxa" w:w="1038"/>
          </w:tcPr>
          <w:p>
            <w:pPr>
              <w:pStyle w:val="null3"/>
            </w:pPr>
            <w:r>
              <w:rPr/>
              <w:t>108</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RAID卡性能</w:t>
            </w:r>
          </w:p>
        </w:tc>
        <w:tc>
          <w:tcPr>
            <w:tcW w:type="dxa" w:w="1038"/>
          </w:tcPr>
          <w:p>
            <w:pPr>
              <w:pStyle w:val="null3"/>
            </w:pPr>
            <w:r>
              <w:rPr/>
              <w:t>RAID 卡缓存容量大小</w:t>
            </w:r>
          </w:p>
        </w:tc>
        <w:tc>
          <w:tcPr>
            <w:tcW w:type="dxa" w:w="1038"/>
          </w:tcPr>
          <w:p>
            <w:pPr>
              <w:pStyle w:val="null3"/>
            </w:pPr>
            <w:r>
              <w:rPr/>
              <w:t>若配备RAID 卡且 RAID 卡有缓存容量，容量不少于 1GB</w:t>
            </w:r>
          </w:p>
        </w:tc>
        <w:tc>
          <w:tcPr>
            <w:tcW w:type="dxa" w:w="1038"/>
          </w:tcPr>
          <w:p>
            <w:pPr>
              <w:pStyle w:val="null3"/>
            </w:pPr>
            <w:r>
              <w:rPr/>
              <w:t>否</w:t>
            </w:r>
          </w:p>
        </w:tc>
        <w:tc>
          <w:tcPr>
            <w:tcW w:type="dxa" w:w="1038"/>
          </w:tcPr>
          <w:p/>
        </w:tc>
      </w:tr>
      <w:tr>
        <w:tc>
          <w:tcPr>
            <w:tcW w:type="dxa" w:w="1038"/>
          </w:tcPr>
          <w:p>
            <w:pPr>
              <w:pStyle w:val="null3"/>
            </w:pPr>
            <w:r>
              <w:rPr/>
              <w:t>109</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FC HBA卡性能</w:t>
            </w:r>
          </w:p>
        </w:tc>
        <w:tc>
          <w:tcPr>
            <w:tcW w:type="dxa" w:w="1038"/>
          </w:tcPr>
          <w:p>
            <w:pPr>
              <w:pStyle w:val="null3"/>
            </w:pPr>
            <w:r>
              <w:rPr/>
              <w:t>FC HBA 卡速率</w:t>
            </w:r>
          </w:p>
        </w:tc>
        <w:tc>
          <w:tcPr>
            <w:tcW w:type="dxa" w:w="1038"/>
          </w:tcPr>
          <w:p>
            <w:pPr>
              <w:pStyle w:val="null3"/>
            </w:pPr>
            <w:r>
              <w:rPr/>
              <w:t>若配备FC HBA 卡，单端口最大的连接速率不少于 8Gb/s</w:t>
            </w:r>
          </w:p>
        </w:tc>
        <w:tc>
          <w:tcPr>
            <w:tcW w:type="dxa" w:w="1038"/>
          </w:tcPr>
          <w:p>
            <w:pPr>
              <w:pStyle w:val="null3"/>
            </w:pPr>
            <w:r>
              <w:rPr/>
              <w:t>否</w:t>
            </w:r>
          </w:p>
        </w:tc>
        <w:tc>
          <w:tcPr>
            <w:tcW w:type="dxa" w:w="1038"/>
          </w:tcPr>
          <w:p/>
        </w:tc>
      </w:tr>
      <w:tr>
        <w:tc>
          <w:tcPr>
            <w:tcW w:type="dxa" w:w="1038"/>
          </w:tcPr>
          <w:p>
            <w:pPr>
              <w:pStyle w:val="null3"/>
            </w:pPr>
            <w:r>
              <w:rPr/>
              <w:t>110</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独立网卡速率</w:t>
            </w:r>
          </w:p>
        </w:tc>
        <w:tc>
          <w:tcPr>
            <w:tcW w:type="dxa" w:w="1038"/>
          </w:tcPr>
          <w:p>
            <w:pPr>
              <w:pStyle w:val="null3"/>
            </w:pPr>
            <w:r>
              <w:rPr/>
              <w:t>≥10GE</w:t>
            </w:r>
          </w:p>
        </w:tc>
        <w:tc>
          <w:tcPr>
            <w:tcW w:type="dxa" w:w="1038"/>
          </w:tcPr>
          <w:p>
            <w:pPr>
              <w:pStyle w:val="null3"/>
            </w:pPr>
            <w:r>
              <w:rPr/>
              <w:t>否</w:t>
            </w:r>
          </w:p>
        </w:tc>
        <w:tc>
          <w:tcPr>
            <w:tcW w:type="dxa" w:w="1038"/>
          </w:tcPr>
          <w:p/>
        </w:tc>
      </w:tr>
      <w:tr>
        <w:tc>
          <w:tcPr>
            <w:tcW w:type="dxa" w:w="1038"/>
          </w:tcPr>
          <w:p>
            <w:pPr>
              <w:pStyle w:val="null3"/>
            </w:pPr>
            <w:r>
              <w:rPr/>
              <w:t>111</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板载网卡速率</w:t>
            </w:r>
          </w:p>
        </w:tc>
        <w:tc>
          <w:tcPr>
            <w:tcW w:type="dxa" w:w="1038"/>
          </w:tcPr>
          <w:p>
            <w:pPr>
              <w:pStyle w:val="null3"/>
            </w:pPr>
            <w:r>
              <w:rPr/>
              <w:t>≥1GE</w:t>
            </w:r>
          </w:p>
        </w:tc>
        <w:tc>
          <w:tcPr>
            <w:tcW w:type="dxa" w:w="1038"/>
          </w:tcPr>
          <w:p>
            <w:pPr>
              <w:pStyle w:val="null3"/>
            </w:pPr>
            <w:r>
              <w:rPr/>
              <w:t>否</w:t>
            </w:r>
          </w:p>
        </w:tc>
        <w:tc>
          <w:tcPr>
            <w:tcW w:type="dxa" w:w="1038"/>
          </w:tcPr>
          <w:p/>
        </w:tc>
      </w:tr>
      <w:tr>
        <w:tc>
          <w:tcPr>
            <w:tcW w:type="dxa" w:w="1038"/>
          </w:tcPr>
          <w:p>
            <w:pPr>
              <w:pStyle w:val="null3"/>
            </w:pPr>
            <w:r>
              <w:rPr/>
              <w:t>112</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*电源能耗</w:t>
            </w:r>
          </w:p>
        </w:tc>
        <w:tc>
          <w:tcPr>
            <w:tcW w:type="dxa" w:w="1038"/>
          </w:tcPr>
          <w:p>
            <w:pPr>
              <w:pStyle w:val="null3"/>
            </w:pPr>
            <w:r>
              <w:rPr/>
              <w:t>*电源能耗</w:t>
            </w:r>
          </w:p>
        </w:tc>
        <w:tc>
          <w:tcPr>
            <w:tcW w:type="dxa" w:w="1038"/>
          </w:tcPr>
          <w:p>
            <w:pPr>
              <w:pStyle w:val="null3"/>
            </w:pPr>
            <w:r>
              <w:rPr/>
              <w:t>符合GB/T 9813.3 的有关规定</w:t>
            </w:r>
          </w:p>
        </w:tc>
        <w:tc>
          <w:tcPr>
            <w:tcW w:type="dxa" w:w="1038"/>
          </w:tcPr>
          <w:p>
            <w:pPr>
              <w:pStyle w:val="null3"/>
            </w:pPr>
            <w:r>
              <w:rPr/>
              <w:t>否</w:t>
            </w:r>
          </w:p>
        </w:tc>
        <w:tc>
          <w:tcPr>
            <w:tcW w:type="dxa" w:w="1038"/>
          </w:tcPr>
          <w:p/>
        </w:tc>
      </w:tr>
      <w:tr>
        <w:tc>
          <w:tcPr>
            <w:tcW w:type="dxa" w:w="1038"/>
          </w:tcPr>
          <w:p>
            <w:pPr>
              <w:pStyle w:val="null3"/>
            </w:pPr>
            <w:r>
              <w:rPr/>
              <w:t>113</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*内存兼容性</w:t>
            </w:r>
          </w:p>
        </w:tc>
        <w:tc>
          <w:tcPr>
            <w:tcW w:type="dxa" w:w="1038"/>
          </w:tcPr>
          <w:p>
            <w:pPr>
              <w:pStyle w:val="null3"/>
            </w:pPr>
            <w:r>
              <w:rPr/>
              <w:t>适配 3 种及以上厂商的内存产品，且均不低于产品支持的内存规格</w:t>
            </w:r>
          </w:p>
        </w:tc>
        <w:tc>
          <w:tcPr>
            <w:tcW w:type="dxa" w:w="1038"/>
          </w:tcPr>
          <w:p>
            <w:pPr>
              <w:pStyle w:val="null3"/>
            </w:pPr>
            <w:r>
              <w:rPr/>
              <w:t>否</w:t>
            </w:r>
          </w:p>
        </w:tc>
        <w:tc>
          <w:tcPr>
            <w:tcW w:type="dxa" w:w="1038"/>
          </w:tcPr>
          <w:p/>
        </w:tc>
      </w:tr>
      <w:tr>
        <w:tc>
          <w:tcPr>
            <w:tcW w:type="dxa" w:w="1038"/>
          </w:tcPr>
          <w:p>
            <w:pPr>
              <w:pStyle w:val="null3"/>
            </w:pPr>
            <w:r>
              <w:rPr/>
              <w:t>114</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*固态存储兼容性</w:t>
            </w:r>
          </w:p>
        </w:tc>
        <w:tc>
          <w:tcPr>
            <w:tcW w:type="dxa" w:w="1038"/>
          </w:tcPr>
          <w:p>
            <w:pPr>
              <w:pStyle w:val="null3"/>
            </w:pPr>
            <w:r>
              <w:rPr/>
              <w:t>适配 3 种或以上厂商的固态存储产品，且均不低于产品支持的固态存储设备规格</w:t>
            </w:r>
          </w:p>
        </w:tc>
        <w:tc>
          <w:tcPr>
            <w:tcW w:type="dxa" w:w="1038"/>
          </w:tcPr>
          <w:p>
            <w:pPr>
              <w:pStyle w:val="null3"/>
            </w:pPr>
            <w:r>
              <w:rPr/>
              <w:t>否</w:t>
            </w:r>
          </w:p>
        </w:tc>
        <w:tc>
          <w:tcPr>
            <w:tcW w:type="dxa" w:w="1038"/>
          </w:tcPr>
          <w:p/>
        </w:tc>
      </w:tr>
      <w:tr>
        <w:tc>
          <w:tcPr>
            <w:tcW w:type="dxa" w:w="1038"/>
          </w:tcPr>
          <w:p>
            <w:pPr>
              <w:pStyle w:val="null3"/>
            </w:pPr>
            <w:r>
              <w:rPr/>
              <w:t>115</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FC HBA 卡兼容性</w:t>
            </w:r>
          </w:p>
        </w:tc>
        <w:tc>
          <w:tcPr>
            <w:tcW w:type="dxa" w:w="1038"/>
          </w:tcPr>
          <w:p>
            <w:pPr>
              <w:pStyle w:val="null3"/>
            </w:pPr>
            <w:r>
              <w:rPr/>
              <w:t>FC HBA 应适配两种或以上厂商产品</w:t>
            </w:r>
          </w:p>
        </w:tc>
        <w:tc>
          <w:tcPr>
            <w:tcW w:type="dxa" w:w="1038"/>
          </w:tcPr>
          <w:p>
            <w:pPr>
              <w:pStyle w:val="null3"/>
            </w:pPr>
            <w:r>
              <w:rPr/>
              <w:t>否</w:t>
            </w:r>
          </w:p>
        </w:tc>
        <w:tc>
          <w:tcPr>
            <w:tcW w:type="dxa" w:w="1038"/>
          </w:tcPr>
          <w:p/>
        </w:tc>
      </w:tr>
      <w:tr>
        <w:tc>
          <w:tcPr>
            <w:tcW w:type="dxa" w:w="1038"/>
          </w:tcPr>
          <w:p>
            <w:pPr>
              <w:pStyle w:val="null3"/>
            </w:pPr>
            <w:r>
              <w:rPr/>
              <w:t>116</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RAID 卡兼容性</w:t>
            </w:r>
          </w:p>
        </w:tc>
        <w:tc>
          <w:tcPr>
            <w:tcW w:type="dxa" w:w="1038"/>
          </w:tcPr>
          <w:p>
            <w:pPr>
              <w:pStyle w:val="null3"/>
            </w:pPr>
            <w:r>
              <w:rPr/>
              <w:t>RAID 卡应适配两种或以上厂商产品</w:t>
            </w:r>
          </w:p>
        </w:tc>
        <w:tc>
          <w:tcPr>
            <w:tcW w:type="dxa" w:w="1038"/>
          </w:tcPr>
          <w:p>
            <w:pPr>
              <w:pStyle w:val="null3"/>
            </w:pPr>
            <w:r>
              <w:rPr/>
              <w:t>否</w:t>
            </w:r>
          </w:p>
        </w:tc>
        <w:tc>
          <w:tcPr>
            <w:tcW w:type="dxa" w:w="1038"/>
          </w:tcPr>
          <w:p/>
        </w:tc>
      </w:tr>
      <w:tr>
        <w:tc>
          <w:tcPr>
            <w:tcW w:type="dxa" w:w="1038"/>
          </w:tcPr>
          <w:p>
            <w:pPr>
              <w:pStyle w:val="null3"/>
            </w:pPr>
            <w:r>
              <w:rPr/>
              <w:t>117</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*网卡兼容性</w:t>
            </w:r>
          </w:p>
        </w:tc>
        <w:tc>
          <w:tcPr>
            <w:tcW w:type="dxa" w:w="1038"/>
          </w:tcPr>
          <w:p>
            <w:pPr>
              <w:pStyle w:val="null3"/>
            </w:pPr>
            <w:r>
              <w:rPr/>
              <w:t>网卡应适配两种或以上厂商产品</w:t>
            </w:r>
          </w:p>
        </w:tc>
        <w:tc>
          <w:tcPr>
            <w:tcW w:type="dxa" w:w="1038"/>
          </w:tcPr>
          <w:p>
            <w:pPr>
              <w:pStyle w:val="null3"/>
            </w:pPr>
            <w:r>
              <w:rPr/>
              <w:t>否</w:t>
            </w:r>
          </w:p>
        </w:tc>
        <w:tc>
          <w:tcPr>
            <w:tcW w:type="dxa" w:w="1038"/>
          </w:tcPr>
          <w:p/>
        </w:tc>
      </w:tr>
      <w:tr>
        <w:tc>
          <w:tcPr>
            <w:tcW w:type="dxa" w:w="1038"/>
          </w:tcPr>
          <w:p>
            <w:pPr>
              <w:pStyle w:val="null3"/>
            </w:pPr>
            <w:r>
              <w:rPr/>
              <w:t>118</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*功能卡兼容性</w:t>
            </w:r>
          </w:p>
        </w:tc>
        <w:tc>
          <w:tcPr>
            <w:tcW w:type="dxa" w:w="1038"/>
          </w:tcPr>
          <w:p>
            <w:pPr>
              <w:pStyle w:val="null3"/>
            </w:pPr>
            <w:r>
              <w:rPr/>
              <w:t>内置或适配符合PCIe 的功能卡，如：网络功能卡、存储功能卡及图形显示功能卡</w:t>
            </w:r>
          </w:p>
        </w:tc>
        <w:tc>
          <w:tcPr>
            <w:tcW w:type="dxa" w:w="1038"/>
          </w:tcPr>
          <w:p>
            <w:pPr>
              <w:pStyle w:val="null3"/>
            </w:pPr>
            <w:r>
              <w:rPr/>
              <w:t>否</w:t>
            </w:r>
          </w:p>
        </w:tc>
        <w:tc>
          <w:tcPr>
            <w:tcW w:type="dxa" w:w="1038"/>
          </w:tcPr>
          <w:p/>
        </w:tc>
      </w:tr>
      <w:tr>
        <w:tc>
          <w:tcPr>
            <w:tcW w:type="dxa" w:w="1038"/>
          </w:tcPr>
          <w:p>
            <w:pPr>
              <w:pStyle w:val="null3"/>
            </w:pPr>
            <w:r>
              <w:rPr/>
              <w:t>119</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*外设兼容性</w:t>
            </w:r>
          </w:p>
        </w:tc>
        <w:tc>
          <w:tcPr>
            <w:tcW w:type="dxa" w:w="1038"/>
          </w:tcPr>
          <w:p>
            <w:pPr>
              <w:pStyle w:val="null3"/>
            </w:pPr>
            <w:r>
              <w:rPr/>
              <w:t>*外设兼容性</w:t>
            </w:r>
          </w:p>
        </w:tc>
        <w:tc>
          <w:tcPr>
            <w:tcW w:type="dxa" w:w="1038"/>
          </w:tcPr>
          <w:p>
            <w:pPr>
              <w:pStyle w:val="null3"/>
            </w:pPr>
            <w:r>
              <w:rPr/>
              <w:t>兼容多种主流生产商的外部设备，包括显示器、键盘、鼠标、闪存盘、移动硬盘、USB 光驱及 KVM 等，要求使用不同厂商的外部设备时，系统均能正常识别和安装驱动</w:t>
            </w:r>
          </w:p>
        </w:tc>
        <w:tc>
          <w:tcPr>
            <w:tcW w:type="dxa" w:w="1038"/>
          </w:tcPr>
          <w:p>
            <w:pPr>
              <w:pStyle w:val="null3"/>
            </w:pPr>
            <w:r>
              <w:rPr/>
              <w:t>否</w:t>
            </w:r>
          </w:p>
        </w:tc>
        <w:tc>
          <w:tcPr>
            <w:tcW w:type="dxa" w:w="1038"/>
          </w:tcPr>
          <w:p/>
        </w:tc>
      </w:tr>
      <w:tr>
        <w:tc>
          <w:tcPr>
            <w:tcW w:type="dxa" w:w="1038"/>
          </w:tcPr>
          <w:p>
            <w:pPr>
              <w:pStyle w:val="null3"/>
            </w:pPr>
            <w:r>
              <w:rPr/>
              <w:t>120</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121</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*中间件兼容</w:t>
            </w:r>
          </w:p>
        </w:tc>
        <w:tc>
          <w:tcPr>
            <w:tcW w:type="dxa" w:w="1038"/>
          </w:tcPr>
          <w:p>
            <w:pPr>
              <w:pStyle w:val="null3"/>
            </w:pPr>
            <w:r>
              <w:rPr/>
              <w:t>兼容 3 个及以上厂商的中间件产品</w:t>
            </w:r>
          </w:p>
        </w:tc>
        <w:tc>
          <w:tcPr>
            <w:tcW w:type="dxa" w:w="1038"/>
          </w:tcPr>
          <w:p>
            <w:pPr>
              <w:pStyle w:val="null3"/>
            </w:pPr>
            <w:r>
              <w:rPr/>
              <w:t>否</w:t>
            </w:r>
          </w:p>
        </w:tc>
        <w:tc>
          <w:tcPr>
            <w:tcW w:type="dxa" w:w="1038"/>
          </w:tcPr>
          <w:p/>
        </w:tc>
      </w:tr>
      <w:tr>
        <w:tc>
          <w:tcPr>
            <w:tcW w:type="dxa" w:w="1038"/>
          </w:tcPr>
          <w:p>
            <w:pPr>
              <w:pStyle w:val="null3"/>
            </w:pPr>
            <w:r>
              <w:rPr/>
              <w:t>122</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*平台软件兼容</w:t>
            </w:r>
          </w:p>
        </w:tc>
        <w:tc>
          <w:tcPr>
            <w:tcW w:type="dxa" w:w="1038"/>
          </w:tcPr>
          <w:p>
            <w:pPr>
              <w:pStyle w:val="null3"/>
            </w:pPr>
            <w:r>
              <w:rPr/>
              <w:t>兼容 3 个及以上厂商的大数据平台</w:t>
            </w:r>
          </w:p>
        </w:tc>
        <w:tc>
          <w:tcPr>
            <w:tcW w:type="dxa" w:w="1038"/>
          </w:tcPr>
          <w:p>
            <w:pPr>
              <w:pStyle w:val="null3"/>
            </w:pPr>
            <w:r>
              <w:rPr/>
              <w:t>否</w:t>
            </w:r>
          </w:p>
        </w:tc>
        <w:tc>
          <w:tcPr>
            <w:tcW w:type="dxa" w:w="1038"/>
          </w:tcPr>
          <w:p/>
        </w:tc>
      </w:tr>
      <w:tr>
        <w:tc>
          <w:tcPr>
            <w:tcW w:type="dxa" w:w="1038"/>
          </w:tcPr>
          <w:p>
            <w:pPr>
              <w:pStyle w:val="null3"/>
            </w:pPr>
            <w:r>
              <w:rPr/>
              <w:t>123</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虚拟化软件兼容</w:t>
            </w:r>
          </w:p>
        </w:tc>
        <w:tc>
          <w:tcPr>
            <w:tcW w:type="dxa" w:w="1038"/>
          </w:tcPr>
          <w:p>
            <w:pPr>
              <w:pStyle w:val="null3"/>
            </w:pPr>
            <w:r>
              <w:rPr/>
              <w:t>兼容 2 款及以上虚拟化软件</w:t>
            </w:r>
          </w:p>
        </w:tc>
        <w:tc>
          <w:tcPr>
            <w:tcW w:type="dxa" w:w="1038"/>
          </w:tcPr>
          <w:p>
            <w:pPr>
              <w:pStyle w:val="null3"/>
            </w:pPr>
            <w:r>
              <w:rPr/>
              <w:t>否</w:t>
            </w:r>
          </w:p>
        </w:tc>
        <w:tc>
          <w:tcPr>
            <w:tcW w:type="dxa" w:w="1038"/>
          </w:tcPr>
          <w:p/>
        </w:tc>
      </w:tr>
      <w:tr>
        <w:tc>
          <w:tcPr>
            <w:tcW w:type="dxa" w:w="1038"/>
          </w:tcPr>
          <w:p>
            <w:pPr>
              <w:pStyle w:val="null3"/>
            </w:pPr>
            <w:r>
              <w:rPr/>
              <w:t>124</w:t>
            </w:r>
          </w:p>
        </w:tc>
        <w:tc>
          <w:tcPr>
            <w:tcW w:type="dxa" w:w="1038"/>
          </w:tcPr>
          <w:p>
            <w:pPr>
              <w:pStyle w:val="null3"/>
            </w:pPr>
            <w:r>
              <w:rPr/>
              <w:t>可靠性要求</w:t>
            </w:r>
          </w:p>
        </w:tc>
        <w:tc>
          <w:tcPr>
            <w:tcW w:type="dxa" w:w="1038"/>
          </w:tcPr>
          <w:p>
            <w:pPr>
              <w:pStyle w:val="null3"/>
            </w:pPr>
            <w:r>
              <w:rPr/>
              <w:t>▲</w:t>
            </w:r>
          </w:p>
        </w:tc>
        <w:tc>
          <w:tcPr>
            <w:tcW w:type="dxa" w:w="1038"/>
          </w:tcPr>
          <w:p>
            <w:pPr>
              <w:pStyle w:val="null3"/>
            </w:pPr>
            <w:r>
              <w:rPr/>
              <w:t>存储可靠性要求</w:t>
            </w:r>
          </w:p>
        </w:tc>
        <w:tc>
          <w:tcPr>
            <w:tcW w:type="dxa" w:w="1038"/>
          </w:tcPr>
          <w:p>
            <w:pPr>
              <w:pStyle w:val="null3"/>
            </w:pPr>
            <w:r>
              <w:rPr/>
              <w:t>SATA SSD可靠性</w:t>
            </w:r>
          </w:p>
        </w:tc>
        <w:tc>
          <w:tcPr>
            <w:tcW w:type="dxa" w:w="1038"/>
          </w:tcPr>
          <w:p>
            <w:pPr>
              <w:pStyle w:val="null3"/>
            </w:pPr>
            <w:r>
              <w:rPr/>
              <w:t>SSD 的 m1 值（MTBF 的不可接受值）不低于 200000h</w:t>
            </w:r>
          </w:p>
        </w:tc>
        <w:tc>
          <w:tcPr>
            <w:tcW w:type="dxa" w:w="1038"/>
          </w:tcPr>
          <w:p>
            <w:pPr>
              <w:pStyle w:val="null3"/>
            </w:pPr>
            <w:r>
              <w:rPr/>
              <w:t>否</w:t>
            </w:r>
          </w:p>
        </w:tc>
        <w:tc>
          <w:tcPr>
            <w:tcW w:type="dxa" w:w="1038"/>
          </w:tcPr>
          <w:p/>
        </w:tc>
      </w:tr>
      <w:tr>
        <w:tc>
          <w:tcPr>
            <w:tcW w:type="dxa" w:w="1038"/>
          </w:tcPr>
          <w:p>
            <w:pPr>
              <w:pStyle w:val="null3"/>
            </w:pPr>
            <w:r>
              <w:rPr/>
              <w:t>125</w:t>
            </w:r>
          </w:p>
        </w:tc>
        <w:tc>
          <w:tcPr>
            <w:tcW w:type="dxa" w:w="1038"/>
          </w:tcPr>
          <w:p>
            <w:pPr>
              <w:pStyle w:val="null3"/>
            </w:pPr>
            <w:r>
              <w:rPr/>
              <w:t>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*整机可靠性</w:t>
            </w:r>
          </w:p>
        </w:tc>
        <w:tc>
          <w:tcPr>
            <w:tcW w:type="dxa" w:w="1038"/>
          </w:tcPr>
          <w:p>
            <w:pPr>
              <w:pStyle w:val="null3"/>
            </w:pPr>
            <w:r>
              <w:rPr/>
              <w:t>m1 值（MTBF 的不可接受值）不得低于 30000h</w:t>
            </w:r>
          </w:p>
        </w:tc>
        <w:tc>
          <w:tcPr>
            <w:tcW w:type="dxa" w:w="1038"/>
          </w:tcPr>
          <w:p>
            <w:pPr>
              <w:pStyle w:val="null3"/>
            </w:pPr>
            <w:r>
              <w:rPr/>
              <w:t>否</w:t>
            </w:r>
          </w:p>
        </w:tc>
        <w:tc>
          <w:tcPr>
            <w:tcW w:type="dxa" w:w="1038"/>
          </w:tcPr>
          <w:p/>
        </w:tc>
      </w:tr>
      <w:tr>
        <w:tc>
          <w:tcPr>
            <w:tcW w:type="dxa" w:w="1038"/>
          </w:tcPr>
          <w:p>
            <w:pPr>
              <w:pStyle w:val="null3"/>
            </w:pPr>
            <w:r>
              <w:rPr/>
              <w:t>126</w:t>
            </w:r>
          </w:p>
        </w:tc>
        <w:tc>
          <w:tcPr>
            <w:tcW w:type="dxa" w:w="1038"/>
          </w:tcPr>
          <w:p>
            <w:pPr>
              <w:pStyle w:val="null3"/>
            </w:pPr>
            <w:r>
              <w:rPr/>
              <w:t>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*风扇可靠性</w:t>
            </w:r>
          </w:p>
        </w:tc>
        <w:tc>
          <w:tcPr>
            <w:tcW w:type="dxa" w:w="1038"/>
          </w:tcPr>
          <w:p>
            <w:pPr>
              <w:pStyle w:val="null3"/>
            </w:pPr>
            <w:r>
              <w:rPr/>
              <w:t>风扇寿命应不低于 40000h</w:t>
            </w:r>
          </w:p>
        </w:tc>
        <w:tc>
          <w:tcPr>
            <w:tcW w:type="dxa" w:w="1038"/>
          </w:tcPr>
          <w:p>
            <w:pPr>
              <w:pStyle w:val="null3"/>
            </w:pPr>
            <w:r>
              <w:rPr/>
              <w:t>否</w:t>
            </w:r>
          </w:p>
        </w:tc>
        <w:tc>
          <w:tcPr>
            <w:tcW w:type="dxa" w:w="1038"/>
          </w:tcPr>
          <w:p/>
        </w:tc>
      </w:tr>
      <w:tr>
        <w:tc>
          <w:tcPr>
            <w:tcW w:type="dxa" w:w="1038"/>
          </w:tcPr>
          <w:p>
            <w:pPr>
              <w:pStyle w:val="null3"/>
            </w:pPr>
            <w:r>
              <w:rPr/>
              <w:t>127</w:t>
            </w:r>
          </w:p>
        </w:tc>
        <w:tc>
          <w:tcPr>
            <w:tcW w:type="dxa" w:w="1038"/>
          </w:tcPr>
          <w:p>
            <w:pPr>
              <w:pStyle w:val="null3"/>
            </w:pPr>
            <w:r>
              <w:rPr/>
              <w:t>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*部件可靠性</w:t>
            </w:r>
          </w:p>
        </w:tc>
        <w:tc>
          <w:tcPr>
            <w:tcW w:type="dxa" w:w="1038"/>
          </w:tcPr>
          <w:p>
            <w:pPr>
              <w:pStyle w:val="null3"/>
            </w:pPr>
            <w:r>
              <w:rPr/>
              <w:t>支持硬盘、电源、风扇热插拔(内置风扇除外)</w:t>
            </w:r>
          </w:p>
        </w:tc>
        <w:tc>
          <w:tcPr>
            <w:tcW w:type="dxa" w:w="1038"/>
          </w:tcPr>
          <w:p>
            <w:pPr>
              <w:pStyle w:val="null3"/>
            </w:pPr>
            <w:r>
              <w:rPr/>
              <w:t>否</w:t>
            </w:r>
          </w:p>
        </w:tc>
        <w:tc>
          <w:tcPr>
            <w:tcW w:type="dxa" w:w="1038"/>
          </w:tcPr>
          <w:p/>
        </w:tc>
      </w:tr>
      <w:tr>
        <w:tc>
          <w:tcPr>
            <w:tcW w:type="dxa" w:w="1038"/>
          </w:tcPr>
          <w:p>
            <w:pPr>
              <w:pStyle w:val="null3"/>
            </w:pPr>
            <w:r>
              <w:rPr/>
              <w:t>128</w:t>
            </w:r>
          </w:p>
        </w:tc>
        <w:tc>
          <w:tcPr>
            <w:tcW w:type="dxa" w:w="1038"/>
          </w:tcPr>
          <w:p>
            <w:pPr>
              <w:pStyle w:val="null3"/>
            </w:pPr>
            <w:r>
              <w:rPr/>
              <w:t>包装及运输要求</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符合GB/T 9813.3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129</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*服务响应</w:t>
            </w:r>
          </w:p>
        </w:tc>
        <w:tc>
          <w:tcPr>
            <w:tcW w:type="dxa" w:w="1038"/>
          </w:tcPr>
          <w:p>
            <w:pPr>
              <w:pStyle w:val="null3"/>
            </w:pPr>
            <w:r>
              <w:rPr/>
              <w:t>a) 提供电话、电子邮件、远程连接等多种形式服务； b) 提供同城 4h、异地 12h 技术响应服务，2 个工作日解决问题，对于未能解决的问题和故障应提供可行的升级方案，并提供周转设备； c) 建立全国技术服务体系和服务 团体，符合专业服务体系标准要求，提供原厂中文服务； d) 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130</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*培训服务</w:t>
            </w:r>
          </w:p>
        </w:tc>
        <w:tc>
          <w:tcPr>
            <w:tcW w:type="dxa" w:w="1038"/>
          </w:tcPr>
          <w:p>
            <w:pPr>
              <w:pStyle w:val="null3"/>
            </w:pPr>
            <w:r>
              <w:rPr/>
              <w:t>供应商提供培训材料、产品手册、培训视频等培训相关内容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131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*服务周期</w:t>
            </w:r>
          </w:p>
        </w:tc>
        <w:tc>
          <w:tcPr>
            <w:tcW w:type="dxa" w:w="1038"/>
          </w:tcPr>
          <w:p>
            <w:pPr>
              <w:pStyle w:val="null3"/>
            </w:pPr>
            <w:r>
              <w:rPr/>
              <w:t>*服务周期</w:t>
            </w:r>
          </w:p>
        </w:tc>
        <w:tc>
          <w:tcPr>
            <w:tcW w:type="dxa" w:w="1038"/>
          </w:tcPr>
          <w:p>
            <w:pPr>
              <w:pStyle w:val="null3"/>
            </w:pPr>
            <w:r>
              <w:rPr/>
              <w:t>a) 服务器产品免费服务周期（含换件和维修）应为7年； b) 设备停产后继续提供质量保障服务（含备品备件），服务器设备服务终止时间与最后一批设备交付时间间隔不低于 7 年； c) 产品停止服务时间应提前 1 年告知客户； d) 产品发布日期需在随机文件中明确</w:t>
            </w:r>
          </w:p>
        </w:tc>
        <w:tc>
          <w:tcPr>
            <w:tcW w:type="dxa" w:w="1038"/>
          </w:tcPr>
          <w:p>
            <w:pPr>
              <w:pStyle w:val="null3"/>
            </w:pPr>
            <w:r>
              <w:rPr/>
              <w:t>否</w:t>
            </w:r>
          </w:p>
        </w:tc>
        <w:tc>
          <w:tcPr>
            <w:tcW w:type="dxa" w:w="1038"/>
          </w:tcPr>
          <w:p/>
        </w:tc>
      </w:tr>
      <w:tr>
        <w:tc>
          <w:tcPr>
            <w:tcW w:type="dxa" w:w="1038"/>
          </w:tcPr>
          <w:p>
            <w:pPr>
              <w:pStyle w:val="null3"/>
            </w:pPr>
            <w:r>
              <w:rPr/>
              <w:t>132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*工具要求</w:t>
            </w:r>
          </w:p>
        </w:tc>
        <w:tc>
          <w:tcPr>
            <w:tcW w:type="dxa" w:w="1038"/>
          </w:tcPr>
          <w:p>
            <w:pPr>
              <w:pStyle w:val="null3"/>
            </w:pPr>
            <w:r>
              <w:rPr/>
              <w:t>供应商提供设置服务器硬件、辅助操作系统安装等功能的辅助工具和管理软件。且随附软件应具有合法授权或版权</w:t>
            </w:r>
          </w:p>
        </w:tc>
        <w:tc>
          <w:tcPr>
            <w:tcW w:type="dxa" w:w="1038"/>
          </w:tcPr>
          <w:p>
            <w:pPr>
              <w:pStyle w:val="null3"/>
            </w:pPr>
            <w:r>
              <w:rPr/>
              <w:t>否</w:t>
            </w:r>
          </w:p>
        </w:tc>
        <w:tc>
          <w:tcPr>
            <w:tcW w:type="dxa" w:w="1038"/>
          </w:tcPr>
          <w:p/>
        </w:tc>
      </w:tr>
      <w:tr>
        <w:tc>
          <w:tcPr>
            <w:tcW w:type="dxa" w:w="1038"/>
          </w:tcPr>
          <w:p>
            <w:pPr>
              <w:pStyle w:val="null3"/>
            </w:pPr>
            <w:r>
              <w:rPr/>
              <w:t>133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辅助工具</w:t>
            </w:r>
          </w:p>
        </w:tc>
        <w:tc>
          <w:tcPr>
            <w:tcW w:type="dxa" w:w="1038"/>
          </w:tcPr>
          <w:p>
            <w:pPr>
              <w:pStyle w:val="null3"/>
            </w:pPr>
            <w:r>
              <w:rPr/>
              <w:t>支持如下功能 a) 本地的数据备份和还原功能； b) 网络的数据备份和还原功能； c) 服务器操作系统的自动安装功能； d) 服务器所配硬件需要的驱动程序和系统补丁</w:t>
            </w:r>
          </w:p>
        </w:tc>
        <w:tc>
          <w:tcPr>
            <w:tcW w:type="dxa" w:w="1038"/>
          </w:tcPr>
          <w:p>
            <w:pPr>
              <w:pStyle w:val="null3"/>
            </w:pPr>
            <w:r>
              <w:rPr/>
              <w:t>否</w:t>
            </w:r>
          </w:p>
        </w:tc>
        <w:tc>
          <w:tcPr>
            <w:tcW w:type="dxa" w:w="1038"/>
          </w:tcPr>
          <w:p/>
        </w:tc>
      </w:tr>
      <w:tr>
        <w:tc>
          <w:tcPr>
            <w:tcW w:type="dxa" w:w="1038"/>
          </w:tcPr>
          <w:p>
            <w:pPr>
              <w:pStyle w:val="null3"/>
            </w:pPr>
            <w:r>
              <w:rPr/>
              <w:t>134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*驱动安装升级指引</w:t>
            </w:r>
          </w:p>
        </w:tc>
        <w:tc>
          <w:tcPr>
            <w:tcW w:type="dxa" w:w="1038"/>
          </w:tcPr>
          <w:p>
            <w:pPr>
              <w:pStyle w:val="null3"/>
            </w:pPr>
            <w:r>
              <w:rPr/>
              <w:t>供应商提供出厂安装的配件所需的驱动程序，形式包括但不限于驱动光盘、驱动下载链接等。其他配件应提供指引</w:t>
            </w:r>
          </w:p>
        </w:tc>
        <w:tc>
          <w:tcPr>
            <w:tcW w:type="dxa" w:w="1038"/>
          </w:tcPr>
          <w:p>
            <w:pPr>
              <w:pStyle w:val="null3"/>
            </w:pPr>
            <w:r>
              <w:rPr/>
              <w:t>否</w:t>
            </w:r>
          </w:p>
        </w:tc>
        <w:tc>
          <w:tcPr>
            <w:tcW w:type="dxa" w:w="1038"/>
          </w:tcPr>
          <w:p/>
        </w:tc>
      </w:tr>
      <w:tr>
        <w:tc>
          <w:tcPr>
            <w:tcW w:type="dxa" w:w="1038"/>
          </w:tcPr>
          <w:p>
            <w:pPr>
              <w:pStyle w:val="null3"/>
            </w:pPr>
            <w:r>
              <w:rPr/>
              <w:t>135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随机附开盖工具</w:t>
            </w:r>
          </w:p>
        </w:tc>
        <w:tc>
          <w:tcPr>
            <w:tcW w:type="dxa" w:w="1038"/>
          </w:tcPr>
          <w:p>
            <w:pPr>
              <w:pStyle w:val="null3"/>
            </w:pPr>
            <w:r>
              <w:rPr/>
              <w:t>随服务器打包提供开机箱工具</w:t>
            </w:r>
          </w:p>
        </w:tc>
        <w:tc>
          <w:tcPr>
            <w:tcW w:type="dxa" w:w="1038"/>
          </w:tcPr>
          <w:p>
            <w:pPr>
              <w:pStyle w:val="null3"/>
            </w:pPr>
            <w:r>
              <w:rPr/>
              <w:t>否</w:t>
            </w:r>
          </w:p>
        </w:tc>
        <w:tc>
          <w:tcPr>
            <w:tcW w:type="dxa" w:w="1038"/>
          </w:tcPr>
          <w:p/>
        </w:tc>
      </w:tr>
      <w:tr>
        <w:tc>
          <w:tcPr>
            <w:tcW w:type="dxa" w:w="1038"/>
          </w:tcPr>
          <w:p>
            <w:pPr>
              <w:pStyle w:val="null3"/>
            </w:pPr>
            <w:r>
              <w:rPr/>
              <w:t>136</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代码迁移工具</w:t>
            </w:r>
          </w:p>
        </w:tc>
        <w:tc>
          <w:tcPr>
            <w:tcW w:type="dxa" w:w="1038"/>
          </w:tcPr>
          <w:p>
            <w:pPr>
              <w:pStyle w:val="null3"/>
            </w:pPr>
            <w:r>
              <w:rPr/>
              <w:t>供应商提供从其他CPU 架构到当前服务器CPU 架构的软件迁移工具产品，支持软件包迁移评估，对满足产品重构要求的软件包，能重构为当前服务器CPU 架构的软件包。提供源码迁移功能，检查分析 C/C++/Fortran/Go/解释型语言/汇编等源码文件，基于产品功能给出迁移指导</w:t>
            </w:r>
          </w:p>
        </w:tc>
        <w:tc>
          <w:tcPr>
            <w:tcW w:type="dxa" w:w="1038"/>
          </w:tcPr>
          <w:p>
            <w:pPr>
              <w:pStyle w:val="null3"/>
            </w:pPr>
            <w:r>
              <w:rPr/>
              <w:t>否</w:t>
            </w:r>
          </w:p>
        </w:tc>
        <w:tc>
          <w:tcPr>
            <w:tcW w:type="dxa" w:w="1038"/>
          </w:tcPr>
          <w:p/>
        </w:tc>
      </w:tr>
      <w:tr>
        <w:tc>
          <w:tcPr>
            <w:tcW w:type="dxa" w:w="1038"/>
          </w:tcPr>
          <w:p>
            <w:pPr>
              <w:pStyle w:val="null3"/>
            </w:pPr>
            <w:r>
              <w:rPr/>
              <w:t>137</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性能分析工具</w:t>
            </w:r>
          </w:p>
        </w:tc>
        <w:tc>
          <w:tcPr>
            <w:tcW w:type="dxa" w:w="1038"/>
          </w:tcPr>
          <w:p>
            <w:pPr>
              <w:pStyle w:val="null3"/>
            </w:pPr>
            <w:r>
              <w:rPr/>
              <w:t>供应商提供支持当前服务器CPU 架构的性能分析工具产品，支持系统性能分析、Java 性能分析和系统诊断，可分析系统或应用在 CPU、内存、 IO、网络等方面的性能，并给出优化建议</w:t>
            </w:r>
          </w:p>
        </w:tc>
        <w:tc>
          <w:tcPr>
            <w:tcW w:type="dxa" w:w="1038"/>
          </w:tcPr>
          <w:p>
            <w:pPr>
              <w:pStyle w:val="null3"/>
            </w:pPr>
            <w:r>
              <w:rPr/>
              <w:t>否</w:t>
            </w:r>
          </w:p>
        </w:tc>
        <w:tc>
          <w:tcPr>
            <w:tcW w:type="dxa" w:w="1038"/>
          </w:tcPr>
          <w:p/>
        </w:tc>
      </w:tr>
      <w:tr>
        <w:tc>
          <w:tcPr>
            <w:tcW w:type="dxa" w:w="1038"/>
          </w:tcPr>
          <w:p>
            <w:pPr>
              <w:pStyle w:val="null3"/>
            </w:pPr>
            <w:r>
              <w:rPr/>
              <w:t>138</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w:t>
            </w:r>
          </w:p>
        </w:tc>
        <w:tc>
          <w:tcPr>
            <w:tcW w:type="dxa" w:w="1038"/>
          </w:tcPr>
          <w:p>
            <w:pPr>
              <w:pStyle w:val="null3"/>
            </w:pPr>
            <w:r>
              <w:rPr/>
              <w:t>跨架构平台应用兼容</w:t>
            </w:r>
          </w:p>
        </w:tc>
        <w:tc>
          <w:tcPr>
            <w:tcW w:type="dxa" w:w="1038"/>
          </w:tcPr>
          <w:p>
            <w:pPr>
              <w:pStyle w:val="null3"/>
            </w:pPr>
            <w:r>
              <w:rPr/>
              <w:t>跨CPU 架构平台应用兼容工具，可兼容一种或者一种以上不同架构平台的应用</w:t>
            </w:r>
          </w:p>
        </w:tc>
        <w:tc>
          <w:tcPr>
            <w:tcW w:type="dxa" w:w="1038"/>
          </w:tcPr>
          <w:p>
            <w:pPr>
              <w:pStyle w:val="null3"/>
            </w:pPr>
            <w:r>
              <w:rPr/>
              <w:t>否</w:t>
            </w:r>
          </w:p>
        </w:tc>
        <w:tc>
          <w:tcPr>
            <w:tcW w:type="dxa" w:w="1038"/>
          </w:tcPr>
          <w:p/>
        </w:tc>
      </w:tr>
      <w:tr>
        <w:tc>
          <w:tcPr>
            <w:tcW w:type="dxa" w:w="1038"/>
          </w:tcPr>
          <w:p>
            <w:pPr>
              <w:pStyle w:val="null3"/>
            </w:pPr>
            <w:r>
              <w:rPr/>
              <w:t>139</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w:t>
            </w:r>
          </w:p>
        </w:tc>
        <w:tc>
          <w:tcPr>
            <w:tcW w:type="dxa" w:w="1038"/>
          </w:tcPr>
          <w:p>
            <w:pPr>
              <w:pStyle w:val="null3"/>
            </w:pPr>
            <w:r>
              <w:rPr/>
              <w:t>*管理软件</w:t>
            </w:r>
          </w:p>
        </w:tc>
        <w:tc>
          <w:tcPr>
            <w:tcW w:type="dxa" w:w="1038"/>
          </w:tcPr>
          <w:p>
            <w:pPr>
              <w:pStyle w:val="null3"/>
            </w:pPr>
            <w:r>
              <w:rPr/>
              <w:t>具备资源管理、系统管理、性能监控、健康监控、基于网络控制、报警设置功能</w:t>
            </w:r>
          </w:p>
        </w:tc>
        <w:tc>
          <w:tcPr>
            <w:tcW w:type="dxa" w:w="1038"/>
          </w:tcPr>
          <w:p>
            <w:pPr>
              <w:pStyle w:val="null3"/>
            </w:pPr>
            <w:r>
              <w:rPr/>
              <w:t>否</w:t>
            </w:r>
          </w:p>
        </w:tc>
        <w:tc>
          <w:tcPr>
            <w:tcW w:type="dxa" w:w="1038"/>
          </w:tcPr>
          <w:p/>
        </w:tc>
      </w:tr>
      <w:tr>
        <w:tc>
          <w:tcPr>
            <w:tcW w:type="dxa" w:w="1038"/>
          </w:tcPr>
          <w:p>
            <w:pPr>
              <w:pStyle w:val="null3"/>
            </w:pPr>
            <w:r>
              <w:rPr/>
              <w:t>140</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*厂家升级产品软件与扩容服务</w:t>
            </w:r>
          </w:p>
        </w:tc>
        <w:tc>
          <w:tcPr>
            <w:tcW w:type="dxa" w:w="1038"/>
          </w:tcPr>
          <w:p>
            <w:pPr>
              <w:pStyle w:val="null3"/>
            </w:pPr>
            <w:r>
              <w:rPr/>
              <w:t>供应商提供原厂级的部件/软件产品升级和扩容能力</w:t>
            </w:r>
          </w:p>
        </w:tc>
        <w:tc>
          <w:tcPr>
            <w:tcW w:type="dxa" w:w="1038"/>
          </w:tcPr>
          <w:p>
            <w:pPr>
              <w:pStyle w:val="null3"/>
            </w:pPr>
            <w:r>
              <w:rPr/>
              <w:t>否</w:t>
            </w:r>
          </w:p>
        </w:tc>
        <w:tc>
          <w:tcPr>
            <w:tcW w:type="dxa" w:w="1038"/>
          </w:tcPr>
          <w:p/>
        </w:tc>
      </w:tr>
      <w:tr>
        <w:tc>
          <w:tcPr>
            <w:tcW w:type="dxa" w:w="1038"/>
          </w:tcPr>
          <w:p>
            <w:pPr>
              <w:pStyle w:val="null3"/>
            </w:pPr>
            <w:r>
              <w:rPr/>
              <w:t>141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服务保障升级</w:t>
            </w:r>
          </w:p>
        </w:tc>
        <w:tc>
          <w:tcPr>
            <w:tcW w:type="dxa" w:w="1038"/>
          </w:tcPr>
          <w:p>
            <w:pPr>
              <w:pStyle w:val="null3"/>
            </w:pPr>
            <w:r>
              <w:rPr/>
              <w:t>供应商有偿提供远程技术支持、软件授权服务、备件更换服务、现场支承服务</w:t>
            </w:r>
          </w:p>
        </w:tc>
        <w:tc>
          <w:tcPr>
            <w:tcW w:type="dxa" w:w="1038"/>
          </w:tcPr>
          <w:p>
            <w:pPr>
              <w:pStyle w:val="null3"/>
            </w:pPr>
            <w:r>
              <w:rPr/>
              <w:t>否</w:t>
            </w:r>
          </w:p>
        </w:tc>
        <w:tc>
          <w:tcPr>
            <w:tcW w:type="dxa" w:w="1038"/>
          </w:tcPr>
          <w:p/>
        </w:tc>
      </w:tr>
      <w:tr>
        <w:tc>
          <w:tcPr>
            <w:tcW w:type="dxa" w:w="1038"/>
          </w:tcPr>
          <w:p>
            <w:pPr>
              <w:pStyle w:val="null3"/>
            </w:pPr>
            <w:r>
              <w:rPr/>
              <w:t>142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*提供上门服务</w:t>
            </w:r>
          </w:p>
        </w:tc>
        <w:tc>
          <w:tcPr>
            <w:tcW w:type="dxa" w:w="1038"/>
          </w:tcPr>
          <w:p>
            <w:pPr>
              <w:pStyle w:val="null3"/>
            </w:pPr>
            <w:r>
              <w:rPr/>
              <w:t>供应商具备提供上门服务的能力(可收费)</w:t>
            </w:r>
          </w:p>
        </w:tc>
        <w:tc>
          <w:tcPr>
            <w:tcW w:type="dxa" w:w="1038"/>
          </w:tcPr>
          <w:p>
            <w:pPr>
              <w:pStyle w:val="null3"/>
            </w:pPr>
            <w:r>
              <w:rPr/>
              <w:t>否</w:t>
            </w:r>
          </w:p>
        </w:tc>
        <w:tc>
          <w:tcPr>
            <w:tcW w:type="dxa" w:w="1038"/>
          </w:tcPr>
          <w:p/>
        </w:tc>
      </w:tr>
      <w:tr>
        <w:tc>
          <w:tcPr>
            <w:tcW w:type="dxa" w:w="1038"/>
          </w:tcPr>
          <w:p>
            <w:pPr>
              <w:pStyle w:val="null3"/>
            </w:pPr>
            <w:r>
              <w:rPr/>
              <w:t>143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业务场景性能优化服务及整体架构升级服务</w:t>
            </w:r>
          </w:p>
        </w:tc>
        <w:tc>
          <w:tcPr>
            <w:tcW w:type="dxa" w:w="1038"/>
          </w:tcPr>
          <w:p>
            <w:pPr>
              <w:pStyle w:val="null3"/>
            </w:pPr>
            <w:r>
              <w:rPr/>
              <w:t>供应商提供针对特定业务场景性能优化服务及整体架构升级服务</w:t>
            </w:r>
          </w:p>
        </w:tc>
        <w:tc>
          <w:tcPr>
            <w:tcW w:type="dxa" w:w="1038"/>
          </w:tcPr>
          <w:p>
            <w:pPr>
              <w:pStyle w:val="null3"/>
            </w:pPr>
            <w:r>
              <w:rPr/>
              <w:t>否</w:t>
            </w:r>
          </w:p>
        </w:tc>
        <w:tc>
          <w:tcPr>
            <w:tcW w:type="dxa" w:w="1038"/>
          </w:tcPr>
          <w:p/>
        </w:tc>
      </w:tr>
      <w:tr>
        <w:tc>
          <w:tcPr>
            <w:tcW w:type="dxa" w:w="1038"/>
          </w:tcPr>
          <w:p>
            <w:pPr>
              <w:pStyle w:val="null3"/>
            </w:pPr>
            <w:r>
              <w:rPr/>
              <w:t>144</w:t>
            </w:r>
          </w:p>
        </w:tc>
        <w:tc>
          <w:tcPr>
            <w:tcW w:type="dxa" w:w="1038"/>
          </w:tcPr>
          <w:p>
            <w:pPr>
              <w:pStyle w:val="null3"/>
            </w:pPr>
            <w:r>
              <w:rPr/>
              <w:t>供保要求</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当产品部件出现供应风险时，应通知客户并提供风险应对方案确保产品的服务保障，必要时应停止相关受影响产品的销售</w:t>
            </w:r>
          </w:p>
        </w:tc>
        <w:tc>
          <w:tcPr>
            <w:tcW w:type="dxa" w:w="1038"/>
          </w:tcPr>
          <w:p>
            <w:pPr>
              <w:pStyle w:val="null3"/>
            </w:pPr>
            <w:r>
              <w:rPr/>
              <w:t>否</w:t>
            </w:r>
          </w:p>
        </w:tc>
        <w:tc>
          <w:tcPr>
            <w:tcW w:type="dxa" w:w="1038"/>
          </w:tcPr>
          <w:p/>
        </w:tc>
      </w:tr>
      <w:tr>
        <w:tc>
          <w:tcPr>
            <w:tcW w:type="dxa" w:w="1038"/>
          </w:tcPr>
          <w:p>
            <w:pPr>
              <w:pStyle w:val="null3"/>
            </w:pPr>
            <w:r>
              <w:rPr/>
              <w:t>145</w:t>
            </w:r>
          </w:p>
        </w:tc>
        <w:tc>
          <w:tcPr>
            <w:tcW w:type="dxa" w:w="1038"/>
          </w:tcPr>
          <w:p>
            <w:pPr>
              <w:pStyle w:val="null3"/>
            </w:pPr>
            <w:r>
              <w:rPr/>
              <w:t>供保要求</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是</w:t>
            </w:r>
          </w:p>
        </w:tc>
        <w:tc>
          <w:tcPr>
            <w:tcW w:type="dxa" w:w="1038"/>
          </w:tcPr>
          <w:p>
            <w:pPr>
              <w:pStyle w:val="null3"/>
            </w:pPr>
            <w:r>
              <w:rPr/>
              <w:t>提供承诺函。承诺函应包含本项要求标准的全部内容。</w:t>
            </w:r>
          </w:p>
        </w:tc>
      </w:tr>
      <w:tr>
        <w:tc>
          <w:tcPr>
            <w:tcW w:type="dxa" w:w="1038"/>
          </w:tcPr>
          <w:p>
            <w:pPr>
              <w:pStyle w:val="null3"/>
            </w:pPr>
            <w:r>
              <w:rPr/>
              <w:t>146</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须保证，采购人在使用其提供的产品或服务时，不存在任何已知的不合法的情形，也不存在任何已知的与第三方专利权、著作权、商标权或工业设计权相关的任何争议。如果有任何因采购人使用供应商提供的货物或服务而提起的侵权指控，供应商须依法承担全部责任</w:t>
            </w:r>
          </w:p>
        </w:tc>
        <w:tc>
          <w:tcPr>
            <w:tcW w:type="dxa" w:w="1038"/>
          </w:tcPr>
          <w:p>
            <w:pPr>
              <w:pStyle w:val="null3"/>
            </w:pPr>
            <w:r>
              <w:rPr/>
              <w:t>否</w:t>
            </w:r>
          </w:p>
        </w:tc>
        <w:tc>
          <w:tcPr>
            <w:tcW w:type="dxa" w:w="1038"/>
          </w:tcPr>
          <w:p/>
        </w:tc>
      </w:tr>
      <w:tr>
        <w:tc>
          <w:tcPr>
            <w:tcW w:type="dxa" w:w="1038"/>
          </w:tcPr>
          <w:p>
            <w:pPr>
              <w:pStyle w:val="null3"/>
            </w:pPr>
            <w:r>
              <w:rPr/>
              <w:t>147</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供货要求</w:t>
            </w:r>
          </w:p>
        </w:tc>
        <w:tc>
          <w:tcPr>
            <w:tcW w:type="dxa" w:w="1038"/>
          </w:tcPr>
          <w:p>
            <w:pPr>
              <w:pStyle w:val="null3"/>
            </w:pPr>
            <w:r>
              <w:rPr/>
              <w:t>——</w:t>
            </w:r>
          </w:p>
        </w:tc>
        <w:tc>
          <w:tcPr>
            <w:tcW w:type="dxa" w:w="1038"/>
          </w:tcPr>
          <w:p>
            <w:pPr>
              <w:pStyle w:val="null3"/>
            </w:pPr>
            <w:r>
              <w:rPr/>
              <w:t>供应商承诺并确保设备及配件可以稳定供货，提供供应商列表材料，确保供应链安全稳定。供应商需承诺，如在供货期间供应商对供货产品进行更新或供应链市场困难，经采购人同意后可使用替换产品供货。替换产品的技术配置指标及性能不得低于此次采购的产品（需提供设备和配件原厂商同等性能证明材料）、价格不得高于中标价格、相关服务配套内容不得低于中标时的承诺。若逾期供货或不能供货，除正常处罚外，采购人有权保留将该品牌服务器列入采购人采购供应商黑名单的权利，且采购人将按照合同相关违约规定决定是否与逾期供货或不能供货的供应商解除合同。</w:t>
            </w:r>
          </w:p>
        </w:tc>
        <w:tc>
          <w:tcPr>
            <w:tcW w:type="dxa" w:w="1038"/>
          </w:tcPr>
          <w:p>
            <w:pPr>
              <w:pStyle w:val="null3"/>
            </w:pPr>
            <w:r>
              <w:rPr/>
              <w:t>是</w:t>
            </w:r>
          </w:p>
        </w:tc>
        <w:tc>
          <w:tcPr>
            <w:tcW w:type="dxa" w:w="1038"/>
          </w:tcPr>
          <w:p>
            <w:pPr>
              <w:pStyle w:val="null3"/>
            </w:pPr>
            <w:r>
              <w:rPr/>
              <w:t>提供承诺函。承诺函应包含本项要求标准的全部内容。</w:t>
            </w:r>
          </w:p>
        </w:tc>
      </w:tr>
      <w:tr>
        <w:tc>
          <w:tcPr>
            <w:tcW w:type="dxa" w:w="1038"/>
          </w:tcPr>
          <w:p>
            <w:pPr>
              <w:pStyle w:val="null3"/>
            </w:pPr>
            <w:r>
              <w:rPr/>
              <w:t>148</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需保证所投产品配置的完整性。本需求书列出的产品的主要技术要求，不代表已完全涵盖采购人完整的详细要求，对于维持整机独立、稳定运行所需要的其他部件，供应商在投标时应一并提供。如果供应商所提供的产品配置存在任何遗漏影响系统的完整性，在系统集成阶段，供应商必须负责免费提供遗漏的产品配置，采购人不再支付任何费用。</w:t>
            </w:r>
          </w:p>
        </w:tc>
        <w:tc>
          <w:tcPr>
            <w:tcW w:type="dxa" w:w="1038"/>
          </w:tcPr>
          <w:p>
            <w:pPr>
              <w:pStyle w:val="null3"/>
            </w:pPr>
            <w:r>
              <w:rPr/>
              <w:t>否</w:t>
            </w:r>
          </w:p>
        </w:tc>
        <w:tc>
          <w:tcPr>
            <w:tcW w:type="dxa" w:w="1038"/>
          </w:tcPr>
          <w:p/>
        </w:tc>
      </w:tr>
      <w:tr>
        <w:tc>
          <w:tcPr>
            <w:tcW w:type="dxa" w:w="1038"/>
          </w:tcPr>
          <w:p>
            <w:pPr>
              <w:pStyle w:val="null3"/>
            </w:pPr>
            <w:r>
              <w:rPr/>
              <w:t>149</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供应商根据采购人的物理部署要求提供设备部署所需的相关配件、线缆；其中电源线规格以采购人机房实际环境为准，在供货时由采购人指定。</w:t>
            </w:r>
          </w:p>
        </w:tc>
        <w:tc>
          <w:tcPr>
            <w:tcW w:type="dxa" w:w="1038"/>
          </w:tcPr>
          <w:p>
            <w:pPr>
              <w:pStyle w:val="null3"/>
            </w:pPr>
            <w:r>
              <w:rPr/>
              <w:t>否</w:t>
            </w:r>
          </w:p>
        </w:tc>
        <w:tc>
          <w:tcPr>
            <w:tcW w:type="dxa" w:w="1038"/>
          </w:tcPr>
          <w:p/>
        </w:tc>
      </w:tr>
      <w:tr>
        <w:tc>
          <w:tcPr>
            <w:tcW w:type="dxa" w:w="1038"/>
          </w:tcPr>
          <w:p>
            <w:pPr>
              <w:pStyle w:val="null3"/>
            </w:pPr>
            <w:r>
              <w:rPr/>
              <w:t>150</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必须针对技术需求提出的技术指标，就符合要求的设备按其配置要求提供设备品牌、型号、规格、配置及价格。供应商投标时可提供与本项目技术指标和规格要求不尽完全相同、但满足或优于本项目技术指标和规格要求的设备，并说明设备的具体配置。</w:t>
            </w:r>
          </w:p>
        </w:tc>
        <w:tc>
          <w:tcPr>
            <w:tcW w:type="dxa" w:w="1038"/>
          </w:tcPr>
          <w:p>
            <w:pPr>
              <w:pStyle w:val="null3"/>
            </w:pPr>
            <w:r>
              <w:rPr/>
              <w:t>否</w:t>
            </w:r>
          </w:p>
        </w:tc>
        <w:tc>
          <w:tcPr>
            <w:tcW w:type="dxa" w:w="1038"/>
          </w:tcPr>
          <w:p/>
        </w:tc>
      </w:tr>
      <w:tr>
        <w:tc>
          <w:tcPr>
            <w:tcW w:type="dxa" w:w="1038"/>
          </w:tcPr>
          <w:p>
            <w:pPr>
              <w:pStyle w:val="null3"/>
            </w:pPr>
            <w:r>
              <w:rPr/>
              <w:t>151</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所采用的硬件产品需保证具有广泛的兼容性，确保与采购人网络设备、业务软件及系统软件兼容，实现互联互通；支持与主流服务器、网络、存储产品的互联互通。如果在项目实施过程中出现任何设备的兼容性问题，导致采购人业务系统无法正常运行或不满足项目要求，或硬件产品在初验阶段出现无法支撑采购人业务系统稳定运行的情况，无论是否与供应商所投货物有关，采购人均有权要求无条件免费退货，并终止合同。采购人有权要求供应商在合同签订后与采购人的设备或系统进行兼容性测试，包括但不限于网络设备、存储设备等，测试费用由供应商自行承担。</w:t>
            </w:r>
          </w:p>
        </w:tc>
        <w:tc>
          <w:tcPr>
            <w:tcW w:type="dxa" w:w="1038"/>
          </w:tcPr>
          <w:p>
            <w:pPr>
              <w:pStyle w:val="null3"/>
            </w:pPr>
            <w:r>
              <w:rPr/>
              <w:t>否</w:t>
            </w:r>
          </w:p>
        </w:tc>
        <w:tc>
          <w:tcPr>
            <w:tcW w:type="dxa" w:w="1038"/>
          </w:tcPr>
          <w:p/>
        </w:tc>
      </w:tr>
      <w:tr>
        <w:tc>
          <w:tcPr>
            <w:tcW w:type="dxa" w:w="1038"/>
          </w:tcPr>
          <w:p>
            <w:pPr>
              <w:pStyle w:val="null3"/>
            </w:pPr>
            <w:r>
              <w:rPr/>
              <w:t>152</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采购人如对硬件性能有疑问，供应商须配合采购人对硬件性能进行测试。如不满足本项目技术指标，采购人有权要求更换并追究其责任，所产生的费用及损失全部由供应商承担。</w:t>
            </w:r>
          </w:p>
        </w:tc>
        <w:tc>
          <w:tcPr>
            <w:tcW w:type="dxa" w:w="1038"/>
          </w:tcPr>
          <w:p>
            <w:pPr>
              <w:pStyle w:val="null3"/>
            </w:pPr>
            <w:r>
              <w:rPr/>
              <w:t>否</w:t>
            </w:r>
          </w:p>
        </w:tc>
        <w:tc>
          <w:tcPr>
            <w:tcW w:type="dxa" w:w="1038"/>
          </w:tcPr>
          <w:p/>
        </w:tc>
      </w:tr>
      <w:tr>
        <w:tc>
          <w:tcPr>
            <w:tcW w:type="dxa" w:w="1038"/>
          </w:tcPr>
          <w:p>
            <w:pPr>
              <w:pStyle w:val="null3"/>
            </w:pPr>
            <w:r>
              <w:rPr/>
              <w:t>153</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供货要求</w:t>
            </w:r>
          </w:p>
        </w:tc>
        <w:tc>
          <w:tcPr>
            <w:tcW w:type="dxa" w:w="1038"/>
          </w:tcPr>
          <w:p>
            <w:pPr>
              <w:pStyle w:val="null3"/>
            </w:pPr>
            <w:r>
              <w:rPr/>
              <w:t>——</w:t>
            </w:r>
          </w:p>
        </w:tc>
        <w:tc>
          <w:tcPr>
            <w:tcW w:type="dxa" w:w="1038"/>
          </w:tcPr>
          <w:p>
            <w:pPr>
              <w:pStyle w:val="null3"/>
            </w:pPr>
            <w:r>
              <w:rPr/>
              <w:t>投标人应提供所投产品停产计划表。</w:t>
            </w:r>
          </w:p>
        </w:tc>
        <w:tc>
          <w:tcPr>
            <w:tcW w:type="dxa" w:w="1038"/>
          </w:tcPr>
          <w:p>
            <w:pPr>
              <w:pStyle w:val="null3"/>
            </w:pPr>
            <w:r>
              <w:rPr/>
              <w:t>是</w:t>
            </w:r>
          </w:p>
        </w:tc>
        <w:tc>
          <w:tcPr>
            <w:tcW w:type="dxa" w:w="1038"/>
          </w:tcPr>
          <w:p>
            <w:pPr>
              <w:pStyle w:val="null3"/>
            </w:pPr>
            <w:r>
              <w:rPr/>
              <w:t>提供所投产品计划停产时间。</w:t>
            </w:r>
          </w:p>
        </w:tc>
      </w:tr>
      <w:tr>
        <w:tc>
          <w:tcPr>
            <w:tcW w:type="dxa" w:w="1038"/>
          </w:tcPr>
          <w:p>
            <w:pPr>
              <w:pStyle w:val="null3"/>
            </w:pPr>
            <w:r>
              <w:rPr/>
              <w:t>154</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供应商需保证所投服务器的备品备件支持期从产品终验通过次日开始不少于7年。</w:t>
            </w:r>
          </w:p>
        </w:tc>
        <w:tc>
          <w:tcPr>
            <w:tcW w:type="dxa" w:w="1038"/>
          </w:tcPr>
          <w:p>
            <w:pPr>
              <w:pStyle w:val="null3"/>
            </w:pPr>
            <w:r>
              <w:rPr/>
              <w:t>否</w:t>
            </w:r>
          </w:p>
        </w:tc>
        <w:tc>
          <w:tcPr>
            <w:tcW w:type="dxa" w:w="1038"/>
          </w:tcPr>
          <w:p/>
        </w:tc>
      </w:tr>
      <w:tr>
        <w:tc>
          <w:tcPr>
            <w:tcW w:type="dxa" w:w="1038"/>
          </w:tcPr>
          <w:p>
            <w:pPr>
              <w:pStyle w:val="null3"/>
            </w:pPr>
            <w:r>
              <w:rPr/>
              <w:t>155</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供应商所投产品及配件须符合国家网络安全相关要求。</w:t>
            </w:r>
          </w:p>
        </w:tc>
        <w:tc>
          <w:tcPr>
            <w:tcW w:type="dxa" w:w="1038"/>
          </w:tcPr>
          <w:p>
            <w:pPr>
              <w:pStyle w:val="null3"/>
            </w:pPr>
            <w:r>
              <w:rPr/>
              <w:t>否</w:t>
            </w:r>
          </w:p>
        </w:tc>
        <w:tc>
          <w:tcPr>
            <w:tcW w:type="dxa" w:w="1038"/>
          </w:tcPr>
          <w:p/>
        </w:tc>
      </w:tr>
      <w:tr>
        <w:tc>
          <w:tcPr>
            <w:tcW w:type="dxa" w:w="1038"/>
          </w:tcPr>
          <w:p>
            <w:pPr>
              <w:pStyle w:val="null3"/>
            </w:pPr>
            <w:r>
              <w:rPr/>
              <w:t>156</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供货要求</w:t>
            </w:r>
          </w:p>
        </w:tc>
        <w:tc>
          <w:tcPr>
            <w:tcW w:type="dxa" w:w="1038"/>
          </w:tcPr>
          <w:p>
            <w:pPr>
              <w:pStyle w:val="null3"/>
            </w:pPr>
            <w:r>
              <w:rPr/>
              <w:t>——</w:t>
            </w:r>
          </w:p>
        </w:tc>
        <w:tc>
          <w:tcPr>
            <w:tcW w:type="dxa" w:w="1038"/>
          </w:tcPr>
          <w:p>
            <w:pPr>
              <w:pStyle w:val="null3"/>
            </w:pPr>
            <w:r>
              <w:rPr/>
              <w:t>供应商所投产品使用的CPU芯片通过安全可靠测评。</w:t>
            </w:r>
          </w:p>
        </w:tc>
        <w:tc>
          <w:tcPr>
            <w:tcW w:type="dxa" w:w="1038"/>
          </w:tcPr>
          <w:p>
            <w:pPr>
              <w:pStyle w:val="null3"/>
            </w:pPr>
            <w:r>
              <w:rPr/>
              <w:t>是</w:t>
            </w:r>
          </w:p>
        </w:tc>
        <w:tc>
          <w:tcPr>
            <w:tcW w:type="dxa" w:w="1038"/>
          </w:tcPr>
          <w:p>
            <w:pPr>
              <w:pStyle w:val="null3"/>
            </w:pPr>
            <w:r>
              <w:rPr/>
              <w:t>提供所投产品使用CPU芯片的安全可靠测评结果公告网站截图。</w:t>
            </w:r>
          </w:p>
        </w:tc>
      </w:tr>
      <w:tr>
        <w:tc>
          <w:tcPr>
            <w:tcW w:type="dxa" w:w="1038"/>
          </w:tcPr>
          <w:p>
            <w:pPr>
              <w:pStyle w:val="null3"/>
            </w:pPr>
            <w:r>
              <w:rPr/>
              <w:t>157</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其他要求</w:t>
            </w:r>
          </w:p>
        </w:tc>
        <w:tc>
          <w:tcPr>
            <w:tcW w:type="dxa" w:w="1038"/>
          </w:tcPr>
          <w:p>
            <w:pPr>
              <w:pStyle w:val="null3"/>
            </w:pPr>
            <w:r>
              <w:rPr/>
              <w:t>——</w:t>
            </w:r>
          </w:p>
        </w:tc>
        <w:tc>
          <w:tcPr>
            <w:tcW w:type="dxa" w:w="1038"/>
          </w:tcPr>
          <w:p>
            <w:pPr>
              <w:pStyle w:val="null3"/>
            </w:pPr>
            <w:r>
              <w:rPr/>
              <w:t>本次项目采购范围除设备供货外，还包括工程实施、设备集成服务、联调测试（包含不限于内实施准备、设备到货、设备上架、设备安装、系统调试、相关线缆提供及综合布线、与配套设备的联合调试和试运行技术支持等内容）、售后服务（售后服务方案内容应包含但不限于服务团队结构与数量、服务水平说明、应急预案、保修期内服务计划及培训计划等内容），供应商投标时需提供相应的工程实施、设备集成服务方案及售后服务方案。供应商应充分理解采购人的技术要求、配置要求及与现有系统兼容的要求，确保整个系统的完整性和可靠性，提供保证系统正常有效运行所需的所有设备及服务，包括但不限于采购人提出的设备要求及服务要求。</w:t>
            </w:r>
          </w:p>
        </w:tc>
        <w:tc>
          <w:tcPr>
            <w:tcW w:type="dxa" w:w="1038"/>
          </w:tcPr>
          <w:p>
            <w:pPr>
              <w:pStyle w:val="null3"/>
            </w:pPr>
            <w:r>
              <w:rPr/>
              <w:t>是</w:t>
            </w:r>
          </w:p>
        </w:tc>
        <w:tc>
          <w:tcPr>
            <w:tcW w:type="dxa" w:w="1038"/>
          </w:tcPr>
          <w:p>
            <w:pPr>
              <w:pStyle w:val="null3"/>
            </w:pPr>
            <w:r>
              <w:rPr/>
              <w:t>提供工程实施、设备集成服务方案及售后服务方案</w:t>
            </w:r>
          </w:p>
        </w:tc>
      </w:tr>
      <w:tr>
        <w:tc>
          <w:tcPr>
            <w:tcW w:type="dxa" w:w="1038"/>
          </w:tcPr>
          <w:p>
            <w:pPr>
              <w:pStyle w:val="null3"/>
            </w:pPr>
            <w:r>
              <w:rPr/>
              <w:t>158</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网口速率和数量</w:t>
            </w:r>
          </w:p>
        </w:tc>
        <w:tc>
          <w:tcPr>
            <w:tcW w:type="dxa" w:w="1038"/>
          </w:tcPr>
          <w:p>
            <w:pPr>
              <w:pStyle w:val="null3"/>
            </w:pPr>
            <w:r>
              <w:rPr/>
              <w:t>a)2块10Gb双端口光纤网卡（含相应光模块），支持PXE、DPDK应用、SRIOV技术和特定五元组（源IP地址、源端口、目的IP地址、目的端口和传输层协议）分流到SRIOV VF等功能； b)2块独立芯片千兆电口网卡，每块带有1个或以上千兆电口，可为主板集成或单独配备</w:t>
            </w:r>
          </w:p>
        </w:tc>
        <w:tc>
          <w:tcPr>
            <w:tcW w:type="dxa" w:w="1038"/>
          </w:tcPr>
          <w:p>
            <w:pPr>
              <w:pStyle w:val="null3"/>
            </w:pPr>
            <w:r>
              <w:rPr/>
              <w:t>否</w:t>
            </w:r>
          </w:p>
        </w:tc>
        <w:tc>
          <w:tcPr>
            <w:tcW w:type="dxa" w:w="1038"/>
          </w:tcPr>
          <w:p/>
        </w:tc>
      </w:tr>
      <w:tr>
        <w:tc>
          <w:tcPr>
            <w:tcW w:type="dxa" w:w="1038"/>
          </w:tcPr>
          <w:p>
            <w:pPr>
              <w:pStyle w:val="null3"/>
            </w:pPr>
            <w:r>
              <w:rPr/>
              <w:t>159</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电源模块数量</w:t>
            </w:r>
          </w:p>
        </w:tc>
        <w:tc>
          <w:tcPr>
            <w:tcW w:type="dxa" w:w="1038"/>
          </w:tcPr>
          <w:p>
            <w:pPr>
              <w:pStyle w:val="null3"/>
            </w:pPr>
            <w:r>
              <w:rPr/>
              <w:t>≥2</w:t>
            </w:r>
          </w:p>
        </w:tc>
        <w:tc>
          <w:tcPr>
            <w:tcW w:type="dxa" w:w="1038"/>
          </w:tcPr>
          <w:p>
            <w:pPr>
              <w:pStyle w:val="null3"/>
            </w:pPr>
            <w:r>
              <w:rPr/>
              <w:t>否</w:t>
            </w:r>
          </w:p>
        </w:tc>
        <w:tc>
          <w:tcPr>
            <w:tcW w:type="dxa" w:w="1038"/>
          </w:tcPr>
          <w:p/>
        </w:tc>
      </w:tr>
      <w:tr>
        <w:tc>
          <w:tcPr>
            <w:tcW w:type="dxa" w:w="1038"/>
          </w:tcPr>
          <w:p>
            <w:pPr>
              <w:pStyle w:val="null3"/>
            </w:pPr>
            <w:r>
              <w:rPr/>
              <w:t>160</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电源功率</w:t>
            </w:r>
          </w:p>
        </w:tc>
        <w:tc>
          <w:tcPr>
            <w:tcW w:type="dxa" w:w="1038"/>
          </w:tcPr>
          <w:p>
            <w:pPr>
              <w:pStyle w:val="null3"/>
            </w:pPr>
            <w:r>
              <w:rPr/>
              <w:t>a)电源模块功率应有一定冗余，满足处理器满载时的需求； b)750W或以上高功率因数电源</w:t>
            </w:r>
          </w:p>
        </w:tc>
        <w:tc>
          <w:tcPr>
            <w:tcW w:type="dxa" w:w="1038"/>
          </w:tcPr>
          <w:p>
            <w:pPr>
              <w:pStyle w:val="null3"/>
            </w:pPr>
            <w:r>
              <w:rPr/>
              <w:t>否</w:t>
            </w:r>
          </w:p>
        </w:tc>
        <w:tc>
          <w:tcPr>
            <w:tcW w:type="dxa" w:w="1038"/>
          </w:tcPr>
          <w:p/>
        </w:tc>
      </w:tr>
      <w:tr>
        <w:tc>
          <w:tcPr>
            <w:tcW w:type="dxa" w:w="1038"/>
          </w:tcPr>
          <w:p>
            <w:pPr>
              <w:pStyle w:val="null3"/>
            </w:pPr>
            <w:r>
              <w:rPr/>
              <w:t>161</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整机高度</w:t>
            </w:r>
          </w:p>
        </w:tc>
        <w:tc>
          <w:tcPr>
            <w:tcW w:type="dxa" w:w="1038"/>
          </w:tcPr>
          <w:p>
            <w:pPr>
              <w:pStyle w:val="null3"/>
            </w:pPr>
            <w:r>
              <w:rPr/>
              <w:t>整机高度2U</w:t>
            </w:r>
          </w:p>
        </w:tc>
        <w:tc>
          <w:tcPr>
            <w:tcW w:type="dxa" w:w="1038"/>
          </w:tcPr>
          <w:p>
            <w:pPr>
              <w:pStyle w:val="null3"/>
            </w:pPr>
            <w:r>
              <w:rPr/>
              <w:t>否</w:t>
            </w:r>
          </w:p>
        </w:tc>
        <w:tc>
          <w:tcPr>
            <w:tcW w:type="dxa" w:w="1038"/>
          </w:tcPr>
          <w:p/>
        </w:tc>
      </w:tr>
      <w:tr>
        <w:tc>
          <w:tcPr>
            <w:tcW w:type="dxa" w:w="1038"/>
          </w:tcPr>
          <w:p>
            <w:pPr>
              <w:pStyle w:val="null3"/>
            </w:pPr>
            <w:r>
              <w:rPr/>
              <w:t>162</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配件规格</w:t>
            </w:r>
          </w:p>
        </w:tc>
        <w:tc>
          <w:tcPr>
            <w:tcW w:type="dxa" w:w="1038"/>
          </w:tcPr>
          <w:p>
            <w:pPr>
              <w:pStyle w:val="null3"/>
            </w:pPr>
            <w:r>
              <w:rPr/>
              <w:t>安装套件</w:t>
            </w:r>
          </w:p>
        </w:tc>
        <w:tc>
          <w:tcPr>
            <w:tcW w:type="dxa" w:w="1038"/>
          </w:tcPr>
          <w:p>
            <w:pPr>
              <w:pStyle w:val="null3"/>
            </w:pPr>
            <w:r>
              <w:rPr/>
              <w:t>1套安装套件</w:t>
            </w:r>
          </w:p>
        </w:tc>
        <w:tc>
          <w:tcPr>
            <w:tcW w:type="dxa" w:w="1038"/>
          </w:tcPr>
          <w:p>
            <w:pPr>
              <w:pStyle w:val="null3"/>
            </w:pPr>
            <w:r>
              <w:rPr/>
              <w:t>否</w:t>
            </w:r>
          </w:p>
        </w:tc>
        <w:tc>
          <w:tcPr>
            <w:tcW w:type="dxa" w:w="1038"/>
          </w:tcPr>
          <w:p/>
        </w:tc>
      </w:tr>
      <w:tr>
        <w:tc>
          <w:tcPr>
            <w:tcW w:type="dxa" w:w="1038"/>
          </w:tcPr>
          <w:p>
            <w:pPr>
              <w:pStyle w:val="null3"/>
            </w:pPr>
            <w:r>
              <w:rPr/>
              <w:t>163</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配件规格</w:t>
            </w:r>
          </w:p>
        </w:tc>
        <w:tc>
          <w:tcPr>
            <w:tcW w:type="dxa" w:w="1038"/>
          </w:tcPr>
          <w:p>
            <w:pPr>
              <w:pStyle w:val="null3"/>
            </w:pPr>
            <w:r>
              <w:rPr/>
              <w:t>线材</w:t>
            </w:r>
          </w:p>
        </w:tc>
        <w:tc>
          <w:tcPr>
            <w:tcW w:type="dxa" w:w="1038"/>
          </w:tcPr>
          <w:p>
            <w:pPr>
              <w:pStyle w:val="null3"/>
            </w:pPr>
            <w:r>
              <w:rPr/>
              <w:t>a)2根1.5至2.5米电源线，规格以采购人机房实际环境为准，在供货时由采购人指定; b)4根2至15米品牌原装LC-LC双工多模万兆OM3成品光纤 或2至15米品牌原装六类非屏蔽成品网线。</w:t>
            </w:r>
          </w:p>
        </w:tc>
        <w:tc>
          <w:tcPr>
            <w:tcW w:type="dxa" w:w="1038"/>
          </w:tcPr>
          <w:p>
            <w:pPr>
              <w:pStyle w:val="null3"/>
            </w:pPr>
            <w:r>
              <w:rPr/>
              <w:t>否</w:t>
            </w:r>
          </w:p>
        </w:tc>
        <w:tc>
          <w:tcPr>
            <w:tcW w:type="dxa" w:w="1038"/>
          </w:tcPr>
          <w:p/>
        </w:tc>
      </w:tr>
      <w:tr>
        <w:tc>
          <w:tcPr>
            <w:tcW w:type="dxa" w:w="1038"/>
          </w:tcPr>
          <w:p>
            <w:pPr>
              <w:pStyle w:val="null3"/>
            </w:pPr>
            <w:r>
              <w:rPr/>
              <w:t>164</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存储性能</w:t>
            </w:r>
          </w:p>
        </w:tc>
        <w:tc>
          <w:tcPr>
            <w:tcW w:type="dxa" w:w="1038"/>
          </w:tcPr>
          <w:p>
            <w:pPr>
              <w:pStyle w:val="null3"/>
            </w:pPr>
            <w:r>
              <w:rPr/>
              <w:t>硬盘速率</w:t>
            </w:r>
          </w:p>
        </w:tc>
        <w:tc>
          <w:tcPr>
            <w:tcW w:type="dxa" w:w="1038"/>
          </w:tcPr>
          <w:p>
            <w:pPr>
              <w:pStyle w:val="null3"/>
            </w:pPr>
            <w:r>
              <w:rPr/>
              <w:t>若配备固态硬盘，4k随机读iops≥4万，4k随机写iops≥3万</w:t>
            </w:r>
          </w:p>
        </w:tc>
        <w:tc>
          <w:tcPr>
            <w:tcW w:type="dxa" w:w="1038"/>
          </w:tcPr>
          <w:p>
            <w:pPr>
              <w:pStyle w:val="null3"/>
            </w:pPr>
            <w:r>
              <w:rPr/>
              <w:t>否</w:t>
            </w:r>
          </w:p>
        </w:tc>
        <w:tc>
          <w:tcPr>
            <w:tcW w:type="dxa" w:w="1038"/>
          </w:tcPr>
          <w:p/>
        </w:tc>
      </w:tr>
      <w:tr>
        <w:tc>
          <w:tcPr>
            <w:tcW w:type="dxa" w:w="1038"/>
          </w:tcPr>
          <w:p>
            <w:pPr>
              <w:pStyle w:val="null3"/>
            </w:pPr>
            <w:r>
              <w:rPr/>
              <w:t>165</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RAID卡性能</w:t>
            </w:r>
          </w:p>
        </w:tc>
        <w:tc>
          <w:tcPr>
            <w:tcW w:type="dxa" w:w="1038"/>
          </w:tcPr>
          <w:p>
            <w:pPr>
              <w:pStyle w:val="null3"/>
            </w:pPr>
            <w:r>
              <w:rPr/>
              <w:t>RAID卡缓存容量大小</w:t>
            </w:r>
          </w:p>
        </w:tc>
        <w:tc>
          <w:tcPr>
            <w:tcW w:type="dxa" w:w="1038"/>
          </w:tcPr>
          <w:p>
            <w:pPr>
              <w:pStyle w:val="null3"/>
            </w:pPr>
            <w:r>
              <w:rPr/>
              <w:t>配备RAID卡且RAID卡有缓存容量，容量不少于2GB，带缓存供电保护（电池或电容）。</w:t>
            </w:r>
          </w:p>
        </w:tc>
        <w:tc>
          <w:tcPr>
            <w:tcW w:type="dxa" w:w="1038"/>
          </w:tcPr>
          <w:p>
            <w:pPr>
              <w:pStyle w:val="null3"/>
            </w:pPr>
            <w:r>
              <w:rPr/>
              <w:t>否</w:t>
            </w:r>
          </w:p>
        </w:tc>
        <w:tc>
          <w:tcPr>
            <w:tcW w:type="dxa" w:w="1038"/>
          </w:tcPr>
          <w:p/>
        </w:tc>
      </w:tr>
      <w:tr>
        <w:tc>
          <w:tcPr>
            <w:tcW w:type="dxa" w:w="1038"/>
          </w:tcPr>
          <w:p>
            <w:pPr>
              <w:pStyle w:val="null3"/>
            </w:pPr>
            <w:r>
              <w:rPr/>
              <w:t>166</w:t>
            </w:r>
          </w:p>
        </w:tc>
        <w:tc>
          <w:tcPr>
            <w:tcW w:type="dxa" w:w="1038"/>
          </w:tcPr>
          <w:p>
            <w:pPr>
              <w:pStyle w:val="null3"/>
            </w:pPr>
            <w:r>
              <w:rPr/>
              <w:t>单台服务器功能要求</w:t>
            </w:r>
          </w:p>
        </w:tc>
        <w:tc>
          <w:tcPr>
            <w:tcW w:type="dxa" w:w="1038"/>
          </w:tcPr>
          <w:p>
            <w:pPr>
              <w:pStyle w:val="null3"/>
            </w:pPr>
            <w:r>
              <w:rPr/>
              <w:t>★</w:t>
            </w:r>
          </w:p>
        </w:tc>
        <w:tc>
          <w:tcPr>
            <w:tcW w:type="dxa" w:w="1038"/>
          </w:tcPr>
          <w:p>
            <w:pPr>
              <w:pStyle w:val="null3"/>
            </w:pPr>
            <w:r>
              <w:rPr/>
              <w:t>网络功能</w:t>
            </w:r>
          </w:p>
        </w:tc>
        <w:tc>
          <w:tcPr>
            <w:tcW w:type="dxa" w:w="1038"/>
          </w:tcPr>
          <w:p>
            <w:pPr>
              <w:pStyle w:val="null3"/>
            </w:pPr>
            <w:r>
              <w:rPr/>
              <w:t>网卡模块热备和冗余</w:t>
            </w:r>
          </w:p>
        </w:tc>
        <w:tc>
          <w:tcPr>
            <w:tcW w:type="dxa" w:w="1038"/>
          </w:tcPr>
          <w:p>
            <w:pPr>
              <w:pStyle w:val="null3"/>
            </w:pPr>
            <w:r>
              <w:rPr/>
              <w:t>网卡支持多bond模式</w:t>
            </w:r>
          </w:p>
        </w:tc>
        <w:tc>
          <w:tcPr>
            <w:tcW w:type="dxa" w:w="1038"/>
          </w:tcPr>
          <w:p>
            <w:pPr>
              <w:pStyle w:val="null3"/>
            </w:pPr>
            <w:r>
              <w:rPr/>
              <w:t>否</w:t>
            </w:r>
          </w:p>
        </w:tc>
        <w:tc>
          <w:tcPr>
            <w:tcW w:type="dxa" w:w="1038"/>
          </w:tcPr>
          <w:p/>
        </w:tc>
      </w:tr>
      <w:tr>
        <w:tc>
          <w:tcPr>
            <w:tcW w:type="dxa" w:w="1038"/>
          </w:tcPr>
          <w:p>
            <w:pPr>
              <w:pStyle w:val="null3"/>
            </w:pPr>
            <w:r>
              <w:rPr/>
              <w:t>167</w:t>
            </w:r>
          </w:p>
        </w:tc>
        <w:tc>
          <w:tcPr>
            <w:tcW w:type="dxa" w:w="1038"/>
          </w:tcPr>
          <w:p>
            <w:pPr>
              <w:pStyle w:val="null3"/>
            </w:pPr>
            <w:r>
              <w:rPr/>
              <w:t>单台服务器功能要求</w:t>
            </w:r>
          </w:p>
        </w:tc>
        <w:tc>
          <w:tcPr>
            <w:tcW w:type="dxa" w:w="1038"/>
          </w:tcPr>
          <w:p>
            <w:pPr>
              <w:pStyle w:val="null3"/>
            </w:pPr>
            <w:r>
              <w:rPr/>
              <w:t>★</w:t>
            </w:r>
          </w:p>
        </w:tc>
        <w:tc>
          <w:tcPr>
            <w:tcW w:type="dxa" w:w="1038"/>
          </w:tcPr>
          <w:p>
            <w:pPr>
              <w:pStyle w:val="null3"/>
            </w:pPr>
            <w:r>
              <w:rPr/>
              <w:t>RAID卡功能（若支持RAID卡）</w:t>
            </w:r>
          </w:p>
        </w:tc>
        <w:tc>
          <w:tcPr>
            <w:tcW w:type="dxa" w:w="1038"/>
          </w:tcPr>
          <w:p>
            <w:pPr>
              <w:pStyle w:val="null3"/>
            </w:pPr>
            <w:r>
              <w:rPr/>
              <w:t>RAID卡RAID级别支持</w:t>
            </w:r>
          </w:p>
        </w:tc>
        <w:tc>
          <w:tcPr>
            <w:tcW w:type="dxa" w:w="1038"/>
          </w:tcPr>
          <w:p>
            <w:pPr>
              <w:pStyle w:val="null3"/>
            </w:pPr>
            <w:r>
              <w:rPr/>
              <w:t>a）RAID模式支持RAID 0/1/10/5 b）若配置博通阵列卡需支持CC校验idel模式或支持arcconf管理工具，若配置PMC阵列卡需支持PR巡读或支持storcli管理工具，若配置其他同类阵列卡，需支持同类阵列卡相关功能或管理工具。</w:t>
            </w:r>
          </w:p>
        </w:tc>
        <w:tc>
          <w:tcPr>
            <w:tcW w:type="dxa" w:w="1038"/>
          </w:tcPr>
          <w:p>
            <w:pPr>
              <w:pStyle w:val="null3"/>
            </w:pPr>
            <w:r>
              <w:rPr/>
              <w:t>否</w:t>
            </w:r>
          </w:p>
        </w:tc>
        <w:tc>
          <w:tcPr>
            <w:tcW w:type="dxa" w:w="1038"/>
          </w:tcPr>
          <w:p/>
        </w:tc>
      </w:tr>
      <w:tr>
        <w:tc>
          <w:tcPr>
            <w:tcW w:type="dxa" w:w="1038"/>
          </w:tcPr>
          <w:p>
            <w:pPr>
              <w:pStyle w:val="null3"/>
            </w:pPr>
            <w:r>
              <w:rPr/>
              <w:t>168</w:t>
            </w:r>
          </w:p>
        </w:tc>
        <w:tc>
          <w:tcPr>
            <w:tcW w:type="dxa" w:w="1038"/>
          </w:tcPr>
          <w:p>
            <w:pPr>
              <w:pStyle w:val="null3"/>
            </w:pPr>
            <w:r>
              <w:rPr/>
              <w:t>单台服务器功能要求</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w:t>
            </w:r>
          </w:p>
        </w:tc>
        <w:tc>
          <w:tcPr>
            <w:tcW w:type="dxa" w:w="1038"/>
          </w:tcPr>
          <w:p>
            <w:pPr>
              <w:pStyle w:val="null3"/>
            </w:pPr>
            <w:r>
              <w:rPr/>
              <w:t>功能检测同时支持： 1）内存、CPU和硬件健康度检查；2）配置电源策略；3）pxe网络配置</w:t>
            </w:r>
          </w:p>
        </w:tc>
        <w:tc>
          <w:tcPr>
            <w:tcW w:type="dxa" w:w="1038"/>
          </w:tcPr>
          <w:p>
            <w:pPr>
              <w:pStyle w:val="null3"/>
            </w:pPr>
            <w:r>
              <w:rPr/>
              <w:t>否</w:t>
            </w:r>
          </w:p>
        </w:tc>
        <w:tc>
          <w:tcPr>
            <w:tcW w:type="dxa" w:w="1038"/>
          </w:tcPr>
          <w:p/>
        </w:tc>
      </w:tr>
      <w:tr>
        <w:tc>
          <w:tcPr>
            <w:tcW w:type="dxa" w:w="1038"/>
          </w:tcPr>
          <w:p>
            <w:pPr>
              <w:pStyle w:val="null3"/>
            </w:pPr>
            <w:r>
              <w:rPr/>
              <w:t>169</w:t>
            </w:r>
          </w:p>
        </w:tc>
        <w:tc>
          <w:tcPr>
            <w:tcW w:type="dxa" w:w="1038"/>
          </w:tcPr>
          <w:p>
            <w:pPr>
              <w:pStyle w:val="null3"/>
            </w:pPr>
            <w:r>
              <w:rPr/>
              <w:t>单台服务器功能要求</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远程控制</w:t>
            </w:r>
          </w:p>
        </w:tc>
        <w:tc>
          <w:tcPr>
            <w:tcW w:type="dxa" w:w="1038"/>
          </w:tcPr>
          <w:p>
            <w:pPr>
              <w:pStyle w:val="null3"/>
            </w:pPr>
            <w:r>
              <w:rPr/>
              <w:t>远程管理卡，提供独立千兆管理口，支持远程监控图形界面, 可实现与操作系统无关的远程对服务器的完全控制，包括远程的开机、关机、重启、安装操作系统、更新固件、虚拟KVM、虚拟光驱等操作。支持远程管理接口BMC（HTTPS）或Redfish，获取服务器关键信息（包括主机、CPU、内存、磁盘、阵列卡、网卡等）、执行管理任务（如开关机、重启服务器、配置BIOS设置等）。</w:t>
            </w:r>
          </w:p>
        </w:tc>
        <w:tc>
          <w:tcPr>
            <w:tcW w:type="dxa" w:w="1038"/>
          </w:tcPr>
          <w:p>
            <w:pPr>
              <w:pStyle w:val="null3"/>
            </w:pPr>
            <w:r>
              <w:rPr/>
              <w:t>否</w:t>
            </w:r>
          </w:p>
        </w:tc>
        <w:tc>
          <w:tcPr>
            <w:tcW w:type="dxa" w:w="1038"/>
          </w:tcPr>
          <w:p/>
        </w:tc>
      </w:tr>
      <w:tr>
        <w:tc>
          <w:tcPr>
            <w:tcW w:type="dxa" w:w="1038"/>
          </w:tcPr>
          <w:p>
            <w:pPr>
              <w:pStyle w:val="null3"/>
            </w:pPr>
            <w:r>
              <w:rPr/>
              <w:t>170</w:t>
            </w:r>
          </w:p>
        </w:tc>
        <w:tc>
          <w:tcPr>
            <w:tcW w:type="dxa" w:w="1038"/>
          </w:tcPr>
          <w:p>
            <w:pPr>
              <w:pStyle w:val="null3"/>
            </w:pPr>
            <w:r>
              <w:rPr/>
              <w:t>单台服务器功能要求</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远程管理</w:t>
            </w:r>
          </w:p>
        </w:tc>
        <w:tc>
          <w:tcPr>
            <w:tcW w:type="dxa" w:w="1038"/>
          </w:tcPr>
          <w:p>
            <w:pPr>
              <w:pStyle w:val="null3"/>
            </w:pPr>
            <w:r>
              <w:rPr/>
              <w:t>1）console多用户登录：支持同时登录多个用户； 2）虚拟光驱使用正常：支持挂载iso安装系统； 3）syslog日志发送：支持将服务器硬件日志发送到syslog服务器上； 4）ntp同步：支持ntp时间同步</w:t>
            </w:r>
          </w:p>
        </w:tc>
        <w:tc>
          <w:tcPr>
            <w:tcW w:type="dxa" w:w="1038"/>
          </w:tcPr>
          <w:p>
            <w:pPr>
              <w:pStyle w:val="null3"/>
            </w:pPr>
            <w:r>
              <w:rPr/>
              <w:t>否</w:t>
            </w:r>
          </w:p>
        </w:tc>
        <w:tc>
          <w:tcPr>
            <w:tcW w:type="dxa" w:w="1038"/>
          </w:tcPr>
          <w:p/>
        </w:tc>
      </w:tr>
      <w:tr>
        <w:tc>
          <w:tcPr>
            <w:tcW w:type="dxa" w:w="1038"/>
          </w:tcPr>
          <w:p>
            <w:pPr>
              <w:pStyle w:val="null3"/>
            </w:pPr>
            <w:r>
              <w:rPr/>
              <w:t>171</w:t>
            </w:r>
          </w:p>
        </w:tc>
        <w:tc>
          <w:tcPr>
            <w:tcW w:type="dxa" w:w="1038"/>
          </w:tcPr>
          <w:p>
            <w:pPr>
              <w:pStyle w:val="null3"/>
            </w:pPr>
            <w:r>
              <w:rPr/>
              <w:t>采购内容</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（1）220台国产X86芯片大数据型配置1服务器（含7年维保服务）</w:t>
            </w:r>
          </w:p>
        </w:tc>
        <w:tc>
          <w:tcPr>
            <w:tcW w:type="dxa" w:w="1038"/>
          </w:tcPr>
          <w:p>
            <w:pPr>
              <w:pStyle w:val="null3"/>
            </w:pPr>
            <w:r>
              <w:rPr/>
              <w:t>否</w:t>
            </w:r>
          </w:p>
        </w:tc>
        <w:tc>
          <w:tcPr>
            <w:tcW w:type="dxa" w:w="1038"/>
          </w:tcPr>
          <w:p/>
        </w:tc>
      </w:tr>
      <w:tr>
        <w:tc>
          <w:tcPr>
            <w:tcW w:type="dxa" w:w="1038"/>
          </w:tcPr>
          <w:p>
            <w:pPr>
              <w:pStyle w:val="null3"/>
            </w:pPr>
            <w:r>
              <w:rPr/>
              <w:t>172</w:t>
            </w:r>
          </w:p>
        </w:tc>
        <w:tc>
          <w:tcPr>
            <w:tcW w:type="dxa" w:w="1038"/>
          </w:tcPr>
          <w:p>
            <w:pPr>
              <w:pStyle w:val="null3"/>
            </w:pPr>
            <w:r>
              <w:rPr/>
              <w:t>国产X86芯片大数据型配置1服务器单台配置</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CPU规格</w:t>
            </w:r>
          </w:p>
        </w:tc>
        <w:tc>
          <w:tcPr>
            <w:tcW w:type="dxa" w:w="1038"/>
          </w:tcPr>
          <w:p>
            <w:pPr>
              <w:pStyle w:val="null3"/>
            </w:pPr>
            <w:r>
              <w:rPr/>
              <w:t>a）2颗国产X86芯片，单颗不小于24核，基础频率不小于2.4GHz，单颗线程数不小于48，单 CPU末级缓存容量不小于64MB b）CPU满足等保2.0以及可信计算3.0的相关要求</w:t>
            </w:r>
          </w:p>
        </w:tc>
        <w:tc>
          <w:tcPr>
            <w:tcW w:type="dxa" w:w="1038"/>
          </w:tcPr>
          <w:p>
            <w:pPr>
              <w:pStyle w:val="null3"/>
            </w:pPr>
            <w:r>
              <w:rPr/>
              <w:t>否</w:t>
            </w:r>
          </w:p>
        </w:tc>
        <w:tc>
          <w:tcPr>
            <w:tcW w:type="dxa" w:w="1038"/>
          </w:tcPr>
          <w:p/>
        </w:tc>
      </w:tr>
      <w:tr>
        <w:tc>
          <w:tcPr>
            <w:tcW w:type="dxa" w:w="1038"/>
          </w:tcPr>
          <w:p>
            <w:pPr>
              <w:pStyle w:val="null3"/>
            </w:pPr>
            <w:r>
              <w:rPr/>
              <w:t>173</w:t>
            </w:r>
          </w:p>
        </w:tc>
        <w:tc>
          <w:tcPr>
            <w:tcW w:type="dxa" w:w="1038"/>
          </w:tcPr>
          <w:p>
            <w:pPr>
              <w:pStyle w:val="null3"/>
            </w:pPr>
            <w:r>
              <w:rPr/>
              <w:t>国产X86芯片大数据型配置1服务器单台配置</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支持14块或以上2.5"硬盘盘笼</w:t>
            </w:r>
          </w:p>
        </w:tc>
        <w:tc>
          <w:tcPr>
            <w:tcW w:type="dxa" w:w="1038"/>
          </w:tcPr>
          <w:p>
            <w:pPr>
              <w:pStyle w:val="null3"/>
            </w:pPr>
            <w:r>
              <w:rPr/>
              <w:t>否</w:t>
            </w:r>
          </w:p>
        </w:tc>
        <w:tc>
          <w:tcPr>
            <w:tcW w:type="dxa" w:w="1038"/>
          </w:tcPr>
          <w:p/>
        </w:tc>
      </w:tr>
      <w:tr>
        <w:tc>
          <w:tcPr>
            <w:tcW w:type="dxa" w:w="1038"/>
          </w:tcPr>
          <w:p>
            <w:pPr>
              <w:pStyle w:val="null3"/>
            </w:pPr>
            <w:r>
              <w:rPr/>
              <w:t>174</w:t>
            </w:r>
          </w:p>
        </w:tc>
        <w:tc>
          <w:tcPr>
            <w:tcW w:type="dxa" w:w="1038"/>
          </w:tcPr>
          <w:p>
            <w:pPr>
              <w:pStyle w:val="null3"/>
            </w:pPr>
            <w:r>
              <w:rPr/>
              <w:t>国产X86芯片大数据型配置1服务器单台配置</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≥12；内存条总数为偶数</w:t>
            </w:r>
          </w:p>
        </w:tc>
        <w:tc>
          <w:tcPr>
            <w:tcW w:type="dxa" w:w="1038"/>
          </w:tcPr>
          <w:p>
            <w:pPr>
              <w:pStyle w:val="null3"/>
            </w:pPr>
            <w:r>
              <w:rPr/>
              <w:t>否</w:t>
            </w:r>
          </w:p>
        </w:tc>
        <w:tc>
          <w:tcPr>
            <w:tcW w:type="dxa" w:w="1038"/>
          </w:tcPr>
          <w:p/>
        </w:tc>
      </w:tr>
      <w:tr>
        <w:tc>
          <w:tcPr>
            <w:tcW w:type="dxa" w:w="1038"/>
          </w:tcPr>
          <w:p>
            <w:pPr>
              <w:pStyle w:val="null3"/>
            </w:pPr>
            <w:r>
              <w:rPr/>
              <w:t>175</w:t>
            </w:r>
          </w:p>
        </w:tc>
        <w:tc>
          <w:tcPr>
            <w:tcW w:type="dxa" w:w="1038"/>
          </w:tcPr>
          <w:p>
            <w:pPr>
              <w:pStyle w:val="null3"/>
            </w:pPr>
            <w:r>
              <w:rPr/>
              <w:t>国产X86芯片大数据型配置1服务器单台配置</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单条不低于DDR5 RDIMM 16GB 4800MHz内存，整机内存总容量不低于384GB</w:t>
            </w:r>
          </w:p>
        </w:tc>
        <w:tc>
          <w:tcPr>
            <w:tcW w:type="dxa" w:w="1038"/>
          </w:tcPr>
          <w:p>
            <w:pPr>
              <w:pStyle w:val="null3"/>
            </w:pPr>
            <w:r>
              <w:rPr/>
              <w:t>否</w:t>
            </w:r>
          </w:p>
        </w:tc>
        <w:tc>
          <w:tcPr>
            <w:tcW w:type="dxa" w:w="1038"/>
          </w:tcPr>
          <w:p/>
        </w:tc>
      </w:tr>
      <w:tr>
        <w:tc>
          <w:tcPr>
            <w:tcW w:type="dxa" w:w="1038"/>
          </w:tcPr>
          <w:p>
            <w:pPr>
              <w:pStyle w:val="null3"/>
            </w:pPr>
            <w:r>
              <w:rPr/>
              <w:t>176</w:t>
            </w:r>
          </w:p>
        </w:tc>
        <w:tc>
          <w:tcPr>
            <w:tcW w:type="dxa" w:w="1038"/>
          </w:tcPr>
          <w:p>
            <w:pPr>
              <w:pStyle w:val="null3"/>
            </w:pPr>
            <w:r>
              <w:rPr/>
              <w:t>国产X86芯片大数据型配置1服务器单台配置</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硬磁盘实配容量及规格</w:t>
            </w:r>
          </w:p>
        </w:tc>
        <w:tc>
          <w:tcPr>
            <w:tcW w:type="dxa" w:w="1038"/>
          </w:tcPr>
          <w:p>
            <w:pPr>
              <w:pStyle w:val="null3"/>
            </w:pPr>
            <w:r>
              <w:rPr/>
              <w:t>a)系统盘：2块 SATA SSD。单盘可用容量≥480GB b)数据盘：12块 SATA 7.2Krpm 20TB，硬盘数量为偶数</w:t>
            </w:r>
          </w:p>
        </w:tc>
        <w:tc>
          <w:tcPr>
            <w:tcW w:type="dxa" w:w="1038"/>
          </w:tcPr>
          <w:p>
            <w:pPr>
              <w:pStyle w:val="null3"/>
            </w:pPr>
            <w:r>
              <w:rPr/>
              <w:t>否</w:t>
            </w:r>
          </w:p>
        </w:tc>
        <w:tc>
          <w:tcPr>
            <w:tcW w:type="dxa" w:w="1038"/>
          </w:tcPr>
          <w:p/>
        </w:tc>
      </w:tr>
      <w:tr>
        <w:tc>
          <w:tcPr>
            <w:tcW w:type="dxa" w:w="1038"/>
          </w:tcPr>
          <w:p>
            <w:pPr>
              <w:pStyle w:val="null3"/>
            </w:pPr>
            <w:r>
              <w:rPr/>
              <w:t>177</w:t>
            </w:r>
          </w:p>
        </w:tc>
        <w:tc>
          <w:tcPr>
            <w:tcW w:type="dxa" w:w="1038"/>
          </w:tcPr>
          <w:p>
            <w:pPr>
              <w:pStyle w:val="null3"/>
            </w:pPr>
            <w:r>
              <w:rPr/>
              <w:t>国产X86芯片大数据型配置1服务器单台配置</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规格配比</w:t>
            </w:r>
          </w:p>
        </w:tc>
        <w:tc>
          <w:tcPr>
            <w:tcW w:type="dxa" w:w="1038"/>
          </w:tcPr>
          <w:p>
            <w:pPr>
              <w:pStyle w:val="null3"/>
            </w:pPr>
            <w:r>
              <w:rPr/>
              <w:t>单台服务器CPU和内存配比需满足96核（逻辑核）：384GB同比例要求</w:t>
            </w:r>
          </w:p>
        </w:tc>
        <w:tc>
          <w:tcPr>
            <w:tcW w:type="dxa" w:w="1038"/>
          </w:tcPr>
          <w:p>
            <w:pPr>
              <w:pStyle w:val="null3"/>
            </w:pPr>
            <w:r>
              <w:rPr/>
              <w:t>否</w:t>
            </w:r>
          </w:p>
        </w:tc>
        <w:tc>
          <w:tcPr>
            <w:tcW w:type="dxa" w:w="1038"/>
          </w:tcPr>
          <w:p/>
        </w:tc>
      </w:tr>
      <w:tr>
        <w:tc>
          <w:tcPr>
            <w:tcW w:type="dxa" w:w="1038"/>
          </w:tcPr>
          <w:p>
            <w:pPr>
              <w:pStyle w:val="null3"/>
            </w:pPr>
            <w:r>
              <w:rPr/>
              <w:t>178</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对于技术要求指标项1-145项，除明确要求提供证明材料的，其余均在采购人要求时提供</w:t>
            </w:r>
          </w:p>
        </w:tc>
        <w:tc>
          <w:tcPr>
            <w:tcW w:type="dxa" w:w="1038"/>
          </w:tcPr>
          <w:p>
            <w:pPr>
              <w:pStyle w:val="null3"/>
            </w:pPr>
            <w:r>
              <w:rPr/>
              <w:t>否</w:t>
            </w:r>
          </w:p>
        </w:tc>
        <w:tc>
          <w:tcPr>
            <w:tcW w:type="dxa" w:w="1038"/>
          </w:tcPr>
          <w:p/>
        </w:tc>
      </w:tr>
    </w:tbl>
    <w:p>
      <w:pPr>
        <w:pStyle w:val="null3"/>
        <w:jc w:val="both"/>
      </w:pPr>
      <w:r>
        <w:rPr/>
        <w:t>本商务要求共有“★”指标40个，”#”指标2个，“▲”指标11个。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产品交付</w:t>
            </w:r>
          </w:p>
        </w:tc>
        <w:tc>
          <w:tcPr>
            <w:tcW w:type="dxa" w:w="1038"/>
          </w:tcPr>
          <w:p>
            <w:pPr>
              <w:pStyle w:val="null3"/>
            </w:pPr>
            <w:r>
              <w:rPr/>
              <w:t>交付地点</w:t>
            </w:r>
          </w:p>
        </w:tc>
        <w:tc>
          <w:tcPr>
            <w:tcW w:type="dxa" w:w="1038"/>
          </w:tcPr>
          <w:p>
            <w:pPr>
              <w:pStyle w:val="null3"/>
            </w:pPr>
            <w:r>
              <w:rPr/>
              <w:t>交付地点为北京、上海、深圳，具体位置以采购人指定位置为准。</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产品交付</w:t>
            </w:r>
          </w:p>
        </w:tc>
        <w:tc>
          <w:tcPr>
            <w:tcW w:type="dxa" w:w="1038"/>
          </w:tcPr>
          <w:p>
            <w:pPr>
              <w:pStyle w:val="null3"/>
            </w:pPr>
            <w:r>
              <w:rPr/>
              <w:t>交付时长</w:t>
            </w:r>
          </w:p>
        </w:tc>
        <w:tc>
          <w:tcPr>
            <w:tcW w:type="dxa" w:w="1038"/>
          </w:tcPr>
          <w:p>
            <w:pPr>
              <w:pStyle w:val="null3"/>
            </w:pPr>
            <w:r>
              <w:rPr/>
              <w:t>供应商应在合同签订并收到采购人供货通知后30个日历日内将供货通知内供货通知中要求的货物送至采购人指定地点。</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产品交付</w:t>
            </w:r>
          </w:p>
        </w:tc>
        <w:tc>
          <w:tcPr>
            <w:tcW w:type="dxa" w:w="1038"/>
          </w:tcPr>
          <w:p>
            <w:pPr>
              <w:pStyle w:val="null3"/>
            </w:pPr>
            <w:r>
              <w:rPr/>
              <w:t>交付货物</w:t>
            </w:r>
          </w:p>
        </w:tc>
        <w:tc>
          <w:tcPr>
            <w:tcW w:type="dxa" w:w="1038"/>
          </w:tcPr>
          <w:p>
            <w:pPr>
              <w:pStyle w:val="null3"/>
            </w:pPr>
            <w:r>
              <w:rPr/>
              <w:t>供应商按照采购配置清单，提供完好、全新、未使用过的硬件产品</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产品交付</w:t>
            </w:r>
          </w:p>
        </w:tc>
        <w:tc>
          <w:tcPr>
            <w:tcW w:type="dxa" w:w="1038"/>
          </w:tcPr>
          <w:p>
            <w:pPr>
              <w:pStyle w:val="null3"/>
            </w:pPr>
            <w:r>
              <w:rPr/>
              <w:t>供货要求</w:t>
            </w:r>
          </w:p>
        </w:tc>
        <w:tc>
          <w:tcPr>
            <w:tcW w:type="dxa" w:w="1038"/>
          </w:tcPr>
          <w:p>
            <w:pPr>
              <w:pStyle w:val="null3"/>
            </w:pPr>
            <w:r>
              <w:rPr/>
              <w:t>供货前，应按照采购人要求，提前准备好相关供货材料和信息（包括设备型号、规格、数量、序列号等），配合采购人完成到货清点、入库、拆箱检查、到货验收，以及资产扫描和入账等工作</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产品交付</w:t>
            </w:r>
          </w:p>
        </w:tc>
        <w:tc>
          <w:tcPr>
            <w:tcW w:type="dxa" w:w="1038"/>
          </w:tcPr>
          <w:p>
            <w:pPr>
              <w:pStyle w:val="null3"/>
            </w:pPr>
            <w:r>
              <w:rPr/>
              <w:t>检查货物</w:t>
            </w:r>
          </w:p>
        </w:tc>
        <w:tc>
          <w:tcPr>
            <w:tcW w:type="dxa" w:w="1038"/>
          </w:tcPr>
          <w:p>
            <w:pPr>
              <w:pStyle w:val="null3"/>
            </w:pPr>
            <w:r>
              <w:rPr/>
              <w:t>供应商负责开箱验货，检查产品到货情况</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安装调试时长</w:t>
            </w:r>
          </w:p>
        </w:tc>
        <w:tc>
          <w:tcPr>
            <w:tcW w:type="dxa" w:w="1038"/>
          </w:tcPr>
          <w:p>
            <w:pPr>
              <w:pStyle w:val="null3"/>
            </w:pPr>
            <w:r>
              <w:rPr/>
              <w:t>设备到货后，根据采购人项目实施计划，在接到采购人通知后30个工作日内（如遇特殊情况，以双方协商时间为准），按照采购人要求完成所有安装调试工作。</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复核安装调试</w:t>
            </w:r>
          </w:p>
        </w:tc>
        <w:tc>
          <w:tcPr>
            <w:tcW w:type="dxa" w:w="1038"/>
          </w:tcPr>
          <w:p>
            <w:pPr>
              <w:pStyle w:val="null3"/>
            </w:pPr>
            <w:r>
              <w:rPr/>
              <w:t>供应商在采购人相关技术人员的复核下进行安装、检测和排除故障。供应商不得在现场安装未经采购人批准的任何设备</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设备损坏担责</w:t>
            </w:r>
          </w:p>
        </w:tc>
        <w:tc>
          <w:tcPr>
            <w:tcW w:type="dxa" w:w="1038"/>
          </w:tcPr>
          <w:p>
            <w:pPr>
              <w:pStyle w:val="null3"/>
            </w:pPr>
            <w:r>
              <w:rPr/>
              <w:t>在供应商安装、调试过程中造成的设备损坏，一切责任由供应商承担</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故障处理</w:t>
            </w:r>
          </w:p>
        </w:tc>
        <w:tc>
          <w:tcPr>
            <w:tcW w:type="dxa" w:w="1038"/>
          </w:tcPr>
          <w:p>
            <w:pPr>
              <w:pStyle w:val="null3"/>
            </w:pPr>
            <w:r>
              <w:rPr/>
              <w:t>项目实施过程中，如出现技术障碍、运行故障等问题，供应商有义务和责任组织、协调相关各方对问题进行快速解决</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平台和软件调试</w:t>
            </w:r>
          </w:p>
        </w:tc>
        <w:tc>
          <w:tcPr>
            <w:tcW w:type="dxa" w:w="1038"/>
          </w:tcPr>
          <w:p>
            <w:pPr>
              <w:pStyle w:val="null3"/>
            </w:pPr>
            <w:r>
              <w:rPr/>
              <w:t>供应商应根据采购人安排完成本次采购产品与配套设备的联合调试。同时，还应配合数据库软件、应用服务软件等进行相关的配置和系统优化调试</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联调测试</w:t>
            </w:r>
          </w:p>
        </w:tc>
        <w:tc>
          <w:tcPr>
            <w:tcW w:type="dxa" w:w="1038"/>
          </w:tcPr>
          <w:p>
            <w:pPr>
              <w:pStyle w:val="null3"/>
            </w:pPr>
            <w:r>
              <w:rPr/>
              <w:t>供应商应根据采购人安排完成本次采购产品与云平台、业务系统的联调测试，确保云平台，业务系统顺利上线，完成相关优化、测试、调试等相关工作</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维保期限</w:t>
            </w:r>
          </w:p>
        </w:tc>
        <w:tc>
          <w:tcPr>
            <w:tcW w:type="dxa" w:w="1038"/>
          </w:tcPr>
          <w:p>
            <w:pPr>
              <w:pStyle w:val="null3"/>
            </w:pPr>
            <w:r>
              <w:rPr/>
              <w:t>本项目所购设备终验合格后，即进入维保服务期，其中服务器从终验合格之次日起提供7年维保服务。</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维保承诺书</w:t>
            </w:r>
          </w:p>
        </w:tc>
        <w:tc>
          <w:tcPr>
            <w:tcW w:type="dxa" w:w="1038"/>
          </w:tcPr>
          <w:p>
            <w:pPr>
              <w:pStyle w:val="null3"/>
            </w:pPr>
            <w:r>
              <w:rPr/>
              <w:t>若为制造商维保，针对维保服务开始时间，投标时供应商需提供承诺书，承诺制造商同意设备在终验合格之次日起计算。 若为第三方维保，针对维保服务开始时间，投标时供应商需提供承诺书，承诺维保厂商同意设备在终验合格之次日起计算。</w:t>
            </w:r>
          </w:p>
        </w:tc>
        <w:tc>
          <w:tcPr>
            <w:tcW w:type="dxa" w:w="1038"/>
          </w:tcPr>
          <w:p>
            <w:pPr>
              <w:pStyle w:val="null3"/>
            </w:pPr>
            <w:r>
              <w:rPr/>
              <w:t>是</w:t>
            </w:r>
          </w:p>
        </w:tc>
        <w:tc>
          <w:tcPr>
            <w:tcW w:type="dxa" w:w="1038"/>
          </w:tcPr>
          <w:p>
            <w:pPr>
              <w:pStyle w:val="null3"/>
            </w:pPr>
            <w:r>
              <w:rPr/>
              <w:t>需提供承诺书。 1)若为制造商维保，承诺书内容包括“制造商同意在终验合格之次日起计算维保服务开始时间”。 2)若第三方维保，承诺书内容包括“维保服务商同意在终验合格之次日起计算维保服务开始时间”。</w:t>
            </w:r>
          </w:p>
        </w:tc>
      </w:tr>
      <w:tr>
        <w:tc>
          <w:tcPr>
            <w:tcW w:type="dxa" w:w="1038"/>
          </w:tcPr>
          <w:p>
            <w:pPr>
              <w:pStyle w:val="null3"/>
            </w:pPr>
            <w:r>
              <w:rPr/>
              <w:t>14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续保价格</w:t>
            </w:r>
          </w:p>
        </w:tc>
        <w:tc>
          <w:tcPr>
            <w:tcW w:type="dxa" w:w="1038"/>
          </w:tcPr>
          <w:p>
            <w:pPr>
              <w:pStyle w:val="null3"/>
            </w:pPr>
            <w:r>
              <w:rPr/>
              <w:t>维保期后，供应商所报的每年维保服务费（不含税）不超过设备报价（不含税）的10%</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紧急情况服务</w:t>
            </w:r>
          </w:p>
        </w:tc>
        <w:tc>
          <w:tcPr>
            <w:tcW w:type="dxa" w:w="1038"/>
          </w:tcPr>
          <w:p>
            <w:pPr>
              <w:pStyle w:val="null3"/>
            </w:pPr>
            <w:r>
              <w:rPr/>
              <w:t>供应商应保障不同场景下故障解决时效，具体情况如下： 1.在一级故障发生时，供应商承诺自报障时间起5分钟内电话响应；自采购人确认需要进行现场支持起2小时内到现场；并保证在人员到场且采购人设备运维人员允许实施故障排除操作后2小时内恢复运行，排除故障。 2.在二级故障发生时，供应商承诺自报障时间起5分钟内电话响应；自采购人确认需要进行现场支持起2小时内到现场；不涉及调用备件的情况下在人员到场且采购人设备运维人员允许实施故障排除操作后4小时内恢复运行，排除故障；有涉及备件的情况下，在备件和人员到场且采购人设备运维人员允许实施故障排除操作后4小时内恢复运行，排除故障。 3.在三级故障发生时，供应商承诺自报障时间起5分钟内电话响应；自采购人确认需要进行现场支持起2小时内到现场；不涉及调用备件的情况下在人员到场且采购人设备运维人员允许实施故障排除操作后6小时内恢复运行，排除故障；有涉及备件的情况下，在备件和人员到场且采购人设备运维人员允许实施故障排除操作后6小时内恢复运行，排除故障。 如果无法在规定的时间解决故障问题时，应采取其他可能的方式为采购人解决问题，并承担相关费用。</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服务启动要求</w:t>
            </w:r>
          </w:p>
        </w:tc>
        <w:tc>
          <w:tcPr>
            <w:tcW w:type="dxa" w:w="1038"/>
          </w:tcPr>
          <w:p>
            <w:pPr>
              <w:pStyle w:val="null3"/>
            </w:pPr>
            <w:r>
              <w:rPr/>
              <w:t>供应商需提供与合同约定的服务范围、服务周期一致的维保启动函。</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重要保障服务</w:t>
            </w:r>
          </w:p>
        </w:tc>
        <w:tc>
          <w:tcPr>
            <w:tcW w:type="dxa" w:w="1038"/>
          </w:tcPr>
          <w:p>
            <w:pPr>
              <w:pStyle w:val="null3"/>
            </w:pPr>
            <w:r>
              <w:rPr/>
              <w:t>1、重要通讯保障期间，采购人根据需要向供应商提出重要通讯保障服务请求，供应商与采购人共同制定重要通讯保障期间的设备系统保障方案。 2、重要通讯保障期间包括政治活动、重大节假日、重大变更、“双十一”、“春节”红包等。在重点通讯保障期间，如有必要，甲方可要求供应商提供技术支持工程师到现场完成通讯保障服务及巡检服务，同时应安排7*24原厂二线技术支持在线提供保障服务。</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技术支持服务</w:t>
            </w:r>
          </w:p>
        </w:tc>
        <w:tc>
          <w:tcPr>
            <w:tcW w:type="dxa" w:w="1038"/>
          </w:tcPr>
          <w:p>
            <w:pPr>
              <w:pStyle w:val="null3"/>
            </w:pPr>
            <w:r>
              <w:rPr/>
              <w:t>供应商应设立7*24小时的技术支持热线，保证采购人获得设备日常维护的技术支持，保证采购人关于设备的技术性问题得到及时、有效的解答。供应商保证技术支持热线电话接通时间小于30秒；当供应商需要查阅相关资料再对采购人的问题进行回复时，应确保在30分钟内回复。</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维修服务</w:t>
            </w:r>
          </w:p>
        </w:tc>
        <w:tc>
          <w:tcPr>
            <w:tcW w:type="dxa" w:w="1038"/>
          </w:tcPr>
          <w:p>
            <w:pPr>
              <w:pStyle w:val="null3"/>
            </w:pPr>
            <w:r>
              <w:rPr/>
              <w:t>1、电话响应要求：供应商设立7*24小时的值班响应电话。当设备出现故障时，采购人可通过供应商指定的值班响应电话进行报障。 2、现场支持要求：供应商在接到采购人现场支持要求后，按照采购人要求的时间，在采购人设备运维人员允许实施故障排除操作后分析故障原因，并排除故障。 3、如需更换设备配件，供应商要按照本需求书中规定的时限内把完好的配件送达采购人设备现场，并由供应商维修人员更换。 4、如需到采购人现场处置，需遵守采购人机房管理、安全管理等要求。</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备件服务</w:t>
            </w:r>
          </w:p>
        </w:tc>
        <w:tc>
          <w:tcPr>
            <w:tcW w:type="dxa" w:w="1038"/>
          </w:tcPr>
          <w:p>
            <w:pPr>
              <w:pStyle w:val="null3"/>
            </w:pPr>
            <w:r>
              <w:rPr/>
              <w:t>供应商须全天候的响应采购人的备件需求，及时提供备品、备件服务，保障采购人系统的稳定运行。 1、供应商在北京、上海、深圳3地均具有备件库房，在备件库里储备针对本项目专门的备品。 2、供应商须7*24小时响应采购人的备品、备件需求、备件。当采购人有备品、备件需求时，供应商要按照本需求书中规定的时限内把完好的备品、备件送达采购人设备现场。 3、如特定配件故障率较高、或在重保时段，采购人有权要求 服务商应在甲方机房内存放指定的备件。</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存储介质要求</w:t>
            </w:r>
          </w:p>
        </w:tc>
        <w:tc>
          <w:tcPr>
            <w:tcW w:type="dxa" w:w="1038"/>
          </w:tcPr>
          <w:p>
            <w:pPr>
              <w:pStyle w:val="null3"/>
            </w:pPr>
            <w:r>
              <w:rPr/>
              <w:t>本项目内所有存储介质不予以返还。</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服务总结报告</w:t>
            </w:r>
          </w:p>
        </w:tc>
        <w:tc>
          <w:tcPr>
            <w:tcW w:type="dxa" w:w="1038"/>
          </w:tcPr>
          <w:p>
            <w:pPr>
              <w:pStyle w:val="null3"/>
            </w:pPr>
            <w:r>
              <w:rPr/>
              <w:t>供应商须按照采购人验收要求提交维保服务总结报告。</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客户经理服务</w:t>
            </w:r>
          </w:p>
        </w:tc>
        <w:tc>
          <w:tcPr>
            <w:tcW w:type="dxa" w:w="1038"/>
          </w:tcPr>
          <w:p>
            <w:pPr>
              <w:pStyle w:val="null3"/>
            </w:pPr>
            <w:r>
              <w:rPr/>
              <w:t>维保期内供应商指定1名客户经理，协调相关资源，及时对采购人提供服务、保证故障的及时解决，7×24小时接听采购人电话。</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安全服务</w:t>
            </w:r>
          </w:p>
        </w:tc>
        <w:tc>
          <w:tcPr>
            <w:tcW w:type="dxa" w:w="1038"/>
          </w:tcPr>
          <w:p>
            <w:pPr>
              <w:pStyle w:val="null3"/>
            </w:pPr>
            <w:r>
              <w:rPr/>
              <w:t>供应商应主动报告其提供产品或服务是否受中高危漏洞影响。当发现提供的产品或服务存在漏洞时，有义务及时书面报告（书面发函、电子邮件）采购人，并尽快采取适当措施修正或减轻发现的威胁，不得隐瞒漏洞、不得设置后门或恶意程序。遇到紧急高危漏洞，应及时进行报告（不限于电话、邮件或其它约定方式）并出具解决方案，保障采购人提供的产品或服务安全、稳定运行。 供应商在收到采购人反馈其提供的产品或服务存在风险信息后，应立即核查确认，及时给出临时处置建议，确认受影响后应立即启动应急预案，安排专业工程师现场进行影响情况分析，同时二线专家全程进行技术的技术支持，并技术出具事件处置报告。</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软件支持服务</w:t>
            </w:r>
          </w:p>
        </w:tc>
        <w:tc>
          <w:tcPr>
            <w:tcW w:type="dxa" w:w="1038"/>
          </w:tcPr>
          <w:p>
            <w:pPr>
              <w:pStyle w:val="null3"/>
            </w:pPr>
            <w:r>
              <w:rPr/>
              <w:t>1.供应商每年至少提供一次设备的软件版本评估（其中服务器主要为BIOS和BMC），并依据评估情况出具评估报告，向采购人通报所采用软件产品的升级情况及升级建议，提供补丁或升级软件版本的介质。 2.对于可能会对有关系统、应用或业务造成影响的缺陷、隐患等问题，供应商需尽早且主动通知采购人，并提供解决方案建议书或补丁/微码安装建议书，提供补丁或升级软件版本的介质。上述情况经过采购人评估同意后，由技术服务商负责进行安装、测试和实施，并保证期间系统正常运行，不会对采购人生产系统造成不良影响；如遇疑难问题，能够根据问题分析结果发布新的软件补丁以保障系统稳定运行会。</w:t>
            </w:r>
          </w:p>
        </w:tc>
        <w:tc>
          <w:tcPr>
            <w:tcW w:type="dxa" w:w="1038"/>
          </w:tcPr>
          <w:p>
            <w:pPr>
              <w:pStyle w:val="null3"/>
            </w:pPr>
            <w:r>
              <w:rPr/>
              <w:t>是</w:t>
            </w:r>
          </w:p>
        </w:tc>
        <w:tc>
          <w:tcPr>
            <w:tcW w:type="dxa" w:w="1038"/>
          </w:tcPr>
          <w:p>
            <w:pPr>
              <w:pStyle w:val="null3"/>
            </w:pPr>
            <w:r>
              <w:rPr/>
              <w:t>提供承诺函。承诺函应包含本项要求标准的全部内容。</w:t>
            </w:r>
          </w:p>
        </w:tc>
      </w:tr>
      <w:tr>
        <w:tc>
          <w:tcPr>
            <w:tcW w:type="dxa" w:w="1038"/>
          </w:tcPr>
          <w:p>
            <w:pPr>
              <w:pStyle w:val="null3"/>
            </w:pPr>
            <w:r>
              <w:rPr/>
              <w:t>26</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安全法规要求</w:t>
            </w:r>
          </w:p>
        </w:tc>
        <w:tc>
          <w:tcPr>
            <w:tcW w:type="dxa" w:w="1038"/>
          </w:tcPr>
          <w:p>
            <w:pPr>
              <w:pStyle w:val="null3"/>
            </w:pPr>
            <w:r>
              <w:rPr/>
              <w:t>根据《中华人民共和国网络安全法》，供应商向采购人提供的产品和服务必须遵守《中华人民共和国网络安全法》的相关规定。</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配合安全审查</w:t>
            </w:r>
          </w:p>
        </w:tc>
        <w:tc>
          <w:tcPr>
            <w:tcW w:type="dxa" w:w="1038"/>
          </w:tcPr>
          <w:p>
            <w:pPr>
              <w:pStyle w:val="null3"/>
            </w:pPr>
            <w:r>
              <w:rPr/>
              <w:t>当采购人提出要求时，供应商须配合采购人进行安全审查，包含但不限于网络安全审查、数据安全检查和供应链安全检查等</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雇员信息提供</w:t>
            </w:r>
          </w:p>
        </w:tc>
        <w:tc>
          <w:tcPr>
            <w:tcW w:type="dxa" w:w="1038"/>
          </w:tcPr>
          <w:p>
            <w:pPr>
              <w:pStyle w:val="null3"/>
            </w:pPr>
            <w:r>
              <w:rPr/>
              <w:t>如采购人要求，供应商需提供向采购人服务的雇员（或代理人）信息，包括但不限于人员身份验证、工作技能、教育背景等信息。采购人认为必要时，供应商还应审查其为采购人提供服务的雇员（或代理人）是否无犯罪记录等</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保密协议</w:t>
            </w:r>
          </w:p>
        </w:tc>
        <w:tc>
          <w:tcPr>
            <w:tcW w:type="dxa" w:w="1038"/>
          </w:tcPr>
          <w:p>
            <w:pPr>
              <w:pStyle w:val="null3"/>
            </w:pPr>
            <w:r>
              <w:rPr/>
              <w:t>采购人可根据需要与供应商为其提供服务的雇员（或代理人）单独签署保密协议</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安全保护培训</w:t>
            </w:r>
          </w:p>
        </w:tc>
        <w:tc>
          <w:tcPr>
            <w:tcW w:type="dxa" w:w="1038"/>
          </w:tcPr>
          <w:p>
            <w:pPr>
              <w:pStyle w:val="null3"/>
            </w:pPr>
            <w:r>
              <w:rPr/>
              <w:t>如采购人要求，供应商需为采购人提供服务的雇员（或代理人）须接受安全保护培训</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安全风险策略</w:t>
            </w:r>
          </w:p>
        </w:tc>
        <w:tc>
          <w:tcPr>
            <w:tcW w:type="dxa" w:w="1038"/>
          </w:tcPr>
          <w:p>
            <w:pPr>
              <w:pStyle w:val="null3"/>
            </w:pPr>
            <w:r>
              <w:rPr/>
              <w:t>供应商应在设计、开发、生产、交付等环节加强安全管理，应识别安全风险，供应商需采取适当的措施保障安全并制定安全策略</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软件安全保护</w:t>
            </w:r>
          </w:p>
        </w:tc>
        <w:tc>
          <w:tcPr>
            <w:tcW w:type="dxa" w:w="1038"/>
          </w:tcPr>
          <w:p>
            <w:pPr>
              <w:pStyle w:val="null3"/>
            </w:pPr>
            <w:r>
              <w:rPr/>
              <w:t>供应商提供的软件开发和外包服务必须位于中国境内</w:t>
            </w:r>
          </w:p>
        </w:tc>
        <w:tc>
          <w:tcPr>
            <w:tcW w:type="dxa" w:w="1038"/>
          </w:tcPr>
          <w:p>
            <w:pPr>
              <w:pStyle w:val="null3"/>
            </w:pPr>
            <w:r>
              <w:rPr/>
              <w:t>否</w:t>
            </w:r>
          </w:p>
        </w:tc>
        <w:tc>
          <w:tcPr>
            <w:tcW w:type="dxa" w:w="1038"/>
          </w:tcPr>
          <w:p/>
        </w:tc>
      </w:tr>
      <w:tr>
        <w:tc>
          <w:tcPr>
            <w:tcW w:type="dxa" w:w="1038"/>
          </w:tcPr>
          <w:p>
            <w:pPr>
              <w:pStyle w:val="null3"/>
            </w:pPr>
            <w:r>
              <w:rPr/>
              <w:t>33</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漏洞扫描和渗透测试</w:t>
            </w:r>
          </w:p>
        </w:tc>
        <w:tc>
          <w:tcPr>
            <w:tcW w:type="dxa" w:w="1038"/>
          </w:tcPr>
          <w:p>
            <w:pPr>
              <w:pStyle w:val="null3"/>
            </w:pPr>
            <w:r>
              <w:rPr/>
              <w:t>采购人有权根据项目实际情况，要求乙方对提供的产品，供应商对提供的产品定期进行安全漏洞扫描和安全渗透测试或进行安全认证。供应商在发现其产品存在安全缺陷和漏洞时，有义务及时书面告知采购人同步并积极配合处置，并尽快采取适当的措施修正或减轻发现的威胁，建立应急响应机制和制定应急处置预案，不得隐瞒漏洞、不得设置后门或恶意程序</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网络安全审查要求</w:t>
            </w:r>
          </w:p>
        </w:tc>
        <w:tc>
          <w:tcPr>
            <w:tcW w:type="dxa" w:w="1038"/>
          </w:tcPr>
          <w:p>
            <w:pPr>
              <w:pStyle w:val="null3"/>
            </w:pPr>
            <w:r>
              <w:rPr/>
              <w:t>供应商提供的产品或服务须符合网络安全审查要求。如供应商提供产品或服务需进行网络安全审查的，则此项目合同须在产品或服务通过网络安全审查后方可生效；如未通过安全审查，供应商同意采购人可以此解除本项目合同，且不需要承担任何违约或者其他赔偿责任。如供应商提供的产品或服务（含芯片等配件）已被网络安全审查办公室依法作出不予通过网络安全审查结论的，采购人有权拒绝其响应或解除采购合同不予采购，且采购人不需要承担任何解除合同后的违约或者其他赔偿责任</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技术资料</w:t>
            </w:r>
          </w:p>
        </w:tc>
        <w:tc>
          <w:tcPr>
            <w:tcW w:type="dxa" w:w="1038"/>
          </w:tcPr>
          <w:p>
            <w:pPr>
              <w:pStyle w:val="null3"/>
            </w:pPr>
            <w:r>
              <w:rPr/>
              <w:t>采购人有权利根据项目的实际情况，要求供应商提供产品或服务的中文版运行维护、二次开发等技术资料</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其他安全要求</w:t>
            </w:r>
          </w:p>
        </w:tc>
        <w:tc>
          <w:tcPr>
            <w:tcW w:type="dxa" w:w="1038"/>
          </w:tcPr>
          <w:p>
            <w:pPr>
              <w:pStyle w:val="null3"/>
            </w:pPr>
            <w:r>
              <w:rPr/>
              <w:t>（1）供应商有义务严守采购人及采购人的商业秘密、国家秘密、内部资料和信息，不以任何的形式将采购人及采购人数据资料带出工作现场。 （2）供应商在服务过程中如果对供应商运行正常的硬件或软件因误操作造成损坏，供应商应负责修复或更换，确保采购人的正常使用并赔偿采购人的损失。</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验收主体</w:t>
            </w:r>
          </w:p>
        </w:tc>
        <w:tc>
          <w:tcPr>
            <w:tcW w:type="dxa" w:w="1038"/>
          </w:tcPr>
          <w:p>
            <w:pPr>
              <w:pStyle w:val="null3"/>
            </w:pPr>
            <w:r>
              <w:rPr/>
              <w:t>——</w:t>
            </w:r>
          </w:p>
        </w:tc>
        <w:tc>
          <w:tcPr>
            <w:tcW w:type="dxa" w:w="1038"/>
          </w:tcPr>
          <w:p>
            <w:pPr>
              <w:pStyle w:val="null3"/>
            </w:pPr>
            <w:r>
              <w:rPr/>
              <w:t>采购人内部需求部门。 拟邀请：采购人内部相关部门以及验收规定的其他部门组成验收小组。 （□本项目供应商 □第三方专业机构 □专家 □服务对象 ☑相关部门）</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验收时间</w:t>
            </w:r>
          </w:p>
        </w:tc>
        <w:tc>
          <w:tcPr>
            <w:tcW w:type="dxa" w:w="1038"/>
          </w:tcPr>
          <w:p>
            <w:pPr>
              <w:pStyle w:val="null3"/>
            </w:pPr>
            <w:r>
              <w:rPr/>
              <w:t>——</w:t>
            </w:r>
          </w:p>
        </w:tc>
        <w:tc>
          <w:tcPr>
            <w:tcW w:type="dxa" w:w="1038"/>
          </w:tcPr>
          <w:p>
            <w:pPr>
              <w:pStyle w:val="null3"/>
            </w:pPr>
            <w:r>
              <w:rPr/>
              <w:t>到货验收：设备到货且收到乙方纸质或邮件的验收申请后20个工作日内双方完成到货验收。 初步验收：产品完成安装调试且收到乙方纸质或邮件的验收申请后20个工作日内双方完成初步验收，其中无需安装设备在经过加电测试验证设备正常后，视为初步验收通过。 最终验收：产品试运行期三个月后（自初步验收完成次日起计算），且收到乙方纸质或邮件的验收申请后20个工作日内双方完成最终验收。如试运行期间已安装设备运行一切正常，无需安装设备终验时间即为安装设备通过终验之时。如试运行期间已安装设备出现故障，则需在已安装设备终验时对无需安装设备再次进行加电测试，测试无问题后，则视为终验通过。 维保验收：在维保服务期结束后，且收到乙方纸质或邮件的验收申请后20个工作日内采购人对当期的服务质量完成验收。</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验收地点</w:t>
            </w:r>
          </w:p>
        </w:tc>
        <w:tc>
          <w:tcPr>
            <w:tcW w:type="dxa" w:w="1038"/>
          </w:tcPr>
          <w:p>
            <w:pPr>
              <w:pStyle w:val="null3"/>
            </w:pPr>
            <w:r>
              <w:rPr/>
              <w:t>——</w:t>
            </w:r>
          </w:p>
        </w:tc>
        <w:tc>
          <w:tcPr>
            <w:tcW w:type="dxa" w:w="1038"/>
          </w:tcPr>
          <w:p>
            <w:pPr>
              <w:pStyle w:val="null3"/>
            </w:pPr>
            <w:r>
              <w:rPr/>
              <w:t>北京、上海、深圳，具体位置以采购人通知为准</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验收方式</w:t>
            </w:r>
          </w:p>
        </w:tc>
        <w:tc>
          <w:tcPr>
            <w:tcW w:type="dxa" w:w="1038"/>
          </w:tcPr>
          <w:p>
            <w:pPr>
              <w:pStyle w:val="null3"/>
            </w:pPr>
            <w:r>
              <w:rPr/>
              <w:t>——</w:t>
            </w:r>
          </w:p>
        </w:tc>
        <w:tc>
          <w:tcPr>
            <w:tcW w:type="dxa" w:w="1038"/>
          </w:tcPr>
          <w:p>
            <w:pPr>
              <w:pStyle w:val="null3"/>
            </w:pPr>
            <w:r>
              <w:rPr/>
              <w:t>分段验收</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验收方法</w:t>
            </w:r>
          </w:p>
        </w:tc>
        <w:tc>
          <w:tcPr>
            <w:tcW w:type="dxa" w:w="1038"/>
          </w:tcPr>
          <w:p>
            <w:pPr>
              <w:pStyle w:val="null3"/>
            </w:pPr>
            <w:r>
              <w:rPr/>
              <w:t>——</w:t>
            </w:r>
          </w:p>
        </w:tc>
        <w:tc>
          <w:tcPr>
            <w:tcW w:type="dxa" w:w="1038"/>
          </w:tcPr>
          <w:p>
            <w:pPr>
              <w:pStyle w:val="null3"/>
            </w:pPr>
            <w:r>
              <w:rPr/>
              <w:t>采购人发起部门组织验收小组进行验收</w:t>
            </w:r>
          </w:p>
        </w:tc>
        <w:tc>
          <w:tcPr>
            <w:tcW w:type="dxa" w:w="1038"/>
          </w:tcPr>
          <w:p>
            <w:pPr>
              <w:pStyle w:val="null3"/>
            </w:pPr>
            <w:r>
              <w:rPr/>
              <w:t>否</w:t>
            </w:r>
          </w:p>
        </w:tc>
        <w:tc>
          <w:tcPr>
            <w:tcW w:type="dxa" w:w="1038"/>
          </w:tcPr>
          <w:p/>
        </w:tc>
      </w:tr>
      <w:tr>
        <w:tc>
          <w:tcPr>
            <w:tcW w:type="dxa" w:w="1038"/>
          </w:tcPr>
          <w:p>
            <w:pPr>
              <w:pStyle w:val="null3"/>
            </w:pPr>
            <w:r>
              <w:rPr/>
              <w:t>42</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验收内容</w:t>
            </w:r>
          </w:p>
        </w:tc>
        <w:tc>
          <w:tcPr>
            <w:tcW w:type="dxa" w:w="1038"/>
          </w:tcPr>
          <w:p>
            <w:pPr>
              <w:pStyle w:val="null3"/>
            </w:pPr>
            <w:r>
              <w:rPr/>
              <w:t>——</w:t>
            </w:r>
          </w:p>
        </w:tc>
        <w:tc>
          <w:tcPr>
            <w:tcW w:type="dxa" w:w="1038"/>
          </w:tcPr>
          <w:p>
            <w:pPr>
              <w:pStyle w:val="null3"/>
            </w:pPr>
            <w:r>
              <w:rPr/>
              <w:t>采购需求条款的每一项技术要求和商务要求，以及供应商响应、承诺的相关内容，但不得超出采购合同约定。</w:t>
            </w:r>
          </w:p>
        </w:tc>
        <w:tc>
          <w:tcPr>
            <w:tcW w:type="dxa" w:w="1038"/>
          </w:tcPr>
          <w:p>
            <w:pPr>
              <w:pStyle w:val="null3"/>
            </w:pPr>
            <w:r>
              <w:rPr/>
              <w:t>否</w:t>
            </w:r>
          </w:p>
        </w:tc>
        <w:tc>
          <w:tcPr>
            <w:tcW w:type="dxa" w:w="1038"/>
          </w:tcPr>
          <w:p/>
        </w:tc>
      </w:tr>
      <w:tr>
        <w:tc>
          <w:tcPr>
            <w:tcW w:type="dxa" w:w="1038"/>
          </w:tcPr>
          <w:p>
            <w:pPr>
              <w:pStyle w:val="null3"/>
            </w:pPr>
            <w:r>
              <w:rPr/>
              <w:t>43</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验收标准</w:t>
            </w:r>
          </w:p>
        </w:tc>
        <w:tc>
          <w:tcPr>
            <w:tcW w:type="dxa" w:w="1038"/>
          </w:tcPr>
          <w:p>
            <w:pPr>
              <w:pStyle w:val="null3"/>
            </w:pPr>
            <w:r>
              <w:rPr/>
              <w:t>——</w:t>
            </w:r>
          </w:p>
        </w:tc>
        <w:tc>
          <w:tcPr>
            <w:tcW w:type="dxa" w:w="1038"/>
          </w:tcPr>
          <w:p>
            <w:pPr>
              <w:pStyle w:val="null3"/>
            </w:pPr>
            <w:r>
              <w:rPr/>
              <w:t>供应商提供的产品技术指标是否符合采购需求中对应的技术要求，服务内容是否符合采购需求中对应的服务要求，并按照列入采购合同的供应商响应、承诺内容完成所有服务。</w:t>
            </w:r>
          </w:p>
        </w:tc>
        <w:tc>
          <w:tcPr>
            <w:tcW w:type="dxa" w:w="1038"/>
          </w:tcPr>
          <w:p>
            <w:pPr>
              <w:pStyle w:val="null3"/>
            </w:pPr>
            <w:r>
              <w:rPr/>
              <w:t>否</w:t>
            </w:r>
          </w:p>
        </w:tc>
        <w:tc>
          <w:tcPr>
            <w:tcW w:type="dxa" w:w="1038"/>
          </w:tcPr>
          <w:p/>
        </w:tc>
      </w:tr>
      <w:tr>
        <w:tc>
          <w:tcPr>
            <w:tcW w:type="dxa" w:w="1038"/>
          </w:tcPr>
          <w:p>
            <w:pPr>
              <w:pStyle w:val="null3"/>
            </w:pPr>
            <w:r>
              <w:rPr/>
              <w:t>44</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其他事项1</w:t>
            </w:r>
          </w:p>
        </w:tc>
        <w:tc>
          <w:tcPr>
            <w:tcW w:type="dxa" w:w="1038"/>
          </w:tcPr>
          <w:p>
            <w:pPr>
              <w:pStyle w:val="null3"/>
            </w:pPr>
            <w:r>
              <w:rPr/>
              <w:t>——</w:t>
            </w:r>
          </w:p>
        </w:tc>
        <w:tc>
          <w:tcPr>
            <w:tcW w:type="dxa" w:w="1038"/>
          </w:tcPr>
          <w:p>
            <w:pPr>
              <w:pStyle w:val="null3"/>
            </w:pPr>
            <w:r>
              <w:rPr/>
              <w:t>每次验收结束后，20个工作日内验收小组出具验收报告（格式详见附件），并应由供应商书面认定。供应商应按规定时间进行书面认定，供应商迟延或拒绝书面认定验收报告的，视为同意。</w:t>
            </w:r>
          </w:p>
        </w:tc>
        <w:tc>
          <w:tcPr>
            <w:tcW w:type="dxa" w:w="1038"/>
          </w:tcPr>
          <w:p>
            <w:pPr>
              <w:pStyle w:val="null3"/>
            </w:pPr>
            <w:r>
              <w:rPr/>
              <w:t>否</w:t>
            </w:r>
          </w:p>
        </w:tc>
        <w:tc>
          <w:tcPr>
            <w:tcW w:type="dxa" w:w="1038"/>
          </w:tcPr>
          <w:p/>
        </w:tc>
      </w:tr>
      <w:tr>
        <w:tc>
          <w:tcPr>
            <w:tcW w:type="dxa" w:w="1038"/>
          </w:tcPr>
          <w:p>
            <w:pPr>
              <w:pStyle w:val="null3"/>
            </w:pPr>
            <w:r>
              <w:rPr/>
              <w:t>45</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其他事项2</w:t>
            </w:r>
          </w:p>
        </w:tc>
        <w:tc>
          <w:tcPr>
            <w:tcW w:type="dxa" w:w="1038"/>
          </w:tcPr>
          <w:p>
            <w:pPr>
              <w:pStyle w:val="null3"/>
            </w:pPr>
            <w:r>
              <w:rPr/>
              <w:t>——</w:t>
            </w:r>
          </w:p>
        </w:tc>
        <w:tc>
          <w:tcPr>
            <w:tcW w:type="dxa" w:w="1038"/>
          </w:tcPr>
          <w:p>
            <w:pPr>
              <w:pStyle w:val="null3"/>
            </w:pPr>
            <w:r>
              <w:rPr/>
              <w:t>如验收中出现质量问题或由于验收失败而影响采购人项目的进度，采购人保留索赔的权利。</w:t>
            </w:r>
          </w:p>
        </w:tc>
        <w:tc>
          <w:tcPr>
            <w:tcW w:type="dxa" w:w="1038"/>
          </w:tcPr>
          <w:p>
            <w:pPr>
              <w:pStyle w:val="null3"/>
            </w:pPr>
            <w:r>
              <w:rPr/>
              <w:t>否</w:t>
            </w:r>
          </w:p>
        </w:tc>
        <w:tc>
          <w:tcPr>
            <w:tcW w:type="dxa" w:w="1038"/>
          </w:tcPr>
          <w:p/>
        </w:tc>
      </w:tr>
      <w:tr>
        <w:tc>
          <w:tcPr>
            <w:tcW w:type="dxa" w:w="1038"/>
          </w:tcPr>
          <w:p>
            <w:pPr>
              <w:pStyle w:val="null3"/>
            </w:pPr>
            <w:r>
              <w:rPr/>
              <w:t>46</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其他事项3</w:t>
            </w:r>
          </w:p>
        </w:tc>
        <w:tc>
          <w:tcPr>
            <w:tcW w:type="dxa" w:w="1038"/>
          </w:tcPr>
          <w:p>
            <w:pPr>
              <w:pStyle w:val="null3"/>
            </w:pPr>
            <w:r>
              <w:rPr/>
              <w:t>——</w:t>
            </w:r>
          </w:p>
        </w:tc>
        <w:tc>
          <w:tcPr>
            <w:tcW w:type="dxa" w:w="1038"/>
          </w:tcPr>
          <w:p>
            <w:pPr>
              <w:pStyle w:val="null3"/>
            </w:pPr>
            <w:r>
              <w:rPr/>
              <w:t>本次采购设备，如运行过程中两周内出现两次未知原因宕机，则原厂商须按采购人要求实施整机替换。</w:t>
            </w:r>
          </w:p>
        </w:tc>
        <w:tc>
          <w:tcPr>
            <w:tcW w:type="dxa" w:w="1038"/>
          </w:tcPr>
          <w:p>
            <w:pPr>
              <w:pStyle w:val="null3"/>
            </w:pPr>
            <w:r>
              <w:rPr/>
              <w:t>否</w:t>
            </w:r>
          </w:p>
        </w:tc>
        <w:tc>
          <w:tcPr>
            <w:tcW w:type="dxa" w:w="1038"/>
          </w:tcPr>
          <w:p/>
        </w:tc>
      </w:tr>
      <w:tr>
        <w:tc>
          <w:tcPr>
            <w:tcW w:type="dxa" w:w="1038"/>
          </w:tcPr>
          <w:p>
            <w:pPr>
              <w:pStyle w:val="null3"/>
            </w:pPr>
            <w:r>
              <w:rPr/>
              <w:t>47</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违约处置</w:t>
            </w:r>
          </w:p>
        </w:tc>
        <w:tc>
          <w:tcPr>
            <w:tcW w:type="dxa" w:w="1038"/>
          </w:tcPr>
          <w:p>
            <w:pPr>
              <w:pStyle w:val="null3"/>
            </w:pPr>
            <w:r>
              <w:rPr/>
              <w:t>——</w:t>
            </w:r>
          </w:p>
        </w:tc>
        <w:tc>
          <w:tcPr>
            <w:tcW w:type="dxa" w:w="1038"/>
          </w:tcPr>
          <w:p>
            <w:pPr>
              <w:pStyle w:val="null3"/>
            </w:pPr>
            <w:r>
              <w:rPr/>
              <w:t>a）如乙方提供的【产品不满足采购需求中的“技术要求”】等导致履约异常事件，每发生一次，乙方应按照该批次货物（以供货通知为准）总金额的1‰且不低于5000元人民币的比例向甲方支付违约金。 同时甲方有权要求乙方整改或重新供货，如乙方未在甲方规定的期限内完成整改、支付的违约金累计达到该批次货物总金额的5%，则甲方有权解除合同。 b）乙方未在合同约定的期限内履行采购需求中约定【设备故障排除、电话技术支持、重要保障、辅助故障定位、微码升级、备品备件及其他维保服务要求】等服务内容、或服务不满足合同要求等履约异常事件，每发生一次，乙方应支付违约金，违约金以下述计算方法较高者为准。 计算方法1：如合同中明确提供了该项服务的报价、且价格不为0零，则扣除该服务异常的验收周期、该项服务的服务费作为违约金。 计算方法2：按照该批次货物（以供货通知为准）、该服务异常的验收周期应支付总金额的1‰且不低于5000元人民币的比例向甲方支付违约金。 同时甲方有权要求乙方整改，如乙方未在甲方规定的期限内完成整改或支付的违约金累计达到该批次货物总金额的5%，则甲方有权解除合同。</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履约验收交付文档</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一、到货阶段提供： 《安装部署实施方案》 《应急处理方案》 二、初步验收提供： 《安装部署实施报告》 三、最终验收提供： 《终验服务总结报告》 四、维保服务阶段提供： 《维保启动函》 《维保实施方案》 《服务总结报告》 《微码/固件审计评估报告》</w:t>
            </w:r>
          </w:p>
        </w:tc>
        <w:tc>
          <w:tcPr>
            <w:tcW w:type="dxa" w:w="1038"/>
          </w:tcPr>
          <w:p>
            <w:pPr>
              <w:pStyle w:val="null3"/>
            </w:pPr>
            <w:r>
              <w:rPr/>
              <w:t>否</w:t>
            </w:r>
          </w:p>
        </w:tc>
        <w:tc>
          <w:tcPr>
            <w:tcW w:type="dxa" w:w="1038"/>
          </w:tcPr>
          <w:p/>
        </w:tc>
      </w:tr>
      <w:tr>
        <w:tc>
          <w:tcPr>
            <w:tcW w:type="dxa" w:w="1038"/>
          </w:tcPr>
          <w:p>
            <w:pPr>
              <w:pStyle w:val="null3"/>
            </w:pPr>
            <w:r>
              <w:rPr/>
              <w:t>49</w:t>
            </w:r>
          </w:p>
        </w:tc>
        <w:tc>
          <w:tcPr>
            <w:tcW w:type="dxa" w:w="1038"/>
          </w:tcPr>
          <w:p>
            <w:pPr>
              <w:pStyle w:val="null3"/>
            </w:pPr>
            <w:r>
              <w:rPr/>
              <w:t>节能环保要求</w:t>
            </w:r>
          </w:p>
        </w:tc>
        <w:tc>
          <w:tcPr>
            <w:tcW w:type="dxa" w:w="1038"/>
          </w:tcPr>
          <w:p>
            <w:pPr>
              <w:pStyle w:val="null3"/>
            </w:pPr>
            <w:r>
              <w:rPr/>
              <w:t>#</w:t>
            </w:r>
          </w:p>
        </w:tc>
        <w:tc>
          <w:tcPr>
            <w:tcW w:type="dxa" w:w="1038"/>
          </w:tcPr>
          <w:p>
            <w:pPr>
              <w:pStyle w:val="null3"/>
            </w:pPr>
            <w:r>
              <w:rPr/>
              <w:t>节能环保要求</w:t>
            </w:r>
          </w:p>
        </w:tc>
        <w:tc>
          <w:tcPr>
            <w:tcW w:type="dxa" w:w="1038"/>
          </w:tcPr>
          <w:p>
            <w:pPr>
              <w:pStyle w:val="null3"/>
            </w:pPr>
            <w:r>
              <w:rPr/>
              <w:t>节能环保要求</w:t>
            </w:r>
          </w:p>
        </w:tc>
        <w:tc>
          <w:tcPr>
            <w:tcW w:type="dxa" w:w="1038"/>
          </w:tcPr>
          <w:p>
            <w:pPr>
              <w:pStyle w:val="null3"/>
            </w:pPr>
            <w:r>
              <w:rPr/>
              <w:t>服务器产品属于政府采购环境标志产品实施品目清单范围,投标人所有所投产品均需提供具有国家指定的认证机构出具的、有效的环境标志产品认证证书。</w:t>
            </w:r>
          </w:p>
        </w:tc>
        <w:tc>
          <w:tcPr>
            <w:tcW w:type="dxa" w:w="1038"/>
          </w:tcPr>
          <w:p>
            <w:pPr>
              <w:pStyle w:val="null3"/>
            </w:pPr>
            <w:r>
              <w:rPr/>
              <w:t>是</w:t>
            </w:r>
          </w:p>
        </w:tc>
        <w:tc>
          <w:tcPr>
            <w:tcW w:type="dxa" w:w="1038"/>
          </w:tcPr>
          <w:p>
            <w:pPr>
              <w:pStyle w:val="null3"/>
            </w:pPr>
            <w:r>
              <w:rPr/>
              <w:t>提供国家指定的认证机构出具的、处于有效期内的环境标志产品认证证书复印件。</w:t>
            </w:r>
          </w:p>
        </w:tc>
      </w:tr>
      <w:tr>
        <w:tc>
          <w:tcPr>
            <w:tcW w:type="dxa" w:w="1038"/>
          </w:tcPr>
          <w:p>
            <w:pPr>
              <w:pStyle w:val="null3"/>
            </w:pPr>
            <w:r>
              <w:rPr/>
              <w:t>50</w:t>
            </w:r>
          </w:p>
        </w:tc>
        <w:tc>
          <w:tcPr>
            <w:tcW w:type="dxa" w:w="1038"/>
          </w:tcPr>
          <w:p>
            <w:pPr>
              <w:pStyle w:val="null3"/>
            </w:pPr>
            <w:r>
              <w:rPr/>
              <w:t>供应商要求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供应商或产品制造商需具备本项目标的同类型、同等规模（220台）及以上项目案例</w:t>
            </w:r>
          </w:p>
        </w:tc>
        <w:tc>
          <w:tcPr>
            <w:tcW w:type="dxa" w:w="1038"/>
          </w:tcPr>
          <w:p>
            <w:pPr>
              <w:pStyle w:val="null3"/>
            </w:pPr>
            <w:r>
              <w:rPr/>
              <w:t>是</w:t>
            </w:r>
          </w:p>
        </w:tc>
        <w:tc>
          <w:tcPr>
            <w:tcW w:type="dxa" w:w="1038"/>
          </w:tcPr>
          <w:p>
            <w:pPr>
              <w:pStyle w:val="null3"/>
            </w:pPr>
            <w:r>
              <w:rPr/>
              <w:t>需提供销售合同案例证明</w:t>
            </w:r>
          </w:p>
        </w:tc>
      </w:tr>
      <w:tr>
        <w:tc>
          <w:tcPr>
            <w:tcW w:type="dxa" w:w="1038"/>
          </w:tcPr>
          <w:p>
            <w:pPr>
              <w:pStyle w:val="null3"/>
            </w:pPr>
            <w:r>
              <w:rPr/>
              <w:t>51</w:t>
            </w:r>
          </w:p>
        </w:tc>
        <w:tc>
          <w:tcPr>
            <w:tcW w:type="dxa" w:w="1038"/>
          </w:tcPr>
          <w:p>
            <w:pPr>
              <w:pStyle w:val="null3"/>
            </w:pPr>
            <w:r>
              <w:rPr/>
              <w:t>供应商要求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供应商完全认可采购人商务条款及合同模板所有条款，并按要求提供响应文件。</w:t>
            </w:r>
          </w:p>
        </w:tc>
        <w:tc>
          <w:tcPr>
            <w:tcW w:type="dxa" w:w="1038"/>
          </w:tcPr>
          <w:p>
            <w:pPr>
              <w:pStyle w:val="null3"/>
            </w:pPr>
            <w:r>
              <w:rPr/>
              <w:t>是</w:t>
            </w:r>
          </w:p>
        </w:tc>
        <w:tc>
          <w:tcPr>
            <w:tcW w:type="dxa" w:w="1038"/>
          </w:tcPr>
          <w:p>
            <w:pPr>
              <w:pStyle w:val="null3"/>
            </w:pPr>
            <w:r>
              <w:rPr/>
              <w:t>需提供商务条款及合同模版应答表</w:t>
            </w:r>
          </w:p>
        </w:tc>
      </w:tr>
      <w:tr>
        <w:tc>
          <w:tcPr>
            <w:tcW w:type="dxa" w:w="1038"/>
          </w:tcPr>
          <w:p>
            <w:pPr>
              <w:pStyle w:val="null3"/>
            </w:pPr>
            <w:r>
              <w:rPr/>
              <w:t>52</w:t>
            </w:r>
          </w:p>
        </w:tc>
        <w:tc>
          <w:tcPr>
            <w:tcW w:type="dxa" w:w="1038"/>
          </w:tcPr>
          <w:p>
            <w:pPr>
              <w:pStyle w:val="null3"/>
            </w:pPr>
            <w:r>
              <w:rPr/>
              <w:t>供应商要求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供应商需提供单台设备配置明细清单</w:t>
            </w:r>
          </w:p>
        </w:tc>
        <w:tc>
          <w:tcPr>
            <w:tcW w:type="dxa" w:w="1038"/>
          </w:tcPr>
          <w:p>
            <w:pPr>
              <w:pStyle w:val="null3"/>
            </w:pPr>
            <w:r>
              <w:rPr/>
              <w:t>是</w:t>
            </w:r>
          </w:p>
        </w:tc>
        <w:tc>
          <w:tcPr>
            <w:tcW w:type="dxa" w:w="1038"/>
          </w:tcPr>
          <w:p>
            <w:pPr>
              <w:pStyle w:val="null3"/>
            </w:pPr>
            <w:r>
              <w:rPr/>
              <w:t>按照附件一模板提供设备配置明细清单</w:t>
            </w:r>
          </w:p>
        </w:tc>
      </w:tr>
      <w:tr>
        <w:tc>
          <w:tcPr>
            <w:tcW w:type="dxa" w:w="1038"/>
          </w:tcPr>
          <w:p>
            <w:pPr>
              <w:pStyle w:val="null3"/>
            </w:pPr>
            <w:r>
              <w:rPr/>
              <w:t>53</w:t>
            </w:r>
          </w:p>
        </w:tc>
        <w:tc>
          <w:tcPr>
            <w:tcW w:type="dxa" w:w="1038"/>
          </w:tcPr>
          <w:p>
            <w:pPr>
              <w:pStyle w:val="null3"/>
            </w:pPr>
            <w:r>
              <w:rPr/>
              <w:t>供应商要求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投标人针对一个包件的服务器设备需采用同一个品牌设备进行投标，同时投同一品牌产品的投标人针对包1、包2兼投不兼中（本项目将按照包1、包2的顺序依次评标，某服务器品牌供应商在包1中综合得分排名第一，则优先中标包1，代理该服务器品牌的供应商不再参与其他包的评审。如其中某个包件废标，废标包件优先级调整至最后，例如包1废标后，评标顺序自动调整为包2、包1（重新启动））。</w:t>
            </w:r>
          </w:p>
        </w:tc>
        <w:tc>
          <w:tcPr>
            <w:tcW w:type="dxa" w:w="1038"/>
          </w:tcPr>
          <w:p>
            <w:pPr>
              <w:pStyle w:val="null3"/>
            </w:pPr>
            <w:r>
              <w:rPr/>
              <w:t>否</w:t>
            </w:r>
          </w:p>
        </w:tc>
        <w:tc>
          <w:tcPr>
            <w:tcW w:type="dxa" w:w="1038"/>
          </w:tcP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到货验收</w:t>
            </w:r>
          </w:p>
        </w:tc>
        <w:tc>
          <w:tcPr>
            <w:tcW w:type="dxa" w:w="1384"/>
          </w:tcPr>
          <w:p>
            <w:pPr>
              <w:pStyle w:val="null3"/>
              <w:jc w:val="left"/>
            </w:pPr>
            <w:r>
              <w:rPr/>
              <w:t>到货验收经采购人验收通过，出具生效的验收材料等单据，收到供应商提供的当期批次货物总金额的增值税专用发票，且付款材料经审核齐备后10个工作日内</w:t>
            </w:r>
          </w:p>
        </w:tc>
        <w:tc>
          <w:tcPr>
            <w:tcW w:type="dxa" w:w="1384"/>
          </w:tcPr>
          <w:p>
            <w:pPr>
              <w:pStyle w:val="null3"/>
              <w:jc w:val="left"/>
            </w:pPr>
            <w:r>
              <w:rPr/>
              <w:t>70.00</w:t>
            </w:r>
            <w:r>
              <w:rPr/>
              <w:t>%</w:t>
            </w:r>
          </w:p>
        </w:tc>
        <w:tc>
          <w:tcPr>
            <w:tcW w:type="dxa" w:w="1384"/>
          </w:tcPr>
          <w:p>
            <w:pPr>
              <w:pStyle w:val="null3"/>
              <w:jc w:val="left"/>
            </w:pPr>
            <w:r>
              <w:rPr/>
              <w:t>电汇</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最终验收</w:t>
            </w:r>
          </w:p>
        </w:tc>
        <w:tc>
          <w:tcPr>
            <w:tcW w:type="dxa" w:w="1384"/>
          </w:tcPr>
          <w:p>
            <w:pPr>
              <w:pStyle w:val="null3"/>
              <w:jc w:val="left"/>
            </w:pPr>
            <w:r>
              <w:rPr/>
              <w:t>最终验收经采购人验收通过，出具生效的验收材料等单据，且付款材料经审核齐备后10个工作日内</w:t>
            </w:r>
          </w:p>
        </w:tc>
        <w:tc>
          <w:tcPr>
            <w:tcW w:type="dxa" w:w="1384"/>
          </w:tcPr>
          <w:p>
            <w:pPr>
              <w:pStyle w:val="null3"/>
              <w:jc w:val="left"/>
            </w:pPr>
            <w:r>
              <w:rPr/>
              <w:t>28.00</w:t>
            </w:r>
            <w:r>
              <w:rPr/>
              <w:t>%</w:t>
            </w:r>
          </w:p>
        </w:tc>
        <w:tc>
          <w:tcPr>
            <w:tcW w:type="dxa" w:w="1384"/>
          </w:tcPr>
          <w:p>
            <w:pPr>
              <w:pStyle w:val="null3"/>
              <w:jc w:val="left"/>
            </w:pPr>
            <w:r>
              <w:rPr/>
              <w:t>电汇</w:t>
            </w:r>
          </w:p>
        </w:tc>
        <w:tc>
          <w:tcPr>
            <w:tcW w:type="dxa" w:w="1384"/>
          </w:tcPr>
          <w:p>
            <w:pPr>
              <w:pStyle w:val="null3"/>
              <w:jc w:val="left"/>
            </w:pPr>
            <w:r>
              <w:rPr/>
              <w:t>无</w:t>
            </w:r>
          </w:p>
        </w:tc>
      </w:tr>
      <w:tr>
        <w:tc>
          <w:tcPr>
            <w:tcW w:type="dxa" w:w="1384"/>
          </w:tcPr>
          <w:p>
            <w:pPr>
              <w:pStyle w:val="null3"/>
              <w:jc w:val="left"/>
            </w:pPr>
            <w:r>
              <w:rPr/>
              <w:t>3</w:t>
            </w:r>
          </w:p>
        </w:tc>
        <w:tc>
          <w:tcPr>
            <w:tcW w:type="dxa" w:w="1384"/>
          </w:tcPr>
          <w:p>
            <w:pPr>
              <w:pStyle w:val="null3"/>
              <w:jc w:val="left"/>
            </w:pPr>
            <w:r>
              <w:rPr/>
              <w:t>尾款</w:t>
            </w:r>
          </w:p>
        </w:tc>
        <w:tc>
          <w:tcPr>
            <w:tcW w:type="dxa" w:w="1384"/>
          </w:tcPr>
          <w:p>
            <w:pPr>
              <w:pStyle w:val="null3"/>
              <w:jc w:val="left"/>
            </w:pPr>
            <w:r>
              <w:rPr/>
              <w:t>全部维保服务结束后经采购人验收通过，出具生效的验收材料等单据，且付款材料经审核齐备后10个工作日内</w:t>
            </w:r>
          </w:p>
        </w:tc>
        <w:tc>
          <w:tcPr>
            <w:tcW w:type="dxa" w:w="1384"/>
          </w:tcPr>
          <w:p>
            <w:pPr>
              <w:pStyle w:val="null3"/>
              <w:jc w:val="left"/>
            </w:pPr>
            <w:r>
              <w:rPr/>
              <w:t>2.00</w:t>
            </w:r>
            <w:r>
              <w:rPr/>
              <w:t>%</w:t>
            </w:r>
          </w:p>
        </w:tc>
        <w:tc>
          <w:tcPr>
            <w:tcW w:type="dxa" w:w="1384"/>
          </w:tcPr>
          <w:p>
            <w:pPr>
              <w:pStyle w:val="null3"/>
              <w:jc w:val="left"/>
            </w:pPr>
            <w:r>
              <w:rPr/>
              <w:t>电汇</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both"/>
      </w:pPr>
      <w:r>
        <w:rPr/>
        <w:t>（1）验收主体</w:t>
      </w:r>
    </w:p>
    <w:p>
      <w:pPr>
        <w:pStyle w:val="null3"/>
      </w:pPr>
      <w:r>
        <w:rPr/>
        <w:t>采购人（需求部门）</w:t>
      </w:r>
      <w:r>
        <w:rPr>
          <w:u w:val="single"/>
        </w:rPr>
        <w:t>采购人内部需求部门。 拟邀请：采购人内部相关部门以及验收规定的其他部门组成验收小组。 （□本项目供应商 □第三方专业机构 □专家 □服务对象 ☑相关部门）</w:t>
      </w:r>
    </w:p>
    <w:p>
      <w:pPr>
        <w:pStyle w:val="null3"/>
      </w:pPr>
      <w:r>
        <w:rPr/>
        <w:t>采购人（需求部门）拟邀请（</w:t>
      </w:r>
      <w:r>
        <w:rPr/>
        <w:t>）</w:t>
      </w:r>
    </w:p>
    <w:p>
      <w:pPr>
        <w:pStyle w:val="null3"/>
      </w:pPr>
      <w:r>
        <w:rPr/>
        <w:t>（2）验收时间</w:t>
      </w:r>
      <w:r>
        <w:rPr>
          <w:u w:val="single"/>
        </w:rPr>
        <w:t>到货验收时间：设备到货且收到乙方书面或邮件形式的验收申请后20个工作日内双方完成到货验收。 初步验收时间：产品完成安装调试且收到乙方书面或邮件形式的验收申请后20个工作日内双方完成初步验收。 最终验收时间：自初步验收完成次日起计算，产品试运行期三个月后，收到乙方书面或邮件形式的验收申请后20个工作日内双方完成最终验收。 维保验收时间：在维保服务期结束后，且收到乙方书面或邮件形式的验收申请后20个工作日内对维保服务质量完成验收。</w:t>
      </w:r>
    </w:p>
    <w:p>
      <w:pPr>
        <w:pStyle w:val="null3"/>
      </w:pPr>
      <w:r>
        <w:rPr/>
        <w:t>（3）验收方式</w:t>
      </w:r>
      <w:r>
        <w:rPr>
          <w:u w:val="single"/>
        </w:rPr>
        <w:t>分阶段验收</w:t>
      </w:r>
    </w:p>
    <w:p>
      <w:pPr>
        <w:pStyle w:val="null3"/>
      </w:pPr>
      <w:r>
        <w:rPr/>
        <w:t>（4）验收程序</w:t>
      </w:r>
      <w:r>
        <w:rPr>
          <w:u w:val="single"/>
        </w:rPr>
        <w:t>验收小组按照合同要求对供应商提供的设备进行到货验收、初步验收、最终验收、服务验收。</w:t>
      </w:r>
    </w:p>
    <w:p>
      <w:pPr>
        <w:pStyle w:val="null3"/>
      </w:pPr>
      <w:r>
        <w:rPr/>
        <w:t>（5）验收内容</w:t>
      </w:r>
      <w:r>
        <w:rPr>
          <w:u w:val="single"/>
        </w:rPr>
        <w:t>采购需求条款的每一项技术要求和商务要求，以及供应商响应、承诺的相关内容，但不得超出采购合同约定。</w:t>
      </w:r>
    </w:p>
    <w:p>
      <w:pPr>
        <w:pStyle w:val="null3"/>
      </w:pPr>
      <w:r>
        <w:rPr/>
        <w:t>（6）验收标准</w:t>
      </w:r>
      <w:r>
        <w:rPr>
          <w:u w:val="single"/>
        </w:rPr>
        <w:t>供应商提供的产品及服务是否符合采购需求中对应的技术商务要求以及列入采购合同的供应商响应、承诺内容。</w:t>
      </w:r>
    </w:p>
    <w:p>
      <w:pPr>
        <w:pStyle w:val="null3"/>
      </w:pPr>
      <w:r>
        <w:rPr/>
        <w:t>（7）其他事项（如有）</w:t>
      </w:r>
      <w:r>
        <w:rPr>
          <w:u w:val="single"/>
        </w:rPr>
        <w:t>无</w:t>
      </w:r>
      <w:r>
        <w:br/>
      </w:r>
    </w:p>
    <w:p>
      <w:pPr>
        <w:pStyle w:val="null3"/>
        <w:jc w:val="left"/>
        <w:outlineLvl w:val="2"/>
      </w:pPr>
      <w:r>
        <w:rPr>
          <w:sz w:val="28"/>
          <w:b/>
        </w:rPr>
        <w:t>3.5 其他</w:t>
      </w:r>
    </w:p>
    <w:p>
      <w:pPr>
        <w:pStyle w:val="null3"/>
        <w:jc w:val="both"/>
      </w:pPr>
      <w:r>
        <w:rPr>
          <w:rFonts w:ascii="黑体" w:hAnsi="黑体" w:cs="黑体" w:eastAsia="黑体"/>
          <w:sz w:val="32"/>
          <w:color w:val="000000"/>
          <w:shd w:fill="FFFFFF" w:val="clear"/>
        </w:rPr>
        <w:t>附件一：设备配置明细清单</w:t>
      </w:r>
    </w:p>
    <w:p>
      <w:pPr>
        <w:pStyle w:val="null3"/>
        <w:jc w:val="left"/>
      </w:pPr>
      <w:r>
        <w:rPr>
          <w:rFonts w:ascii="宋体" w:hAnsi="宋体" w:cs="宋体" w:eastAsia="宋体"/>
          <w:sz w:val="28"/>
          <w:b/>
        </w:rPr>
        <w:t>配置明细清单</w:t>
      </w:r>
      <w:r>
        <w:rPr>
          <w:rFonts w:ascii="&quot;times new roman&quot;, serif" w:hAnsi="&quot;times new roman&quot;, serif" w:cs="&quot;times new roman&quot;, serif" w:eastAsia="&quot;times new roman&quot;, serif"/>
          <w:sz w:val="28"/>
          <w:b/>
        </w:rPr>
        <w:t>-x</w:t>
      </w:r>
      <w:r>
        <w:rPr>
          <w:rFonts w:ascii="宋体" w:hAnsi="宋体" w:cs="宋体" w:eastAsia="宋体"/>
          <w:sz w:val="28"/>
          <w:b/>
        </w:rPr>
        <w:t>（</w:t>
      </w:r>
      <w:r>
        <w:rPr>
          <w:rFonts w:ascii="&quot;times new roman&quot;, serif" w:hAnsi="&quot;times new roman&quot;, serif" w:cs="&quot;times new roman&quot;, serif" w:eastAsia="&quot;times new roman&quot;, serif"/>
          <w:sz w:val="28"/>
          <w:b/>
        </w:rPr>
        <w:t>xx</w:t>
      </w:r>
      <w:r>
        <w:rPr>
          <w:rFonts w:ascii="宋体" w:hAnsi="宋体" w:cs="宋体" w:eastAsia="宋体"/>
          <w:sz w:val="28"/>
          <w:b/>
        </w:rPr>
        <w:t>型服务器）</w:t>
      </w:r>
    </w:p>
    <w:tbl>
      <w:tblPr>
        <w:tblW w:w="0" w:type="auto"/>
        <w:tblBorders>
          <w:top w:val="single"/>
          <w:left w:val="single"/>
          <w:bottom w:val="single"/>
          <w:right w:val="single"/>
          <w:insideH w:val="single"/>
          <w:insideV w:val="single"/>
        </w:tblBorders>
      </w:tblPr>
      <w:tblGrid>
        <w:gridCol w:w="350"/>
        <w:gridCol w:w="612"/>
        <w:gridCol w:w="437"/>
        <w:gridCol w:w="612"/>
        <w:gridCol w:w="787"/>
        <w:gridCol w:w="2361"/>
        <w:gridCol w:w="437"/>
        <w:gridCol w:w="612"/>
        <w:gridCol w:w="787"/>
        <w:gridCol w:w="612"/>
        <w:gridCol w:w="699"/>
      </w:tblGrid>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序号</w:t>
            </w:r>
          </w:p>
        </w:tc>
        <w:tc>
          <w:tcPr>
            <w:tcW w:type="dxa" w:w="61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设备名称</w:t>
            </w:r>
          </w:p>
        </w:tc>
        <w:tc>
          <w:tcPr>
            <w:tcW w:type="dxa" w:w="43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分类</w:t>
            </w:r>
          </w:p>
        </w:tc>
        <w:tc>
          <w:tcPr>
            <w:tcW w:type="dxa" w:w="61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构成组件</w:t>
            </w:r>
          </w:p>
        </w:tc>
        <w:tc>
          <w:tcPr>
            <w:tcW w:type="dxa" w:w="7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细项产品号</w:t>
            </w:r>
          </w:p>
        </w:tc>
        <w:tc>
          <w:tcPr>
            <w:tcW w:type="dxa" w:w="23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18"/>
                <w:color w:val="000000"/>
              </w:rPr>
              <w:t>配置及性能描述（中文）</w:t>
            </w:r>
          </w:p>
        </w:tc>
        <w:tc>
          <w:tcPr>
            <w:tcW w:type="dxa" w:w="43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数量</w:t>
            </w:r>
          </w:p>
        </w:tc>
        <w:tc>
          <w:tcPr>
            <w:tcW w:type="dxa" w:w="61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列表价</w:t>
            </w:r>
          </w:p>
        </w:tc>
        <w:tc>
          <w:tcPr>
            <w:tcW w:type="dxa" w:w="7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折扣后单价</w:t>
            </w:r>
          </w:p>
        </w:tc>
        <w:tc>
          <w:tcPr>
            <w:tcW w:type="dxa" w:w="61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增值税</w:t>
            </w:r>
          </w:p>
        </w:tc>
        <w:tc>
          <w:tcPr>
            <w:tcW w:type="dxa" w:w="6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税后小计</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1</w:t>
            </w:r>
          </w:p>
        </w:tc>
        <w:tc>
          <w:tcPr>
            <w:tcW w:type="dxa" w:w="6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xx</w:t>
            </w:r>
            <w:r>
              <w:rPr>
                <w:rFonts w:ascii="宋体" w:hAnsi="宋体" w:cs="宋体" w:eastAsia="宋体"/>
                <w:sz w:val="18"/>
                <w:color w:val="000000"/>
              </w:rPr>
              <w:t>服务器</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硬件</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机框</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36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2</w:t>
            </w:r>
          </w:p>
        </w:tc>
        <w:tc>
          <w:tcPr>
            <w:tcW w:type="dxa" w:w="612"/>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CPU</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36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3</w:t>
            </w:r>
          </w:p>
        </w:tc>
        <w:tc>
          <w:tcPr>
            <w:tcW w:type="dxa" w:w="612"/>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内存</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36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4</w:t>
            </w:r>
          </w:p>
        </w:tc>
        <w:tc>
          <w:tcPr>
            <w:tcW w:type="dxa" w:w="612"/>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硬盘</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36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612"/>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硬盘</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36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5</w:t>
            </w:r>
          </w:p>
        </w:tc>
        <w:tc>
          <w:tcPr>
            <w:tcW w:type="dxa" w:w="612"/>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RAID</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36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6</w:t>
            </w:r>
          </w:p>
        </w:tc>
        <w:tc>
          <w:tcPr>
            <w:tcW w:type="dxa" w:w="612"/>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电源</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36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7</w:t>
            </w:r>
          </w:p>
        </w:tc>
        <w:tc>
          <w:tcPr>
            <w:tcW w:type="dxa" w:w="612"/>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千兆网卡</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36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8</w:t>
            </w:r>
          </w:p>
        </w:tc>
        <w:tc>
          <w:tcPr>
            <w:tcW w:type="dxa" w:w="612"/>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万兆网卡</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36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9</w:t>
            </w:r>
            <w:r>
              <w:rPr>
                <w:rFonts w:ascii="等线" w:hAnsi="等线" w:cs="等线" w:eastAsia="等线"/>
                <w:sz w:val="21"/>
              </w:rPr>
              <w:t>　</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合计</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w:t>
            </w:r>
          </w:p>
        </w:tc>
        <w:tc>
          <w:tcPr>
            <w:tcW w:type="dxa" w:w="23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times new roman&quot;, serif" w:hAnsi="&quot;times new roman&quot;, serif" w:cs="&quot;times new roman&quot;, serif" w:eastAsia="&quot;times new roman&quot;, serif"/>
                <w:sz w:val="18"/>
                <w:color w:val="000000"/>
              </w:rPr>
              <w:t>/</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both"/>
      </w:pPr>
      <w:r>
        <w:rPr>
          <w:rFonts w:ascii="黑体" w:hAnsi="黑体" w:cs="黑体" w:eastAsia="黑体"/>
          <w:sz w:val="32"/>
          <w:color w:val="000000"/>
          <w:shd w:fill="FFFFFF" w:val="clear"/>
        </w:rPr>
        <w:t>附件二：验收单据（以采购人最终要求的格式为准）</w:t>
      </w:r>
    </w:p>
    <w:p>
      <w:pPr>
        <w:pStyle w:val="null3"/>
        <w:jc w:val="left"/>
      </w:pPr>
      <w:r>
        <w:rPr>
          <w:rFonts w:ascii="&quot;times new roman&quot;, serif" w:hAnsi="&quot;times new roman&quot;, serif" w:cs="&quot;times new roman&quot;, serif" w:eastAsia="&quot;times new roman&quot;, serif"/>
          <w:sz w:val="32"/>
          <w:color w:val="000000"/>
        </w:rPr>
        <w:t>1.</w:t>
      </w:r>
      <w:r>
        <w:rPr>
          <w:rFonts w:ascii="黑体" w:hAnsi="黑体" w:cs="黑体" w:eastAsia="黑体"/>
          <w:sz w:val="32"/>
          <w:color w:val="000000"/>
        </w:rPr>
        <w:t>验收清单模板</w:t>
      </w:r>
    </w:p>
    <w:p>
      <w:pPr>
        <w:pStyle w:val="null3"/>
        <w:jc w:val="center"/>
      </w:pPr>
      <w:r>
        <w:rPr>
          <w:rFonts w:ascii="仿宋_gb2312" w:hAnsi="仿宋_gb2312" w:cs="仿宋_gb2312" w:eastAsia="仿宋_gb2312"/>
          <w:sz w:val="32"/>
          <w:b/>
        </w:rPr>
        <w:t>验收清单</w:t>
      </w:r>
    </w:p>
    <w:tbl>
      <w:tblPr>
        <w:tblW w:w="0" w:type="auto"/>
        <w:tblBorders>
          <w:top w:val="none" w:color="000000" w:sz="4"/>
          <w:left w:val="none" w:color="000000" w:sz="4"/>
          <w:bottom w:val="none" w:color="000000" w:sz="4"/>
          <w:right w:val="none" w:color="000000" w:sz="4"/>
          <w:insideH w:val="none"/>
          <w:insideV w:val="none"/>
        </w:tblBorders>
      </w:tblPr>
      <w:tblGrid>
        <w:gridCol w:w="3274"/>
        <w:gridCol w:w="5018"/>
      </w:tblGrid>
      <w:tr>
        <w:tc>
          <w:tcPr>
            <w:tcW w:type="dxa" w:w="327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rPr>
              <w:t>采购合同基本信息</w:t>
            </w:r>
          </w:p>
        </w:tc>
        <w:tc>
          <w:tcPr>
            <w:tcW w:type="dxa" w:w="501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（合同编号、合同名称）</w:t>
            </w:r>
          </w:p>
        </w:tc>
      </w:tr>
      <w:tr>
        <w:tc>
          <w:tcPr>
            <w:tcW w:type="dxa" w:w="32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rPr>
              <w:t>验收小组成员</w:t>
            </w:r>
          </w:p>
        </w:tc>
        <w:tc>
          <w:tcPr>
            <w:tcW w:type="dxa" w:w="5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32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rPr>
              <w:t>验收内容</w:t>
            </w:r>
          </w:p>
        </w:tc>
        <w:tc>
          <w:tcPr>
            <w:tcW w:type="dxa" w:w="5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r>
      <w:tr>
        <w:tc>
          <w:tcPr>
            <w:tcW w:type="dxa" w:w="32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rPr>
              <w:t>验收标准</w:t>
            </w:r>
          </w:p>
        </w:tc>
        <w:tc>
          <w:tcPr>
            <w:tcW w:type="dxa" w:w="5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bl>
    <w:p>
      <w:pPr>
        <w:pStyle w:val="null3"/>
        <w:jc w:val="left"/>
      </w:pPr>
      <w:r>
        <w:rPr>
          <w:rFonts w:ascii="&quot;times new roman&quot;, serif" w:hAnsi="&quot;times new roman&quot;, serif" w:cs="&quot;times new roman&quot;, serif" w:eastAsia="&quot;times new roman&quot;, serif"/>
          <w:sz w:val="32"/>
        </w:rPr>
        <w:t>2.</w:t>
      </w:r>
      <w:r>
        <w:rPr>
          <w:rFonts w:ascii="黑体" w:hAnsi="黑体" w:cs="黑体" w:eastAsia="黑体"/>
          <w:sz w:val="32"/>
        </w:rPr>
        <w:t>验收实施计划模板</w:t>
      </w:r>
    </w:p>
    <w:p>
      <w:pPr>
        <w:pStyle w:val="null3"/>
        <w:jc w:val="center"/>
      </w:pPr>
      <w:r>
        <w:rPr>
          <w:rFonts w:ascii="仿宋_gb2312" w:hAnsi="仿宋_gb2312" w:cs="仿宋_gb2312" w:eastAsia="仿宋_gb2312"/>
          <w:sz w:val="32"/>
          <w:b/>
        </w:rPr>
        <w:t>验收实施计划</w:t>
      </w:r>
    </w:p>
    <w:p>
      <w:pPr>
        <w:pStyle w:val="null3"/>
        <w:numPr>
          <w:ilvl w:val="0"/>
          <w:numId w:val="1"/>
        </w:numPr>
        <w:jc w:val="both"/>
      </w:pPr>
      <w:r>
        <w:rPr>
          <w:rFonts w:ascii="仿宋_gb2312" w:hAnsi="仿宋_gb2312" w:cs="仿宋_gb2312" w:eastAsia="仿宋_gb2312"/>
          <w:sz w:val="32"/>
          <w:color w:val="000000"/>
        </w:rPr>
        <w:t>采购合同信息</w:t>
      </w:r>
      <w:r>
        <w:rPr>
          <w:rFonts w:ascii="等线" w:hAnsi="等线" w:cs="等线" w:eastAsia="等线"/>
          <w:sz w:val="21"/>
          <w:u w:val="single"/>
        </w:rPr>
        <w:t xml:space="preserve">           </w:t>
      </w:r>
    </w:p>
    <w:p>
      <w:pPr>
        <w:pStyle w:val="null3"/>
        <w:numPr>
          <w:ilvl w:val="0"/>
          <w:numId w:val="1"/>
        </w:numPr>
        <w:ind w:firstLine="420"/>
        <w:jc w:val="both"/>
      </w:pPr>
      <w:r>
        <w:rPr>
          <w:rFonts w:ascii="仿宋" w:hAnsi="仿宋" w:cs="仿宋" w:eastAsia="仿宋"/>
          <w:sz w:val="32"/>
          <w:color w:val="000000"/>
        </w:rPr>
        <w:t>验收阶段（期）</w:t>
      </w:r>
      <w:r>
        <w:rPr>
          <w:rFonts w:ascii="等线" w:hAnsi="等线" w:cs="等线" w:eastAsia="等线"/>
          <w:sz w:val="21"/>
          <w:u w:val="single"/>
        </w:rPr>
        <w:t xml:space="preserve">            </w:t>
      </w:r>
      <w:r>
        <w:rPr>
          <w:rFonts w:ascii="仿宋_gb2312" w:hAnsi="仿宋_gb2312" w:cs="仿宋_gb2312" w:eastAsia="仿宋_gb2312"/>
          <w:sz w:val="31"/>
          <w:color w:val="000000"/>
        </w:rPr>
        <w:t>，第</w:t>
      </w:r>
      <w:r>
        <w:rPr>
          <w:rFonts w:ascii="等线" w:hAnsi="等线" w:cs="等线" w:eastAsia="等线"/>
          <w:sz w:val="21"/>
          <w:u w:val="single"/>
        </w:rPr>
        <w:t xml:space="preserve">  </w:t>
      </w:r>
      <w:r>
        <w:rPr>
          <w:rFonts w:ascii="仿宋_gb2312" w:hAnsi="仿宋_gb2312" w:cs="仿宋_gb2312" w:eastAsia="仿宋_gb2312"/>
          <w:sz w:val="31"/>
          <w:color w:val="000000"/>
        </w:rPr>
        <w:t>次验收，本次验收对应付款金额</w:t>
      </w:r>
      <w:r>
        <w:rPr>
          <w:rFonts w:ascii="等线" w:hAnsi="等线" w:cs="等线" w:eastAsia="等线"/>
          <w:sz w:val="21"/>
          <w:u w:val="single"/>
        </w:rPr>
        <w:t xml:space="preserve">       </w:t>
      </w:r>
      <w:r>
        <w:rPr>
          <w:rFonts w:ascii="仿宋_gb2312" w:hAnsi="仿宋_gb2312" w:cs="仿宋_gb2312" w:eastAsia="仿宋_gb2312"/>
          <w:sz w:val="31"/>
          <w:color w:val="000000"/>
          <w:u w:val="single"/>
        </w:rPr>
        <w:t>万元</w:t>
      </w:r>
      <w:r>
        <w:rPr>
          <w:rFonts w:ascii="仿宋_gb2312" w:hAnsi="仿宋_gb2312" w:cs="仿宋_gb2312" w:eastAsia="仿宋_gb2312"/>
          <w:sz w:val="31"/>
          <w:color w:val="000000"/>
        </w:rPr>
        <w:t>。</w:t>
      </w:r>
    </w:p>
    <w:p>
      <w:pPr>
        <w:pStyle w:val="null3"/>
        <w:numPr>
          <w:ilvl w:val="0"/>
          <w:numId w:val="1"/>
        </w:numPr>
        <w:jc w:val="both"/>
      </w:pPr>
      <w:r>
        <w:rPr>
          <w:rFonts w:ascii="仿宋" w:hAnsi="仿宋" w:cs="仿宋" w:eastAsia="仿宋"/>
          <w:sz w:val="32"/>
          <w:color w:val="000000"/>
        </w:rPr>
        <w:t>验收时间</w:t>
      </w:r>
      <w:r>
        <w:rPr>
          <w:rFonts w:ascii="等线" w:hAnsi="等线" w:cs="等线" w:eastAsia="等线"/>
          <w:sz w:val="21"/>
          <w:u w:val="single"/>
        </w:rPr>
        <w:t xml:space="preserve">           </w:t>
      </w:r>
    </w:p>
    <w:p>
      <w:pPr>
        <w:pStyle w:val="null3"/>
        <w:numPr>
          <w:ilvl w:val="0"/>
          <w:numId w:val="1"/>
        </w:numPr>
        <w:jc w:val="both"/>
      </w:pPr>
      <w:r>
        <w:rPr>
          <w:rFonts w:ascii="仿宋" w:hAnsi="仿宋" w:cs="仿宋" w:eastAsia="仿宋"/>
          <w:sz w:val="32"/>
          <w:color w:val="000000"/>
        </w:rPr>
        <w:t>验收地点</w:t>
      </w:r>
      <w:r>
        <w:rPr>
          <w:rFonts w:ascii="等线" w:hAnsi="等线" w:cs="等线" w:eastAsia="等线"/>
          <w:sz w:val="21"/>
          <w:u w:val="single"/>
        </w:rPr>
        <w:t xml:space="preserve">           </w:t>
      </w:r>
    </w:p>
    <w:p>
      <w:pPr>
        <w:pStyle w:val="null3"/>
        <w:numPr>
          <w:ilvl w:val="0"/>
          <w:numId w:val="1"/>
        </w:numPr>
        <w:jc w:val="both"/>
      </w:pPr>
      <w:r>
        <w:rPr>
          <w:rFonts w:ascii="仿宋" w:hAnsi="仿宋" w:cs="仿宋" w:eastAsia="仿宋"/>
          <w:sz w:val="32"/>
          <w:color w:val="000000"/>
        </w:rPr>
        <w:t>验收方法</w:t>
      </w:r>
      <w:r>
        <w:rPr>
          <w:rFonts w:ascii="等线" w:hAnsi="等线" w:cs="等线" w:eastAsia="等线"/>
          <w:sz w:val="21"/>
        </w:rPr>
        <w:t xml:space="preserve">           </w:t>
      </w:r>
    </w:p>
    <w:p>
      <w:pPr>
        <w:pStyle w:val="null3"/>
        <w:numPr>
          <w:ilvl w:val="0"/>
          <w:numId w:val="1"/>
        </w:numPr>
        <w:jc w:val="both"/>
      </w:pPr>
      <w:r>
        <w:rPr>
          <w:rFonts w:ascii="仿宋" w:hAnsi="仿宋" w:cs="仿宋" w:eastAsia="仿宋"/>
          <w:sz w:val="32"/>
          <w:color w:val="000000"/>
        </w:rPr>
        <w:t>验收内容</w:t>
      </w:r>
      <w:r>
        <w:rPr>
          <w:rFonts w:ascii="等线" w:hAnsi="等线" w:cs="等线" w:eastAsia="等线"/>
          <w:sz w:val="21"/>
        </w:rPr>
        <w:t xml:space="preserve">           </w:t>
      </w:r>
    </w:p>
    <w:p>
      <w:pPr>
        <w:pStyle w:val="null3"/>
        <w:numPr>
          <w:ilvl w:val="0"/>
          <w:numId w:val="1"/>
        </w:numPr>
        <w:jc w:val="both"/>
      </w:pPr>
      <w:r>
        <w:rPr>
          <w:rFonts w:ascii="仿宋" w:hAnsi="仿宋" w:cs="仿宋" w:eastAsia="仿宋"/>
          <w:sz w:val="32"/>
          <w:color w:val="000000"/>
        </w:rPr>
        <w:t>验收标准</w:t>
      </w:r>
      <w:r>
        <w:rPr>
          <w:rFonts w:ascii="等线" w:hAnsi="等线" w:cs="等线" w:eastAsia="等线"/>
          <w:sz w:val="21"/>
        </w:rPr>
        <w:t xml:space="preserve">           </w:t>
      </w:r>
    </w:p>
    <w:p>
      <w:pPr>
        <w:pStyle w:val="null3"/>
        <w:numPr>
          <w:ilvl w:val="0"/>
          <w:numId w:val="1"/>
        </w:numPr>
        <w:jc w:val="both"/>
      </w:pPr>
      <w:r>
        <w:rPr>
          <w:rFonts w:ascii="仿宋" w:hAnsi="仿宋" w:cs="仿宋" w:eastAsia="仿宋"/>
          <w:sz w:val="32"/>
          <w:color w:val="000000"/>
        </w:rPr>
        <w:t>验收小组成员</w:t>
      </w:r>
      <w:r>
        <w:rPr>
          <w:rFonts w:ascii="等线" w:hAnsi="等线" w:cs="等线" w:eastAsia="等线"/>
          <w:sz w:val="21"/>
        </w:rPr>
        <w:t xml:space="preserve">             </w:t>
      </w:r>
    </w:p>
    <w:p>
      <w:pPr>
        <w:pStyle w:val="null3"/>
        <w:jc w:val="both"/>
      </w:pPr>
      <w:r>
        <w:rPr>
          <w:rFonts w:ascii="等线" w:hAnsi="等线" w:cs="等线" w:eastAsia="等线"/>
          <w:sz w:val="21"/>
        </w:rPr>
        <w:t xml:space="preserve"> </w:t>
      </w:r>
    </w:p>
    <w:p>
      <w:pPr>
        <w:pStyle w:val="null3"/>
        <w:ind w:firstLine="420"/>
        <w:jc w:val="both"/>
      </w:pPr>
      <w:r>
        <w:rPr>
          <w:rFonts w:ascii="&quot;times new roman&quot;, serif" w:hAnsi="&quot;times new roman&quot;, serif" w:cs="&quot;times new roman&quot;, serif" w:eastAsia="&quot;times new roman&quot;, serif"/>
          <w:sz w:val="32"/>
        </w:rPr>
        <w:t>3.</w:t>
      </w:r>
      <w:r>
        <w:rPr>
          <w:rFonts w:ascii="黑体" w:hAnsi="黑体" w:cs="黑体" w:eastAsia="黑体"/>
          <w:sz w:val="32"/>
        </w:rPr>
        <w:t>验收报告模板</w:t>
      </w:r>
    </w:p>
    <w:p>
      <w:pPr>
        <w:pStyle w:val="null3"/>
        <w:jc w:val="center"/>
      </w:pPr>
      <w:r>
        <w:rPr>
          <w:rFonts w:ascii="仿宋_gb2312" w:hAnsi="仿宋_gb2312" w:cs="仿宋_gb2312" w:eastAsia="仿宋_gb2312"/>
          <w:sz w:val="32"/>
          <w:b/>
        </w:rPr>
        <w:t>验收报告</w:t>
      </w:r>
    </w:p>
    <w:p>
      <w:pPr>
        <w:pStyle w:val="null3"/>
        <w:jc w:val="both"/>
      </w:pPr>
      <w:r>
        <w:rPr>
          <w:rFonts w:ascii="仿宋_gb2312" w:hAnsi="仿宋_gb2312" w:cs="仿宋_gb2312" w:eastAsia="仿宋_gb2312"/>
          <w:sz w:val="28"/>
        </w:rPr>
        <w:t>验收阶段（期）</w:t>
      </w:r>
      <w:r>
        <w:rPr>
          <w:rFonts w:ascii="等线" w:hAnsi="等线" w:cs="等线" w:eastAsia="等线"/>
          <w:sz w:val="21"/>
        </w:rPr>
        <w:t xml:space="preserve">                                 </w:t>
      </w:r>
      <w:r>
        <w:rPr>
          <w:rFonts w:ascii="仿宋_gb2312" w:hAnsi="仿宋_gb2312" w:cs="仿宋_gb2312" w:eastAsia="仿宋_gb2312"/>
          <w:sz w:val="28"/>
        </w:rPr>
        <w:t>第</w:t>
      </w:r>
      <w:r>
        <w:rPr>
          <w:rFonts w:ascii="等线" w:hAnsi="等线" w:cs="等线" w:eastAsia="等线"/>
          <w:sz w:val="21"/>
        </w:rPr>
        <w:t xml:space="preserve">   </w:t>
      </w:r>
      <w:r>
        <w:rPr>
          <w:rFonts w:ascii="仿宋_gb2312" w:hAnsi="仿宋_gb2312" w:cs="仿宋_gb2312" w:eastAsia="仿宋_gb2312"/>
          <w:sz w:val="28"/>
        </w:rPr>
        <w:t>次验收</w:t>
      </w:r>
    </w:p>
    <w:tbl>
      <w:tblPr>
        <w:tblW w:w="0" w:type="auto"/>
        <w:tblBorders>
          <w:top w:val="none" w:color="000000" w:sz="4"/>
          <w:left w:val="none" w:color="000000" w:sz="4"/>
          <w:bottom w:val="none" w:color="000000" w:sz="4"/>
          <w:right w:val="none" w:color="000000" w:sz="4"/>
          <w:insideH w:val="none"/>
          <w:insideV w:val="none"/>
        </w:tblBorders>
      </w:tblPr>
      <w:tblGrid>
        <w:gridCol w:w="1932"/>
        <w:gridCol w:w="6373"/>
      </w:tblGrid>
      <w:tr>
        <w:tc>
          <w:tcPr>
            <w:tcW w:type="dxa" w:w="193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仿宋_gb2312" w:hAnsi="仿宋_gb2312" w:cs="仿宋_gb2312" w:eastAsia="仿宋_gb2312"/>
                <w:sz w:val="28"/>
              </w:rPr>
              <w:t>采购合同信息</w:t>
            </w:r>
          </w:p>
        </w:tc>
        <w:tc>
          <w:tcPr>
            <w:tcW w:type="dxa" w:w="637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（合同名称、合同编号等内容）</w:t>
            </w:r>
          </w:p>
        </w:tc>
      </w:tr>
      <w:tr>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仿宋_gb2312" w:hAnsi="仿宋_gb2312" w:cs="仿宋_gb2312" w:eastAsia="仿宋_gb2312"/>
                <w:sz w:val="28"/>
              </w:rPr>
              <w:t>验收信息</w:t>
            </w:r>
          </w:p>
        </w:tc>
        <w:tc>
          <w:tcPr>
            <w:tcW w:type="dxa" w:w="6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rPr>
              <w:t>验收小组成员</w:t>
            </w:r>
          </w:p>
        </w:tc>
        <w:tc>
          <w:tcPr>
            <w:tcW w:type="dxa" w:w="6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rPr>
              <w:t>验收内容</w:t>
            </w:r>
          </w:p>
        </w:tc>
        <w:tc>
          <w:tcPr>
            <w:tcW w:type="dxa" w:w="6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rPr>
              <w:t>验收标准</w:t>
            </w:r>
          </w:p>
        </w:tc>
        <w:tc>
          <w:tcPr>
            <w:tcW w:type="dxa" w:w="6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rPr>
              <w:t>本次验收对应付款金额</w:t>
            </w:r>
          </w:p>
        </w:tc>
        <w:tc>
          <w:tcPr>
            <w:tcW w:type="dxa" w:w="6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240"/>
              <w:jc w:val="both"/>
            </w:pPr>
            <w:r>
              <w:rPr>
                <w:rFonts w:ascii="等线" w:hAnsi="等线" w:cs="等线" w:eastAsia="等线"/>
                <w:sz w:val="21"/>
                <w:u w:val="single"/>
              </w:rPr>
              <w:t xml:space="preserve">    </w:t>
            </w:r>
            <w:r>
              <w:rPr>
                <w:rFonts w:ascii="仿宋_gb2312" w:hAnsi="仿宋_gb2312" w:cs="仿宋_gb2312" w:eastAsia="仿宋_gb2312"/>
                <w:sz w:val="28"/>
              </w:rPr>
              <w:t>万元</w:t>
            </w:r>
          </w:p>
        </w:tc>
      </w:tr>
      <w:tr>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仿宋_gb2312" w:hAnsi="仿宋_gb2312" w:cs="仿宋_gb2312" w:eastAsia="仿宋_gb2312"/>
                <w:sz w:val="28"/>
              </w:rPr>
              <w:t>验收报告</w:t>
            </w:r>
          </w:p>
        </w:tc>
        <w:tc>
          <w:tcPr>
            <w:tcW w:type="dxa" w:w="6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rPr>
              <w:t>验收结果</w:t>
            </w:r>
          </w:p>
        </w:tc>
        <w:tc>
          <w:tcPr>
            <w:tcW w:type="dxa" w:w="6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125"/>
              <w:jc w:val="both"/>
            </w:pPr>
            <w:r>
              <w:rPr>
                <w:rFonts w:ascii="仿宋_gb2312" w:hAnsi="仿宋_gb2312" w:cs="仿宋_gb2312" w:eastAsia="仿宋_gb2312"/>
                <w:sz w:val="28"/>
              </w:rPr>
              <w:t>合格</w:t>
            </w:r>
            <w:r>
              <w:rPr>
                <w:rFonts w:ascii="仿宋_gb2312" w:hAnsi="仿宋_gb2312" w:cs="仿宋_gb2312" w:eastAsia="仿宋_gb2312"/>
                <w:sz w:val="28"/>
              </w:rPr>
              <w:t>或</w:t>
            </w:r>
            <w:r>
              <w:rPr>
                <w:rFonts w:ascii="仿宋_gb2312" w:hAnsi="仿宋_gb2312" w:cs="仿宋_gb2312" w:eastAsia="仿宋_gb2312"/>
                <w:sz w:val="28"/>
              </w:rPr>
              <w:t>不合格</w:t>
            </w:r>
          </w:p>
          <w:p>
            <w:pPr>
              <w:pStyle w:val="null3"/>
              <w:jc w:val="center"/>
            </w:pPr>
            <w:r>
              <w:rPr>
                <w:rFonts w:ascii="仿宋_gb2312" w:hAnsi="仿宋_gb2312" w:cs="仿宋_gb2312" w:eastAsia="仿宋_gb2312"/>
                <w:sz w:val="28"/>
              </w:rPr>
              <w:t>验收小组成员签字：</w:t>
            </w:r>
          </w:p>
        </w:tc>
      </w:tr>
      <w:tr>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仿宋_gb2312" w:hAnsi="仿宋_gb2312" w:cs="仿宋_gb2312" w:eastAsia="仿宋_gb2312"/>
                <w:sz w:val="28"/>
              </w:rPr>
              <w:t>供应商认定意见</w:t>
            </w:r>
          </w:p>
        </w:tc>
        <w:tc>
          <w:tcPr>
            <w:tcW w:type="dxa" w:w="6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05"/>
              <w:jc w:val="both"/>
            </w:pPr>
            <w:r>
              <w:rPr>
                <w:rFonts w:ascii="仿宋_gb2312" w:hAnsi="仿宋_gb2312" w:cs="仿宋_gb2312" w:eastAsia="仿宋_gb2312"/>
                <w:sz w:val="28"/>
              </w:rPr>
              <w:t>认定意见：同意或不同意</w:t>
            </w:r>
          </w:p>
          <w:p>
            <w:pPr>
              <w:pStyle w:val="null3"/>
              <w:ind w:right="-105"/>
              <w:jc w:val="center"/>
            </w:pPr>
            <w:r>
              <w:rPr>
                <w:rFonts w:ascii="仿宋_gb2312" w:hAnsi="仿宋_gb2312" w:cs="仿宋_gb2312" w:eastAsia="仿宋_gb2312"/>
                <w:sz w:val="28"/>
              </w:rPr>
              <w:t>法定代表人或其授权代表签字或加盖公章或验收专用章：</w:t>
            </w:r>
          </w:p>
          <w:p>
            <w:pPr>
              <w:pStyle w:val="null3"/>
              <w:ind w:firstLine="420"/>
              <w:jc w:val="both"/>
            </w:pPr>
            <w:r>
              <w:rPr>
                <w:rFonts w:ascii="仿宋_gb2312" w:hAnsi="仿宋_gb2312" w:cs="仿宋_gb2312" w:eastAsia="仿宋_gb2312"/>
                <w:sz w:val="24"/>
              </w:rPr>
              <w:t>（无论验收结果是否合格，供应商均应签字或盖章认定。供应商签字确认的，</w:t>
            </w:r>
            <w:r>
              <w:rPr>
                <w:rFonts w:ascii="仿宋_gb2312" w:hAnsi="仿宋_gb2312" w:cs="仿宋_gb2312" w:eastAsia="仿宋_gb2312"/>
                <w:sz w:val="24"/>
              </w:rPr>
              <w:t>应要求其提供法定代表人授权书并签字认定，授权书作为本报告附件留存。如供应商拒绝认定，则视为同意，并由验收小组备注说明。</w:t>
            </w:r>
            <w:r>
              <w:rPr>
                <w:rFonts w:ascii="仿宋_gb2312" w:hAnsi="仿宋_gb2312" w:cs="仿宋_gb2312" w:eastAsia="仿宋_gb2312"/>
                <w:sz w:val="24"/>
              </w:rPr>
              <w:t>）</w:t>
            </w:r>
          </w:p>
          <w:p>
            <w:pPr>
              <w:pStyle w:val="null3"/>
              <w:ind w:firstLine="420"/>
              <w:jc w:val="right"/>
            </w:pPr>
            <w:r>
              <w:rPr>
                <w:rFonts w:ascii="仿宋_gb2312" w:hAnsi="仿宋_gb2312" w:cs="仿宋_gb2312" w:eastAsia="仿宋_gb2312"/>
                <w:sz w:val="28"/>
              </w:rPr>
              <w:t>年</w:t>
            </w:r>
            <w:r>
              <w:rPr>
                <w:rFonts w:ascii="等线" w:hAnsi="等线" w:cs="等线" w:eastAsia="等线"/>
                <w:sz w:val="21"/>
              </w:rPr>
              <w:t xml:space="preserve">  </w:t>
            </w:r>
            <w:r>
              <w:rPr>
                <w:rFonts w:ascii="仿宋_gb2312" w:hAnsi="仿宋_gb2312" w:cs="仿宋_gb2312" w:eastAsia="仿宋_gb2312"/>
                <w:sz w:val="28"/>
              </w:rPr>
              <w:t>月</w:t>
            </w:r>
            <w:r>
              <w:rPr>
                <w:rFonts w:ascii="等线" w:hAnsi="等线" w:cs="等线" w:eastAsia="等线"/>
                <w:sz w:val="21"/>
              </w:rPr>
              <w:t xml:space="preserve">  </w:t>
            </w:r>
            <w:r>
              <w:rPr>
                <w:rFonts w:ascii="仿宋_gb2312" w:hAnsi="仿宋_gb2312" w:cs="仿宋_gb2312" w:eastAsia="仿宋_gb2312"/>
                <w:sz w:val="28"/>
              </w:rPr>
              <w:t>日</w:t>
            </w:r>
          </w:p>
        </w:tc>
      </w:tr>
    </w:tbl>
    <w:p>
      <w:pPr>
        <w:pStyle w:val="null3"/>
        <w:jc w:val="left"/>
      </w:pPr>
      <w:r>
        <w:rPr>
          <w:rFonts w:ascii="&quot;times new roman&quot;, serif" w:hAnsi="&quot;times new roman&quot;, serif" w:cs="&quot;times new roman&quot;, serif" w:eastAsia="&quot;times new roman&quot;, serif"/>
          <w:sz w:val="32"/>
        </w:rPr>
        <w:t>4.</w:t>
      </w:r>
      <w:r>
        <w:rPr>
          <w:rFonts w:ascii="黑体" w:hAnsi="黑体" w:cs="黑体" w:eastAsia="黑体"/>
          <w:sz w:val="32"/>
        </w:rPr>
        <w:t>验收结论模板</w:t>
      </w:r>
    </w:p>
    <w:p>
      <w:pPr>
        <w:pStyle w:val="null3"/>
        <w:jc w:val="center"/>
      </w:pPr>
      <w:r>
        <w:rPr>
          <w:rFonts w:ascii="仿宋_gb2312" w:hAnsi="仿宋_gb2312" w:cs="仿宋_gb2312" w:eastAsia="仿宋_gb2312"/>
          <w:sz w:val="32"/>
          <w:b/>
        </w:rPr>
        <w:t>验收结论</w:t>
      </w:r>
    </w:p>
    <w:p>
      <w:pPr>
        <w:pStyle w:val="null3"/>
        <w:jc w:val="both"/>
      </w:pPr>
      <w:r>
        <w:rPr>
          <w:rFonts w:ascii="仿宋_gb2312" w:hAnsi="仿宋_gb2312" w:cs="仿宋_gb2312" w:eastAsia="仿宋_gb2312"/>
          <w:sz w:val="28"/>
        </w:rPr>
        <w:t>验收阶段（期）：</w:t>
      </w:r>
      <w:r>
        <w:rPr>
          <w:rFonts w:ascii="等线" w:hAnsi="等线" w:cs="等线" w:eastAsia="等线"/>
          <w:sz w:val="21"/>
        </w:rPr>
        <w:t xml:space="preserve">                                 </w:t>
      </w:r>
      <w:r>
        <w:rPr>
          <w:rFonts w:ascii="仿宋_gb2312" w:hAnsi="仿宋_gb2312" w:cs="仿宋_gb2312" w:eastAsia="仿宋_gb2312"/>
          <w:sz w:val="28"/>
        </w:rPr>
        <w:t>第</w:t>
      </w:r>
      <w:r>
        <w:rPr>
          <w:rFonts w:ascii="等线" w:hAnsi="等线" w:cs="等线" w:eastAsia="等线"/>
          <w:sz w:val="21"/>
        </w:rPr>
        <w:t xml:space="preserve">   </w:t>
      </w:r>
      <w:r>
        <w:rPr>
          <w:rFonts w:ascii="仿宋_gb2312" w:hAnsi="仿宋_gb2312" w:cs="仿宋_gb2312" w:eastAsia="仿宋_gb2312"/>
          <w:sz w:val="28"/>
        </w:rPr>
        <w:t>次验收</w:t>
      </w:r>
    </w:p>
    <w:tbl>
      <w:tblPr>
        <w:tblW w:w="0" w:type="auto"/>
        <w:tblBorders>
          <w:top w:val="none" w:color="000000" w:sz="4"/>
          <w:left w:val="none" w:color="000000" w:sz="4"/>
          <w:bottom w:val="none" w:color="000000" w:sz="4"/>
          <w:right w:val="none" w:color="000000" w:sz="4"/>
          <w:insideH w:val="none"/>
          <w:insideV w:val="none"/>
        </w:tblBorders>
      </w:tblPr>
      <w:tblGrid>
        <w:gridCol w:w="2120"/>
        <w:gridCol w:w="6172"/>
      </w:tblGrid>
      <w:tr>
        <w:tc>
          <w:tcPr>
            <w:tcW w:type="dxa" w:w="2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采购合同信息</w:t>
            </w:r>
          </w:p>
        </w:tc>
        <w:tc>
          <w:tcPr>
            <w:tcW w:type="dxa" w:w="6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rFonts w:ascii="仿宋_gb2312" w:hAnsi="仿宋_gb2312" w:cs="仿宋_gb2312" w:eastAsia="仿宋_gb2312"/>
                <w:sz w:val="28"/>
              </w:rPr>
              <w:t>（</w:t>
            </w:r>
            <w:r>
              <w:rPr>
                <w:rFonts w:ascii="仿宋_gb2312" w:hAnsi="仿宋_gb2312" w:cs="仿宋_gb2312" w:eastAsia="仿宋_gb2312"/>
                <w:sz w:val="24"/>
              </w:rPr>
              <w:t>合同名称、合同编号等内容</w:t>
            </w:r>
            <w:r>
              <w:rPr>
                <w:rFonts w:ascii="仿宋_gb2312" w:hAnsi="仿宋_gb2312" w:cs="仿宋_gb2312" w:eastAsia="仿宋_gb2312"/>
                <w:sz w:val="28"/>
              </w:rPr>
              <w:t>）</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验收信息</w:t>
            </w:r>
          </w:p>
        </w:tc>
        <w:tc>
          <w:tcPr>
            <w:tcW w:type="dxa" w:w="6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rFonts w:ascii="仿宋_gb2312" w:hAnsi="仿宋_gb2312" w:cs="仿宋_gb2312" w:eastAsia="仿宋_gb2312"/>
                <w:sz w:val="24"/>
              </w:rPr>
              <w:t>（验收时间、验收地点等内容）</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验收报告信息</w:t>
            </w:r>
          </w:p>
        </w:tc>
        <w:tc>
          <w:tcPr>
            <w:tcW w:type="dxa" w:w="6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（验收结果等内容）</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履约执行</w:t>
            </w:r>
            <w:r>
              <w:rPr>
                <w:rFonts w:ascii="仿宋_gb2312" w:hAnsi="仿宋_gb2312" w:cs="仿宋_gb2312" w:eastAsia="仿宋_gb2312"/>
                <w:sz w:val="28"/>
              </w:rPr>
              <w:t>部门（人员）</w:t>
            </w:r>
            <w:r>
              <w:rPr>
                <w:rFonts w:ascii="仿宋_gb2312" w:hAnsi="仿宋_gb2312" w:cs="仿宋_gb2312" w:eastAsia="仿宋_gb2312"/>
                <w:sz w:val="28"/>
              </w:rPr>
              <w:t>认定意见</w:t>
            </w:r>
          </w:p>
        </w:tc>
        <w:tc>
          <w:tcPr>
            <w:tcW w:type="dxa" w:w="6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05" w:firstLine="480"/>
              <w:jc w:val="left"/>
            </w:pPr>
            <w:r>
              <w:rPr>
                <w:rFonts w:ascii="仿宋_gb2312" w:hAnsi="仿宋_gb2312" w:cs="仿宋_gb2312" w:eastAsia="仿宋_gb2312"/>
                <w:sz w:val="28"/>
              </w:rPr>
              <w:t>验收结论：验收合格或验收不合格</w:t>
            </w:r>
          </w:p>
          <w:p>
            <w:pPr>
              <w:pStyle w:val="null3"/>
              <w:ind w:left="3360"/>
              <w:jc w:val="both"/>
            </w:pPr>
            <w:r>
              <w:rPr>
                <w:rFonts w:ascii="等线" w:hAnsi="等线" w:cs="等线" w:eastAsia="等线"/>
                <w:sz w:val="21"/>
              </w:rPr>
              <w:t xml:space="preserve">             </w:t>
            </w:r>
            <w:r>
              <w:rPr>
                <w:rFonts w:ascii="仿宋_gb2312" w:hAnsi="仿宋_gb2312" w:cs="仿宋_gb2312" w:eastAsia="仿宋_gb2312"/>
                <w:sz w:val="28"/>
              </w:rPr>
              <w:t>部门负责人签字：</w:t>
            </w:r>
            <w:r>
              <w:rPr>
                <w:rFonts w:ascii="等线" w:hAnsi="等线" w:cs="等线" w:eastAsia="等线"/>
                <w:sz w:val="21"/>
              </w:rPr>
              <w:t xml:space="preserve">         </w:t>
            </w:r>
          </w:p>
          <w:p>
            <w:pPr>
              <w:pStyle w:val="null3"/>
              <w:jc w:val="both"/>
            </w:pPr>
            <w:r>
              <w:rPr>
                <w:rFonts w:ascii="等线" w:hAnsi="等线" w:cs="等线" w:eastAsia="等线"/>
                <w:sz w:val="21"/>
              </w:rPr>
              <w:t xml:space="preserve"> </w:t>
            </w:r>
          </w:p>
          <w:p>
            <w:pPr>
              <w:pStyle w:val="null3"/>
              <w:jc w:val="center"/>
            </w:pPr>
            <w:r>
              <w:rPr>
                <w:rFonts w:ascii="等线" w:hAnsi="等线" w:cs="等线" w:eastAsia="等线"/>
                <w:sz w:val="21"/>
              </w:rPr>
              <w:t xml:space="preserve">                                  </w:t>
            </w:r>
            <w:r>
              <w:rPr>
                <w:rFonts w:ascii="仿宋_gb2312" w:hAnsi="仿宋_gb2312" w:cs="仿宋_gb2312" w:eastAsia="仿宋_gb2312"/>
                <w:sz w:val="28"/>
              </w:rPr>
              <w:t>年</w:t>
            </w:r>
            <w:r>
              <w:rPr>
                <w:rFonts w:ascii="等线" w:hAnsi="等线" w:cs="等线" w:eastAsia="等线"/>
                <w:sz w:val="21"/>
              </w:rPr>
              <w:t xml:space="preserve">  </w:t>
            </w:r>
            <w:r>
              <w:rPr>
                <w:rFonts w:ascii="仿宋_gb2312" w:hAnsi="仿宋_gb2312" w:cs="仿宋_gb2312" w:eastAsia="仿宋_gb2312"/>
                <w:sz w:val="28"/>
              </w:rPr>
              <w:t>月</w:t>
            </w:r>
            <w:r>
              <w:rPr>
                <w:rFonts w:ascii="等线" w:hAnsi="等线" w:cs="等线" w:eastAsia="等线"/>
                <w:sz w:val="21"/>
              </w:rPr>
              <w:t xml:space="preserve">  </w:t>
            </w:r>
            <w:r>
              <w:rPr>
                <w:rFonts w:ascii="仿宋_gb2312" w:hAnsi="仿宋_gb2312" w:cs="仿宋_gb2312" w:eastAsia="仿宋_gb2312"/>
                <w:sz w:val="28"/>
              </w:rPr>
              <w:t>日</w:t>
            </w:r>
            <w:r>
              <w:rPr>
                <w:rFonts w:ascii="等线" w:hAnsi="等线" w:cs="等线" w:eastAsia="等线"/>
                <w:sz w:val="21"/>
              </w:rPr>
              <w:t xml:space="preserve"> </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履约监督</w:t>
            </w:r>
            <w:r>
              <w:rPr>
                <w:rFonts w:ascii="仿宋_gb2312" w:hAnsi="仿宋_gb2312" w:cs="仿宋_gb2312" w:eastAsia="仿宋_gb2312"/>
                <w:sz w:val="28"/>
              </w:rPr>
              <w:t>部门（人员）</w:t>
            </w:r>
            <w:r>
              <w:rPr>
                <w:rFonts w:ascii="仿宋_gb2312" w:hAnsi="仿宋_gb2312" w:cs="仿宋_gb2312" w:eastAsia="仿宋_gb2312"/>
                <w:sz w:val="28"/>
              </w:rPr>
              <w:t>复核意见</w:t>
            </w:r>
          </w:p>
        </w:tc>
        <w:tc>
          <w:tcPr>
            <w:tcW w:type="dxa" w:w="6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签字：</w:t>
            </w:r>
          </w:p>
          <w:p>
            <w:pPr>
              <w:pStyle w:val="null3"/>
              <w:ind w:firstLine="420"/>
              <w:jc w:val="both"/>
            </w:pPr>
            <w:r>
              <w:rPr>
                <w:rFonts w:ascii="仿宋_gb2312" w:hAnsi="仿宋_gb2312" w:cs="仿宋_gb2312" w:eastAsia="仿宋_gb2312"/>
                <w:sz w:val="28"/>
              </w:rPr>
              <w:t>年</w:t>
            </w:r>
            <w:r>
              <w:rPr>
                <w:rFonts w:ascii="等线" w:hAnsi="等线" w:cs="等线" w:eastAsia="等线"/>
                <w:sz w:val="21"/>
              </w:rPr>
              <w:t xml:space="preserve">  </w:t>
            </w:r>
            <w:r>
              <w:rPr>
                <w:rFonts w:ascii="仿宋_gb2312" w:hAnsi="仿宋_gb2312" w:cs="仿宋_gb2312" w:eastAsia="仿宋_gb2312"/>
                <w:sz w:val="28"/>
              </w:rPr>
              <w:t>月</w:t>
            </w:r>
            <w:r>
              <w:rPr>
                <w:rFonts w:ascii="等线" w:hAnsi="等线" w:cs="等线" w:eastAsia="等线"/>
                <w:sz w:val="21"/>
              </w:rPr>
              <w:t xml:space="preserve">  </w:t>
            </w:r>
            <w:r>
              <w:rPr>
                <w:rFonts w:ascii="仿宋_gb2312" w:hAnsi="仿宋_gb2312" w:cs="仿宋_gb2312" w:eastAsia="仿宋_gb2312"/>
                <w:sz w:val="28"/>
              </w:rPr>
              <w:t>日</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履约执行部门分管领导审批意见</w:t>
            </w:r>
          </w:p>
        </w:tc>
        <w:tc>
          <w:tcPr>
            <w:tcW w:type="dxa" w:w="6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05" w:firstLine="1400"/>
              <w:jc w:val="both"/>
            </w:pPr>
            <w:r>
              <w:rPr>
                <w:rFonts w:ascii="等线" w:hAnsi="等线" w:cs="等线" w:eastAsia="等线"/>
                <w:sz w:val="21"/>
              </w:rPr>
              <w:t xml:space="preserve">                    </w:t>
            </w:r>
          </w:p>
          <w:p>
            <w:pPr>
              <w:pStyle w:val="null3"/>
              <w:ind w:firstLine="2800"/>
              <w:jc w:val="both"/>
            </w:pPr>
            <w:r>
              <w:rPr>
                <w:rFonts w:ascii="仿宋_gb2312" w:hAnsi="仿宋_gb2312" w:cs="仿宋_gb2312" w:eastAsia="仿宋_gb2312"/>
                <w:sz w:val="28"/>
              </w:rPr>
              <w:t>签字：</w:t>
            </w:r>
            <w:r>
              <w:rPr>
                <w:rFonts w:ascii="等线" w:hAnsi="等线" w:cs="等线" w:eastAsia="等线"/>
                <w:sz w:val="21"/>
              </w:rPr>
              <w:t xml:space="preserve">         </w:t>
            </w:r>
          </w:p>
          <w:p>
            <w:pPr>
              <w:pStyle w:val="null3"/>
              <w:jc w:val="both"/>
            </w:pPr>
            <w:r>
              <w:rPr>
                <w:rFonts w:ascii="等线" w:hAnsi="等线" w:cs="等线" w:eastAsia="等线"/>
                <w:sz w:val="21"/>
              </w:rPr>
              <w:t xml:space="preserve">                                  </w:t>
            </w:r>
            <w:r>
              <w:rPr>
                <w:rFonts w:ascii="仿宋_gb2312" w:hAnsi="仿宋_gb2312" w:cs="仿宋_gb2312" w:eastAsia="仿宋_gb2312"/>
                <w:sz w:val="28"/>
              </w:rPr>
              <w:t>年</w:t>
            </w:r>
            <w:r>
              <w:rPr>
                <w:rFonts w:ascii="等线" w:hAnsi="等线" w:cs="等线" w:eastAsia="等线"/>
                <w:sz w:val="21"/>
              </w:rPr>
              <w:t xml:space="preserve">  </w:t>
            </w:r>
            <w:r>
              <w:rPr>
                <w:rFonts w:ascii="仿宋_gb2312" w:hAnsi="仿宋_gb2312" w:cs="仿宋_gb2312" w:eastAsia="仿宋_gb2312"/>
                <w:sz w:val="28"/>
              </w:rPr>
              <w:t>月</w:t>
            </w:r>
            <w:r>
              <w:rPr>
                <w:rFonts w:ascii="等线" w:hAnsi="等线" w:cs="等线" w:eastAsia="等线"/>
                <w:sz w:val="21"/>
              </w:rPr>
              <w:t xml:space="preserve">  </w:t>
            </w:r>
            <w:r>
              <w:rPr>
                <w:rFonts w:ascii="仿宋_gb2312" w:hAnsi="仿宋_gb2312" w:cs="仿宋_gb2312" w:eastAsia="仿宋_gb2312"/>
                <w:sz w:val="28"/>
              </w:rPr>
              <w:t>日</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总裁签批</w:t>
            </w:r>
          </w:p>
        </w:tc>
        <w:tc>
          <w:tcPr>
            <w:tcW w:type="dxa" w:w="6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360"/>
              <w:jc w:val="both"/>
            </w:pPr>
            <w:r>
              <w:rPr>
                <w:rFonts w:ascii="仿宋_gb2312" w:hAnsi="仿宋_gb2312" w:cs="仿宋_gb2312" w:eastAsia="仿宋_gb2312"/>
                <w:sz w:val="24"/>
              </w:rPr>
              <w:t>（涉及单次支付金额超过</w:t>
            </w:r>
            <w:r>
              <w:rPr>
                <w:rFonts w:ascii="&quot;times new roman&quot;, serif" w:hAnsi="&quot;times new roman&quot;, serif" w:cs="&quot;times new roman&quot;, serif" w:eastAsia="&quot;times new roman&quot;, serif"/>
                <w:sz w:val="24"/>
              </w:rPr>
              <w:t>1,000</w:t>
            </w:r>
            <w:r>
              <w:rPr>
                <w:rFonts w:ascii="仿宋_gb2312" w:hAnsi="仿宋_gb2312" w:cs="仿宋_gb2312" w:eastAsia="仿宋_gb2312"/>
                <w:sz w:val="24"/>
              </w:rPr>
              <w:t>万元的采购验收结论需公司总裁</w:t>
            </w:r>
          </w:p>
          <w:p>
            <w:pPr>
              <w:pStyle w:val="null3"/>
              <w:ind w:left="2880"/>
              <w:jc w:val="both"/>
            </w:pPr>
            <w:r>
              <w:rPr>
                <w:rFonts w:ascii="仿宋_gb2312" w:hAnsi="仿宋_gb2312" w:cs="仿宋_gb2312" w:eastAsia="仿宋_gb2312"/>
                <w:sz w:val="24"/>
              </w:rPr>
              <w:t>审批，如不涉及请删除此栏）</w:t>
            </w:r>
            <w:r>
              <w:rPr>
                <w:rFonts w:ascii="等线" w:hAnsi="等线" w:cs="等线" w:eastAsia="等线"/>
                <w:sz w:val="21"/>
              </w:rPr>
              <w:t xml:space="preserve">                    </w:t>
            </w:r>
          </w:p>
          <w:p>
            <w:pPr>
              <w:pStyle w:val="null3"/>
              <w:ind w:left="3360"/>
              <w:jc w:val="both"/>
            </w:pPr>
            <w:r>
              <w:rPr>
                <w:rFonts w:ascii="仿宋_gb2312" w:hAnsi="仿宋_gb2312" w:cs="仿宋_gb2312" w:eastAsia="仿宋_gb2312"/>
                <w:sz w:val="28"/>
              </w:rPr>
              <w:t>签字：</w:t>
            </w:r>
            <w:r>
              <w:rPr>
                <w:rFonts w:ascii="等线" w:hAnsi="等线" w:cs="等线" w:eastAsia="等线"/>
                <w:sz w:val="21"/>
              </w:rPr>
              <w:t xml:space="preserve">        </w:t>
            </w:r>
          </w:p>
          <w:p>
            <w:pPr>
              <w:pStyle w:val="null3"/>
              <w:ind w:left="3360"/>
              <w:jc w:val="both"/>
            </w:pPr>
            <w:r>
              <w:rPr>
                <w:rFonts w:ascii="等线" w:hAnsi="等线" w:cs="等线" w:eastAsia="等线"/>
                <w:sz w:val="21"/>
              </w:rPr>
              <w:t xml:space="preserve">                                  </w:t>
            </w:r>
            <w:r>
              <w:rPr>
                <w:rFonts w:ascii="仿宋_gb2312" w:hAnsi="仿宋_gb2312" w:cs="仿宋_gb2312" w:eastAsia="仿宋_gb2312"/>
                <w:sz w:val="28"/>
              </w:rPr>
              <w:t>年</w:t>
            </w:r>
            <w:r>
              <w:rPr>
                <w:rFonts w:ascii="等线" w:hAnsi="等线" w:cs="等线" w:eastAsia="等线"/>
                <w:sz w:val="21"/>
              </w:rPr>
              <w:t xml:space="preserve">  </w:t>
            </w:r>
            <w:r>
              <w:rPr>
                <w:rFonts w:ascii="仿宋_gb2312" w:hAnsi="仿宋_gb2312" w:cs="仿宋_gb2312" w:eastAsia="仿宋_gb2312"/>
                <w:sz w:val="28"/>
              </w:rPr>
              <w:t>月</w:t>
            </w:r>
            <w:r>
              <w:rPr>
                <w:rFonts w:ascii="等线" w:hAnsi="等线" w:cs="等线" w:eastAsia="等线"/>
                <w:sz w:val="21"/>
              </w:rPr>
              <w:t xml:space="preserve">  </w:t>
            </w:r>
            <w:r>
              <w:rPr>
                <w:rFonts w:ascii="仿宋_gb2312" w:hAnsi="仿宋_gb2312" w:cs="仿宋_gb2312" w:eastAsia="仿宋_gb2312"/>
                <w:sz w:val="28"/>
              </w:rPr>
              <w:t>日</w:t>
            </w:r>
          </w:p>
        </w:tc>
      </w:tr>
    </w:tbl>
    <w:p>
      <w:pPr>
        <w:pStyle w:val="null3"/>
        <w:jc w:val="both"/>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r>
        <w:tc>
          <w:tcPr>
            <w:tcW w:type="dxa" w:w="831"/>
          </w:tcPr>
          <w:p>
            <w:pPr>
              <w:pStyle w:val="null3"/>
              <w:jc w:val="left"/>
            </w:pPr>
            <w:r>
              <w:rPr/>
              <w:t>17</w:t>
            </w:r>
          </w:p>
        </w:tc>
        <w:tc>
          <w:tcPr>
            <w:tcW w:type="dxa" w:w="3322"/>
          </w:tcPr>
          <w:p>
            <w:pPr>
              <w:pStyle w:val="null3"/>
              <w:jc w:val="left"/>
            </w:pPr>
            <w:r>
              <w:rPr/>
              <w:t>投标报价合理性</w:t>
            </w:r>
          </w:p>
        </w:tc>
        <w:tc>
          <w:tcPr>
            <w:tcW w:type="dxa" w:w="4153"/>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说明，必要时提交相关证明材料。投标人应按评标委员会的要求通过项目电子化交易系统提交已加盖电子签章的说明，否则视为不能证明其投标报价合理性。投标人不能证明其投标报价合理性的，评标委员会应当将其投标文件作为无效投标处理。</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jc w:val="left"/>
      </w:pPr>
      <w:r>
        <w:rPr/>
        <w:t>本项目不执行《关于推动解决政府采购异常低价问题的通知》（财库〔2026〕2号）。</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pPr>
            <w:r>
              <w:rPr/>
              <w:t>技术部分40.00分</w:t>
            </w:r>
          </w:p>
          <w:p>
            <w:pPr>
              <w:pStyle w:val="null3"/>
            </w:pPr>
            <w:r>
              <w:rPr/>
              <w:t>商务部分10.00分</w:t>
            </w:r>
          </w:p>
          <w:p>
            <w:pPr>
              <w:pStyle w:val="null3"/>
            </w:pPr>
            <w:r>
              <w:rPr/>
              <w:t>报价得分50.00分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vMerge w:val="restart"/>
          </w:tcPr>
          <w:p>
            <w:pPr>
              <w:pStyle w:val="null3"/>
            </w:pPr>
            <w:r>
              <w:rPr/>
              <w:t>技术评审</w:t>
            </w:r>
          </w:p>
        </w:tc>
        <w:tc>
          <w:tcPr>
            <w:tcW w:type="dxa" w:w="2076"/>
          </w:tcPr>
          <w:p>
            <w:pPr>
              <w:pStyle w:val="null3"/>
            </w:pPr>
            <w:r>
              <w:rPr/>
              <w:t>总体技术方案1.1</w:t>
            </w:r>
          </w:p>
        </w:tc>
        <w:tc>
          <w:tcPr>
            <w:tcW w:type="dxa" w:w="2769"/>
          </w:tcPr>
          <w:p>
            <w:pPr>
              <w:pStyle w:val="null3"/>
            </w:pPr>
            <w:r>
              <w:rPr/>
              <w:t>投标人针对本项目提交工程实施、设备集成服务方案，内容应包括：实施准备及设备到货、设备上架安装、系统调试与配套网络设备的联合调试、相关线缆提供及综合布线、试运行技术支持内容。 1.方案要素（实施准备及设备到货、设备上架安装、系统调试与配套网络设备的联合调试、相关线缆提供及综合布线、试运行技术支持5部分）齐全无缺失得3分，缺失一项得1.5分，缺失两项及以上不得分。</w:t>
            </w:r>
          </w:p>
        </w:tc>
        <w:tc>
          <w:tcPr>
            <w:tcW w:type="dxa" w:w="692"/>
          </w:tcPr>
          <w:p>
            <w:pPr>
              <w:pStyle w:val="null3"/>
              <w:jc w:val="right"/>
            </w:pPr>
            <w:r>
              <w:rPr/>
              <w:t>3.00</w:t>
            </w:r>
          </w:p>
        </w:tc>
        <w:tc>
          <w:tcPr>
            <w:tcW w:type="dxa" w:w="692"/>
          </w:tcPr>
          <w:p>
            <w:pPr>
              <w:pStyle w:val="null3"/>
            </w:pPr>
            <w:r>
              <w:rPr/>
              <w:t>客观</w:t>
            </w:r>
          </w:p>
        </w:tc>
      </w:tr>
      <w:tr>
        <w:tc>
          <w:tcPr>
            <w:tcW w:type="dxa" w:w="692"/>
            <w:vMerge/>
          </w:tcPr>
          <w:p/>
        </w:tc>
        <w:tc>
          <w:tcPr>
            <w:tcW w:type="dxa" w:w="2076"/>
          </w:tcPr>
          <w:p>
            <w:pPr>
              <w:pStyle w:val="null3"/>
            </w:pPr>
            <w:r>
              <w:rPr/>
              <w:t>总体技术方案1.2</w:t>
            </w:r>
          </w:p>
        </w:tc>
        <w:tc>
          <w:tcPr>
            <w:tcW w:type="dxa" w:w="2769"/>
          </w:tcPr>
          <w:p>
            <w:pPr>
              <w:pStyle w:val="null3"/>
            </w:pPr>
            <w:r>
              <w:rPr/>
              <w:t>2.投标人能提供具有可行性、高效的实施准备及设备到货方案得1分，否则不得分。</w:t>
            </w:r>
          </w:p>
        </w:tc>
        <w:tc>
          <w:tcPr>
            <w:tcW w:type="dxa" w:w="692"/>
          </w:tcPr>
          <w:p>
            <w:pPr>
              <w:pStyle w:val="null3"/>
              <w:jc w:val="right"/>
            </w:pPr>
            <w:r>
              <w:rPr/>
              <w:t>1.00</w:t>
            </w:r>
          </w:p>
        </w:tc>
        <w:tc>
          <w:tcPr>
            <w:tcW w:type="dxa" w:w="692"/>
          </w:tcPr>
          <w:p>
            <w:pPr>
              <w:pStyle w:val="null3"/>
            </w:pPr>
            <w:r>
              <w:rPr/>
              <w:t>主观</w:t>
            </w:r>
          </w:p>
        </w:tc>
      </w:tr>
      <w:tr>
        <w:tc>
          <w:tcPr>
            <w:tcW w:type="dxa" w:w="692"/>
            <w:vMerge/>
          </w:tcPr>
          <w:p/>
        </w:tc>
        <w:tc>
          <w:tcPr>
            <w:tcW w:type="dxa" w:w="2076"/>
          </w:tcPr>
          <w:p>
            <w:pPr>
              <w:pStyle w:val="null3"/>
            </w:pPr>
            <w:r>
              <w:rPr/>
              <w:t>总体技术方案1.3</w:t>
            </w:r>
          </w:p>
        </w:tc>
        <w:tc>
          <w:tcPr>
            <w:tcW w:type="dxa" w:w="2769"/>
          </w:tcPr>
          <w:p>
            <w:pPr>
              <w:pStyle w:val="null3"/>
            </w:pPr>
            <w:r>
              <w:rPr/>
              <w:t>3.投标人能提供具有可行性、高效的设备上架安装实施方案得2分，否则不得分。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总体技术方案1.4</w:t>
            </w:r>
          </w:p>
        </w:tc>
        <w:tc>
          <w:tcPr>
            <w:tcW w:type="dxa" w:w="2769"/>
          </w:tcPr>
          <w:p>
            <w:pPr>
              <w:pStyle w:val="null3"/>
            </w:pPr>
            <w:r>
              <w:rPr/>
              <w:t>4.投标人能提供具有可行性、高效的的系统调试及与配套网络设备的联合调试方案得2分，否则不得分。</w:t>
            </w:r>
          </w:p>
        </w:tc>
        <w:tc>
          <w:tcPr>
            <w:tcW w:type="dxa" w:w="692"/>
          </w:tcPr>
          <w:p>
            <w:pPr>
              <w:pStyle w:val="null3"/>
              <w:jc w:val="right"/>
            </w:pPr>
            <w:r>
              <w:rPr/>
              <w:t>2.00</w:t>
            </w:r>
          </w:p>
        </w:tc>
        <w:tc>
          <w:tcPr>
            <w:tcW w:type="dxa" w:w="692"/>
          </w:tcPr>
          <w:p>
            <w:pPr>
              <w:pStyle w:val="null3"/>
            </w:pPr>
            <w:r>
              <w:rPr/>
              <w:t>客观</w:t>
            </w:r>
          </w:p>
        </w:tc>
      </w:tr>
      <w:tr>
        <w:tc>
          <w:tcPr>
            <w:tcW w:type="dxa" w:w="692"/>
            <w:vMerge/>
          </w:tcPr>
          <w:p/>
        </w:tc>
        <w:tc>
          <w:tcPr>
            <w:tcW w:type="dxa" w:w="2076"/>
          </w:tcPr>
          <w:p>
            <w:pPr>
              <w:pStyle w:val="null3"/>
            </w:pPr>
            <w:r>
              <w:rPr/>
              <w:t>总体技术方案1.5</w:t>
            </w:r>
          </w:p>
        </w:tc>
        <w:tc>
          <w:tcPr>
            <w:tcW w:type="dxa" w:w="2769"/>
          </w:tcPr>
          <w:p>
            <w:pPr>
              <w:pStyle w:val="null3"/>
            </w:pPr>
            <w:r>
              <w:rPr/>
              <w:t>5.投标人能提供具有可行性、高效的的综合布线实施方案得2分，否则不得分。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总体技术方案1.6</w:t>
            </w:r>
          </w:p>
        </w:tc>
        <w:tc>
          <w:tcPr>
            <w:tcW w:type="dxa" w:w="2769"/>
          </w:tcPr>
          <w:p>
            <w:pPr>
              <w:pStyle w:val="null3"/>
            </w:pPr>
            <w:r>
              <w:rPr/>
              <w:t>6.投标人能提供具有可行性、高效的试运行技术支持方案得2分，否则不得分。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总体技术方案2.1</w:t>
            </w:r>
          </w:p>
        </w:tc>
        <w:tc>
          <w:tcPr>
            <w:tcW w:type="dxa" w:w="2769"/>
          </w:tcPr>
          <w:p>
            <w:pPr>
              <w:pStyle w:val="null3"/>
            </w:pPr>
            <w:r>
              <w:rPr/>
              <w:t>投标人针对本项目提供售后服务方案，内容包括服务团队结构与数量、服务水平说明、服务级别、应急预案、技术支持力量、备品备件、响应时长及故障解决时长、保修期内服务计划、培训计划等内容。 1.方案要素（服务团队结构与数量、服务水平说明（含服务级别、技术支持力量）、应急预案（含备品备件、响应时长及故障解决时长）、保修期内服务计划及培训计划4部分）齐全无缺失得2分，缺失一项得1分，缺失两项及以上不得分。</w:t>
            </w:r>
          </w:p>
        </w:tc>
        <w:tc>
          <w:tcPr>
            <w:tcW w:type="dxa" w:w="692"/>
          </w:tcPr>
          <w:p>
            <w:pPr>
              <w:pStyle w:val="null3"/>
              <w:jc w:val="right"/>
            </w:pPr>
            <w:r>
              <w:rPr/>
              <w:t>2.00</w:t>
            </w:r>
          </w:p>
        </w:tc>
        <w:tc>
          <w:tcPr>
            <w:tcW w:type="dxa" w:w="692"/>
          </w:tcPr>
          <w:p>
            <w:pPr>
              <w:pStyle w:val="null3"/>
            </w:pPr>
            <w:r>
              <w:rPr/>
              <w:t>客观</w:t>
            </w:r>
          </w:p>
        </w:tc>
      </w:tr>
      <w:tr>
        <w:tc>
          <w:tcPr>
            <w:tcW w:type="dxa" w:w="692"/>
            <w:vMerge/>
          </w:tcPr>
          <w:p/>
        </w:tc>
        <w:tc>
          <w:tcPr>
            <w:tcW w:type="dxa" w:w="2076"/>
          </w:tcPr>
          <w:p>
            <w:pPr>
              <w:pStyle w:val="null3"/>
            </w:pPr>
            <w:r>
              <w:rPr/>
              <w:t>总体技术方案2.2</w:t>
            </w:r>
          </w:p>
        </w:tc>
        <w:tc>
          <w:tcPr>
            <w:tcW w:type="dxa" w:w="2769"/>
          </w:tcPr>
          <w:p>
            <w:pPr>
              <w:pStyle w:val="null3"/>
            </w:pPr>
            <w:r>
              <w:rPr/>
              <w:t>2.投标人能提供可行的服务团队结构与数量的组成方案得2分，否则不得分。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总体技术方案2.3</w:t>
            </w:r>
          </w:p>
        </w:tc>
        <w:tc>
          <w:tcPr>
            <w:tcW w:type="dxa" w:w="2769"/>
          </w:tcPr>
          <w:p>
            <w:pPr>
              <w:pStyle w:val="null3"/>
            </w:pPr>
            <w:r>
              <w:rPr/>
              <w:t>3.投标人能提供可行的服务水平说明得2分，否则不得分。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总体技术方案2.4</w:t>
            </w:r>
          </w:p>
        </w:tc>
        <w:tc>
          <w:tcPr>
            <w:tcW w:type="dxa" w:w="2769"/>
          </w:tcPr>
          <w:p>
            <w:pPr>
              <w:pStyle w:val="null3"/>
            </w:pPr>
            <w:r>
              <w:rPr/>
              <w:t>4.投标人能提供可行的应急预案得3分，否则不得分。</w:t>
            </w:r>
          </w:p>
        </w:tc>
        <w:tc>
          <w:tcPr>
            <w:tcW w:type="dxa" w:w="692"/>
          </w:tcPr>
          <w:p>
            <w:pPr>
              <w:pStyle w:val="null3"/>
              <w:jc w:val="right"/>
            </w:pPr>
            <w:r>
              <w:rPr/>
              <w:t>3.00</w:t>
            </w:r>
          </w:p>
        </w:tc>
        <w:tc>
          <w:tcPr>
            <w:tcW w:type="dxa" w:w="692"/>
          </w:tcPr>
          <w:p>
            <w:pPr>
              <w:pStyle w:val="null3"/>
            </w:pPr>
            <w:r>
              <w:rPr/>
              <w:t>主观</w:t>
            </w:r>
          </w:p>
        </w:tc>
      </w:tr>
      <w:tr>
        <w:tc>
          <w:tcPr>
            <w:tcW w:type="dxa" w:w="692"/>
            <w:vMerge/>
          </w:tcPr>
          <w:p/>
        </w:tc>
        <w:tc>
          <w:tcPr>
            <w:tcW w:type="dxa" w:w="2076"/>
          </w:tcPr>
          <w:p>
            <w:pPr>
              <w:pStyle w:val="null3"/>
            </w:pPr>
            <w:r>
              <w:rPr/>
              <w:t>总体技术方案2.5</w:t>
            </w:r>
          </w:p>
        </w:tc>
        <w:tc>
          <w:tcPr>
            <w:tcW w:type="dxa" w:w="2769"/>
          </w:tcPr>
          <w:p>
            <w:pPr>
              <w:pStyle w:val="null3"/>
            </w:pPr>
            <w:r>
              <w:rPr/>
              <w:t>5.投标人能提供可行的保修期内服务计划、培训计划方案得2分，否则不得分。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需求响应情况</w:t>
            </w:r>
          </w:p>
        </w:tc>
        <w:tc>
          <w:tcPr>
            <w:tcW w:type="dxa" w:w="2769"/>
          </w:tcPr>
          <w:p>
            <w:pPr>
              <w:pStyle w:val="null3"/>
            </w:pPr>
            <w:r>
              <w:rPr/>
              <w:t>根据投标人针对招标文件“采购需求”的应答情况进行评分，除★指标、采购需求技术要求中的序号157条、商务要求中的序号49条、序号50条的其余可作为评分因素的条款全部满足且无负偏离的，得15分，不满足的条款数在5项以下（含5项），其余项全部满足且无负偏离的，得7.5分，否则不得分；</w:t>
            </w:r>
          </w:p>
        </w:tc>
        <w:tc>
          <w:tcPr>
            <w:tcW w:type="dxa" w:w="692"/>
          </w:tcPr>
          <w:p>
            <w:pPr>
              <w:pStyle w:val="null3"/>
              <w:jc w:val="right"/>
            </w:pPr>
            <w:r>
              <w:rPr/>
              <w:t>15.00</w:t>
            </w:r>
          </w:p>
        </w:tc>
        <w:tc>
          <w:tcPr>
            <w:tcW w:type="dxa" w:w="692"/>
          </w:tcPr>
          <w:p>
            <w:pPr>
              <w:pStyle w:val="null3"/>
            </w:pPr>
            <w:r>
              <w:rPr/>
              <w:t>客观</w:t>
            </w:r>
          </w:p>
        </w:tc>
      </w:tr>
      <w:tr>
        <w:tc>
          <w:tcPr>
            <w:tcW w:type="dxa" w:w="692"/>
            <w:vMerge/>
          </w:tcPr>
          <w:p/>
        </w:tc>
        <w:tc>
          <w:tcPr>
            <w:tcW w:type="dxa" w:w="2076"/>
          </w:tcPr>
          <w:p>
            <w:pPr>
              <w:pStyle w:val="null3"/>
            </w:pPr>
            <w:r>
              <w:rPr/>
              <w:t>节能环保要求</w:t>
            </w:r>
          </w:p>
        </w:tc>
        <w:tc>
          <w:tcPr>
            <w:tcW w:type="dxa" w:w="2769"/>
          </w:tcPr>
          <w:p>
            <w:pPr>
              <w:pStyle w:val="null3"/>
            </w:pPr>
            <w:r>
              <w:rPr/>
              <w:t>获得相关环保认证，除政府强制采购的节能产品外： 环保产品:根据财库[2019]9号、18号文，国家市场监督管理总局公告16号文要求，服务器产品属于政府采购环境标志产品实施品目清单范围，投标人所投所有服务器产品应有指定认证机构出具的、有效的环境标志产品认证证书，得2分；否则0分。 投标人需提供认证证书复印件，否则不予承认。 关于节能产品、环境标志产品的相关规定请参见: 《财政部发展改革委生态环境部市场监管总局关于调整优化节能产品环境标志产品政府采购执行机制的通知》（财库〔2019〕9号） 《关于印发环境标志产品政府采购品目清单的通知》（财库〔2019〕18号） 《市场监管总局关于发布参与实施政府采购节能产品、环境标志产品认证机构名录的公告》（2019年第16号）</w:t>
            </w:r>
          </w:p>
        </w:tc>
        <w:tc>
          <w:tcPr>
            <w:tcW w:type="dxa" w:w="692"/>
          </w:tcPr>
          <w:p>
            <w:pPr>
              <w:pStyle w:val="null3"/>
              <w:jc w:val="right"/>
            </w:pPr>
            <w:r>
              <w:rPr/>
              <w:t>2.00</w:t>
            </w:r>
          </w:p>
        </w:tc>
        <w:tc>
          <w:tcPr>
            <w:tcW w:type="dxa" w:w="692"/>
          </w:tcPr>
          <w:p>
            <w:pPr>
              <w:pStyle w:val="null3"/>
            </w:pPr>
            <w:r>
              <w:rPr/>
              <w:t>客观</w:t>
            </w:r>
          </w:p>
        </w:tc>
      </w:tr>
      <w:tr>
        <w:tc>
          <w:tcPr>
            <w:tcW w:type="dxa" w:w="692"/>
          </w:tcPr>
          <w:p>
            <w:pPr>
              <w:pStyle w:val="null3"/>
            </w:pPr>
            <w:r>
              <w:rPr/>
              <w:t>商务评审</w:t>
            </w:r>
          </w:p>
        </w:tc>
        <w:tc>
          <w:tcPr>
            <w:tcW w:type="dxa" w:w="2076"/>
          </w:tcPr>
          <w:p>
            <w:pPr>
              <w:pStyle w:val="null3"/>
            </w:pPr>
            <w:r>
              <w:rPr/>
              <w:t>销售使用情况</w:t>
            </w:r>
          </w:p>
        </w:tc>
        <w:tc>
          <w:tcPr>
            <w:tcW w:type="dxa" w:w="2769"/>
          </w:tcPr>
          <w:p>
            <w:pPr>
              <w:pStyle w:val="null3"/>
            </w:pPr>
            <w:r>
              <w:rPr/>
              <w:t>供应商自2023年1月1日至递交投标文件截止日（以合同签订时间为准），每提供一个所投服务器产品或其同系列服务器产品（服务器品牌相同、CPU芯片品牌相同），在国内的同等规模（220台或以上）销售案例得2分，最高得10分。 案例要求： 1. 投标人需提供案例证明文件，至少包含合同名称页、采购内容和金额页/数量页（或提供可体现产品采购清单）、签字盖章页等合同主要页的复印件。证明材料不全无法确定为相关业绩的，不予认可。合同原件备查；仅提供案例列表的不得分； 2.使用同系列产品案例的须由投标人出具产品系列表，以证明业绩案例中的服务器产品与所投服务器产品为同系列产品，评审现场仅通过产品系列表确认业绩案例中的服务器产品与所投服务器产品为同系列产品，未提供产品系列表或产品系列表中无法证明为同系列产品的该同系列产品案例不得分； 3.所投产品或同系列产品销售案例合同乙方不限定必须为投标人； 4.针对同一采购人及其全资子公司、控股子公司、分公司的不同销售案例按一个案例计算，销售数量不累加计算。</w:t>
            </w:r>
          </w:p>
        </w:tc>
        <w:tc>
          <w:tcPr>
            <w:tcW w:type="dxa" w:w="692"/>
          </w:tcPr>
          <w:p>
            <w:pPr>
              <w:pStyle w:val="null3"/>
              <w:jc w:val="right"/>
            </w:pPr>
            <w:r>
              <w:rPr/>
              <w:t>10.00</w:t>
            </w:r>
          </w:p>
        </w:tc>
        <w:tc>
          <w:tcPr>
            <w:tcW w:type="dxa" w:w="692"/>
          </w:tcPr>
          <w:p>
            <w:pPr>
              <w:pStyle w:val="null3"/>
            </w:pPr>
            <w:r>
              <w:rPr/>
              <w:t>客观</w:t>
            </w:r>
          </w:p>
        </w:tc>
      </w:tr>
      <w:tr>
        <w:tc>
          <w:tcPr>
            <w:tcW w:type="dxa" w:w="692"/>
          </w:tcPr>
          <w:p>
            <w:pPr>
              <w:pStyle w:val="null3"/>
            </w:pPr>
            <w:r>
              <w:rPr/>
              <w:t>价格分</w:t>
            </w:r>
          </w:p>
        </w:tc>
        <w:tc>
          <w:tcPr>
            <w:tcW w:type="dxa" w:w="2076"/>
          </w:tcPr>
          <w:p>
            <w:pPr>
              <w:pStyle w:val="null3"/>
            </w:pPr>
            <w:r>
              <w:rPr/>
              <w:t>价格分</w:t>
            </w:r>
          </w:p>
        </w:tc>
        <w:tc>
          <w:tcPr>
            <w:tcW w:type="dxa" w:w="2769"/>
          </w:tcPr>
          <w:p>
            <w:pPr>
              <w:pStyle w:val="null3"/>
            </w:pPr>
            <w:r>
              <w:rPr/>
              <w:t>投标总价价格评审：综合评分法中的价格分采用低价优先法计算，即满足招标文件要求且投标价格最低的投标报价为评标基准价，其价格分为满分。其他投标人的价格分统一按照下列公式计算：投标人报价得分=（评标基准价/投标报价）×价格权值×100；本项目中价格权值=50%</w:t>
            </w:r>
          </w:p>
        </w:tc>
        <w:tc>
          <w:tcPr>
            <w:tcW w:type="dxa" w:w="692"/>
          </w:tcPr>
          <w:p>
            <w:pPr>
              <w:pStyle w:val="null3"/>
              <w:jc w:val="right"/>
            </w:pPr>
            <w:r>
              <w:rPr/>
              <w:t>50.00</w:t>
            </w:r>
          </w:p>
        </w:tc>
        <w:tc>
          <w:tcPr>
            <w:tcW w:type="dxa" w:w="692"/>
          </w:tcPr>
          <w:p>
            <w:pPr>
              <w:pStyle w:val="null3"/>
            </w:pPr>
            <w:r>
              <w:rPr/>
              <w:t>客观</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06"/>
            <w:gridSpan w:val="5"/>
          </w:tcPr>
          <w:p>
            <w:pPr>
              <w:pStyle w:val="null3"/>
            </w:pPr>
            <w:r>
              <w:rPr/>
              <w:t xml:space="preserve"> 无</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 xml:space="preserve"> 根据《国有金融企业集中采购管理暂行规定》（财金〔2018〕9号）第二十八条“采用公开招标方式的，应当按规定发布招标公告、资格预审公告，公示中标候选人、中标结果等全流程信息”，【采购人/采购代理机构】 应当在评标委员会提交评审报告后，在“投标人须知前格式”中的“信息公示渠道”上公示中标候选人。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详见附件：法人或者其他组织的营业执照等证明文件，自然人的身份证明</w:t>
      </w:r>
    </w:p>
    <w:p>
      <w:pPr>
        <w:pStyle w:val="null3"/>
        <w:ind w:firstLine="960"/>
      </w:pPr>
      <w:r>
        <w:rPr/>
        <w:t>详见附件：技术条款第96条证明文件</w:t>
      </w:r>
    </w:p>
    <w:p>
      <w:pPr>
        <w:pStyle w:val="null3"/>
        <w:ind w:firstLine="960"/>
      </w:pPr>
      <w:r>
        <w:rPr/>
        <w:t>详见附件：技术条款第97条证明文件</w:t>
      </w:r>
    </w:p>
    <w:p>
      <w:pPr>
        <w:pStyle w:val="null3"/>
        <w:ind w:firstLine="960"/>
      </w:pPr>
      <w:r>
        <w:rPr/>
        <w:t>详见附件：技术条款第145条证明文件</w:t>
      </w:r>
    </w:p>
    <w:p>
      <w:pPr>
        <w:pStyle w:val="null3"/>
        <w:ind w:firstLine="960"/>
      </w:pPr>
      <w:r>
        <w:rPr/>
        <w:t>详见附件：技术条款第147条证明文件</w:t>
      </w:r>
    </w:p>
    <w:p>
      <w:pPr>
        <w:pStyle w:val="null3"/>
        <w:ind w:firstLine="960"/>
      </w:pPr>
      <w:r>
        <w:rPr/>
        <w:t>详见附件：技术条款第153条证明文件</w:t>
      </w:r>
    </w:p>
    <w:p>
      <w:pPr>
        <w:pStyle w:val="null3"/>
        <w:ind w:firstLine="960"/>
      </w:pPr>
      <w:r>
        <w:rPr/>
        <w:t>详见附件：技术条款第156条证明文件</w:t>
      </w:r>
    </w:p>
    <w:p>
      <w:pPr>
        <w:pStyle w:val="null3"/>
        <w:ind w:firstLine="960"/>
      </w:pPr>
      <w:r>
        <w:rPr/>
        <w:t>详见附件：技术条款第157条证明文件</w:t>
      </w:r>
    </w:p>
    <w:p>
      <w:pPr>
        <w:pStyle w:val="null3"/>
        <w:ind w:firstLine="960"/>
      </w:pPr>
      <w:r>
        <w:rPr/>
        <w:t>详见附件：商务条款第13条证明文件</w:t>
      </w:r>
    </w:p>
    <w:p>
      <w:pPr>
        <w:pStyle w:val="null3"/>
        <w:ind w:firstLine="960"/>
      </w:pPr>
      <w:r>
        <w:rPr/>
        <w:t>详见附件：商务条款第25条证明文件</w:t>
      </w:r>
    </w:p>
    <w:p>
      <w:pPr>
        <w:pStyle w:val="null3"/>
        <w:ind w:firstLine="960"/>
      </w:pPr>
      <w:r>
        <w:rPr/>
        <w:t>详见附件：商务条款第49条证明文件</w:t>
      </w:r>
    </w:p>
    <w:p>
      <w:pPr>
        <w:pStyle w:val="null3"/>
        <w:ind w:firstLine="960"/>
      </w:pPr>
      <w:r>
        <w:rPr/>
        <w:t>详见附件：商务条款第50条证明文件</w:t>
      </w:r>
    </w:p>
    <w:p>
      <w:pPr>
        <w:pStyle w:val="null3"/>
        <w:ind w:firstLine="960"/>
      </w:pPr>
      <w:r>
        <w:rPr/>
        <w:t>详见附件：商务条款第51条证明文件</w:t>
      </w:r>
    </w:p>
    <w:p>
      <w:pPr>
        <w:pStyle w:val="null3"/>
        <w:ind w:firstLine="960"/>
      </w:pPr>
      <w:r>
        <w:rPr/>
        <w:t>详见附件：商务条款第52条证明文件</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rFonts w:ascii="宋体" w:hAnsi="宋体" w:cs="宋体" w:eastAsia="宋体"/>
          <w:sz w:val="52"/>
          <w:b/>
        </w:rPr>
        <w:t>【】</w:t>
      </w:r>
      <w:r>
        <w:rPr>
          <w:rFonts w:ascii="宋体" w:hAnsi="宋体" w:cs="宋体" w:eastAsia="宋体"/>
          <w:sz w:val="52"/>
          <w:b/>
        </w:rPr>
        <w:t>项目</w:t>
      </w:r>
    </w:p>
    <w:p>
      <w:pPr>
        <w:pStyle w:val="null3"/>
        <w:jc w:val="center"/>
      </w:pPr>
      <w:r>
        <w:rPr>
          <w:rFonts w:ascii="宋体" w:hAnsi="宋体" w:cs="宋体" w:eastAsia="宋体"/>
          <w:sz w:val="52"/>
          <w:b/>
        </w:rPr>
        <w:t>采购合同</w:t>
      </w:r>
    </w:p>
    <w:p>
      <w:pPr>
        <w:pStyle w:val="null3"/>
        <w:ind w:left="105" w:right="-15"/>
        <w:jc w:val="both"/>
      </w:pPr>
      <w:r>
        <w:rPr>
          <w:rFonts w:ascii="宋体" w:hAnsi="宋体" w:cs="宋体" w:eastAsia="宋体"/>
          <w:sz w:val="24"/>
        </w:rPr>
        <w:t>合同编号：</w:t>
      </w:r>
      <w:r>
        <w:rPr>
          <w:rFonts w:ascii="宋体" w:hAnsi="宋体" w:cs="宋体" w:eastAsia="宋体"/>
          <w:sz w:val="24"/>
          <w:b/>
        </w:rPr>
        <w:t>【】</w:t>
      </w:r>
    </w:p>
    <w:p>
      <w:pPr>
        <w:pStyle w:val="null3"/>
        <w:ind w:left="105" w:right="-15"/>
        <w:jc w:val="both"/>
      </w:pPr>
      <w:r>
        <w:rPr>
          <w:rFonts w:ascii="宋体" w:hAnsi="宋体" w:cs="宋体" w:eastAsia="宋体"/>
          <w:sz w:val="24"/>
          <w:b/>
        </w:rPr>
        <w:t>甲</w:t>
      </w:r>
      <w:r>
        <w:rPr>
          <w:rFonts w:ascii="calibri, sans-serif" w:hAnsi="calibri, sans-serif" w:cs="calibri, sans-serif" w:eastAsia="calibri, sans-serif"/>
          <w:sz w:val="21"/>
          <w:b/>
        </w:rPr>
        <w:t xml:space="preserve">   </w:t>
      </w:r>
      <w:r>
        <w:rPr>
          <w:rFonts w:ascii="宋体" w:hAnsi="宋体" w:cs="宋体" w:eastAsia="宋体"/>
          <w:sz w:val="24"/>
          <w:b/>
        </w:rPr>
        <w:t>方</w:t>
      </w:r>
      <w:r>
        <w:rPr>
          <w:rFonts w:ascii="宋体" w:hAnsi="宋体" w:cs="宋体" w:eastAsia="宋体"/>
          <w:sz w:val="24"/>
          <w:b/>
        </w:rPr>
        <w:t>：</w:t>
      </w:r>
      <w:r>
        <w:rPr>
          <w:rFonts w:ascii="宋体" w:hAnsi="宋体" w:cs="宋体" w:eastAsia="宋体"/>
          <w:sz w:val="24"/>
          <w:b/>
        </w:rPr>
        <w:t>网联清算有限公司</w:t>
      </w:r>
    </w:p>
    <w:p>
      <w:pPr>
        <w:pStyle w:val="null3"/>
        <w:ind w:left="105" w:right="-15"/>
        <w:jc w:val="both"/>
      </w:pPr>
      <w:r>
        <w:rPr>
          <w:rFonts w:ascii="宋体" w:hAnsi="宋体" w:cs="宋体" w:eastAsia="宋体"/>
          <w:sz w:val="24"/>
        </w:rPr>
        <w:t>法定代表人：</w:t>
      </w:r>
      <w:r>
        <w:rPr>
          <w:rFonts w:ascii="宋体" w:hAnsi="宋体" w:cs="宋体" w:eastAsia="宋体"/>
          <w:sz w:val="24"/>
        </w:rPr>
        <w:t>罗延枫</w:t>
      </w:r>
    </w:p>
    <w:p>
      <w:pPr>
        <w:pStyle w:val="null3"/>
        <w:ind w:left="105" w:right="-15"/>
        <w:jc w:val="both"/>
      </w:pPr>
      <w:r>
        <w:rPr>
          <w:rFonts w:ascii="宋体" w:hAnsi="宋体" w:cs="宋体" w:eastAsia="宋体"/>
          <w:sz w:val="24"/>
        </w:rPr>
        <w:t>地址：北京市西城区北三环中路甲</w:t>
      </w:r>
      <w:r>
        <w:rPr>
          <w:rFonts w:ascii="calibri, sans-serif" w:hAnsi="calibri, sans-serif" w:cs="calibri, sans-serif" w:eastAsia="calibri, sans-serif"/>
          <w:sz w:val="24"/>
        </w:rPr>
        <w:t>29</w:t>
      </w:r>
      <w:r>
        <w:rPr>
          <w:rFonts w:ascii="宋体" w:hAnsi="宋体" w:cs="宋体" w:eastAsia="宋体"/>
          <w:sz w:val="24"/>
        </w:rPr>
        <w:t>号院</w:t>
      </w:r>
      <w:r>
        <w:rPr>
          <w:rFonts w:ascii="calibri, sans-serif" w:hAnsi="calibri, sans-serif" w:cs="calibri, sans-serif" w:eastAsia="calibri, sans-serif"/>
          <w:sz w:val="24"/>
        </w:rPr>
        <w:t>3</w:t>
      </w:r>
      <w:r>
        <w:rPr>
          <w:rFonts w:ascii="宋体" w:hAnsi="宋体" w:cs="宋体" w:eastAsia="宋体"/>
          <w:sz w:val="24"/>
        </w:rPr>
        <w:t>号楼</w:t>
      </w:r>
      <w:r>
        <w:rPr>
          <w:rFonts w:ascii="calibri, sans-serif" w:hAnsi="calibri, sans-serif" w:cs="calibri, sans-serif" w:eastAsia="calibri, sans-serif"/>
          <w:sz w:val="24"/>
        </w:rPr>
        <w:t>101</w:t>
      </w:r>
      <w:r>
        <w:rPr>
          <w:rFonts w:ascii="宋体" w:hAnsi="宋体" w:cs="宋体" w:eastAsia="宋体"/>
          <w:sz w:val="24"/>
        </w:rPr>
        <w:t>号内</w:t>
      </w:r>
      <w:r>
        <w:rPr>
          <w:rFonts w:ascii="calibri, sans-serif" w:hAnsi="calibri, sans-serif" w:cs="calibri, sans-serif" w:eastAsia="calibri, sans-serif"/>
          <w:sz w:val="24"/>
        </w:rPr>
        <w:t>101</w:t>
      </w:r>
      <w:r>
        <w:rPr>
          <w:rFonts w:ascii="宋体" w:hAnsi="宋体" w:cs="宋体" w:eastAsia="宋体"/>
          <w:sz w:val="24"/>
        </w:rPr>
        <w:t>室</w:t>
      </w:r>
    </w:p>
    <w:p>
      <w:pPr>
        <w:pStyle w:val="null3"/>
        <w:ind w:left="105" w:right="-15"/>
        <w:jc w:val="both"/>
      </w:pPr>
      <w:r>
        <w:rPr>
          <w:rFonts w:ascii="宋体" w:hAnsi="宋体" w:cs="宋体" w:eastAsia="宋体"/>
          <w:sz w:val="24"/>
        </w:rPr>
        <w:t>邮政编码：</w:t>
      </w:r>
      <w:r>
        <w:rPr>
          <w:rFonts w:ascii="calibri, sans-serif" w:hAnsi="calibri, sans-serif" w:cs="calibri, sans-serif" w:eastAsia="calibri, sans-serif"/>
          <w:sz w:val="24"/>
        </w:rPr>
        <w:t>100088</w:t>
      </w:r>
    </w:p>
    <w:p>
      <w:pPr>
        <w:pStyle w:val="null3"/>
        <w:ind w:left="420"/>
      </w:pPr>
      <w:r>
        <w:rPr>
          <w:rFonts w:ascii="宋体" w:hAnsi="宋体" w:cs="宋体" w:eastAsia="宋体"/>
          <w:sz w:val="24"/>
          <w:b/>
        </w:rPr>
        <w:t>乙</w:t>
      </w:r>
      <w:r>
        <w:rPr>
          <w:rFonts w:ascii="calibri, sans-serif" w:hAnsi="calibri, sans-serif" w:cs="calibri, sans-serif" w:eastAsia="calibri, sans-serif"/>
          <w:sz w:val="21"/>
          <w:b/>
        </w:rPr>
        <w:t xml:space="preserve">    </w:t>
      </w:r>
      <w:r>
        <w:rPr>
          <w:rFonts w:ascii="宋体" w:hAnsi="宋体" w:cs="宋体" w:eastAsia="宋体"/>
          <w:sz w:val="24"/>
          <w:b/>
        </w:rPr>
        <w:t>方：【】</w:t>
      </w:r>
    </w:p>
    <w:p>
      <w:pPr>
        <w:pStyle w:val="null3"/>
        <w:ind w:left="105" w:right="-15"/>
        <w:jc w:val="both"/>
      </w:pPr>
      <w:r>
        <w:rPr>
          <w:rFonts w:ascii="宋体" w:hAnsi="宋体" w:cs="宋体" w:eastAsia="宋体"/>
          <w:sz w:val="24"/>
        </w:rPr>
        <w:t>法定代表人：</w:t>
      </w:r>
      <w:r>
        <w:rPr>
          <w:rFonts w:ascii="宋体" w:hAnsi="宋体" w:cs="宋体" w:eastAsia="宋体"/>
          <w:sz w:val="24"/>
        </w:rPr>
        <w:t>【】</w:t>
      </w:r>
    </w:p>
    <w:p>
      <w:pPr>
        <w:pStyle w:val="null3"/>
        <w:ind w:left="105" w:right="-15"/>
        <w:jc w:val="both"/>
      </w:pPr>
      <w:r>
        <w:rPr>
          <w:rFonts w:ascii="宋体" w:hAnsi="宋体" w:cs="宋体" w:eastAsia="宋体"/>
          <w:sz w:val="24"/>
        </w:rPr>
        <w:t>地址：</w:t>
      </w:r>
      <w:r>
        <w:rPr>
          <w:rFonts w:ascii="宋体" w:hAnsi="宋体" w:cs="宋体" w:eastAsia="宋体"/>
          <w:sz w:val="24"/>
          <w:b/>
        </w:rPr>
        <w:t>【】</w:t>
      </w:r>
    </w:p>
    <w:p>
      <w:pPr>
        <w:pStyle w:val="null3"/>
        <w:ind w:left="105" w:right="-15"/>
        <w:jc w:val="both"/>
      </w:pPr>
      <w:r>
        <w:rPr>
          <w:rFonts w:ascii="宋体" w:hAnsi="宋体" w:cs="宋体" w:eastAsia="宋体"/>
          <w:sz w:val="24"/>
        </w:rPr>
        <w:t>邮政编码：</w:t>
      </w:r>
      <w:r>
        <w:rPr>
          <w:rFonts w:ascii="宋体" w:hAnsi="宋体" w:cs="宋体" w:eastAsia="宋体"/>
          <w:sz w:val="24"/>
          <w:b/>
        </w:rPr>
        <w:t>【】</w:t>
      </w:r>
    </w:p>
    <w:p>
      <w:pPr>
        <w:pStyle w:val="null3"/>
      </w:pPr>
      <w:r>
        <w:rPr>
          <w:rFonts w:ascii="宋体" w:hAnsi="宋体" w:cs="宋体" w:eastAsia="宋体"/>
          <w:sz w:val="24"/>
        </w:rPr>
        <w:t>根据【</w:t>
      </w:r>
      <w:r>
        <w:rPr>
          <w:rFonts w:ascii="calibri, sans-serif" w:hAnsi="calibri, sans-serif" w:cs="calibri, sans-serif" w:eastAsia="calibri, sans-serif"/>
          <w:sz w:val="24"/>
        </w:rPr>
        <w:t>2025</w:t>
      </w:r>
      <w:r>
        <w:rPr>
          <w:rFonts w:ascii="宋体" w:hAnsi="宋体" w:cs="宋体" w:eastAsia="宋体"/>
          <w:sz w:val="24"/>
        </w:rPr>
        <w:t>年第二批服务器采购】项目</w:t>
      </w:r>
      <w:r>
        <w:rPr>
          <w:rFonts w:ascii="宋体" w:hAnsi="宋体" w:cs="宋体" w:eastAsia="宋体"/>
          <w:sz w:val="24"/>
        </w:rPr>
        <w:t>的采购结果，</w:t>
      </w:r>
      <w:r>
        <w:rPr>
          <w:rFonts w:ascii="宋体" w:hAnsi="宋体" w:cs="宋体" w:eastAsia="宋体"/>
          <w:sz w:val="24"/>
        </w:rPr>
        <w:t>甲方与乙方经过充分协商，本着自愿、平等、互利、诚实信用的原则，签署</w:t>
      </w:r>
      <w:r>
        <w:rPr>
          <w:rFonts w:ascii="宋体" w:hAnsi="宋体" w:cs="宋体" w:eastAsia="宋体"/>
          <w:sz w:val="24"/>
          <w:color w:val="0000FF"/>
          <w:u w:val="single"/>
        </w:rPr>
        <w:t>本采购合同</w:t>
      </w:r>
      <w:r>
        <w:rPr>
          <w:rFonts w:ascii="宋体" w:hAnsi="宋体" w:cs="宋体" w:eastAsia="宋体"/>
          <w:sz w:val="24"/>
          <w:color w:val="0000FF"/>
          <w:u w:val="single"/>
        </w:rPr>
        <w:t>具体</w:t>
      </w:r>
      <w:r>
        <w:rPr>
          <w:rFonts w:ascii="宋体" w:hAnsi="宋体" w:cs="宋体" w:eastAsia="宋体"/>
          <w:sz w:val="24"/>
          <w:color w:val="0000FF"/>
          <w:u w:val="single"/>
        </w:rPr>
        <w:t>如下</w:t>
      </w:r>
      <w:r>
        <w:rPr>
          <w:rFonts w:ascii="宋体" w:hAnsi="宋体" w:cs="宋体" w:eastAsia="宋体"/>
          <w:sz w:val="24"/>
        </w:rPr>
        <w:t>：</w:t>
      </w:r>
    </w:p>
    <w:p>
      <w:pPr>
        <w:pStyle w:val="null3"/>
        <w:numPr>
          <w:ilvl w:val="0"/>
          <w:numId w:val="2"/>
        </w:numPr>
        <w:ind w:left="420"/>
      </w:pPr>
      <w:r>
        <w:rPr>
          <w:rFonts w:ascii="宋体" w:hAnsi="宋体" w:cs="宋体" w:eastAsia="宋体"/>
          <w:sz w:val="24"/>
        </w:rPr>
        <w:t>合同的组成</w:t>
      </w:r>
    </w:p>
    <w:p>
      <w:pPr>
        <w:pStyle w:val="null3"/>
        <w:ind w:right="-15" w:firstLine="480"/>
        <w:jc w:val="both"/>
      </w:pPr>
      <w:r>
        <w:rPr>
          <w:rFonts w:ascii="calibri, sans-serif" w:hAnsi="calibri, sans-serif" w:cs="calibri, sans-serif" w:eastAsia="calibri, sans-serif"/>
          <w:sz w:val="24"/>
        </w:rPr>
        <w:t xml:space="preserve">1.1 </w:t>
      </w:r>
      <w:r>
        <w:rPr>
          <w:rFonts w:ascii="宋体" w:hAnsi="宋体" w:cs="宋体" w:eastAsia="宋体"/>
          <w:sz w:val="24"/>
        </w:rPr>
        <w:t>本合同包括合同正文、合同附件、双方与履行本合同相关的盖章函件（如有）、补充条款（如有）</w:t>
      </w:r>
      <w:r>
        <w:rPr>
          <w:rFonts w:ascii="宋体" w:hAnsi="宋体" w:cs="宋体" w:eastAsia="宋体"/>
          <w:sz w:val="24"/>
        </w:rPr>
        <w:t>等，</w:t>
      </w:r>
      <w:r>
        <w:rPr>
          <w:rFonts w:ascii="宋体" w:hAnsi="宋体" w:cs="宋体" w:eastAsia="宋体"/>
          <w:sz w:val="24"/>
        </w:rPr>
        <w:t>前述文件均为本合同有效组成部分。</w:t>
      </w:r>
    </w:p>
    <w:p>
      <w:pPr>
        <w:pStyle w:val="null3"/>
        <w:ind w:right="-15" w:firstLine="480"/>
        <w:jc w:val="both"/>
      </w:pPr>
      <w:r>
        <w:rPr>
          <w:rFonts w:ascii="calibri, sans-serif" w:hAnsi="calibri, sans-serif" w:cs="calibri, sans-serif" w:eastAsia="calibri, sans-serif"/>
          <w:sz w:val="24"/>
        </w:rPr>
        <w:t xml:space="preserve">1.2 </w:t>
      </w:r>
      <w:r>
        <w:rPr>
          <w:rFonts w:ascii="宋体" w:hAnsi="宋体" w:cs="宋体" w:eastAsia="宋体"/>
          <w:sz w:val="24"/>
        </w:rPr>
        <w:t>若</w:t>
      </w:r>
      <w:r>
        <w:rPr>
          <w:rFonts w:ascii="宋体" w:hAnsi="宋体" w:cs="宋体" w:eastAsia="宋体"/>
          <w:sz w:val="24"/>
        </w:rPr>
        <w:t>合同</w:t>
      </w:r>
      <w:r>
        <w:rPr>
          <w:rFonts w:ascii="宋体" w:hAnsi="宋体" w:cs="宋体" w:eastAsia="宋体"/>
          <w:sz w:val="24"/>
        </w:rPr>
        <w:t>正文</w:t>
      </w:r>
      <w:r>
        <w:rPr>
          <w:rFonts w:ascii="宋体" w:hAnsi="宋体" w:cs="宋体" w:eastAsia="宋体"/>
          <w:sz w:val="24"/>
        </w:rPr>
        <w:t>、附件、</w:t>
      </w:r>
      <w:r>
        <w:rPr>
          <w:rFonts w:ascii="宋体" w:hAnsi="宋体" w:cs="宋体" w:eastAsia="宋体"/>
          <w:sz w:val="24"/>
        </w:rPr>
        <w:t>函件、补充条款</w:t>
      </w:r>
      <w:r>
        <w:rPr>
          <w:rFonts w:ascii="宋体" w:hAnsi="宋体" w:cs="宋体" w:eastAsia="宋体"/>
          <w:sz w:val="24"/>
        </w:rPr>
        <w:t>等</w:t>
      </w:r>
      <w:r>
        <w:rPr>
          <w:rFonts w:ascii="宋体" w:hAnsi="宋体" w:cs="宋体" w:eastAsia="宋体"/>
          <w:sz w:val="24"/>
        </w:rPr>
        <w:t>之间</w:t>
      </w:r>
      <w:r>
        <w:rPr>
          <w:rFonts w:ascii="宋体" w:hAnsi="宋体" w:cs="宋体" w:eastAsia="宋体"/>
          <w:sz w:val="24"/>
        </w:rPr>
        <w:t>有矛盾之处，</w:t>
      </w:r>
      <w:r>
        <w:rPr>
          <w:rFonts w:ascii="宋体" w:hAnsi="宋体" w:cs="宋体" w:eastAsia="宋体"/>
          <w:sz w:val="24"/>
        </w:rPr>
        <w:t>以有利于甲方的内容为准。</w:t>
      </w:r>
    </w:p>
    <w:p>
      <w:pPr>
        <w:pStyle w:val="null3"/>
        <w:ind w:right="-15" w:firstLine="480"/>
        <w:jc w:val="both"/>
      </w:pPr>
      <w:r>
        <w:rPr>
          <w:rFonts w:ascii="calibri, sans-serif" w:hAnsi="calibri, sans-serif" w:cs="calibri, sans-serif" w:eastAsia="calibri, sans-serif"/>
          <w:sz w:val="24"/>
        </w:rPr>
        <w:t xml:space="preserve">1.3 </w:t>
      </w:r>
      <w:r>
        <w:rPr>
          <w:rFonts w:ascii="宋体" w:hAnsi="宋体" w:cs="宋体" w:eastAsia="宋体"/>
          <w:sz w:val="24"/>
        </w:rPr>
        <w:t>双方一致同意：就同一事项，如果乙方提供的产品标准、技术标准、服务标准、服务水平等承诺内容与甲方要求的标准不一致的，乙方应以较高标准要求履行相应的义务。</w:t>
      </w:r>
    </w:p>
    <w:p>
      <w:pPr>
        <w:pStyle w:val="null3"/>
        <w:numPr>
          <w:ilvl w:val="0"/>
          <w:numId w:val="2"/>
        </w:numPr>
        <w:jc w:val="both"/>
      </w:pPr>
      <w:r>
        <w:rPr>
          <w:rFonts w:ascii="宋体" w:hAnsi="宋体" w:cs="宋体" w:eastAsia="宋体"/>
          <w:sz w:val="24"/>
        </w:rPr>
        <w:t>合同标的</w:t>
      </w:r>
    </w:p>
    <w:p>
      <w:pPr>
        <w:pStyle w:val="null3"/>
        <w:ind w:firstLine="480"/>
        <w:jc w:val="both"/>
      </w:pPr>
      <w:r>
        <w:rPr>
          <w:rFonts w:ascii="calibri, sans-serif" w:hAnsi="calibri, sans-serif" w:cs="calibri, sans-serif" w:eastAsia="calibri, sans-serif"/>
          <w:sz w:val="24"/>
        </w:rPr>
        <w:t xml:space="preserve">2.1 </w:t>
      </w:r>
      <w:r>
        <w:rPr>
          <w:rFonts w:ascii="宋体" w:hAnsi="宋体" w:cs="宋体" w:eastAsia="宋体"/>
          <w:sz w:val="24"/>
        </w:rPr>
        <w:t>本合同项下的价格标准详见</w:t>
      </w:r>
      <w:r>
        <w:rPr>
          <w:rFonts w:ascii="宋体" w:hAnsi="宋体" w:cs="宋体" w:eastAsia="宋体"/>
          <w:sz w:val="24"/>
        </w:rPr>
        <w:t>附件</w:t>
      </w:r>
      <w:r>
        <w:rPr>
          <w:rFonts w:ascii="calibri, sans-serif" w:hAnsi="calibri, sans-serif" w:cs="calibri, sans-serif" w:eastAsia="calibri, sans-serif"/>
          <w:sz w:val="24"/>
        </w:rPr>
        <w:t>1</w:t>
      </w:r>
      <w:r>
        <w:rPr>
          <w:rFonts w:ascii="宋体" w:hAnsi="宋体" w:cs="宋体" w:eastAsia="宋体"/>
          <w:sz w:val="24"/>
        </w:rPr>
        <w:t>《价格清单》。</w:t>
      </w:r>
    </w:p>
    <w:p>
      <w:pPr>
        <w:pStyle w:val="null3"/>
        <w:ind w:firstLine="480"/>
        <w:jc w:val="both"/>
      </w:pPr>
      <w:r>
        <w:rPr>
          <w:rFonts w:ascii="calibri, sans-serif" w:hAnsi="calibri, sans-serif" w:cs="calibri, sans-serif" w:eastAsia="calibri, sans-serif"/>
          <w:sz w:val="24"/>
        </w:rPr>
        <w:t xml:space="preserve">2.2 </w:t>
      </w:r>
      <w:r>
        <w:rPr>
          <w:rFonts w:ascii="宋体" w:hAnsi="宋体" w:cs="宋体" w:eastAsia="宋体"/>
          <w:sz w:val="24"/>
        </w:rPr>
        <w:t>乙方保证设备配置完整、全新未曾使用且满足本合同约定，有关产品的详细情况（如名称、配置、规格、型号、数量等）见附件</w:t>
      </w:r>
      <w:r>
        <w:rPr>
          <w:rFonts w:ascii="calibri, sans-serif" w:hAnsi="calibri, sans-serif" w:cs="calibri, sans-serif" w:eastAsia="calibri, sans-serif"/>
          <w:sz w:val="24"/>
        </w:rPr>
        <w:t>2</w:t>
      </w:r>
      <w:r>
        <w:rPr>
          <w:rFonts w:ascii="宋体" w:hAnsi="宋体" w:cs="宋体" w:eastAsia="宋体"/>
          <w:sz w:val="24"/>
        </w:rPr>
        <w:t>《甲方采购需求书》。</w:t>
      </w:r>
    </w:p>
    <w:p>
      <w:pPr>
        <w:pStyle w:val="null3"/>
        <w:ind w:firstLine="480"/>
        <w:jc w:val="both"/>
      </w:pPr>
      <w:r>
        <w:rPr>
          <w:rFonts w:ascii="calibri, sans-serif" w:hAnsi="calibri, sans-serif" w:cs="calibri, sans-serif" w:eastAsia="calibri, sans-serif"/>
          <w:sz w:val="24"/>
        </w:rPr>
        <w:t xml:space="preserve">2.3 </w:t>
      </w:r>
      <w:r>
        <w:rPr>
          <w:rFonts w:ascii="宋体" w:hAnsi="宋体" w:cs="宋体" w:eastAsia="宋体"/>
          <w:sz w:val="24"/>
        </w:rPr>
        <w:t>本合同项下乙方向甲方销售的产品原产地：【】，产品制造商：【】。</w:t>
      </w:r>
    </w:p>
    <w:p>
      <w:pPr>
        <w:pStyle w:val="null3"/>
        <w:numPr>
          <w:ilvl w:val="0"/>
          <w:numId w:val="2"/>
        </w:numPr>
        <w:ind w:firstLine="480"/>
        <w:jc w:val="both"/>
      </w:pPr>
      <w:r>
        <w:rPr>
          <w:rFonts w:ascii="宋体" w:hAnsi="宋体" w:cs="宋体" w:eastAsia="宋体"/>
          <w:sz w:val="24"/>
        </w:rPr>
        <w:t>交货</w:t>
      </w:r>
    </w:p>
    <w:p>
      <w:pPr>
        <w:pStyle w:val="null3"/>
        <w:ind w:firstLine="480"/>
        <w:jc w:val="both"/>
      </w:pPr>
      <w:r>
        <w:rPr>
          <w:rFonts w:ascii="calibri, sans-serif" w:hAnsi="calibri, sans-serif" w:cs="calibri, sans-serif" w:eastAsia="calibri, sans-serif"/>
          <w:sz w:val="24"/>
        </w:rPr>
        <w:t xml:space="preserve">3.1 </w:t>
      </w:r>
      <w:r>
        <w:rPr>
          <w:rFonts w:ascii="宋体" w:hAnsi="宋体" w:cs="宋体" w:eastAsia="宋体"/>
          <w:sz w:val="24"/>
        </w:rPr>
        <w:t>交货地点：【</w:t>
      </w:r>
      <w:r>
        <w:rPr>
          <w:rFonts w:ascii="宋体" w:hAnsi="宋体" w:cs="宋体" w:eastAsia="宋体"/>
          <w:sz w:val="21"/>
        </w:rPr>
        <w:t>北京、上海、深圳，具体位置以甲方指定位置为准</w:t>
      </w:r>
      <w:r>
        <w:rPr>
          <w:rFonts w:ascii="宋体" w:hAnsi="宋体" w:cs="宋体" w:eastAsia="宋体"/>
          <w:sz w:val="24"/>
        </w:rPr>
        <w:t>】。</w:t>
      </w:r>
      <w:r>
        <w:rPr>
          <w:rFonts w:ascii="宋体" w:hAnsi="宋体" w:cs="宋体" w:eastAsia="宋体"/>
          <w:sz w:val="24"/>
        </w:rPr>
        <w:t>如甲方变更交货地点，需按第十五条的约定通知乙方</w:t>
      </w:r>
      <w:r>
        <w:rPr>
          <w:rFonts w:ascii="宋体" w:hAnsi="宋体" w:cs="宋体" w:eastAsia="宋体"/>
          <w:sz w:val="24"/>
        </w:rPr>
        <w:t>。</w:t>
      </w:r>
    </w:p>
    <w:p>
      <w:pPr>
        <w:pStyle w:val="null3"/>
        <w:ind w:firstLine="480"/>
        <w:jc w:val="both"/>
      </w:pPr>
      <w:r>
        <w:rPr>
          <w:rFonts w:ascii="calibri, sans-serif" w:hAnsi="calibri, sans-serif" w:cs="calibri, sans-serif" w:eastAsia="calibri, sans-serif"/>
          <w:sz w:val="24"/>
        </w:rPr>
        <w:t xml:space="preserve">3.2 </w:t>
      </w:r>
      <w:r>
        <w:rPr>
          <w:rFonts w:ascii="宋体" w:hAnsi="宋体" w:cs="宋体" w:eastAsia="宋体"/>
          <w:sz w:val="24"/>
        </w:rPr>
        <w:t>交货期：【</w:t>
      </w:r>
      <w:r>
        <w:rPr>
          <w:rFonts w:ascii="宋体" w:hAnsi="宋体" w:cs="宋体" w:eastAsia="宋体"/>
          <w:sz w:val="21"/>
        </w:rPr>
        <w:t>乙方应在合同签订或订单下达并收到甲方供货通知后，30个日历日内将供货通知内所有货物送至甲方指定地点</w:t>
      </w:r>
      <w:r>
        <w:rPr>
          <w:rFonts w:ascii="宋体" w:hAnsi="宋体" w:cs="宋体" w:eastAsia="宋体"/>
          <w:sz w:val="24"/>
        </w:rPr>
        <w:t>】。</w:t>
      </w:r>
    </w:p>
    <w:p>
      <w:pPr>
        <w:pStyle w:val="null3"/>
        <w:ind w:firstLine="480"/>
        <w:jc w:val="both"/>
      </w:pPr>
      <w:r>
        <w:rPr>
          <w:rFonts w:ascii="calibri, sans-serif" w:hAnsi="calibri, sans-serif" w:cs="calibri, sans-serif" w:eastAsia="calibri, sans-serif"/>
          <w:sz w:val="24"/>
        </w:rPr>
        <w:t xml:space="preserve">3.3 </w:t>
      </w:r>
      <w:r>
        <w:rPr>
          <w:rFonts w:ascii="宋体" w:hAnsi="宋体" w:cs="宋体" w:eastAsia="宋体"/>
          <w:sz w:val="24"/>
        </w:rPr>
        <w:t>乙方在交货期内将产品运送至交货地点，并通知甲方接收。甲方接收产品并核实无误后出具【验收报告】（见附件【】</w:t>
      </w:r>
      <w:r>
        <w:rPr>
          <w:rFonts w:ascii="宋体" w:hAnsi="宋体" w:cs="宋体" w:eastAsia="宋体"/>
          <w:sz w:val="21"/>
        </w:rPr>
        <w:t>《验收单据模板》</w:t>
      </w:r>
      <w:r>
        <w:rPr>
          <w:rFonts w:ascii="宋体" w:hAnsi="宋体" w:cs="宋体" w:eastAsia="宋体"/>
          <w:sz w:val="24"/>
        </w:rPr>
        <w:t>）。之后，产品所有权转移至甲方，产品毁损、灭失的风险转移至甲方承担。</w:t>
      </w:r>
    </w:p>
    <w:p>
      <w:pPr>
        <w:pStyle w:val="null3"/>
        <w:ind w:firstLine="480"/>
        <w:jc w:val="both"/>
      </w:pPr>
      <w:r>
        <w:rPr>
          <w:rFonts w:ascii="calibri, sans-serif" w:hAnsi="calibri, sans-serif" w:cs="calibri, sans-serif" w:eastAsia="calibri, sans-serif"/>
          <w:sz w:val="24"/>
        </w:rPr>
        <w:t xml:space="preserve">3.4 </w:t>
      </w:r>
      <w:r>
        <w:rPr>
          <w:rFonts w:ascii="宋体" w:hAnsi="宋体" w:cs="宋体" w:eastAsia="宋体"/>
          <w:sz w:val="24"/>
        </w:rPr>
        <w:t>乙方应根据产品的属性，采用合理的包装及运输方式，因不当包装、运输问题等造成的损失由乙方承担。乙方将产品运输至交货地点的运费、包装费、保险、运输风险等由乙方承担。</w:t>
      </w:r>
    </w:p>
    <w:p>
      <w:pPr>
        <w:pStyle w:val="null3"/>
        <w:numPr>
          <w:ilvl w:val="0"/>
          <w:numId w:val="2"/>
        </w:numPr>
        <w:ind w:left="420"/>
      </w:pPr>
      <w:r>
        <w:rPr>
          <w:rFonts w:ascii="宋体" w:hAnsi="宋体" w:cs="宋体" w:eastAsia="宋体"/>
          <w:sz w:val="24"/>
        </w:rPr>
        <w:t>验收</w:t>
      </w:r>
    </w:p>
    <w:p>
      <w:pPr>
        <w:pStyle w:val="null3"/>
        <w:ind w:firstLine="480"/>
        <w:jc w:val="both"/>
      </w:pPr>
      <w:r>
        <w:rPr>
          <w:rFonts w:ascii="calibri, sans-serif" w:hAnsi="calibri, sans-serif" w:cs="calibri, sans-serif" w:eastAsia="calibri, sans-serif"/>
          <w:sz w:val="24"/>
        </w:rPr>
        <w:t xml:space="preserve">4.1 </w:t>
      </w:r>
      <w:r>
        <w:rPr>
          <w:rFonts w:ascii="宋体" w:hAnsi="宋体" w:cs="宋体" w:eastAsia="宋体"/>
          <w:sz w:val="24"/>
        </w:rPr>
        <w:t>满足验收条件后，甲方对产品进行验收，乙方配合验收。验收结果以甲方</w:t>
      </w:r>
      <w:r>
        <w:rPr>
          <w:rFonts w:ascii="宋体" w:hAnsi="宋体" w:cs="宋体" w:eastAsia="宋体"/>
          <w:sz w:val="24"/>
        </w:rPr>
        <w:t>意见</w:t>
      </w:r>
      <w:r>
        <w:rPr>
          <w:rFonts w:ascii="宋体" w:hAnsi="宋体" w:cs="宋体" w:eastAsia="宋体"/>
          <w:sz w:val="24"/>
        </w:rPr>
        <w:t>为准。</w:t>
      </w:r>
      <w:r>
        <w:rPr>
          <w:rFonts w:ascii="宋体" w:hAnsi="宋体" w:cs="宋体" w:eastAsia="宋体"/>
          <w:sz w:val="24"/>
        </w:rPr>
        <w:t>甲方有权根据验收结果出具【验收报告】，乙方应在【</w:t>
      </w:r>
      <w:r>
        <w:rPr>
          <w:rFonts w:ascii="calibri, sans-serif" w:hAnsi="calibri, sans-serif" w:cs="calibri, sans-serif" w:eastAsia="calibri, sans-serif"/>
          <w:sz w:val="24"/>
        </w:rPr>
        <w:t>3</w:t>
      </w:r>
      <w:r>
        <w:rPr>
          <w:rFonts w:ascii="宋体" w:hAnsi="宋体" w:cs="宋体" w:eastAsia="宋体"/>
          <w:sz w:val="24"/>
        </w:rPr>
        <w:t>】个工作日内进行书面认定，乙方迟延或拒绝书面认定的，视为同意</w:t>
      </w:r>
      <w:r>
        <w:rPr>
          <w:rFonts w:ascii="宋体" w:hAnsi="宋体" w:cs="宋体" w:eastAsia="宋体"/>
          <w:sz w:val="24"/>
        </w:rPr>
        <w:t>。</w:t>
      </w:r>
    </w:p>
    <w:p>
      <w:pPr>
        <w:pStyle w:val="null3"/>
        <w:ind w:firstLine="480"/>
        <w:jc w:val="both"/>
      </w:pPr>
      <w:r>
        <w:rPr>
          <w:rFonts w:ascii="calibri, sans-serif" w:hAnsi="calibri, sans-serif" w:cs="calibri, sans-serif" w:eastAsia="calibri, sans-serif"/>
          <w:sz w:val="24"/>
        </w:rPr>
        <w:t xml:space="preserve">4.2 </w:t>
      </w:r>
      <w:r>
        <w:rPr>
          <w:rFonts w:ascii="宋体" w:hAnsi="宋体" w:cs="宋体" w:eastAsia="宋体"/>
          <w:sz w:val="24"/>
        </w:rPr>
        <w:t>本合同项下的验收包括：</w:t>
      </w:r>
    </w:p>
    <w:p>
      <w:pPr>
        <w:pStyle w:val="null3"/>
        <w:numPr>
          <w:ilvl w:val="0"/>
          <w:numId w:val="1"/>
        </w:numPr>
        <w:jc w:val="both"/>
      </w:pPr>
      <w:r>
        <w:rPr>
          <w:rFonts w:ascii="宋体" w:hAnsi="宋体" w:cs="宋体" w:eastAsia="宋体"/>
          <w:sz w:val="24"/>
        </w:rPr>
        <w:t>【到货】验收：【</w:t>
      </w:r>
      <w:r>
        <w:rPr>
          <w:rFonts w:ascii="宋体" w:hAnsi="宋体" w:cs="宋体" w:eastAsia="宋体"/>
          <w:sz w:val="24"/>
        </w:rPr>
        <w:t>设备到货且收到乙方纸质或邮件的验收申请后</w:t>
      </w:r>
      <w:r>
        <w:rPr>
          <w:rFonts w:ascii="calibri, sans-serif" w:hAnsi="calibri, sans-serif" w:cs="calibri, sans-serif" w:eastAsia="calibri, sans-serif"/>
          <w:sz w:val="24"/>
        </w:rPr>
        <w:t>20</w:t>
      </w:r>
      <w:r>
        <w:rPr>
          <w:rFonts w:ascii="宋体" w:hAnsi="宋体" w:cs="宋体" w:eastAsia="宋体"/>
          <w:sz w:val="24"/>
        </w:rPr>
        <w:t>个工作日内双方完成到货验收</w:t>
      </w:r>
      <w:r>
        <w:rPr>
          <w:rFonts w:ascii="宋体" w:hAnsi="宋体" w:cs="宋体" w:eastAsia="宋体"/>
          <w:sz w:val="24"/>
        </w:rPr>
        <w:t>】，甲方验收合格后出具【验收报告】（见附件【】《</w:t>
      </w:r>
      <w:r>
        <w:rPr>
          <w:rFonts w:ascii="宋体" w:hAnsi="宋体" w:cs="宋体" w:eastAsia="宋体"/>
          <w:sz w:val="24"/>
        </w:rPr>
        <w:t>验收单据模板</w:t>
      </w:r>
      <w:r>
        <w:rPr>
          <w:rFonts w:ascii="宋体" w:hAnsi="宋体" w:cs="宋体" w:eastAsia="宋体"/>
          <w:sz w:val="24"/>
        </w:rPr>
        <w:t>》）</w:t>
      </w:r>
      <w:r>
        <w:rPr>
          <w:rFonts w:ascii="宋体" w:hAnsi="宋体" w:cs="宋体" w:eastAsia="宋体"/>
          <w:sz w:val="24"/>
        </w:rPr>
        <w:t>。乙方应提供如下验收证明材料：【《安装部署实施方案》、《应急处理方案》</w:t>
      </w:r>
      <w:r>
        <w:rPr>
          <w:rFonts w:ascii="宋体" w:hAnsi="宋体" w:cs="宋体" w:eastAsia="宋体"/>
          <w:sz w:val="24"/>
        </w:rPr>
        <w:t>】</w:t>
      </w:r>
      <w:r>
        <w:rPr>
          <w:rFonts w:ascii="宋体" w:hAnsi="宋体" w:cs="宋体" w:eastAsia="宋体"/>
          <w:sz w:val="24"/>
        </w:rPr>
        <w:t>。</w:t>
      </w:r>
    </w:p>
    <w:p>
      <w:pPr>
        <w:pStyle w:val="null3"/>
        <w:numPr>
          <w:ilvl w:val="0"/>
          <w:numId w:val="1"/>
        </w:numPr>
        <w:jc w:val="both"/>
      </w:pPr>
      <w:r>
        <w:rPr>
          <w:rFonts w:ascii="宋体" w:hAnsi="宋体" w:cs="宋体" w:eastAsia="宋体"/>
          <w:sz w:val="24"/>
        </w:rPr>
        <w:t>【初验】验收：【产品完成安装调试且收到乙方纸质或邮件的验收申请后</w:t>
      </w:r>
      <w:r>
        <w:rPr>
          <w:rFonts w:ascii="calibri, sans-serif" w:hAnsi="calibri, sans-serif" w:cs="calibri, sans-serif" w:eastAsia="calibri, sans-serif"/>
          <w:sz w:val="24"/>
        </w:rPr>
        <w:t>20</w:t>
      </w:r>
      <w:r>
        <w:rPr>
          <w:rFonts w:ascii="宋体" w:hAnsi="宋体" w:cs="宋体" w:eastAsia="宋体"/>
          <w:sz w:val="24"/>
        </w:rPr>
        <w:t>个工作日内双方完成初步验收，其中无需安装设备在经过加电测试验证设备正常后，视为初步验收通过】，甲方验收合格后出具【验收报告】（见附件【】《</w:t>
      </w:r>
      <w:r>
        <w:rPr>
          <w:rFonts w:ascii="宋体" w:hAnsi="宋体" w:cs="宋体" w:eastAsia="宋体"/>
          <w:sz w:val="24"/>
        </w:rPr>
        <w:t>验收单据模板</w:t>
      </w:r>
      <w:r>
        <w:rPr>
          <w:rFonts w:ascii="宋体" w:hAnsi="宋体" w:cs="宋体" w:eastAsia="宋体"/>
          <w:sz w:val="24"/>
        </w:rPr>
        <w:t>》）</w:t>
      </w:r>
      <w:r>
        <w:rPr>
          <w:rFonts w:ascii="宋体" w:hAnsi="宋体" w:cs="宋体" w:eastAsia="宋体"/>
          <w:sz w:val="24"/>
        </w:rPr>
        <w:t>。乙方应提供如下验收证明材料：【《安装部署实施报告》】</w:t>
      </w:r>
      <w:r>
        <w:rPr>
          <w:rFonts w:ascii="宋体" w:hAnsi="宋体" w:cs="宋体" w:eastAsia="宋体"/>
          <w:sz w:val="24"/>
        </w:rPr>
        <w:t>。</w:t>
      </w:r>
    </w:p>
    <w:p>
      <w:pPr>
        <w:pStyle w:val="null3"/>
        <w:numPr>
          <w:ilvl w:val="0"/>
          <w:numId w:val="1"/>
        </w:numPr>
        <w:jc w:val="both"/>
      </w:pPr>
      <w:r>
        <w:rPr>
          <w:rFonts w:ascii="宋体" w:hAnsi="宋体" w:cs="宋体" w:eastAsia="宋体"/>
          <w:sz w:val="24"/>
        </w:rPr>
        <w:t>【终验】验</w:t>
      </w:r>
      <w:r>
        <w:rPr>
          <w:rFonts w:ascii="宋体" w:hAnsi="宋体" w:cs="宋体" w:eastAsia="宋体"/>
          <w:sz w:val="24"/>
        </w:rPr>
        <w:t>收：【产品试运行期三个月后（自初步验收完成次日起计算），且收到乙方纸质或邮件的验收申请后</w:t>
      </w:r>
      <w:r>
        <w:rPr>
          <w:rFonts w:ascii="calibri, sans-serif" w:hAnsi="calibri, sans-serif" w:cs="calibri, sans-serif" w:eastAsia="calibri, sans-serif"/>
          <w:sz w:val="24"/>
        </w:rPr>
        <w:t>20</w:t>
      </w:r>
      <w:r>
        <w:rPr>
          <w:rFonts w:ascii="宋体" w:hAnsi="宋体" w:cs="宋体" w:eastAsia="宋体"/>
          <w:sz w:val="24"/>
        </w:rPr>
        <w:t>个工作日内双方完成最终验收。如试运行期间已安装设备运行一切正常，无需安装设备终验时间即为安装设备通过终验之时。如试运行期间已安装设备出现故障，则需在已安装设备终验时对无需安装设备再次进行加电测试，测试无问题后，则视为终验通过】</w:t>
      </w:r>
      <w:r>
        <w:rPr>
          <w:rFonts w:ascii="宋体" w:hAnsi="宋体" w:cs="宋体" w:eastAsia="宋体"/>
          <w:sz w:val="24"/>
        </w:rPr>
        <w:t>，甲方验收合格后出具【验收报告】（见附件【】《</w:t>
      </w:r>
      <w:r>
        <w:rPr>
          <w:rFonts w:ascii="宋体" w:hAnsi="宋体" w:cs="宋体" w:eastAsia="宋体"/>
          <w:sz w:val="24"/>
        </w:rPr>
        <w:t>验收单据模板</w:t>
      </w:r>
      <w:r>
        <w:rPr>
          <w:rFonts w:ascii="宋体" w:hAnsi="宋体" w:cs="宋体" w:eastAsia="宋体"/>
          <w:sz w:val="24"/>
        </w:rPr>
        <w:t>》）</w:t>
      </w:r>
      <w:r>
        <w:rPr>
          <w:rFonts w:ascii="宋体" w:hAnsi="宋体" w:cs="宋体" w:eastAsia="宋体"/>
          <w:sz w:val="24"/>
        </w:rPr>
        <w:t>。乙方应提供如下验收证明材料：【《终验服务总结报告》】</w:t>
      </w:r>
      <w:r>
        <w:rPr>
          <w:rFonts w:ascii="宋体" w:hAnsi="宋体" w:cs="宋体" w:eastAsia="宋体"/>
          <w:sz w:val="24"/>
        </w:rPr>
        <w:t>。</w:t>
      </w:r>
    </w:p>
    <w:p>
      <w:pPr>
        <w:pStyle w:val="null3"/>
        <w:numPr>
          <w:ilvl w:val="0"/>
          <w:numId w:val="1"/>
        </w:numPr>
        <w:jc w:val="both"/>
      </w:pPr>
      <w:r>
        <w:rPr>
          <w:rFonts w:ascii="宋体" w:hAnsi="宋体" w:cs="宋体" w:eastAsia="宋体"/>
          <w:sz w:val="24"/>
        </w:rPr>
        <w:t>【</w:t>
      </w:r>
      <w:r>
        <w:rPr>
          <w:rFonts w:ascii="宋体" w:hAnsi="宋体" w:cs="宋体" w:eastAsia="宋体"/>
          <w:sz w:val="24"/>
        </w:rPr>
        <w:t>维保</w:t>
      </w:r>
      <w:r>
        <w:rPr>
          <w:rFonts w:ascii="宋体" w:hAnsi="宋体" w:cs="宋体" w:eastAsia="宋体"/>
          <w:sz w:val="24"/>
        </w:rPr>
        <w:t>】验</w:t>
      </w:r>
      <w:r>
        <w:rPr>
          <w:rFonts w:ascii="宋体" w:hAnsi="宋体" w:cs="宋体" w:eastAsia="宋体"/>
          <w:sz w:val="24"/>
        </w:rPr>
        <w:t>收：【在维保服务期结束后，且收到乙方纸质或邮件的验收申请后</w:t>
      </w:r>
      <w:r>
        <w:rPr>
          <w:rFonts w:ascii="calibri, sans-serif" w:hAnsi="calibri, sans-serif" w:cs="calibri, sans-serif" w:eastAsia="calibri, sans-serif"/>
          <w:sz w:val="24"/>
        </w:rPr>
        <w:t>20</w:t>
      </w:r>
      <w:r>
        <w:rPr>
          <w:rFonts w:ascii="宋体" w:hAnsi="宋体" w:cs="宋体" w:eastAsia="宋体"/>
          <w:sz w:val="24"/>
        </w:rPr>
        <w:t>个工作日内采购人对当期的服务质量完成验收】</w:t>
      </w:r>
      <w:r>
        <w:rPr>
          <w:rFonts w:ascii="宋体" w:hAnsi="宋体" w:cs="宋体" w:eastAsia="宋体"/>
          <w:sz w:val="24"/>
        </w:rPr>
        <w:t>，甲方验收合格后出具【验收报告】（见附件【】《</w:t>
      </w:r>
      <w:r>
        <w:rPr>
          <w:rFonts w:ascii="宋体" w:hAnsi="宋体" w:cs="宋体" w:eastAsia="宋体"/>
          <w:sz w:val="24"/>
        </w:rPr>
        <w:t>验收单据模板</w:t>
      </w:r>
      <w:r>
        <w:rPr>
          <w:rFonts w:ascii="宋体" w:hAnsi="宋体" w:cs="宋体" w:eastAsia="宋体"/>
          <w:sz w:val="24"/>
        </w:rPr>
        <w:t>》）</w:t>
      </w:r>
      <w:r>
        <w:rPr>
          <w:rFonts w:ascii="宋体" w:hAnsi="宋体" w:cs="宋体" w:eastAsia="宋体"/>
          <w:sz w:val="24"/>
        </w:rPr>
        <w:t>。乙方应提供如下验收证明材料：【《维保启动函》、《维保实施方案》、《服务总结报告》、《微码</w:t>
      </w:r>
      <w:r>
        <w:rPr>
          <w:rFonts w:ascii="calibri, sans-serif" w:hAnsi="calibri, sans-serif" w:cs="calibri, sans-serif" w:eastAsia="calibri, sans-serif"/>
          <w:sz w:val="24"/>
        </w:rPr>
        <w:t>/</w:t>
      </w:r>
      <w:r>
        <w:rPr>
          <w:rFonts w:ascii="宋体" w:hAnsi="宋体" w:cs="宋体" w:eastAsia="宋体"/>
          <w:sz w:val="24"/>
        </w:rPr>
        <w:t>固件审计评估报告》】</w:t>
      </w:r>
      <w:r>
        <w:rPr>
          <w:rFonts w:ascii="宋体" w:hAnsi="宋体" w:cs="宋体" w:eastAsia="宋体"/>
          <w:sz w:val="24"/>
        </w:rPr>
        <w:t>。</w:t>
      </w:r>
    </w:p>
    <w:p>
      <w:pPr>
        <w:pStyle w:val="null3"/>
        <w:ind w:right="-15" w:firstLine="420"/>
        <w:jc w:val="both"/>
      </w:pPr>
      <w:r>
        <w:rPr>
          <w:rFonts w:ascii="calibri, sans-serif" w:hAnsi="calibri, sans-serif" w:cs="calibri, sans-serif" w:eastAsia="calibri, sans-serif"/>
          <w:sz w:val="24"/>
        </w:rPr>
        <w:t xml:space="preserve">4.3 </w:t>
      </w:r>
      <w:r>
        <w:rPr>
          <w:rFonts w:ascii="宋体" w:hAnsi="宋体" w:cs="宋体" w:eastAsia="宋体"/>
          <w:sz w:val="24"/>
        </w:rPr>
        <w:t>如果产品中的任何部分不能满足本合同约定而不能通过相应的验收，乙方将采取一切补救措施以使验收能够在甲方指定的期限内完成，因此而产生的费用（如产品的更换、运输、再次验收费用等）由乙方承担。</w:t>
      </w:r>
    </w:p>
    <w:p>
      <w:pPr>
        <w:pStyle w:val="null3"/>
        <w:ind w:firstLine="480"/>
        <w:jc w:val="both"/>
      </w:pPr>
      <w:r>
        <w:rPr>
          <w:rFonts w:ascii="calibri, sans-serif" w:hAnsi="calibri, sans-serif" w:cs="calibri, sans-serif" w:eastAsia="calibri, sans-serif"/>
          <w:sz w:val="24"/>
        </w:rPr>
        <w:t xml:space="preserve">4.4 </w:t>
      </w:r>
      <w:r>
        <w:rPr>
          <w:rFonts w:ascii="宋体" w:hAnsi="宋体" w:cs="宋体" w:eastAsia="宋体"/>
          <w:sz w:val="24"/>
        </w:rPr>
        <w:t>验收合格并不免除乙方的责任，即若乙方提供的产品或服务不符合合同约定</w:t>
      </w:r>
      <w:r>
        <w:rPr>
          <w:rFonts w:ascii="宋体" w:hAnsi="宋体" w:cs="宋体" w:eastAsia="宋体"/>
          <w:sz w:val="24"/>
          <w:color w:val="0000FF"/>
          <w:u w:val="single"/>
        </w:rPr>
        <w:t>，甲方仍可以根据合同要求乙方承担违约责任</w:t>
      </w:r>
      <w:r>
        <w:rPr>
          <w:rFonts w:ascii="宋体" w:hAnsi="宋体" w:cs="宋体" w:eastAsia="宋体"/>
          <w:sz w:val="24"/>
        </w:rPr>
        <w:t>。</w:t>
      </w:r>
    </w:p>
    <w:p>
      <w:pPr>
        <w:pStyle w:val="null3"/>
        <w:numPr>
          <w:ilvl w:val="0"/>
          <w:numId w:val="2"/>
        </w:numPr>
        <w:ind w:right="-15"/>
        <w:jc w:val="both"/>
      </w:pPr>
      <w:r>
        <w:rPr>
          <w:rFonts w:ascii="宋体" w:hAnsi="宋体" w:cs="宋体" w:eastAsia="宋体"/>
          <w:sz w:val="24"/>
        </w:rPr>
        <w:t>付款</w:t>
      </w:r>
    </w:p>
    <w:p>
      <w:pPr>
        <w:pStyle w:val="null3"/>
        <w:ind w:firstLine="480"/>
        <w:jc w:val="both"/>
      </w:pPr>
      <w:r>
        <w:rPr>
          <w:rFonts w:ascii="calibri, sans-serif" w:hAnsi="calibri, sans-serif" w:cs="calibri, sans-serif" w:eastAsia="calibri, sans-serif"/>
          <w:sz w:val="24"/>
        </w:rPr>
        <w:t xml:space="preserve">5.1 </w:t>
      </w:r>
      <w:r>
        <w:rPr>
          <w:rFonts w:ascii="宋体" w:hAnsi="宋体" w:cs="宋体" w:eastAsia="宋体"/>
          <w:sz w:val="24"/>
        </w:rPr>
        <w:t>甲方按以下方式付款：</w:t>
      </w:r>
    </w:p>
    <w:p>
      <w:pPr>
        <w:pStyle w:val="null3"/>
        <w:ind w:firstLine="420"/>
        <w:jc w:val="both"/>
      </w:pPr>
      <w:r>
        <w:rPr>
          <w:rFonts w:ascii="宋体" w:hAnsi="宋体" w:cs="宋体" w:eastAsia="宋体"/>
          <w:sz w:val="24"/>
        </w:rPr>
        <w:t>合同总金额为人民币【】元整（含税），大写【】</w:t>
      </w:r>
      <w:r>
        <w:rPr>
          <w:rFonts w:ascii="宋体" w:hAnsi="宋体" w:cs="宋体" w:eastAsia="宋体"/>
          <w:sz w:val="24"/>
        </w:rPr>
        <w:t>。</w:t>
      </w:r>
      <w:r>
        <w:rPr>
          <w:rFonts w:ascii="宋体" w:hAnsi="宋体" w:cs="宋体" w:eastAsia="宋体"/>
          <w:sz w:val="24"/>
        </w:rPr>
        <w:t>不含税总金额【】</w:t>
      </w:r>
      <w:r>
        <w:rPr>
          <w:rFonts w:ascii="宋体" w:hAnsi="宋体" w:cs="宋体" w:eastAsia="宋体"/>
          <w:sz w:val="24"/>
        </w:rPr>
        <w:t>元</w:t>
      </w:r>
      <w:r>
        <w:rPr>
          <w:rFonts w:ascii="宋体" w:hAnsi="宋体" w:cs="宋体" w:eastAsia="宋体"/>
          <w:sz w:val="24"/>
        </w:rPr>
        <w:t>，税额【】</w:t>
      </w:r>
      <w:r>
        <w:rPr>
          <w:rFonts w:ascii="宋体" w:hAnsi="宋体" w:cs="宋体" w:eastAsia="宋体"/>
          <w:sz w:val="24"/>
        </w:rPr>
        <w:t>元。</w:t>
      </w:r>
      <w:r>
        <w:rPr>
          <w:rFonts w:ascii="宋体" w:hAnsi="宋体" w:cs="宋体" w:eastAsia="宋体"/>
          <w:sz w:val="24"/>
        </w:rPr>
        <w:t>甲方按下述比例支付：</w:t>
      </w:r>
    </w:p>
    <w:p>
      <w:pPr>
        <w:pStyle w:val="null3"/>
        <w:ind w:firstLine="480"/>
        <w:jc w:val="both"/>
      </w:pPr>
      <w:r>
        <w:rPr>
          <w:rFonts w:ascii="calibri, sans-serif" w:hAnsi="calibri, sans-serif" w:cs="calibri, sans-serif" w:eastAsia="calibri, sans-serif"/>
          <w:sz w:val="24"/>
        </w:rPr>
        <w:t>①</w:t>
      </w:r>
      <w:r>
        <w:rPr>
          <w:rFonts w:ascii="宋体" w:hAnsi="宋体" w:cs="宋体" w:eastAsia="宋体"/>
          <w:sz w:val="24"/>
        </w:rPr>
        <w:t>第一期，甲方向乙方支付当期批次货物合同金额的【</w:t>
      </w:r>
      <w:r>
        <w:rPr>
          <w:rFonts w:ascii="calibri, sans-serif" w:hAnsi="calibri, sans-serif" w:cs="calibri, sans-serif" w:eastAsia="calibri, sans-serif"/>
          <w:sz w:val="24"/>
        </w:rPr>
        <w:t>70</w:t>
      </w:r>
      <w:r>
        <w:rPr>
          <w:rFonts w:ascii="宋体" w:hAnsi="宋体" w:cs="宋体" w:eastAsia="宋体"/>
          <w:sz w:val="24"/>
        </w:rPr>
        <w:t>】</w:t>
      </w:r>
      <w:r>
        <w:rPr>
          <w:rFonts w:ascii="calibri, sans-serif" w:hAnsi="calibri, sans-serif" w:cs="calibri, sans-serif" w:eastAsia="calibri, sans-serif"/>
          <w:sz w:val="24"/>
        </w:rPr>
        <w:t>%</w:t>
      </w:r>
      <w:r>
        <w:rPr>
          <w:rFonts w:ascii="宋体" w:hAnsi="宋体" w:cs="宋体" w:eastAsia="宋体"/>
          <w:sz w:val="24"/>
        </w:rPr>
        <w:t>，即人民币【】元（大写：人民币【】）。支付条件：【到货验收经采购人验收通过，出具生效的验收报告，收到供应商提供的当期批次货物总金额的增值税专用发票，且付款材料经审核齐备后</w:t>
      </w:r>
      <w:r>
        <w:rPr>
          <w:rFonts w:ascii="calibri, sans-serif" w:hAnsi="calibri, sans-serif" w:cs="calibri, sans-serif" w:eastAsia="calibri, sans-serif"/>
          <w:sz w:val="24"/>
        </w:rPr>
        <w:t>10</w:t>
      </w:r>
      <w:r>
        <w:rPr>
          <w:rFonts w:ascii="宋体" w:hAnsi="宋体" w:cs="宋体" w:eastAsia="宋体"/>
          <w:sz w:val="24"/>
        </w:rPr>
        <w:t>个工作日内支付】。</w:t>
      </w:r>
    </w:p>
    <w:p>
      <w:pPr>
        <w:pStyle w:val="null3"/>
        <w:ind w:firstLine="480"/>
        <w:jc w:val="both"/>
      </w:pPr>
      <w:r>
        <w:rPr>
          <w:rFonts w:ascii="calibri, sans-serif" w:hAnsi="calibri, sans-serif" w:cs="calibri, sans-serif" w:eastAsia="calibri, sans-serif"/>
          <w:sz w:val="24"/>
        </w:rPr>
        <w:t>②</w:t>
      </w:r>
      <w:r>
        <w:rPr>
          <w:rFonts w:ascii="宋体" w:hAnsi="宋体" w:cs="宋体" w:eastAsia="宋体"/>
          <w:sz w:val="24"/>
        </w:rPr>
        <w:t>第二期，甲方向乙方支付当期批次货物合同金额的【</w:t>
      </w:r>
      <w:r>
        <w:rPr>
          <w:rFonts w:ascii="calibri, sans-serif" w:hAnsi="calibri, sans-serif" w:cs="calibri, sans-serif" w:eastAsia="calibri, sans-serif"/>
          <w:sz w:val="24"/>
        </w:rPr>
        <w:t>28</w:t>
      </w:r>
      <w:r>
        <w:rPr>
          <w:rFonts w:ascii="宋体" w:hAnsi="宋体" w:cs="宋体" w:eastAsia="宋体"/>
          <w:sz w:val="24"/>
        </w:rPr>
        <w:t>】</w:t>
      </w:r>
      <w:r>
        <w:rPr>
          <w:rFonts w:ascii="calibri, sans-serif" w:hAnsi="calibri, sans-serif" w:cs="calibri, sans-serif" w:eastAsia="calibri, sans-serif"/>
          <w:sz w:val="24"/>
        </w:rPr>
        <w:t>%</w:t>
      </w:r>
      <w:r>
        <w:rPr>
          <w:rFonts w:ascii="宋体" w:hAnsi="宋体" w:cs="宋体" w:eastAsia="宋体"/>
          <w:sz w:val="24"/>
        </w:rPr>
        <w:t>，即人民币【】元（大写：人民币【】）。支付条件：【最终验收经采购人验收通过，出具生效的验收报告，且付款材料经审核齐备后</w:t>
      </w:r>
      <w:r>
        <w:rPr>
          <w:rFonts w:ascii="calibri, sans-serif" w:hAnsi="calibri, sans-serif" w:cs="calibri, sans-serif" w:eastAsia="calibri, sans-serif"/>
          <w:sz w:val="24"/>
        </w:rPr>
        <w:t>10</w:t>
      </w:r>
      <w:r>
        <w:rPr>
          <w:rFonts w:ascii="宋体" w:hAnsi="宋体" w:cs="宋体" w:eastAsia="宋体"/>
          <w:sz w:val="24"/>
        </w:rPr>
        <w:t>个工作日内支付】。</w:t>
      </w:r>
    </w:p>
    <w:p>
      <w:pPr>
        <w:pStyle w:val="null3"/>
        <w:ind w:firstLine="420"/>
        <w:jc w:val="both"/>
      </w:pPr>
      <w:r>
        <w:rPr>
          <w:rFonts w:ascii="calibri, sans-serif" w:hAnsi="calibri, sans-serif" w:cs="calibri, sans-serif" w:eastAsia="calibri, sans-serif"/>
          <w:sz w:val="24"/>
        </w:rPr>
        <w:t>③</w:t>
      </w:r>
      <w:r>
        <w:rPr>
          <w:rFonts w:ascii="宋体" w:hAnsi="宋体" w:cs="宋体" w:eastAsia="宋体"/>
          <w:sz w:val="24"/>
        </w:rPr>
        <w:t>第三期，甲方向乙方支付当期批次货物合同金额的【</w:t>
      </w:r>
      <w:r>
        <w:rPr>
          <w:rFonts w:ascii="calibri, sans-serif" w:hAnsi="calibri, sans-serif" w:cs="calibri, sans-serif" w:eastAsia="calibri, sans-serif"/>
          <w:sz w:val="24"/>
        </w:rPr>
        <w:t>2</w:t>
      </w:r>
      <w:r>
        <w:rPr>
          <w:rFonts w:ascii="宋体" w:hAnsi="宋体" w:cs="宋体" w:eastAsia="宋体"/>
          <w:sz w:val="24"/>
        </w:rPr>
        <w:t>】</w:t>
      </w:r>
      <w:r>
        <w:rPr>
          <w:rFonts w:ascii="calibri, sans-serif" w:hAnsi="calibri, sans-serif" w:cs="calibri, sans-serif" w:eastAsia="calibri, sans-serif"/>
          <w:sz w:val="24"/>
        </w:rPr>
        <w:t>%</w:t>
      </w:r>
      <w:r>
        <w:rPr>
          <w:rFonts w:ascii="宋体" w:hAnsi="宋体" w:cs="宋体" w:eastAsia="宋体"/>
          <w:sz w:val="24"/>
        </w:rPr>
        <w:t>，即人民币【】元（大写：人民币【】）。支付条件：【全部维保服务结束后经采购人验收通过，出具生效的验收报告，且付款材料经审核齐备后</w:t>
      </w:r>
      <w:r>
        <w:rPr>
          <w:rFonts w:ascii="calibri, sans-serif" w:hAnsi="calibri, sans-serif" w:cs="calibri, sans-serif" w:eastAsia="calibri, sans-serif"/>
          <w:sz w:val="24"/>
        </w:rPr>
        <w:t>10</w:t>
      </w:r>
      <w:r>
        <w:rPr>
          <w:rFonts w:ascii="宋体" w:hAnsi="宋体" w:cs="宋体" w:eastAsia="宋体"/>
          <w:sz w:val="24"/>
        </w:rPr>
        <w:t>个工作日内支付】</w:t>
      </w:r>
      <w:r>
        <w:rPr>
          <w:rFonts w:ascii="宋体" w:hAnsi="宋体" w:cs="宋体" w:eastAsia="宋体"/>
          <w:sz w:val="24"/>
        </w:rPr>
        <w:t>。</w:t>
      </w:r>
    </w:p>
    <w:p>
      <w:pPr>
        <w:pStyle w:val="null3"/>
        <w:ind w:firstLine="420"/>
        <w:jc w:val="both"/>
      </w:pPr>
      <w:r>
        <w:rPr>
          <w:rFonts w:ascii="calibri, sans-serif" w:hAnsi="calibri, sans-serif" w:cs="calibri, sans-serif" w:eastAsia="calibri, sans-serif"/>
          <w:sz w:val="24"/>
        </w:rPr>
        <w:t xml:space="preserve">5.2 </w:t>
      </w:r>
      <w:r>
        <w:rPr>
          <w:rFonts w:ascii="宋体" w:hAnsi="宋体" w:cs="宋体" w:eastAsia="宋体"/>
          <w:sz w:val="24"/>
        </w:rPr>
        <w:t>除双方约定的价款外，甲方无需向乙方再支付其他任何款项，乙方不得以任何理由再要求甲方支付任何款项。</w:t>
      </w:r>
    </w:p>
    <w:p>
      <w:pPr>
        <w:pStyle w:val="null3"/>
        <w:ind w:firstLine="420"/>
        <w:jc w:val="both"/>
      </w:pPr>
      <w:r>
        <w:rPr>
          <w:rFonts w:ascii="calibri, sans-serif" w:hAnsi="calibri, sans-serif" w:cs="calibri, sans-serif" w:eastAsia="calibri, sans-serif"/>
          <w:sz w:val="24"/>
        </w:rPr>
        <w:t xml:space="preserve">5.3 </w:t>
      </w:r>
      <w:r>
        <w:rPr>
          <w:rFonts w:ascii="宋体" w:hAnsi="宋体" w:cs="宋体" w:eastAsia="宋体"/>
          <w:sz w:val="24"/>
        </w:rPr>
        <w:t>甲方发票信息：</w:t>
      </w:r>
    </w:p>
    <w:p>
      <w:pPr>
        <w:pStyle w:val="null3"/>
        <w:ind w:firstLine="420"/>
        <w:jc w:val="both"/>
      </w:pPr>
      <w:r>
        <w:rPr>
          <w:rFonts w:ascii="宋体" w:hAnsi="宋体" w:cs="宋体" w:eastAsia="宋体"/>
          <w:sz w:val="24"/>
        </w:rPr>
        <w:t>开票名称：网联清算有限公司</w:t>
      </w:r>
    </w:p>
    <w:p>
      <w:pPr>
        <w:pStyle w:val="null3"/>
        <w:ind w:firstLine="420"/>
        <w:jc w:val="both"/>
      </w:pPr>
      <w:r>
        <w:rPr>
          <w:rFonts w:ascii="宋体" w:hAnsi="宋体" w:cs="宋体" w:eastAsia="宋体"/>
          <w:sz w:val="24"/>
        </w:rPr>
        <w:t>税号：</w:t>
      </w:r>
      <w:r>
        <w:rPr>
          <w:rFonts w:ascii="calibri, sans-serif" w:hAnsi="calibri, sans-serif" w:cs="calibri, sans-serif" w:eastAsia="calibri, sans-serif"/>
          <w:sz w:val="24"/>
        </w:rPr>
        <w:t>91110102MA0179UA3A</w:t>
      </w:r>
    </w:p>
    <w:p>
      <w:pPr>
        <w:pStyle w:val="null3"/>
        <w:ind w:firstLine="420"/>
        <w:jc w:val="both"/>
      </w:pPr>
      <w:r>
        <w:rPr>
          <w:rFonts w:ascii="宋体" w:hAnsi="宋体" w:cs="宋体" w:eastAsia="宋体"/>
          <w:sz w:val="24"/>
        </w:rPr>
        <w:t>注册地址：北京市西城区北三环中路甲</w:t>
      </w:r>
      <w:r>
        <w:rPr>
          <w:rFonts w:ascii="calibri, sans-serif" w:hAnsi="calibri, sans-serif" w:cs="calibri, sans-serif" w:eastAsia="calibri, sans-serif"/>
          <w:sz w:val="24"/>
        </w:rPr>
        <w:t>29</w:t>
      </w:r>
      <w:r>
        <w:rPr>
          <w:rFonts w:ascii="宋体" w:hAnsi="宋体" w:cs="宋体" w:eastAsia="宋体"/>
          <w:sz w:val="24"/>
        </w:rPr>
        <w:t>号院</w:t>
      </w:r>
      <w:r>
        <w:rPr>
          <w:rFonts w:ascii="calibri, sans-serif" w:hAnsi="calibri, sans-serif" w:cs="calibri, sans-serif" w:eastAsia="calibri, sans-serif"/>
          <w:sz w:val="24"/>
        </w:rPr>
        <w:t>3</w:t>
      </w:r>
      <w:r>
        <w:rPr>
          <w:rFonts w:ascii="宋体" w:hAnsi="宋体" w:cs="宋体" w:eastAsia="宋体"/>
          <w:sz w:val="24"/>
        </w:rPr>
        <w:t>号楼</w:t>
      </w:r>
      <w:r>
        <w:rPr>
          <w:rFonts w:ascii="calibri, sans-serif" w:hAnsi="calibri, sans-serif" w:cs="calibri, sans-serif" w:eastAsia="calibri, sans-serif"/>
          <w:sz w:val="24"/>
        </w:rPr>
        <w:t>101</w:t>
      </w:r>
      <w:r>
        <w:rPr>
          <w:rFonts w:ascii="宋体" w:hAnsi="宋体" w:cs="宋体" w:eastAsia="宋体"/>
          <w:sz w:val="24"/>
        </w:rPr>
        <w:t>号内</w:t>
      </w:r>
      <w:r>
        <w:rPr>
          <w:rFonts w:ascii="calibri, sans-serif" w:hAnsi="calibri, sans-serif" w:cs="calibri, sans-serif" w:eastAsia="calibri, sans-serif"/>
          <w:sz w:val="24"/>
        </w:rPr>
        <w:t>101</w:t>
      </w:r>
      <w:r>
        <w:rPr>
          <w:rFonts w:ascii="宋体" w:hAnsi="宋体" w:cs="宋体" w:eastAsia="宋体"/>
          <w:sz w:val="24"/>
        </w:rPr>
        <w:t>室</w:t>
      </w:r>
    </w:p>
    <w:p>
      <w:pPr>
        <w:pStyle w:val="null3"/>
        <w:ind w:firstLine="420"/>
        <w:jc w:val="both"/>
      </w:pPr>
      <w:r>
        <w:rPr>
          <w:rFonts w:ascii="宋体" w:hAnsi="宋体" w:cs="宋体" w:eastAsia="宋体"/>
          <w:sz w:val="24"/>
        </w:rPr>
        <w:t>办公电话：</w:t>
      </w:r>
      <w:r>
        <w:rPr>
          <w:rFonts w:ascii="&quot;times new roman&quot;, serif" w:hAnsi="&quot;times new roman&quot;, serif" w:cs="&quot;times new roman&quot;, serif" w:eastAsia="&quot;times new roman&quot;, serif"/>
          <w:sz w:val="24"/>
        </w:rPr>
        <w:t>010-68148881</w:t>
      </w:r>
    </w:p>
    <w:p>
      <w:pPr>
        <w:pStyle w:val="null3"/>
        <w:ind w:firstLine="420"/>
        <w:jc w:val="both"/>
      </w:pPr>
      <w:r>
        <w:rPr>
          <w:rFonts w:ascii="宋体" w:hAnsi="宋体" w:cs="宋体" w:eastAsia="宋体"/>
          <w:sz w:val="24"/>
        </w:rPr>
        <w:t>开户银行：招商银行股份有限公司北京金融街支行</w:t>
      </w:r>
    </w:p>
    <w:p>
      <w:pPr>
        <w:pStyle w:val="null3"/>
        <w:ind w:firstLine="420"/>
        <w:jc w:val="both"/>
      </w:pPr>
      <w:r>
        <w:rPr>
          <w:rFonts w:ascii="宋体" w:hAnsi="宋体" w:cs="宋体" w:eastAsia="宋体"/>
          <w:sz w:val="24"/>
        </w:rPr>
        <w:t>银行账户：</w:t>
      </w:r>
      <w:r>
        <w:rPr>
          <w:rFonts w:ascii="calibri, sans-serif" w:hAnsi="calibri, sans-serif" w:cs="calibri, sans-serif" w:eastAsia="calibri, sans-serif"/>
          <w:sz w:val="24"/>
        </w:rPr>
        <w:t>110929723810801</w:t>
      </w:r>
    </w:p>
    <w:p>
      <w:pPr>
        <w:pStyle w:val="null3"/>
        <w:ind w:firstLine="420"/>
        <w:jc w:val="both"/>
      </w:pPr>
      <w:r>
        <w:rPr>
          <w:rFonts w:ascii="calibri, sans-serif" w:hAnsi="calibri, sans-serif" w:cs="calibri, sans-serif" w:eastAsia="calibri, sans-serif"/>
          <w:sz w:val="24"/>
        </w:rPr>
        <w:t xml:space="preserve">5.4 </w:t>
      </w:r>
      <w:r>
        <w:rPr>
          <w:rFonts w:ascii="宋体" w:hAnsi="宋体" w:cs="宋体" w:eastAsia="宋体"/>
          <w:sz w:val="24"/>
        </w:rPr>
        <w:t>乙方收款信息：</w:t>
      </w:r>
    </w:p>
    <w:p>
      <w:pPr>
        <w:pStyle w:val="null3"/>
        <w:ind w:firstLine="420"/>
        <w:jc w:val="both"/>
      </w:pPr>
      <w:r>
        <w:rPr>
          <w:rFonts w:ascii="宋体" w:hAnsi="宋体" w:cs="宋体" w:eastAsia="宋体"/>
          <w:sz w:val="24"/>
        </w:rPr>
        <w:t>账户名：【】</w:t>
      </w:r>
    </w:p>
    <w:p>
      <w:pPr>
        <w:pStyle w:val="null3"/>
        <w:ind w:firstLine="420"/>
        <w:jc w:val="both"/>
      </w:pPr>
      <w:r>
        <w:rPr>
          <w:rFonts w:ascii="宋体" w:hAnsi="宋体" w:cs="宋体" w:eastAsia="宋体"/>
          <w:sz w:val="24"/>
        </w:rPr>
        <w:t>开户银行：【】（详细至支行）</w:t>
      </w:r>
    </w:p>
    <w:p>
      <w:pPr>
        <w:pStyle w:val="null3"/>
        <w:ind w:firstLine="420"/>
        <w:jc w:val="both"/>
      </w:pPr>
      <w:r>
        <w:rPr>
          <w:rFonts w:ascii="宋体" w:hAnsi="宋体" w:cs="宋体" w:eastAsia="宋体"/>
          <w:sz w:val="24"/>
        </w:rPr>
        <w:t>开户银行地址：【】</w:t>
      </w:r>
    </w:p>
    <w:p>
      <w:pPr>
        <w:pStyle w:val="null3"/>
        <w:ind w:firstLine="420"/>
        <w:jc w:val="both"/>
      </w:pPr>
      <w:r>
        <w:rPr>
          <w:rFonts w:ascii="宋体" w:hAnsi="宋体" w:cs="宋体" w:eastAsia="宋体"/>
          <w:sz w:val="24"/>
        </w:rPr>
        <w:t>银行帐号：【】</w:t>
      </w:r>
    </w:p>
    <w:p>
      <w:pPr>
        <w:pStyle w:val="null3"/>
        <w:ind w:firstLine="420"/>
        <w:jc w:val="both"/>
      </w:pPr>
      <w:r>
        <w:rPr>
          <w:rFonts w:ascii="宋体" w:hAnsi="宋体" w:cs="宋体" w:eastAsia="宋体"/>
          <w:sz w:val="24"/>
        </w:rPr>
        <w:t>税号：【】</w:t>
      </w:r>
    </w:p>
    <w:p>
      <w:pPr>
        <w:pStyle w:val="null3"/>
        <w:ind w:firstLine="420"/>
        <w:jc w:val="both"/>
      </w:pPr>
      <w:r>
        <w:rPr>
          <w:rFonts w:ascii="calibri, sans-serif" w:hAnsi="calibri, sans-serif" w:cs="calibri, sans-serif" w:eastAsia="calibri, sans-serif"/>
          <w:sz w:val="24"/>
        </w:rPr>
        <w:t xml:space="preserve">5.5 </w:t>
      </w:r>
      <w:r>
        <w:rPr>
          <w:rFonts w:ascii="宋体" w:hAnsi="宋体" w:cs="宋体" w:eastAsia="宋体"/>
          <w:sz w:val="24"/>
        </w:rPr>
        <w:t>乙方应</w:t>
      </w:r>
      <w:r>
        <w:rPr>
          <w:rFonts w:ascii="宋体" w:hAnsi="宋体" w:cs="宋体" w:eastAsia="宋体"/>
          <w:sz w:val="24"/>
        </w:rPr>
        <w:t>按照合同约定</w:t>
      </w:r>
      <w:r>
        <w:rPr>
          <w:rFonts w:ascii="宋体" w:hAnsi="宋体" w:cs="宋体" w:eastAsia="宋体"/>
          <w:sz w:val="24"/>
        </w:rPr>
        <w:t>向甲方开具足额合法的增值税发票。如发票认证不成功，甲方有权延迟付款并要求乙方重新开具发票</w:t>
      </w:r>
      <w:r>
        <w:rPr>
          <w:rFonts w:ascii="宋体" w:hAnsi="宋体" w:cs="宋体" w:eastAsia="宋体"/>
          <w:sz w:val="24"/>
        </w:rPr>
        <w:t>，如对甲方造成损失，乙方应承担赔偿责任</w:t>
      </w:r>
      <w:r>
        <w:rPr>
          <w:rFonts w:ascii="宋体" w:hAnsi="宋体" w:cs="宋体" w:eastAsia="宋体"/>
          <w:sz w:val="24"/>
        </w:rPr>
        <w:t>。</w:t>
      </w:r>
    </w:p>
    <w:p>
      <w:pPr>
        <w:pStyle w:val="null3"/>
        <w:ind w:firstLine="420"/>
        <w:jc w:val="both"/>
      </w:pPr>
      <w:r>
        <w:rPr>
          <w:rFonts w:ascii="calibri, sans-serif" w:hAnsi="calibri, sans-serif" w:cs="calibri, sans-serif" w:eastAsia="calibri, sans-serif"/>
          <w:sz w:val="24"/>
        </w:rPr>
        <w:t xml:space="preserve">5.6 </w:t>
      </w:r>
      <w:r>
        <w:rPr>
          <w:rFonts w:ascii="宋体" w:hAnsi="宋体" w:cs="宋体" w:eastAsia="宋体"/>
          <w:sz w:val="24"/>
        </w:rPr>
        <w:t>甲乙双方应自行承担各自所有与履行本合同相关的税费。本合同履行期间如遇国家税率调整致使本合同约定的税率不适用的，则含税价格以本合同及附件约定的不含税价格及调整后的税率进行确定。</w:t>
      </w:r>
    </w:p>
    <w:p>
      <w:pPr>
        <w:pStyle w:val="null3"/>
        <w:ind w:firstLine="420"/>
        <w:jc w:val="both"/>
      </w:pPr>
      <w:r>
        <w:rPr>
          <w:rFonts w:ascii="calibri, sans-serif" w:hAnsi="calibri, sans-serif" w:cs="calibri, sans-serif" w:eastAsia="calibri, sans-serif"/>
          <w:sz w:val="24"/>
        </w:rPr>
        <w:t xml:space="preserve">5.7 </w:t>
      </w:r>
      <w:r>
        <w:rPr>
          <w:rFonts w:ascii="宋体" w:hAnsi="宋体" w:cs="宋体" w:eastAsia="宋体"/>
          <w:sz w:val="24"/>
        </w:rPr>
        <w:t>如任何一方修改发票信息、收款信息等，需按第十五条的方式提前通知对方。</w:t>
      </w:r>
    </w:p>
    <w:p>
      <w:pPr>
        <w:pStyle w:val="null3"/>
        <w:numPr>
          <w:ilvl w:val="0"/>
          <w:numId w:val="2"/>
        </w:numPr>
        <w:ind w:left="420"/>
      </w:pPr>
      <w:r>
        <w:rPr>
          <w:rFonts w:ascii="宋体" w:hAnsi="宋体" w:cs="宋体" w:eastAsia="宋体"/>
          <w:sz w:val="24"/>
        </w:rPr>
        <w:t>安装</w:t>
      </w:r>
      <w:r>
        <w:rPr>
          <w:rFonts w:ascii="宋体" w:hAnsi="宋体" w:cs="宋体" w:eastAsia="宋体"/>
          <w:sz w:val="24"/>
        </w:rPr>
        <w:t>、测试</w:t>
      </w:r>
      <w:r>
        <w:rPr>
          <w:rFonts w:ascii="宋体" w:hAnsi="宋体" w:cs="宋体" w:eastAsia="宋体"/>
          <w:sz w:val="24"/>
        </w:rPr>
        <w:t>和</w:t>
      </w:r>
      <w:r>
        <w:rPr>
          <w:rFonts w:ascii="宋体" w:hAnsi="宋体" w:cs="宋体" w:eastAsia="宋体"/>
          <w:sz w:val="24"/>
        </w:rPr>
        <w:t>维保</w:t>
      </w:r>
    </w:p>
    <w:p>
      <w:pPr>
        <w:pStyle w:val="null3"/>
        <w:ind w:firstLine="360"/>
        <w:jc w:val="both"/>
      </w:pPr>
      <w:r>
        <w:rPr>
          <w:rFonts w:ascii="calibri, sans-serif" w:hAnsi="calibri, sans-serif" w:cs="calibri, sans-serif" w:eastAsia="calibri, sans-serif"/>
          <w:sz w:val="24"/>
        </w:rPr>
        <w:t xml:space="preserve">6.1 </w:t>
      </w:r>
      <w:r>
        <w:rPr>
          <w:rFonts w:ascii="宋体" w:hAnsi="宋体" w:cs="宋体" w:eastAsia="宋体"/>
          <w:sz w:val="24"/>
        </w:rPr>
        <w:t>产品运到交货场地后，乙方</w:t>
      </w:r>
      <w:r>
        <w:rPr>
          <w:rFonts w:ascii="宋体" w:hAnsi="宋体" w:cs="宋体" w:eastAsia="宋体"/>
          <w:sz w:val="24"/>
        </w:rPr>
        <w:t>应按甲方要求</w:t>
      </w:r>
      <w:r>
        <w:rPr>
          <w:rFonts w:ascii="宋体" w:hAnsi="宋体" w:cs="宋体" w:eastAsia="宋体"/>
          <w:sz w:val="24"/>
        </w:rPr>
        <w:t>开箱验机、进行系统测试，按产品制造商的技术标准进行系统安装调试。有关安装</w:t>
      </w:r>
      <w:r>
        <w:rPr>
          <w:rFonts w:ascii="宋体" w:hAnsi="宋体" w:cs="宋体" w:eastAsia="宋体"/>
          <w:sz w:val="24"/>
        </w:rPr>
        <w:t>及测试</w:t>
      </w:r>
      <w:r>
        <w:rPr>
          <w:rFonts w:ascii="宋体" w:hAnsi="宋体" w:cs="宋体" w:eastAsia="宋体"/>
          <w:sz w:val="24"/>
        </w:rPr>
        <w:t>费用由乙方承担。</w:t>
      </w:r>
    </w:p>
    <w:p>
      <w:pPr>
        <w:pStyle w:val="null3"/>
        <w:ind w:firstLine="480"/>
        <w:jc w:val="both"/>
      </w:pPr>
      <w:r>
        <w:rPr>
          <w:rFonts w:ascii="calibri, sans-serif" w:hAnsi="calibri, sans-serif" w:cs="calibri, sans-serif" w:eastAsia="calibri, sans-serif"/>
          <w:sz w:val="24"/>
        </w:rPr>
        <w:t xml:space="preserve">6.2 </w:t>
      </w:r>
      <w:r>
        <w:rPr>
          <w:rFonts w:ascii="宋体" w:hAnsi="宋体" w:cs="宋体" w:eastAsia="宋体"/>
          <w:sz w:val="24"/>
        </w:rPr>
        <w:t>自【</w:t>
      </w:r>
      <w:r>
        <w:rPr>
          <w:rFonts w:ascii="宋体" w:hAnsi="宋体" w:cs="宋体" w:eastAsia="宋体"/>
          <w:sz w:val="21"/>
        </w:rPr>
        <w:t>终验合格之次日</w:t>
      </w:r>
      <w:r>
        <w:rPr>
          <w:rFonts w:ascii="宋体" w:hAnsi="宋体" w:cs="宋体" w:eastAsia="宋体"/>
          <w:sz w:val="24"/>
        </w:rPr>
        <w:t>】起，乙方提供为期【</w:t>
      </w:r>
      <w:r>
        <w:rPr>
          <w:rFonts w:ascii="宋体" w:hAnsi="宋体" w:cs="宋体" w:eastAsia="宋体"/>
          <w:sz w:val="21"/>
        </w:rPr>
        <w:t>84</w:t>
      </w:r>
      <w:r>
        <w:rPr>
          <w:rFonts w:ascii="宋体" w:hAnsi="宋体" w:cs="宋体" w:eastAsia="宋体"/>
          <w:sz w:val="24"/>
        </w:rPr>
        <w:t>】个月的产品【】维保，在此期间甲方无需支付任何费用。在上述产品</w:t>
      </w:r>
      <w:r>
        <w:rPr>
          <w:rFonts w:ascii="宋体" w:hAnsi="宋体" w:cs="宋体" w:eastAsia="宋体"/>
          <w:sz w:val="24"/>
        </w:rPr>
        <w:t>制造商</w:t>
      </w:r>
      <w:r>
        <w:rPr>
          <w:rFonts w:ascii="宋体" w:hAnsi="宋体" w:cs="宋体" w:eastAsia="宋体"/>
          <w:sz w:val="24"/>
        </w:rPr>
        <w:t>维保结束后，如甲方产品需乙方继续提供维保服务，双方协商确定具体维保费用标准，乙方承诺维保价格不高于【】。</w:t>
      </w:r>
    </w:p>
    <w:p>
      <w:pPr>
        <w:pStyle w:val="null3"/>
        <w:numPr>
          <w:ilvl w:val="0"/>
          <w:numId w:val="2"/>
        </w:numPr>
        <w:ind w:right="-15"/>
        <w:jc w:val="both"/>
      </w:pPr>
      <w:r>
        <w:rPr>
          <w:rFonts w:ascii="宋体" w:hAnsi="宋体" w:cs="宋体" w:eastAsia="宋体"/>
          <w:sz w:val="24"/>
        </w:rPr>
        <w:t>安全条款</w:t>
      </w:r>
    </w:p>
    <w:p>
      <w:pPr>
        <w:pStyle w:val="null3"/>
        <w:ind w:firstLine="480"/>
        <w:jc w:val="both"/>
      </w:pPr>
      <w:r>
        <w:rPr>
          <w:rFonts w:ascii="宋体" w:hAnsi="宋体" w:cs="宋体" w:eastAsia="宋体"/>
          <w:sz w:val="24"/>
        </w:rPr>
        <w:t>根据《中华人民共和国网络安全法》</w:t>
      </w:r>
      <w:r>
        <w:rPr>
          <w:rFonts w:ascii="宋体" w:hAnsi="宋体" w:cs="宋体" w:eastAsia="宋体"/>
          <w:sz w:val="24"/>
        </w:rPr>
        <w:t>等法律法规</w:t>
      </w:r>
      <w:r>
        <w:rPr>
          <w:rFonts w:ascii="宋体" w:hAnsi="宋体" w:cs="宋体" w:eastAsia="宋体"/>
          <w:sz w:val="24"/>
        </w:rPr>
        <w:t>，乙方与甲方签订产品或服务供应合同必须遵守《中华人民共和国网络安全法》</w:t>
      </w:r>
      <w:r>
        <w:rPr>
          <w:rFonts w:ascii="宋体" w:hAnsi="宋体" w:cs="宋体" w:eastAsia="宋体"/>
          <w:sz w:val="24"/>
        </w:rPr>
        <w:t>等法律法规</w:t>
      </w:r>
      <w:r>
        <w:rPr>
          <w:rFonts w:ascii="宋体" w:hAnsi="宋体" w:cs="宋体" w:eastAsia="宋体"/>
          <w:sz w:val="24"/>
        </w:rPr>
        <w:t>的相关规定，包括但不限于：</w:t>
      </w:r>
    </w:p>
    <w:p>
      <w:pPr>
        <w:pStyle w:val="null3"/>
        <w:ind w:firstLine="480"/>
        <w:jc w:val="both"/>
      </w:pPr>
      <w:r>
        <w:rPr>
          <w:rFonts w:ascii="&quot;times new roman&quot;, serif" w:hAnsi="&quot;times new roman&quot;, serif" w:cs="&quot;times new roman&quot;, serif" w:eastAsia="&quot;times new roman&quot;, serif"/>
          <w:sz w:val="24"/>
        </w:rPr>
        <w:t xml:space="preserve">7.1 </w:t>
      </w:r>
      <w:r>
        <w:rPr>
          <w:rFonts w:ascii="宋体" w:hAnsi="宋体" w:cs="宋体" w:eastAsia="宋体"/>
          <w:sz w:val="24"/>
        </w:rPr>
        <w:t>乙方为甲方提供服务的雇员（或代理人）须经过审查，包括人员身份验证、工作技能、教育背景等。甲方认为必要时，乙方还应审查其为甲方提供服务的雇员（或代理人）是否无犯罪记录等。</w:t>
      </w:r>
    </w:p>
    <w:p>
      <w:pPr>
        <w:pStyle w:val="null3"/>
        <w:ind w:firstLine="480"/>
        <w:jc w:val="both"/>
      </w:pPr>
      <w:r>
        <w:rPr>
          <w:rFonts w:ascii="&quot;times new roman&quot;, serif" w:hAnsi="&quot;times new roman&quot;, serif" w:cs="&quot;times new roman&quot;, serif" w:eastAsia="&quot;times new roman&quot;, serif"/>
          <w:sz w:val="24"/>
        </w:rPr>
        <w:t xml:space="preserve">7.2 </w:t>
      </w:r>
      <w:r>
        <w:rPr>
          <w:rFonts w:ascii="宋体" w:hAnsi="宋体" w:cs="宋体" w:eastAsia="宋体"/>
          <w:sz w:val="24"/>
        </w:rPr>
        <w:t>如</w:t>
      </w:r>
      <w:r>
        <w:rPr>
          <w:rFonts w:ascii="宋体" w:hAnsi="宋体" w:cs="宋体" w:eastAsia="宋体"/>
          <w:sz w:val="24"/>
        </w:rPr>
        <w:t>乙方提供软件开发和外包服务</w:t>
      </w:r>
      <w:r>
        <w:rPr>
          <w:rFonts w:ascii="宋体" w:hAnsi="宋体" w:cs="宋体" w:eastAsia="宋体"/>
          <w:sz w:val="24"/>
        </w:rPr>
        <w:t>，</w:t>
      </w:r>
      <w:r>
        <w:rPr>
          <w:rFonts w:ascii="宋体" w:hAnsi="宋体" w:cs="宋体" w:eastAsia="宋体"/>
          <w:sz w:val="24"/>
        </w:rPr>
        <w:t>必须位于中国境内。</w:t>
      </w:r>
    </w:p>
    <w:p>
      <w:pPr>
        <w:pStyle w:val="null3"/>
        <w:ind w:firstLine="480"/>
        <w:jc w:val="both"/>
      </w:pPr>
      <w:r>
        <w:rPr>
          <w:rFonts w:ascii="&quot;times new roman&quot;, serif" w:hAnsi="&quot;times new roman&quot;, serif" w:cs="&quot;times new roman&quot;, serif" w:eastAsia="&quot;times new roman&quot;, serif"/>
          <w:sz w:val="24"/>
        </w:rPr>
        <w:t xml:space="preserve">7.3 </w:t>
      </w:r>
      <w:r>
        <w:rPr>
          <w:rFonts w:ascii="宋体" w:hAnsi="宋体" w:cs="宋体" w:eastAsia="宋体"/>
          <w:sz w:val="24"/>
        </w:rPr>
        <w:t>乙方应在设计、开发、生产、交付等环节加强安全管理，识别安全风险，制定安全策略，采取适当的措施保障安全，建立应对安全缺陷和漏洞的响应机制。</w:t>
      </w:r>
    </w:p>
    <w:p>
      <w:pPr>
        <w:pStyle w:val="null3"/>
        <w:ind w:firstLine="480"/>
        <w:jc w:val="both"/>
      </w:pPr>
      <w:r>
        <w:rPr>
          <w:rFonts w:ascii="&quot;times new roman&quot;, serif" w:hAnsi="&quot;times new roman&quot;, serif" w:cs="&quot;times new roman&quot;, serif" w:eastAsia="&quot;times new roman&quot;, serif"/>
          <w:sz w:val="24"/>
        </w:rPr>
        <w:t xml:space="preserve">7.4 </w:t>
      </w:r>
      <w:r>
        <w:rPr>
          <w:rFonts w:ascii="宋体" w:hAnsi="宋体" w:cs="宋体" w:eastAsia="宋体"/>
          <w:sz w:val="24"/>
        </w:rPr>
        <w:t>甲方有权根据项目实际情况，要求乙方对提供的产品定期进行安全漏洞检查、渗透测试或进行安全认证。当发现提供的产品存在漏洞时，乙方有义务及时书面告知甲方，并尽快采取措施修正或减轻发现的威胁，不得隐瞒漏洞，不得设置后门或恶意程序。书面告知方式限于书面发函和电子邮件形式，告知内容包括但不限于描述安全风险事实、漏洞详情、可能后果及建议措施等。书面告知应不晚于乙方发现或应当发现相关漏洞当日。</w:t>
      </w:r>
    </w:p>
    <w:p>
      <w:pPr>
        <w:pStyle w:val="null3"/>
        <w:ind w:firstLine="480"/>
        <w:jc w:val="both"/>
      </w:pPr>
      <w:r>
        <w:rPr>
          <w:rFonts w:ascii="&quot;times new roman&quot;, serif" w:hAnsi="&quot;times new roman&quot;, serif" w:cs="&quot;times new roman&quot;, serif" w:eastAsia="&quot;times new roman&quot;, serif"/>
          <w:sz w:val="24"/>
        </w:rPr>
        <w:t xml:space="preserve">7.5 </w:t>
      </w:r>
      <w:r>
        <w:rPr>
          <w:rFonts w:ascii="宋体" w:hAnsi="宋体" w:cs="宋体" w:eastAsia="宋体"/>
          <w:sz w:val="24"/>
        </w:rPr>
        <w:t>甲方有权根据项目实际情况，要求乙方提供网络产品或服务的中文版运行维护、二次开发等技术资料。若相应的产品或服务涉及源代码，甲方有权根据实际情况自行或委托第三方网络安全服务机构对定制开发的软件进行源代码安全检测，或由乙方提供第三方网络安全服务机构出具的代码安全检测报告。</w:t>
      </w:r>
    </w:p>
    <w:p>
      <w:pPr>
        <w:pStyle w:val="null3"/>
        <w:ind w:firstLine="480"/>
        <w:jc w:val="both"/>
      </w:pPr>
      <w:r>
        <w:rPr>
          <w:rFonts w:ascii="&quot;times new roman&quot;, serif" w:hAnsi="&quot;times new roman&quot;, serif" w:cs="&quot;times new roman&quot;, serif" w:eastAsia="&quot;times new roman&quot;, serif"/>
          <w:sz w:val="24"/>
        </w:rPr>
        <w:t xml:space="preserve">7.6 </w:t>
      </w:r>
      <w:r>
        <w:rPr>
          <w:rFonts w:ascii="宋体" w:hAnsi="宋体" w:cs="宋体" w:eastAsia="宋体"/>
          <w:sz w:val="24"/>
        </w:rPr>
        <w:t>乙方提供的产品或服务须符合网络安全审查要求。如乙方提供产品或服务需进行网络安全审查的，则此项目合同须在产品或服务通过网络安全审查后方可生效；如未通过安全审查，乙方同意甲方可以此解除本项目合同，且不需要承担任何违约或者赔偿责任。如乙方提供的产品或服务（含芯片等配件）已被网络安全审查办公室依法作出不予通过网络安全审查结论的，甲方有权拒绝其响应或解除采购合同、不予采购，且甲方不需要承担任何违约或者赔偿责任。</w:t>
      </w:r>
    </w:p>
    <w:p>
      <w:pPr>
        <w:pStyle w:val="null3"/>
        <w:ind w:right="-15" w:firstLine="480"/>
        <w:jc w:val="both"/>
      </w:pPr>
      <w:r>
        <w:rPr>
          <w:rFonts w:ascii="&quot;times new roman&quot;, serif" w:hAnsi="&quot;times new roman&quot;, serif" w:cs="&quot;times new roman&quot;, serif" w:eastAsia="&quot;times new roman&quot;, serif"/>
          <w:sz w:val="24"/>
        </w:rPr>
        <w:t xml:space="preserve">7.7 </w:t>
      </w:r>
      <w:r>
        <w:rPr>
          <w:rFonts w:ascii="宋体" w:hAnsi="宋体" w:cs="宋体" w:eastAsia="宋体"/>
          <w:sz w:val="24"/>
        </w:rPr>
        <w:t>乙方应根据甲方需要提供产品完整准确的组件成分清单和暴露应用接口清单，严禁使用不安全的外部组件并关闭非必要暴露的应用接口。</w:t>
      </w:r>
    </w:p>
    <w:p>
      <w:pPr>
        <w:pStyle w:val="null3"/>
        <w:ind w:right="-15" w:firstLine="480"/>
        <w:jc w:val="both"/>
      </w:pPr>
      <w:r>
        <w:rPr>
          <w:rFonts w:ascii="&quot;times new roman&quot;, serif" w:hAnsi="&quot;times new roman&quot;, serif" w:cs="&quot;times new roman&quot;, serif" w:eastAsia="&quot;times new roman&quot;, serif"/>
          <w:sz w:val="24"/>
        </w:rPr>
        <w:t xml:space="preserve">7.8 </w:t>
      </w:r>
      <w:r>
        <w:rPr>
          <w:rFonts w:ascii="宋体" w:hAnsi="宋体" w:cs="宋体" w:eastAsia="宋体"/>
          <w:sz w:val="24"/>
        </w:rPr>
        <w:t>乙方供应产品应确保产品质量和安全性，避免存在安全隐患。乙方仓储设施的消防设施、环境安全、入库人员管理、人员安全培训等均需满足</w:t>
      </w:r>
      <w:r>
        <w:rPr>
          <w:rFonts w:ascii="宋体" w:hAnsi="宋体" w:cs="宋体" w:eastAsia="宋体"/>
          <w:sz w:val="24"/>
        </w:rPr>
        <w:t>甲方</w:t>
      </w:r>
      <w:r>
        <w:rPr>
          <w:rFonts w:ascii="宋体" w:hAnsi="宋体" w:cs="宋体" w:eastAsia="宋体"/>
          <w:sz w:val="24"/>
        </w:rPr>
        <w:t>的安全要求，保证仓储设施的良好运行，在包装、运输和安装过程都需要严格遵守各项要求，确保产品供应满足甲方需要。</w:t>
      </w:r>
    </w:p>
    <w:p>
      <w:pPr>
        <w:pStyle w:val="null3"/>
        <w:ind w:right="-15" w:firstLine="480"/>
        <w:jc w:val="both"/>
      </w:pPr>
      <w:r>
        <w:rPr>
          <w:rFonts w:ascii="&quot;times new roman&quot;, serif" w:hAnsi="&quot;times new roman&quot;, serif" w:cs="&quot;times new roman&quot;, serif" w:eastAsia="&quot;times new roman&quot;, serif"/>
          <w:sz w:val="24"/>
        </w:rPr>
        <w:t xml:space="preserve">7.9 </w:t>
      </w:r>
      <w:r>
        <w:rPr>
          <w:rFonts w:ascii="宋体" w:hAnsi="宋体" w:cs="宋体" w:eastAsia="宋体"/>
          <w:sz w:val="24"/>
        </w:rPr>
        <w:t>乙方应根据甲方需要制定应急处理预案，包括但不限于服务连续性、服务中断、信息安全事件、服务水平下降等事项的应急处理预案。其中针对核心系统或部件，乙方还应对安全类、运营类、管理类等事件进行分级分类（例如源代码泄露、供应链中断、漏洞修补等）。乙方产品相关信息发生重大变化或乙方发生、发现网络安全事件时，乙方应及时向甲方报告，做到不瞒报、不谎报、不拖延。根据甲方要求，乙方积极参与网络安全事件处置、调查等工作，保证提供的产品和服务在面临非法控制、干扰或中断风险时，具备启动应急处置预案的能力。</w:t>
      </w:r>
    </w:p>
    <w:p>
      <w:pPr>
        <w:pStyle w:val="null3"/>
        <w:ind w:right="-30" w:firstLine="480"/>
        <w:jc w:val="both"/>
      </w:pPr>
      <w:r>
        <w:rPr>
          <w:rFonts w:ascii="&quot;times new roman&quot;, serif" w:hAnsi="&quot;times new roman&quot;, serif" w:cs="&quot;times new roman&quot;, serif" w:eastAsia="&quot;times new roman&quot;, serif"/>
          <w:sz w:val="24"/>
        </w:rPr>
        <w:t xml:space="preserve">7.10 </w:t>
      </w:r>
      <w:r>
        <w:rPr>
          <w:rFonts w:ascii="宋体" w:hAnsi="宋体" w:cs="宋体" w:eastAsia="宋体"/>
          <w:sz w:val="24"/>
        </w:rPr>
        <w:t>乙方为甲方提供的服务资源至少与第三方相互逻辑隔离，且仅甲方具有对业务系统和数据的最高访问权限。</w:t>
      </w:r>
    </w:p>
    <w:p>
      <w:pPr>
        <w:pStyle w:val="null3"/>
        <w:ind w:right="-30" w:firstLine="480"/>
        <w:jc w:val="both"/>
      </w:pPr>
      <w:r>
        <w:rPr>
          <w:rFonts w:ascii="&quot;times new roman&quot;, serif" w:hAnsi="&quot;times new roman&quot;, serif" w:cs="&quot;times new roman&quot;, serif" w:eastAsia="&quot;times new roman&quot;, serif"/>
          <w:sz w:val="24"/>
        </w:rPr>
        <w:t xml:space="preserve">7.11 </w:t>
      </w:r>
      <w:r>
        <w:rPr>
          <w:rFonts w:ascii="宋体" w:hAnsi="宋体" w:cs="宋体" w:eastAsia="宋体"/>
          <w:sz w:val="24"/>
        </w:rPr>
        <w:t>甲方有权要求乙方的工作人员在生产环境下操作认证、授权，并记录其操作行为。禁止乙方擅自修改配置或者数据，查看与服务内容无关的数据，复制、拍摄业务信息、源代码、文档和将相关存储介质带离工作场所。</w:t>
      </w:r>
      <w:r>
        <w:rPr>
          <w:rFonts w:ascii="宋体" w:hAnsi="宋体" w:cs="宋体" w:eastAsia="宋体"/>
          <w:sz w:val="24"/>
        </w:rPr>
        <w:t>如涉及定制化开发，</w:t>
      </w:r>
      <w:r>
        <w:rPr>
          <w:rFonts w:ascii="宋体" w:hAnsi="宋体" w:cs="宋体" w:eastAsia="宋体"/>
          <w:sz w:val="24"/>
        </w:rPr>
        <w:t>未经甲方授权</w:t>
      </w:r>
      <w:r>
        <w:rPr>
          <w:rFonts w:ascii="宋体" w:hAnsi="宋体" w:cs="宋体" w:eastAsia="宋体"/>
          <w:sz w:val="24"/>
        </w:rPr>
        <w:t>，乙方不得</w:t>
      </w:r>
      <w:r>
        <w:rPr>
          <w:rFonts w:ascii="宋体" w:hAnsi="宋体" w:cs="宋体" w:eastAsia="宋体"/>
          <w:sz w:val="24"/>
        </w:rPr>
        <w:t>留存源代码，不得将</w:t>
      </w:r>
      <w:r>
        <w:rPr>
          <w:rFonts w:ascii="宋体" w:hAnsi="宋体" w:cs="宋体" w:eastAsia="宋体"/>
          <w:sz w:val="24"/>
        </w:rPr>
        <w:t>产品</w:t>
      </w:r>
      <w:r>
        <w:rPr>
          <w:rFonts w:ascii="宋体" w:hAnsi="宋体" w:cs="宋体" w:eastAsia="宋体"/>
          <w:sz w:val="24"/>
        </w:rPr>
        <w:t>所涉及的源代码在互联网进行托管、测试，并应审核其在服务中所使用开源代码、软件等的来源合法性、安全检测情况和加固情况。</w:t>
      </w:r>
    </w:p>
    <w:p>
      <w:pPr>
        <w:pStyle w:val="null3"/>
        <w:numPr>
          <w:ilvl w:val="0"/>
          <w:numId w:val="2"/>
        </w:numPr>
      </w:pPr>
      <w:r>
        <w:rPr>
          <w:rFonts w:ascii="宋体" w:hAnsi="宋体" w:cs="宋体" w:eastAsia="宋体"/>
          <w:sz w:val="24"/>
        </w:rPr>
        <w:t>知识产权</w:t>
      </w:r>
    </w:p>
    <w:p>
      <w:pPr>
        <w:pStyle w:val="null3"/>
        <w:ind w:right="-15" w:firstLine="480"/>
        <w:jc w:val="both"/>
      </w:pPr>
      <w:r>
        <w:rPr>
          <w:rFonts w:ascii="calibri, sans-serif" w:hAnsi="calibri, sans-serif" w:cs="calibri, sans-serif" w:eastAsia="calibri, sans-serif"/>
          <w:sz w:val="24"/>
        </w:rPr>
        <w:t xml:space="preserve">8.1 </w:t>
      </w:r>
      <w:r>
        <w:rPr>
          <w:rFonts w:ascii="宋体" w:hAnsi="宋体" w:cs="宋体" w:eastAsia="宋体"/>
          <w:sz w:val="24"/>
        </w:rPr>
        <w:t>本合同生效时已经存在并为各方合法拥有或使用的所有技术或资料、信息的知识产权和所有权，仍应属于其各自的原权利人所有或享有。</w:t>
      </w:r>
    </w:p>
    <w:p>
      <w:pPr>
        <w:pStyle w:val="null3"/>
        <w:ind w:right="-15" w:firstLine="480"/>
        <w:jc w:val="both"/>
      </w:pPr>
      <w:r>
        <w:rPr>
          <w:rFonts w:ascii="calibri, sans-serif" w:hAnsi="calibri, sans-serif" w:cs="calibri, sans-serif" w:eastAsia="calibri, sans-serif"/>
          <w:sz w:val="24"/>
        </w:rPr>
        <w:t xml:space="preserve">8.2 </w:t>
      </w:r>
      <w:r>
        <w:rPr>
          <w:rFonts w:ascii="宋体" w:hAnsi="宋体" w:cs="宋体" w:eastAsia="宋体"/>
          <w:sz w:val="24"/>
        </w:rPr>
        <w:t>乙方保证：对向甲方提供的产品拥有合法知识产权，甲方使用本合同项下的产品将不会侵害任何第三方的权利。若有第三方提出侵权指控，乙方负责与第三方交涉、处理，并由乙方承担可能发生的一切法律责任并承担甲方因此而受到的损失，包括索赔、罚款、诉讼费、保全费、律师费、执行费等。</w:t>
      </w:r>
    </w:p>
    <w:p>
      <w:pPr>
        <w:pStyle w:val="null3"/>
        <w:ind w:right="-15" w:firstLine="480"/>
        <w:jc w:val="both"/>
      </w:pPr>
      <w:r>
        <w:rPr>
          <w:rFonts w:ascii="calibri, sans-serif" w:hAnsi="calibri, sans-serif" w:cs="calibri, sans-serif" w:eastAsia="calibri, sans-serif"/>
          <w:sz w:val="24"/>
        </w:rPr>
        <w:t xml:space="preserve">8.3 </w:t>
      </w:r>
      <w:r>
        <w:rPr>
          <w:rFonts w:ascii="宋体" w:hAnsi="宋体" w:cs="宋体" w:eastAsia="宋体"/>
          <w:sz w:val="24"/>
        </w:rPr>
        <w:t>乙方应全力防止因上述侵权给甲方带来任何损失，包括但不限于提供甲方继续使用本合同项下的产品而需取得的第三方授权、提供功能符合本合同目的的产品等，并承担因此而产生的所有费用。</w:t>
      </w:r>
    </w:p>
    <w:p>
      <w:pPr>
        <w:pStyle w:val="null3"/>
        <w:ind w:right="-15" w:firstLine="480"/>
        <w:jc w:val="both"/>
      </w:pPr>
      <w:r>
        <w:rPr>
          <w:rFonts w:ascii="calibri, sans-serif" w:hAnsi="calibri, sans-serif" w:cs="calibri, sans-serif" w:eastAsia="calibri, sans-serif"/>
          <w:sz w:val="24"/>
        </w:rPr>
        <w:t xml:space="preserve">8.4 </w:t>
      </w:r>
      <w:r>
        <w:rPr>
          <w:rFonts w:ascii="宋体" w:hAnsi="宋体" w:cs="宋体" w:eastAsia="宋体"/>
          <w:sz w:val="24"/>
        </w:rPr>
        <w:t>乙方为甲方二次开发产生的软件、源代码及实施过程中所产生的所有技术文件，甲方拥有全部权利，包括但不限于知识产权、所有权及相应的利益。乙方不对本合同项下的成果具有任何知识产权和申请知识产权的权利，甲方享有署名权在内的全部知识产权及申请知识产权的权利。</w:t>
      </w:r>
    </w:p>
    <w:p>
      <w:pPr>
        <w:pStyle w:val="null3"/>
        <w:ind w:right="-15" w:firstLine="480"/>
        <w:jc w:val="both"/>
      </w:pPr>
      <w:r>
        <w:rPr>
          <w:rFonts w:ascii="calibri, sans-serif" w:hAnsi="calibri, sans-serif" w:cs="calibri, sans-serif" w:eastAsia="calibri, sans-serif"/>
          <w:sz w:val="24"/>
        </w:rPr>
        <w:t xml:space="preserve">8.5 </w:t>
      </w:r>
      <w:r>
        <w:rPr>
          <w:rFonts w:ascii="宋体" w:hAnsi="宋体" w:cs="宋体" w:eastAsia="宋体"/>
          <w:sz w:val="24"/>
        </w:rPr>
        <w:t>乙方不因本合同协商、签订、履行而获得明示或暗示的使用甲方（包括甲方分、子公司）的名称、商标、商号、标识、标志、技术资料、业务资料等的权利。未经甲方书面授权，乙方不得将甲方的名称、商号、商标、标记等用作广告宣传或任何其他与履行本合同无关的用途。</w:t>
      </w:r>
    </w:p>
    <w:p>
      <w:pPr>
        <w:pStyle w:val="null3"/>
        <w:ind w:right="-15" w:firstLine="480"/>
        <w:jc w:val="both"/>
      </w:pPr>
      <w:r>
        <w:rPr>
          <w:rFonts w:ascii="calibri, sans-serif" w:hAnsi="calibri, sans-serif" w:cs="calibri, sans-serif" w:eastAsia="calibri, sans-serif"/>
          <w:sz w:val="24"/>
        </w:rPr>
        <w:t xml:space="preserve">8.6 </w:t>
      </w:r>
      <w:r>
        <w:rPr>
          <w:rFonts w:ascii="宋体" w:hAnsi="宋体" w:cs="宋体" w:eastAsia="宋体"/>
          <w:sz w:val="24"/>
        </w:rPr>
        <w:t>本合同知识产权条款持续有效，不因合同的解除或终止而终止。</w:t>
      </w:r>
    </w:p>
    <w:p>
      <w:pPr>
        <w:pStyle w:val="null3"/>
        <w:numPr>
          <w:ilvl w:val="0"/>
          <w:numId w:val="2"/>
        </w:numPr>
        <w:ind w:left="420"/>
      </w:pPr>
      <w:r>
        <w:rPr>
          <w:rFonts w:ascii="宋体" w:hAnsi="宋体" w:cs="宋体" w:eastAsia="宋体"/>
          <w:sz w:val="24"/>
        </w:rPr>
        <w:t>违约责任</w:t>
      </w:r>
    </w:p>
    <w:p>
      <w:pPr>
        <w:pStyle w:val="null3"/>
        <w:ind w:firstLine="480"/>
        <w:jc w:val="both"/>
      </w:pPr>
      <w:r>
        <w:rPr>
          <w:rFonts w:ascii="calibri, sans-serif" w:hAnsi="calibri, sans-serif" w:cs="calibri, sans-serif" w:eastAsia="calibri, sans-serif"/>
          <w:sz w:val="24"/>
        </w:rPr>
        <w:t xml:space="preserve">9.1 </w:t>
      </w:r>
      <w:r>
        <w:rPr>
          <w:rFonts w:ascii="宋体" w:hAnsi="宋体" w:cs="宋体" w:eastAsia="宋体"/>
          <w:sz w:val="24"/>
        </w:rPr>
        <w:t>任何一方未按本合同的约定履行义务均构成违约。任何一方的违约行为给对方造成损失的，应予以赔偿；任何一方的违约行为致使本合同目的不能实现的，守约方有权解除本合同，要求违约方</w:t>
      </w:r>
      <w:r>
        <w:rPr>
          <w:rFonts w:ascii="宋体" w:hAnsi="宋体" w:cs="宋体" w:eastAsia="宋体"/>
          <w:sz w:val="24"/>
          <w:color w:val="0000FF"/>
          <w:u w:val="single"/>
        </w:rPr>
        <w:t>赔偿全部损失，同时违约方应向守约方支付</w:t>
      </w:r>
      <w:r>
        <w:rPr>
          <w:rFonts w:ascii="宋体" w:hAnsi="宋体" w:cs="宋体" w:eastAsia="宋体"/>
          <w:sz w:val="24"/>
        </w:rPr>
        <w:t>合同总金额</w:t>
      </w:r>
      <w:r>
        <w:rPr>
          <w:rFonts w:ascii="calibri, sans-serif" w:hAnsi="calibri, sans-serif" w:cs="calibri, sans-serif" w:eastAsia="calibri, sans-serif"/>
          <w:sz w:val="24"/>
          <w:color w:val="0000FF"/>
          <w:u w:val="single"/>
        </w:rPr>
        <w:t>10%</w:t>
      </w:r>
      <w:r>
        <w:rPr>
          <w:rFonts w:ascii="宋体" w:hAnsi="宋体" w:cs="宋体" w:eastAsia="宋体"/>
          <w:sz w:val="24"/>
          <w:color w:val="0000FF"/>
          <w:u w:val="single"/>
        </w:rPr>
        <w:t>的违约金</w:t>
      </w:r>
      <w:r>
        <w:rPr>
          <w:rFonts w:ascii="宋体" w:hAnsi="宋体" w:cs="宋体" w:eastAsia="宋体"/>
          <w:sz w:val="24"/>
        </w:rPr>
        <w:t>。本条或本合同其他条款另有约定的，从其约定。</w:t>
      </w:r>
    </w:p>
    <w:p>
      <w:pPr>
        <w:pStyle w:val="null3"/>
        <w:ind w:firstLine="480"/>
      </w:pPr>
      <w:r>
        <w:rPr>
          <w:rFonts w:ascii="&quot;times new roman&quot;, serif" w:hAnsi="&quot;times new roman&quot;, serif" w:cs="&quot;times new roman&quot;, serif" w:eastAsia="&quot;times new roman&quot;, serif"/>
          <w:sz w:val="24"/>
        </w:rPr>
        <w:t>9.2 乙方未按本合同的约定向甲方提供产品、技术服务，或提供的产品、技术服务不合格的，甲方有权要求乙方在甲方规定的时间内进行整改。乙方未整改或整改后仍不符合甲方要求的，则从乙方未整改或整改仍不符合要求之日起，甲方有权要求乙方每日按合同总金额1.5‰支付违约金。当乙方需支付的违约金累计达到合同总金额的5%时，甲方有权选择单方解除本合同并要求乙方按合同总金额的10%向甲方支付违约金。甲方因此受到损失的，乙方赔偿甲方的损失，双方一致承认，上述损失包括但不限于：因乙方违约导致甲方重新采购，重新采购同型号产品的中标价与本合同约定的价格的差异；由于乙方提供设备的故障导致甲方系统交易失败引起的损失、应急抢修引起的人力投入等损失。本条或本合同其他条款另有约定的，从其约定。</w:t>
      </w:r>
    </w:p>
    <w:p>
      <w:pPr>
        <w:pStyle w:val="null3"/>
        <w:ind w:right="-15" w:firstLine="448"/>
        <w:jc w:val="both"/>
      </w:pPr>
      <w:r>
        <w:rPr>
          <w:rFonts w:ascii="calibri, sans-serif" w:hAnsi="calibri, sans-serif" w:cs="calibri, sans-serif" w:eastAsia="calibri, sans-serif"/>
          <w:sz w:val="24"/>
        </w:rPr>
        <w:t xml:space="preserve">9.3 </w:t>
      </w:r>
      <w:r>
        <w:rPr>
          <w:rFonts w:ascii="宋体" w:hAnsi="宋体" w:cs="宋体" w:eastAsia="宋体"/>
          <w:sz w:val="24"/>
        </w:rPr>
        <w:t>乙方未在合同约定的期限内履行安装、调试、维保、培训等任何一项义务的，甲方有权要求乙方在甲方规定的时间内</w:t>
      </w:r>
      <w:r>
        <w:rPr>
          <w:rFonts w:ascii="宋体" w:hAnsi="宋体" w:cs="宋体" w:eastAsia="宋体"/>
          <w:sz w:val="24"/>
        </w:rPr>
        <w:t>整改</w:t>
      </w:r>
      <w:r>
        <w:rPr>
          <w:rFonts w:ascii="宋体" w:hAnsi="宋体" w:cs="宋体" w:eastAsia="宋体"/>
          <w:sz w:val="24"/>
        </w:rPr>
        <w:t>。乙方未</w:t>
      </w:r>
      <w:r>
        <w:rPr>
          <w:rFonts w:ascii="宋体" w:hAnsi="宋体" w:cs="宋体" w:eastAsia="宋体"/>
          <w:sz w:val="24"/>
        </w:rPr>
        <w:t>整改</w:t>
      </w:r>
      <w:r>
        <w:rPr>
          <w:rFonts w:ascii="宋体" w:hAnsi="宋体" w:cs="宋体" w:eastAsia="宋体"/>
          <w:sz w:val="24"/>
        </w:rPr>
        <w:t>或经</w:t>
      </w:r>
      <w:r>
        <w:rPr>
          <w:rFonts w:ascii="宋体" w:hAnsi="宋体" w:cs="宋体" w:eastAsia="宋体"/>
          <w:sz w:val="24"/>
        </w:rPr>
        <w:t>整改后</w:t>
      </w:r>
      <w:r>
        <w:rPr>
          <w:rFonts w:ascii="宋体" w:hAnsi="宋体" w:cs="宋体" w:eastAsia="宋体"/>
          <w:sz w:val="24"/>
        </w:rPr>
        <w:t>仍不符合甲方要求的，则从乙方未整改或经整改仍不符合要求之日起，甲方有权要求乙方每日按合同总金额</w:t>
      </w:r>
      <w:r>
        <w:rPr>
          <w:rFonts w:ascii="calibri, sans-serif" w:hAnsi="calibri, sans-serif" w:cs="calibri, sans-serif" w:eastAsia="calibri, sans-serif"/>
          <w:sz w:val="24"/>
        </w:rPr>
        <w:t>1.5‰</w:t>
      </w:r>
      <w:r>
        <w:rPr>
          <w:rFonts w:ascii="宋体" w:hAnsi="宋体" w:cs="宋体" w:eastAsia="宋体"/>
          <w:sz w:val="24"/>
        </w:rPr>
        <w:t>支付违约金。当乙方需支付的违约金累计达到合同总金额的</w:t>
      </w:r>
      <w:r>
        <w:rPr>
          <w:rFonts w:ascii="calibri, sans-serif" w:hAnsi="calibri, sans-serif" w:cs="calibri, sans-serif" w:eastAsia="calibri, sans-serif"/>
          <w:sz w:val="24"/>
        </w:rPr>
        <w:t>5%</w:t>
      </w:r>
      <w:r>
        <w:rPr>
          <w:rFonts w:ascii="宋体" w:hAnsi="宋体" w:cs="宋体" w:eastAsia="宋体"/>
          <w:sz w:val="24"/>
        </w:rPr>
        <w:t>时，甲方有权选择单方解除本合同</w:t>
      </w:r>
      <w:r>
        <w:rPr>
          <w:rFonts w:ascii="宋体" w:hAnsi="宋体" w:cs="宋体" w:eastAsia="宋体"/>
          <w:sz w:val="24"/>
        </w:rPr>
        <w:t>并</w:t>
      </w:r>
      <w:r>
        <w:rPr>
          <w:rFonts w:ascii="宋体" w:hAnsi="宋体" w:cs="宋体" w:eastAsia="宋体"/>
          <w:sz w:val="24"/>
        </w:rPr>
        <w:t>要求乙方按合同总金额的</w:t>
      </w:r>
      <w:r>
        <w:rPr>
          <w:rFonts w:ascii="calibri, sans-serif" w:hAnsi="calibri, sans-serif" w:cs="calibri, sans-serif" w:eastAsia="calibri, sans-serif"/>
          <w:sz w:val="24"/>
        </w:rPr>
        <w:t>10%</w:t>
      </w:r>
      <w:r>
        <w:rPr>
          <w:rFonts w:ascii="宋体" w:hAnsi="宋体" w:cs="宋体" w:eastAsia="宋体"/>
          <w:sz w:val="24"/>
        </w:rPr>
        <w:t>向甲方支付违约金。甲方因此受到损失的，乙方赔偿甲方的损失。本条或本合同其他条款另有约定的，从其约定。</w:t>
      </w:r>
    </w:p>
    <w:p>
      <w:pPr>
        <w:pStyle w:val="null3"/>
        <w:ind w:firstLine="480"/>
        <w:jc w:val="both"/>
      </w:pPr>
      <w:r>
        <w:rPr>
          <w:rFonts w:ascii="calibri, sans-serif" w:hAnsi="calibri, sans-serif" w:cs="calibri, sans-serif" w:eastAsia="calibri, sans-serif"/>
          <w:sz w:val="24"/>
        </w:rPr>
        <w:t xml:space="preserve">9.4 </w:t>
      </w:r>
      <w:r>
        <w:rPr>
          <w:rFonts w:ascii="宋体" w:hAnsi="宋体" w:cs="宋体" w:eastAsia="宋体"/>
          <w:sz w:val="24"/>
        </w:rPr>
        <w:t>如乙方提供的产品或技术服务侵犯甲方或任何第三方的合法权益，乙方应负责相关争议事项的处理并承担全部费用。如乙方未在甲方规定的期限内妥善处理、消除影响并完成整改，甲方有权解除合同，要求乙方支付合同总金额</w:t>
      </w:r>
      <w:r>
        <w:rPr>
          <w:rFonts w:ascii="calibri, sans-serif" w:hAnsi="calibri, sans-serif" w:cs="calibri, sans-serif" w:eastAsia="calibri, sans-serif"/>
          <w:sz w:val="24"/>
        </w:rPr>
        <w:t>10%</w:t>
      </w:r>
      <w:r>
        <w:rPr>
          <w:rFonts w:ascii="宋体" w:hAnsi="宋体" w:cs="宋体" w:eastAsia="宋体"/>
          <w:sz w:val="24"/>
        </w:rPr>
        <w:t>的违约金。</w:t>
      </w:r>
      <w:r>
        <w:rPr>
          <w:rFonts w:ascii="宋体" w:hAnsi="宋体" w:cs="宋体" w:eastAsia="宋体"/>
          <w:sz w:val="24"/>
        </w:rPr>
        <w:t>甲方因此受到损失的，乙方赔偿甲方的全部损失。</w:t>
      </w:r>
    </w:p>
    <w:p>
      <w:pPr>
        <w:pStyle w:val="null3"/>
        <w:ind w:right="-15" w:firstLine="448"/>
        <w:jc w:val="both"/>
      </w:pPr>
      <w:r>
        <w:rPr>
          <w:rFonts w:ascii="calibri, sans-serif" w:hAnsi="calibri, sans-serif" w:cs="calibri, sans-serif" w:eastAsia="calibri, sans-serif"/>
          <w:sz w:val="24"/>
        </w:rPr>
        <w:t xml:space="preserve">9.5 </w:t>
      </w:r>
      <w:r>
        <w:rPr>
          <w:rFonts w:ascii="宋体" w:hAnsi="宋体" w:cs="宋体" w:eastAsia="宋体"/>
          <w:sz w:val="24"/>
        </w:rPr>
        <w:t>乙方未履行本合同约定的保密义务、网络及数据安全义务，或提供虚假的材料，违反承诺与保证等，甲方有权要求乙方在规定的时间内进行整改。乙方未整改或整改后仍不符合要求的，甲方有权解除本合同，要求乙方向甲方支付合同总金额</w:t>
      </w:r>
      <w:r>
        <w:rPr>
          <w:rFonts w:ascii="calibri, sans-serif" w:hAnsi="calibri, sans-serif" w:cs="calibri, sans-serif" w:eastAsia="calibri, sans-serif"/>
          <w:sz w:val="24"/>
        </w:rPr>
        <w:t>10%</w:t>
      </w:r>
      <w:r>
        <w:rPr>
          <w:rFonts w:ascii="宋体" w:hAnsi="宋体" w:cs="宋体" w:eastAsia="宋体"/>
          <w:sz w:val="24"/>
        </w:rPr>
        <w:t>的违约金。甲方因此遭受损失的，乙方应予以赔偿。</w:t>
      </w:r>
    </w:p>
    <w:p>
      <w:pPr>
        <w:pStyle w:val="null3"/>
        <w:ind w:right="-15" w:firstLine="448"/>
        <w:jc w:val="both"/>
      </w:pPr>
      <w:r>
        <w:rPr>
          <w:rFonts w:ascii="calibri, sans-serif" w:hAnsi="calibri, sans-serif" w:cs="calibri, sans-serif" w:eastAsia="calibri, sans-serif"/>
          <w:sz w:val="24"/>
        </w:rPr>
        <w:t xml:space="preserve">9.6 </w:t>
      </w:r>
      <w:r>
        <w:rPr>
          <w:rFonts w:ascii="宋体" w:hAnsi="宋体" w:cs="宋体" w:eastAsia="宋体"/>
          <w:sz w:val="24"/>
        </w:rPr>
        <w:t>乙方擅自将本合同项下的权利义务转包或分包给第三方，甲方有权解除合同，并要求乙方赔偿甲方因此遭受的全部损失，同时有权主张乙方支付甲方合同总金额</w:t>
      </w:r>
      <w:r>
        <w:rPr>
          <w:rFonts w:ascii="calibri, sans-serif" w:hAnsi="calibri, sans-serif" w:cs="calibri, sans-serif" w:eastAsia="calibri, sans-serif"/>
          <w:sz w:val="24"/>
        </w:rPr>
        <w:t>10%</w:t>
      </w:r>
      <w:r>
        <w:rPr>
          <w:rFonts w:ascii="宋体" w:hAnsi="宋体" w:cs="宋体" w:eastAsia="宋体"/>
          <w:sz w:val="24"/>
        </w:rPr>
        <w:t>的违约金。同时，乙方转包、分包部分的费用</w:t>
      </w:r>
      <w:r>
        <w:rPr>
          <w:rFonts w:ascii="宋体" w:hAnsi="宋体" w:cs="宋体" w:eastAsia="宋体"/>
          <w:sz w:val="24"/>
        </w:rPr>
        <w:t>由乙方承担</w:t>
      </w:r>
      <w:r>
        <w:rPr>
          <w:rFonts w:ascii="宋体" w:hAnsi="宋体" w:cs="宋体" w:eastAsia="宋体"/>
          <w:sz w:val="24"/>
        </w:rPr>
        <w:t>。</w:t>
      </w:r>
    </w:p>
    <w:p>
      <w:pPr>
        <w:pStyle w:val="null3"/>
        <w:ind w:right="-15" w:firstLine="448"/>
        <w:jc w:val="both"/>
      </w:pPr>
      <w:r>
        <w:rPr>
          <w:rFonts w:ascii="calibri, sans-serif" w:hAnsi="calibri, sans-serif" w:cs="calibri, sans-serif" w:eastAsia="calibri, sans-serif"/>
          <w:sz w:val="24"/>
        </w:rPr>
        <w:t xml:space="preserve">9.7 </w:t>
      </w:r>
      <w:r>
        <w:rPr>
          <w:rFonts w:ascii="宋体" w:hAnsi="宋体" w:cs="宋体" w:eastAsia="宋体"/>
          <w:sz w:val="24"/>
        </w:rPr>
        <w:t>乙方提供的产品部分合格的，甲方有权按照乙方实际提供合格产品的比例进行付款。</w:t>
      </w:r>
    </w:p>
    <w:p>
      <w:pPr>
        <w:pStyle w:val="null3"/>
        <w:ind w:right="-15" w:firstLine="448"/>
        <w:jc w:val="both"/>
      </w:pPr>
      <w:r>
        <w:rPr>
          <w:rFonts w:ascii="calibri, sans-serif" w:hAnsi="calibri, sans-serif" w:cs="calibri, sans-serif" w:eastAsia="calibri, sans-serif"/>
          <w:sz w:val="24"/>
        </w:rPr>
        <w:t xml:space="preserve">9.8 </w:t>
      </w:r>
      <w:r>
        <w:rPr>
          <w:rFonts w:ascii="宋体" w:hAnsi="宋体" w:cs="宋体" w:eastAsia="宋体"/>
          <w:sz w:val="24"/>
        </w:rPr>
        <w:t>任何一方承担违约责任并不影响双方继续履行合同未履行的部分。</w:t>
      </w:r>
    </w:p>
    <w:p>
      <w:pPr>
        <w:pStyle w:val="null3"/>
        <w:ind w:right="-15" w:firstLine="448"/>
        <w:jc w:val="both"/>
      </w:pPr>
      <w:r>
        <w:rPr>
          <w:rFonts w:ascii="calibri, sans-serif" w:hAnsi="calibri, sans-serif" w:cs="calibri, sans-serif" w:eastAsia="calibri, sans-serif"/>
          <w:sz w:val="24"/>
        </w:rPr>
        <w:t xml:space="preserve">9.9 </w:t>
      </w:r>
      <w:r>
        <w:rPr>
          <w:rFonts w:ascii="宋体" w:hAnsi="宋体" w:cs="宋体" w:eastAsia="宋体"/>
          <w:sz w:val="24"/>
        </w:rPr>
        <w:t>如果乙方在收到甲方关于违约金额、赔偿金额的书面通知（含电子邮件）后十个日历日内没有书面答复，则视为乙方对甲方提出的违约金额、赔偿金额无异议。其后乙方不得以任何原因对该金额提出抗辩。乙方根据本合同约定须向甲方支付的违约金或赔偿款，甲方有权在其应付乙方的款项中予以直接扣除。</w:t>
      </w:r>
    </w:p>
    <w:p>
      <w:pPr>
        <w:pStyle w:val="null3"/>
        <w:ind w:right="-15" w:firstLine="448"/>
        <w:jc w:val="both"/>
      </w:pPr>
      <w:r>
        <w:rPr>
          <w:rFonts w:ascii="calibri, sans-serif" w:hAnsi="calibri, sans-serif" w:cs="calibri, sans-serif" w:eastAsia="calibri, sans-serif"/>
          <w:sz w:val="24"/>
        </w:rPr>
        <w:t xml:space="preserve">9.10 </w:t>
      </w:r>
      <w:r>
        <w:rPr>
          <w:rFonts w:ascii="宋体" w:hAnsi="宋体" w:cs="宋体" w:eastAsia="宋体"/>
          <w:sz w:val="24"/>
        </w:rPr>
        <w:t>如乙方有本条中的违约情形，甲方有暂停或者在一定期限内取消乙方供应商准入资格的权利。</w:t>
      </w:r>
      <w:r>
        <w:rPr>
          <w:rFonts w:ascii="calibri, sans-serif" w:hAnsi="calibri, sans-serif" w:cs="calibri, sans-serif" w:eastAsia="calibri, sans-serif"/>
          <w:sz w:val="21"/>
        </w:rPr>
        <w:t xml:space="preserve"> </w:t>
      </w:r>
    </w:p>
    <w:p>
      <w:pPr>
        <w:pStyle w:val="null3"/>
        <w:ind w:right="-15" w:firstLine="480"/>
        <w:jc w:val="both"/>
      </w:pPr>
      <w:r>
        <w:rPr>
          <w:rFonts w:ascii="宋体" w:hAnsi="宋体" w:cs="宋体" w:eastAsia="宋体"/>
          <w:sz w:val="24"/>
        </w:rPr>
        <w:t xml:space="preserve">9.11 </w:t>
      </w:r>
      <w:r>
        <w:rPr>
          <w:rFonts w:ascii="宋体" w:hAnsi="宋体" w:cs="宋体" w:eastAsia="宋体"/>
          <w:sz w:val="24"/>
        </w:rPr>
        <w:t>如本合同无固定总金额，则以双方当期应结算金额为基数计算违约金。</w:t>
      </w:r>
    </w:p>
    <w:p>
      <w:pPr>
        <w:pStyle w:val="null3"/>
        <w:ind w:right="-15" w:firstLine="448"/>
        <w:jc w:val="both"/>
      </w:pPr>
      <w:r>
        <w:rPr>
          <w:rFonts w:ascii="宋体" w:hAnsi="宋体" w:cs="宋体" w:eastAsia="宋体"/>
          <w:sz w:val="24"/>
        </w:rPr>
        <w:t>9.12 a</w:t>
      </w:r>
      <w:r>
        <w:rPr>
          <w:rFonts w:ascii="宋体" w:hAnsi="宋体" w:cs="宋体" w:eastAsia="宋体"/>
          <w:sz w:val="24"/>
        </w:rPr>
        <w:t>）如乙方提供的【产品不满足采购需求中的“技术要求”】等导致履约异常事件，每发生一次，乙方应按照该批次货物（以供货通知为准）总金额的1‰且不低于5000元人民币的比例向甲方支付违约金。</w:t>
      </w:r>
    </w:p>
    <w:p>
      <w:pPr>
        <w:pStyle w:val="null3"/>
        <w:ind w:right="-15" w:firstLine="448"/>
        <w:jc w:val="both"/>
      </w:pPr>
      <w:r>
        <w:rPr>
          <w:rFonts w:ascii="宋体" w:hAnsi="宋体" w:cs="宋体" w:eastAsia="宋体"/>
          <w:sz w:val="24"/>
        </w:rPr>
        <w:t>同时甲方有权要求乙方整改或重新供货，如乙方未在甲方规定的期限内完成整改、支付的违约金累计达到该批次货物总金额的5%，则甲方有权解除合同。</w:t>
      </w:r>
    </w:p>
    <w:p>
      <w:pPr>
        <w:pStyle w:val="null3"/>
        <w:ind w:right="-15" w:firstLine="448"/>
        <w:jc w:val="both"/>
      </w:pPr>
      <w:r>
        <w:rPr>
          <w:rFonts w:ascii="宋体" w:hAnsi="宋体" w:cs="宋体" w:eastAsia="宋体"/>
          <w:sz w:val="24"/>
        </w:rPr>
        <w:t>9.12 b</w:t>
      </w:r>
      <w:r>
        <w:rPr>
          <w:rFonts w:ascii="宋体" w:hAnsi="宋体" w:cs="宋体" w:eastAsia="宋体"/>
          <w:sz w:val="24"/>
        </w:rPr>
        <w:t>）乙方未在合同约定的期限内履行采购需求中约定【设备故障排除、电话技术支持、重要保障、辅助故障定位、微码升级、备品备件及其他维保服务要求】等服务内容、或服务不满足合同要求等履约异常事件，每发生一次，乙方应支付违约金，违约金以下述计算方法较高者为准。</w:t>
      </w:r>
    </w:p>
    <w:p>
      <w:pPr>
        <w:pStyle w:val="null3"/>
        <w:ind w:right="-15" w:firstLine="448"/>
        <w:jc w:val="both"/>
      </w:pPr>
      <w:r>
        <w:rPr>
          <w:rFonts w:ascii="宋体" w:hAnsi="宋体" w:cs="宋体" w:eastAsia="宋体"/>
          <w:sz w:val="24"/>
        </w:rPr>
        <w:t>计算方法1：如合同中明确提供了该项服务的报价、且价格不为0零，则扣除该服务异常的验收周期、该项服务的服务费作为违约金。</w:t>
      </w:r>
    </w:p>
    <w:p>
      <w:pPr>
        <w:pStyle w:val="null3"/>
        <w:ind w:right="-15" w:firstLine="448"/>
        <w:jc w:val="both"/>
      </w:pPr>
      <w:r>
        <w:rPr>
          <w:rFonts w:ascii="宋体" w:hAnsi="宋体" w:cs="宋体" w:eastAsia="宋体"/>
          <w:sz w:val="24"/>
        </w:rPr>
        <w:t>计算方法2：按照该批次货物（以供货通知为准）、该服务异常的验收周期应支付总金额的1‰且不低于5000元人民币的比例向甲方支付违约金。</w:t>
      </w:r>
    </w:p>
    <w:p>
      <w:pPr>
        <w:pStyle w:val="null3"/>
        <w:ind w:right="-15" w:firstLine="448"/>
        <w:jc w:val="both"/>
      </w:pPr>
      <w:r>
        <w:rPr>
          <w:rFonts w:ascii="宋体" w:hAnsi="宋体" w:cs="宋体" w:eastAsia="宋体"/>
          <w:sz w:val="24"/>
        </w:rPr>
        <w:t>同时甲方有权要求乙方整改，如乙方未在甲方规定的期限内完成整改或支付的违约金累计达到该批次货物总金额的5%，则甲方有权解除合同</w:t>
      </w:r>
    </w:p>
    <w:p>
      <w:pPr>
        <w:pStyle w:val="null3"/>
        <w:numPr>
          <w:ilvl w:val="0"/>
          <w:numId w:val="2"/>
        </w:numPr>
        <w:ind w:left="420"/>
      </w:pPr>
      <w:r>
        <w:rPr>
          <w:rFonts w:ascii="宋体" w:hAnsi="宋体" w:cs="宋体" w:eastAsia="宋体"/>
          <w:sz w:val="24"/>
        </w:rPr>
        <w:t>不可抗力</w:t>
      </w:r>
    </w:p>
    <w:p>
      <w:pPr>
        <w:pStyle w:val="null3"/>
        <w:ind w:firstLine="480"/>
        <w:jc w:val="both"/>
      </w:pPr>
      <w:r>
        <w:rPr>
          <w:rFonts w:ascii="calibri, sans-serif" w:hAnsi="calibri, sans-serif" w:cs="calibri, sans-serif" w:eastAsia="calibri, sans-serif"/>
          <w:sz w:val="24"/>
        </w:rPr>
        <w:t xml:space="preserve">10.1 </w:t>
      </w:r>
      <w:r>
        <w:rPr>
          <w:rFonts w:ascii="宋体" w:hAnsi="宋体" w:cs="宋体" w:eastAsia="宋体"/>
          <w:sz w:val="24"/>
        </w:rPr>
        <w:t>本合同所称不可抗力，是指重大地震、台风、水灾、火灾、战争、传染病以及其他不能预见、不能避免且不能克服的客观情况。</w:t>
      </w:r>
    </w:p>
    <w:p>
      <w:pPr>
        <w:pStyle w:val="null3"/>
        <w:ind w:firstLine="480"/>
        <w:jc w:val="both"/>
      </w:pPr>
      <w:r>
        <w:rPr>
          <w:rFonts w:ascii="calibri, sans-serif" w:hAnsi="calibri, sans-serif" w:cs="calibri, sans-serif" w:eastAsia="calibri, sans-serif"/>
          <w:sz w:val="24"/>
        </w:rPr>
        <w:t xml:space="preserve">10.2 </w:t>
      </w:r>
      <w:r>
        <w:rPr>
          <w:rFonts w:ascii="宋体" w:hAnsi="宋体" w:cs="宋体" w:eastAsia="宋体"/>
          <w:sz w:val="24"/>
        </w:rPr>
        <w:t>任何一方因不可抗力事件而不能履行合同时，应及时向对方通报不能履行或不能完全履行的原因，与对方协商是否延期履行、部分履行或者不履行本合同，并对此不承担违约责任。但遭受不可抗力事件的一方有责任尽可能及时采取措施以减少对方的损失、消除不可抗力事件的影响，否则对未尽本项义务而导致的损失承担赔偿责任。</w:t>
      </w:r>
    </w:p>
    <w:p>
      <w:pPr>
        <w:pStyle w:val="null3"/>
        <w:ind w:firstLine="480"/>
        <w:jc w:val="both"/>
      </w:pPr>
      <w:r>
        <w:rPr>
          <w:rFonts w:ascii="calibri, sans-serif" w:hAnsi="calibri, sans-serif" w:cs="calibri, sans-serif" w:eastAsia="calibri, sans-serif"/>
          <w:sz w:val="24"/>
        </w:rPr>
        <w:t xml:space="preserve">10.3 </w:t>
      </w:r>
      <w:r>
        <w:rPr>
          <w:rFonts w:ascii="宋体" w:hAnsi="宋体" w:cs="宋体" w:eastAsia="宋体"/>
          <w:sz w:val="24"/>
        </w:rPr>
        <w:t>遭受不可抗力事件的一方应尽力在不可抗力事件发生后十（</w:t>
      </w:r>
      <w:r>
        <w:rPr>
          <w:rFonts w:ascii="calibri, sans-serif" w:hAnsi="calibri, sans-serif" w:cs="calibri, sans-serif" w:eastAsia="calibri, sans-serif"/>
          <w:sz w:val="24"/>
        </w:rPr>
        <w:t>10</w:t>
      </w:r>
      <w:r>
        <w:rPr>
          <w:rFonts w:ascii="宋体" w:hAnsi="宋体" w:cs="宋体" w:eastAsia="宋体"/>
          <w:sz w:val="24"/>
        </w:rPr>
        <w:t>）个日历日内取得有关部门的证明，并将有关部门出具的证明文件以及详细情况报告、不可抗力事件对合同影响的说明用特快专递或挂号信形式寄给另一方。</w:t>
      </w:r>
    </w:p>
    <w:p>
      <w:pPr>
        <w:pStyle w:val="null3"/>
        <w:ind w:firstLine="480"/>
        <w:jc w:val="both"/>
      </w:pPr>
      <w:r>
        <w:rPr>
          <w:rFonts w:ascii="calibri, sans-serif" w:hAnsi="calibri, sans-serif" w:cs="calibri, sans-serif" w:eastAsia="calibri, sans-serif"/>
          <w:sz w:val="24"/>
        </w:rPr>
        <w:t xml:space="preserve">10.4 </w:t>
      </w:r>
      <w:r>
        <w:rPr>
          <w:rFonts w:ascii="宋体" w:hAnsi="宋体" w:cs="宋体" w:eastAsia="宋体"/>
          <w:sz w:val="24"/>
        </w:rPr>
        <w:t>任何一方延迟履行合同后发生不可抗力事件的，不能免除因延迟履行产生的违约责任。</w:t>
      </w:r>
    </w:p>
    <w:p>
      <w:pPr>
        <w:pStyle w:val="null3"/>
        <w:numPr>
          <w:ilvl w:val="0"/>
          <w:numId w:val="2"/>
        </w:numPr>
        <w:ind w:left="420"/>
      </w:pPr>
      <w:r>
        <w:rPr>
          <w:rFonts w:ascii="宋体" w:hAnsi="宋体" w:cs="宋体" w:eastAsia="宋体"/>
          <w:sz w:val="24"/>
        </w:rPr>
        <w:t>情势变更</w:t>
      </w:r>
    </w:p>
    <w:p>
      <w:pPr>
        <w:pStyle w:val="null3"/>
        <w:ind w:firstLine="480"/>
        <w:jc w:val="both"/>
      </w:pPr>
      <w:r>
        <w:rPr>
          <w:rFonts w:ascii="calibri, sans-serif" w:hAnsi="calibri, sans-serif" w:cs="calibri, sans-serif" w:eastAsia="calibri, sans-serif"/>
          <w:sz w:val="24"/>
        </w:rPr>
        <w:t xml:space="preserve">11.1 </w:t>
      </w:r>
      <w:r>
        <w:rPr>
          <w:rFonts w:ascii="宋体" w:hAnsi="宋体" w:cs="宋体" w:eastAsia="宋体"/>
          <w:sz w:val="24"/>
        </w:rPr>
        <w:t>本合同所称情势变更指合同成立后，合同的基础条件发生了甲乙双方在合同订立时无法预见的、不属于商业风险的</w:t>
      </w:r>
      <w:r>
        <w:rPr>
          <w:rFonts w:ascii="宋体" w:hAnsi="宋体" w:cs="宋体" w:eastAsia="宋体"/>
          <w:sz w:val="24"/>
        </w:rPr>
        <w:t>重</w:t>
      </w:r>
      <w:r>
        <w:rPr>
          <w:rFonts w:ascii="宋体" w:hAnsi="宋体" w:cs="宋体" w:eastAsia="宋体"/>
          <w:sz w:val="24"/>
        </w:rPr>
        <w:t>大变化，继续履行合同对其中一方明显不公平，则受不利影响的一方可以与对方重新协商，双方根据公平原则变更或解除合同。</w:t>
      </w:r>
    </w:p>
    <w:p>
      <w:pPr>
        <w:pStyle w:val="null3"/>
        <w:ind w:firstLine="480"/>
        <w:jc w:val="both"/>
      </w:pPr>
      <w:r>
        <w:rPr>
          <w:rFonts w:ascii="calibri, sans-serif" w:hAnsi="calibri, sans-serif" w:cs="calibri, sans-serif" w:eastAsia="calibri, sans-serif"/>
          <w:sz w:val="24"/>
        </w:rPr>
        <w:t xml:space="preserve">11.2 </w:t>
      </w:r>
      <w:r>
        <w:rPr>
          <w:rFonts w:ascii="宋体" w:hAnsi="宋体" w:cs="宋体" w:eastAsia="宋体"/>
          <w:sz w:val="24"/>
        </w:rPr>
        <w:t>双方协商不成的，可根据本合同争议解决条款请求有管辖权的人民法院变更或</w:t>
      </w:r>
      <w:r>
        <w:rPr>
          <w:rFonts w:ascii="宋体" w:hAnsi="宋体" w:cs="宋体" w:eastAsia="宋体"/>
          <w:sz w:val="24"/>
        </w:rPr>
        <w:t>解除</w:t>
      </w:r>
      <w:r>
        <w:rPr>
          <w:rFonts w:ascii="宋体" w:hAnsi="宋体" w:cs="宋体" w:eastAsia="宋体"/>
          <w:sz w:val="24"/>
        </w:rPr>
        <w:t>合同。</w:t>
      </w:r>
    </w:p>
    <w:p>
      <w:pPr>
        <w:pStyle w:val="null3"/>
        <w:numPr>
          <w:ilvl w:val="0"/>
          <w:numId w:val="2"/>
        </w:numPr>
        <w:ind w:left="420"/>
      </w:pPr>
      <w:r>
        <w:rPr>
          <w:rFonts w:ascii="宋体" w:hAnsi="宋体" w:cs="宋体" w:eastAsia="宋体"/>
          <w:sz w:val="24"/>
        </w:rPr>
        <w:t>保密</w:t>
      </w:r>
    </w:p>
    <w:p>
      <w:pPr>
        <w:pStyle w:val="null3"/>
        <w:ind w:firstLine="480"/>
        <w:jc w:val="both"/>
      </w:pPr>
      <w:r>
        <w:rPr>
          <w:rFonts w:ascii="宋体" w:hAnsi="宋体" w:cs="宋体" w:eastAsia="宋体"/>
          <w:sz w:val="24"/>
        </w:rPr>
        <w:t>见附件《安全保密</w:t>
      </w:r>
      <w:r>
        <w:rPr>
          <w:rFonts w:ascii="宋体" w:hAnsi="宋体" w:cs="宋体" w:eastAsia="宋体"/>
          <w:sz w:val="24"/>
        </w:rPr>
        <w:t>协议</w:t>
      </w:r>
      <w:r>
        <w:rPr>
          <w:rFonts w:ascii="宋体" w:hAnsi="宋体" w:cs="宋体" w:eastAsia="宋体"/>
          <w:sz w:val="24"/>
        </w:rPr>
        <w:t>》</w:t>
      </w:r>
      <w:r>
        <w:rPr>
          <w:rFonts w:ascii="宋体" w:hAnsi="宋体" w:cs="宋体" w:eastAsia="宋体"/>
          <w:sz w:val="24"/>
        </w:rPr>
        <w:t>。</w:t>
      </w:r>
    </w:p>
    <w:p>
      <w:pPr>
        <w:pStyle w:val="null3"/>
        <w:numPr>
          <w:ilvl w:val="0"/>
          <w:numId w:val="2"/>
        </w:numPr>
        <w:ind w:right="-15"/>
        <w:jc w:val="both"/>
      </w:pPr>
      <w:r>
        <w:rPr>
          <w:rFonts w:ascii="宋体" w:hAnsi="宋体" w:cs="宋体" w:eastAsia="宋体"/>
          <w:sz w:val="24"/>
        </w:rPr>
        <w:t>合同的转让</w:t>
      </w:r>
    </w:p>
    <w:p>
      <w:pPr>
        <w:pStyle w:val="null3"/>
        <w:ind w:right="-15" w:firstLine="480"/>
        <w:jc w:val="both"/>
      </w:pPr>
      <w:r>
        <w:rPr>
          <w:rFonts w:ascii="宋体" w:hAnsi="宋体" w:cs="宋体" w:eastAsia="宋体"/>
          <w:sz w:val="24"/>
        </w:rPr>
        <w:t>未经甲方书面同意，乙方不得将其在本合同项下的全部或部分权利义务转让或分包给第三方。甲方有权根据需要通知乙方向甲方指定的第三方履行本合同项下的义务，相关第三方有权行使本合同项下甲方的权利。</w:t>
      </w:r>
    </w:p>
    <w:p>
      <w:pPr>
        <w:pStyle w:val="null3"/>
        <w:numPr>
          <w:ilvl w:val="0"/>
          <w:numId w:val="2"/>
        </w:numPr>
        <w:ind w:right="-15"/>
        <w:jc w:val="both"/>
      </w:pPr>
      <w:r>
        <w:rPr>
          <w:rFonts w:ascii="宋体" w:hAnsi="宋体" w:cs="宋体" w:eastAsia="宋体"/>
          <w:sz w:val="24"/>
        </w:rPr>
        <w:t>合同的终止与解除</w:t>
      </w:r>
    </w:p>
    <w:p>
      <w:pPr>
        <w:pStyle w:val="null3"/>
        <w:ind w:firstLine="480"/>
        <w:jc w:val="both"/>
      </w:pPr>
      <w:r>
        <w:rPr>
          <w:rFonts w:ascii="calibri, sans-serif" w:hAnsi="calibri, sans-serif" w:cs="calibri, sans-serif" w:eastAsia="calibri, sans-serif"/>
          <w:sz w:val="24"/>
        </w:rPr>
        <w:t xml:space="preserve">14.1 </w:t>
      </w:r>
      <w:r>
        <w:rPr>
          <w:rFonts w:ascii="宋体" w:hAnsi="宋体" w:cs="宋体" w:eastAsia="宋体"/>
          <w:sz w:val="24"/>
        </w:rPr>
        <w:t>除本合同另有约定外，任何一方均不得单方随意终止或解除合同。但出现如下情形时，合同终止或解除：</w:t>
      </w:r>
    </w:p>
    <w:p>
      <w:pPr>
        <w:pStyle w:val="null3"/>
        <w:ind w:left="480"/>
        <w:jc w:val="both"/>
      </w:pPr>
      <w:r>
        <w:rPr>
          <w:rFonts w:ascii="宋体" w:hAnsi="宋体" w:cs="宋体" w:eastAsia="宋体"/>
          <w:sz w:val="24"/>
        </w:rPr>
        <w:t>（</w:t>
      </w:r>
      <w:r>
        <w:rPr>
          <w:rFonts w:ascii="calibri, sans-serif" w:hAnsi="calibri, sans-serif" w:cs="calibri, sans-serif" w:eastAsia="calibri, sans-serif"/>
          <w:sz w:val="24"/>
        </w:rPr>
        <w:t>1</w:t>
      </w:r>
      <w:r>
        <w:rPr>
          <w:rFonts w:ascii="宋体" w:hAnsi="宋体" w:cs="宋体" w:eastAsia="宋体"/>
          <w:sz w:val="24"/>
        </w:rPr>
        <w:t>）</w:t>
      </w:r>
      <w:r>
        <w:rPr>
          <w:rFonts w:ascii="宋体" w:hAnsi="宋体" w:cs="宋体" w:eastAsia="宋体"/>
          <w:sz w:val="24"/>
        </w:rPr>
        <w:t>本合同正常履行完毕；</w:t>
      </w:r>
    </w:p>
    <w:p>
      <w:pPr>
        <w:pStyle w:val="null3"/>
        <w:ind w:left="480"/>
        <w:jc w:val="both"/>
      </w:pPr>
      <w:r>
        <w:rPr>
          <w:rFonts w:ascii="宋体" w:hAnsi="宋体" w:cs="宋体" w:eastAsia="宋体"/>
          <w:sz w:val="24"/>
        </w:rPr>
        <w:t>（</w:t>
      </w:r>
      <w:r>
        <w:rPr>
          <w:rFonts w:ascii="calibri, sans-serif" w:hAnsi="calibri, sans-serif" w:cs="calibri, sans-serif" w:eastAsia="calibri, sans-serif"/>
          <w:sz w:val="24"/>
        </w:rPr>
        <w:t>2</w:t>
      </w:r>
      <w:r>
        <w:rPr>
          <w:rFonts w:ascii="宋体" w:hAnsi="宋体" w:cs="宋体" w:eastAsia="宋体"/>
          <w:sz w:val="24"/>
        </w:rPr>
        <w:t>）</w:t>
      </w:r>
      <w:r>
        <w:rPr>
          <w:rFonts w:ascii="宋体" w:hAnsi="宋体" w:cs="宋体" w:eastAsia="宋体"/>
          <w:sz w:val="24"/>
        </w:rPr>
        <w:t>不可抗力</w:t>
      </w:r>
      <w:r>
        <w:rPr>
          <w:rFonts w:ascii="宋体" w:hAnsi="宋体" w:cs="宋体" w:eastAsia="宋体"/>
          <w:sz w:val="24"/>
        </w:rPr>
        <w:t>或情势变更事件</w:t>
      </w:r>
      <w:r>
        <w:rPr>
          <w:rFonts w:ascii="宋体" w:hAnsi="宋体" w:cs="宋体" w:eastAsia="宋体"/>
          <w:sz w:val="24"/>
        </w:rPr>
        <w:t>导致本合同无法履行或不必要履行时；</w:t>
      </w:r>
    </w:p>
    <w:p>
      <w:pPr>
        <w:pStyle w:val="null3"/>
        <w:ind w:left="480"/>
        <w:jc w:val="both"/>
      </w:pPr>
      <w:r>
        <w:rPr>
          <w:rFonts w:ascii="宋体" w:hAnsi="宋体" w:cs="宋体" w:eastAsia="宋体"/>
          <w:sz w:val="24"/>
        </w:rPr>
        <w:t>（</w:t>
      </w:r>
      <w:r>
        <w:rPr>
          <w:rFonts w:ascii="calibri, sans-serif" w:hAnsi="calibri, sans-serif" w:cs="calibri, sans-serif" w:eastAsia="calibri, sans-serif"/>
          <w:sz w:val="24"/>
        </w:rPr>
        <w:t>3</w:t>
      </w:r>
      <w:r>
        <w:rPr>
          <w:rFonts w:ascii="宋体" w:hAnsi="宋体" w:cs="宋体" w:eastAsia="宋体"/>
          <w:sz w:val="24"/>
        </w:rPr>
        <w:t>）</w:t>
      </w:r>
      <w:r>
        <w:rPr>
          <w:rFonts w:ascii="宋体" w:hAnsi="宋体" w:cs="宋体" w:eastAsia="宋体"/>
          <w:sz w:val="24"/>
        </w:rPr>
        <w:t>双方协商一致</w:t>
      </w:r>
      <w:r>
        <w:rPr>
          <w:rFonts w:ascii="宋体" w:hAnsi="宋体" w:cs="宋体" w:eastAsia="宋体"/>
          <w:sz w:val="24"/>
        </w:rPr>
        <w:t>终止或</w:t>
      </w:r>
      <w:r>
        <w:rPr>
          <w:rFonts w:ascii="宋体" w:hAnsi="宋体" w:cs="宋体" w:eastAsia="宋体"/>
          <w:sz w:val="24"/>
        </w:rPr>
        <w:t>解除；</w:t>
      </w:r>
    </w:p>
    <w:p>
      <w:pPr>
        <w:pStyle w:val="null3"/>
        <w:ind w:left="480"/>
        <w:jc w:val="both"/>
      </w:pPr>
      <w:r>
        <w:rPr>
          <w:rFonts w:ascii="宋体" w:hAnsi="宋体" w:cs="宋体" w:eastAsia="宋体"/>
          <w:sz w:val="24"/>
        </w:rPr>
        <w:t>（</w:t>
      </w:r>
      <w:r>
        <w:rPr>
          <w:rFonts w:ascii="calibri, sans-serif" w:hAnsi="calibri, sans-serif" w:cs="calibri, sans-serif" w:eastAsia="calibri, sans-serif"/>
          <w:sz w:val="24"/>
        </w:rPr>
        <w:t>4</w:t>
      </w:r>
      <w:r>
        <w:rPr>
          <w:rFonts w:ascii="宋体" w:hAnsi="宋体" w:cs="宋体" w:eastAsia="宋体"/>
          <w:sz w:val="24"/>
        </w:rPr>
        <w:t>）</w:t>
      </w:r>
      <w:r>
        <w:rPr>
          <w:rFonts w:ascii="宋体" w:hAnsi="宋体" w:cs="宋体" w:eastAsia="宋体"/>
          <w:sz w:val="24"/>
        </w:rPr>
        <w:t>本合同约定解除或终止的情形满足时。</w:t>
      </w:r>
    </w:p>
    <w:p>
      <w:pPr>
        <w:pStyle w:val="null3"/>
        <w:ind w:firstLine="480"/>
        <w:jc w:val="both"/>
      </w:pPr>
      <w:r>
        <w:rPr>
          <w:rFonts w:ascii="calibri, sans-serif" w:hAnsi="calibri, sans-serif" w:cs="calibri, sans-serif" w:eastAsia="calibri, sans-serif"/>
          <w:sz w:val="24"/>
        </w:rPr>
        <w:t xml:space="preserve">14.2 </w:t>
      </w:r>
      <w:r>
        <w:rPr>
          <w:rFonts w:ascii="宋体" w:hAnsi="宋体" w:cs="宋体" w:eastAsia="宋体"/>
          <w:sz w:val="24"/>
        </w:rPr>
        <w:t>除本合同另有约定外，在下列情况下，甲方可向乙方发出书面通知解除部分或全部合同，要求乙方支付合同总金额</w:t>
      </w:r>
      <w:r>
        <w:rPr>
          <w:rFonts w:ascii="calibri, sans-serif" w:hAnsi="calibri, sans-serif" w:cs="calibri, sans-serif" w:eastAsia="calibri, sans-serif"/>
          <w:sz w:val="24"/>
        </w:rPr>
        <w:t>10%</w:t>
      </w:r>
      <w:r>
        <w:rPr>
          <w:rFonts w:ascii="宋体" w:hAnsi="宋体" w:cs="宋体" w:eastAsia="宋体"/>
          <w:sz w:val="24"/>
        </w:rPr>
        <w:t>的违约金，并赔偿甲方的全部损失。解除合同行为不影响甲方采取其他补救措施，也不免除乙方的损害赔偿责任，对于由此给乙方造成的损失，甲方不承担赔偿责任：</w:t>
      </w:r>
    </w:p>
    <w:p>
      <w:pPr>
        <w:pStyle w:val="null3"/>
        <w:ind w:firstLine="480"/>
        <w:jc w:val="both"/>
      </w:pPr>
      <w:r>
        <w:rPr>
          <w:rFonts w:ascii="宋体" w:hAnsi="宋体" w:cs="宋体" w:eastAsia="宋体"/>
          <w:sz w:val="24"/>
        </w:rPr>
        <w:t>（</w:t>
      </w:r>
      <w:r>
        <w:rPr>
          <w:rFonts w:ascii="calibri, sans-serif" w:hAnsi="calibri, sans-serif" w:cs="calibri, sans-serif" w:eastAsia="calibri, sans-serif"/>
          <w:sz w:val="24"/>
        </w:rPr>
        <w:t>1</w:t>
      </w:r>
      <w:r>
        <w:rPr>
          <w:rFonts w:ascii="宋体" w:hAnsi="宋体" w:cs="宋体" w:eastAsia="宋体"/>
          <w:sz w:val="24"/>
        </w:rPr>
        <w:t>）</w:t>
      </w:r>
      <w:r>
        <w:rPr>
          <w:rFonts w:ascii="宋体" w:hAnsi="宋体" w:cs="宋体" w:eastAsia="宋体"/>
          <w:sz w:val="24"/>
        </w:rPr>
        <w:t>乙方经营状况、声誉等恶化导致其履行本合同困难或不再具备履行本合同所需的资质；</w:t>
      </w:r>
    </w:p>
    <w:p>
      <w:pPr>
        <w:pStyle w:val="null3"/>
        <w:ind w:firstLine="480"/>
        <w:jc w:val="both"/>
      </w:pPr>
      <w:r>
        <w:rPr>
          <w:rFonts w:ascii="宋体" w:hAnsi="宋体" w:cs="宋体" w:eastAsia="宋体"/>
          <w:sz w:val="24"/>
        </w:rPr>
        <w:t>（</w:t>
      </w:r>
      <w:r>
        <w:rPr>
          <w:rFonts w:ascii="calibri, sans-serif" w:hAnsi="calibri, sans-serif" w:cs="calibri, sans-serif" w:eastAsia="calibri, sans-serif"/>
          <w:sz w:val="24"/>
        </w:rPr>
        <w:t>2</w:t>
      </w:r>
      <w:r>
        <w:rPr>
          <w:rFonts w:ascii="宋体" w:hAnsi="宋体" w:cs="宋体" w:eastAsia="宋体"/>
          <w:sz w:val="24"/>
        </w:rPr>
        <w:t>）</w:t>
      </w:r>
      <w:r>
        <w:rPr>
          <w:rFonts w:ascii="宋体" w:hAnsi="宋体" w:cs="宋体" w:eastAsia="宋体"/>
          <w:sz w:val="24"/>
        </w:rPr>
        <w:t>乙方拒绝接受或不配合甲方、金融业监督管理机构对合同履行情况的检查和审计；</w:t>
      </w:r>
    </w:p>
    <w:p>
      <w:pPr>
        <w:pStyle w:val="null3"/>
        <w:ind w:firstLine="480"/>
        <w:jc w:val="both"/>
      </w:pPr>
      <w:r>
        <w:rPr>
          <w:rFonts w:ascii="宋体" w:hAnsi="宋体" w:cs="宋体" w:eastAsia="宋体"/>
          <w:sz w:val="24"/>
        </w:rPr>
        <w:t>（</w:t>
      </w:r>
      <w:r>
        <w:rPr>
          <w:rFonts w:ascii="calibri, sans-serif" w:hAnsi="calibri, sans-serif" w:cs="calibri, sans-serif" w:eastAsia="calibri, sans-serif"/>
          <w:sz w:val="24"/>
        </w:rPr>
        <w:t>3</w:t>
      </w:r>
      <w:r>
        <w:rPr>
          <w:rFonts w:ascii="宋体" w:hAnsi="宋体" w:cs="宋体" w:eastAsia="宋体"/>
          <w:sz w:val="24"/>
        </w:rPr>
        <w:t>）</w:t>
      </w:r>
      <w:r>
        <w:rPr>
          <w:rFonts w:ascii="宋体" w:hAnsi="宋体" w:cs="宋体" w:eastAsia="宋体"/>
          <w:sz w:val="24"/>
        </w:rPr>
        <w:t>乙方或其工作人员发生刺探或泄露国家秘密、以甲方名义对外开展活动、恶意破坏金融信息系统或关键信息基础设施等情形；</w:t>
      </w:r>
    </w:p>
    <w:p>
      <w:pPr>
        <w:pStyle w:val="null3"/>
        <w:ind w:firstLine="480"/>
        <w:jc w:val="both"/>
      </w:pPr>
      <w:r>
        <w:rPr>
          <w:rFonts w:ascii="宋体" w:hAnsi="宋体" w:cs="宋体" w:eastAsia="宋体"/>
          <w:sz w:val="24"/>
        </w:rPr>
        <w:t>（</w:t>
      </w:r>
      <w:r>
        <w:rPr>
          <w:rFonts w:ascii="calibri, sans-serif" w:hAnsi="calibri, sans-serif" w:cs="calibri, sans-serif" w:eastAsia="calibri, sans-serif"/>
          <w:sz w:val="24"/>
        </w:rPr>
        <w:t>4</w:t>
      </w:r>
      <w:r>
        <w:rPr>
          <w:rFonts w:ascii="宋体" w:hAnsi="宋体" w:cs="宋体" w:eastAsia="宋体"/>
          <w:sz w:val="24"/>
        </w:rPr>
        <w:t>）</w:t>
      </w:r>
      <w:r>
        <w:rPr>
          <w:rFonts w:ascii="宋体" w:hAnsi="宋体" w:cs="宋体" w:eastAsia="宋体"/>
          <w:sz w:val="24"/>
        </w:rPr>
        <w:t>乙方发生造成甲方声誉损失、经济损失或损害甲方利益的行为；</w:t>
      </w:r>
    </w:p>
    <w:p>
      <w:pPr>
        <w:pStyle w:val="null3"/>
        <w:ind w:firstLine="480"/>
        <w:jc w:val="both"/>
      </w:pPr>
      <w:r>
        <w:rPr>
          <w:rFonts w:ascii="宋体" w:hAnsi="宋体" w:cs="宋体" w:eastAsia="宋体"/>
          <w:sz w:val="24"/>
        </w:rPr>
        <w:t>（</w:t>
      </w:r>
      <w:r>
        <w:rPr>
          <w:rFonts w:ascii="calibri, sans-serif" w:hAnsi="calibri, sans-serif" w:cs="calibri, sans-serif" w:eastAsia="calibri, sans-serif"/>
          <w:sz w:val="24"/>
        </w:rPr>
        <w:t>5</w:t>
      </w:r>
      <w:r>
        <w:rPr>
          <w:rFonts w:ascii="宋体" w:hAnsi="宋体" w:cs="宋体" w:eastAsia="宋体"/>
          <w:sz w:val="24"/>
        </w:rPr>
        <w:t>）</w:t>
      </w:r>
      <w:r>
        <w:rPr>
          <w:rFonts w:ascii="宋体" w:hAnsi="宋体" w:cs="宋体" w:eastAsia="宋体"/>
          <w:sz w:val="24"/>
        </w:rPr>
        <w:t>乙方的行为导致本合同实质无法履行。</w:t>
      </w:r>
    </w:p>
    <w:p>
      <w:pPr>
        <w:pStyle w:val="null3"/>
        <w:numPr>
          <w:ilvl w:val="0"/>
          <w:numId w:val="2"/>
        </w:numPr>
        <w:jc w:val="both"/>
      </w:pPr>
      <w:r>
        <w:rPr>
          <w:rFonts w:ascii="宋体" w:hAnsi="宋体" w:cs="宋体" w:eastAsia="宋体"/>
          <w:sz w:val="24"/>
        </w:rPr>
        <w:t>通知与送达</w:t>
      </w:r>
    </w:p>
    <w:p>
      <w:pPr>
        <w:pStyle w:val="null3"/>
        <w:ind w:firstLine="480"/>
        <w:jc w:val="both"/>
      </w:pPr>
      <w:r>
        <w:rPr>
          <w:rFonts w:ascii="calibri, sans-serif" w:hAnsi="calibri, sans-serif" w:cs="calibri, sans-serif" w:eastAsia="calibri, sans-serif"/>
          <w:sz w:val="24"/>
        </w:rPr>
        <w:t xml:space="preserve">15.1 </w:t>
      </w:r>
      <w:r>
        <w:rPr>
          <w:rFonts w:ascii="宋体" w:hAnsi="宋体" w:cs="宋体" w:eastAsia="宋体"/>
          <w:sz w:val="24"/>
        </w:rPr>
        <w:t>各方发出与本合同有关的通知或回复，应以专人送递、特快专递、电子邮件等方式送至指定联系人。</w:t>
      </w:r>
      <w:r>
        <w:rPr>
          <w:rFonts w:ascii="宋体" w:hAnsi="宋体" w:cs="宋体" w:eastAsia="宋体"/>
          <w:sz w:val="24"/>
        </w:rPr>
        <w:t>前述送达方式具有同等法律效力。</w:t>
      </w:r>
      <w:r>
        <w:rPr>
          <w:rFonts w:ascii="宋体" w:hAnsi="宋体" w:cs="宋体" w:eastAsia="宋体"/>
          <w:sz w:val="24"/>
        </w:rPr>
        <w:t>如果以专人送递或特快专递发送，以送达至以下约定地点或双方指定的其他地址并经对方签收视为送达（但对方故意不签收时，送达至前述地址即视为送达）；以电子邮件发出的，以电子邮件进入对方邮件系统时视为送达。双方指定</w:t>
      </w:r>
      <w:r>
        <w:rPr>
          <w:rFonts w:ascii="宋体" w:hAnsi="宋体" w:cs="宋体" w:eastAsia="宋体"/>
          <w:sz w:val="24"/>
        </w:rPr>
        <w:t>联系人和</w:t>
      </w:r>
      <w:r>
        <w:rPr>
          <w:rFonts w:ascii="宋体" w:hAnsi="宋体" w:cs="宋体" w:eastAsia="宋体"/>
          <w:sz w:val="24"/>
        </w:rPr>
        <w:t>联系方式如下：</w:t>
      </w:r>
    </w:p>
    <w:p>
      <w:pPr>
        <w:pStyle w:val="null3"/>
        <w:ind w:firstLine="480"/>
        <w:jc w:val="both"/>
      </w:pPr>
      <w:r>
        <w:rPr>
          <w:rFonts w:ascii="宋体" w:hAnsi="宋体" w:cs="宋体" w:eastAsia="宋体"/>
          <w:sz w:val="24"/>
        </w:rPr>
        <w:t>甲方指定联系人：【】</w:t>
      </w:r>
    </w:p>
    <w:p>
      <w:pPr>
        <w:pStyle w:val="null3"/>
        <w:ind w:firstLine="480"/>
        <w:jc w:val="both"/>
      </w:pPr>
      <w:r>
        <w:rPr>
          <w:rFonts w:ascii="宋体" w:hAnsi="宋体" w:cs="宋体" w:eastAsia="宋体"/>
          <w:sz w:val="24"/>
        </w:rPr>
        <w:t>地址：【】</w:t>
      </w:r>
    </w:p>
    <w:p>
      <w:pPr>
        <w:pStyle w:val="null3"/>
        <w:ind w:firstLine="480"/>
        <w:jc w:val="both"/>
      </w:pPr>
      <w:r>
        <w:rPr>
          <w:rFonts w:ascii="宋体" w:hAnsi="宋体" w:cs="宋体" w:eastAsia="宋体"/>
          <w:sz w:val="24"/>
        </w:rPr>
        <w:t>电话：【】</w:t>
      </w:r>
    </w:p>
    <w:p>
      <w:pPr>
        <w:pStyle w:val="null3"/>
        <w:ind w:firstLine="480"/>
        <w:jc w:val="both"/>
      </w:pPr>
      <w:r>
        <w:rPr>
          <w:rFonts w:ascii="宋体" w:hAnsi="宋体" w:cs="宋体" w:eastAsia="宋体"/>
          <w:sz w:val="24"/>
        </w:rPr>
        <w:t>电子邮件：【】</w:t>
      </w:r>
    </w:p>
    <w:p>
      <w:pPr>
        <w:pStyle w:val="null3"/>
        <w:ind w:firstLine="480"/>
        <w:jc w:val="both"/>
      </w:pPr>
      <w:r>
        <w:rPr>
          <w:rFonts w:ascii="宋体" w:hAnsi="宋体" w:cs="宋体" w:eastAsia="宋体"/>
          <w:sz w:val="24"/>
        </w:rPr>
        <w:t>乙方指定联系人：【】</w:t>
      </w:r>
    </w:p>
    <w:p>
      <w:pPr>
        <w:pStyle w:val="null3"/>
        <w:ind w:firstLine="480"/>
        <w:jc w:val="both"/>
      </w:pPr>
      <w:r>
        <w:rPr>
          <w:rFonts w:ascii="宋体" w:hAnsi="宋体" w:cs="宋体" w:eastAsia="宋体"/>
          <w:sz w:val="24"/>
        </w:rPr>
        <w:t>地址：【】</w:t>
      </w:r>
    </w:p>
    <w:p>
      <w:pPr>
        <w:pStyle w:val="null3"/>
        <w:ind w:firstLine="480"/>
        <w:jc w:val="both"/>
      </w:pPr>
      <w:r>
        <w:rPr>
          <w:rFonts w:ascii="宋体" w:hAnsi="宋体" w:cs="宋体" w:eastAsia="宋体"/>
          <w:sz w:val="24"/>
        </w:rPr>
        <w:t>电话：【】</w:t>
      </w:r>
    </w:p>
    <w:p>
      <w:pPr>
        <w:pStyle w:val="null3"/>
        <w:ind w:firstLine="480"/>
        <w:jc w:val="both"/>
      </w:pPr>
      <w:r>
        <w:rPr>
          <w:rFonts w:ascii="宋体" w:hAnsi="宋体" w:cs="宋体" w:eastAsia="宋体"/>
          <w:sz w:val="24"/>
        </w:rPr>
        <w:t>电子邮件：【】</w:t>
      </w:r>
    </w:p>
    <w:p>
      <w:pPr>
        <w:pStyle w:val="null3"/>
        <w:ind w:firstLine="480"/>
        <w:jc w:val="both"/>
      </w:pPr>
      <w:r>
        <w:rPr>
          <w:rFonts w:ascii="calibri, sans-serif" w:hAnsi="calibri, sans-serif" w:cs="calibri, sans-serif" w:eastAsia="calibri, sans-serif"/>
          <w:sz w:val="24"/>
        </w:rPr>
        <w:t xml:space="preserve">15.2 </w:t>
      </w:r>
      <w:r>
        <w:rPr>
          <w:rFonts w:ascii="宋体" w:hAnsi="宋体" w:cs="宋体" w:eastAsia="宋体"/>
          <w:sz w:val="24"/>
        </w:rPr>
        <w:t>一方指定联系人或联系方式变更的，应提前三个工作日书面通知对方。</w:t>
      </w:r>
    </w:p>
    <w:p>
      <w:pPr>
        <w:pStyle w:val="null3"/>
        <w:numPr>
          <w:ilvl w:val="0"/>
          <w:numId w:val="2"/>
        </w:numPr>
        <w:ind w:right="-15"/>
        <w:jc w:val="both"/>
      </w:pPr>
      <w:r>
        <w:rPr>
          <w:rFonts w:ascii="宋体" w:hAnsi="宋体" w:cs="宋体" w:eastAsia="宋体"/>
          <w:sz w:val="24"/>
        </w:rPr>
        <w:t>法律适用及争议解决</w:t>
      </w:r>
    </w:p>
    <w:p>
      <w:pPr>
        <w:pStyle w:val="null3"/>
        <w:ind w:firstLine="480"/>
        <w:jc w:val="both"/>
      </w:pPr>
      <w:r>
        <w:rPr>
          <w:rFonts w:ascii="calibri, sans-serif" w:hAnsi="calibri, sans-serif" w:cs="calibri, sans-serif" w:eastAsia="calibri, sans-serif"/>
          <w:sz w:val="24"/>
        </w:rPr>
        <w:t xml:space="preserve">16.1 </w:t>
      </w:r>
      <w:r>
        <w:rPr>
          <w:rFonts w:ascii="宋体" w:hAnsi="宋体" w:cs="宋体" w:eastAsia="宋体"/>
          <w:sz w:val="24"/>
        </w:rPr>
        <w:t>本合同的订立、效力、履行、解释、争议解决等适用中华人民共和国法律法规。</w:t>
      </w:r>
    </w:p>
    <w:p>
      <w:pPr>
        <w:pStyle w:val="null3"/>
        <w:ind w:firstLine="480"/>
        <w:jc w:val="both"/>
      </w:pPr>
      <w:r>
        <w:rPr>
          <w:rFonts w:ascii="calibri, sans-serif" w:hAnsi="calibri, sans-serif" w:cs="calibri, sans-serif" w:eastAsia="calibri, sans-serif"/>
          <w:sz w:val="24"/>
        </w:rPr>
        <w:t xml:space="preserve">16.2 </w:t>
      </w:r>
      <w:r>
        <w:rPr>
          <w:rFonts w:ascii="宋体" w:hAnsi="宋体" w:cs="宋体" w:eastAsia="宋体"/>
          <w:sz w:val="24"/>
        </w:rPr>
        <w:t>凡因本合同引起的或与本合同有关的任何争议，双方均应友好协商解决。经友好协商不能达成一致意见时，双方同意提交</w:t>
      </w:r>
      <w:r>
        <w:rPr>
          <w:rFonts w:ascii="宋体" w:hAnsi="宋体" w:cs="宋体" w:eastAsia="宋体"/>
          <w:sz w:val="24"/>
        </w:rPr>
        <w:t>至</w:t>
      </w:r>
      <w:r>
        <w:rPr>
          <w:rFonts w:ascii="宋体" w:hAnsi="宋体" w:cs="宋体" w:eastAsia="宋体"/>
          <w:sz w:val="24"/>
        </w:rPr>
        <w:t>甲方住所地有管辖权的人民法院诉讼解决。</w:t>
      </w:r>
    </w:p>
    <w:p>
      <w:pPr>
        <w:pStyle w:val="null3"/>
        <w:ind w:firstLine="480"/>
        <w:jc w:val="both"/>
      </w:pPr>
      <w:r>
        <w:rPr>
          <w:rFonts w:ascii="calibri, sans-serif" w:hAnsi="calibri, sans-serif" w:cs="calibri, sans-serif" w:eastAsia="calibri, sans-serif"/>
          <w:sz w:val="24"/>
        </w:rPr>
        <w:t xml:space="preserve">16.3 </w:t>
      </w:r>
      <w:r>
        <w:rPr>
          <w:rFonts w:ascii="宋体" w:hAnsi="宋体" w:cs="宋体" w:eastAsia="宋体"/>
          <w:sz w:val="24"/>
        </w:rPr>
        <w:t>在协商</w:t>
      </w:r>
      <w:r>
        <w:rPr>
          <w:rFonts w:ascii="宋体" w:hAnsi="宋体" w:cs="宋体" w:eastAsia="宋体"/>
          <w:sz w:val="24"/>
        </w:rPr>
        <w:t>或</w:t>
      </w:r>
      <w:r>
        <w:rPr>
          <w:rFonts w:ascii="宋体" w:hAnsi="宋体" w:cs="宋体" w:eastAsia="宋体"/>
          <w:sz w:val="24"/>
        </w:rPr>
        <w:t>诉讼期间，本合同不涉及争议的条款仍须履行。</w:t>
      </w:r>
    </w:p>
    <w:p>
      <w:pPr>
        <w:pStyle w:val="null3"/>
        <w:numPr>
          <w:ilvl w:val="0"/>
          <w:numId w:val="2"/>
        </w:numPr>
        <w:jc w:val="both"/>
      </w:pPr>
      <w:r>
        <w:rPr>
          <w:rFonts w:ascii="宋体" w:hAnsi="宋体" w:cs="宋体" w:eastAsia="宋体"/>
          <w:sz w:val="24"/>
        </w:rPr>
        <w:t>权利的保留</w:t>
      </w:r>
    </w:p>
    <w:p>
      <w:pPr>
        <w:pStyle w:val="null3"/>
        <w:ind w:firstLine="480"/>
        <w:jc w:val="both"/>
      </w:pPr>
      <w:r>
        <w:rPr>
          <w:rFonts w:ascii="calibri, sans-serif" w:hAnsi="calibri, sans-serif" w:cs="calibri, sans-serif" w:eastAsia="calibri, sans-serif"/>
          <w:sz w:val="24"/>
        </w:rPr>
        <w:t xml:space="preserve">17.1 </w:t>
      </w:r>
      <w:r>
        <w:rPr>
          <w:rFonts w:ascii="宋体" w:hAnsi="宋体" w:cs="宋体" w:eastAsia="宋体"/>
          <w:sz w:val="24"/>
        </w:rPr>
        <w:t>任何一方没有行使其权利或没有就违约方的违约行为采取行动，不应被视为是对其权利的放弃或对追究另一方违约责任权利的放弃。任何一方放弃针对违约方的某种权利，或放弃追究违约方的某种责任，不应视为对其他权利或追究其他责任的放弃。</w:t>
      </w:r>
    </w:p>
    <w:p>
      <w:pPr>
        <w:pStyle w:val="null3"/>
        <w:ind w:firstLine="480"/>
        <w:jc w:val="both"/>
      </w:pPr>
      <w:r>
        <w:rPr>
          <w:rFonts w:ascii="calibri, sans-serif" w:hAnsi="calibri, sans-serif" w:cs="calibri, sans-serif" w:eastAsia="calibri, sans-serif"/>
          <w:sz w:val="24"/>
        </w:rPr>
        <w:t xml:space="preserve">17.2 </w:t>
      </w:r>
      <w:r>
        <w:rPr>
          <w:rFonts w:ascii="宋体" w:hAnsi="宋体" w:cs="宋体" w:eastAsia="宋体"/>
          <w:sz w:val="24"/>
        </w:rPr>
        <w:t>如果本合同部分条款依据现行有关法律法规被确认为无效或无法履行，但不影响本合同其他条款效力的，本合同其他条款继续有效。双方可依据现行法律法规，遵照本合同的原则和精神，拟定补充协议，补全相关约定。</w:t>
      </w:r>
    </w:p>
    <w:p>
      <w:pPr>
        <w:pStyle w:val="null3"/>
        <w:ind w:firstLine="480"/>
        <w:jc w:val="both"/>
      </w:pPr>
      <w:r>
        <w:rPr>
          <w:rFonts w:ascii="calibri, sans-serif" w:hAnsi="calibri, sans-serif" w:cs="calibri, sans-serif" w:eastAsia="calibri, sans-serif"/>
          <w:sz w:val="24"/>
        </w:rPr>
        <w:t xml:space="preserve">17.3 </w:t>
      </w:r>
      <w:r>
        <w:rPr>
          <w:rFonts w:ascii="宋体" w:hAnsi="宋体" w:cs="宋体" w:eastAsia="宋体"/>
          <w:sz w:val="24"/>
        </w:rPr>
        <w:t>在本合同履行期间，因中国法律法规的变化致使本合同部分条款相冲突、无效时，双方应协商尽快修改相关条款。</w:t>
      </w:r>
    </w:p>
    <w:p>
      <w:pPr>
        <w:pStyle w:val="null3"/>
        <w:numPr>
          <w:ilvl w:val="0"/>
          <w:numId w:val="2"/>
        </w:numPr>
        <w:ind w:left="420"/>
      </w:pPr>
      <w:r>
        <w:rPr>
          <w:rFonts w:ascii="宋体" w:hAnsi="宋体" w:cs="宋体" w:eastAsia="宋体"/>
          <w:sz w:val="24"/>
        </w:rPr>
        <w:t>其他</w:t>
      </w:r>
    </w:p>
    <w:p>
      <w:pPr>
        <w:pStyle w:val="null3"/>
        <w:ind w:firstLine="480"/>
        <w:jc w:val="both"/>
      </w:pPr>
      <w:r>
        <w:rPr>
          <w:rFonts w:ascii="calibri, sans-serif" w:hAnsi="calibri, sans-serif" w:cs="calibri, sans-serif" w:eastAsia="calibri, sans-serif"/>
          <w:sz w:val="24"/>
        </w:rPr>
        <w:t xml:space="preserve">18.1 </w:t>
      </w:r>
      <w:r>
        <w:rPr>
          <w:rFonts w:ascii="宋体" w:hAnsi="宋体" w:cs="宋体" w:eastAsia="宋体"/>
          <w:sz w:val="24"/>
        </w:rPr>
        <w:t>本合同自甲乙双方加盖公章或合同专用章后生效，合同将保持有效至双方履行</w:t>
      </w:r>
      <w:r>
        <w:rPr>
          <w:rFonts w:ascii="宋体" w:hAnsi="宋体" w:cs="宋体" w:eastAsia="宋体"/>
          <w:sz w:val="24"/>
        </w:rPr>
        <w:t>完毕</w:t>
      </w:r>
      <w:r>
        <w:rPr>
          <w:rFonts w:ascii="宋体" w:hAnsi="宋体" w:cs="宋体" w:eastAsia="宋体"/>
          <w:sz w:val="24"/>
        </w:rPr>
        <w:t>合同项下的所有义务，合同款项和索赔已结清。需持续或长久有效的条款，以该条款的约定为准。</w:t>
      </w:r>
    </w:p>
    <w:p>
      <w:pPr>
        <w:pStyle w:val="null3"/>
        <w:ind w:firstLine="480"/>
        <w:jc w:val="both"/>
      </w:pPr>
      <w:r>
        <w:rPr>
          <w:rFonts w:ascii="calibri, sans-serif" w:hAnsi="calibri, sans-serif" w:cs="calibri, sans-serif" w:eastAsia="calibri, sans-serif"/>
          <w:sz w:val="24"/>
        </w:rPr>
        <w:t xml:space="preserve">18.2 </w:t>
      </w:r>
      <w:r>
        <w:rPr>
          <w:rFonts w:ascii="宋体" w:hAnsi="宋体" w:cs="宋体" w:eastAsia="宋体"/>
          <w:sz w:val="24"/>
        </w:rPr>
        <w:t>本合同一式肆份，双方各持贰份，具有同等法律效力。</w:t>
      </w:r>
    </w:p>
    <w:p>
      <w:pPr>
        <w:pStyle w:val="null3"/>
        <w:ind w:firstLine="480"/>
        <w:jc w:val="both"/>
      </w:pPr>
      <w:r>
        <w:rPr>
          <w:rFonts w:ascii="calibri, sans-serif" w:hAnsi="calibri, sans-serif" w:cs="calibri, sans-serif" w:eastAsia="calibri, sans-serif"/>
          <w:sz w:val="24"/>
        </w:rPr>
        <w:t xml:space="preserve">18.3 </w:t>
      </w:r>
      <w:r>
        <w:rPr>
          <w:rFonts w:ascii="宋体" w:hAnsi="宋体" w:cs="宋体" w:eastAsia="宋体"/>
          <w:sz w:val="24"/>
        </w:rPr>
        <w:t>本合同生效后，除本合同另有约定外，双方均不得随意变更或解除合同。如有未尽事宜，双方可签署补充协议或用其他书面方式进行约定。</w:t>
      </w:r>
    </w:p>
    <w:p>
      <w:pPr>
        <w:pStyle w:val="null3"/>
        <w:ind w:firstLine="480"/>
        <w:jc w:val="both"/>
      </w:pPr>
      <w:r>
        <w:rPr>
          <w:rFonts w:ascii="calibri, sans-serif" w:hAnsi="calibri, sans-serif" w:cs="calibri, sans-serif" w:eastAsia="calibri, sans-serif"/>
          <w:sz w:val="24"/>
        </w:rPr>
        <w:t xml:space="preserve">18.4 </w:t>
      </w:r>
      <w:r>
        <w:rPr>
          <w:rFonts w:ascii="宋体" w:hAnsi="宋体" w:cs="宋体" w:eastAsia="宋体"/>
          <w:sz w:val="24"/>
        </w:rPr>
        <w:t>本合同附件包括：</w:t>
      </w:r>
    </w:p>
    <w:p>
      <w:pPr>
        <w:pStyle w:val="null3"/>
        <w:ind w:firstLine="480"/>
        <w:jc w:val="both"/>
      </w:pPr>
      <w:r>
        <w:rPr>
          <w:rFonts w:ascii="宋体" w:hAnsi="宋体" w:cs="宋体" w:eastAsia="宋体"/>
          <w:sz w:val="24"/>
        </w:rPr>
        <w:t>附件</w:t>
      </w:r>
      <w:r>
        <w:rPr>
          <w:rFonts w:ascii="&quot;times new roman&quot;, serif" w:hAnsi="&quot;times new roman&quot;, serif" w:cs="&quot;times new roman&quot;, serif" w:eastAsia="&quot;times new roman&quot;, serif"/>
          <w:sz w:val="24"/>
        </w:rPr>
        <w:t>1</w:t>
      </w:r>
      <w:r>
        <w:rPr>
          <w:rFonts w:ascii="宋体" w:hAnsi="宋体" w:cs="宋体" w:eastAsia="宋体"/>
          <w:sz w:val="24"/>
        </w:rPr>
        <w:t>《价格清单》</w:t>
      </w:r>
    </w:p>
    <w:p>
      <w:pPr>
        <w:pStyle w:val="null3"/>
        <w:ind w:firstLine="480"/>
        <w:jc w:val="both"/>
      </w:pPr>
      <w:r>
        <w:rPr>
          <w:rFonts w:ascii="宋体" w:hAnsi="宋体" w:cs="宋体" w:eastAsia="宋体"/>
          <w:sz w:val="24"/>
        </w:rPr>
        <w:t>附件</w:t>
      </w:r>
      <w:r>
        <w:rPr>
          <w:rFonts w:ascii="&quot;times new roman&quot;, serif" w:hAnsi="&quot;times new roman&quot;, serif" w:cs="&quot;times new roman&quot;, serif" w:eastAsia="&quot;times new roman&quot;, serif"/>
          <w:sz w:val="24"/>
        </w:rPr>
        <w:t>2</w:t>
      </w:r>
      <w:r>
        <w:rPr>
          <w:rFonts w:ascii="宋体" w:hAnsi="宋体" w:cs="宋体" w:eastAsia="宋体"/>
          <w:sz w:val="24"/>
        </w:rPr>
        <w:t>《甲方采购需求书》</w:t>
      </w:r>
    </w:p>
    <w:p>
      <w:pPr>
        <w:pStyle w:val="null3"/>
        <w:ind w:firstLine="480"/>
        <w:jc w:val="both"/>
      </w:pPr>
      <w:r>
        <w:rPr>
          <w:rFonts w:ascii="宋体" w:hAnsi="宋体" w:cs="宋体" w:eastAsia="宋体"/>
          <w:sz w:val="24"/>
        </w:rPr>
        <w:t>附件</w:t>
      </w:r>
      <w:r>
        <w:rPr>
          <w:rFonts w:ascii="calibri, sans-serif" w:hAnsi="calibri, sans-serif" w:cs="calibri, sans-serif" w:eastAsia="calibri, sans-serif"/>
          <w:sz w:val="24"/>
        </w:rPr>
        <w:t>3</w:t>
      </w:r>
      <w:r>
        <w:rPr>
          <w:rFonts w:ascii="宋体" w:hAnsi="宋体" w:cs="宋体" w:eastAsia="宋体"/>
          <w:sz w:val="24"/>
        </w:rPr>
        <w:t>《</w:t>
      </w:r>
      <w:r>
        <w:rPr>
          <w:rFonts w:ascii="宋体" w:hAnsi="宋体" w:cs="宋体" w:eastAsia="宋体"/>
          <w:sz w:val="24"/>
        </w:rPr>
        <w:t>乙方服务承诺</w:t>
      </w:r>
      <w:r>
        <w:rPr>
          <w:rFonts w:ascii="宋体" w:hAnsi="宋体" w:cs="宋体" w:eastAsia="宋体"/>
          <w:sz w:val="24"/>
        </w:rPr>
        <w:t>》</w:t>
      </w:r>
    </w:p>
    <w:p>
      <w:pPr>
        <w:pStyle w:val="null3"/>
        <w:ind w:firstLine="480"/>
        <w:jc w:val="both"/>
      </w:pPr>
      <w:r>
        <w:rPr>
          <w:rFonts w:ascii="宋体" w:hAnsi="宋体" w:cs="宋体" w:eastAsia="宋体"/>
          <w:sz w:val="24"/>
        </w:rPr>
        <w:t>附件</w:t>
      </w:r>
      <w:r>
        <w:rPr>
          <w:rFonts w:ascii="calibri, sans-serif" w:hAnsi="calibri, sans-serif" w:cs="calibri, sans-serif" w:eastAsia="calibri, sans-serif"/>
          <w:sz w:val="24"/>
        </w:rPr>
        <w:t>4</w:t>
      </w:r>
      <w:r>
        <w:rPr>
          <w:rFonts w:ascii="宋体" w:hAnsi="宋体" w:cs="宋体" w:eastAsia="宋体"/>
          <w:sz w:val="24"/>
        </w:rPr>
        <w:t>《验收相关单据》</w:t>
      </w:r>
    </w:p>
    <w:p>
      <w:pPr>
        <w:pStyle w:val="null3"/>
        <w:ind w:firstLine="480"/>
        <w:jc w:val="both"/>
      </w:pPr>
      <w:r>
        <w:rPr>
          <w:rFonts w:ascii="宋体" w:hAnsi="宋体" w:cs="宋体" w:eastAsia="宋体"/>
          <w:sz w:val="24"/>
        </w:rPr>
        <w:t>附件</w:t>
      </w:r>
      <w:r>
        <w:rPr>
          <w:rFonts w:ascii="宋体" w:hAnsi="宋体" w:cs="宋体" w:eastAsia="宋体"/>
          <w:sz w:val="24"/>
        </w:rPr>
        <w:t>5</w:t>
      </w:r>
      <w:r>
        <w:rPr>
          <w:rFonts w:ascii="宋体" w:hAnsi="宋体" w:cs="宋体" w:eastAsia="宋体"/>
          <w:sz w:val="24"/>
        </w:rPr>
        <w:t>《其他补充条款》</w:t>
      </w:r>
    </w:p>
    <w:p>
      <w:pPr>
        <w:pStyle w:val="null3"/>
        <w:ind w:firstLine="480"/>
        <w:jc w:val="both"/>
      </w:pPr>
      <w:r>
        <w:rPr>
          <w:rFonts w:ascii="宋体" w:hAnsi="宋体" w:cs="宋体" w:eastAsia="宋体"/>
          <w:sz w:val="24"/>
        </w:rPr>
        <w:t>附件</w:t>
      </w:r>
      <w:r>
        <w:rPr>
          <w:rFonts w:ascii="宋体" w:hAnsi="宋体" w:cs="宋体" w:eastAsia="宋体"/>
          <w:sz w:val="24"/>
        </w:rPr>
        <w:t>6</w:t>
      </w:r>
      <w:r>
        <w:rPr>
          <w:rFonts w:ascii="宋体" w:hAnsi="宋体" w:cs="宋体" w:eastAsia="宋体"/>
          <w:sz w:val="24"/>
        </w:rPr>
        <w:t>《安全保密协议》</w:t>
      </w:r>
    </w:p>
    <w:p>
      <w:pPr>
        <w:pStyle w:val="null3"/>
        <w:jc w:val="both"/>
      </w:pPr>
      <w:r>
        <w:rPr>
          <w:rFonts w:ascii="宋体" w:hAnsi="宋体" w:cs="宋体" w:eastAsia="宋体"/>
          <w:sz w:val="24"/>
        </w:rPr>
        <w:t>（以下无正文）</w:t>
      </w:r>
    </w:p>
    <w:p>
      <w:pPr>
        <w:pStyle w:val="null3"/>
      </w:pPr>
      <w:r>
        <w:rPr>
          <w:rFonts w:ascii="宋体" w:hAnsi="宋体" w:cs="宋体" w:eastAsia="宋体"/>
          <w:sz w:val="24"/>
          <w:b/>
          <w:i/>
        </w:rPr>
        <w:t>双方盖章：</w:t>
      </w:r>
    </w:p>
    <w:tbl>
      <w:tblPr>
        <w:tblW w:w="0" w:type="auto"/>
        <w:tblBorders>
          <w:top w:val="single"/>
          <w:left w:val="single"/>
          <w:bottom w:val="single"/>
          <w:right w:val="single"/>
          <w:insideH w:val="single"/>
          <w:insideV w:val="single"/>
        </w:tblBorders>
      </w:tblPr>
      <w:tblGrid>
        <w:gridCol w:w="4153"/>
        <w:gridCol w:w="4153"/>
      </w:tblGrid>
      <w:tr>
        <w:tc>
          <w:tcPr>
            <w:tcW w:type="dxa" w:w="4153"/>
            <w:tcMar>
              <w:top w:type="dxa" w:w="0"/>
              <w:left w:type="dxa" w:w="105"/>
              <w:bottom w:type="dxa" w:w="0"/>
              <w:right w:type="dxa" w:w="105"/>
            </w:tcMar>
            <w:vAlign w:val="top"/>
          </w:tcPr>
          <w:p>
            <w:pPr>
              <w:pStyle w:val="null3"/>
              <w:ind w:right="-15"/>
              <w:jc w:val="both"/>
            </w:pPr>
            <w:r>
              <w:rPr>
                <w:rFonts w:ascii="宋体" w:hAnsi="宋体" w:cs="宋体" w:eastAsia="宋体"/>
                <w:sz w:val="24"/>
                <w:b/>
              </w:rPr>
              <w:t>甲方</w:t>
            </w:r>
            <w:r>
              <w:rPr>
                <w:rFonts w:ascii="宋体" w:hAnsi="宋体" w:cs="宋体" w:eastAsia="宋体"/>
                <w:sz w:val="24"/>
                <w:b/>
              </w:rPr>
              <w:t>：</w:t>
            </w:r>
            <w:r>
              <w:rPr>
                <w:rFonts w:ascii="宋体" w:hAnsi="宋体" w:cs="宋体" w:eastAsia="宋体"/>
                <w:sz w:val="24"/>
                <w:b/>
              </w:rPr>
              <w:t>网联清算有限公司</w:t>
            </w:r>
            <w:r>
              <w:rPr>
                <w:rFonts w:ascii="宋体" w:hAnsi="宋体" w:cs="宋体" w:eastAsia="宋体"/>
                <w:sz w:val="24"/>
              </w:rPr>
              <w:t>（盖</w:t>
            </w:r>
            <w:r>
              <w:rPr>
                <w:rFonts w:ascii="宋体" w:hAnsi="宋体" w:cs="宋体" w:eastAsia="宋体"/>
                <w:sz w:val="24"/>
              </w:rPr>
              <w:t>章</w:t>
            </w:r>
            <w:r>
              <w:rPr>
                <w:rFonts w:ascii="宋体" w:hAnsi="宋体" w:cs="宋体" w:eastAsia="宋体"/>
                <w:sz w:val="24"/>
              </w:rPr>
              <w:t>）</w:t>
            </w:r>
          </w:p>
          <w:p>
            <w:pPr>
              <w:pStyle w:val="null3"/>
              <w:ind w:right="-15"/>
              <w:jc w:val="both"/>
            </w:pPr>
            <w:r>
              <w:rPr>
                <w:rFonts w:ascii="宋体" w:hAnsi="宋体" w:cs="宋体" w:eastAsia="宋体"/>
                <w:sz w:val="24"/>
              </w:rPr>
              <w:t>签署日</w:t>
            </w:r>
            <w:r>
              <w:rPr>
                <w:rFonts w:ascii="宋体" w:hAnsi="宋体" w:cs="宋体" w:eastAsia="宋体"/>
                <w:sz w:val="24"/>
              </w:rPr>
              <w:t>期</w:t>
            </w:r>
            <w:r>
              <w:rPr>
                <w:rFonts w:ascii="宋体" w:hAnsi="宋体" w:cs="宋体" w:eastAsia="宋体"/>
                <w:sz w:val="24"/>
              </w:rPr>
              <w:t>：</w:t>
            </w:r>
          </w:p>
        </w:tc>
        <w:tc>
          <w:tcPr>
            <w:tcW w:type="dxa" w:w="4153"/>
            <w:tcMar>
              <w:top w:type="dxa" w:w="0"/>
              <w:left w:type="dxa" w:w="105"/>
              <w:bottom w:type="dxa" w:w="0"/>
              <w:right w:type="dxa" w:w="105"/>
            </w:tcMar>
            <w:vAlign w:val="top"/>
          </w:tcPr>
          <w:p>
            <w:pPr>
              <w:pStyle w:val="null3"/>
              <w:ind w:right="-15"/>
              <w:jc w:val="both"/>
            </w:pPr>
            <w:r>
              <w:rPr>
                <w:rFonts w:ascii="宋体" w:hAnsi="宋体" w:cs="宋体" w:eastAsia="宋体"/>
                <w:sz w:val="24"/>
                <w:b/>
              </w:rPr>
              <w:t>乙方</w:t>
            </w:r>
            <w:r>
              <w:rPr>
                <w:rFonts w:ascii="宋体" w:hAnsi="宋体" w:cs="宋体" w:eastAsia="宋体"/>
                <w:sz w:val="24"/>
                <w:b/>
              </w:rPr>
              <w:t>：【</w:t>
            </w:r>
            <w:r>
              <w:rPr>
                <w:rFonts w:ascii="宋体" w:hAnsi="宋体" w:cs="宋体" w:eastAsia="宋体"/>
                <w:sz w:val="24"/>
                <w:b/>
              </w:rPr>
              <w:t>】</w:t>
            </w:r>
            <w:r>
              <w:rPr>
                <w:rFonts w:ascii="宋体" w:hAnsi="宋体" w:cs="宋体" w:eastAsia="宋体"/>
                <w:sz w:val="24"/>
              </w:rPr>
              <w:t>（盖</w:t>
            </w:r>
            <w:r>
              <w:rPr>
                <w:rFonts w:ascii="宋体" w:hAnsi="宋体" w:cs="宋体" w:eastAsia="宋体"/>
                <w:sz w:val="24"/>
              </w:rPr>
              <w:t>章</w:t>
            </w:r>
            <w:r>
              <w:rPr>
                <w:rFonts w:ascii="宋体" w:hAnsi="宋体" w:cs="宋体" w:eastAsia="宋体"/>
                <w:sz w:val="24"/>
              </w:rPr>
              <w:t>）</w:t>
            </w:r>
          </w:p>
          <w:p>
            <w:pPr>
              <w:pStyle w:val="null3"/>
              <w:ind w:right="-15"/>
              <w:jc w:val="both"/>
            </w:pPr>
            <w:r>
              <w:rPr>
                <w:rFonts w:ascii="宋体" w:hAnsi="宋体" w:cs="宋体" w:eastAsia="宋体"/>
                <w:sz w:val="24"/>
              </w:rPr>
              <w:t>签署日</w:t>
            </w:r>
            <w:r>
              <w:rPr>
                <w:rFonts w:ascii="宋体" w:hAnsi="宋体" w:cs="宋体" w:eastAsia="宋体"/>
                <w:sz w:val="24"/>
              </w:rPr>
              <w:t>期</w:t>
            </w:r>
            <w:r>
              <w:rPr>
                <w:rFonts w:ascii="宋体" w:hAnsi="宋体" w:cs="宋体" w:eastAsia="宋体"/>
                <w:sz w:val="24"/>
              </w:rPr>
              <w:t>：</w:t>
            </w:r>
          </w:p>
        </w:tc>
      </w:tr>
    </w:tbl>
    <w:p>
      <w:pPr>
        <w:pStyle w:val="null3"/>
      </w:pPr>
      <w:r>
        <w:rPr>
          <w:rFonts w:ascii="宋体" w:hAnsi="宋体" w:cs="宋体" w:eastAsia="宋体"/>
          <w:sz w:val="24"/>
          <w:b/>
        </w:rPr>
        <w:t>附件【 】：其他补充条款</w:t>
      </w:r>
    </w:p>
    <w:p>
      <w:pPr>
        <w:pStyle w:val="null3"/>
        <w:ind w:firstLine="480"/>
        <w:jc w:val="both"/>
      </w:pPr>
      <w:r>
        <w:rPr>
          <w:rFonts w:ascii="宋体" w:hAnsi="宋体" w:cs="宋体" w:eastAsia="宋体"/>
          <w:sz w:val="24"/>
        </w:rPr>
        <w:t>双方一致同意，乙方还应根据项目实际情况履行如下义务：</w:t>
      </w:r>
    </w:p>
    <w:p>
      <w:pPr>
        <w:pStyle w:val="null3"/>
        <w:ind w:firstLine="480"/>
        <w:jc w:val="both"/>
      </w:pPr>
      <w:r>
        <w:rPr>
          <w:rFonts w:ascii="宋体" w:hAnsi="宋体" w:cs="宋体" w:eastAsia="宋体"/>
          <w:sz w:val="24"/>
        </w:rPr>
        <w:t>1</w:t>
      </w:r>
      <w:r>
        <w:rPr>
          <w:rFonts w:ascii="宋体" w:hAnsi="宋体" w:cs="宋体" w:eastAsia="宋体"/>
          <w:sz w:val="24"/>
        </w:rPr>
        <w:t>、 乙方必须自行完成本合同要求的项目工作，不得将项目相关工作转包或变相转包、分包给其他任何第三方进行。</w:t>
      </w:r>
    </w:p>
    <w:p>
      <w:pPr>
        <w:pStyle w:val="null3"/>
        <w:ind w:firstLine="480"/>
        <w:jc w:val="both"/>
      </w:pPr>
      <w:r>
        <w:rPr>
          <w:rFonts w:ascii="宋体" w:hAnsi="宋体" w:cs="宋体" w:eastAsia="宋体"/>
          <w:sz w:val="24"/>
        </w:rPr>
        <w:t>2</w:t>
      </w:r>
      <w:r>
        <w:rPr>
          <w:rFonts w:ascii="宋体" w:hAnsi="宋体" w:cs="宋体" w:eastAsia="宋体"/>
          <w:sz w:val="24"/>
        </w:rPr>
        <w:t>、甲方有权根据项目情况要求乙方向甲方提供项目进度报告，内容包括但不限于项目计划、实施进度、问题报告、人员变动，风险提示等。如乙方在本合同履行过程中遇到任何影响项目的突发事件（包括但不限于信息科技突发事件、可能引发信息科技风险的突发事件等），乙方应立即采取应急措施并书面通知甲方。</w:t>
      </w:r>
    </w:p>
    <w:p>
      <w:pPr>
        <w:pStyle w:val="null3"/>
        <w:ind w:firstLine="480"/>
        <w:jc w:val="both"/>
      </w:pPr>
      <w:r>
        <w:rPr>
          <w:rFonts w:ascii="宋体" w:hAnsi="宋体" w:cs="宋体" w:eastAsia="宋体"/>
          <w:sz w:val="24"/>
        </w:rPr>
        <w:t>3</w:t>
      </w:r>
      <w:r>
        <w:rPr>
          <w:rFonts w:ascii="宋体" w:hAnsi="宋体" w:cs="宋体" w:eastAsia="宋体"/>
          <w:sz w:val="24"/>
        </w:rPr>
        <w:t>、乙方应按照甲方风险评估要求，聘请或者委托独立第三方机构开展风险评估，如实披露相关信息，并为甲方的后续核实工作提供必要的协助。</w:t>
      </w:r>
    </w:p>
    <w:p>
      <w:pPr>
        <w:pStyle w:val="null3"/>
        <w:ind w:firstLine="480"/>
        <w:jc w:val="both"/>
      </w:pPr>
      <w:r>
        <w:rPr>
          <w:rFonts w:ascii="宋体" w:hAnsi="宋体" w:cs="宋体" w:eastAsia="宋体"/>
          <w:sz w:val="24"/>
        </w:rPr>
        <w:t>4</w:t>
      </w:r>
      <w:r>
        <w:rPr>
          <w:rFonts w:ascii="宋体" w:hAnsi="宋体" w:cs="宋体" w:eastAsia="宋体"/>
          <w:sz w:val="24"/>
        </w:rPr>
        <w:t>、甲方有权根据项目实际情况要求乙方提供相关的产品、服务或技术培训。</w:t>
      </w:r>
    </w:p>
    <w:p>
      <w:pPr>
        <w:pStyle w:val="null3"/>
        <w:ind w:firstLine="480"/>
        <w:jc w:val="both"/>
      </w:pPr>
      <w:r>
        <w:rPr>
          <w:rFonts w:ascii="宋体" w:hAnsi="宋体" w:cs="宋体" w:eastAsia="宋体"/>
          <w:sz w:val="24"/>
        </w:rPr>
        <w:t>5</w:t>
      </w:r>
      <w:r>
        <w:rPr>
          <w:rFonts w:ascii="宋体" w:hAnsi="宋体" w:cs="宋体" w:eastAsia="宋体"/>
          <w:sz w:val="24"/>
        </w:rPr>
        <w:t>、乙方应配合甲方接受甲方或金融业监督管理机构对项目的风险监测和检查，并接受甲方指定人员或机构对项目进行的审计。</w:t>
      </w:r>
    </w:p>
    <w:p>
      <w:pPr>
        <w:pStyle w:val="null3"/>
        <w:ind w:firstLine="480"/>
        <w:jc w:val="both"/>
      </w:pPr>
      <w:r>
        <w:rPr>
          <w:rFonts w:ascii="宋体" w:hAnsi="宋体" w:cs="宋体" w:eastAsia="宋体"/>
          <w:sz w:val="24"/>
        </w:rPr>
        <w:t>6</w:t>
      </w:r>
      <w:r>
        <w:rPr>
          <w:rFonts w:ascii="宋体" w:hAnsi="宋体" w:cs="宋体" w:eastAsia="宋体"/>
          <w:sz w:val="24"/>
        </w:rPr>
        <w:t>、乙方应当采取必要的内控及风险管理措施，使乙方履行本合同符合法律法规及甲方项目管理制度的要求。</w:t>
      </w:r>
    </w:p>
    <w:p>
      <w:pPr>
        <w:pStyle w:val="null3"/>
        <w:ind w:firstLine="480"/>
        <w:jc w:val="both"/>
      </w:pPr>
      <w:r>
        <w:rPr>
          <w:rFonts w:ascii="宋体" w:hAnsi="宋体" w:cs="宋体" w:eastAsia="宋体"/>
          <w:sz w:val="24"/>
        </w:rPr>
        <w:t>7</w:t>
      </w:r>
      <w:r>
        <w:rPr>
          <w:rFonts w:ascii="宋体" w:hAnsi="宋体" w:cs="宋体" w:eastAsia="宋体"/>
          <w:sz w:val="24"/>
        </w:rPr>
        <w:t>、在本合同的变更或终止的过程中，乙方应配合甲方做好过渡期间的相关服务，包括但不限于服务文档、服务信息、数据资料和设施的交接处置等。</w:t>
      </w:r>
    </w:p>
    <w:p>
      <w:pPr>
        <w:pStyle w:val="null3"/>
        <w:ind w:firstLine="480"/>
        <w:jc w:val="both"/>
      </w:pPr>
      <w:r>
        <w:rPr>
          <w:rFonts w:ascii="宋体" w:hAnsi="宋体" w:cs="宋体" w:eastAsia="宋体"/>
          <w:sz w:val="24"/>
        </w:rPr>
        <w:t>8</w:t>
      </w:r>
      <w:r>
        <w:rPr>
          <w:rFonts w:ascii="宋体" w:hAnsi="宋体" w:cs="宋体" w:eastAsia="宋体"/>
          <w:sz w:val="24"/>
        </w:rPr>
        <w:t>、乙方保证不以甲方的名义对外开展任何活动。</w:t>
      </w:r>
    </w:p>
    <w:p>
      <w:pPr>
        <w:pStyle w:val="null3"/>
        <w:ind w:firstLine="480"/>
        <w:jc w:val="both"/>
      </w:pPr>
      <w:r>
        <w:rPr>
          <w:rFonts w:ascii="宋体" w:hAnsi="宋体" w:cs="宋体" w:eastAsia="宋体"/>
          <w:sz w:val="24"/>
        </w:rPr>
        <w:t>9</w:t>
      </w:r>
      <w:r>
        <w:rPr>
          <w:rFonts w:ascii="宋体" w:hAnsi="宋体" w:cs="宋体" w:eastAsia="宋体"/>
          <w:sz w:val="24"/>
        </w:rPr>
        <w:t>、乙方保证为履行本合同设立服务连续性管理目标，保证提前准备并维护好实现该服务连续性目标所需的各种资源。乙方同意甲方对其服务连续性管理进行监控和评价。</w:t>
      </w:r>
    </w:p>
    <w:p>
      <w:pPr>
        <w:pStyle w:val="null3"/>
        <w:ind w:firstLine="480"/>
        <w:jc w:val="both"/>
      </w:pPr>
      <w:r>
        <w:rPr>
          <w:rFonts w:ascii="宋体" w:hAnsi="宋体" w:cs="宋体" w:eastAsia="宋体"/>
          <w:sz w:val="24"/>
        </w:rPr>
        <w:t>10</w:t>
      </w:r>
      <w:r>
        <w:rPr>
          <w:rFonts w:ascii="宋体" w:hAnsi="宋体" w:cs="宋体" w:eastAsia="宋体"/>
          <w:sz w:val="24"/>
        </w:rPr>
        <w:t>、甲方有权根据项目情况要求乙方为甲方配备适用于履行本合同的独立或专用的资源，包括但不限于服务团队、场地、系统、设备、设施等，并同意接受甲方对履行资源的检查。</w:t>
      </w:r>
    </w:p>
    <w:p>
      <w:pPr>
        <w:pStyle w:val="null3"/>
        <w:ind w:firstLine="480"/>
        <w:jc w:val="both"/>
      </w:pPr>
      <w:r>
        <w:rPr>
          <w:rFonts w:ascii="宋体" w:hAnsi="宋体" w:cs="宋体" w:eastAsia="宋体"/>
          <w:sz w:val="24"/>
        </w:rPr>
        <w:t>11</w:t>
      </w:r>
      <w:r>
        <w:rPr>
          <w:rFonts w:ascii="宋体" w:hAnsi="宋体" w:cs="宋体" w:eastAsia="宋体"/>
          <w:sz w:val="24"/>
        </w:rPr>
        <w:t>、乙方保证在其服务质量不能满足本合同要求的情况下、外包服务中断的情况下或因乙方经营问题导致无法提供相应外包服务情况下，甲方有权优先获取乙方届时拥有的服务资源，包括但不限于乙方履行本合同义务中使用工具的原厂商服务资源等，由此产生的费用全部由乙方承担。</w:t>
      </w:r>
    </w:p>
    <w:p>
      <w:pPr>
        <w:pStyle w:val="null3"/>
        <w:ind w:firstLine="480"/>
        <w:jc w:val="both"/>
      </w:pPr>
      <w:r>
        <w:rPr>
          <w:rFonts w:ascii="宋体" w:hAnsi="宋体" w:cs="宋体" w:eastAsia="宋体"/>
          <w:sz w:val="24"/>
        </w:rPr>
        <w:t>12</w:t>
      </w:r>
      <w:r>
        <w:rPr>
          <w:rFonts w:ascii="宋体" w:hAnsi="宋体" w:cs="宋体" w:eastAsia="宋体"/>
          <w:sz w:val="24"/>
        </w:rPr>
        <w:t>、乙方同意甲方对其内部控制、质量管理、信息安全的有效性进行评估，对于评估结果为高风险的，应按照甲方的要求进行限期整改，对于逾期未整改的，甲方有权中止或终止合同。</w:t>
      </w:r>
    </w:p>
    <w:p>
      <w:pPr>
        <w:pStyle w:val="null3"/>
        <w:ind w:firstLine="480"/>
        <w:jc w:val="both"/>
      </w:pPr>
      <w:r>
        <w:rPr>
          <w:rFonts w:ascii="宋体" w:hAnsi="宋体" w:cs="宋体" w:eastAsia="宋体"/>
          <w:sz w:val="24"/>
        </w:rPr>
        <w:t>13</w:t>
      </w:r>
      <w:r>
        <w:rPr>
          <w:rFonts w:ascii="宋体" w:hAnsi="宋体" w:cs="宋体" w:eastAsia="宋体"/>
          <w:sz w:val="24"/>
        </w:rPr>
        <w:t>、乙方保证自身及工作人员具有履行本合同所需的法定资质，包括但不限于各类现行适用的许可或审批。乙方需保证其工作人员遵守法律法规、无犯罪记录，与乙方具备合法有效的劳动关系并已按受安全保密培训；乙方工作人员需符合甲方项目的要求。</w:t>
      </w:r>
    </w:p>
    <w:p>
      <w:pPr>
        <w:pStyle w:val="null3"/>
        <w:ind w:firstLine="480"/>
        <w:jc w:val="both"/>
      </w:pPr>
      <w:r>
        <w:rPr>
          <w:rFonts w:ascii="宋体" w:hAnsi="宋体" w:cs="宋体" w:eastAsia="宋体"/>
          <w:sz w:val="24"/>
        </w:rPr>
        <w:t>14</w:t>
      </w:r>
      <w:r>
        <w:rPr>
          <w:rFonts w:ascii="宋体" w:hAnsi="宋体" w:cs="宋体" w:eastAsia="宋体"/>
          <w:sz w:val="24"/>
        </w:rPr>
        <w:t>、乙方应配合开展风险评估、配合提供工商信息变更、企业股权变动、管理人员变动、财务经营、涉诉纠纷等经营监测信息要求。乙方根据甲方要求配合接受服务质量评价、合同履行情况现场评估等。</w:t>
      </w:r>
    </w:p>
    <w:p>
      <w:pPr>
        <w:pStyle w:val="null3"/>
        <w:ind w:firstLine="480"/>
        <w:jc w:val="both"/>
      </w:pPr>
      <w:r>
        <w:rPr>
          <w:rFonts w:ascii="宋体" w:hAnsi="宋体" w:cs="宋体" w:eastAsia="宋体"/>
          <w:sz w:val="24"/>
        </w:rPr>
        <w:t>15</w:t>
      </w:r>
      <w:r>
        <w:rPr>
          <w:rFonts w:ascii="宋体" w:hAnsi="宋体" w:cs="宋体" w:eastAsia="宋体"/>
          <w:sz w:val="24"/>
        </w:rPr>
        <w:t>、在发生可能引发系统性、区域性甲方平台信息科技风险类突发事件时，乙方应及时向甲方报告，包括但不限于事件的影响以及处置和纠正措施。</w:t>
      </w:r>
    </w:p>
    <w:p>
      <w:pPr>
        <w:pStyle w:val="null3"/>
        <w:ind w:firstLine="480"/>
        <w:jc w:val="both"/>
      </w:pPr>
      <w:r>
        <w:rPr>
          <w:rFonts w:ascii="宋体" w:hAnsi="宋体" w:cs="宋体" w:eastAsia="宋体"/>
          <w:sz w:val="24"/>
        </w:rPr>
        <w:t>16</w:t>
      </w:r>
      <w:r>
        <w:rPr>
          <w:rFonts w:ascii="宋体" w:hAnsi="宋体" w:cs="宋体" w:eastAsia="宋体"/>
          <w:sz w:val="24"/>
        </w:rPr>
        <w:t>、商业廉洁。甲乙双方都清楚并愿意严格遵守中华人民共和国反商业贿赂的法律规定，双方都清楚任何形式的贿赂和贪渎行为都将触犯法律，并将受到法律的严惩。甲方或乙方均不得向对方或对方经办人或其他相关人员索要、收受、提供、给予合同约定外的任何利益，包括但不限于明扣、暗扣、现金、购物卡、实物、有价证券、旅游或其他非物质性利益等，但如该等利益属于行业惯例或通常做法，则须在合同中明示。</w:t>
      </w:r>
    </w:p>
    <w:p>
      <w:pPr>
        <w:pStyle w:val="null3"/>
      </w:pPr>
      <w:r>
        <w:rPr>
          <w:rFonts w:ascii="宋体" w:hAnsi="宋体" w:cs="宋体" w:eastAsia="宋体"/>
          <w:sz w:val="24"/>
          <w:b/>
        </w:rPr>
        <w:t>附件【 】：安全保密协议</w:t>
      </w:r>
    </w:p>
    <w:p>
      <w:pPr>
        <w:pStyle w:val="null3"/>
        <w:jc w:val="left"/>
      </w:pPr>
      <w:r>
        <w:rPr>
          <w:rFonts w:ascii="宋体" w:hAnsi="宋体" w:cs="宋体" w:eastAsia="宋体"/>
          <w:sz w:val="24"/>
        </w:rPr>
        <w:t>安全保密协议</w:t>
      </w:r>
    </w:p>
    <w:p>
      <w:pPr>
        <w:pStyle w:val="null3"/>
        <w:ind w:left="480"/>
        <w:jc w:val="center"/>
      </w:pPr>
      <w:r>
        <w:rPr>
          <w:rFonts w:ascii="宋体" w:hAnsi="宋体" w:cs="宋体" w:eastAsia="宋体"/>
          <w:sz w:val="24"/>
        </w:rPr>
        <w:t>甲方：网联清算有限公司</w:t>
      </w:r>
    </w:p>
    <w:p>
      <w:pPr>
        <w:pStyle w:val="null3"/>
        <w:jc w:val="both"/>
      </w:pPr>
      <w:r>
        <w:rPr>
          <w:rFonts w:ascii="宋体" w:hAnsi="宋体" w:cs="宋体" w:eastAsia="宋体"/>
          <w:sz w:val="24"/>
        </w:rPr>
        <w:t>乙方：【 】</w:t>
      </w:r>
    </w:p>
    <w:p>
      <w:pPr>
        <w:pStyle w:val="null3"/>
        <w:ind w:left="840"/>
        <w:jc w:val="center"/>
      </w:pPr>
      <w:r>
        <w:rPr>
          <w:rFonts w:ascii="宋体" w:hAnsi="宋体" w:cs="宋体" w:eastAsia="宋体"/>
          <w:sz w:val="24"/>
        </w:rPr>
        <w:t>乙方为甲方提供产品及服务。为进一步明确保密和网络安全保护责任，确保合作期间甲方网络与信息系统安全、稳定运行，根据有关法律法规、制度规定，经双方友好协商，乙方就有关保密和网络安全保护义务做出如下承诺：</w:t>
      </w:r>
    </w:p>
    <w:p>
      <w:pPr>
        <w:pStyle w:val="null3"/>
        <w:ind w:firstLine="480"/>
        <w:jc w:val="both"/>
      </w:pPr>
      <w:r>
        <w:rPr>
          <w:rFonts w:ascii="宋体" w:hAnsi="宋体" w:cs="宋体" w:eastAsia="宋体"/>
          <w:sz w:val="24"/>
        </w:rPr>
        <w:t>一、保密责任与义务</w:t>
      </w:r>
    </w:p>
    <w:p>
      <w:pPr>
        <w:pStyle w:val="null3"/>
        <w:ind w:firstLine="480"/>
        <w:jc w:val="both"/>
      </w:pPr>
      <w:r>
        <w:rPr>
          <w:rFonts w:ascii="宋体" w:hAnsi="宋体" w:cs="宋体" w:eastAsia="宋体"/>
          <w:sz w:val="24"/>
        </w:rPr>
        <w:t>1</w:t>
      </w:r>
      <w:r>
        <w:rPr>
          <w:rFonts w:ascii="宋体" w:hAnsi="宋体" w:cs="宋体" w:eastAsia="宋体"/>
          <w:sz w:val="24"/>
        </w:rPr>
        <w:t>、乙方同意：凡甲方提供给乙方的任何书面或口头的商业、客户、技术、业务、财务、法律、人事和其他方面的资料、数据、信息，以及本合同履行过程中形成的所有资料、信息，除非甲方书面明确说明为公共知晓的信息外，均构成甲方的保密信息。</w:t>
      </w:r>
    </w:p>
    <w:p>
      <w:pPr>
        <w:pStyle w:val="null3"/>
        <w:ind w:firstLine="480"/>
        <w:jc w:val="both"/>
      </w:pPr>
      <w:r>
        <w:rPr>
          <w:rFonts w:ascii="宋体" w:hAnsi="宋体" w:cs="宋体" w:eastAsia="宋体"/>
          <w:sz w:val="24"/>
        </w:rPr>
        <w:t>2</w:t>
      </w:r>
      <w:r>
        <w:rPr>
          <w:rFonts w:ascii="宋体" w:hAnsi="宋体" w:cs="宋体" w:eastAsia="宋体"/>
          <w:sz w:val="24"/>
        </w:rPr>
        <w:t>、乙方同意：乙方对所有甲方保密信息均应承担保密义务，相关保密信息仅用于本合同项下的工作。除进行本合同项下相关工作的甲方及乙方人员之外，乙方不向任何第三方（包括但不限于乙方雇员、代理人、关联公司、其他单位或个人）披露甲方的保密信息。未经甲方事先书面同意，乙方不得将本合同及与甲方洽谈合作中的任何内容向第三方披露。乙方同意为其相关人员的行为承担全部责任。</w:t>
      </w:r>
    </w:p>
    <w:p>
      <w:pPr>
        <w:pStyle w:val="null3"/>
        <w:ind w:firstLine="480"/>
        <w:jc w:val="both"/>
      </w:pPr>
      <w:r>
        <w:rPr>
          <w:rFonts w:ascii="宋体" w:hAnsi="宋体" w:cs="宋体" w:eastAsia="宋体"/>
          <w:sz w:val="24"/>
        </w:rPr>
        <w:t>3</w:t>
      </w:r>
      <w:r>
        <w:rPr>
          <w:rFonts w:ascii="宋体" w:hAnsi="宋体" w:cs="宋体" w:eastAsia="宋体"/>
          <w:sz w:val="24"/>
        </w:rPr>
        <w:t>、乙方保证：如为本合同目的确实需要向第三方披露甲方的保密信息，需事先得到甲方的书面许可，并与该第三方签订保密合同。</w:t>
      </w:r>
    </w:p>
    <w:p>
      <w:pPr>
        <w:pStyle w:val="null3"/>
        <w:ind w:firstLine="480"/>
        <w:jc w:val="both"/>
      </w:pPr>
      <w:r>
        <w:rPr>
          <w:rFonts w:ascii="宋体" w:hAnsi="宋体" w:cs="宋体" w:eastAsia="宋体"/>
          <w:sz w:val="24"/>
        </w:rPr>
        <w:t>4</w:t>
      </w:r>
      <w:r>
        <w:rPr>
          <w:rFonts w:ascii="宋体" w:hAnsi="宋体" w:cs="宋体" w:eastAsia="宋体"/>
          <w:sz w:val="24"/>
        </w:rPr>
        <w:t>、乙方保证：为防止甲方的保密信息进入公共领域或被未经甲方允许的人员或单位掌握，乙方将采取一切措施以保护甲方信息的机密性（包括与乙方相关人员签订保密合同），防止甲方保密信息被披露或使用。乙方同意，一旦发现任何对甲方保密信息的滥用或窃用情况，均以书面形式立即通知甲方。</w:t>
      </w:r>
    </w:p>
    <w:p>
      <w:pPr>
        <w:pStyle w:val="null3"/>
        <w:ind w:firstLine="480"/>
        <w:jc w:val="both"/>
      </w:pPr>
      <w:r>
        <w:rPr>
          <w:rFonts w:ascii="宋体" w:hAnsi="宋体" w:cs="宋体" w:eastAsia="宋体"/>
          <w:sz w:val="24"/>
        </w:rPr>
        <w:t>5</w:t>
      </w:r>
      <w:r>
        <w:rPr>
          <w:rFonts w:ascii="宋体" w:hAnsi="宋体" w:cs="宋体" w:eastAsia="宋体"/>
          <w:sz w:val="24"/>
        </w:rPr>
        <w:t>、乙方保证：在双方合作关系结束后，乙方有义务按照甲方的要求将保密信息及其载体返还给甲方或者按照甲方的要求予以销毁并出具加盖乙方公章的已销毁甲方保密信息的书面声明，不得再以任何形式使用甲方保密信息，并对此负有长期（终身）保密义务。</w:t>
      </w:r>
    </w:p>
    <w:p>
      <w:pPr>
        <w:pStyle w:val="null3"/>
        <w:ind w:firstLine="480"/>
        <w:jc w:val="both"/>
      </w:pPr>
      <w:r>
        <w:rPr>
          <w:rFonts w:ascii="宋体" w:hAnsi="宋体" w:cs="宋体" w:eastAsia="宋体"/>
          <w:sz w:val="24"/>
        </w:rPr>
        <w:t>6</w:t>
      </w:r>
      <w:r>
        <w:rPr>
          <w:rFonts w:ascii="宋体" w:hAnsi="宋体" w:cs="宋体" w:eastAsia="宋体"/>
          <w:sz w:val="24"/>
        </w:rPr>
        <w:t>、乙方同意：除非甲方特别声明，乙方的保密义务为无限期保密，直至甲方宣布解密或者甲方保密信息实际上已经完全公开为止。</w:t>
      </w:r>
    </w:p>
    <w:p>
      <w:pPr>
        <w:pStyle w:val="null3"/>
        <w:ind w:firstLine="480"/>
        <w:jc w:val="both"/>
      </w:pPr>
      <w:r>
        <w:rPr>
          <w:rFonts w:ascii="宋体" w:hAnsi="宋体" w:cs="宋体" w:eastAsia="宋体"/>
          <w:sz w:val="24"/>
        </w:rPr>
        <w:t>7</w:t>
      </w:r>
      <w:r>
        <w:rPr>
          <w:rFonts w:ascii="宋体" w:hAnsi="宋体" w:cs="宋体" w:eastAsia="宋体"/>
          <w:sz w:val="24"/>
        </w:rPr>
        <w:t>、乙方同意：如发生任何保密信息、敏感信息泄露事件，包括但不限于因乙方原因导致的泄露事件或者因第三方非法获取和使用而造成的泄露事件，乙方均应立即通知甲方，并采取有效措施防止泄密进一步扩大。</w:t>
      </w:r>
    </w:p>
    <w:p>
      <w:pPr>
        <w:pStyle w:val="null3"/>
        <w:ind w:firstLine="480"/>
        <w:jc w:val="both"/>
      </w:pPr>
      <w:r>
        <w:rPr>
          <w:rFonts w:ascii="宋体" w:hAnsi="宋体" w:cs="宋体" w:eastAsia="宋体"/>
          <w:sz w:val="24"/>
        </w:rPr>
        <w:t>二、网络安全责任与义务</w:t>
      </w:r>
    </w:p>
    <w:p>
      <w:pPr>
        <w:pStyle w:val="null3"/>
        <w:ind w:firstLine="480"/>
        <w:jc w:val="both"/>
      </w:pPr>
      <w:r>
        <w:rPr>
          <w:rFonts w:ascii="宋体" w:hAnsi="宋体" w:cs="宋体" w:eastAsia="宋体"/>
          <w:sz w:val="24"/>
        </w:rPr>
        <w:t>1</w:t>
      </w:r>
      <w:r>
        <w:rPr>
          <w:rFonts w:ascii="宋体" w:hAnsi="宋体" w:cs="宋体" w:eastAsia="宋体"/>
          <w:sz w:val="24"/>
        </w:rPr>
        <w:t>、乙方保证：严格遵守甲方各项网络安全制度和管理要求，确保责任期内不发生网络安全事件。合作项目涉及分包时，乙方负责相应分包商的网络安全管理，承担外包服务过程中的总体网络安全责任。</w:t>
      </w:r>
    </w:p>
    <w:p>
      <w:pPr>
        <w:pStyle w:val="null3"/>
        <w:ind w:firstLine="480"/>
        <w:jc w:val="both"/>
      </w:pPr>
      <w:r>
        <w:rPr>
          <w:rFonts w:ascii="宋体" w:hAnsi="宋体" w:cs="宋体" w:eastAsia="宋体"/>
          <w:sz w:val="24"/>
        </w:rPr>
        <w:t>2</w:t>
      </w:r>
      <w:r>
        <w:rPr>
          <w:rFonts w:ascii="宋体" w:hAnsi="宋体" w:cs="宋体" w:eastAsia="宋体"/>
          <w:sz w:val="24"/>
        </w:rPr>
        <w:t>、乙方保证：加强派遣人员管理，负责对派遣到甲方的人员进行网络安全培训，明确其网络安全责任，按甲方需要签署保密合同。</w:t>
      </w:r>
    </w:p>
    <w:p>
      <w:pPr>
        <w:pStyle w:val="null3"/>
        <w:ind w:firstLine="480"/>
        <w:jc w:val="both"/>
      </w:pPr>
      <w:r>
        <w:rPr>
          <w:rFonts w:ascii="宋体" w:hAnsi="宋体" w:cs="宋体" w:eastAsia="宋体"/>
          <w:sz w:val="24"/>
        </w:rPr>
        <w:t>3</w:t>
      </w:r>
      <w:r>
        <w:rPr>
          <w:rFonts w:ascii="宋体" w:hAnsi="宋体" w:cs="宋体" w:eastAsia="宋体"/>
          <w:sz w:val="24"/>
        </w:rPr>
        <w:t>、乙方保证：加强网络安全管理，及时将甲方的各项网络安全管理要求落实到位；积极配合甲方开展的各项网络安全工作，如实汇报相关情况；在重大节日及敏感时期，根据甲方要求开展保障工作，随时应对各类突发事件。</w:t>
      </w:r>
    </w:p>
    <w:p>
      <w:pPr>
        <w:pStyle w:val="null3"/>
        <w:ind w:firstLine="480"/>
        <w:jc w:val="both"/>
      </w:pPr>
      <w:r>
        <w:rPr>
          <w:rFonts w:ascii="宋体" w:hAnsi="宋体" w:cs="宋体" w:eastAsia="宋体"/>
          <w:sz w:val="24"/>
        </w:rPr>
        <w:t>4</w:t>
      </w:r>
      <w:r>
        <w:rPr>
          <w:rFonts w:ascii="宋体" w:hAnsi="宋体" w:cs="宋体" w:eastAsia="宋体"/>
          <w:sz w:val="24"/>
        </w:rPr>
        <w:t>、乙方保证：发生或发现网络安全事件时，及时向甲方信息科技外包使用方和信息科技外包归口管理部门报告，做到不瞒报、不谎报、不拖延；根据甲方要求，积极参与网络安全事件处置、调查等工作；对相关责任人，按照甲方要求和乙方有关规定给予处理。</w:t>
      </w:r>
    </w:p>
    <w:p>
      <w:pPr>
        <w:pStyle w:val="null3"/>
        <w:ind w:firstLine="480"/>
        <w:jc w:val="both"/>
      </w:pPr>
      <w:r>
        <w:rPr>
          <w:rFonts w:ascii="宋体" w:hAnsi="宋体" w:cs="宋体" w:eastAsia="宋体"/>
          <w:sz w:val="24"/>
        </w:rPr>
        <w:t>5</w:t>
      </w:r>
      <w:r>
        <w:rPr>
          <w:rFonts w:ascii="宋体" w:hAnsi="宋体" w:cs="宋体" w:eastAsia="宋体"/>
          <w:sz w:val="24"/>
        </w:rPr>
        <w:t>、乙方保证：提供的产品和服务在面临非法控制、干扰或中断风险时，具备启动应急处置预案的能力。</w:t>
      </w:r>
    </w:p>
    <w:p>
      <w:pPr>
        <w:pStyle w:val="null3"/>
        <w:ind w:firstLine="480"/>
        <w:jc w:val="both"/>
      </w:pPr>
      <w:r>
        <w:rPr>
          <w:rFonts w:ascii="宋体" w:hAnsi="宋体" w:cs="宋体" w:eastAsia="宋体"/>
          <w:sz w:val="24"/>
        </w:rPr>
        <w:t>6</w:t>
      </w:r>
      <w:r>
        <w:rPr>
          <w:rFonts w:ascii="宋体" w:hAnsi="宋体" w:cs="宋体" w:eastAsia="宋体"/>
          <w:sz w:val="24"/>
        </w:rPr>
        <w:t xml:space="preserve">、乙方保证：根据项目实际情况仅在甲方书面授权许可范围内采集和处理为甲方提供服务所必需的数据，不超范围采集和处理数据。 </w:t>
      </w:r>
    </w:p>
    <w:p>
      <w:pPr>
        <w:pStyle w:val="null3"/>
        <w:ind w:firstLine="480"/>
        <w:jc w:val="both"/>
      </w:pPr>
      <w:r>
        <w:rPr>
          <w:rFonts w:ascii="宋体" w:hAnsi="宋体" w:cs="宋体" w:eastAsia="宋体"/>
          <w:sz w:val="24"/>
        </w:rPr>
        <w:t>7</w:t>
      </w:r>
      <w:r>
        <w:rPr>
          <w:rFonts w:ascii="宋体" w:hAnsi="宋体" w:cs="宋体" w:eastAsia="宋体"/>
          <w:sz w:val="24"/>
        </w:rPr>
        <w:t>、乙方承诺：保证配合进行产品和服务的网络安全审查；保证不利用提供产品和服务的便利条件非法获取用户数据、非法控制和操纵用户设备，无正当理由不中断产品供应或者必要的技术支持服务等；不得利用甲方对产品的依赖性谋取不正当利益或者迫使甲方更新换代。</w:t>
      </w:r>
    </w:p>
    <w:p>
      <w:pPr>
        <w:pStyle w:val="null3"/>
        <w:ind w:firstLine="480"/>
        <w:jc w:val="both"/>
      </w:pPr>
      <w:r>
        <w:rPr>
          <w:rFonts w:ascii="宋体" w:hAnsi="宋体" w:cs="宋体" w:eastAsia="宋体"/>
          <w:sz w:val="24"/>
        </w:rPr>
        <w:t>三、违约责任</w:t>
      </w:r>
    </w:p>
    <w:p>
      <w:pPr>
        <w:pStyle w:val="null3"/>
        <w:ind w:firstLine="480"/>
        <w:jc w:val="both"/>
      </w:pPr>
      <w:r>
        <w:rPr>
          <w:rFonts w:ascii="宋体" w:hAnsi="宋体" w:cs="宋体" w:eastAsia="宋体"/>
          <w:sz w:val="24"/>
        </w:rPr>
        <w:t>如乙方违反安全或保密承诺，按主合同（即合同正文，下同）违约责任条款执行。</w:t>
      </w:r>
    </w:p>
    <w:p>
      <w:pPr>
        <w:pStyle w:val="null3"/>
        <w:ind w:firstLine="480"/>
        <w:jc w:val="both"/>
      </w:pPr>
      <w:r>
        <w:rPr>
          <w:rFonts w:ascii="宋体" w:hAnsi="宋体" w:cs="宋体" w:eastAsia="宋体"/>
          <w:sz w:val="24"/>
        </w:rPr>
        <w:t>四、其他</w:t>
      </w:r>
    </w:p>
    <w:p>
      <w:pPr>
        <w:pStyle w:val="null3"/>
        <w:ind w:firstLine="540"/>
        <w:jc w:val="both"/>
      </w:pPr>
      <w:r>
        <w:rPr>
          <w:rFonts w:ascii="宋体" w:hAnsi="宋体" w:cs="宋体" w:eastAsia="宋体"/>
          <w:sz w:val="24"/>
        </w:rPr>
        <w:t>1</w:t>
      </w:r>
      <w:r>
        <w:rPr>
          <w:rFonts w:ascii="宋体" w:hAnsi="宋体" w:cs="宋体" w:eastAsia="宋体"/>
          <w:sz w:val="24"/>
        </w:rPr>
        <w:t>、本《安全保密协议》未尽事宜，按国家有关法律法规、主合同的约定执行。</w:t>
      </w:r>
    </w:p>
    <w:p>
      <w:pPr>
        <w:pStyle w:val="null3"/>
        <w:ind w:firstLine="540"/>
        <w:jc w:val="both"/>
      </w:pPr>
      <w:r>
        <w:rPr>
          <w:rFonts w:ascii="宋体" w:hAnsi="宋体" w:cs="宋体" w:eastAsia="宋体"/>
          <w:sz w:val="24"/>
        </w:rPr>
        <w:t>2</w:t>
      </w:r>
      <w:r>
        <w:rPr>
          <w:rFonts w:ascii="宋体" w:hAnsi="宋体" w:cs="宋体" w:eastAsia="宋体"/>
          <w:sz w:val="24"/>
        </w:rPr>
        <w:t>、本《安全保密协议》与主合同约定不一致的，以有利于甲方的约定为准。</w:t>
      </w:r>
    </w:p>
    <w:p>
      <w:pPr>
        <w:pStyle w:val="null3"/>
        <w:ind w:firstLine="540"/>
        <w:jc w:val="both"/>
      </w:pPr>
      <w:r>
        <w:rPr>
          <w:rFonts w:ascii="宋体" w:hAnsi="宋体" w:cs="宋体" w:eastAsia="宋体"/>
          <w:sz w:val="24"/>
        </w:rPr>
        <w:t>3</w:t>
      </w:r>
      <w:r>
        <w:rPr>
          <w:rFonts w:ascii="宋体" w:hAnsi="宋体" w:cs="宋体" w:eastAsia="宋体"/>
          <w:sz w:val="24"/>
        </w:rPr>
        <w:t>、本《安全保密协议》自双方盖章后生效。</w:t>
      </w:r>
    </w:p>
    <w:p>
      <w:pPr>
        <w:pStyle w:val="null3"/>
        <w:jc w:val="both"/>
      </w:pPr>
      <w:r>
        <w:rPr>
          <w:rFonts w:ascii="宋体" w:hAnsi="宋体" w:cs="宋体" w:eastAsia="宋体"/>
          <w:sz w:val="24"/>
        </w:rPr>
        <w:t>（以下无正文）</w:t>
      </w:r>
    </w:p>
    <w:p>
      <w:pPr>
        <w:pStyle w:val="null3"/>
        <w:ind w:left="840"/>
        <w:jc w:val="center"/>
      </w:pPr>
      <w:r>
        <w:rPr>
          <w:rFonts w:ascii="宋体" w:hAnsi="宋体" w:cs="宋体" w:eastAsia="宋体"/>
          <w:sz w:val="24"/>
          <w:b/>
        </w:rPr>
        <w:t>双方盖章：</w:t>
      </w:r>
    </w:p>
    <w:tbl>
      <w:tblPr>
        <w:tblW w:w="0" w:type="auto"/>
        <w:tblBorders>
          <w:top w:val="single"/>
          <w:left w:val="single"/>
          <w:bottom w:val="single"/>
          <w:right w:val="single"/>
          <w:insideH w:val="single"/>
          <w:insideV w:val="single"/>
        </w:tblBorders>
      </w:tblPr>
      <w:tblGrid>
        <w:gridCol w:w="4153"/>
        <w:gridCol w:w="4153"/>
      </w:tblGrid>
      <w:tr>
        <w:tc>
          <w:tcPr>
            <w:tcW w:type="dxa" w:w="4153"/>
            <w:tcMar>
              <w:top w:type="dxa" w:w="0"/>
              <w:left w:type="dxa" w:w="105"/>
              <w:bottom w:type="dxa" w:w="0"/>
              <w:right w:type="dxa" w:w="105"/>
            </w:tcMar>
            <w:vAlign w:val="top"/>
          </w:tcPr>
          <w:p>
            <w:pPr>
              <w:pStyle w:val="null3"/>
              <w:jc w:val="both"/>
            </w:pPr>
            <w:r>
              <w:rPr>
                <w:rFonts w:ascii="宋体" w:hAnsi="宋体" w:cs="宋体" w:eastAsia="宋体"/>
                <w:sz w:val="24"/>
              </w:rPr>
              <w:t>甲方：网联清算有限公司（盖章）</w:t>
            </w:r>
          </w:p>
        </w:tc>
        <w:tc>
          <w:tcPr>
            <w:tcW w:type="dxa" w:w="4153"/>
            <w:tcMar>
              <w:top w:type="dxa" w:w="0"/>
              <w:left w:type="dxa" w:w="105"/>
              <w:bottom w:type="dxa" w:w="0"/>
              <w:right w:type="dxa" w:w="105"/>
            </w:tcMar>
            <w:vAlign w:val="top"/>
          </w:tcPr>
          <w:p>
            <w:pPr>
              <w:pStyle w:val="null3"/>
              <w:jc w:val="both"/>
            </w:pPr>
            <w:r>
              <w:rPr>
                <w:rFonts w:ascii="宋体" w:hAnsi="宋体" w:cs="宋体" w:eastAsia="宋体"/>
                <w:sz w:val="24"/>
              </w:rPr>
              <w:t>乙方：【】（盖章）</w:t>
            </w:r>
          </w:p>
        </w:tc>
      </w:tr>
      <w:tr>
        <w:tc>
          <w:tcPr>
            <w:tcW w:type="dxa" w:w="4153"/>
            <w:tcMar>
              <w:top w:type="dxa" w:w="0"/>
              <w:left w:type="dxa" w:w="105"/>
              <w:bottom w:type="dxa" w:w="0"/>
              <w:right w:type="dxa" w:w="105"/>
            </w:tcMar>
            <w:vAlign w:val="top"/>
          </w:tcPr>
          <w:p>
            <w:pPr>
              <w:pStyle w:val="null3"/>
              <w:jc w:val="both"/>
            </w:pPr>
            <w:r>
              <w:rPr>
                <w:rFonts w:ascii="宋体" w:hAnsi="宋体" w:cs="宋体" w:eastAsia="宋体"/>
                <w:sz w:val="24"/>
                <w:b/>
              </w:rPr>
              <w:t>日期：</w:t>
            </w:r>
          </w:p>
        </w:tc>
        <w:tc>
          <w:tcPr>
            <w:tcW w:type="dxa" w:w="4153"/>
            <w:tcMar>
              <w:top w:type="dxa" w:w="0"/>
              <w:left w:type="dxa" w:w="105"/>
              <w:bottom w:type="dxa" w:w="0"/>
              <w:right w:type="dxa" w:w="105"/>
            </w:tcMar>
            <w:vAlign w:val="top"/>
          </w:tcPr>
          <w:p>
            <w:pPr>
              <w:pStyle w:val="null3"/>
              <w:jc w:val="both"/>
            </w:pPr>
            <w:r>
              <w:rPr>
                <w:rFonts w:ascii="宋体" w:hAnsi="宋体" w:cs="宋体" w:eastAsia="宋体"/>
                <w:sz w:val="24"/>
                <w:b/>
              </w:rPr>
              <w:t>日期：</w:t>
            </w:r>
          </w:p>
        </w:tc>
      </w:tr>
    </w:tbl>
    <w:p>
      <w:pPr>
        <w:pStyle w:val="null3"/>
        <w:jc w:val="both"/>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本招标文件未尽事宜参照《中华人民共和国政府采购法》及其它有关法律法规的规定执行。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