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2026年北京业务处理中心服务器、交换机、超融合软件采购项目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052GSH2026020</w:t>
      </w:r>
      <w:r>
        <w:br/>
      </w:r>
      <w:r>
        <w:br/>
      </w:r>
      <w:r>
        <w:br/>
      </w:r>
    </w:p>
    <w:p>
      <w:pPr>
        <w:pStyle w:val="null3"/>
        <w:jc w:val="center"/>
      </w:pPr>
      <w:r>
        <w:rPr/>
        <w:t>中国人民银行集中采购中心</w:t>
      </w:r>
    </w:p>
    <w:p>
      <w:pPr>
        <w:pStyle w:val="null3"/>
        <w:jc w:val="center"/>
      </w:pPr>
      <w:r>
        <w:rPr/>
        <w:t>2026年03月04日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2026年北京业务处理中心服务器、交换机、超融合软件采购项目</w:t>
      </w:r>
      <w:r>
        <w:rPr/>
        <w:t xml:space="preserve"> ”（项目编号： </w:t>
      </w:r>
      <w:r>
        <w:rPr/>
        <w:t>052GSH2026020</w:t>
      </w:r>
      <w:r>
        <w:rPr/>
        <w:t xml:space="preserve"> ）邀请合格投标人进行密封投标。本项目 </w:t>
      </w:r>
      <w:r>
        <w:rPr/>
        <w:t>为非政府采购项目，参照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2,465,000.00</w:t>
      </w:r>
    </w:p>
    <w:p>
      <w:pPr>
        <w:pStyle w:val="null3"/>
        <w:jc w:val="left"/>
      </w:pPr>
      <w:r>
        <w:rPr/>
        <w:t>采购包最高限价（元）: 2,465,000.00</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标的类别</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服务器</w:t>
            </w:r>
          </w:p>
        </w:tc>
        <w:tc>
          <w:tcPr>
            <w:tcW w:type="dxa" w:w="639"/>
          </w:tcPr>
          <w:p>
            <w:pPr>
              <w:pStyle w:val="null3"/>
              <w:jc w:val="left"/>
            </w:pPr>
            <w:r>
              <w:rPr/>
              <w:t>A02010104 服务器</w:t>
            </w:r>
          </w:p>
        </w:tc>
        <w:tc>
          <w:tcPr>
            <w:tcW w:type="dxa" w:w="639"/>
          </w:tcPr>
          <w:p>
            <w:pPr>
              <w:pStyle w:val="null3"/>
              <w:jc w:val="left"/>
            </w:pPr>
            <w:r>
              <w:rPr/>
              <w:t>A02010104</w:t>
            </w:r>
          </w:p>
        </w:tc>
        <w:tc>
          <w:tcPr>
            <w:tcW w:type="dxa" w:w="639"/>
          </w:tcPr>
          <w:p>
            <w:pPr>
              <w:pStyle w:val="null3"/>
              <w:jc w:val="left"/>
            </w:pPr>
            <w:r>
              <w:rPr/>
              <w:t>货物</w:t>
            </w:r>
          </w:p>
        </w:tc>
        <w:tc>
          <w:tcPr>
            <w:tcW w:type="dxa" w:w="639"/>
          </w:tcPr>
          <w:p>
            <w:pPr>
              <w:pStyle w:val="null3"/>
              <w:jc w:val="left"/>
            </w:pPr>
            <w:r>
              <w:rPr/>
              <w:t>台</w:t>
            </w:r>
          </w:p>
        </w:tc>
        <w:tc>
          <w:tcPr>
            <w:tcW w:type="dxa" w:w="639"/>
          </w:tcPr>
          <w:p>
            <w:pPr>
              <w:pStyle w:val="null3"/>
              <w:jc w:val="right"/>
            </w:pPr>
            <w:r>
              <w:rPr/>
              <w:t>5.00</w:t>
            </w:r>
          </w:p>
        </w:tc>
        <w:tc>
          <w:tcPr>
            <w:tcW w:type="dxa" w:w="639"/>
          </w:tcPr>
          <w:p>
            <w:pPr>
              <w:pStyle w:val="null3"/>
              <w:jc w:val="left"/>
            </w:pPr>
            <w:r>
              <w:rPr/>
              <w:t>工业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c>
          <w:tcPr>
            <w:tcW w:type="dxa" w:w="639"/>
          </w:tcPr>
          <w:p>
            <w:pPr>
              <w:pStyle w:val="null3"/>
              <w:jc w:val="left"/>
            </w:pPr>
            <w:r>
              <w:rPr/>
              <w:t xml:space="preserve"> </w:t>
            </w:r>
          </w:p>
        </w:tc>
      </w:tr>
      <w:tr>
        <w:tc>
          <w:tcPr>
            <w:tcW w:type="dxa" w:w="639"/>
          </w:tcPr>
          <w:p>
            <w:pPr>
              <w:pStyle w:val="null3"/>
              <w:jc w:val="left"/>
            </w:pPr>
            <w:r>
              <w:rPr/>
              <w:t>2</w:t>
            </w:r>
          </w:p>
        </w:tc>
        <w:tc>
          <w:tcPr>
            <w:tcW w:type="dxa" w:w="639"/>
          </w:tcPr>
          <w:p>
            <w:pPr>
              <w:pStyle w:val="null3"/>
              <w:jc w:val="left"/>
            </w:pPr>
            <w:r>
              <w:rPr/>
              <w:t>超融合软件</w:t>
            </w:r>
          </w:p>
        </w:tc>
        <w:tc>
          <w:tcPr>
            <w:tcW w:type="dxa" w:w="639"/>
          </w:tcPr>
          <w:p>
            <w:pPr>
              <w:pStyle w:val="null3"/>
              <w:jc w:val="left"/>
            </w:pPr>
            <w:r>
              <w:rPr/>
              <w:t>A08060301 基础软件</w:t>
            </w:r>
          </w:p>
        </w:tc>
        <w:tc>
          <w:tcPr>
            <w:tcW w:type="dxa" w:w="639"/>
          </w:tcPr>
          <w:p>
            <w:pPr>
              <w:pStyle w:val="null3"/>
              <w:jc w:val="left"/>
            </w:pPr>
            <w:r>
              <w:rPr/>
              <w:t>A08060301</w:t>
            </w:r>
          </w:p>
        </w:tc>
        <w:tc>
          <w:tcPr>
            <w:tcW w:type="dxa" w:w="639"/>
          </w:tcPr>
          <w:p>
            <w:pPr>
              <w:pStyle w:val="null3"/>
              <w:jc w:val="left"/>
            </w:pPr>
            <w:r>
              <w:rPr/>
              <w:t>货物</w:t>
            </w:r>
          </w:p>
        </w:tc>
        <w:tc>
          <w:tcPr>
            <w:tcW w:type="dxa" w:w="639"/>
          </w:tcPr>
          <w:p>
            <w:pPr>
              <w:pStyle w:val="null3"/>
              <w:jc w:val="left"/>
            </w:pPr>
            <w:r>
              <w:rPr/>
              <w:t>套</w:t>
            </w:r>
          </w:p>
        </w:tc>
        <w:tc>
          <w:tcPr>
            <w:tcW w:type="dxa" w:w="639"/>
          </w:tcPr>
          <w:p>
            <w:pPr>
              <w:pStyle w:val="null3"/>
              <w:jc w:val="right"/>
            </w:pPr>
            <w:r>
              <w:rPr/>
              <w:t>1.00</w:t>
            </w:r>
          </w:p>
        </w:tc>
        <w:tc>
          <w:tcPr>
            <w:tcW w:type="dxa" w:w="639"/>
          </w:tcPr>
          <w:p>
            <w:pPr>
              <w:pStyle w:val="null3"/>
              <w:jc w:val="left"/>
            </w:pPr>
            <w:r>
              <w:rPr/>
              <w:t>工业</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 xml:space="preserve"> </w:t>
            </w:r>
          </w:p>
        </w:tc>
      </w:tr>
      <w:tr>
        <w:tc>
          <w:tcPr>
            <w:tcW w:type="dxa" w:w="639"/>
          </w:tcPr>
          <w:p>
            <w:pPr>
              <w:pStyle w:val="null3"/>
              <w:jc w:val="left"/>
            </w:pPr>
            <w:r>
              <w:rPr/>
              <w:t>3</w:t>
            </w:r>
          </w:p>
        </w:tc>
        <w:tc>
          <w:tcPr>
            <w:tcW w:type="dxa" w:w="639"/>
          </w:tcPr>
          <w:p>
            <w:pPr>
              <w:pStyle w:val="null3"/>
              <w:jc w:val="left"/>
            </w:pPr>
            <w:r>
              <w:rPr/>
              <w:t>高端交换机</w:t>
            </w:r>
          </w:p>
        </w:tc>
        <w:tc>
          <w:tcPr>
            <w:tcW w:type="dxa" w:w="639"/>
          </w:tcPr>
          <w:p>
            <w:pPr>
              <w:pStyle w:val="null3"/>
              <w:jc w:val="left"/>
            </w:pPr>
            <w:r>
              <w:rPr/>
              <w:t>A02010202 交换设备</w:t>
            </w:r>
          </w:p>
        </w:tc>
        <w:tc>
          <w:tcPr>
            <w:tcW w:type="dxa" w:w="639"/>
          </w:tcPr>
          <w:p>
            <w:pPr>
              <w:pStyle w:val="null3"/>
              <w:jc w:val="left"/>
            </w:pPr>
            <w:r>
              <w:rPr/>
              <w:t>A02010202</w:t>
            </w:r>
          </w:p>
        </w:tc>
        <w:tc>
          <w:tcPr>
            <w:tcW w:type="dxa" w:w="639"/>
          </w:tcPr>
          <w:p>
            <w:pPr>
              <w:pStyle w:val="null3"/>
              <w:jc w:val="left"/>
            </w:pPr>
            <w:r>
              <w:rPr/>
              <w:t>货物</w:t>
            </w:r>
          </w:p>
        </w:tc>
        <w:tc>
          <w:tcPr>
            <w:tcW w:type="dxa" w:w="639"/>
          </w:tcPr>
          <w:p>
            <w:pPr>
              <w:pStyle w:val="null3"/>
              <w:jc w:val="left"/>
            </w:pPr>
            <w:r>
              <w:rPr/>
              <w:t>台</w:t>
            </w:r>
          </w:p>
        </w:tc>
        <w:tc>
          <w:tcPr>
            <w:tcW w:type="dxa" w:w="639"/>
          </w:tcPr>
          <w:p>
            <w:pPr>
              <w:pStyle w:val="null3"/>
              <w:jc w:val="right"/>
            </w:pPr>
            <w:r>
              <w:rPr/>
              <w:t>4.00</w:t>
            </w:r>
          </w:p>
        </w:tc>
        <w:tc>
          <w:tcPr>
            <w:tcW w:type="dxa" w:w="639"/>
          </w:tcPr>
          <w:p>
            <w:pPr>
              <w:pStyle w:val="null3"/>
              <w:jc w:val="left"/>
            </w:pPr>
            <w:r>
              <w:rPr/>
              <w:t>工业</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 xml:space="preserve"> </w:t>
            </w:r>
          </w:p>
        </w:tc>
      </w:tr>
      <w:tr>
        <w:tc>
          <w:tcPr>
            <w:tcW w:type="dxa" w:w="639"/>
          </w:tcPr>
          <w:p>
            <w:pPr>
              <w:pStyle w:val="null3"/>
              <w:jc w:val="left"/>
            </w:pPr>
            <w:r>
              <w:rPr/>
              <w:t>4</w:t>
            </w:r>
          </w:p>
        </w:tc>
        <w:tc>
          <w:tcPr>
            <w:tcW w:type="dxa" w:w="639"/>
          </w:tcPr>
          <w:p>
            <w:pPr>
              <w:pStyle w:val="null3"/>
              <w:jc w:val="left"/>
            </w:pPr>
            <w:r>
              <w:rPr/>
              <w:t>中端交换机（配置一）</w:t>
            </w:r>
          </w:p>
        </w:tc>
        <w:tc>
          <w:tcPr>
            <w:tcW w:type="dxa" w:w="639"/>
          </w:tcPr>
          <w:p>
            <w:pPr>
              <w:pStyle w:val="null3"/>
              <w:jc w:val="left"/>
            </w:pPr>
            <w:r>
              <w:rPr/>
              <w:t>A02010202 交换设备</w:t>
            </w:r>
          </w:p>
        </w:tc>
        <w:tc>
          <w:tcPr>
            <w:tcW w:type="dxa" w:w="639"/>
          </w:tcPr>
          <w:p>
            <w:pPr>
              <w:pStyle w:val="null3"/>
              <w:jc w:val="left"/>
            </w:pPr>
            <w:r>
              <w:rPr/>
              <w:t>A02010202</w:t>
            </w:r>
          </w:p>
        </w:tc>
        <w:tc>
          <w:tcPr>
            <w:tcW w:type="dxa" w:w="639"/>
          </w:tcPr>
          <w:p>
            <w:pPr>
              <w:pStyle w:val="null3"/>
              <w:jc w:val="left"/>
            </w:pPr>
            <w:r>
              <w:rPr/>
              <w:t>货物</w:t>
            </w:r>
          </w:p>
        </w:tc>
        <w:tc>
          <w:tcPr>
            <w:tcW w:type="dxa" w:w="639"/>
          </w:tcPr>
          <w:p>
            <w:pPr>
              <w:pStyle w:val="null3"/>
              <w:jc w:val="left"/>
            </w:pPr>
            <w:r>
              <w:rPr/>
              <w:t>台</w:t>
            </w:r>
          </w:p>
        </w:tc>
        <w:tc>
          <w:tcPr>
            <w:tcW w:type="dxa" w:w="639"/>
          </w:tcPr>
          <w:p>
            <w:pPr>
              <w:pStyle w:val="null3"/>
              <w:jc w:val="right"/>
            </w:pPr>
            <w:r>
              <w:rPr/>
              <w:t>2.00</w:t>
            </w:r>
          </w:p>
        </w:tc>
        <w:tc>
          <w:tcPr>
            <w:tcW w:type="dxa" w:w="639"/>
          </w:tcPr>
          <w:p>
            <w:pPr>
              <w:pStyle w:val="null3"/>
              <w:jc w:val="left"/>
            </w:pPr>
            <w:r>
              <w:rPr/>
              <w:t>工业</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 xml:space="preserve"> </w:t>
            </w:r>
          </w:p>
        </w:tc>
      </w:tr>
      <w:tr>
        <w:tc>
          <w:tcPr>
            <w:tcW w:type="dxa" w:w="639"/>
          </w:tcPr>
          <w:p>
            <w:pPr>
              <w:pStyle w:val="null3"/>
              <w:jc w:val="left"/>
            </w:pPr>
            <w:r>
              <w:rPr/>
              <w:t>5</w:t>
            </w:r>
          </w:p>
        </w:tc>
        <w:tc>
          <w:tcPr>
            <w:tcW w:type="dxa" w:w="639"/>
          </w:tcPr>
          <w:p>
            <w:pPr>
              <w:pStyle w:val="null3"/>
              <w:jc w:val="left"/>
            </w:pPr>
            <w:r>
              <w:rPr/>
              <w:t>中端交换机（配置二）</w:t>
            </w:r>
          </w:p>
        </w:tc>
        <w:tc>
          <w:tcPr>
            <w:tcW w:type="dxa" w:w="639"/>
          </w:tcPr>
          <w:p>
            <w:pPr>
              <w:pStyle w:val="null3"/>
              <w:jc w:val="left"/>
            </w:pPr>
            <w:r>
              <w:rPr/>
              <w:t>A02010202 交换设备</w:t>
            </w:r>
          </w:p>
        </w:tc>
        <w:tc>
          <w:tcPr>
            <w:tcW w:type="dxa" w:w="639"/>
          </w:tcPr>
          <w:p>
            <w:pPr>
              <w:pStyle w:val="null3"/>
              <w:jc w:val="left"/>
            </w:pPr>
            <w:r>
              <w:rPr/>
              <w:t>A02010202</w:t>
            </w:r>
          </w:p>
        </w:tc>
        <w:tc>
          <w:tcPr>
            <w:tcW w:type="dxa" w:w="639"/>
          </w:tcPr>
          <w:p>
            <w:pPr>
              <w:pStyle w:val="null3"/>
              <w:jc w:val="left"/>
            </w:pPr>
            <w:r>
              <w:rPr/>
              <w:t>货物</w:t>
            </w:r>
          </w:p>
        </w:tc>
        <w:tc>
          <w:tcPr>
            <w:tcW w:type="dxa" w:w="639"/>
          </w:tcPr>
          <w:p>
            <w:pPr>
              <w:pStyle w:val="null3"/>
              <w:jc w:val="left"/>
            </w:pPr>
            <w:r>
              <w:rPr/>
              <w:t>台</w:t>
            </w:r>
          </w:p>
        </w:tc>
        <w:tc>
          <w:tcPr>
            <w:tcW w:type="dxa" w:w="639"/>
          </w:tcPr>
          <w:p>
            <w:pPr>
              <w:pStyle w:val="null3"/>
              <w:jc w:val="right"/>
            </w:pPr>
            <w:r>
              <w:rPr/>
              <w:t>6.00</w:t>
            </w:r>
          </w:p>
        </w:tc>
        <w:tc>
          <w:tcPr>
            <w:tcW w:type="dxa" w:w="639"/>
          </w:tcPr>
          <w:p>
            <w:pPr>
              <w:pStyle w:val="null3"/>
              <w:jc w:val="left"/>
            </w:pPr>
            <w:r>
              <w:rPr/>
              <w:t>工业</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 xml:space="preserve"> </w:t>
            </w:r>
          </w:p>
        </w:tc>
      </w:tr>
      <w:tr>
        <w:tc>
          <w:tcPr>
            <w:tcW w:type="dxa" w:w="639"/>
          </w:tcPr>
          <w:p>
            <w:pPr>
              <w:pStyle w:val="null3"/>
              <w:jc w:val="left"/>
            </w:pPr>
            <w:r>
              <w:rPr/>
              <w:t>6</w:t>
            </w:r>
          </w:p>
        </w:tc>
        <w:tc>
          <w:tcPr>
            <w:tcW w:type="dxa" w:w="639"/>
          </w:tcPr>
          <w:p>
            <w:pPr>
              <w:pStyle w:val="null3"/>
              <w:jc w:val="left"/>
            </w:pPr>
            <w:r>
              <w:rPr/>
              <w:t>低端交换机</w:t>
            </w:r>
          </w:p>
        </w:tc>
        <w:tc>
          <w:tcPr>
            <w:tcW w:type="dxa" w:w="639"/>
          </w:tcPr>
          <w:p>
            <w:pPr>
              <w:pStyle w:val="null3"/>
              <w:jc w:val="left"/>
            </w:pPr>
            <w:r>
              <w:rPr/>
              <w:t>A02010202 交换设备</w:t>
            </w:r>
          </w:p>
        </w:tc>
        <w:tc>
          <w:tcPr>
            <w:tcW w:type="dxa" w:w="639"/>
          </w:tcPr>
          <w:p>
            <w:pPr>
              <w:pStyle w:val="null3"/>
              <w:jc w:val="left"/>
            </w:pPr>
            <w:r>
              <w:rPr/>
              <w:t>A02010202</w:t>
            </w:r>
          </w:p>
        </w:tc>
        <w:tc>
          <w:tcPr>
            <w:tcW w:type="dxa" w:w="639"/>
          </w:tcPr>
          <w:p>
            <w:pPr>
              <w:pStyle w:val="null3"/>
              <w:jc w:val="left"/>
            </w:pPr>
            <w:r>
              <w:rPr/>
              <w:t>货物</w:t>
            </w:r>
          </w:p>
        </w:tc>
        <w:tc>
          <w:tcPr>
            <w:tcW w:type="dxa" w:w="639"/>
          </w:tcPr>
          <w:p>
            <w:pPr>
              <w:pStyle w:val="null3"/>
              <w:jc w:val="left"/>
            </w:pPr>
            <w:r>
              <w:rPr/>
              <w:t>台</w:t>
            </w:r>
          </w:p>
        </w:tc>
        <w:tc>
          <w:tcPr>
            <w:tcW w:type="dxa" w:w="639"/>
          </w:tcPr>
          <w:p>
            <w:pPr>
              <w:pStyle w:val="null3"/>
              <w:jc w:val="right"/>
            </w:pPr>
            <w:r>
              <w:rPr/>
              <w:t>8.00</w:t>
            </w:r>
          </w:p>
        </w:tc>
        <w:tc>
          <w:tcPr>
            <w:tcW w:type="dxa" w:w="639"/>
          </w:tcPr>
          <w:p>
            <w:pPr>
              <w:pStyle w:val="null3"/>
              <w:jc w:val="left"/>
            </w:pPr>
            <w:r>
              <w:rPr/>
              <w:t>工业</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 xml:space="preserve"> </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1"/>
          </w:tcPr>
          <w:p>
            <w:pPr>
              <w:pStyle w:val="null3"/>
              <w:jc w:val="left"/>
            </w:pPr>
            <w:r>
              <w:rPr/>
              <w:t>1</w:t>
            </w:r>
          </w:p>
        </w:tc>
        <w:tc>
          <w:tcPr>
            <w:tcW w:type="dxa" w:w="2076"/>
          </w:tcPr>
          <w:p>
            <w:pPr>
              <w:pStyle w:val="null3"/>
              <w:jc w:val="left"/>
            </w:pPr>
            <w:r>
              <w:rPr/>
              <w:t>采购项目要求</w:t>
            </w:r>
          </w:p>
        </w:tc>
        <w:tc>
          <w:tcPr>
            <w:tcW w:type="dxa" w:w="2907"/>
          </w:tcPr>
          <w:p>
            <w:pPr>
              <w:pStyle w:val="null3"/>
              <w:jc w:val="left"/>
            </w:pPr>
            <w:r>
              <w:rPr/>
              <w:t>1.供应商应为具有相关经营范围、有资格和能力提供本项目的货物或服务的原厂商或代理商。如投标人所投货物产品并非自己制造，须提供一旦中标可自中标通知书发出后15个自然日内取得该产品原厂商出具的投标产品的授权函（或代理商资质证明）及原厂商售后服务承诺函的承诺书（不接受代表处、办事处、分公司等不具备独立承担民事责任能力单位的授权）。(供应商应提供书面承诺) 2.供应商须在法律和财务上独立、合法运作并独立于招标人，不得直接或间接地与招标人为本项目所委托的其他机构有任何关联。供应商、供应商主要股东、供应商高管或主要负责人不得与招标人有任何关联关系或利害关系。(供应商应提供书面承诺)</w:t>
            </w:r>
          </w:p>
        </w:tc>
        <w:tc>
          <w:tcPr>
            <w:tcW w:type="dxa" w:w="1246"/>
          </w:tcPr>
          <w:p>
            <w:pPr>
              <w:pStyle w:val="null3"/>
              <w:jc w:val="left"/>
            </w:pPr>
            <w:r>
              <w:rPr/>
              <w:t>是</w:t>
            </w:r>
          </w:p>
        </w:tc>
        <w:tc>
          <w:tcPr>
            <w:tcW w:type="dxa" w:w="1246"/>
          </w:tcPr>
          <w:p>
            <w:pPr>
              <w:pStyle w:val="null3"/>
              <w:jc w:val="left"/>
            </w:pPr>
            <w:r>
              <w:rPr/>
              <w:t>供应商应提供书面承诺</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中国人民银行清算总中心</w:t>
      </w:r>
    </w:p>
    <w:p>
      <w:pPr>
        <w:pStyle w:val="null3"/>
        <w:jc w:val="left"/>
      </w:pPr>
      <w:r>
        <w:rPr/>
        <w:t xml:space="preserve"> 地址： </w:t>
      </w:r>
      <w:r>
        <w:rPr/>
        <w:t>北京市海淀区阜成路18号华融大厦</w:t>
      </w:r>
    </w:p>
    <w:p>
      <w:pPr>
        <w:pStyle w:val="null3"/>
        <w:jc w:val="left"/>
      </w:pPr>
      <w:r>
        <w:rPr/>
        <w:t xml:space="preserve"> 邮编： </w:t>
      </w:r>
      <w:r>
        <w:rPr/>
        <w:t>100048</w:t>
      </w:r>
    </w:p>
    <w:p>
      <w:pPr>
        <w:pStyle w:val="null3"/>
        <w:jc w:val="left"/>
      </w:pPr>
      <w:r>
        <w:rPr/>
        <w:t xml:space="preserve"> 联系人： </w:t>
      </w:r>
      <w:r>
        <w:rPr/>
        <w:t>朱丹</w:t>
      </w:r>
    </w:p>
    <w:p>
      <w:pPr>
        <w:pStyle w:val="null3"/>
        <w:jc w:val="left"/>
      </w:pPr>
      <w:r>
        <w:rPr/>
        <w:t xml:space="preserve"> 联系电话： </w:t>
      </w:r>
      <w:r>
        <w:rPr/>
        <w:t>68401760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改善系统运行环境，优化系统架构，提高生产系统稳定性和先进性，加强自主可控水平，完成会计核算数据集中系统（以下简称“ACS”）和数字供应链金融服务平台（以下简称“DSFP”）生产环境建设及业务迁移。</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关于审批《2026年ACS及DSFP北京业务处理中心设备更新及系统迁移项目》任务的请示</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搭建一套虚拟化资源池及网络环境，对ACS及DSFP北京业务处理中心生产环境进行设备更新及系统迁移，顺利完成业务迁移工作。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采购服务器5台、超融合软件1套、高端交换机4台、中端交换机（配置一）2台、中端交换机（配置二）6台、低端交换机8台，用于2026年ACS及DSFP北京业务处理中心设备更新及系统迁移项目建设。</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ACS及DSFP北京业务处理中心的供货及实施</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1.现有ACS业务处理中心已上线运行10年，因设备老化所带来的系统运行风险不断增大。 2. ACS及DSFP北京业务处理中心计划搬迁至北京中心，需要完成IT资源建设和相关系统的迁移。本批次采购的交换机、服务器、超融合软件是搭建生产环境的必要设备和系统，为ACS及 DSFP北京业务处理中心提供资源环境。</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本技术要求共有“★”指标131个，”#”指标64个，“▲”指标0个。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架构：国产兼容X86指令集高性能服务器级别CPU，符合安全可靠测评要求 单颗CPU核心数量：≥32核 单颗CPU线程数：≥64线程 基础频率：≥2.5GHz 实配2颗</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国产兼容X86指令集高性能服务器级别CPU 内存型号：16G/32G/64G DDR5 ECC RDIMM</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非板载内存的可扩展插槽数量应不少于16个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存储接口中的 1 种，并满足与提供的硬盘接口适配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PCIe4.0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服务器PCIe插槽或接口≥6个</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服务器产品规格</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支持OCP2.0 及以上插槽的数量不少于 1 个</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≥8，实配容量不小于0.5TB，所有物理内存品牌型号一致</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 DDR5 ECC-RDIMM 单根容量≥64GB</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配备固态盘1，实配固态盘单盘容量不小于960GB SATA SSD 配备固态盘2，实配固态盘单盘容量不小于3.84TB SATA SSD</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提供SATA、PCIe接口类型固态盘接口</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a）配备固态盘1，实配盘数应不小于2 b）配备固态盘2，实配盘数应不小于6</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实配2.5/3.5英寸接口的热拔插硬盘插槽≥ 12，满足上述硬盘部署要求。</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服务器产品规格</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a)机械硬盘准备时间应不大于30s 侧面固定螺丝孔数量可为4孔或6孔 工作状态环境温度应满足5℃~55℃，其它参数应符合 GB/T 12628的相关规定 b)若服务器支持固态盘，固态盘符合SJ/T 11654相关规定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接口数≥8，RAID卡数量 ≥2</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服务器产品规格</w:t>
            </w:r>
          </w:p>
        </w:tc>
        <w:tc>
          <w:tcPr>
            <w:tcW w:type="dxa" w:w="1038"/>
          </w:tcPr>
          <w:p/>
        </w:tc>
        <w:tc>
          <w:tcPr>
            <w:tcW w:type="dxa" w:w="1038"/>
          </w:tcPr>
          <w:p>
            <w:pPr>
              <w:pStyle w:val="null3"/>
            </w:pPr>
            <w:r>
              <w:rPr/>
              <w:t>SAS 直通卡规格 (若支持SAS直通卡)</w:t>
            </w:r>
          </w:p>
        </w:tc>
        <w:tc>
          <w:tcPr>
            <w:tcW w:type="dxa" w:w="1038"/>
          </w:tcPr>
          <w:p>
            <w:pPr>
              <w:pStyle w:val="null3"/>
            </w:pPr>
            <w:r>
              <w:rPr/>
              <w:t>SAS 直通卡 SAS 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服务器产品规格</w:t>
            </w:r>
          </w:p>
        </w:tc>
        <w:tc>
          <w:tcPr>
            <w:tcW w:type="dxa" w:w="1038"/>
          </w:tcP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配置≥4个千兆电口 配置≥8个万兆光口</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服务器产品规格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≥4块2端口 10G光纤网卡，满配10Gb光模块，满配10Gb光模块 ≥1块4端口 1G电口网卡</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服务器产品规格</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服务器产品规格</w:t>
            </w:r>
          </w:p>
        </w:tc>
        <w:tc>
          <w:tcPr>
            <w:tcW w:type="dxa" w:w="1038"/>
          </w:tcP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服务器产品规格</w:t>
            </w:r>
          </w:p>
        </w:tc>
        <w:tc>
          <w:tcPr>
            <w:tcW w:type="dxa" w:w="1038"/>
          </w:tcP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b)产品表面不应有明显的凹痕、划伤、裂缝、变形和污染等。表面涂层均匀，不应起泡、龟裂、脱落和磨损，金属零部件无锈蚀及其它机械损伤 c)产品表面说明功能的文字、符号和标志应清晰、端正且牢固 d)应在服务器的显著位置提供运行状态的指示功能，并在随机文件中明确具体含义 e)机架、机箱的尺寸应符合通用机柜的安装要求，插入总线插座的电路板接口外形尺寸应符合有关总线标准的规定，将机箱固定在机柜上，机箱底面最大下垂变形不得干涉相邻机体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供应商给出产品尺寸，设计应遵循标准化、系列化的要求 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服务器产品规格</w:t>
            </w:r>
          </w:p>
        </w:tc>
        <w:tc>
          <w:tcPr>
            <w:tcW w:type="dxa" w:w="1038"/>
          </w:tcP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CPU 个数与机柜高度单位(U)比</w:t>
            </w:r>
          </w:p>
        </w:tc>
        <w:tc>
          <w:tcPr>
            <w:tcW w:type="dxa" w:w="1038"/>
          </w:tcPr>
          <w:p>
            <w:pPr>
              <w:pStyle w:val="null3"/>
            </w:pPr>
            <w:r>
              <w:rPr/>
              <w:t>CPU个数：≥2 机柜高度：2U</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 工作相对湿度 35%～80%，贮存运输相对湿度 20％～93%（40℃） 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服务器产品规格</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 9813.3 的有关规定，在产品说明中给出具体测试值</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服务器产品规格</w:t>
            </w:r>
          </w:p>
        </w:tc>
        <w:tc>
          <w:tcPr>
            <w:tcW w:type="dxa" w:w="1038"/>
          </w:tcP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服务器产品规格</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服务器产品规格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服务器产品规格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服务器产品规格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服务器功能要求</w:t>
            </w:r>
          </w:p>
        </w:tc>
        <w:tc>
          <w:tcPr>
            <w:tcW w:type="dxa" w:w="1038"/>
          </w:tcP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服务器功能要求</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 部件等组成 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CPU芯片应符合GM/T0008 的相关规定，或芯片密码模块应符合GB/T 37092或 GM/T0028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服务器功能要求</w:t>
            </w:r>
          </w:p>
        </w:tc>
        <w:tc>
          <w:tcPr>
            <w:tcW w:type="dxa" w:w="1038"/>
          </w:tcP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 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卡RAID 级别支持</w:t>
            </w:r>
          </w:p>
        </w:tc>
        <w:tc>
          <w:tcPr>
            <w:tcW w:type="dxa" w:w="1038"/>
          </w:tcPr>
          <w:p>
            <w:pPr>
              <w:pStyle w:val="null3"/>
            </w:pPr>
            <w:r>
              <w:rPr/>
              <w:t>RAID模式支持0/1/5/6/10/50/60,实配同时支持直通和RAID模式。大于等于4GB缓存</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服务器功能要求</w:t>
            </w:r>
          </w:p>
        </w:tc>
        <w:tc>
          <w:tcPr>
            <w:tcW w:type="dxa" w:w="1038"/>
          </w:tcP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服务器功能要求</w:t>
            </w:r>
          </w:p>
        </w:tc>
        <w:tc>
          <w:tcPr>
            <w:tcW w:type="dxa" w:w="1038"/>
          </w:tcP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支持关键部件冗余（包括电源、风扇等）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1）支持DHCP 设置网络功能 ；2）支持静态IP 设置网络功能；3） 支持设备日志记录，包括但不限于登录日志、操作日志和报警日志等功能；4） 支持日志信息导出和记录删除功能；5） 支持通过管理接口向外输出准确的报警信息功能；6） 设备的BMC 管理软件应能够按报警的严重程度进行区分；7） 支持IPMI2.0、SNMP 或Redfish等接口功能 ；8）支持键盘、鼠标和视频的重定向、文本控制台的重定向、远程虚拟媒体、高可靠的硬件监控和管理功能；9） 支持基于网络开启、关闭和重启设备的功能，并查询当前设备开机运行状态；10） 支持故障提示功能，并可通过接口读取服务器故障信息；11） 支持基于网络的固件更新功能，包括BMC 和BIOS 等；12） 支持基于网络安装操作系统的功能，并可通过网络控制台访问设备 ；13）支持通过本地的硬盘或光驱等存储设备，基于网络完成设备的操作系统安装功能；14） 支持通过浏览器打开管理界面并登录功能；15） 支持设置口令策略功能；16） 支持访问权限设置功能，并通过日志记录访问事件；17） 支持对出厂默认的用户名及口令进行安全保护功能，并提供默认口令修改提示；18） 支持读取设备主板的工作环境温度功能；19） 支持读取服务器CPU 等核心器件的温度功能 ；20）支持通过外部管理工具进行 BMC 参数设置的功能，并可基于网络通过外部管理工具对BMC 进行管理；21） 应支持固件版本查询、固件升级；22） 支持基于网络实现开关机和复位控制的功能；23） BMC 启动时间应不超过 180s，实现功能包括网络、IPMI、散热、传感器服务可用；24）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固件增强功能</w:t>
            </w:r>
          </w:p>
        </w:tc>
        <w:tc>
          <w:tcPr>
            <w:tcW w:type="dxa" w:w="1038"/>
          </w:tcPr>
          <w:p>
            <w:pPr>
              <w:pStyle w:val="null3"/>
            </w:pPr>
            <w:r>
              <w:rPr/>
              <w:t>a）网络控制、安装提供图形访问界面网络；b） 设备的BMC 管理软件界面显示报警信息，且能够按报警的严重程度进行区分；c） Web GUI 采用 BMC 端口直连，平 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 固件基础功能</w:t>
            </w:r>
          </w:p>
        </w:tc>
        <w:tc>
          <w:tcPr>
            <w:tcW w:type="dxa" w:w="1038"/>
          </w:tcPr>
          <w:p>
            <w:pPr>
              <w:pStyle w:val="null3"/>
            </w:pPr>
            <w:r>
              <w:rPr/>
              <w:t>a）支持查看固件版本、内存信息、主板信息、处理器信息和系统时间信息功能；b） 支持上电初始化界面显示 CPU 信息、内存信息、固件版本和部分快捷键信息功能；c） 支持设置界面中英文显示切换功能；d） 支持查看 PCIe 设备信息，SATA设备信息功能；e） 支持操作系统安装和引导功能，应并向操作系统提供计算机主板信息和服务接口；f） 支持设置启动顺序，并按照设置的启动顺序启动功能；g） 支持安全启动功能；h） 支持设置口令、修改口令、验证口令功能；i） 支持板载显示控制或独立显卡的显示控制功能；j） 支持 RAID 识别和启动功能； k）支持串口重定向功能；l） 支持固件更新功能；m） 支持 BIOS 固件设置的恢复出厂功能 ；n）支持网络引导启用和关闭功能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服务器功能要求</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a)支持访问控制、安全审计、网络接入鉴别等功能;</w:t>
            </w:r>
            <w:r>
              <w:br/>
            </w:r>
            <w:r>
              <w:rPr/>
              <w:t xml:space="preserve"> b)操作系统其他功能应满足操作系统政府采购需求标准中加*的指标要求</w:t>
            </w:r>
          </w:p>
          <w:p>
            <w:pPr>
              <w:pStyle w:val="null3"/>
            </w:pP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服务器功能要求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 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服务器功能要求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服务器功能要求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服务器功能要求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服务器安全要求</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服务器安全要求</w:t>
            </w:r>
          </w:p>
        </w:tc>
        <w:tc>
          <w:tcPr>
            <w:tcW w:type="dxa" w:w="1038"/>
          </w:tcP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支持基于时间、IP或MAC白名单访问控制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服务器安全要求</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 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服务器安全要求</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服务器安全要求</w:t>
            </w:r>
          </w:p>
        </w:tc>
        <w:tc>
          <w:tcPr>
            <w:tcW w:type="dxa" w:w="1038"/>
          </w:tcP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服务器安全要求</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服务器安全要求</w:t>
            </w:r>
          </w:p>
        </w:tc>
        <w:tc>
          <w:tcPr>
            <w:tcW w:type="dxa" w:w="1038"/>
          </w:tcP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服务器安全要求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≥2.5GHz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≥64MB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≥5600MT/s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服务器性能要求</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配备 RAID 卡且 RAID 卡有缓存容量，容量不少于4GB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服务器性能要求</w:t>
            </w:r>
          </w:p>
        </w:tc>
        <w:tc>
          <w:tcPr>
            <w:tcW w:type="dxa" w:w="1038"/>
          </w:tcP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电口≥1GE 光口≥10GE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服务器性能要求</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服务器性能要求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服务器兼容要求</w:t>
            </w:r>
          </w:p>
        </w:tc>
        <w:tc>
          <w:tcPr>
            <w:tcW w:type="dxa" w:w="1038"/>
          </w:tcP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服务器兼容要求</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服务器兼容要求</w:t>
            </w:r>
          </w:p>
        </w:tc>
        <w:tc>
          <w:tcPr>
            <w:tcW w:type="dxa" w:w="1038"/>
          </w:tcP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服务器兼容要求</w:t>
            </w:r>
          </w:p>
        </w:tc>
        <w:tc>
          <w:tcPr>
            <w:tcW w:type="dxa" w:w="1038"/>
          </w:tcP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服务器兼容要求</w:t>
            </w:r>
          </w:p>
        </w:tc>
        <w:tc>
          <w:tcPr>
            <w:tcW w:type="dxa" w:w="1038"/>
          </w:tcP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兼容3个及以上厂商的数据库产品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兼容3个及以上厂商的中间件产品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兼容3个及以上厂商的大数据平台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服务器兼容要求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兼容3款及以上主流虚拟化软件，兼容本项目配套的超融合软件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服务器可靠性要求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服务器可靠性要求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服务器可靠性要求</w:t>
            </w:r>
          </w:p>
        </w:tc>
        <w:tc>
          <w:tcPr>
            <w:tcW w:type="dxa" w:w="1038"/>
          </w:tcP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服务器可靠性要求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服务器包装及运输要求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7*24小时电话、电子邮件、远程连接等多种形式服务；b）对故障维修要求应在0.5小时内作出实质性响应，如需提供现场服务，应在接到通知后2小时内到达现场解决故障，对于未能解决的问题和故障应提供可行的升级方案，并提供周转设备；c）应建立全国技术服务体系和服务团体，符合专业服务体系标准要求，提供原厂中文服务；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a）产品免费服务周期（含换件和维修）自双方签署终验报告次日起3年；b）设备停产后继续提供质量保障服务（含备品备件），服务终止时间与最后一批设备交付时间间隔不低于 6 年；c）产品停止服务时间应提前1年告知客户；d）产品发布日期需在随机文件中明确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服务器服务要求</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支持如下功能，a）本地的数据备份和还原功能；b）网络的数据备份和还原功能；c）服务器操作系统的自动安装功能；d）服务器索赔硬件需要的驱动程序和系统补丁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服务器服务要求</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服务器服务要求</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服务器服务要求</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服务器服务要求</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服务器服务要求</w:t>
            </w:r>
          </w:p>
        </w:tc>
        <w:tc>
          <w:tcPr>
            <w:tcW w:type="dxa" w:w="1038"/>
          </w:tcP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服务器服务要求</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服务器服务要求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服务器服务要求</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服务器供保要求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服务器供保要求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自主知识产权</w:t>
            </w:r>
          </w:p>
        </w:tc>
        <w:tc>
          <w:tcPr>
            <w:tcW w:type="dxa" w:w="1038"/>
          </w:tcPr>
          <w:p/>
        </w:tc>
        <w:tc>
          <w:tcPr>
            <w:tcW w:type="dxa" w:w="1038"/>
          </w:tcPr>
          <w:p>
            <w:pPr>
              <w:pStyle w:val="null3"/>
            </w:pPr>
            <w:r>
              <w:rPr/>
              <w:t>虚拟化软件非OEM或贴牌产品，禁止借用第三方软件的整合，以保证功能的可靠性和安全性。</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自主知识产权</w:t>
            </w:r>
          </w:p>
        </w:tc>
        <w:tc>
          <w:tcPr>
            <w:tcW w:type="dxa" w:w="1038"/>
          </w:tcPr>
          <w:p/>
        </w:tc>
        <w:tc>
          <w:tcPr>
            <w:tcW w:type="dxa" w:w="1038"/>
          </w:tcPr>
          <w:p>
            <w:pPr>
              <w:pStyle w:val="null3"/>
            </w:pPr>
            <w:r>
              <w:rPr/>
              <w:t>所投产品为国产品牌，要求超融合产品的计算虚拟化软件、存储虚拟化软件、网络虚拟化软件等属于同一品牌且完全自主研发，并提供相应的计算机软件著作权登记证书，不接受第三方软件的整合，以保证功能的可靠性。</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自主知识产权</w:t>
            </w:r>
          </w:p>
        </w:tc>
        <w:tc>
          <w:tcPr>
            <w:tcW w:type="dxa" w:w="1038"/>
          </w:tcPr>
          <w:p/>
        </w:tc>
        <w:tc>
          <w:tcPr>
            <w:tcW w:type="dxa" w:w="1038"/>
          </w:tcPr>
          <w:p>
            <w:pPr>
              <w:pStyle w:val="null3"/>
            </w:pPr>
            <w:r>
              <w:rPr/>
              <w:t>为保证产品能够持续迭代和获得快速的服务响应，产品需为自主研发，具备自主可控，超融合系统代码自主率不低于95%。</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开放性</w:t>
            </w:r>
          </w:p>
        </w:tc>
        <w:tc>
          <w:tcPr>
            <w:tcW w:type="dxa" w:w="1038"/>
          </w:tcPr>
          <w:p/>
        </w:tc>
        <w:tc>
          <w:tcPr>
            <w:tcW w:type="dxa" w:w="1038"/>
          </w:tcPr>
          <w:p>
            <w:pPr>
              <w:pStyle w:val="null3"/>
            </w:pPr>
            <w:r>
              <w:rPr/>
              <w:t>为降低各机构本地化运维复杂度，超融合平台软件须在计算、存储、网络等具有统一的管理界面。为方便统一运维，提供开放北向接口，支持第三方管理平台对接。</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节点规模与资源占用</w:t>
            </w:r>
          </w:p>
        </w:tc>
        <w:tc>
          <w:tcPr>
            <w:tcW w:type="dxa" w:w="1038"/>
          </w:tcPr>
          <w:p/>
        </w:tc>
        <w:tc>
          <w:tcPr>
            <w:tcW w:type="dxa" w:w="1038"/>
          </w:tcPr>
          <w:p>
            <w:pPr>
              <w:pStyle w:val="null3"/>
            </w:pPr>
            <w:r>
              <w:rPr/>
              <w:t>支持不少于80节点，超融合平台计算资源占用量低于20%。</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国产芯片支持</w:t>
            </w:r>
          </w:p>
        </w:tc>
        <w:tc>
          <w:tcPr>
            <w:tcW w:type="dxa" w:w="1038"/>
          </w:tcPr>
          <w:p/>
        </w:tc>
        <w:tc>
          <w:tcPr>
            <w:tcW w:type="dxa" w:w="1038"/>
          </w:tcPr>
          <w:p>
            <w:pPr>
              <w:pStyle w:val="null3"/>
            </w:pPr>
            <w:r>
              <w:rPr/>
              <w:t>支持在CPU满足国产兼容X86指令集的高性能服务器上部署，兼容主流信创CPU架构。</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国产芯片支持</w:t>
            </w:r>
          </w:p>
        </w:tc>
        <w:tc>
          <w:tcPr>
            <w:tcW w:type="dxa" w:w="1038"/>
          </w:tcPr>
          <w:p/>
        </w:tc>
        <w:tc>
          <w:tcPr>
            <w:tcW w:type="dxa" w:w="1038"/>
          </w:tcPr>
          <w:p>
            <w:pPr>
              <w:pStyle w:val="null3"/>
            </w:pPr>
            <w:r>
              <w:rPr/>
              <w:t>与本项目所投的服务器型号兼容。</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高可用</w:t>
            </w:r>
          </w:p>
        </w:tc>
        <w:tc>
          <w:tcPr>
            <w:tcW w:type="dxa" w:w="1038"/>
          </w:tcPr>
          <w:p/>
        </w:tc>
        <w:tc>
          <w:tcPr>
            <w:tcW w:type="dxa" w:w="1038"/>
          </w:tcPr>
          <w:p>
            <w:pPr>
              <w:pStyle w:val="null3"/>
            </w:pPr>
            <w:r>
              <w:rPr/>
              <w:t>为保证系统架构的可靠性，平台应具备较高的可用性，至少满足单台服务器或因硬盘、网卡、CPU等部件故障而不影响业务系统正常运行。</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内核操作系统要求</w:t>
            </w:r>
          </w:p>
        </w:tc>
        <w:tc>
          <w:tcPr>
            <w:tcW w:type="dxa" w:w="1038"/>
          </w:tcPr>
          <w:p/>
        </w:tc>
        <w:tc>
          <w:tcPr>
            <w:tcW w:type="dxa" w:w="1038"/>
          </w:tcPr>
          <w:p>
            <w:pPr>
              <w:pStyle w:val="null3"/>
            </w:pPr>
            <w:r>
              <w:rPr/>
              <w:t>为保证产品合规性，超融合产品采用的内核操作系统必须通过安全可靠测评。</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架构要求</w:t>
            </w:r>
          </w:p>
        </w:tc>
        <w:tc>
          <w:tcPr>
            <w:tcW w:type="dxa" w:w="1038"/>
          </w:tcPr>
          <w:p/>
        </w:tc>
        <w:tc>
          <w:tcPr>
            <w:tcW w:type="dxa" w:w="1038"/>
          </w:tcPr>
          <w:p>
            <w:pPr>
              <w:pStyle w:val="null3"/>
            </w:pPr>
            <w:r>
              <w:rPr/>
              <w:t>产品架构为超融合架构，无需独立的计算、存储、网络、管理服务等节点，每台服务器节点均可提供计算、存储、网络资源，各个节点角色对等。并且在3副本超融合环境中，当2个运行管理服务的主节点同时故障，集群仍可对外提供服务。</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超融合软件基本要求</w:t>
            </w:r>
          </w:p>
        </w:tc>
        <w:tc>
          <w:tcPr>
            <w:tcW w:type="dxa" w:w="1038"/>
          </w:tcPr>
          <w:p>
            <w:pPr>
              <w:pStyle w:val="null3"/>
            </w:pPr>
            <w:r>
              <w:rPr/>
              <w:t>★</w:t>
            </w:r>
          </w:p>
        </w:tc>
        <w:tc>
          <w:tcPr>
            <w:tcW w:type="dxa" w:w="1038"/>
          </w:tcPr>
          <w:p>
            <w:pPr>
              <w:pStyle w:val="null3"/>
            </w:pPr>
            <w:r>
              <w:rPr/>
              <w:t>软件授权要求</w:t>
            </w:r>
          </w:p>
        </w:tc>
        <w:tc>
          <w:tcPr>
            <w:tcW w:type="dxa" w:w="1038"/>
          </w:tcPr>
          <w:p/>
        </w:tc>
        <w:tc>
          <w:tcPr>
            <w:tcW w:type="dxa" w:w="1038"/>
          </w:tcPr>
          <w:p>
            <w:pPr>
              <w:pStyle w:val="null3"/>
            </w:pPr>
            <w:r>
              <w:rPr/>
              <w:t>超融合软件授权对单台设备不限制每颗cpu核心数、内存容量、存储容量，保证日后基于配件级扩容。交付软件授权为永久授权，且软件授权不锁定硬件，支持将软件 license 转移到其他硬件平台设备。</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超融合软件运维监控</w:t>
            </w:r>
          </w:p>
        </w:tc>
        <w:tc>
          <w:tcPr>
            <w:tcW w:type="dxa" w:w="1038"/>
          </w:tcPr>
          <w:p>
            <w:pPr>
              <w:pStyle w:val="null3"/>
            </w:pPr>
            <w:r>
              <w:rPr/>
              <w:t>#</w:t>
            </w:r>
          </w:p>
        </w:tc>
        <w:tc>
          <w:tcPr>
            <w:tcW w:type="dxa" w:w="1038"/>
          </w:tcPr>
          <w:p>
            <w:pPr>
              <w:pStyle w:val="null3"/>
            </w:pPr>
            <w:r>
              <w:rPr/>
              <w:t>集中展示</w:t>
            </w:r>
          </w:p>
        </w:tc>
        <w:tc>
          <w:tcPr>
            <w:tcW w:type="dxa" w:w="1038"/>
          </w:tcPr>
          <w:p/>
        </w:tc>
        <w:tc>
          <w:tcPr>
            <w:tcW w:type="dxa" w:w="1038"/>
          </w:tcPr>
          <w:p>
            <w:pPr>
              <w:pStyle w:val="null3"/>
            </w:pPr>
            <w:r>
              <w:rPr/>
              <w:t>1）支持集中展示便于客户直观查看虚拟化资源池的使用情况和健康状态，包括集群资源情况，各主机资源使用情况，存储资源池的状态，以及集群故障与告警信息大屏展示等，运维人员可以直观查看超融合平台的整体运行情况。</w:t>
            </w:r>
            <w:r>
              <w:br/>
            </w:r>
            <w:r>
              <w:rPr/>
              <w:t xml:space="preserve"> 2）具备可视化实时监控中心，针对超融合整体软硬件故障问题，可视化实时监控，包括：硬件监控、系统监控、服务监控等</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超融合软件运维监控</w:t>
            </w:r>
          </w:p>
        </w:tc>
        <w:tc>
          <w:tcPr>
            <w:tcW w:type="dxa" w:w="1038"/>
          </w:tcPr>
          <w:p>
            <w:pPr>
              <w:pStyle w:val="null3"/>
            </w:pPr>
            <w:r>
              <w:rPr/>
              <w:t>#</w:t>
            </w:r>
          </w:p>
        </w:tc>
        <w:tc>
          <w:tcPr>
            <w:tcW w:type="dxa" w:w="1038"/>
          </w:tcPr>
          <w:p>
            <w:pPr>
              <w:pStyle w:val="null3"/>
            </w:pPr>
            <w:r>
              <w:rPr/>
              <w:t>自定义告警</w:t>
            </w:r>
          </w:p>
        </w:tc>
        <w:tc>
          <w:tcPr>
            <w:tcW w:type="dxa" w:w="1038"/>
          </w:tcPr>
          <w:p/>
        </w:tc>
        <w:tc>
          <w:tcPr>
            <w:tcW w:type="dxa" w:w="1038"/>
          </w:tcPr>
          <w:p>
            <w:pPr>
              <w:pStyle w:val="null3"/>
            </w:pPr>
            <w:r>
              <w:rPr/>
              <w:t>支持用户可自定义告警阈值。规则策略内容包含但不限于告警名称、告警部件、告警描述、告警级别、告警类型、告警时间等信息。同时支持将告警信息以短信和邮件方式发送给管理员。</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超融合软件运维管理</w:t>
            </w:r>
          </w:p>
        </w:tc>
        <w:tc>
          <w:tcPr>
            <w:tcW w:type="dxa" w:w="1038"/>
          </w:tcPr>
          <w:p>
            <w:pPr>
              <w:pStyle w:val="null3"/>
            </w:pPr>
            <w:r>
              <w:rPr/>
              <w:t>★</w:t>
            </w:r>
          </w:p>
        </w:tc>
        <w:tc>
          <w:tcPr>
            <w:tcW w:type="dxa" w:w="1038"/>
          </w:tcPr>
          <w:p>
            <w:pPr>
              <w:pStyle w:val="null3"/>
            </w:pPr>
            <w:r>
              <w:rPr/>
              <w:t>健康巡检</w:t>
            </w:r>
          </w:p>
        </w:tc>
        <w:tc>
          <w:tcPr>
            <w:tcW w:type="dxa" w:w="1038"/>
          </w:tcPr>
          <w:p/>
        </w:tc>
        <w:tc>
          <w:tcPr>
            <w:tcW w:type="dxa" w:w="1038"/>
          </w:tcPr>
          <w:p>
            <w:pPr>
              <w:pStyle w:val="null3"/>
            </w:pPr>
            <w:r>
              <w:rPr/>
              <w:t>支持健康巡检功能，用于快速查看超融合平台健康情况。包括：总体健康状况、集群健康状况、虚拟机健康状况、存储健康状况、网络健康状况和其它信息，可自定义检测项。</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超融合软件运维管理</w:t>
            </w:r>
          </w:p>
        </w:tc>
        <w:tc>
          <w:tcPr>
            <w:tcW w:type="dxa" w:w="1038"/>
          </w:tcPr>
          <w:p>
            <w:pPr>
              <w:pStyle w:val="null3"/>
            </w:pPr>
            <w:r>
              <w:rPr/>
              <w:t>★</w:t>
            </w:r>
          </w:p>
        </w:tc>
        <w:tc>
          <w:tcPr>
            <w:tcW w:type="dxa" w:w="1038"/>
          </w:tcPr>
          <w:p>
            <w:pPr>
              <w:pStyle w:val="null3"/>
            </w:pPr>
            <w:r>
              <w:rPr/>
              <w:t>系统迁移</w:t>
            </w:r>
          </w:p>
        </w:tc>
        <w:tc>
          <w:tcPr>
            <w:tcW w:type="dxa" w:w="1038"/>
          </w:tcPr>
          <w:p/>
        </w:tc>
        <w:tc>
          <w:tcPr>
            <w:tcW w:type="dxa" w:w="1038"/>
          </w:tcPr>
          <w:p>
            <w:pPr>
              <w:pStyle w:val="null3"/>
            </w:pPr>
            <w:r>
              <w:rPr/>
              <w:t>支持主流虚拟化平台虚拟机在线迁移，以及物理机业务迁移至虚拟机。</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超融合软件运维管理</w:t>
            </w:r>
          </w:p>
        </w:tc>
        <w:tc>
          <w:tcPr>
            <w:tcW w:type="dxa" w:w="1038"/>
          </w:tcPr>
          <w:p>
            <w:pPr>
              <w:pStyle w:val="null3"/>
            </w:pPr>
            <w:r>
              <w:rPr/>
              <w:t>#</w:t>
            </w:r>
          </w:p>
        </w:tc>
        <w:tc>
          <w:tcPr>
            <w:tcW w:type="dxa" w:w="1038"/>
          </w:tcPr>
          <w:p>
            <w:pPr>
              <w:pStyle w:val="null3"/>
            </w:pPr>
            <w:r>
              <w:rPr/>
              <w:t>裸金属管理</w:t>
            </w:r>
          </w:p>
        </w:tc>
        <w:tc>
          <w:tcPr>
            <w:tcW w:type="dxa" w:w="1038"/>
          </w:tcPr>
          <w:p/>
        </w:tc>
        <w:tc>
          <w:tcPr>
            <w:tcW w:type="dxa" w:w="1038"/>
          </w:tcPr>
          <w:p>
            <w:pPr>
              <w:pStyle w:val="null3"/>
            </w:pPr>
            <w:r>
              <w:rPr/>
              <w:t>支持虚拟机和裸金属服务器统一管理，支持对裸金属服务器远程电源管理、挂载安装ISO镜像等操作。</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虚拟机功能</w:t>
            </w:r>
          </w:p>
        </w:tc>
        <w:tc>
          <w:tcPr>
            <w:tcW w:type="dxa" w:w="1038"/>
          </w:tcPr>
          <w:p/>
        </w:tc>
        <w:tc>
          <w:tcPr>
            <w:tcW w:type="dxa" w:w="1038"/>
          </w:tcPr>
          <w:p>
            <w:pPr>
              <w:pStyle w:val="null3"/>
            </w:pPr>
            <w:r>
              <w:rPr/>
              <w:t>虚拟机支持物理机的全部功能，如具有自己的资源（CPU，内存，网卡，存储、光驱等），可以指定单独的IP地址、MAC地址等</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常规操作</w:t>
            </w:r>
          </w:p>
        </w:tc>
        <w:tc>
          <w:tcPr>
            <w:tcW w:type="dxa" w:w="1038"/>
          </w:tcPr>
          <w:p/>
        </w:tc>
        <w:tc>
          <w:tcPr>
            <w:tcW w:type="dxa" w:w="1038"/>
          </w:tcPr>
          <w:p>
            <w:pPr>
              <w:pStyle w:val="null3"/>
            </w:pPr>
            <w:r>
              <w:rPr/>
              <w:t>支持虚拟机启动、暂停、恢复、重启、关闭、关闭电源、克隆、迁移、备份、模板导入导出、快照等功能</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虚拟机高可用</w:t>
            </w:r>
          </w:p>
        </w:tc>
        <w:tc>
          <w:tcPr>
            <w:tcW w:type="dxa" w:w="1038"/>
          </w:tcPr>
          <w:p/>
        </w:tc>
        <w:tc>
          <w:tcPr>
            <w:tcW w:type="dxa" w:w="1038"/>
          </w:tcPr>
          <w:p>
            <w:pPr>
              <w:pStyle w:val="null3"/>
            </w:pPr>
            <w:r>
              <w:rPr/>
              <w:t>支持虚拟机HA（高可用）、可配置HA接入控制策略，且支持HA故障切换主机设置，达到故障隔离的效果，并支持配置虚拟机自启动策略和启动优先级。</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虚拟机隔离保护</w:t>
            </w:r>
          </w:p>
        </w:tc>
        <w:tc>
          <w:tcPr>
            <w:tcW w:type="dxa" w:w="1038"/>
          </w:tcPr>
          <w:p/>
        </w:tc>
        <w:tc>
          <w:tcPr>
            <w:tcW w:type="dxa" w:w="1038"/>
          </w:tcPr>
          <w:p>
            <w:pPr>
              <w:pStyle w:val="null3"/>
            </w:pPr>
            <w:r>
              <w:rPr/>
              <w:t>虚拟机之间可以做到隔离保护，其中每一个虚拟机发生故障都不会影响同一个物理机上的其它虚拟机运行，每个虚拟机上的用户权限只限于本虚拟机之内，以保障系统平台的安全性。</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操作系统支持</w:t>
            </w:r>
          </w:p>
        </w:tc>
        <w:tc>
          <w:tcPr>
            <w:tcW w:type="dxa" w:w="1038"/>
          </w:tcPr>
          <w:p/>
        </w:tc>
        <w:tc>
          <w:tcPr>
            <w:tcW w:type="dxa" w:w="1038"/>
          </w:tcPr>
          <w:p>
            <w:pPr>
              <w:pStyle w:val="null3"/>
            </w:pPr>
            <w:r>
              <w:rPr/>
              <w:t>支持现有市场上主要国内外操作系统，包括Windows、CentOS、RedHat、SUSE、Ubuntu和其它国产操作系统。</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虚拟机迁移</w:t>
            </w:r>
          </w:p>
        </w:tc>
        <w:tc>
          <w:tcPr>
            <w:tcW w:type="dxa" w:w="1038"/>
          </w:tcPr>
          <w:p/>
        </w:tc>
        <w:tc>
          <w:tcPr>
            <w:tcW w:type="dxa" w:w="1038"/>
          </w:tcPr>
          <w:p>
            <w:pPr>
              <w:pStyle w:val="null3"/>
            </w:pPr>
            <w:r>
              <w:rPr/>
              <w:t>支持虚拟机在线人为主动迁移，支持硬件等故障的主动迁移，且不影响业务系统正常运行。</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在线克隆</w:t>
            </w:r>
          </w:p>
        </w:tc>
        <w:tc>
          <w:tcPr>
            <w:tcW w:type="dxa" w:w="1038"/>
          </w:tcPr>
          <w:p/>
        </w:tc>
        <w:tc>
          <w:tcPr>
            <w:tcW w:type="dxa" w:w="1038"/>
          </w:tcPr>
          <w:p>
            <w:pPr>
              <w:pStyle w:val="null3"/>
            </w:pPr>
            <w:r>
              <w:rPr/>
              <w:t>虚拟机支持在线克隆，过程中对业务运行无影响。</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虚拟机快照管理</w:t>
            </w:r>
          </w:p>
        </w:tc>
        <w:tc>
          <w:tcPr>
            <w:tcW w:type="dxa" w:w="1038"/>
          </w:tcPr>
          <w:p/>
        </w:tc>
        <w:tc>
          <w:tcPr>
            <w:tcW w:type="dxa" w:w="1038"/>
          </w:tcPr>
          <w:p>
            <w:pPr>
              <w:pStyle w:val="null3"/>
            </w:pPr>
            <w:r>
              <w:rPr/>
              <w:t>提供文件一致性快照，支持快照创建、回滚、删除等生命周期管理，可基于快照克隆独立虚拟机。支持自动化定时快照管理功能，可配置基于小时、天、周、月的定时快照策略，并针对每个虚拟机的快照计划可配置多个快照保留策略。</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USB映射</w:t>
            </w:r>
          </w:p>
        </w:tc>
        <w:tc>
          <w:tcPr>
            <w:tcW w:type="dxa" w:w="1038"/>
          </w:tcPr>
          <w:p/>
        </w:tc>
        <w:tc>
          <w:tcPr>
            <w:tcW w:type="dxa" w:w="1038"/>
          </w:tcPr>
          <w:p>
            <w:pPr>
              <w:pStyle w:val="null3"/>
            </w:pPr>
            <w:r>
              <w:rPr/>
              <w:t>支持物理机上的USB映射给虚拟机使用。</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动态资源调整</w:t>
            </w:r>
          </w:p>
        </w:tc>
        <w:tc>
          <w:tcPr>
            <w:tcW w:type="dxa" w:w="1038"/>
          </w:tcPr>
          <w:p/>
        </w:tc>
        <w:tc>
          <w:tcPr>
            <w:tcW w:type="dxa" w:w="1038"/>
          </w:tcPr>
          <w:p>
            <w:pPr>
              <w:pStyle w:val="null3"/>
            </w:pPr>
            <w:r>
              <w:rPr/>
              <w:t>提供热添加CPU、内存、磁盘、网卡的功能，无需中断或停机即可实现虚拟资源的在线添加。支持自动评估物理主机的负载情况，当物理主机负载过高时，自动将该物理主机上的虚拟机迁移到其他负载较低的主机上。</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软件定义存储</w:t>
            </w:r>
          </w:p>
        </w:tc>
        <w:tc>
          <w:tcPr>
            <w:tcW w:type="dxa" w:w="1038"/>
          </w:tcPr>
          <w:p/>
        </w:tc>
        <w:tc>
          <w:tcPr>
            <w:tcW w:type="dxa" w:w="1038"/>
          </w:tcPr>
          <w:p>
            <w:pPr>
              <w:pStyle w:val="null3"/>
            </w:pPr>
            <w:r>
              <w:rPr/>
              <w:t>采用分布式的软件定义存储架构，在通用服务器部署，提供分布式存储服务，无需单独的存储节点，使用超融合管理平台统一管理。</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存储虚拟化</w:t>
            </w:r>
          </w:p>
        </w:tc>
        <w:tc>
          <w:tcPr>
            <w:tcW w:type="dxa" w:w="1038"/>
          </w:tcPr>
          <w:p/>
        </w:tc>
        <w:tc>
          <w:tcPr>
            <w:tcW w:type="dxa" w:w="1038"/>
          </w:tcPr>
          <w:p>
            <w:pPr>
              <w:pStyle w:val="null3"/>
            </w:pPr>
            <w:r>
              <w:rPr/>
              <w:t>支持存储虚拟化功能，无需安装额外的软件，在一个统一的管理平台上进行管理、维护等。</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数据保护</w:t>
            </w:r>
          </w:p>
        </w:tc>
        <w:tc>
          <w:tcPr>
            <w:tcW w:type="dxa" w:w="1038"/>
          </w:tcPr>
          <w:p/>
        </w:tc>
        <w:tc>
          <w:tcPr>
            <w:tcW w:type="dxa" w:w="1038"/>
          </w:tcPr>
          <w:p>
            <w:pPr>
              <w:pStyle w:val="null3"/>
            </w:pPr>
            <w:r>
              <w:rPr/>
              <w:t>元数据采用分布式保护机制，分布在不同节点，在节点意外掉电、断网、宕机情况下，系统数据不会丢失，不会影响业务系统正常运行，并且不需要额外硬件对内存中元数据提供保护。</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副本策略要求</w:t>
            </w:r>
          </w:p>
        </w:tc>
        <w:tc>
          <w:tcPr>
            <w:tcW w:type="dxa" w:w="1038"/>
          </w:tcPr>
          <w:p/>
        </w:tc>
        <w:tc>
          <w:tcPr>
            <w:tcW w:type="dxa" w:w="1038"/>
          </w:tcPr>
          <w:p>
            <w:pPr>
              <w:pStyle w:val="null3"/>
            </w:pPr>
            <w:r>
              <w:rPr/>
              <w:t>支持2至3副本数，副本策略可任意选择，副本数量可基于存储池/或虚拟机/或磁盘灵活设置，各副本间保证数据的强一致性，支持多个副本的容错机制。</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数据本地化</w:t>
            </w:r>
          </w:p>
        </w:tc>
        <w:tc>
          <w:tcPr>
            <w:tcW w:type="dxa" w:w="1038"/>
          </w:tcPr>
          <w:p/>
        </w:tc>
        <w:tc>
          <w:tcPr>
            <w:tcW w:type="dxa" w:w="1038"/>
          </w:tcPr>
          <w:p>
            <w:pPr>
              <w:pStyle w:val="null3"/>
            </w:pPr>
            <w:r>
              <w:rPr/>
              <w:t>默认配置创建出的虚拟机，读取数据时直接从本地磁盘访问，无需跨越存储交换机，虚拟机运行所在的物理节点上保留一份完整的数据副本。确保最短I/O路径以降低I/O延迟并减少网络流量，以提升存储性能。即使当虚拟机发生节点迁移后，其数据副本会自动迁移至虚拟机所在的物理节点上重新形成一个完整的数据副本，以实现数据 I/O 本地化。</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磁盘亚健康自动检测</w:t>
            </w:r>
          </w:p>
        </w:tc>
        <w:tc>
          <w:tcPr>
            <w:tcW w:type="dxa" w:w="1038"/>
          </w:tcPr>
          <w:p/>
        </w:tc>
        <w:tc>
          <w:tcPr>
            <w:tcW w:type="dxa" w:w="1038"/>
          </w:tcPr>
          <w:p>
            <w:pPr>
              <w:pStyle w:val="null3"/>
            </w:pPr>
            <w:r>
              <w:rPr/>
              <w:t>支持磁盘亚健康检测功能，在出现磁盘并未完全损坏但健康状态异常，影响到IO性能的情况下，如SSD 磁盘延时超过500ms后，平台能够告警且自动将异常磁盘隔离并剔除，避免对正常的业务运行产生影响.</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RAID卡IO阻塞隔离</w:t>
            </w:r>
          </w:p>
        </w:tc>
        <w:tc>
          <w:tcPr>
            <w:tcW w:type="dxa" w:w="1038"/>
          </w:tcPr>
          <w:p/>
        </w:tc>
        <w:tc>
          <w:tcPr>
            <w:tcW w:type="dxa" w:w="1038"/>
          </w:tcPr>
          <w:p>
            <w:pPr>
              <w:pStyle w:val="null3"/>
            </w:pPr>
            <w:r>
              <w:rPr/>
              <w:t>为了避免某主机RAID卡IO阻塞影响整个集群的业务，一旦发现因故障盘或慢盘导致RAID卡出现IO阻塞，平台支持对该故障盘或慢盘进行隔离，从而避免对其他主机上的业务系统造成影响。</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文件存储服务</w:t>
            </w:r>
          </w:p>
        </w:tc>
        <w:tc>
          <w:tcPr>
            <w:tcW w:type="dxa" w:w="1038"/>
          </w:tcPr>
          <w:p/>
        </w:tc>
        <w:tc>
          <w:tcPr>
            <w:tcW w:type="dxa" w:w="1038"/>
          </w:tcPr>
          <w:p>
            <w:pPr>
              <w:pStyle w:val="null3"/>
            </w:pPr>
            <w:r>
              <w:rPr/>
              <w:t>超融合产品提供内置企业级文件存储服务，支持 NFS 访问协议。无需额外硬件成本投入，可在同一管理平台中实现超融合集群和文件存储服务的统一管理。</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数据副本互斥</w:t>
            </w:r>
          </w:p>
        </w:tc>
        <w:tc>
          <w:tcPr>
            <w:tcW w:type="dxa" w:w="1038"/>
          </w:tcPr>
          <w:p/>
        </w:tc>
        <w:tc>
          <w:tcPr>
            <w:tcW w:type="dxa" w:w="1038"/>
          </w:tcPr>
          <w:p>
            <w:pPr>
              <w:pStyle w:val="null3"/>
            </w:pPr>
            <w:r>
              <w:rPr/>
              <w:t>副本互斥地保存在集群的不同节点，当1个或多个主机或者磁盘故障，确保数据依旧正常访问</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超融合软件计算虚拟化</w:t>
            </w:r>
          </w:p>
        </w:tc>
        <w:tc>
          <w:tcPr>
            <w:tcW w:type="dxa" w:w="1038"/>
          </w:tcPr>
          <w:p>
            <w:pPr>
              <w:pStyle w:val="null3"/>
            </w:pPr>
            <w:r>
              <w:rPr/>
              <w:t>★</w:t>
            </w:r>
          </w:p>
        </w:tc>
        <w:tc>
          <w:tcPr>
            <w:tcW w:type="dxa" w:w="1038"/>
          </w:tcPr>
          <w:p>
            <w:pPr>
              <w:pStyle w:val="null3"/>
            </w:pPr>
            <w:r>
              <w:rPr/>
              <w:t>数据自动重建</w:t>
            </w:r>
          </w:p>
        </w:tc>
        <w:tc>
          <w:tcPr>
            <w:tcW w:type="dxa" w:w="1038"/>
          </w:tcPr>
          <w:p/>
        </w:tc>
        <w:tc>
          <w:tcPr>
            <w:tcW w:type="dxa" w:w="1038"/>
          </w:tcPr>
          <w:p>
            <w:pPr>
              <w:pStyle w:val="null3"/>
            </w:pPr>
            <w:r>
              <w:rPr/>
              <w:t>支持数据自动重建机制，当主机或者磁盘故障后，自动利用集群内空闲磁盘空间，将故障数据重新恢复，能够快速恢复副本的完整性和冗余度，确保用户数据的可靠性和安全性 。</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超融合软件网络虚拟化</w:t>
            </w:r>
          </w:p>
        </w:tc>
        <w:tc>
          <w:tcPr>
            <w:tcW w:type="dxa" w:w="1038"/>
          </w:tcPr>
          <w:p>
            <w:pPr>
              <w:pStyle w:val="null3"/>
            </w:pPr>
            <w:r>
              <w:rPr/>
              <w:t>★</w:t>
            </w:r>
          </w:p>
        </w:tc>
        <w:tc>
          <w:tcPr>
            <w:tcW w:type="dxa" w:w="1038"/>
          </w:tcPr>
          <w:p>
            <w:pPr>
              <w:pStyle w:val="null3"/>
            </w:pPr>
            <w:r>
              <w:rPr/>
              <w:t>虚拟网络支持</w:t>
            </w:r>
          </w:p>
        </w:tc>
        <w:tc>
          <w:tcPr>
            <w:tcW w:type="dxa" w:w="1038"/>
          </w:tcPr>
          <w:p/>
        </w:tc>
        <w:tc>
          <w:tcPr>
            <w:tcW w:type="dxa" w:w="1038"/>
          </w:tcPr>
          <w:p>
            <w:pPr>
              <w:pStyle w:val="null3"/>
            </w:pPr>
            <w:r>
              <w:rPr/>
              <w:t>支持网络虚拟化功能（分布式虚拟交换机、虚拟路由器、虚拟负载均衡），支持Vxlan网络和现有的Vlan网络对接，实现虚拟化平台与原有网络的兼容性。</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超融合软件网络虚拟化</w:t>
            </w:r>
          </w:p>
        </w:tc>
        <w:tc>
          <w:tcPr>
            <w:tcW w:type="dxa" w:w="1038"/>
          </w:tcPr>
          <w:p>
            <w:pPr>
              <w:pStyle w:val="null3"/>
            </w:pPr>
            <w:r>
              <w:rPr/>
              <w:t>#</w:t>
            </w:r>
          </w:p>
        </w:tc>
        <w:tc>
          <w:tcPr>
            <w:tcW w:type="dxa" w:w="1038"/>
          </w:tcPr>
          <w:p>
            <w:pPr>
              <w:pStyle w:val="null3"/>
            </w:pPr>
            <w:r>
              <w:rPr/>
              <w:t>IPV6支持</w:t>
            </w:r>
          </w:p>
        </w:tc>
        <w:tc>
          <w:tcPr>
            <w:tcW w:type="dxa" w:w="1038"/>
          </w:tcPr>
          <w:p/>
        </w:tc>
        <w:tc>
          <w:tcPr>
            <w:tcW w:type="dxa" w:w="1038"/>
          </w:tcPr>
          <w:p>
            <w:pPr>
              <w:pStyle w:val="null3"/>
            </w:pPr>
            <w:r>
              <w:rPr/>
              <w:t>为满足用户使用ipv6地址的需求，支持为虚拟机配置ipv6地址，并可通过ipv6地址访问该业务</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超融合软件网络虚拟化</w:t>
            </w:r>
          </w:p>
        </w:tc>
        <w:tc>
          <w:tcPr>
            <w:tcW w:type="dxa" w:w="1038"/>
          </w:tcPr>
          <w:p>
            <w:pPr>
              <w:pStyle w:val="null3"/>
            </w:pPr>
            <w:r>
              <w:rPr/>
              <w:t>#</w:t>
            </w:r>
          </w:p>
        </w:tc>
        <w:tc>
          <w:tcPr>
            <w:tcW w:type="dxa" w:w="1038"/>
          </w:tcPr>
          <w:p>
            <w:pPr>
              <w:pStyle w:val="null3"/>
            </w:pPr>
            <w:r>
              <w:rPr/>
              <w:t>RDMA网络</w:t>
            </w:r>
          </w:p>
        </w:tc>
        <w:tc>
          <w:tcPr>
            <w:tcW w:type="dxa" w:w="1038"/>
          </w:tcPr>
          <w:p/>
        </w:tc>
        <w:tc>
          <w:tcPr>
            <w:tcW w:type="dxa" w:w="1038"/>
          </w:tcPr>
          <w:p>
            <w:pPr>
              <w:pStyle w:val="null3"/>
            </w:pPr>
            <w:r>
              <w:rPr/>
              <w:t>支持 RoCE 高速网络协议作为存储网络访问协议，降低网络延时，提升存储性能。</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超融合软件网络虚拟化</w:t>
            </w:r>
          </w:p>
        </w:tc>
        <w:tc>
          <w:tcPr>
            <w:tcW w:type="dxa" w:w="1038"/>
          </w:tcPr>
          <w:p>
            <w:pPr>
              <w:pStyle w:val="null3"/>
            </w:pPr>
            <w:r>
              <w:rPr/>
              <w:t>#</w:t>
            </w:r>
          </w:p>
        </w:tc>
        <w:tc>
          <w:tcPr>
            <w:tcW w:type="dxa" w:w="1038"/>
          </w:tcPr>
          <w:p>
            <w:pPr>
              <w:pStyle w:val="null3"/>
            </w:pPr>
            <w:r>
              <w:rPr/>
              <w:t>虚拟补丁</w:t>
            </w:r>
          </w:p>
        </w:tc>
        <w:tc>
          <w:tcPr>
            <w:tcW w:type="dxa" w:w="1038"/>
          </w:tcPr>
          <w:p/>
        </w:tc>
        <w:tc>
          <w:tcPr>
            <w:tcW w:type="dxa" w:w="1038"/>
          </w:tcPr>
          <w:p>
            <w:pPr>
              <w:pStyle w:val="null3"/>
            </w:pPr>
            <w:r>
              <w:rPr/>
              <w:t>由于本单位多数业务在云平台需要无中断、安全运行，当出现网络攻击时，云平台需具备虚拟补丁能力，可以在主机操作系统不打补丁的情况下直接在网络层对指定虚拟机开启虚拟补丁防护。</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超融合软件备份容灾</w:t>
            </w:r>
          </w:p>
        </w:tc>
        <w:tc>
          <w:tcPr>
            <w:tcW w:type="dxa" w:w="1038"/>
          </w:tcPr>
          <w:p>
            <w:pPr>
              <w:pStyle w:val="null3"/>
            </w:pPr>
            <w:r>
              <w:rPr/>
              <w:t>#</w:t>
            </w:r>
          </w:p>
        </w:tc>
        <w:tc>
          <w:tcPr>
            <w:tcW w:type="dxa" w:w="1038"/>
          </w:tcPr>
          <w:p>
            <w:pPr>
              <w:pStyle w:val="null3"/>
            </w:pPr>
            <w:r>
              <w:rPr/>
              <w:t>虚拟机备份</w:t>
            </w:r>
          </w:p>
        </w:tc>
        <w:tc>
          <w:tcPr>
            <w:tcW w:type="dxa" w:w="1038"/>
          </w:tcPr>
          <w:p/>
        </w:tc>
        <w:tc>
          <w:tcPr>
            <w:tcW w:type="dxa" w:w="1038"/>
          </w:tcPr>
          <w:p>
            <w:pPr>
              <w:pStyle w:val="null3"/>
            </w:pPr>
            <w:r>
              <w:rPr/>
              <w:t>提供无授权限制的备份功能，可实现虚拟机全量、增量备份，支持按时间（天\小时）设置备份策略；</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超融合软件备份容灾</w:t>
            </w:r>
          </w:p>
        </w:tc>
        <w:tc>
          <w:tcPr>
            <w:tcW w:type="dxa" w:w="1038"/>
          </w:tcPr>
          <w:p>
            <w:pPr>
              <w:pStyle w:val="null3"/>
            </w:pPr>
            <w:r>
              <w:rPr/>
              <w:t>#</w:t>
            </w:r>
          </w:p>
        </w:tc>
        <w:tc>
          <w:tcPr>
            <w:tcW w:type="dxa" w:w="1038"/>
          </w:tcPr>
          <w:p>
            <w:pPr>
              <w:pStyle w:val="null3"/>
            </w:pPr>
            <w:r>
              <w:rPr/>
              <w:t>批量备份</w:t>
            </w:r>
          </w:p>
        </w:tc>
        <w:tc>
          <w:tcPr>
            <w:tcW w:type="dxa" w:w="1038"/>
          </w:tcPr>
          <w:p/>
        </w:tc>
        <w:tc>
          <w:tcPr>
            <w:tcW w:type="dxa" w:w="1038"/>
          </w:tcPr>
          <w:p>
            <w:pPr>
              <w:pStyle w:val="null3"/>
            </w:pPr>
            <w:r>
              <w:rPr/>
              <w:t>支持批量备份，可设置备份时限速值，可设置保留最近N次备份点；可选择任意备份文件恢复为原虚拟机或新虚拟机。</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超融合软件备份容灾</w:t>
            </w:r>
          </w:p>
        </w:tc>
        <w:tc>
          <w:tcPr>
            <w:tcW w:type="dxa" w:w="1038"/>
          </w:tcPr>
          <w:p>
            <w:pPr>
              <w:pStyle w:val="null3"/>
            </w:pPr>
            <w:r>
              <w:rPr/>
              <w:t>#</w:t>
            </w:r>
          </w:p>
        </w:tc>
        <w:tc>
          <w:tcPr>
            <w:tcW w:type="dxa" w:w="1038"/>
          </w:tcPr>
          <w:p>
            <w:pPr>
              <w:pStyle w:val="null3"/>
            </w:pPr>
            <w:r>
              <w:rPr/>
              <w:t>站点级容灾</w:t>
            </w:r>
          </w:p>
        </w:tc>
        <w:tc>
          <w:tcPr>
            <w:tcW w:type="dxa" w:w="1038"/>
          </w:tcPr>
          <w:p/>
        </w:tc>
        <w:tc>
          <w:tcPr>
            <w:tcW w:type="dxa" w:w="1038"/>
          </w:tcPr>
          <w:p>
            <w:pPr>
              <w:pStyle w:val="null3"/>
            </w:pPr>
            <w:r>
              <w:rPr/>
              <w:t>支持基于站点的异地容灾功能。</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超融合软件安全功能</w:t>
            </w:r>
          </w:p>
        </w:tc>
        <w:tc>
          <w:tcPr>
            <w:tcW w:type="dxa" w:w="1038"/>
          </w:tcPr>
          <w:p>
            <w:pPr>
              <w:pStyle w:val="null3"/>
            </w:pPr>
            <w:r>
              <w:rPr/>
              <w:t>#</w:t>
            </w:r>
          </w:p>
        </w:tc>
        <w:tc>
          <w:tcPr>
            <w:tcW w:type="dxa" w:w="1038"/>
          </w:tcPr>
          <w:p>
            <w:pPr>
              <w:pStyle w:val="null3"/>
            </w:pPr>
            <w:r>
              <w:rPr/>
              <w:t>权限管理</w:t>
            </w:r>
          </w:p>
        </w:tc>
        <w:tc>
          <w:tcPr>
            <w:tcW w:type="dxa" w:w="1038"/>
          </w:tcPr>
          <w:p/>
        </w:tc>
        <w:tc>
          <w:tcPr>
            <w:tcW w:type="dxa" w:w="1038"/>
          </w:tcPr>
          <w:p>
            <w:pPr>
              <w:pStyle w:val="null3"/>
            </w:pPr>
            <w:r>
              <w:rPr/>
              <w:t>支持不少于三种用户身份角色，至少包括管理员、操作员、审计员角色；</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超融合软件安全功能</w:t>
            </w:r>
          </w:p>
        </w:tc>
        <w:tc>
          <w:tcPr>
            <w:tcW w:type="dxa" w:w="1038"/>
          </w:tcPr>
          <w:p>
            <w:pPr>
              <w:pStyle w:val="null3"/>
            </w:pPr>
            <w:r>
              <w:rPr/>
              <w:t>★</w:t>
            </w:r>
          </w:p>
        </w:tc>
        <w:tc>
          <w:tcPr>
            <w:tcW w:type="dxa" w:w="1038"/>
          </w:tcPr>
          <w:p>
            <w:pPr>
              <w:pStyle w:val="null3"/>
            </w:pPr>
            <w:r>
              <w:rPr/>
              <w:t>等保三级</w:t>
            </w:r>
          </w:p>
        </w:tc>
        <w:tc>
          <w:tcPr>
            <w:tcW w:type="dxa" w:w="1038"/>
          </w:tcPr>
          <w:p/>
        </w:tc>
        <w:tc>
          <w:tcPr>
            <w:tcW w:type="dxa" w:w="1038"/>
          </w:tcPr>
          <w:p>
            <w:pPr>
              <w:pStyle w:val="null3"/>
            </w:pPr>
            <w:r>
              <w:rPr/>
              <w:t>符合国家颁布的信息系统安全等级保护三级要求。</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超融合软件安全功能</w:t>
            </w:r>
          </w:p>
        </w:tc>
        <w:tc>
          <w:tcPr>
            <w:tcW w:type="dxa" w:w="1038"/>
          </w:tcPr>
          <w:p>
            <w:pPr>
              <w:pStyle w:val="null3"/>
            </w:pPr>
            <w:r>
              <w:rPr/>
              <w:t>#</w:t>
            </w:r>
          </w:p>
        </w:tc>
        <w:tc>
          <w:tcPr>
            <w:tcW w:type="dxa" w:w="1038"/>
          </w:tcPr>
          <w:p>
            <w:pPr>
              <w:pStyle w:val="null3"/>
            </w:pPr>
            <w:r>
              <w:rPr/>
              <w:t>防病毒</w:t>
            </w:r>
          </w:p>
        </w:tc>
        <w:tc>
          <w:tcPr>
            <w:tcW w:type="dxa" w:w="1038"/>
          </w:tcPr>
          <w:p/>
        </w:tc>
        <w:tc>
          <w:tcPr>
            <w:tcW w:type="dxa" w:w="1038"/>
          </w:tcPr>
          <w:p>
            <w:pPr>
              <w:pStyle w:val="null3"/>
            </w:pPr>
            <w:r>
              <w:rPr/>
              <w:t>提供防病毒功能，可以与第三方国产防病毒软件融合，满足虚拟机的防病毒需求。</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超融合软件安全功能</w:t>
            </w:r>
          </w:p>
        </w:tc>
        <w:tc>
          <w:tcPr>
            <w:tcW w:type="dxa" w:w="1038"/>
          </w:tcPr>
          <w:p>
            <w:pPr>
              <w:pStyle w:val="null3"/>
            </w:pPr>
            <w:r>
              <w:rPr/>
              <w:t>#</w:t>
            </w:r>
          </w:p>
        </w:tc>
        <w:tc>
          <w:tcPr>
            <w:tcW w:type="dxa" w:w="1038"/>
          </w:tcPr>
          <w:p>
            <w:pPr>
              <w:pStyle w:val="null3"/>
            </w:pPr>
            <w:r>
              <w:rPr/>
              <w:t>安全控制</w:t>
            </w:r>
          </w:p>
        </w:tc>
        <w:tc>
          <w:tcPr>
            <w:tcW w:type="dxa" w:w="1038"/>
          </w:tcPr>
          <w:p/>
        </w:tc>
        <w:tc>
          <w:tcPr>
            <w:tcW w:type="dxa" w:w="1038"/>
          </w:tcPr>
          <w:p>
            <w:pPr>
              <w:pStyle w:val="null3"/>
            </w:pPr>
            <w:r>
              <w:rPr/>
              <w:t>支持虚拟机的入方向、出方向、出/入方向安全访问控制功能，可基于IP、端口号等设置访问规则。</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高端交换机基本指标</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整机交换容量支持达380Tbps以上（含） 整机转发性能支持达到115000Mpps以上（含） 参数以官网最低值为准。实配支持IPV4/IPV6双栈，设备业务接口支持单独IPv4、IPv6协议或混合IPv4、IPv6协议的标准及扩展ACL数量，在IN和OUT方向上均不少于1024条</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高端交换机机箱高度</w:t>
            </w:r>
          </w:p>
        </w:tc>
        <w:tc>
          <w:tcPr>
            <w:tcW w:type="dxa" w:w="1038"/>
          </w:tcPr>
          <w:p>
            <w:pPr>
              <w:pStyle w:val="null3"/>
            </w:pPr>
            <w:r>
              <w:rPr/>
              <w:t>#</w:t>
            </w:r>
          </w:p>
        </w:tc>
        <w:tc>
          <w:tcPr>
            <w:tcW w:type="dxa" w:w="1038"/>
          </w:tcPr>
          <w:p>
            <w:pPr>
              <w:pStyle w:val="null3"/>
            </w:pPr>
            <w:r>
              <w:rPr/>
              <w:t>机箱高度</w:t>
            </w:r>
          </w:p>
        </w:tc>
        <w:tc>
          <w:tcPr>
            <w:tcW w:type="dxa" w:w="1038"/>
          </w:tcPr>
          <w:p/>
        </w:tc>
        <w:tc>
          <w:tcPr>
            <w:tcW w:type="dxa" w:w="1038"/>
          </w:tcPr>
          <w:p>
            <w:pPr>
              <w:pStyle w:val="null3"/>
            </w:pPr>
            <w:r>
              <w:rPr/>
              <w:t>机箱高度≤10U</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高端交换机设备架构</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设备采用正交CLOS架构设计，交换网槽位和业务网槽位互相90度垂直正交互联 支持同时配置安装≥4个全宽业务卡</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高端交换机可靠性1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实配冗余主控板，支持独立交换网板数量≥6且满配，支持N+1方式冗余 实配冗余风扇 实配冗余电源模块，一半电源故障情况下，支持设备满配运行，可支持设备满载运行，实配支持内置交流电源，不能配置外置交流电源 主控、交换网板、业务板卡、电源、风扇等关键部件可热插拔</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高端交换机可靠性2</w:t>
            </w:r>
          </w:p>
        </w:tc>
        <w:tc>
          <w:tcPr>
            <w:tcW w:type="dxa" w:w="1038"/>
          </w:tcPr>
          <w:p>
            <w:pPr>
              <w:pStyle w:val="null3"/>
            </w:pPr>
            <w:r>
              <w:rPr/>
              <w:t>#</w:t>
            </w:r>
          </w:p>
        </w:tc>
        <w:tc>
          <w:tcPr>
            <w:tcW w:type="dxa" w:w="1038"/>
          </w:tcPr>
          <w:p>
            <w:pPr>
              <w:pStyle w:val="null3"/>
            </w:pPr>
            <w:r>
              <w:rPr/>
              <w:t>可靠性2</w:t>
            </w:r>
          </w:p>
        </w:tc>
        <w:tc>
          <w:tcPr>
            <w:tcW w:type="dxa" w:w="1038"/>
          </w:tcPr>
          <w:p/>
        </w:tc>
        <w:tc>
          <w:tcPr>
            <w:tcW w:type="dxa" w:w="1038"/>
          </w:tcPr>
          <w:p>
            <w:pPr>
              <w:pStyle w:val="null3"/>
            </w:pPr>
            <w:r>
              <w:rPr/>
              <w:t>设备支持热补丁功能，可以在设备运行的情况下，通过补丁修复问题、优化功能，且打补丁过程中无丢包。 实配支持M-LAG或vPC等类似技术（跨框链路聚合，要求配对设备有独立的控制平面，不能用堆叠等多虚一技术实现）。</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高端交换机虚拟化1</w:t>
            </w:r>
          </w:p>
        </w:tc>
        <w:tc>
          <w:tcPr>
            <w:tcW w:type="dxa" w:w="1038"/>
          </w:tcPr>
          <w:p>
            <w:pPr>
              <w:pStyle w:val="null3"/>
            </w:pPr>
            <w:r>
              <w:rPr/>
              <w:t>#</w:t>
            </w:r>
          </w:p>
        </w:tc>
        <w:tc>
          <w:tcPr>
            <w:tcW w:type="dxa" w:w="1038"/>
          </w:tcPr>
          <w:p>
            <w:pPr>
              <w:pStyle w:val="null3"/>
            </w:pPr>
            <w:r>
              <w:rPr/>
              <w:t>虚拟化1</w:t>
            </w:r>
          </w:p>
        </w:tc>
        <w:tc>
          <w:tcPr>
            <w:tcW w:type="dxa" w:w="1038"/>
          </w:tcPr>
          <w:p/>
        </w:tc>
        <w:tc>
          <w:tcPr>
            <w:tcW w:type="dxa" w:w="1038"/>
          </w:tcPr>
          <w:p>
            <w:pPr>
              <w:pStyle w:val="null3"/>
            </w:pPr>
            <w:r>
              <w:rPr/>
              <w:t>实配支持一虚多技术</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高端交换机虚拟化2</w:t>
            </w:r>
          </w:p>
        </w:tc>
        <w:tc>
          <w:tcPr>
            <w:tcW w:type="dxa" w:w="1038"/>
          </w:tcPr>
          <w:p>
            <w:pPr>
              <w:pStyle w:val="null3"/>
            </w:pPr>
            <w:r>
              <w:rPr/>
              <w:t>#</w:t>
            </w:r>
          </w:p>
        </w:tc>
        <w:tc>
          <w:tcPr>
            <w:tcW w:type="dxa" w:w="1038"/>
          </w:tcPr>
          <w:p>
            <w:pPr>
              <w:pStyle w:val="null3"/>
            </w:pPr>
            <w:r>
              <w:rPr/>
              <w:t>虚拟化2</w:t>
            </w:r>
          </w:p>
        </w:tc>
        <w:tc>
          <w:tcPr>
            <w:tcW w:type="dxa" w:w="1038"/>
          </w:tcPr>
          <w:p/>
        </w:tc>
        <w:tc>
          <w:tcPr>
            <w:tcW w:type="dxa" w:w="1038"/>
          </w:tcPr>
          <w:p>
            <w:pPr>
              <w:pStyle w:val="null3"/>
            </w:pPr>
            <w:r>
              <w:rPr/>
              <w:t>实配支持多虚一技术</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高端交换机网络基础功能</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实配支持静态路由、RIP、OSPF、BGP，实配支持等价路由、路由策略、VRRP、策略路由，实配支持OSPF、BGPv4的明文认证和MD5密文认证 实配支持STP/RSTP/MSTP协议，实配支持BPDUGuard功能</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高端交换机Qos</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实配支持多种队列调度算法 实配支持精细化的流量监管 实配支持流量整形Shapping 实配支持WRED拥塞避免 实配支持802.1p、TOS、DSCP、EXP优先级映射</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高端交换机VxLAN</w:t>
            </w:r>
          </w:p>
        </w:tc>
        <w:tc>
          <w:tcPr>
            <w:tcW w:type="dxa" w:w="1038"/>
          </w:tcPr>
          <w:p>
            <w:pPr>
              <w:pStyle w:val="null3"/>
            </w:pPr>
            <w:r>
              <w:rPr/>
              <w:t>#</w:t>
            </w:r>
          </w:p>
        </w:tc>
        <w:tc>
          <w:tcPr>
            <w:tcW w:type="dxa" w:w="1038"/>
          </w:tcPr>
          <w:p>
            <w:pPr>
              <w:pStyle w:val="null3"/>
            </w:pPr>
            <w:r>
              <w:rPr/>
              <w:t>VxLAN</w:t>
            </w:r>
          </w:p>
        </w:tc>
        <w:tc>
          <w:tcPr>
            <w:tcW w:type="dxa" w:w="1038"/>
          </w:tcPr>
          <w:p/>
        </w:tc>
        <w:tc>
          <w:tcPr>
            <w:tcW w:type="dxa" w:w="1038"/>
          </w:tcPr>
          <w:p>
            <w:pPr>
              <w:pStyle w:val="null3"/>
            </w:pPr>
            <w:r>
              <w:rPr/>
              <w:t>支持VxLAN二、三层网关功能 支持EVPN功能</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高端交换机DCI特性</w:t>
            </w:r>
          </w:p>
        </w:tc>
        <w:tc>
          <w:tcPr>
            <w:tcW w:type="dxa" w:w="1038"/>
          </w:tcPr>
          <w:p>
            <w:pPr>
              <w:pStyle w:val="null3"/>
            </w:pPr>
            <w:r>
              <w:rPr/>
              <w:t>#</w:t>
            </w:r>
          </w:p>
        </w:tc>
        <w:tc>
          <w:tcPr>
            <w:tcW w:type="dxa" w:w="1038"/>
          </w:tcPr>
          <w:p>
            <w:pPr>
              <w:pStyle w:val="null3"/>
            </w:pPr>
            <w:r>
              <w:rPr/>
              <w:t>DCI特性</w:t>
            </w:r>
          </w:p>
        </w:tc>
        <w:tc>
          <w:tcPr>
            <w:tcW w:type="dxa" w:w="1038"/>
          </w:tcPr>
          <w:p/>
        </w:tc>
        <w:tc>
          <w:tcPr>
            <w:tcW w:type="dxa" w:w="1038"/>
          </w:tcPr>
          <w:p>
            <w:pPr>
              <w:pStyle w:val="null3"/>
            </w:pPr>
            <w:r>
              <w:rPr/>
              <w:t>支持ESI（Ethernet Segment Identifier）多归接入</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高端交换机安全</w:t>
            </w:r>
          </w:p>
        </w:tc>
        <w:tc>
          <w:tcPr>
            <w:tcW w:type="dxa" w:w="1038"/>
          </w:tcPr>
          <w:p>
            <w:pPr>
              <w:pStyle w:val="null3"/>
            </w:pPr>
            <w:r>
              <w:rPr/>
              <w:t>#</w:t>
            </w:r>
          </w:p>
        </w:tc>
        <w:tc>
          <w:tcPr>
            <w:tcW w:type="dxa" w:w="1038"/>
          </w:tcPr>
          <w:p>
            <w:pPr>
              <w:pStyle w:val="null3"/>
            </w:pPr>
            <w:r>
              <w:rPr/>
              <w:t>安全</w:t>
            </w:r>
          </w:p>
        </w:tc>
        <w:tc>
          <w:tcPr>
            <w:tcW w:type="dxa" w:w="1038"/>
          </w:tcPr>
          <w:p/>
        </w:tc>
        <w:tc>
          <w:tcPr>
            <w:tcW w:type="dxa" w:w="1038"/>
          </w:tcPr>
          <w:p>
            <w:pPr>
              <w:pStyle w:val="null3"/>
            </w:pPr>
            <w:r>
              <w:rPr/>
              <w:t>实配支持IPv4uRPF、DHCPSnooping、ARP防攻击、控制层面保护、广播风暴抑制、端口隔离 实配支持IP+MAC+VLAN+PORT的绑定 支持CPU保护功能 实配支持报文过滤功能，黑洞路由、黑洞MAC</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高端交换机网络管理</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实配支持Console、Telnet和SSH2命令行配置 实配支持SNMPV2、V3等通用网络管理协议 支持网络流量特征的统计功能（如Netstream/Netflow/IPFIX） 实配支持端口流量镜像</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高端交换机其他要求</w:t>
            </w:r>
          </w:p>
        </w:tc>
        <w:tc>
          <w:tcPr>
            <w:tcW w:type="dxa" w:w="1038"/>
          </w:tcPr>
          <w:p>
            <w:pPr>
              <w:pStyle w:val="null3"/>
            </w:pPr>
            <w:r>
              <w:rPr/>
              <w:t>★</w:t>
            </w:r>
          </w:p>
        </w:tc>
        <w:tc>
          <w:tcPr>
            <w:tcW w:type="dxa" w:w="1038"/>
          </w:tcPr>
          <w:p>
            <w:pPr>
              <w:pStyle w:val="null3"/>
            </w:pPr>
            <w:r>
              <w:rPr/>
              <w:t>其他要求1</w:t>
            </w:r>
          </w:p>
        </w:tc>
        <w:tc>
          <w:tcPr>
            <w:tcW w:type="dxa" w:w="1038"/>
          </w:tcPr>
          <w:p/>
        </w:tc>
        <w:tc>
          <w:tcPr>
            <w:tcW w:type="dxa" w:w="1038"/>
          </w:tcPr>
          <w:p>
            <w:pPr>
              <w:pStyle w:val="null3"/>
            </w:pPr>
            <w:r>
              <w:rPr/>
              <w:t>投标产品具备工信部入网许可证，投标产品最早入网时间截止到投标日期须达到12个月。 提供的硬件设备核心芯片是中国大陆地区注册企业研发，具有自主知识产权，提供的软件产品知识产权属于中国大陆地区注册企业。</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高端交换机配套服务</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支持三年原厂质量保证服务（备件响应级别不低于7*24*4） 完成设备上架、安装及调试服务，工程实施、系统上线的现场技术支持服务</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高端交换机以太网板（全宽板卡）支持</w:t>
            </w:r>
          </w:p>
        </w:tc>
        <w:tc>
          <w:tcPr>
            <w:tcW w:type="dxa" w:w="1038"/>
          </w:tcPr>
          <w:p>
            <w:pPr>
              <w:pStyle w:val="null3"/>
            </w:pPr>
            <w:r>
              <w:rPr/>
              <w:t>#</w:t>
            </w:r>
          </w:p>
        </w:tc>
        <w:tc>
          <w:tcPr>
            <w:tcW w:type="dxa" w:w="1038"/>
          </w:tcPr>
          <w:p>
            <w:pPr>
              <w:pStyle w:val="null3"/>
            </w:pPr>
            <w:r>
              <w:rPr/>
              <w:t>以太网板（全宽板卡）支持</w:t>
            </w:r>
          </w:p>
        </w:tc>
        <w:tc>
          <w:tcPr>
            <w:tcW w:type="dxa" w:w="1038"/>
          </w:tcPr>
          <w:p/>
        </w:tc>
        <w:tc>
          <w:tcPr>
            <w:tcW w:type="dxa" w:w="1038"/>
          </w:tcPr>
          <w:p>
            <w:pPr>
              <w:pStyle w:val="null3"/>
            </w:pPr>
            <w:r>
              <w:rPr/>
              <w:t>支持所配置的单块业务板卡可提供≥48端口千兆电接口(RJ45) 支持所配置的单块业务板卡可提供≥48端口千兆SFP接口(SFP,LC) 支持所配置的单块业务板卡可提供≥48端口万兆SFP+接口(SFP+,LC) 支持所配置的单块业务板卡可提供≥36端口40G以太光接口（QSFP+,LC） 支持所配置的单块业务板卡可提供≥36端口100G以太光接口（QSFP28,LC）</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高端交换机端口模块支持</w:t>
            </w:r>
          </w:p>
        </w:tc>
        <w:tc>
          <w:tcPr>
            <w:tcW w:type="dxa" w:w="1038"/>
          </w:tcPr>
          <w:p>
            <w:pPr>
              <w:pStyle w:val="null3"/>
            </w:pPr>
            <w:r>
              <w:rPr/>
              <w:t>#</w:t>
            </w:r>
          </w:p>
        </w:tc>
        <w:tc>
          <w:tcPr>
            <w:tcW w:type="dxa" w:w="1038"/>
          </w:tcPr>
          <w:p>
            <w:pPr>
              <w:pStyle w:val="null3"/>
            </w:pPr>
            <w:r>
              <w:rPr/>
              <w:t>端口模块支持</w:t>
            </w:r>
          </w:p>
        </w:tc>
        <w:tc>
          <w:tcPr>
            <w:tcW w:type="dxa" w:w="1038"/>
          </w:tcPr>
          <w:p/>
        </w:tc>
        <w:tc>
          <w:tcPr>
            <w:tcW w:type="dxa" w:w="1038"/>
          </w:tcPr>
          <w:p>
            <w:pPr>
              <w:pStyle w:val="null3"/>
            </w:pPr>
            <w:r>
              <w:rPr/>
              <w:t>千兆SFP电接口模块（RJ45） 千兆多模SFP光接口模块（LC） 千兆单模SFP光接口模块（LC） 万兆多模SFP+光接口模块（LC） 万兆单模SFP+光接口模块（LC） 100G QSFP28多模光接口模块（LC） 100G QSFP28单模光接口模块（LC） 40G多模光接口模块（LC）（最大传输距离100M） 40G单模光接口模块（LC）（最大传输距离2KM）</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高端交换机硬件配置要求</w:t>
            </w:r>
          </w:p>
        </w:tc>
        <w:tc>
          <w:tcPr>
            <w:tcW w:type="dxa" w:w="1038"/>
          </w:tcPr>
          <w:p>
            <w:pPr>
              <w:pStyle w:val="null3"/>
            </w:pPr>
            <w:r>
              <w:rPr/>
              <w:t>★</w:t>
            </w:r>
          </w:p>
        </w:tc>
        <w:tc>
          <w:tcPr>
            <w:tcW w:type="dxa" w:w="1038"/>
          </w:tcPr>
          <w:p>
            <w:pPr>
              <w:pStyle w:val="null3"/>
            </w:pPr>
            <w:r>
              <w:rPr/>
              <w:t>硬件配置要求</w:t>
            </w:r>
          </w:p>
        </w:tc>
        <w:tc>
          <w:tcPr>
            <w:tcW w:type="dxa" w:w="1038"/>
          </w:tcPr>
          <w:p/>
        </w:tc>
        <w:tc>
          <w:tcPr>
            <w:tcW w:type="dxa" w:w="1038"/>
          </w:tcPr>
          <w:p>
            <w:pPr>
              <w:pStyle w:val="null3"/>
            </w:pPr>
            <w:r>
              <w:rPr/>
              <w:t>实配2块48*10G万兆光接口板卡（支持万兆多模、万兆单模、千兆多模、千兆单模、千兆电模块） 实配24个万兆多模SFP+光模块 实配4个万兆单模SFP+光模块 实配8个千兆多模SFP光模块 实配2个千兆单模SFP光模块 实配10个千兆电模块。</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中端交换机（配置一）基本指标</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整机交换容量支持达到4.8Tbps以上（含） 整机转发性能支持达到2000Mpps以上（含） 参数以官网最低值为准。实配支持IPV4/IPV6双栈，设备业务接口支持单独IPv4、IPv6协议或混合IPv4、IPv6协议的标准及扩展ACL数量，在IN和OUT方向上均不少于1024条</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中端交换机（配置一）设备架构</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同时支持48个万兆SFP+插槽（LC，支持万兆光模块、千兆光模块、千兆电模块），和6个40GE QSFP+插槽（LC） 设备高度≤1U</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中端交换机（配置一）可靠性1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实配模块化冗余电源，实配模块化冗余风扇 电源模块与风扇模块均支持热插拔</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中端交换机（配置一）虚拟化</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实配支持多虚一</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中端交换机（配置一）网络基础功能</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实配支持静态路由、RIP、OSPF、BGP 实配支持等价路由、路由策略、VRRP、策略路由 实配支持STP/RSTP/MSTP协议，实配支持STPRootGuard，实配支持BPDUGuard 支持跨设备链路聚合。</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中端交换机（配置一）Qos</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实配支持灵活的队列调度算法，可以同时基于端口和队列进行设置，实配支持多种队列调度模式 实配支持报文的802.1p和DSCP优先级重新标记</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中端交换机（配置一）VxLAN</w:t>
            </w:r>
          </w:p>
        </w:tc>
        <w:tc>
          <w:tcPr>
            <w:tcW w:type="dxa" w:w="1038"/>
          </w:tcPr>
          <w:p>
            <w:pPr>
              <w:pStyle w:val="null3"/>
            </w:pPr>
            <w:r>
              <w:rPr/>
              <w:t>#</w:t>
            </w:r>
          </w:p>
        </w:tc>
        <w:tc>
          <w:tcPr>
            <w:tcW w:type="dxa" w:w="1038"/>
          </w:tcPr>
          <w:p>
            <w:pPr>
              <w:pStyle w:val="null3"/>
            </w:pPr>
            <w:r>
              <w:rPr/>
              <w:t>VxLAN</w:t>
            </w:r>
          </w:p>
        </w:tc>
        <w:tc>
          <w:tcPr>
            <w:tcW w:type="dxa" w:w="1038"/>
          </w:tcPr>
          <w:p/>
        </w:tc>
        <w:tc>
          <w:tcPr>
            <w:tcW w:type="dxa" w:w="1038"/>
          </w:tcPr>
          <w:p>
            <w:pPr>
              <w:pStyle w:val="null3"/>
            </w:pPr>
            <w:r>
              <w:rPr/>
              <w:t>支持VxLAN二、三层网关功能 支持EVPN功能</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中端交换机（配置一）安全</w:t>
            </w:r>
          </w:p>
        </w:tc>
        <w:tc>
          <w:tcPr>
            <w:tcW w:type="dxa" w:w="1038"/>
          </w:tcPr>
          <w:p>
            <w:pPr>
              <w:pStyle w:val="null3"/>
            </w:pPr>
            <w:r>
              <w:rPr/>
              <w:t>#</w:t>
            </w:r>
          </w:p>
        </w:tc>
        <w:tc>
          <w:tcPr>
            <w:tcW w:type="dxa" w:w="1038"/>
          </w:tcPr>
          <w:p>
            <w:pPr>
              <w:pStyle w:val="null3"/>
            </w:pPr>
            <w:r>
              <w:rPr/>
              <w:t>安全</w:t>
            </w:r>
          </w:p>
        </w:tc>
        <w:tc>
          <w:tcPr>
            <w:tcW w:type="dxa" w:w="1038"/>
          </w:tcPr>
          <w:p/>
        </w:tc>
        <w:tc>
          <w:tcPr>
            <w:tcW w:type="dxa" w:w="1038"/>
          </w:tcPr>
          <w:p>
            <w:pPr>
              <w:pStyle w:val="null3"/>
            </w:pPr>
            <w:r>
              <w:rPr/>
              <w:t>支持RADIUS认证、用户分级管理和口令保护 支持标准、扩展、基于端口的和基于VLAN的ACL 支持CPU保护功能。</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中端交换机（配置一）网络管理</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支持基于Console、SSH、telnet的命令行配置 支持NTP、SNMP v2c/v3等协议 支持端口镜像和远程端口镜像功能 支持网络流量分析（兼容RFC3954，如Netflow/NetStream/sflow等）</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中端交换机（配置一）其他要求</w:t>
            </w:r>
          </w:p>
        </w:tc>
        <w:tc>
          <w:tcPr>
            <w:tcW w:type="dxa" w:w="1038"/>
          </w:tcPr>
          <w:p>
            <w:pPr>
              <w:pStyle w:val="null3"/>
            </w:pPr>
            <w:r>
              <w:rPr/>
              <w:t>★</w:t>
            </w:r>
          </w:p>
        </w:tc>
        <w:tc>
          <w:tcPr>
            <w:tcW w:type="dxa" w:w="1038"/>
          </w:tcPr>
          <w:p>
            <w:pPr>
              <w:pStyle w:val="null3"/>
            </w:pPr>
            <w:r>
              <w:rPr/>
              <w:t>其他要求1</w:t>
            </w:r>
          </w:p>
        </w:tc>
        <w:tc>
          <w:tcPr>
            <w:tcW w:type="dxa" w:w="1038"/>
          </w:tcPr>
          <w:p/>
        </w:tc>
        <w:tc>
          <w:tcPr>
            <w:tcW w:type="dxa" w:w="1038"/>
          </w:tcPr>
          <w:p>
            <w:pPr>
              <w:pStyle w:val="null3"/>
            </w:pPr>
            <w:r>
              <w:rPr/>
              <w:t>投标产品具备工信部入网许可证，投标产品最早入网时间截止到投标日期须达到12个月。 提供的硬件设备核心芯片是中国大陆地区注册企业研发，具有自主知识产权，提供的软件产品知识产权属于中国大陆地区注册企业。</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中端交换机（配置一）配套服务</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支持三年原厂质量保证服务（备件响应级别不低于7*24*4） 完成设备上架、安装及调试服务，工程实施、系统上线的现场技术支持服务</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中端交换机（配置一）端口模块支持</w:t>
            </w:r>
          </w:p>
        </w:tc>
        <w:tc>
          <w:tcPr>
            <w:tcW w:type="dxa" w:w="1038"/>
          </w:tcPr>
          <w:p>
            <w:pPr>
              <w:pStyle w:val="null3"/>
            </w:pPr>
            <w:r>
              <w:rPr/>
              <w:t>#</w:t>
            </w:r>
          </w:p>
        </w:tc>
        <w:tc>
          <w:tcPr>
            <w:tcW w:type="dxa" w:w="1038"/>
          </w:tcPr>
          <w:p>
            <w:pPr>
              <w:pStyle w:val="null3"/>
            </w:pPr>
            <w:r>
              <w:rPr/>
              <w:t>端口模块支持</w:t>
            </w:r>
          </w:p>
        </w:tc>
        <w:tc>
          <w:tcPr>
            <w:tcW w:type="dxa" w:w="1038"/>
          </w:tcPr>
          <w:p/>
        </w:tc>
        <w:tc>
          <w:tcPr>
            <w:tcW w:type="dxa" w:w="1038"/>
          </w:tcPr>
          <w:p>
            <w:pPr>
              <w:pStyle w:val="null3"/>
            </w:pPr>
            <w:r>
              <w:rPr/>
              <w:t>千兆SFP电接口模块（RJ45） 千兆多模SFP光接口模块（LC） 千兆单模SFP光接口模块（LC） 万兆多模SFP+光接口模块（LC） 万兆单模SFP+光接口模块（LC） 40G多模光接口模块（LC）（最大传输距离100M） 40G单模光接口模块（LC）（最大传输距离2KM）</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中端交换机（配置一）硬件配置要求</w:t>
            </w:r>
          </w:p>
        </w:tc>
        <w:tc>
          <w:tcPr>
            <w:tcW w:type="dxa" w:w="1038"/>
          </w:tcPr>
          <w:p>
            <w:pPr>
              <w:pStyle w:val="null3"/>
            </w:pPr>
            <w:r>
              <w:rPr/>
              <w:t>★</w:t>
            </w:r>
          </w:p>
        </w:tc>
        <w:tc>
          <w:tcPr>
            <w:tcW w:type="dxa" w:w="1038"/>
          </w:tcPr>
          <w:p>
            <w:pPr>
              <w:pStyle w:val="null3"/>
            </w:pPr>
            <w:r>
              <w:rPr/>
              <w:t>硬件配置要求</w:t>
            </w:r>
          </w:p>
        </w:tc>
        <w:tc>
          <w:tcPr>
            <w:tcW w:type="dxa" w:w="1038"/>
          </w:tcPr>
          <w:p/>
        </w:tc>
        <w:tc>
          <w:tcPr>
            <w:tcW w:type="dxa" w:w="1038"/>
          </w:tcPr>
          <w:p>
            <w:pPr>
              <w:pStyle w:val="null3"/>
            </w:pPr>
            <w:r>
              <w:rPr/>
              <w:t>实配2个40G多模光模块 实配10个万兆多模SFP+光模块 实配4个千兆多模SFP光模块 实配4个千兆电模块</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中端交换机（配置二）基本指标</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整机交换容量支持达到4.8Tbps以上（含） 整机转发性能支持达到2000Mpps以上（含） 参数以官网最低值为准。实配支持IPV4/IPV6双栈，设备业务接口支持单独IPv4、IPv6协议或混合IPv4、IPv6协议的标准及扩展ACL数量，在IN和OUT方向上均不少于1024条。</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中端交换机（配置二）设备架构</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同时支持48个万兆SFP+插槽（LC，支持万兆光模块、千兆光模块、千兆电模块），和6个40GE QSFP+插槽（LC） 设备高度≤1U</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中端交换机（配置二）可靠性1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实配模块化冗余电源，实配模块化冗余风扇 电源模块与风扇模块均支持热插拔</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中端交换机（配置二）虚拟化</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实配支持多虚一</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中端交换机（配置二）网络基础功能</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实配支持静态路由、RIP、OSPF、BGP 实配支持等价路由、路由策略、VRRP、策略路由 实配支持STP/RSTP/MSTP协议，实配支持STPRootGuard，实配支持BPDUGuard 支持跨设备链路聚合。</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中端交换机（配置二）Qos</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实配支持灵活的队列调度算法，可以同时基于端口和队列进行设置，实配支持多种队列调度模式 实配支持报文的802.1p和DSCP优先级重新标记</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中端交换机（配置二）VxLAN</w:t>
            </w:r>
          </w:p>
        </w:tc>
        <w:tc>
          <w:tcPr>
            <w:tcW w:type="dxa" w:w="1038"/>
          </w:tcPr>
          <w:p>
            <w:pPr>
              <w:pStyle w:val="null3"/>
            </w:pPr>
            <w:r>
              <w:rPr/>
              <w:t>#</w:t>
            </w:r>
          </w:p>
        </w:tc>
        <w:tc>
          <w:tcPr>
            <w:tcW w:type="dxa" w:w="1038"/>
          </w:tcPr>
          <w:p>
            <w:pPr>
              <w:pStyle w:val="null3"/>
            </w:pPr>
            <w:r>
              <w:rPr/>
              <w:t>VxLAN</w:t>
            </w:r>
          </w:p>
        </w:tc>
        <w:tc>
          <w:tcPr>
            <w:tcW w:type="dxa" w:w="1038"/>
          </w:tcPr>
          <w:p/>
        </w:tc>
        <w:tc>
          <w:tcPr>
            <w:tcW w:type="dxa" w:w="1038"/>
          </w:tcPr>
          <w:p>
            <w:pPr>
              <w:pStyle w:val="null3"/>
            </w:pPr>
            <w:r>
              <w:rPr/>
              <w:t>支持VxLAN二、三层网关功能 支持EVPN功能</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中端交换机（配置二）安全</w:t>
            </w:r>
          </w:p>
        </w:tc>
        <w:tc>
          <w:tcPr>
            <w:tcW w:type="dxa" w:w="1038"/>
          </w:tcPr>
          <w:p>
            <w:pPr>
              <w:pStyle w:val="null3"/>
            </w:pPr>
            <w:r>
              <w:rPr/>
              <w:t>#</w:t>
            </w:r>
          </w:p>
        </w:tc>
        <w:tc>
          <w:tcPr>
            <w:tcW w:type="dxa" w:w="1038"/>
          </w:tcPr>
          <w:p>
            <w:pPr>
              <w:pStyle w:val="null3"/>
            </w:pPr>
            <w:r>
              <w:rPr/>
              <w:t>安全</w:t>
            </w:r>
          </w:p>
        </w:tc>
        <w:tc>
          <w:tcPr>
            <w:tcW w:type="dxa" w:w="1038"/>
          </w:tcPr>
          <w:p/>
        </w:tc>
        <w:tc>
          <w:tcPr>
            <w:tcW w:type="dxa" w:w="1038"/>
          </w:tcPr>
          <w:p>
            <w:pPr>
              <w:pStyle w:val="null3"/>
            </w:pPr>
            <w:r>
              <w:rPr/>
              <w:t>支持RADIUS认证、用户分级管理和口令保护 支持标准、扩展、基于端口的和基于VLAN的ACL 支持CPU保护功能。</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中端交换机（配置二）网络管理</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支持基于Console、SSH、telnet的命令行配置 支持NTP、SNMP v2c/v3等协议 支持端口镜像和远程端口镜像功能 支持网络流量分析（兼容RFC3954，如Netflow/NetStream/sflow等）</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中端交换机（配置二）其他要求</w:t>
            </w:r>
          </w:p>
        </w:tc>
        <w:tc>
          <w:tcPr>
            <w:tcW w:type="dxa" w:w="1038"/>
          </w:tcPr>
          <w:p>
            <w:pPr>
              <w:pStyle w:val="null3"/>
            </w:pPr>
            <w:r>
              <w:rPr/>
              <w:t>★</w:t>
            </w:r>
          </w:p>
        </w:tc>
        <w:tc>
          <w:tcPr>
            <w:tcW w:type="dxa" w:w="1038"/>
          </w:tcPr>
          <w:p>
            <w:pPr>
              <w:pStyle w:val="null3"/>
            </w:pPr>
            <w:r>
              <w:rPr/>
              <w:t>其他要求1</w:t>
            </w:r>
          </w:p>
        </w:tc>
        <w:tc>
          <w:tcPr>
            <w:tcW w:type="dxa" w:w="1038"/>
          </w:tcPr>
          <w:p/>
        </w:tc>
        <w:tc>
          <w:tcPr>
            <w:tcW w:type="dxa" w:w="1038"/>
          </w:tcPr>
          <w:p>
            <w:pPr>
              <w:pStyle w:val="null3"/>
            </w:pPr>
            <w:r>
              <w:rPr/>
              <w:t>投标产品具备工信部入网许可证，投标产品最早入网时间截止到投标日期须达到12个月。 提供的硬件设备核心芯片是中国大陆地区注册企业研发，具有自主知识产权，提供的软件产品知识产权属于中国大陆地区注册企业。</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中端交换机（配置二）配套服务</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支持三年原厂质量保证服务（备件响应级别不低于7*24*4） 完成设备上架、安装及调试服务，工程实施、系统上线的现场技术支持服务</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中端交换机（配置二）端口模块支持</w:t>
            </w:r>
          </w:p>
        </w:tc>
        <w:tc>
          <w:tcPr>
            <w:tcW w:type="dxa" w:w="1038"/>
          </w:tcPr>
          <w:p>
            <w:pPr>
              <w:pStyle w:val="null3"/>
            </w:pPr>
            <w:r>
              <w:rPr/>
              <w:t>#</w:t>
            </w:r>
          </w:p>
        </w:tc>
        <w:tc>
          <w:tcPr>
            <w:tcW w:type="dxa" w:w="1038"/>
          </w:tcPr>
          <w:p>
            <w:pPr>
              <w:pStyle w:val="null3"/>
            </w:pPr>
            <w:r>
              <w:rPr/>
              <w:t>端口模块支持</w:t>
            </w:r>
          </w:p>
        </w:tc>
        <w:tc>
          <w:tcPr>
            <w:tcW w:type="dxa" w:w="1038"/>
          </w:tcPr>
          <w:p/>
        </w:tc>
        <w:tc>
          <w:tcPr>
            <w:tcW w:type="dxa" w:w="1038"/>
          </w:tcPr>
          <w:p>
            <w:pPr>
              <w:pStyle w:val="null3"/>
            </w:pPr>
            <w:r>
              <w:rPr/>
              <w:t>千兆SFP电接口模块（RJ45） 千兆多模SFP光接口模块（LC） 千兆单模SFP光接口模块（LC） 万兆多模SFP+光接口模块（LC） 万兆单模SFP+光接口模块（LC） 40G多模光接口模块（LC）（最大传输距离100M） 40G单模光接口模块（LC）（最大传输距离2KM）</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中端交换机（配置二）硬件配置要求</w:t>
            </w:r>
          </w:p>
        </w:tc>
        <w:tc>
          <w:tcPr>
            <w:tcW w:type="dxa" w:w="1038"/>
          </w:tcPr>
          <w:p>
            <w:pPr>
              <w:pStyle w:val="null3"/>
            </w:pPr>
            <w:r>
              <w:rPr/>
              <w:t>★</w:t>
            </w:r>
          </w:p>
        </w:tc>
        <w:tc>
          <w:tcPr>
            <w:tcW w:type="dxa" w:w="1038"/>
          </w:tcPr>
          <w:p>
            <w:pPr>
              <w:pStyle w:val="null3"/>
            </w:pPr>
            <w:r>
              <w:rPr/>
              <w:t>硬件配置要求</w:t>
            </w:r>
          </w:p>
        </w:tc>
        <w:tc>
          <w:tcPr>
            <w:tcW w:type="dxa" w:w="1038"/>
          </w:tcPr>
          <w:p/>
        </w:tc>
        <w:tc>
          <w:tcPr>
            <w:tcW w:type="dxa" w:w="1038"/>
          </w:tcPr>
          <w:p>
            <w:pPr>
              <w:pStyle w:val="null3"/>
            </w:pPr>
            <w:r>
              <w:rPr/>
              <w:t>实配10个万兆多模SFP+光模块 实配2个万兆单模SFP+光模块 实配6个千兆多模SFP光模块 实配6个千兆电模块</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低端交换机基本指标</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整机交换容量支持达到730Gbps以上（含） 整机转发性能支持达到250Mpps以上（含） 参数以官网最低值为准。实配支持IPV4/IPV6双栈，设备业务接口支持单独IPv4、IPv6协议或混合IPv4、IPv6协议的标准及扩展ACL数量，在IN和OUT方向上均不少于384条。</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低端交换机设备架构</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实配48个10/100/1000Base-T电口，实配4个万兆SFP+插槽（LC，支持万兆光模块、千兆光模块、千兆电模块） 设备高度≤1U。</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低端交换机可靠性1</w:t>
            </w:r>
          </w:p>
        </w:tc>
        <w:tc>
          <w:tcPr>
            <w:tcW w:type="dxa" w:w="1038"/>
          </w:tcPr>
          <w:p>
            <w:pPr>
              <w:pStyle w:val="null3"/>
            </w:pPr>
            <w:r>
              <w:rPr/>
              <w:t>★</w:t>
            </w:r>
          </w:p>
        </w:tc>
        <w:tc>
          <w:tcPr>
            <w:tcW w:type="dxa" w:w="1038"/>
          </w:tcPr>
          <w:p>
            <w:pPr>
              <w:pStyle w:val="null3"/>
            </w:pPr>
            <w:r>
              <w:rPr/>
              <w:t>可靠性1</w:t>
            </w:r>
          </w:p>
        </w:tc>
        <w:tc>
          <w:tcPr>
            <w:tcW w:type="dxa" w:w="1038"/>
          </w:tcPr>
          <w:p/>
        </w:tc>
        <w:tc>
          <w:tcPr>
            <w:tcW w:type="dxa" w:w="1038"/>
          </w:tcPr>
          <w:p>
            <w:pPr>
              <w:pStyle w:val="null3"/>
            </w:pPr>
            <w:r>
              <w:rPr/>
              <w:t>配置冗余电源、冗余风扇 电源模块支持热插拔</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低端交换机虚拟化</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实配支持多虚一</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低端交换机网络基础功能</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实配支持静态路由、RIP、OSPF、BGP 实配支持等价路由、路由策略、VRRP、策略路由 实配支持STP/RSTP/MSTP协议，实配支持STPRootGuard，实配支持BPDUGuard</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低端交换机Qos</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实配支持灵活的队列调度算法，可以同时基于端口和队列进行设置，实配支持多种队列调度模式 实配支持报文的802.1p和DSCP优先级重新标记</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低端交换机安全</w:t>
            </w:r>
          </w:p>
        </w:tc>
        <w:tc>
          <w:tcPr>
            <w:tcW w:type="dxa" w:w="1038"/>
          </w:tcPr>
          <w:p>
            <w:pPr>
              <w:pStyle w:val="null3"/>
            </w:pPr>
            <w:r>
              <w:rPr/>
              <w:t>#</w:t>
            </w:r>
          </w:p>
        </w:tc>
        <w:tc>
          <w:tcPr>
            <w:tcW w:type="dxa" w:w="1038"/>
          </w:tcPr>
          <w:p>
            <w:pPr>
              <w:pStyle w:val="null3"/>
            </w:pPr>
            <w:r>
              <w:rPr/>
              <w:t>安全</w:t>
            </w:r>
          </w:p>
        </w:tc>
        <w:tc>
          <w:tcPr>
            <w:tcW w:type="dxa" w:w="1038"/>
          </w:tcPr>
          <w:p/>
        </w:tc>
        <w:tc>
          <w:tcPr>
            <w:tcW w:type="dxa" w:w="1038"/>
          </w:tcPr>
          <w:p>
            <w:pPr>
              <w:pStyle w:val="null3"/>
            </w:pPr>
            <w:r>
              <w:rPr/>
              <w:t>支持RADIUS认证、用户分级管理和口令保护 支持标准、扩展、基于端口的和基于VLAN的ACL 支持CPU保护功能。</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低端交换机网络管理</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实配支持基于Console、SSH、telnet的命令行配置</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低端交换机其他要求</w:t>
            </w:r>
          </w:p>
        </w:tc>
        <w:tc>
          <w:tcPr>
            <w:tcW w:type="dxa" w:w="1038"/>
          </w:tcPr>
          <w:p>
            <w:pPr>
              <w:pStyle w:val="null3"/>
            </w:pPr>
            <w:r>
              <w:rPr/>
              <w:t>★</w:t>
            </w:r>
          </w:p>
        </w:tc>
        <w:tc>
          <w:tcPr>
            <w:tcW w:type="dxa" w:w="1038"/>
          </w:tcPr>
          <w:p>
            <w:pPr>
              <w:pStyle w:val="null3"/>
            </w:pPr>
            <w:r>
              <w:rPr/>
              <w:t>其他要求1</w:t>
            </w:r>
          </w:p>
        </w:tc>
        <w:tc>
          <w:tcPr>
            <w:tcW w:type="dxa" w:w="1038"/>
          </w:tcPr>
          <w:p/>
        </w:tc>
        <w:tc>
          <w:tcPr>
            <w:tcW w:type="dxa" w:w="1038"/>
          </w:tcPr>
          <w:p>
            <w:pPr>
              <w:pStyle w:val="null3"/>
            </w:pPr>
            <w:r>
              <w:rPr/>
              <w:t>投标产品具备工信部入网许可证，投标产品最早入网时间截止到投标日期须达到12个月。 提供的硬件设备核心芯片是中国大陆地区注册企业研发，具有自主知识产权，提供的软件产品知识产权属于中国大陆地区注册企业。</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低端交换机配套服务</w:t>
            </w:r>
          </w:p>
        </w:tc>
        <w:tc>
          <w:tcPr>
            <w:tcW w:type="dxa" w:w="1038"/>
          </w:tcPr>
          <w:p>
            <w:pPr>
              <w:pStyle w:val="null3"/>
            </w:pPr>
            <w:r>
              <w:rPr/>
              <w:t>★</w:t>
            </w:r>
          </w:p>
        </w:tc>
        <w:tc>
          <w:tcPr>
            <w:tcW w:type="dxa" w:w="1038"/>
          </w:tcPr>
          <w:p>
            <w:pPr>
              <w:pStyle w:val="null3"/>
            </w:pPr>
            <w:r>
              <w:rPr/>
              <w:t>配套服务</w:t>
            </w:r>
          </w:p>
        </w:tc>
        <w:tc>
          <w:tcPr>
            <w:tcW w:type="dxa" w:w="1038"/>
          </w:tcPr>
          <w:p/>
        </w:tc>
        <w:tc>
          <w:tcPr>
            <w:tcW w:type="dxa" w:w="1038"/>
          </w:tcPr>
          <w:p>
            <w:pPr>
              <w:pStyle w:val="null3"/>
            </w:pPr>
            <w:r>
              <w:rPr/>
              <w:t>支持三年原厂质量保证服务（备件响应级别不低于7*24*4） 完成设备上架、安装及调试服务，工程实施、系统上线的现场技术支持服务</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低端交换机端口模块支持</w:t>
            </w:r>
          </w:p>
        </w:tc>
        <w:tc>
          <w:tcPr>
            <w:tcW w:type="dxa" w:w="1038"/>
          </w:tcPr>
          <w:p>
            <w:pPr>
              <w:pStyle w:val="null3"/>
            </w:pPr>
            <w:r>
              <w:rPr/>
              <w:t>#</w:t>
            </w:r>
          </w:p>
        </w:tc>
        <w:tc>
          <w:tcPr>
            <w:tcW w:type="dxa" w:w="1038"/>
          </w:tcPr>
          <w:p>
            <w:pPr>
              <w:pStyle w:val="null3"/>
            </w:pPr>
            <w:r>
              <w:rPr/>
              <w:t>端口模块支持</w:t>
            </w:r>
          </w:p>
        </w:tc>
        <w:tc>
          <w:tcPr>
            <w:tcW w:type="dxa" w:w="1038"/>
          </w:tcPr>
          <w:p/>
        </w:tc>
        <w:tc>
          <w:tcPr>
            <w:tcW w:type="dxa" w:w="1038"/>
          </w:tcPr>
          <w:p>
            <w:pPr>
              <w:pStyle w:val="null3"/>
            </w:pPr>
            <w:r>
              <w:rPr/>
              <w:t>千兆多模SFP光接口模块（LC） 千兆单模SFP光接口模块（LC） 万兆多模SFP+光接口模块（LC） 万兆单模SFP+光接口模块（LC）</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低端交换机硬件配置要求</w:t>
            </w:r>
          </w:p>
        </w:tc>
        <w:tc>
          <w:tcPr>
            <w:tcW w:type="dxa" w:w="1038"/>
          </w:tcPr>
          <w:p>
            <w:pPr>
              <w:pStyle w:val="null3"/>
            </w:pPr>
            <w:r>
              <w:rPr/>
              <w:t>★</w:t>
            </w:r>
          </w:p>
        </w:tc>
        <w:tc>
          <w:tcPr>
            <w:tcW w:type="dxa" w:w="1038"/>
          </w:tcPr>
          <w:p>
            <w:pPr>
              <w:pStyle w:val="null3"/>
            </w:pPr>
            <w:r>
              <w:rPr/>
              <w:t>硬件配置要求</w:t>
            </w:r>
          </w:p>
        </w:tc>
        <w:tc>
          <w:tcPr>
            <w:tcW w:type="dxa" w:w="1038"/>
          </w:tcPr>
          <w:p/>
        </w:tc>
        <w:tc>
          <w:tcPr>
            <w:tcW w:type="dxa" w:w="1038"/>
          </w:tcPr>
          <w:p>
            <w:pPr>
              <w:pStyle w:val="null3"/>
            </w:pPr>
            <w:r>
              <w:rPr/>
              <w:t>实配4个万兆多模SFP+光模块 实配4个万兆单模SFP+光模块</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高端交换机其他要求</w:t>
            </w:r>
          </w:p>
        </w:tc>
        <w:tc>
          <w:tcPr>
            <w:tcW w:type="dxa" w:w="1038"/>
          </w:tcPr>
          <w:p>
            <w:pPr>
              <w:pStyle w:val="null3"/>
            </w:pPr>
            <w:r>
              <w:rPr/>
              <w:t>★</w:t>
            </w:r>
          </w:p>
        </w:tc>
        <w:tc>
          <w:tcPr>
            <w:tcW w:type="dxa" w:w="1038"/>
          </w:tcPr>
          <w:p>
            <w:pPr>
              <w:pStyle w:val="null3"/>
            </w:pPr>
            <w:r>
              <w:rPr/>
              <w:t>其他要求2</w:t>
            </w:r>
          </w:p>
        </w:tc>
        <w:tc>
          <w:tcPr>
            <w:tcW w:type="dxa" w:w="1038"/>
          </w:tcPr>
          <w:p/>
        </w:tc>
        <w:tc>
          <w:tcPr>
            <w:tcW w:type="dxa" w:w="1038"/>
          </w:tcPr>
          <w:p>
            <w:pPr>
              <w:pStyle w:val="null3"/>
            </w:pPr>
            <w:r>
              <w:rPr/>
              <w:t>设备核心芯片国产，必须包含CPU、交换芯片,并具有持续供货能力，可规避潜在的供应链风险。</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中端交换机（配置一）其他要求</w:t>
            </w:r>
          </w:p>
        </w:tc>
        <w:tc>
          <w:tcPr>
            <w:tcW w:type="dxa" w:w="1038"/>
          </w:tcPr>
          <w:p>
            <w:pPr>
              <w:pStyle w:val="null3"/>
            </w:pPr>
            <w:r>
              <w:rPr/>
              <w:t>★</w:t>
            </w:r>
          </w:p>
        </w:tc>
        <w:tc>
          <w:tcPr>
            <w:tcW w:type="dxa" w:w="1038"/>
          </w:tcPr>
          <w:p>
            <w:pPr>
              <w:pStyle w:val="null3"/>
            </w:pPr>
            <w:r>
              <w:rPr/>
              <w:t>其他要求2</w:t>
            </w:r>
          </w:p>
        </w:tc>
        <w:tc>
          <w:tcPr>
            <w:tcW w:type="dxa" w:w="1038"/>
          </w:tcPr>
          <w:p/>
        </w:tc>
        <w:tc>
          <w:tcPr>
            <w:tcW w:type="dxa" w:w="1038"/>
          </w:tcPr>
          <w:p>
            <w:pPr>
              <w:pStyle w:val="null3"/>
            </w:pPr>
            <w:r>
              <w:rPr/>
              <w:t>设备核心芯片国产，必须包含CPU、交换芯片,并具有持续供货能力，可规避潜在的供应链风险。</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中端交换机（配置二）其他要求</w:t>
            </w:r>
          </w:p>
        </w:tc>
        <w:tc>
          <w:tcPr>
            <w:tcW w:type="dxa" w:w="1038"/>
          </w:tcPr>
          <w:p>
            <w:pPr>
              <w:pStyle w:val="null3"/>
            </w:pPr>
            <w:r>
              <w:rPr/>
              <w:t>★</w:t>
            </w:r>
          </w:p>
        </w:tc>
        <w:tc>
          <w:tcPr>
            <w:tcW w:type="dxa" w:w="1038"/>
          </w:tcPr>
          <w:p>
            <w:pPr>
              <w:pStyle w:val="null3"/>
            </w:pPr>
            <w:r>
              <w:rPr/>
              <w:t>其他要求2</w:t>
            </w:r>
          </w:p>
        </w:tc>
        <w:tc>
          <w:tcPr>
            <w:tcW w:type="dxa" w:w="1038"/>
          </w:tcPr>
          <w:p/>
        </w:tc>
        <w:tc>
          <w:tcPr>
            <w:tcW w:type="dxa" w:w="1038"/>
          </w:tcPr>
          <w:p>
            <w:pPr>
              <w:pStyle w:val="null3"/>
            </w:pPr>
            <w:r>
              <w:rPr/>
              <w:t>设备核心芯片国产，必须包含CPU、交换芯片,并具有持续供货能力，可规避潜在的供应链风险。</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低端交换机其他要求</w:t>
            </w:r>
          </w:p>
        </w:tc>
        <w:tc>
          <w:tcPr>
            <w:tcW w:type="dxa" w:w="1038"/>
          </w:tcPr>
          <w:p>
            <w:pPr>
              <w:pStyle w:val="null3"/>
            </w:pPr>
            <w:r>
              <w:rPr/>
              <w:t>★</w:t>
            </w:r>
          </w:p>
        </w:tc>
        <w:tc>
          <w:tcPr>
            <w:tcW w:type="dxa" w:w="1038"/>
          </w:tcPr>
          <w:p>
            <w:pPr>
              <w:pStyle w:val="null3"/>
            </w:pPr>
            <w:r>
              <w:rPr/>
              <w:t>其他要求2</w:t>
            </w:r>
          </w:p>
        </w:tc>
        <w:tc>
          <w:tcPr>
            <w:tcW w:type="dxa" w:w="1038"/>
          </w:tcPr>
          <w:p/>
        </w:tc>
        <w:tc>
          <w:tcPr>
            <w:tcW w:type="dxa" w:w="1038"/>
          </w:tcPr>
          <w:p>
            <w:pPr>
              <w:pStyle w:val="null3"/>
            </w:pPr>
            <w:r>
              <w:rPr/>
              <w:t>设备核心芯片国产，必须包含CPU、交换芯片,并具有持续供货能力，可规避潜在的供应链风险。</w:t>
            </w:r>
          </w:p>
        </w:tc>
        <w:tc>
          <w:tcPr>
            <w:tcW w:type="dxa" w:w="1038"/>
          </w:tcPr>
          <w:p>
            <w:pPr>
              <w:pStyle w:val="null3"/>
            </w:pPr>
            <w:r>
              <w:rPr/>
              <w:t>否</w:t>
            </w:r>
          </w:p>
        </w:tc>
        <w:tc>
          <w:tcPr>
            <w:tcW w:type="dxa" w:w="1038"/>
          </w:tcPr>
          <w:p/>
        </w:tc>
      </w:tr>
    </w:tbl>
    <w:p>
      <w:pPr>
        <w:pStyle w:val="null3"/>
        <w:jc w:val="both"/>
      </w:pPr>
      <w:r>
        <w:rPr/>
        <w:t>本商务要求共有“★”指标5个，”#”指标0个，“▲”指标3个。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服务要求</w:t>
            </w:r>
          </w:p>
        </w:tc>
        <w:tc>
          <w:tcPr>
            <w:tcW w:type="dxa" w:w="1038"/>
          </w:tcPr>
          <w:p/>
        </w:tc>
        <w:tc>
          <w:tcPr>
            <w:tcW w:type="dxa" w:w="1038"/>
          </w:tcPr>
          <w:p>
            <w:pPr>
              <w:pStyle w:val="null3"/>
            </w:pPr>
            <w:r>
              <w:rPr/>
              <w:t>1.交货地点：</w:t>
            </w:r>
            <w:r>
              <w:br/>
            </w:r>
            <w:r>
              <w:rPr/>
              <w:t xml:space="preserve"> 北京市海淀区翠湖北环路9号及招标人指定的地点，以到货通知书约定为准。</w:t>
            </w:r>
            <w:r>
              <w:br/>
            </w:r>
            <w:r>
              <w:rPr/>
              <w:t xml:space="preserve"> 2.交货期：</w:t>
            </w:r>
            <w:r>
              <w:br/>
            </w:r>
            <w:r>
              <w:rPr/>
              <w:t xml:space="preserve"> 合同签订后15个自然日内，招标人向投标人发送书面交货通知，投标人接到招标人通知后20个自然日内交货。</w:t>
            </w:r>
            <w:r>
              <w:br/>
            </w:r>
            <w:r>
              <w:rPr/>
              <w:t xml:space="preserve"> 3.设备交付</w:t>
            </w:r>
            <w:r>
              <w:br/>
            </w:r>
            <w:r>
              <w:rPr/>
              <w:t xml:space="preserve"> 交付时按招标人要求在30自然日内完成所有设备上架、加电、配置、测试等工作。到货后由双方共同逐一开箱检查产品外观是否损坏，型号是否正确，数量是否齐全，设备是否全新等。记录设备的型号、数量、序列号，如无误，双方签署设备到货验收报告。如有缺货、错货、损坏、数量不全、型号不正确、设备非全新等现象，由投标人负责在接到招标人通知后5自然日内予以补齐或更换，以不影响招标人的工程进度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质量保证要求</w:t>
            </w:r>
          </w:p>
        </w:tc>
        <w:tc>
          <w:tcPr>
            <w:tcW w:type="dxa" w:w="1038"/>
          </w:tcPr>
          <w:p/>
        </w:tc>
        <w:tc>
          <w:tcPr>
            <w:tcW w:type="dxa" w:w="1038"/>
          </w:tcPr>
          <w:p>
            <w:pPr>
              <w:pStyle w:val="null3"/>
            </w:pPr>
            <w:r>
              <w:rPr/>
              <w:t>1.售后服务对象</w:t>
            </w:r>
            <w:r>
              <w:br/>
            </w:r>
            <w:r>
              <w:rPr/>
              <w:t xml:space="preserve"> 本次签署合同下所采购所有设备产品。</w:t>
            </w:r>
            <w:r>
              <w:br/>
            </w:r>
            <w:r>
              <w:rPr/>
              <w:t xml:space="preserve"> 2.售后服务内容</w:t>
            </w:r>
            <w:r>
              <w:br/>
            </w:r>
            <w:r>
              <w:rPr/>
              <w:t xml:space="preserve"> 服务器设备原厂商负责提供原厂质量保障服务（7*24*4，硬盘介质保留），质保期自双方签署终验报告次日起3年；</w:t>
            </w:r>
            <w:r>
              <w:br/>
            </w:r>
            <w:r>
              <w:rPr/>
              <w:t xml:space="preserve"> 技术支持及售后服务内容应包括但不限于下述内容：硬盘不返还服务、升级服务、定期巡检、性能调优、故障排除及故障报告和故障排除所需的备件更换（含备件本身）等，其中：调优服务至少每年提供两次，定期巡检至少每季度提供一次，以上服务在北京进行。售后服务的所有报价都需要计入投标总价中，否则视为免费。</w:t>
            </w:r>
            <w:r>
              <w:br/>
            </w:r>
            <w:r>
              <w:rPr/>
              <w:t xml:space="preserve"> 在质量保证期内，投标人必须提供7×24小时的电话支持，该电话必须体现在最终的合同上，如电话发生变更，需提前一周告知招标人。对招标人提出的预防性维修要求应在2小时内做出实质性反应，及时解决系统运行中的问题。对招标人提出的故障性维修要求应在0.5小时内做出实质性反应，及时解决系统运行中的问题。</w:t>
            </w:r>
            <w:r>
              <w:br/>
            </w:r>
            <w:r>
              <w:rPr/>
              <w:t xml:space="preserve"> 系统运行过程中如果发生故障，对故障的恢复时间不能超过4小时。在整个系统设计没有单点故障的情况下，故障恢复期间应确保系统不中断。发生故障时，招标人可要求投标人到现场提供服务。投标人必须在接到招标人通知后2小时内到达现场，并确保紧急故障下立即提供现场恢复服务。在接到招标人的故障通知后，投标人若未能按时到达，招标人有权要求投标人给与赔偿。投标人可根据自身情况，提出到达现场的时间，但不能低于招标人要求。</w:t>
            </w:r>
            <w:r>
              <w:br/>
            </w:r>
            <w:r>
              <w:rPr/>
              <w:t xml:space="preserve"> 如有重大系统变更、年终决算等重要敏感时期，投标人应派遣工程师到招标人指定地点提供现场技术支持。</w:t>
            </w:r>
            <w:r>
              <w:br/>
            </w:r>
            <w:r>
              <w:rPr/>
              <w:t xml:space="preserve"> 如果在系统运行过程中与其它设备无法共同正常稳定运行，投标人应积极配合其它设备的提供商，协助解决问题；若招标人要求，必须提供免费的现场服务。</w:t>
            </w:r>
            <w:r>
              <w:br/>
            </w:r>
            <w:r>
              <w:rPr/>
              <w:t xml:space="preserve"> 在质保期内，投标人有责任解决所有提供的货物的任何问题。</w:t>
            </w:r>
            <w:r>
              <w:br/>
            </w:r>
            <w:r>
              <w:rPr/>
              <w:t xml:space="preserve"> 投标人须认真理解上述售后服务要求，提供的技术支持与服务方案应完整、流程规范有序、能够提供充分的资源，详细列出售后服务方案和系统应急方案，一经应答将作为合同的一部分。</w:t>
            </w:r>
            <w:r>
              <w:br/>
            </w:r>
            <w:r>
              <w:rPr/>
              <w:t xml:space="preserve"> 3.服务资质要求</w:t>
            </w:r>
            <w:r>
              <w:br/>
            </w:r>
            <w:r>
              <w:rPr/>
              <w:t xml:space="preserve"> 供应商及原厂指定专属服务团队提供上门服务，明确售后服务团队负责人。</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项目团队要求</w:t>
            </w:r>
          </w:p>
        </w:tc>
        <w:tc>
          <w:tcPr>
            <w:tcW w:type="dxa" w:w="1038"/>
          </w:tcPr>
          <w:p/>
        </w:tc>
        <w:tc>
          <w:tcPr>
            <w:tcW w:type="dxa" w:w="1038"/>
          </w:tcPr>
          <w:p>
            <w:pPr>
              <w:pStyle w:val="null3"/>
            </w:pPr>
            <w:r>
              <w:rPr/>
              <w:t>1.投标人应指定一名项目经理负责项目工作协调，项目经理具备5年及以上相关工作经验，有3个及以上的项目管理经验。工作内容包括项目工程实施进度安排，人员安排，集成、测试、验收等文档制作以及其他项目相关事宜协调处理；项目经理作为与招标人的唯一对接人员，需根据招标人要求及时响应项目过程中遇到的各类问题及人员安排工作，项目经理人员变更需提前一周通知招标人，经招标人同意后才可变更人员。</w:t>
            </w:r>
            <w:r>
              <w:br/>
            </w:r>
            <w:r>
              <w:rPr/>
              <w:t xml:space="preserve"> 2.售后团队人员、实施工程师人员能够提供本地化的技术支持。</w:t>
            </w:r>
            <w:r>
              <w:br/>
            </w:r>
            <w:r>
              <w:rPr/>
              <w:t xml:space="preserve"> 3.在项目实施阶段，投标人须安排熟悉设备操作的工程师进行相关集成服务。</w:t>
            </w:r>
            <w:r>
              <w:br/>
            </w:r>
            <w:r>
              <w:rPr/>
              <w:t xml:space="preserve"> 4.在项目实施阶段,投标人须协调原厂商安排原厂工程师完成设备集成实施，包括：文档准备、设备上架安装、布线、调试、协调各其他厂商和集成商完成设备上电、配置及相关测试等。</w:t>
            </w:r>
            <w:r>
              <w:br/>
            </w:r>
            <w:r>
              <w:rPr/>
              <w:t xml:space="preserve"> 5.原厂商团队人员要求：原厂商团队应安排至少3名（服务器原厂商、超融合软件原厂商、网络设备原厂商分别至少1名）具备3年以上工作经验、相关专业技能和相关产品认证的技术人员完成现场工程实施。一经中标，工程实施过程中未经招标人许可不得随意变更。项目实施小组成员如需更换，必须经招标人同意，且更换的人员必须与被更换人员具有相同的能力。如招标人认为技术人员不满足工作要求，投标人需在2工作日内更换符合要求的技术人员。</w:t>
            </w:r>
          </w:p>
          <w:p>
            <w:pPr>
              <w:pStyle w:val="null3"/>
            </w:pPr>
          </w:p>
        </w:tc>
        <w:tc>
          <w:tcPr>
            <w:tcW w:type="dxa" w:w="1038"/>
          </w:tcPr>
          <w:p>
            <w:pPr>
              <w:pStyle w:val="null3"/>
            </w:pPr>
            <w:r>
              <w:rPr/>
              <w:t>是</w:t>
            </w:r>
          </w:p>
        </w:tc>
        <w:tc>
          <w:tcPr>
            <w:tcW w:type="dxa" w:w="1038"/>
          </w:tcPr>
          <w:p>
            <w:pPr>
              <w:pStyle w:val="null3"/>
            </w:pPr>
            <w:r>
              <w:rPr/>
              <w:t>提供项目经理及团队人员（项目经理、售后团队人员、实施工程师）简历。</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pPr>
            <w:r>
              <w:rPr/>
              <w:t>1）到货验收和设备点验：合同签订后15个自然日内，招标人向投标人发送书面交货通知，投标人接到招标人通知后20个自然日内交货，投标人应当提前至少10个自然日将到货时间告知招标人。设备到货后，投标人接到招标人关于设备点验通知后，在24小时内到达招标人指定地点，按招标人要求在设备到货后30个自然日内完成所有设备上架、加电、配置、测试等工作。到货后由双方共同逐一开箱检查产品外观是否损坏，型号是否正确，数量是否齐全，设备是否全新等。记录设备的型号、数量、序列号，如无误，双方签署设备到货验收报告。如有缺货、错货、损坏、数量不全、型号不正确、设备非全新等现象，由投标人负责在接到招标人通知后5个自然日内予以补齐或更换，以不影响招标人的工程进度为准。</w:t>
            </w:r>
            <w:r>
              <w:br/>
            </w:r>
            <w:r>
              <w:rPr/>
              <w:t xml:space="preserve"> 2）设备加电测试：双方一起对本合同设备逐一进行加电测试，各项测试指标测试正常后，双方签署加电测试报告。</w:t>
            </w:r>
            <w:r>
              <w:br/>
            </w:r>
            <w:r>
              <w:rPr/>
              <w:t xml:space="preserve"> 3）初验：初验测试在安装地现场按照初验测试的内容和步骤独立进行。由投标人向招标人提交能反映设备技术指标的初验测试内容、预期结果和步骤，并经招标人审核同意后在初验时采用。投标人负责在工程项目现场进行初验测试，并将初验测试报告提交给招标人。如果所有测试项目的测试结果与预期结果相符合，且设备上线稳定运行无故障二十日后视为初验合格(如发生故障，上线稳定运行期自故障解决后次日起重新计算)，双方签署初验报告。</w:t>
            </w:r>
          </w:p>
          <w:p>
            <w:pPr>
              <w:pStyle w:val="null3"/>
            </w:pPr>
            <w:r>
              <w:rPr/>
              <w:t>4）终验：完成初验后，合同产品进入试运行期，试运行期为初验完成次日起三个月，在此期间没有发生由于投标人设备或是安装、调试所导致的任何故障（如发生故障，试运行期自故障解决后次日起重新计算)，投标人将试运行期服务报告提交给招标人认可后，双方进行终验。终验合格后，双方签署终验报告。</w:t>
            </w:r>
          </w:p>
          <w:p>
            <w:pPr>
              <w:pStyle w:val="null3"/>
            </w:pPr>
            <w:r>
              <w:rPr/>
              <w:t>5）质量保证期验收：质量保证期自终验合格次日起，由乙方提供合同产品原厂质量保证服务，在质保期内，乙方负责就本合同设备的保修事宜随时与原厂商联系，并对质量保证服务承担连带责任。质保期满后，乙方的服务质量符合合同要求，双方签署质量保证期报告。</w:t>
            </w:r>
          </w:p>
          <w:p>
            <w:pPr>
              <w:pStyle w:val="null3"/>
            </w:pP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交货期</w:t>
            </w:r>
          </w:p>
        </w:tc>
        <w:tc>
          <w:tcPr>
            <w:tcW w:type="dxa" w:w="1038"/>
          </w:tcPr>
          <w:p/>
        </w:tc>
        <w:tc>
          <w:tcPr>
            <w:tcW w:type="dxa" w:w="1038"/>
          </w:tcPr>
          <w:p>
            <w:pPr>
              <w:pStyle w:val="null3"/>
            </w:pPr>
            <w:r>
              <w:rPr/>
              <w:t>合同签订后15自然日内，招标人向投标人发送书面交货通知，投标人接到招标人通知后20个自然日内交货。</w:t>
            </w:r>
          </w:p>
          <w:p>
            <w:pPr>
              <w:pStyle w:val="null3"/>
            </w:pP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获得相关环保认证</w:t>
            </w:r>
          </w:p>
        </w:tc>
        <w:tc>
          <w:tcPr>
            <w:tcW w:type="dxa" w:w="1038"/>
          </w:tcPr>
          <w:p/>
        </w:tc>
        <w:tc>
          <w:tcPr>
            <w:tcW w:type="dxa" w:w="1038"/>
          </w:tcPr>
          <w:p>
            <w:pPr>
              <w:pStyle w:val="null3"/>
            </w:pPr>
            <w:r>
              <w:rPr/>
              <w:t>环保产品:根据财库[2019]9 号、18 号文，国家市场监督管理总局公告 16 号文要求，服务器产品属于政府采购环境标志产品实施品目清单范围，投标人所有所投产品均有指定认证机构出具的、有效的环境标志产品认证证书。</w:t>
            </w:r>
            <w:r>
              <w:br/>
            </w:r>
            <w:r>
              <w:rPr/>
              <w:t xml:space="preserve"> 关于节能产品、环境标志产品的相关规定请参见:</w:t>
            </w:r>
            <w:r>
              <w:br/>
            </w:r>
            <w:r>
              <w:rPr/>
              <w:t xml:space="preserve"> 《财政部发展改革委生态环境部市场监管总局关于调整优化节能产品环境标志产品政府采购执行机制的通知》（财库〔2019〕9 号）</w:t>
            </w:r>
            <w:r>
              <w:br/>
            </w:r>
            <w:r>
              <w:rPr/>
              <w:t xml:space="preserve"> 《关于印发环境标志产品政府采购品目清单的通知》（财库〔2019〕18 号）</w:t>
            </w:r>
            <w:r>
              <w:br/>
            </w:r>
            <w:r>
              <w:rPr/>
              <w:t xml:space="preserve"> 《市场监管总局关于发布参与实施政府采购节能产品、环境标志产品认证机构名录的公告》（2019 年第16 号）</w:t>
            </w:r>
          </w:p>
        </w:tc>
        <w:tc>
          <w:tcPr>
            <w:tcW w:type="dxa" w:w="1038"/>
          </w:tcPr>
          <w:p>
            <w:pPr>
              <w:pStyle w:val="null3"/>
            </w:pPr>
            <w:r>
              <w:rPr/>
              <w:t>是</w:t>
            </w:r>
          </w:p>
        </w:tc>
        <w:tc>
          <w:tcPr>
            <w:tcW w:type="dxa" w:w="1038"/>
          </w:tcPr>
          <w:p>
            <w:pPr>
              <w:pStyle w:val="null3"/>
            </w:pPr>
            <w:r>
              <w:rPr/>
              <w:t>投标人需提供认证证书复印件。</w:t>
            </w: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产品要求</w:t>
            </w:r>
          </w:p>
        </w:tc>
        <w:tc>
          <w:tcPr>
            <w:tcW w:type="dxa" w:w="1038"/>
          </w:tcPr>
          <w:p/>
        </w:tc>
        <w:tc>
          <w:tcPr>
            <w:tcW w:type="dxa" w:w="1038"/>
          </w:tcPr>
          <w:p>
            <w:pPr>
              <w:pStyle w:val="null3"/>
            </w:pPr>
            <w:r>
              <w:rPr/>
              <w:t>所提供服务器须为同一品牌；</w:t>
            </w:r>
            <w:r>
              <w:br/>
            </w:r>
            <w:r>
              <w:rPr/>
              <w:t xml:space="preserve"> 所提供高端交换机、中端交换机（配置一）、中端交换机（配置二）、低端交换机须为同一品牌。</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技术支持与服务方案</w:t>
            </w:r>
          </w:p>
        </w:tc>
        <w:tc>
          <w:tcPr>
            <w:tcW w:type="dxa" w:w="1038"/>
          </w:tcPr>
          <w:p/>
        </w:tc>
        <w:tc>
          <w:tcPr>
            <w:tcW w:type="dxa" w:w="1038"/>
          </w:tcPr>
          <w:p>
            <w:pPr>
              <w:pStyle w:val="null3"/>
            </w:pPr>
            <w:r>
              <w:rPr/>
              <w:t>投标人针对本项目提供技术支持与质保期内服务方案，包括但不限于服务体系、服务流程、服务内容、服务质量。</w:t>
            </w:r>
            <w:r>
              <w:br/>
            </w:r>
            <w:r>
              <w:rPr/>
              <w:t xml:space="preserve"> 根据方案的完整性、可行性等进行评分。</w:t>
            </w:r>
          </w:p>
        </w:tc>
        <w:tc>
          <w:tcPr>
            <w:tcW w:type="dxa" w:w="1038"/>
          </w:tcPr>
          <w:p>
            <w:pPr>
              <w:pStyle w:val="null3"/>
            </w:pPr>
            <w:r>
              <w:rPr/>
              <w:t>是</w:t>
            </w:r>
          </w:p>
        </w:tc>
        <w:tc>
          <w:tcPr>
            <w:tcW w:type="dxa" w:w="1038"/>
          </w:tcPr>
          <w:p>
            <w:pPr>
              <w:pStyle w:val="null3"/>
            </w:pPr>
            <w:r>
              <w:rPr/>
              <w:t>提供技术支持与服务方案。</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设备到货加电并验收合格</w:t>
            </w:r>
          </w:p>
        </w:tc>
        <w:tc>
          <w:tcPr>
            <w:tcW w:type="dxa" w:w="1384"/>
          </w:tcPr>
          <w:p>
            <w:pPr>
              <w:pStyle w:val="null3"/>
              <w:jc w:val="left"/>
            </w:pPr>
            <w:r>
              <w:rPr/>
              <w:t>合同签订，设备到货加电并验收合格，双方签署设备到货验收单和加电测试报告后，招标人收到投标人开具的正式增值税专用发票、设备到货验收单、加电测试报告及付款申请之日起10个工作日内付款</w:t>
            </w:r>
          </w:p>
        </w:tc>
        <w:tc>
          <w:tcPr>
            <w:tcW w:type="dxa" w:w="1384"/>
          </w:tcPr>
          <w:p>
            <w:pPr>
              <w:pStyle w:val="null3"/>
              <w:jc w:val="left"/>
            </w:pPr>
            <w:r>
              <w:rPr/>
              <w:t>50.00</w:t>
            </w:r>
            <w:r>
              <w:rPr/>
              <w:t>%</w:t>
            </w:r>
          </w:p>
        </w:tc>
        <w:tc>
          <w:tcPr>
            <w:tcW w:type="dxa" w:w="1384"/>
          </w:tcPr>
          <w:p>
            <w:pPr>
              <w:pStyle w:val="null3"/>
              <w:jc w:val="left"/>
            </w:pPr>
            <w:r>
              <w:rPr/>
              <w:t>对公账户转账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双方签署系统终验报告</w:t>
            </w:r>
          </w:p>
        </w:tc>
        <w:tc>
          <w:tcPr>
            <w:tcW w:type="dxa" w:w="1384"/>
          </w:tcPr>
          <w:p>
            <w:pPr>
              <w:pStyle w:val="null3"/>
              <w:jc w:val="left"/>
            </w:pPr>
            <w:r>
              <w:rPr/>
              <w:t>双方签署系统终验报告后，招标人收到投标人提交的正式增值税专用发票、双方共同签署的终验报告和付款申请报告之日起10个工作日内付款</w:t>
            </w:r>
          </w:p>
        </w:tc>
        <w:tc>
          <w:tcPr>
            <w:tcW w:type="dxa" w:w="1384"/>
          </w:tcPr>
          <w:p>
            <w:pPr>
              <w:pStyle w:val="null3"/>
              <w:jc w:val="left"/>
            </w:pPr>
            <w:r>
              <w:rPr/>
              <w:t>45.00</w:t>
            </w:r>
            <w:r>
              <w:rPr/>
              <w:t>%</w:t>
            </w:r>
          </w:p>
        </w:tc>
        <w:tc>
          <w:tcPr>
            <w:tcW w:type="dxa" w:w="1384"/>
          </w:tcPr>
          <w:p>
            <w:pPr>
              <w:pStyle w:val="null3"/>
              <w:jc w:val="left"/>
            </w:pPr>
            <w:r>
              <w:rPr/>
              <w:t>对公账户转账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终验合格后次日起满三年，双方签署质量服务期报告</w:t>
            </w:r>
          </w:p>
        </w:tc>
        <w:tc>
          <w:tcPr>
            <w:tcW w:type="dxa" w:w="1384"/>
          </w:tcPr>
          <w:p>
            <w:pPr>
              <w:pStyle w:val="null3"/>
              <w:jc w:val="left"/>
            </w:pPr>
            <w:r>
              <w:rPr/>
              <w:t>终验合格后次日起满三年，双方签署质量服务期报告，招标人收到投标人开具的正式增值税专用发票、双方共同签署的质量服务期报告及付款申请之日起10个工作日内付款</w:t>
            </w:r>
          </w:p>
        </w:tc>
        <w:tc>
          <w:tcPr>
            <w:tcW w:type="dxa" w:w="1384"/>
          </w:tcPr>
          <w:p>
            <w:pPr>
              <w:pStyle w:val="null3"/>
              <w:jc w:val="left"/>
            </w:pPr>
            <w:r>
              <w:rPr/>
              <w:t>5.00</w:t>
            </w:r>
            <w:r>
              <w:rPr/>
              <w:t>%</w:t>
            </w:r>
          </w:p>
        </w:tc>
        <w:tc>
          <w:tcPr>
            <w:tcW w:type="dxa" w:w="1384"/>
          </w:tcPr>
          <w:p>
            <w:pPr>
              <w:pStyle w:val="null3"/>
              <w:jc w:val="left"/>
            </w:pPr>
            <w:r>
              <w:rPr/>
              <w:t>对公账户转账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中国人民银行清算总中心中志公司</w:t>
      </w:r>
    </w:p>
    <w:p>
      <w:pPr>
        <w:pStyle w:val="null3"/>
      </w:pPr>
      <w:r>
        <w:rPr/>
        <w:t>采购人（需求部门）拟邀请（</w:t>
      </w:r>
      <w:r>
        <w:rPr/>
        <w:t>项目供应商</w:t>
      </w:r>
      <w:r>
        <w:rPr/>
        <w:t>）</w:t>
      </w:r>
    </w:p>
    <w:p>
      <w:pPr>
        <w:pStyle w:val="null3"/>
      </w:pPr>
      <w:r>
        <w:rPr/>
        <w:t>（2）验收时间</w:t>
      </w:r>
      <w:r>
        <w:rPr>
          <w:u w:val="single"/>
        </w:rPr>
        <w:t>交货时间：合同签订后15自然日内，甲方向乙方发送书面交货通知，乙方接到甲方通知后20个自然日内交货。 初步验收时间：自初验测试在安装地现场按照初验测试的内容和步骤独立进行。由乙方向甲方提交能反映设备技术指标的初验测试内容、预期结果和步骤，并经甲方审核同意后在初验时采用。乙方负责在工程项目现场进行初验测试，并将初验测试报告提交给甲方。如果所有测试项目的测试结果与预期结果相符合，且设备上线稳定运行无故障起20个自然日后视为初验合格(如发生故障，上线稳定运行期自故障解决后次日起重新计算)，双方签署初验报告。 最终验收时间：自完成初验后，合同产品进入试运行期，试运行期为初验完成次日起三个月，在此期间没有发生由于乙方设备或是安装、调试所导致的任何故障(如发生故障，试运行期自故障解决后次日起重新计算)，乙方提交试运行期服务报告，双方进行终验。终验合格后，双方签署终验报告。 质量保证期：自完成终验后，合同产品接入质量保证期，质量保证期为终验合格后次日起三年。 合同履行期限：自合同签订之日至合同全部权利义务履行完毕之日止。</w:t>
      </w:r>
    </w:p>
    <w:p>
      <w:pPr>
        <w:pStyle w:val="null3"/>
      </w:pPr>
      <w:r>
        <w:rPr/>
        <w:t>（3）验收方式</w:t>
      </w:r>
      <w:r>
        <w:rPr>
          <w:u w:val="single"/>
        </w:rPr>
        <w:t>到货验收和设备点验：线下方式 初步验收：线上方式 最终验收：线上方式 质量保证期验收：线上方式</w:t>
      </w:r>
    </w:p>
    <w:p>
      <w:pPr>
        <w:pStyle w:val="null3"/>
      </w:pPr>
      <w:r>
        <w:rPr/>
        <w:t>（4）验收程序</w:t>
      </w:r>
      <w:r>
        <w:rPr>
          <w:u w:val="single"/>
        </w:rPr>
        <w:t>到货验收：验收合格后，双方签署设备到货验收报告和加电测试报告 初步验收：验收合格后，双方签署初验报告 最终验收：验收合格后，双方签署终验报告 质量保证期验收：验收合格后，双方签署质量保证期报告</w:t>
      </w:r>
    </w:p>
    <w:p>
      <w:pPr>
        <w:pStyle w:val="null3"/>
      </w:pPr>
      <w:r>
        <w:rPr/>
        <w:t>（5）验收内容</w:t>
      </w:r>
      <w:r>
        <w:rPr>
          <w:u w:val="single"/>
        </w:rPr>
        <w:t>到货验收：按甲方要求在30个自然日内完成所有设备上架、加电、配置、测试等工作。 初步验收：由乙方向甲方提交能反映设备技术指标的初验测试内容、预期结果和步骤，并经甲方审核同意后在初验时采用。乙方负责在工程项目现场进行初验测试，并将初验测试报告提交给甲方。 最终验收：自完成初验后，合同产品进入试运行期，试运行期为初验完成次日起三个月。 质量保证期验收：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p>
    <w:p>
      <w:pPr>
        <w:pStyle w:val="null3"/>
      </w:pPr>
      <w:r>
        <w:rPr/>
        <w:t>（6）验收标准</w:t>
      </w:r>
      <w:r>
        <w:rPr>
          <w:u w:val="single"/>
        </w:rPr>
        <w:t>到货验收：到货后由甲乙双方共同逐一开箱检查产品外观是否损坏，型号是否正确，数量是否齐全，设备是否全新等。记录设备的型号、数量、序列号，如无误。 初步验收：所有测试项目的测试结果与预期结果相符合，且设备上线稳定运行无故障起20个自然日后视为初验合格(如发生故障，上线稳定运行期自故障解决后次日起重新计算)。 最终验收：在三个月试运行期间没有发生由于乙方设备或是安装、调试所导致的任何故障(如发生故障，试运行期自故障解决后次日起重新计算)，乙方将试运行期服务报告提交给甲方。 质量保证验收：质量保证期内的服务质量满足合同技术支持和售后服务相关要求。</w:t>
      </w:r>
    </w:p>
    <w:p>
      <w:pPr>
        <w:pStyle w:val="null3"/>
      </w:pPr>
      <w:r>
        <w:rPr/>
        <w:t>（7）其他事项（如有）</w:t>
      </w:r>
      <w:r>
        <w:rPr>
          <w:u w:val="single"/>
        </w:rPr>
        <w:t>验收地点：北京。（与产品到货地点一致）</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技术部分54.00分</w:t>
            </w:r>
          </w:p>
          <w:p>
            <w:pPr>
              <w:pStyle w:val="null3"/>
            </w:pPr>
            <w:r>
              <w:rPr/>
              <w:t>商务部分16.00分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工程实施方案评价</w:t>
            </w:r>
          </w:p>
        </w:tc>
        <w:tc>
          <w:tcPr>
            <w:tcW w:type="dxa" w:w="2769"/>
          </w:tcPr>
          <w:p>
            <w:pPr>
              <w:pStyle w:val="null3"/>
            </w:pPr>
            <w:r>
              <w:rPr/>
              <w:t>根据投标人针对本项目提供的“工程实施方案”中的工程实施、测试、准备和交付、“项目实施计划”中进度计划等相关内容进行打分。 1.工程实施方案完整覆盖招标人需求，方案内容详实、科学合理，针对性和可操作性较强，项目实施计划时间排期符合招标人要求且实施保障措施和安全管理内容完善的，得6分； 2.工程实施方案完整覆盖招标人需求，方案内容较为详实、科学合理，针对性和可操作性一般，项目实施计划时间排期符合招标人要求且实施保障措施和安全管理内容较为完善的，得4分； 3.工程实施方案服务方案基本覆盖招标人需求，方案内容完善，针对性和可操作性较差，项目实施计划时间排期符合招标人要求且实施保障措施和安全管理内容基本完善的，得2分； 4.工程实施方案服务方案基本覆盖招标人需求，方案内容不完善，针对性和可操作性差，项目实施计划时间排期符合招标人要求且实施保障措施和安全管理内容不完善的，得1分； 5.没有具体的针对性工程实施方案，完全抄袭招标人需求的，得0分。</w:t>
            </w:r>
          </w:p>
        </w:tc>
        <w:tc>
          <w:tcPr>
            <w:tcW w:type="dxa" w:w="692"/>
          </w:tcPr>
          <w:p>
            <w:pPr>
              <w:pStyle w:val="null3"/>
              <w:jc w:val="right"/>
            </w:pPr>
            <w:r>
              <w:rPr/>
              <w:t>6.00</w:t>
            </w:r>
          </w:p>
        </w:tc>
        <w:tc>
          <w:tcPr>
            <w:tcW w:type="dxa" w:w="692"/>
          </w:tcPr>
          <w:p>
            <w:pPr>
              <w:pStyle w:val="null3"/>
            </w:pPr>
            <w:r>
              <w:rPr/>
              <w:t>主观</w:t>
            </w:r>
          </w:p>
        </w:tc>
      </w:tr>
      <w:tr>
        <w:tc>
          <w:tcPr>
            <w:tcW w:type="dxa" w:w="692"/>
            <w:vMerge/>
          </w:tcPr>
          <w:p/>
        </w:tc>
        <w:tc>
          <w:tcPr>
            <w:tcW w:type="dxa" w:w="2076"/>
          </w:tcPr>
          <w:p>
            <w:pPr>
              <w:pStyle w:val="null3"/>
            </w:pPr>
            <w:r>
              <w:rPr/>
              <w:t>技术支持与服务方案评价</w:t>
            </w:r>
          </w:p>
        </w:tc>
        <w:tc>
          <w:tcPr>
            <w:tcW w:type="dxa" w:w="2769"/>
          </w:tcPr>
          <w:p>
            <w:pPr>
              <w:pStyle w:val="null3"/>
            </w:pPr>
            <w:r>
              <w:rPr/>
              <w:t>根据投标人针对本项目提供的技术支持与质保期内服务方案的服务体系、服务流程、服务内容、服务质量等打分。 1.对招标人需求理解完整、充分，服务方案内容全面清晰有效，方案的完整性、科学性、合理性、针对性优秀的，得6分； 2.对招标人需求理解较充分，服务方案内容全面，方案的科学性、合理性、可操作性、针对性较良好的，得4分； 3.对招标人需求理解一般，服务方案缺少部分非实质性内容，整体不影响方案完整性及可操作性，方案的科学性、合理性、可操作性、针对性一般的，得2分； 4.对招标人需求理解较差，服务方案内容不完整，方案的科学性、可操作性、针对性差的，得1分； 5.没有具体的针对性服务方案，完全抄袭招标方需求的，得0分。</w:t>
            </w:r>
          </w:p>
        </w:tc>
        <w:tc>
          <w:tcPr>
            <w:tcW w:type="dxa" w:w="692"/>
          </w:tcPr>
          <w:p>
            <w:pPr>
              <w:pStyle w:val="null3"/>
              <w:jc w:val="right"/>
            </w:pPr>
            <w:r>
              <w:rPr/>
              <w:t>6.00</w:t>
            </w:r>
          </w:p>
        </w:tc>
        <w:tc>
          <w:tcPr>
            <w:tcW w:type="dxa" w:w="692"/>
          </w:tcPr>
          <w:p>
            <w:pPr>
              <w:pStyle w:val="null3"/>
            </w:pPr>
            <w:r>
              <w:rPr/>
              <w:t>主观</w:t>
            </w:r>
          </w:p>
        </w:tc>
      </w:tr>
      <w:tr>
        <w:tc>
          <w:tcPr>
            <w:tcW w:type="dxa" w:w="692"/>
            <w:vMerge/>
          </w:tcPr>
          <w:p/>
        </w:tc>
        <w:tc>
          <w:tcPr>
            <w:tcW w:type="dxa" w:w="2076"/>
          </w:tcPr>
          <w:p>
            <w:pPr>
              <w:pStyle w:val="null3"/>
            </w:pPr>
            <w:r>
              <w:rPr/>
              <w:t>技术要求</w:t>
            </w:r>
          </w:p>
        </w:tc>
        <w:tc>
          <w:tcPr>
            <w:tcW w:type="dxa" w:w="2769"/>
          </w:tcPr>
          <w:p>
            <w:pPr>
              <w:pStyle w:val="null3"/>
            </w:pPr>
            <w:r>
              <w:rPr/>
              <w:t>技术要求中的★为关键指标项指标，若不满足将拒绝其投标。 根据投标人提供的技术需求偏离表的“采购需求及技术要求逐项应答表”进行评分。 每满足一个#指标项加0.5分，共64项，最高得32分。</w:t>
            </w:r>
          </w:p>
        </w:tc>
        <w:tc>
          <w:tcPr>
            <w:tcW w:type="dxa" w:w="692"/>
          </w:tcPr>
          <w:p>
            <w:pPr>
              <w:pStyle w:val="null3"/>
              <w:jc w:val="right"/>
            </w:pPr>
            <w:r>
              <w:rPr/>
              <w:t>32.00</w:t>
            </w:r>
          </w:p>
        </w:tc>
        <w:tc>
          <w:tcPr>
            <w:tcW w:type="dxa" w:w="692"/>
          </w:tcPr>
          <w:p>
            <w:pPr>
              <w:pStyle w:val="null3"/>
            </w:pPr>
            <w:r>
              <w:rPr/>
              <w:t>客观</w:t>
            </w:r>
          </w:p>
        </w:tc>
      </w:tr>
      <w:tr>
        <w:tc>
          <w:tcPr>
            <w:tcW w:type="dxa" w:w="692"/>
            <w:vMerge/>
          </w:tcPr>
          <w:p/>
        </w:tc>
        <w:tc>
          <w:tcPr>
            <w:tcW w:type="dxa" w:w="2076"/>
          </w:tcPr>
          <w:p>
            <w:pPr>
              <w:pStyle w:val="null3"/>
            </w:pPr>
            <w:r>
              <w:rPr/>
              <w:t>项目经理</w:t>
            </w:r>
          </w:p>
        </w:tc>
        <w:tc>
          <w:tcPr>
            <w:tcW w:type="dxa" w:w="2769"/>
          </w:tcPr>
          <w:p>
            <w:pPr>
              <w:pStyle w:val="null3"/>
            </w:pPr>
            <w:r>
              <w:rPr/>
              <w:t>投标人项目经理在投标人工作5年及以上，有4个及以上的项目管理经验，得2分。不提供项目经理简历或项目经理工作经历不符合要求的不得分。 （以上须提供人员简历。）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项目团队评价</w:t>
            </w:r>
          </w:p>
        </w:tc>
        <w:tc>
          <w:tcPr>
            <w:tcW w:type="dxa" w:w="2769"/>
          </w:tcPr>
          <w:p>
            <w:pPr>
              <w:pStyle w:val="null3"/>
            </w:pPr>
            <w:r>
              <w:rPr/>
              <w:t>根据原厂商团队技术人员数量、从业经验情况进行打分。 （一）服务器原厂商团队（2分） 1.服务器原厂商提供3名及以上技术人员，且均具备3年及以上服务器部署项目经验，得2分； 2.服务器原厂商提供2名技术人员，且均具备3年及以上服务器部署项目经验，得1分。 （以上须提供人员简历） （二）超融合软件原厂商团队（2分） 1.超融合软件原厂商提供3名及以上技术人员，且均具备3年及以上系统集成项目经验，得2分； 2.超融合软件原厂商提供2名技术人员，且均具备3年及以上系统集成项目经验，得1分。 （以上须提供人员简历） （三）网络设备原厂商团队（2分） 1.网络设备原厂商提供3名及以上技术人员，且均具备3年及以上网络建设项目经验，得2分； 2.网络设备原厂商提供2名技术人员，且均具备3年及以上网络建设项目经验，得1分。 （以上须提供人员简历）</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获得相关环保认证</w:t>
            </w:r>
          </w:p>
        </w:tc>
        <w:tc>
          <w:tcPr>
            <w:tcW w:type="dxa" w:w="2769"/>
          </w:tcPr>
          <w:p>
            <w:pPr>
              <w:pStyle w:val="null3"/>
            </w:pPr>
            <w:r>
              <w:rPr/>
              <w:t>环保产品:根据财库[2019]9 号、18 号文，国家市场监督管理总局公告 16 号文要求，服务器产品属于政府采购环境标志产品实施品目清单范围，投标人所有所投服务器产品均有指定认证机构出具的、有效的环境标志产品认证证书，得 2分；否则 0 分。 投标人需提供认证证书复印件，否则不予承认。 关于节能产品、环境标志产品的相关规定请参见: 《财政部发展改革委生态环境部市场监管总局关于调整优化节能产品环境标志产品政府采购执行机制的通知》（财库〔2019〕9 号） 《关于印发环境标志产品政府采购品目清单的通知》（财库〔2019〕18 号） 《市场监管总局关于发布参与实施政府采购节能产品、环境标志产品认证机构名录的公告》（2019 年第16 号）</w:t>
            </w:r>
          </w:p>
        </w:tc>
        <w:tc>
          <w:tcPr>
            <w:tcW w:type="dxa" w:w="692"/>
          </w:tcPr>
          <w:p>
            <w:pPr>
              <w:pStyle w:val="null3"/>
              <w:jc w:val="right"/>
            </w:pPr>
            <w:r>
              <w:rPr/>
              <w:t>2.00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产品应用案例</w:t>
            </w:r>
          </w:p>
        </w:tc>
        <w:tc>
          <w:tcPr>
            <w:tcW w:type="dxa" w:w="2769"/>
          </w:tcPr>
          <w:p>
            <w:pPr>
              <w:pStyle w:val="null3"/>
            </w:pPr>
            <w:r>
              <w:rPr/>
              <w:t>1.自2023年1月1日（以合同签订时间为准）以来，所投服务器产品的应用案例（单个案例中的所投服务器产品数量不少于10台（含），同一采购人的多个案例不重复计分），每提供一个合格案例得2分，最高得4分。未提供有效案例不得分。 2.自2023年1月1日（以合同签订时间为准）以来，所投超融合软件产品的应用案例（单个案例中所投超融合软件产品部署节点数不少于5个（含），同一采购人的多个案例不重复计分），每提供一个合格案例得1.5分，最高得3分。未提供有效案例不得分。 3.自2023年1月1日（以合同签订时间为准）以来，所投高端交换机产品的应用案例（单个案例中所投高端交换机产品数量不低于10台（含），同一采购人的多个案例不重复计分），每提供一个合格案例得1.5分，最高得3分。未提供有效案例不得分。 （以上须提供合同复印件或订单复印件作为证明材料，合同复印件或订单复印件至少包含首页、合同标的、盖章页、货物说明一览表，日期以合同签订时间为准。）</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投标人业绩经验</w:t>
            </w:r>
          </w:p>
        </w:tc>
        <w:tc>
          <w:tcPr>
            <w:tcW w:type="dxa" w:w="2769"/>
          </w:tcPr>
          <w:p>
            <w:pPr>
              <w:pStyle w:val="null3"/>
            </w:pPr>
            <w:r>
              <w:rPr/>
              <w:t>1.根据投标人自2023年1月1日（以合同签订时间为准）以来，承担的集成和供货项目（合同采购内容含服务器（不少于10台（含））或超融合软件（规模不少于10 节点（含）），同一采购人的多个案例不重复计分）实施案例评分，每提供一个合格案例得1.5分，最高得3分，未提供有效案例不得分。 2..根据投标人自2023年1月1日（以合同签订时间为准）以来，承担的集成和供货项目（合同采购内容含交换机（不少于20台（含）），同一采购人的多个案例不重复计分），每提供一个合格案例得1.5 分，最高得3分，未提供有效案例不得分。 （以上须提供合同复印件或订单复印件作为证明材料，合同复印件或订单复印件至少包含首页、合同标的、盖章页、货物说明一览表，日期以合同签订时间为准。） 上述案例与产品应用案例相同的，不重复计分。</w:t>
            </w:r>
          </w:p>
        </w:tc>
        <w:tc>
          <w:tcPr>
            <w:tcW w:type="dxa" w:w="692"/>
          </w:tcPr>
          <w:p>
            <w:pPr>
              <w:pStyle w:val="null3"/>
              <w:jc w:val="right"/>
            </w:pPr>
            <w:r>
              <w:rPr/>
              <w:t>6.00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根据投标人关于全部采购需求的报价合计进行计算。 A）评标价的计算 1.不接受选择性报价或者具有附加条件的报价； 2.投标文件中如果申报了非招标文件所要求的内容评标时不予以折价降低评标价； 3.投标人的报价（含税）为该投标人的评标价。 B）价格分的计算（保留小数点后2位） 1.评标基准价是指满足招标文件要求的且最低的投标人评标价； 2.报价得分＝（评标基准价/投标人的评标价）×30。</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详见附件：商务条款第3条证明文件</w:t>
      </w:r>
    </w:p>
    <w:p>
      <w:pPr>
        <w:pStyle w:val="null3"/>
        <w:ind w:firstLine="960"/>
      </w:pPr>
      <w:r>
        <w:rPr/>
        <w:t>详见附件：商务条款第6条证明文件</w:t>
      </w:r>
    </w:p>
    <w:p>
      <w:pPr>
        <w:pStyle w:val="null3"/>
        <w:ind w:firstLine="960"/>
      </w:pPr>
      <w:r>
        <w:rPr/>
        <w:t>详见附件：商务条款第8条证明文件</w:t>
      </w:r>
    </w:p>
    <w:p>
      <w:pPr>
        <w:pStyle w:val="null3"/>
        <w:ind w:firstLine="960"/>
      </w:pPr>
      <w:r>
        <w:rPr/>
        <w:t>详见附件：需求单位要求的资格条件第1条证明文件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 xml:space="preserve"> </w:t>
      </w:r>
    </w:p>
    <w:p>
      <w:pPr>
        <w:pStyle w:val="null3"/>
        <w:ind w:right="45"/>
        <w:jc w:val="center"/>
      </w:pPr>
      <w:r>
        <w:rPr>
          <w:rFonts w:ascii="宋体" w:hAnsi="宋体" w:cs="宋体" w:eastAsia="宋体"/>
          <w:sz w:val="52"/>
          <w:b/>
        </w:rPr>
        <w:t>中国人民银行清算总中心</w:t>
      </w:r>
    </w:p>
    <w:p>
      <w:pPr>
        <w:pStyle w:val="null3"/>
        <w:ind w:right="45"/>
        <w:jc w:val="center"/>
      </w:pPr>
      <w:r>
        <w:rPr>
          <w:rFonts w:ascii="宋体" w:hAnsi="宋体" w:cs="宋体" w:eastAsia="宋体"/>
          <w:sz w:val="52"/>
          <w:b/>
        </w:rPr>
        <w:t>（项目名称）采购合同</w:t>
      </w:r>
    </w:p>
    <w:p>
      <w:pPr>
        <w:pStyle w:val="null3"/>
        <w:ind w:right="45"/>
      </w:pPr>
      <w:r>
        <w:rPr>
          <w:rFonts w:ascii="宋体" w:hAnsi="宋体" w:cs="宋体" w:eastAsia="宋体"/>
          <w:sz w:val="32"/>
        </w:rPr>
        <w:t>甲方：中国人民银行清算总中心</w:t>
      </w:r>
    </w:p>
    <w:p>
      <w:pPr>
        <w:pStyle w:val="null3"/>
        <w:jc w:val="center"/>
      </w:pPr>
      <w:r>
        <w:rPr>
          <w:rFonts w:ascii="宋体" w:hAnsi="宋体" w:cs="宋体" w:eastAsia="宋体"/>
          <w:sz w:val="32"/>
        </w:rPr>
        <w:t>乙方：</w:t>
      </w:r>
    </w:p>
    <w:p>
      <w:pPr>
        <w:pStyle w:val="null3"/>
        <w:spacing w:after="120"/>
      </w:pPr>
      <w:r>
        <w:rPr>
          <w:rFonts w:ascii="&quot;times new roman&quot;, serif" w:hAnsi="&quot;times new roman&quot;, serif" w:cs="&quot;times new roman&quot;, serif" w:eastAsia="&quot;times new roman&quot;, serif"/>
          <w:sz w:val="32"/>
        </w:rPr>
        <w:t>2026</w:t>
      </w:r>
      <w:r>
        <w:rPr>
          <w:rFonts w:ascii="宋体" w:hAnsi="宋体" w:cs="宋体" w:eastAsia="宋体"/>
          <w:sz w:val="32"/>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32"/>
        </w:rPr>
        <w:t>月</w:t>
      </w:r>
    </w:p>
    <w:p>
      <w:pPr>
        <w:pStyle w:val="null3"/>
        <w:jc w:val="center"/>
      </w:pPr>
      <w:r>
        <w:rPr>
          <w:rFonts w:ascii="宋体" w:hAnsi="宋体" w:cs="宋体" w:eastAsia="宋体"/>
          <w:sz w:val="32"/>
        </w:rPr>
        <w:t>签约地点：北京市海淀区</w:t>
      </w:r>
    </w:p>
    <w:p>
      <w:pPr>
        <w:pStyle w:val="null3"/>
        <w:spacing w:after="120"/>
      </w:pPr>
      <w:r>
        <w:rPr>
          <w:rFonts w:ascii="宋体" w:hAnsi="宋体" w:cs="宋体" w:eastAsia="宋体"/>
          <w:sz w:val="32"/>
          <w:b/>
        </w:rPr>
        <w:t>中国人民银行清算总中心</w:t>
      </w:r>
    </w:p>
    <w:p>
      <w:pPr>
        <w:pStyle w:val="null3"/>
        <w:jc w:val="center"/>
      </w:pPr>
      <w:r>
        <w:rPr>
          <w:rFonts w:ascii="宋体" w:hAnsi="宋体" w:cs="宋体" w:eastAsia="宋体"/>
          <w:sz w:val="32"/>
          <w:b/>
        </w:rPr>
        <w:t>（项目名称）采购合同</w:t>
      </w:r>
    </w:p>
    <w:p>
      <w:pPr>
        <w:pStyle w:val="null3"/>
        <w:ind w:right="120" w:firstLine="420"/>
        <w:jc w:val="right"/>
      </w:pPr>
      <w:r>
        <w:rPr>
          <w:rFonts w:ascii="宋体" w:hAnsi="宋体" w:cs="宋体" w:eastAsia="宋体"/>
          <w:sz w:val="21"/>
        </w:rPr>
        <w:t>合同编号：</w:t>
      </w:r>
      <w:r>
        <w:rPr>
          <w:rFonts w:ascii="&quot;times new roman&quot;, serif" w:hAnsi="&quot;times new roman&quot;, serif" w:cs="&quot;times new roman&quot;, serif" w:eastAsia="&quot;times new roman&quot;, serif"/>
          <w:sz w:val="21"/>
        </w:rPr>
        <w:t>XXXXXXXXX</w:t>
      </w:r>
    </w:p>
    <w:p>
      <w:pPr>
        <w:pStyle w:val="null3"/>
        <w:ind w:firstLine="420"/>
      </w:pPr>
      <w:r>
        <w:rPr>
          <w:rFonts w:ascii="宋体" w:hAnsi="宋体" w:cs="宋体" w:eastAsia="宋体"/>
          <w:sz w:val="21"/>
        </w:rPr>
        <w:t>甲方：中国人民银行清算总中心</w:t>
      </w:r>
    </w:p>
    <w:p>
      <w:pPr>
        <w:pStyle w:val="null3"/>
        <w:ind w:firstLine="420"/>
      </w:pPr>
      <w:r>
        <w:rPr>
          <w:rFonts w:ascii="宋体" w:hAnsi="宋体" w:cs="宋体" w:eastAsia="宋体"/>
          <w:sz w:val="21"/>
        </w:rPr>
        <w:t>法定代表人：贝劲松</w:t>
      </w:r>
    </w:p>
    <w:p>
      <w:pPr>
        <w:pStyle w:val="null3"/>
        <w:ind w:firstLine="420"/>
      </w:pPr>
      <w:r>
        <w:rPr>
          <w:rFonts w:ascii="宋体" w:hAnsi="宋体" w:cs="宋体" w:eastAsia="宋体"/>
          <w:sz w:val="21"/>
        </w:rPr>
        <w:t>住所：北京市海淀区阜成路</w:t>
      </w:r>
      <w:r>
        <w:rPr>
          <w:rFonts w:ascii="&quot;times new roman&quot;, serif" w:hAnsi="&quot;times new roman&quot;, serif" w:cs="&quot;times new roman&quot;, serif" w:eastAsia="&quot;times new roman&quot;, serif"/>
          <w:sz w:val="21"/>
        </w:rPr>
        <w:t>18</w:t>
      </w:r>
      <w:r>
        <w:rPr>
          <w:rFonts w:ascii="宋体" w:hAnsi="宋体" w:cs="宋体" w:eastAsia="宋体"/>
          <w:sz w:val="21"/>
        </w:rPr>
        <w:t>号华融大厦</w:t>
      </w:r>
      <w:r>
        <w:rPr>
          <w:rFonts w:ascii="&quot;times new roman&quot;, serif" w:hAnsi="&quot;times new roman&quot;, serif" w:cs="&quot;times new roman&quot;, serif" w:eastAsia="&quot;times new roman&quot;, serif"/>
          <w:sz w:val="21"/>
        </w:rPr>
        <w:t>1221</w:t>
      </w:r>
      <w:r>
        <w:rPr>
          <w:rFonts w:ascii="宋体" w:hAnsi="宋体" w:cs="宋体" w:eastAsia="宋体"/>
          <w:sz w:val="21"/>
        </w:rPr>
        <w:t>室</w:t>
      </w:r>
    </w:p>
    <w:p>
      <w:pPr>
        <w:pStyle w:val="null3"/>
        <w:ind w:firstLine="420"/>
      </w:pPr>
      <w:r>
        <w:rPr>
          <w:rFonts w:ascii="宋体" w:hAnsi="宋体" w:cs="宋体" w:eastAsia="宋体"/>
          <w:sz w:val="21"/>
        </w:rPr>
        <w:t>统一社会信用代码：</w:t>
      </w:r>
      <w:r>
        <w:rPr>
          <w:rFonts w:ascii="&quot;times new roman&quot;, serif" w:hAnsi="&quot;times new roman&quot;, serif" w:cs="&quot;times new roman&quot;, serif" w:eastAsia="&quot;times new roman&quot;, serif"/>
          <w:sz w:val="21"/>
        </w:rPr>
        <w:t>12100000400882225T</w:t>
      </w:r>
    </w:p>
    <w:p>
      <w:pPr>
        <w:pStyle w:val="null3"/>
        <w:ind w:firstLine="420"/>
      </w:pPr>
      <w:r>
        <w:rPr>
          <w:rFonts w:ascii="宋体" w:hAnsi="宋体" w:cs="宋体" w:eastAsia="宋体"/>
          <w:sz w:val="21"/>
        </w:rPr>
        <w:t>联系人：</w:t>
      </w:r>
    </w:p>
    <w:p>
      <w:pPr>
        <w:pStyle w:val="null3"/>
        <w:ind w:firstLine="420"/>
      </w:pPr>
      <w:r>
        <w:rPr>
          <w:rFonts w:ascii="宋体" w:hAnsi="宋体" w:cs="宋体" w:eastAsia="宋体"/>
          <w:sz w:val="21"/>
        </w:rPr>
        <w:t>电</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话：</w:t>
      </w:r>
    </w:p>
    <w:p>
      <w:pPr>
        <w:pStyle w:val="null3"/>
        <w:ind w:firstLine="420"/>
      </w:pPr>
      <w:r>
        <w:rPr>
          <w:rFonts w:ascii="宋体" w:hAnsi="宋体" w:cs="宋体" w:eastAsia="宋体"/>
          <w:sz w:val="21"/>
        </w:rPr>
        <w:t>邮</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箱：</w:t>
      </w:r>
    </w:p>
    <w:p>
      <w:pPr>
        <w:pStyle w:val="null3"/>
        <w:ind w:firstLine="420"/>
      </w:pPr>
      <w:r>
        <w:rPr>
          <w:rFonts w:ascii="宋体" w:hAnsi="宋体" w:cs="宋体" w:eastAsia="宋体"/>
          <w:sz w:val="21"/>
        </w:rPr>
        <w:t>乙方：</w:t>
      </w:r>
    </w:p>
    <w:p>
      <w:pPr>
        <w:pStyle w:val="null3"/>
        <w:ind w:firstLine="420"/>
      </w:pPr>
      <w:r>
        <w:rPr>
          <w:rFonts w:ascii="宋体" w:hAnsi="宋体" w:cs="宋体" w:eastAsia="宋体"/>
          <w:sz w:val="21"/>
        </w:rPr>
        <w:t>法定代表人：</w:t>
      </w:r>
    </w:p>
    <w:p>
      <w:pPr>
        <w:pStyle w:val="null3"/>
        <w:ind w:firstLine="420"/>
      </w:pPr>
      <w:r>
        <w:rPr>
          <w:rFonts w:ascii="宋体" w:hAnsi="宋体" w:cs="宋体" w:eastAsia="宋体"/>
          <w:sz w:val="21"/>
        </w:rPr>
        <w:t>住所：</w:t>
      </w:r>
    </w:p>
    <w:p>
      <w:pPr>
        <w:pStyle w:val="null3"/>
        <w:ind w:firstLine="420"/>
      </w:pPr>
      <w:r>
        <w:rPr>
          <w:rFonts w:ascii="宋体" w:hAnsi="宋体" w:cs="宋体" w:eastAsia="宋体"/>
          <w:sz w:val="21"/>
        </w:rPr>
        <w:t>统一社会信用代码：</w:t>
      </w:r>
    </w:p>
    <w:p>
      <w:pPr>
        <w:pStyle w:val="null3"/>
        <w:ind w:firstLine="420"/>
      </w:pPr>
      <w:r>
        <w:rPr>
          <w:rFonts w:ascii="宋体" w:hAnsi="宋体" w:cs="宋体" w:eastAsia="宋体"/>
          <w:sz w:val="21"/>
        </w:rPr>
        <w:t>联系人：</w:t>
      </w:r>
    </w:p>
    <w:p>
      <w:pPr>
        <w:pStyle w:val="null3"/>
        <w:ind w:firstLine="420"/>
      </w:pPr>
      <w:r>
        <w:rPr>
          <w:rFonts w:ascii="宋体" w:hAnsi="宋体" w:cs="宋体" w:eastAsia="宋体"/>
          <w:sz w:val="21"/>
        </w:rPr>
        <w:t>电话：</w:t>
      </w:r>
    </w:p>
    <w:p>
      <w:pPr>
        <w:pStyle w:val="null3"/>
        <w:ind w:firstLine="420"/>
      </w:pPr>
      <w:r>
        <w:rPr>
          <w:rFonts w:ascii="宋体" w:hAnsi="宋体" w:cs="宋体" w:eastAsia="宋体"/>
          <w:sz w:val="21"/>
        </w:rPr>
        <w:t>邮</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箱：</w:t>
      </w:r>
    </w:p>
    <w:p>
      <w:pPr>
        <w:pStyle w:val="null3"/>
        <w:ind w:firstLine="420"/>
      </w:pPr>
      <w:r>
        <w:rPr>
          <w:rFonts w:ascii="楷体" w:hAnsi="楷体" w:cs="楷体" w:eastAsia="楷体"/>
          <w:sz w:val="21"/>
        </w:rPr>
        <w:t>（以下为正文）</w:t>
      </w:r>
    </w:p>
    <w:p>
      <w:pPr>
        <w:pStyle w:val="null3"/>
      </w:pPr>
      <w:r>
        <w:rPr>
          <w:rFonts w:ascii="宋体" w:hAnsi="宋体" w:cs="宋体" w:eastAsia="宋体"/>
          <w:sz w:val="28"/>
          <w:b/>
        </w:rPr>
        <w:t>目</w:t>
      </w:r>
      <w:r>
        <w:rPr>
          <w:rFonts w:ascii="&quot;times new roman&quot;, serif" w:hAnsi="&quot;times new roman&quot;, serif" w:cs="&quot;times new roman&quot;, serif" w:eastAsia="&quot;times new roman&quot;, serif"/>
          <w:sz w:val="21"/>
          <w:b/>
        </w:rPr>
        <w:t xml:space="preserve">   </w:t>
      </w:r>
      <w:r>
        <w:rPr>
          <w:rFonts w:ascii="宋体" w:hAnsi="宋体" w:cs="宋体" w:eastAsia="宋体"/>
          <w:sz w:val="28"/>
          <w:b/>
        </w:rPr>
        <w:t>录</w:t>
      </w:r>
    </w:p>
    <w:p>
      <w:pPr>
        <w:pStyle w:val="null3"/>
        <w:spacing w:before="120" w:after="120"/>
        <w:jc w:val="center"/>
      </w:pPr>
      <w:r>
        <w:rPr>
          <w:rFonts w:ascii="宋体" w:hAnsi="宋体" w:cs="宋体" w:eastAsia="宋体"/>
          <w:sz w:val="20"/>
          <w:b/>
        </w:rPr>
        <w:t>目   录</w:t>
      </w:r>
    </w:p>
    <w:p>
      <w:pPr>
        <w:pStyle w:val="null3"/>
        <w:spacing w:before="120" w:after="120"/>
        <w:jc w:val="center"/>
      </w:pPr>
      <w:r>
        <w:rPr>
          <w:rFonts w:ascii="宋体" w:hAnsi="宋体" w:cs="宋体" w:eastAsia="宋体"/>
          <w:sz w:val="20"/>
          <w:b/>
        </w:rPr>
        <w:t>第一条 合同内容....................................................... 4</w:t>
      </w:r>
    </w:p>
    <w:p>
      <w:pPr>
        <w:pStyle w:val="null3"/>
        <w:spacing w:before="120" w:after="120"/>
        <w:jc w:val="center"/>
      </w:pPr>
      <w:r>
        <w:rPr>
          <w:rFonts w:ascii="宋体" w:hAnsi="宋体" w:cs="宋体" w:eastAsia="宋体"/>
          <w:sz w:val="20"/>
          <w:b/>
        </w:rPr>
        <w:t>第二条：双方权利义务................................................... 4</w:t>
      </w:r>
    </w:p>
    <w:p>
      <w:pPr>
        <w:pStyle w:val="null3"/>
        <w:spacing w:before="120" w:after="120"/>
        <w:jc w:val="center"/>
      </w:pPr>
      <w:r>
        <w:rPr>
          <w:rFonts w:ascii="宋体" w:hAnsi="宋体" w:cs="宋体" w:eastAsia="宋体"/>
          <w:sz w:val="20"/>
          <w:b/>
        </w:rPr>
        <w:t>第三条 包装及运输..................................................... 5</w:t>
      </w:r>
    </w:p>
    <w:p>
      <w:pPr>
        <w:pStyle w:val="null3"/>
        <w:spacing w:before="120" w:after="120"/>
        <w:jc w:val="center"/>
      </w:pPr>
      <w:r>
        <w:rPr>
          <w:rFonts w:ascii="宋体" w:hAnsi="宋体" w:cs="宋体" w:eastAsia="宋体"/>
          <w:sz w:val="20"/>
          <w:b/>
        </w:rPr>
        <w:t>第四条 到货交付及服务时间、地点......................................... 6</w:t>
      </w:r>
    </w:p>
    <w:p>
      <w:pPr>
        <w:pStyle w:val="null3"/>
        <w:spacing w:before="120" w:after="120"/>
        <w:jc w:val="center"/>
      </w:pPr>
      <w:r>
        <w:rPr>
          <w:rFonts w:ascii="宋体" w:hAnsi="宋体" w:cs="宋体" w:eastAsia="宋体"/>
          <w:sz w:val="20"/>
          <w:b/>
        </w:rPr>
        <w:t>第五条 验收.......................................................... 7</w:t>
      </w:r>
    </w:p>
    <w:p>
      <w:pPr>
        <w:pStyle w:val="null3"/>
        <w:spacing w:before="120" w:after="120"/>
        <w:jc w:val="center"/>
      </w:pPr>
      <w:r>
        <w:rPr>
          <w:rFonts w:ascii="宋体" w:hAnsi="宋体" w:cs="宋体" w:eastAsia="宋体"/>
          <w:sz w:val="20"/>
          <w:b/>
        </w:rPr>
        <w:t>第六条 质量保证....................................................... 9</w:t>
      </w:r>
    </w:p>
    <w:p>
      <w:pPr>
        <w:pStyle w:val="null3"/>
        <w:spacing w:before="120" w:after="120"/>
        <w:jc w:val="center"/>
      </w:pPr>
      <w:r>
        <w:rPr>
          <w:rFonts w:ascii="宋体" w:hAnsi="宋体" w:cs="宋体" w:eastAsia="宋体"/>
          <w:sz w:val="20"/>
          <w:b/>
        </w:rPr>
        <w:t>第七条 知识产权...................................................... 10</w:t>
      </w:r>
    </w:p>
    <w:p>
      <w:pPr>
        <w:pStyle w:val="null3"/>
        <w:spacing w:before="120" w:after="120"/>
        <w:jc w:val="center"/>
      </w:pPr>
      <w:r>
        <w:rPr>
          <w:rFonts w:ascii="宋体" w:hAnsi="宋体" w:cs="宋体" w:eastAsia="宋体"/>
          <w:sz w:val="20"/>
          <w:b/>
        </w:rPr>
        <w:t>第八条 保密......................................................... 11</w:t>
      </w:r>
    </w:p>
    <w:p>
      <w:pPr>
        <w:pStyle w:val="null3"/>
        <w:spacing w:before="120" w:after="120"/>
        <w:jc w:val="center"/>
      </w:pPr>
      <w:r>
        <w:rPr>
          <w:rFonts w:ascii="宋体" w:hAnsi="宋体" w:cs="宋体" w:eastAsia="宋体"/>
          <w:sz w:val="20"/>
          <w:b/>
        </w:rPr>
        <w:t>第九条 合同金额及付款方式............................................. 11</w:t>
      </w:r>
    </w:p>
    <w:p>
      <w:pPr>
        <w:pStyle w:val="null3"/>
        <w:spacing w:before="120" w:after="120"/>
        <w:jc w:val="center"/>
      </w:pPr>
      <w:r>
        <w:rPr>
          <w:rFonts w:ascii="宋体" w:hAnsi="宋体" w:cs="宋体" w:eastAsia="宋体"/>
          <w:sz w:val="20"/>
          <w:b/>
        </w:rPr>
        <w:t>第十条 违约责任及不可抗力............................................. 13</w:t>
      </w:r>
    </w:p>
    <w:p>
      <w:pPr>
        <w:pStyle w:val="null3"/>
        <w:spacing w:before="120" w:after="120"/>
        <w:jc w:val="center"/>
      </w:pPr>
      <w:r>
        <w:rPr>
          <w:rFonts w:ascii="宋体" w:hAnsi="宋体" w:cs="宋体" w:eastAsia="宋体"/>
          <w:sz w:val="20"/>
          <w:b/>
        </w:rPr>
        <w:t>第十一条 通知与送达.................................................. 16</w:t>
      </w:r>
    </w:p>
    <w:p>
      <w:pPr>
        <w:pStyle w:val="null3"/>
        <w:spacing w:before="120" w:after="120"/>
        <w:jc w:val="center"/>
      </w:pPr>
      <w:r>
        <w:rPr>
          <w:rFonts w:ascii="宋体" w:hAnsi="宋体" w:cs="宋体" w:eastAsia="宋体"/>
          <w:sz w:val="20"/>
          <w:b/>
        </w:rPr>
        <w:t>第十二条 争议解决.................................................... 17</w:t>
      </w:r>
    </w:p>
    <w:p>
      <w:pPr>
        <w:pStyle w:val="null3"/>
        <w:spacing w:before="120" w:after="120"/>
        <w:jc w:val="center"/>
      </w:pPr>
      <w:r>
        <w:rPr>
          <w:rFonts w:ascii="宋体" w:hAnsi="宋体" w:cs="宋体" w:eastAsia="宋体"/>
          <w:sz w:val="20"/>
          <w:b/>
        </w:rPr>
        <w:t>第十三条 合同的生效、解除和变更........................................ 17</w:t>
      </w:r>
    </w:p>
    <w:p>
      <w:pPr>
        <w:pStyle w:val="null3"/>
        <w:spacing w:before="120" w:after="120"/>
        <w:jc w:val="center"/>
      </w:pPr>
      <w:r>
        <w:rPr>
          <w:rFonts w:ascii="宋体" w:hAnsi="宋体" w:cs="宋体" w:eastAsia="宋体"/>
          <w:sz w:val="20"/>
          <w:b/>
        </w:rPr>
        <w:t>第十四条 其它....................................................... 18</w:t>
      </w:r>
    </w:p>
    <w:p>
      <w:pPr>
        <w:pStyle w:val="null3"/>
        <w:spacing w:before="120" w:after="120"/>
        <w:jc w:val="center"/>
      </w:pPr>
      <w:r>
        <w:rPr>
          <w:rFonts w:ascii="宋体" w:hAnsi="宋体" w:cs="宋体" w:eastAsia="宋体"/>
          <w:sz w:val="20"/>
          <w:b/>
        </w:rPr>
        <w:t>附件一：设备清单及价格明细............................................. 21</w:t>
      </w:r>
    </w:p>
    <w:p>
      <w:pPr>
        <w:pStyle w:val="null3"/>
        <w:spacing w:before="120" w:after="120"/>
        <w:jc w:val="center"/>
      </w:pPr>
      <w:r>
        <w:rPr>
          <w:rFonts w:ascii="宋体" w:hAnsi="宋体" w:cs="宋体" w:eastAsia="宋体"/>
          <w:sz w:val="20"/>
          <w:b/>
        </w:rPr>
        <w:t>附件二：产品配置/技术说明............................................. 22</w:t>
      </w:r>
    </w:p>
    <w:p>
      <w:pPr>
        <w:pStyle w:val="null3"/>
        <w:spacing w:before="120" w:after="120"/>
        <w:jc w:val="center"/>
      </w:pPr>
      <w:r>
        <w:rPr>
          <w:rFonts w:ascii="宋体" w:hAnsi="宋体" w:cs="宋体" w:eastAsia="宋体"/>
          <w:sz w:val="20"/>
          <w:b/>
        </w:rPr>
        <w:t>附件三：工程实施方案.................................................. 23</w:t>
      </w:r>
    </w:p>
    <w:p>
      <w:pPr>
        <w:pStyle w:val="null3"/>
        <w:spacing w:before="120" w:after="120"/>
        <w:jc w:val="center"/>
      </w:pPr>
      <w:r>
        <w:rPr>
          <w:rFonts w:ascii="宋体" w:hAnsi="宋体" w:cs="宋体" w:eastAsia="宋体"/>
          <w:sz w:val="20"/>
          <w:b/>
        </w:rPr>
        <w:t>附件四：质量保证期服务................................................ 72</w:t>
      </w:r>
    </w:p>
    <w:p>
      <w:pPr>
        <w:pStyle w:val="null3"/>
        <w:spacing w:before="120" w:after="120"/>
        <w:jc w:val="center"/>
      </w:pPr>
      <w:r>
        <w:rPr>
          <w:rFonts w:ascii="宋体" w:hAnsi="宋体" w:cs="宋体" w:eastAsia="宋体"/>
          <w:sz w:val="20"/>
          <w:b/>
        </w:rPr>
        <w:t>附件五：验收报告格式.................................................. 78</w:t>
      </w:r>
    </w:p>
    <w:p>
      <w:pPr>
        <w:pStyle w:val="null3"/>
        <w:spacing w:before="120" w:after="120"/>
        <w:jc w:val="center"/>
      </w:pPr>
      <w:r>
        <w:rPr>
          <w:rFonts w:ascii="宋体" w:hAnsi="宋体" w:cs="宋体" w:eastAsia="宋体"/>
          <w:sz w:val="20"/>
          <w:b/>
        </w:rPr>
        <w:t>附件六：付款申请..................................................... 84</w:t>
      </w:r>
    </w:p>
    <w:p>
      <w:pPr>
        <w:pStyle w:val="null3"/>
        <w:spacing w:before="120" w:after="120"/>
        <w:jc w:val="center"/>
      </w:pPr>
      <w:r>
        <w:rPr>
          <w:rFonts w:ascii="宋体" w:hAnsi="宋体" w:cs="宋体" w:eastAsia="宋体"/>
          <w:sz w:val="20"/>
          <w:b/>
        </w:rPr>
        <w:t>附件七：外包服务人员保密和信息安全承诺书................................. 85</w:t>
      </w:r>
    </w:p>
    <w:p>
      <w:pPr>
        <w:pStyle w:val="null3"/>
        <w:spacing w:before="120" w:after="120"/>
        <w:jc w:val="center"/>
      </w:pPr>
      <w:r>
        <w:rPr>
          <w:rFonts w:ascii="宋体" w:hAnsi="宋体" w:cs="宋体" w:eastAsia="宋体"/>
          <w:sz w:val="20"/>
          <w:b/>
        </w:rPr>
        <w:t>附件八：廉洁共建承诺书............................................... 911</w:t>
      </w:r>
    </w:p>
    <w:p>
      <w:pPr>
        <w:pStyle w:val="null3"/>
        <w:spacing w:before="120" w:after="120"/>
        <w:jc w:val="center"/>
      </w:pPr>
      <w:r>
        <w:rPr>
          <w:rFonts w:ascii="宋体" w:hAnsi="宋体" w:cs="宋体" w:eastAsia="宋体"/>
          <w:sz w:val="20"/>
          <w:b/>
        </w:rPr>
        <w:t>附件九：网络安全审查承诺函............................................. 91</w:t>
      </w:r>
    </w:p>
    <w:p>
      <w:pPr>
        <w:pStyle w:val="null3"/>
        <w:spacing w:before="120" w:after="120"/>
        <w:jc w:val="center"/>
      </w:pPr>
      <w:r>
        <w:rPr>
          <w:rFonts w:ascii="宋体" w:hAnsi="宋体" w:cs="宋体" w:eastAsia="宋体"/>
          <w:sz w:val="20"/>
          <w:b/>
        </w:rPr>
        <w:t>附件十：廉洁共建承诺书............................................... 913</w:t>
      </w:r>
    </w:p>
    <w:p>
      <w:pPr>
        <w:pStyle w:val="null3"/>
        <w:spacing w:before="120" w:after="120"/>
        <w:jc w:val="center"/>
      </w:pPr>
      <w:r>
        <w:rPr>
          <w:rFonts w:ascii="宋体" w:hAnsi="宋体" w:cs="宋体" w:eastAsia="宋体"/>
          <w:sz w:val="20"/>
          <w:b/>
        </w:rPr>
        <w:t>附件十一：原厂授权函.................................................. 94</w:t>
      </w:r>
    </w:p>
    <w:p>
      <w:pPr>
        <w:pStyle w:val="null3"/>
        <w:spacing w:before="120" w:after="120"/>
        <w:jc w:val="center"/>
      </w:pPr>
      <w:r>
        <w:rPr>
          <w:rFonts w:ascii="宋体" w:hAnsi="宋体" w:cs="宋体" w:eastAsia="宋体"/>
          <w:sz w:val="20"/>
          <w:b/>
        </w:rPr>
        <w:t>附件十二：原厂服务承诺函.............................................. 95</w:t>
      </w:r>
    </w:p>
    <w:p>
      <w:pPr>
        <w:pStyle w:val="null3"/>
        <w:spacing w:before="120" w:after="120"/>
        <w:jc w:val="center"/>
      </w:pPr>
      <w:r>
        <w:rPr>
          <w:rFonts w:ascii="宋体" w:hAnsi="宋体" w:cs="宋体" w:eastAsia="宋体"/>
          <w:sz w:val="20"/>
          <w:b/>
        </w:rPr>
        <w:t>附件十三：履约验收方案..................................................</w:t>
      </w:r>
    </w:p>
    <w:p>
      <w:pPr>
        <w:pStyle w:val="null3"/>
      </w:pPr>
      <w:r>
        <w:rPr>
          <w:rFonts w:ascii="宋体" w:hAnsi="宋体" w:cs="宋体" w:eastAsia="宋体"/>
          <w:sz w:val="21"/>
          <w:b/>
        </w:rPr>
        <w:t>第一条</w:t>
      </w:r>
      <w:r>
        <w:rPr>
          <w:rFonts w:ascii="宋体" w:hAnsi="宋体" w:cs="宋体" w:eastAsia="宋体"/>
          <w:sz w:val="21"/>
          <w:b/>
        </w:rPr>
        <w:t>合同</w:t>
      </w:r>
      <w:r>
        <w:rPr>
          <w:rFonts w:ascii="宋体" w:hAnsi="宋体" w:cs="宋体" w:eastAsia="宋体"/>
          <w:sz w:val="21"/>
          <w:b/>
        </w:rPr>
        <w:t>内容</w:t>
      </w:r>
    </w:p>
    <w:p>
      <w:pPr>
        <w:pStyle w:val="null3"/>
        <w:ind w:firstLine="420"/>
        <w:jc w:val="both"/>
      </w:pPr>
      <w:r>
        <w:rPr>
          <w:rFonts w:ascii="&quot;arial&quot;, sans-serif" w:hAnsi="&quot;arial&quot;, sans-serif" w:cs="&quot;arial&quot;, sans-serif" w:eastAsia="&quot;arial&quot;, sans-serif"/>
          <w:sz w:val="21"/>
        </w:rPr>
        <w:t>1.1</w:t>
      </w:r>
      <w:r>
        <w:rPr>
          <w:rFonts w:ascii="宋体" w:hAnsi="宋体" w:cs="宋体" w:eastAsia="宋体"/>
          <w:sz w:val="21"/>
        </w:rPr>
        <w:t>根据《中华人民共和国民法典》合同编和其他有关法律法规，遵循平等、自愿、公平和诚实守信原则，就</w:t>
      </w:r>
      <w:r>
        <w:rPr>
          <w:rFonts w:ascii="宋体" w:hAnsi="宋体" w:cs="宋体" w:eastAsia="宋体"/>
          <w:sz w:val="21"/>
          <w:u w:val="single"/>
        </w:rPr>
        <w:t>中国人民银行清算总中心</w:t>
      </w:r>
      <w:r>
        <w:rPr>
          <w:rFonts w:ascii="宋体" w:hAnsi="宋体" w:cs="宋体" w:eastAsia="宋体"/>
          <w:sz w:val="21"/>
        </w:rPr>
        <w:t>（以下称甲方），向</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u w:val="single"/>
        </w:rPr>
        <w:t>公司</w:t>
      </w:r>
      <w:r>
        <w:rPr>
          <w:rFonts w:ascii="宋体" w:hAnsi="宋体" w:cs="宋体" w:eastAsia="宋体"/>
          <w:sz w:val="21"/>
        </w:rPr>
        <w:t>（以下称乙方）购买</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（简述货物及服务名称）（以下简称：</w:t>
      </w:r>
      <w:r>
        <w:rPr>
          <w:rFonts w:ascii="&quot;arial&quot;, sans-serif" w:hAnsi="&quot;arial&quot;, sans-serif" w:cs="&quot;arial&quot;, sans-serif" w:eastAsia="&quot;arial&quot;, sans-serif"/>
          <w:sz w:val="21"/>
        </w:rPr>
        <w:t>“</w:t>
      </w:r>
      <w:r>
        <w:rPr>
          <w:rFonts w:ascii="宋体" w:hAnsi="宋体" w:cs="宋体" w:eastAsia="宋体"/>
          <w:sz w:val="21"/>
        </w:rPr>
        <w:t>产品</w:t>
      </w:r>
      <w:r>
        <w:rPr>
          <w:rFonts w:ascii="&quot;arial&quot;, sans-serif" w:hAnsi="&quot;arial&quot;, sans-serif" w:cs="&quot;arial&quot;, sans-serif" w:eastAsia="&quot;arial&quot;, sans-serif"/>
          <w:sz w:val="21"/>
        </w:rPr>
        <w:t>”</w:t>
      </w:r>
      <w:r>
        <w:rPr>
          <w:rFonts w:ascii="宋体" w:hAnsi="宋体" w:cs="宋体" w:eastAsia="宋体"/>
          <w:sz w:val="21"/>
        </w:rPr>
        <w:t>和</w:t>
      </w:r>
      <w:r>
        <w:rPr>
          <w:rFonts w:ascii="&quot;arial&quot;, sans-serif" w:hAnsi="&quot;arial&quot;, sans-serif" w:cs="&quot;arial&quot;, sans-serif" w:eastAsia="&quot;arial&quot;, sans-serif"/>
          <w:sz w:val="21"/>
        </w:rPr>
        <w:t>“</w:t>
      </w:r>
      <w:r>
        <w:rPr>
          <w:rFonts w:ascii="宋体" w:hAnsi="宋体" w:cs="宋体" w:eastAsia="宋体"/>
          <w:sz w:val="21"/>
        </w:rPr>
        <w:t>服务</w:t>
      </w:r>
      <w:r>
        <w:rPr>
          <w:rFonts w:ascii="&quot;arial&quot;, sans-serif" w:hAnsi="&quot;arial&quot;, sans-serif" w:cs="&quot;arial&quot;, sans-serif" w:eastAsia="&quot;arial&quot;, sans-serif"/>
          <w:sz w:val="21"/>
        </w:rPr>
        <w:t>”</w:t>
      </w:r>
      <w:r>
        <w:rPr>
          <w:rFonts w:ascii="宋体" w:hAnsi="宋体" w:cs="宋体" w:eastAsia="宋体"/>
          <w:sz w:val="21"/>
        </w:rPr>
        <w:t>）的有关事宜，经甲乙双方协商一致，签订本合同。</w:t>
      </w:r>
      <w:r>
        <w:rPr>
          <w:rFonts w:ascii="宋体" w:hAnsi="宋体" w:cs="宋体" w:eastAsia="宋体"/>
          <w:sz w:val="21"/>
          <w:color w:val="000000"/>
        </w:rPr>
        <w:t>（该产品由设备制造商</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color w:val="000000"/>
          <w:u w:val="single"/>
        </w:rPr>
        <w:t>公司</w:t>
      </w:r>
      <w:r>
        <w:rPr>
          <w:rFonts w:ascii="宋体" w:hAnsi="宋体" w:cs="宋体" w:eastAsia="宋体"/>
          <w:sz w:val="21"/>
          <w:color w:val="000000"/>
        </w:rPr>
        <w:t>授权乙方销售，原厂授权函见附件十一。</w:t>
      </w:r>
      <w:r>
        <w:rPr>
          <w:rFonts w:ascii="&quot;arial&quot;, sans-serif" w:hAnsi="&quot;arial&quot;, sans-serif" w:cs="&quot;arial&quot;, sans-serif" w:eastAsia="&quot;arial&quot;, sans-serif"/>
          <w:sz w:val="21"/>
          <w:color w:val="000000"/>
        </w:rPr>
        <w:t>)</w:t>
      </w:r>
    </w:p>
    <w:p>
      <w:pPr>
        <w:pStyle w:val="null3"/>
        <w:ind w:firstLine="420"/>
        <w:jc w:val="both"/>
      </w:pPr>
      <w:r>
        <w:rPr>
          <w:rFonts w:ascii="&quot;arial&quot;, sans-serif" w:hAnsi="&quot;arial&quot;, sans-serif" w:cs="&quot;arial&quot;, sans-serif" w:eastAsia="&quot;arial&quot;, sans-serif"/>
          <w:sz w:val="21"/>
        </w:rPr>
        <w:t>1.2</w:t>
      </w:r>
      <w:r>
        <w:rPr>
          <w:rFonts w:ascii="宋体" w:hAnsi="宋体" w:cs="宋体" w:eastAsia="宋体"/>
          <w:sz w:val="21"/>
        </w:rPr>
        <w:t>本合同产品清单详见附件一。产品技术性能指标、配置说明详见附件二。</w:t>
      </w:r>
    </w:p>
    <w:p>
      <w:pPr>
        <w:pStyle w:val="null3"/>
        <w:ind w:firstLine="420"/>
        <w:jc w:val="both"/>
      </w:pPr>
      <w:r>
        <w:rPr>
          <w:rFonts w:ascii="&quot;arial&quot;, sans-serif" w:hAnsi="&quot;arial&quot;, sans-serif" w:cs="&quot;arial&quot;, sans-serif" w:eastAsia="&quot;arial&quot;, sans-serif"/>
          <w:sz w:val="21"/>
        </w:rPr>
        <w:t xml:space="preserve">1.3 </w:t>
      </w:r>
      <w:r>
        <w:rPr>
          <w:rFonts w:ascii="宋体" w:hAnsi="宋体" w:cs="宋体" w:eastAsia="宋体"/>
          <w:sz w:val="21"/>
        </w:rPr>
        <w:t>本合同中的服务内容及服务标准如下（服务方案详见附件三）：</w:t>
      </w:r>
    </w:p>
    <w:p>
      <w:pPr>
        <w:pStyle w:val="null3"/>
        <w:ind w:firstLine="420"/>
        <w:jc w:val="both"/>
      </w:pPr>
      <w:r>
        <w:rPr>
          <w:rFonts w:ascii="&quot;arial&quot;, sans-serif" w:hAnsi="&quot;arial&quot;, sans-serif" w:cs="&quot;arial&quot;, sans-serif" w:eastAsia="&quot;arial&quot;, sans-serif"/>
          <w:sz w:val="21"/>
        </w:rPr>
        <w:t xml:space="preserve">1.4  </w:t>
      </w:r>
      <w:r>
        <w:rPr>
          <w:rFonts w:ascii="宋体" w:hAnsi="宋体" w:cs="宋体" w:eastAsia="宋体"/>
          <w:sz w:val="21"/>
        </w:rPr>
        <w:t>本合同由乙方和原厂提供为期三年的原厂质量保证服务、安装调试服务和技术支持服务，质量保证服务期起始日期为完成终验后第二日起，详见附件四。</w:t>
      </w:r>
    </w:p>
    <w:p>
      <w:pPr>
        <w:pStyle w:val="null3"/>
        <w:ind w:firstLine="420"/>
        <w:jc w:val="both"/>
      </w:pPr>
      <w:r>
        <w:rPr>
          <w:rFonts w:ascii="宋体" w:hAnsi="宋体" w:cs="宋体" w:eastAsia="宋体"/>
          <w:sz w:val="21"/>
          <w:b/>
        </w:rPr>
        <w:t>第二条：双方权利义务</w:t>
      </w:r>
    </w:p>
    <w:p>
      <w:pPr>
        <w:pStyle w:val="null3"/>
        <w:ind w:firstLine="420"/>
        <w:jc w:val="both"/>
      </w:pPr>
      <w:r>
        <w:rPr>
          <w:rFonts w:ascii="&quot;arial&quot;, sans-serif" w:hAnsi="&quot;arial&quot;, sans-serif" w:cs="&quot;arial&quot;, sans-serif" w:eastAsia="&quot;arial&quot;, sans-serif"/>
          <w:sz w:val="21"/>
        </w:rPr>
        <w:t xml:space="preserve">2.1 </w:t>
      </w:r>
      <w:r>
        <w:rPr>
          <w:rFonts w:ascii="宋体" w:hAnsi="宋体" w:cs="宋体" w:eastAsia="宋体"/>
          <w:sz w:val="21"/>
        </w:rPr>
        <w:t>甲方权利义务</w:t>
      </w:r>
    </w:p>
    <w:p>
      <w:pPr>
        <w:pStyle w:val="null3"/>
        <w:ind w:firstLine="420"/>
        <w:jc w:val="both"/>
      </w:pPr>
      <w:r>
        <w:rPr>
          <w:rFonts w:ascii="&quot;arial&quot;, sans-serif" w:hAnsi="&quot;arial&quot;, sans-serif" w:cs="&quot;arial&quot;, sans-serif" w:eastAsia="&quot;arial&quot;, sans-serif"/>
          <w:sz w:val="21"/>
        </w:rPr>
        <w:t xml:space="preserve">2.1.1 </w:t>
      </w:r>
      <w:r>
        <w:rPr>
          <w:rFonts w:ascii="宋体" w:hAnsi="宋体" w:cs="宋体" w:eastAsia="宋体"/>
          <w:sz w:val="21"/>
        </w:rPr>
        <w:t>甲方有权按照合同约定要求乙方履行合同义务，有权随时了解乙方的工作进展。</w:t>
      </w:r>
    </w:p>
    <w:p>
      <w:pPr>
        <w:pStyle w:val="null3"/>
        <w:ind w:firstLine="420"/>
        <w:jc w:val="both"/>
      </w:pPr>
      <w:r>
        <w:rPr>
          <w:rFonts w:ascii="&quot;arial&quot;, sans-serif" w:hAnsi="&quot;arial&quot;, sans-serif" w:cs="&quot;arial&quot;, sans-serif" w:eastAsia="&quot;arial&quot;, sans-serif"/>
          <w:sz w:val="21"/>
        </w:rPr>
        <w:t xml:space="preserve">2.1.2 </w:t>
      </w:r>
      <w:r>
        <w:rPr>
          <w:rFonts w:ascii="宋体" w:hAnsi="宋体" w:cs="宋体" w:eastAsia="宋体"/>
          <w:sz w:val="21"/>
        </w:rPr>
        <w:t>甲方需要乙方遵守的甲方内部制度规定的内容，以及关于本合同权利义务与其他约定内容的变化，应以书面形式通过本合同附件、补充协议、书面函件等文件告知乙方。</w:t>
      </w:r>
    </w:p>
    <w:p>
      <w:pPr>
        <w:pStyle w:val="null3"/>
        <w:ind w:firstLine="420"/>
        <w:jc w:val="both"/>
      </w:pPr>
      <w:r>
        <w:rPr>
          <w:rFonts w:ascii="&quot;arial&quot;, sans-serif" w:hAnsi="&quot;arial&quot;, sans-serif" w:cs="&quot;arial&quot;, sans-serif" w:eastAsia="&quot;arial&quot;, sans-serif"/>
          <w:sz w:val="21"/>
        </w:rPr>
        <w:t xml:space="preserve">2.1.3 </w:t>
      </w:r>
      <w:r>
        <w:rPr>
          <w:rFonts w:ascii="宋体" w:hAnsi="宋体" w:cs="宋体" w:eastAsia="宋体"/>
          <w:sz w:val="21"/>
        </w:rPr>
        <w:t>甲方应为乙方完成合同义务提供必要的协助和便利，确保合同的顺利履行。</w:t>
      </w:r>
    </w:p>
    <w:p>
      <w:pPr>
        <w:pStyle w:val="null3"/>
        <w:ind w:firstLine="420"/>
        <w:jc w:val="both"/>
      </w:pPr>
      <w:r>
        <w:rPr>
          <w:rFonts w:ascii="&quot;arial&quot;, sans-serif" w:hAnsi="&quot;arial&quot;, sans-serif" w:cs="&quot;arial&quot;, sans-serif" w:eastAsia="&quot;arial&quot;, sans-serif"/>
          <w:sz w:val="21"/>
        </w:rPr>
        <w:t xml:space="preserve">2.1.4 </w:t>
      </w:r>
      <w:r>
        <w:rPr>
          <w:rFonts w:ascii="宋体" w:hAnsi="宋体" w:cs="宋体" w:eastAsia="宋体"/>
          <w:sz w:val="21"/>
        </w:rPr>
        <w:t>甲方负责组织、协调设备到货的环境准备，配合乙方做好服务前的需求调查。</w:t>
      </w:r>
    </w:p>
    <w:p>
      <w:pPr>
        <w:pStyle w:val="null3"/>
        <w:ind w:firstLine="420"/>
        <w:jc w:val="both"/>
      </w:pPr>
      <w:r>
        <w:rPr>
          <w:rFonts w:ascii="&quot;arial&quot;, sans-serif" w:hAnsi="&quot;arial&quot;, sans-serif" w:cs="&quot;arial&quot;, sans-serif" w:eastAsia="&quot;arial&quot;, sans-serif"/>
          <w:sz w:val="21"/>
        </w:rPr>
        <w:t xml:space="preserve">2.1.5 </w:t>
      </w:r>
      <w:r>
        <w:rPr>
          <w:rFonts w:ascii="宋体" w:hAnsi="宋体" w:cs="宋体" w:eastAsia="宋体"/>
          <w:sz w:val="21"/>
        </w:rPr>
        <w:t>甲方负责设备到货、安装调试的现场管理，负责向乙方明示甲方现场管理规定。</w:t>
      </w:r>
    </w:p>
    <w:p>
      <w:pPr>
        <w:pStyle w:val="null3"/>
        <w:ind w:firstLine="420"/>
        <w:jc w:val="both"/>
      </w:pPr>
      <w:r>
        <w:rPr>
          <w:rFonts w:ascii="&quot;arial&quot;, sans-serif" w:hAnsi="&quot;arial&quot;, sans-serif" w:cs="&quot;arial&quot;, sans-serif" w:eastAsia="&quot;arial&quot;, sans-serif"/>
          <w:sz w:val="21"/>
        </w:rPr>
        <w:t xml:space="preserve">2.1.6 </w:t>
      </w:r>
      <w:r>
        <w:rPr>
          <w:rFonts w:ascii="宋体" w:hAnsi="宋体" w:cs="宋体" w:eastAsia="宋体"/>
          <w:sz w:val="21"/>
        </w:rPr>
        <w:t>甲方负责按合同约定或双方商定日期组织验收。</w:t>
      </w:r>
    </w:p>
    <w:p>
      <w:pPr>
        <w:pStyle w:val="null3"/>
        <w:ind w:firstLine="420"/>
        <w:jc w:val="both"/>
      </w:pPr>
      <w:r>
        <w:rPr>
          <w:rFonts w:ascii="&quot;arial&quot;, sans-serif" w:hAnsi="&quot;arial&quot;, sans-serif" w:cs="&quot;arial&quot;, sans-serif" w:eastAsia="&quot;arial&quot;, sans-serif"/>
          <w:sz w:val="21"/>
        </w:rPr>
        <w:t xml:space="preserve">2.1.7 </w:t>
      </w:r>
      <w:r>
        <w:rPr>
          <w:rFonts w:ascii="宋体" w:hAnsi="宋体" w:cs="宋体" w:eastAsia="宋体"/>
          <w:sz w:val="21"/>
        </w:rPr>
        <w:t>甲方应按约定的付款方式与时间向乙方支付相应的合同款项。</w:t>
      </w:r>
    </w:p>
    <w:p>
      <w:pPr>
        <w:pStyle w:val="null3"/>
        <w:ind w:firstLine="420"/>
        <w:jc w:val="both"/>
      </w:pPr>
      <w:r>
        <w:rPr>
          <w:rFonts w:ascii="&quot;arial&quot;, sans-serif" w:hAnsi="&quot;arial&quot;, sans-serif" w:cs="&quot;arial&quot;, sans-serif" w:eastAsia="&quot;arial&quot;, sans-serif"/>
          <w:sz w:val="21"/>
        </w:rPr>
        <w:t xml:space="preserve">2.1.8 </w:t>
      </w:r>
      <w:r>
        <w:rPr>
          <w:rFonts w:ascii="宋体" w:hAnsi="宋体" w:cs="宋体" w:eastAsia="宋体"/>
          <w:sz w:val="21"/>
        </w:rPr>
        <w:t>甲方应遵守本合同关于保密、知识产权条款的约定。</w:t>
      </w:r>
    </w:p>
    <w:p>
      <w:pPr>
        <w:pStyle w:val="null3"/>
        <w:ind w:firstLine="420"/>
        <w:jc w:val="both"/>
      </w:pPr>
      <w:r>
        <w:rPr>
          <w:rFonts w:ascii="&quot;arial&quot;, sans-serif" w:hAnsi="&quot;arial&quot;, sans-serif" w:cs="&quot;arial&quot;, sans-serif" w:eastAsia="&quot;arial&quot;, sans-serif"/>
          <w:sz w:val="21"/>
        </w:rPr>
        <w:t xml:space="preserve">2.1.9 </w:t>
      </w:r>
      <w:r>
        <w:rPr>
          <w:rFonts w:ascii="宋体" w:hAnsi="宋体" w:cs="宋体" w:eastAsia="宋体"/>
          <w:sz w:val="21"/>
        </w:rPr>
        <w:t>其他：其他根据法律规定和合同约定应由甲方享有的权利和承担的义务。</w:t>
      </w:r>
    </w:p>
    <w:p>
      <w:pPr>
        <w:pStyle w:val="null3"/>
        <w:ind w:firstLine="420"/>
        <w:jc w:val="both"/>
      </w:pPr>
      <w:r>
        <w:rPr>
          <w:rFonts w:ascii="&quot;arial&quot;, sans-serif" w:hAnsi="&quot;arial&quot;, sans-serif" w:cs="&quot;arial&quot;, sans-serif" w:eastAsia="&quot;arial&quot;, sans-serif"/>
          <w:sz w:val="21"/>
        </w:rPr>
        <w:t xml:space="preserve">2.2 </w:t>
      </w:r>
      <w:r>
        <w:rPr>
          <w:rFonts w:ascii="宋体" w:hAnsi="宋体" w:cs="宋体" w:eastAsia="宋体"/>
          <w:sz w:val="21"/>
        </w:rPr>
        <w:t>乙方权利义务</w:t>
      </w:r>
    </w:p>
    <w:p>
      <w:pPr>
        <w:pStyle w:val="null3"/>
        <w:ind w:firstLine="420"/>
        <w:jc w:val="both"/>
      </w:pPr>
      <w:r>
        <w:rPr>
          <w:rFonts w:ascii="&quot;arial&quot;, sans-serif" w:hAnsi="&quot;arial&quot;, sans-serif" w:cs="&quot;arial&quot;, sans-serif" w:eastAsia="&quot;arial&quot;, sans-serif"/>
          <w:sz w:val="21"/>
        </w:rPr>
        <w:t xml:space="preserve">2.2.1 </w:t>
      </w:r>
      <w:r>
        <w:rPr>
          <w:rFonts w:ascii="宋体" w:hAnsi="宋体" w:cs="宋体" w:eastAsia="宋体"/>
          <w:sz w:val="21"/>
        </w:rPr>
        <w:t>乙方应根据法律规定与合同的约定提供货物、服务并提交工作成果。</w:t>
      </w:r>
    </w:p>
    <w:p>
      <w:pPr>
        <w:pStyle w:val="null3"/>
        <w:ind w:firstLine="420"/>
        <w:jc w:val="both"/>
      </w:pPr>
      <w:r>
        <w:rPr>
          <w:rFonts w:ascii="&quot;arial&quot;, sans-serif" w:hAnsi="&quot;arial&quot;, sans-serif" w:cs="&quot;arial&quot;, sans-serif" w:eastAsia="&quot;arial&quot;, sans-serif"/>
          <w:sz w:val="21"/>
        </w:rPr>
        <w:t xml:space="preserve">2.2.2 </w:t>
      </w:r>
      <w:r>
        <w:rPr>
          <w:rFonts w:ascii="宋体" w:hAnsi="宋体" w:cs="宋体" w:eastAsia="宋体"/>
          <w:sz w:val="21"/>
        </w:rPr>
        <w:t>乙方应提前以书面形式告知甲方货物到货、安装测试所需场地、环境等方面的合理要求。</w:t>
      </w:r>
    </w:p>
    <w:p>
      <w:pPr>
        <w:pStyle w:val="null3"/>
        <w:ind w:firstLine="420"/>
        <w:jc w:val="both"/>
      </w:pPr>
      <w:r>
        <w:rPr>
          <w:rFonts w:ascii="&quot;arial&quot;, sans-serif" w:hAnsi="&quot;arial&quot;, sans-serif" w:cs="&quot;arial&quot;, sans-serif" w:eastAsia="&quot;arial&quot;, sans-serif"/>
          <w:sz w:val="21"/>
        </w:rPr>
        <w:t xml:space="preserve">2.2.3 </w:t>
      </w:r>
      <w:r>
        <w:rPr>
          <w:rFonts w:ascii="宋体" w:hAnsi="宋体" w:cs="宋体" w:eastAsia="宋体"/>
          <w:sz w:val="21"/>
        </w:rPr>
        <w:t>乙方应按合同约定履行包装、运输等各项义务，并在本合同约定时间内将合同产品送达甲方指定地点。</w:t>
      </w:r>
    </w:p>
    <w:p>
      <w:pPr>
        <w:pStyle w:val="null3"/>
        <w:ind w:firstLine="420"/>
        <w:jc w:val="both"/>
      </w:pPr>
      <w:r>
        <w:rPr>
          <w:rFonts w:ascii="&quot;arial&quot;, sans-serif" w:hAnsi="&quot;arial&quot;, sans-serif" w:cs="&quot;arial&quot;, sans-serif" w:eastAsia="&quot;arial&quot;, sans-serif"/>
          <w:sz w:val="21"/>
        </w:rPr>
        <w:t xml:space="preserve">2.2.4 </w:t>
      </w:r>
      <w:r>
        <w:rPr>
          <w:rFonts w:ascii="宋体" w:hAnsi="宋体" w:cs="宋体" w:eastAsia="宋体"/>
          <w:sz w:val="21"/>
        </w:rPr>
        <w:t>乙方严格遵守甲方现场管理规定，接受甲方现场人员的管理，不得进行超出合同约定服务范围外的操作。</w:t>
      </w:r>
    </w:p>
    <w:p>
      <w:pPr>
        <w:pStyle w:val="null3"/>
        <w:ind w:firstLine="420"/>
        <w:jc w:val="both"/>
      </w:pPr>
      <w:r>
        <w:rPr>
          <w:rFonts w:ascii="&quot;arial&quot;, sans-serif" w:hAnsi="&quot;arial&quot;, sans-serif" w:cs="&quot;arial&quot;, sans-serif" w:eastAsia="&quot;arial&quot;, sans-serif"/>
          <w:sz w:val="21"/>
        </w:rPr>
        <w:t xml:space="preserve">2.2.5 </w:t>
      </w:r>
      <w:r>
        <w:rPr>
          <w:rFonts w:ascii="宋体" w:hAnsi="宋体" w:cs="宋体" w:eastAsia="宋体"/>
          <w:sz w:val="21"/>
        </w:rPr>
        <w:t>乙方在到货、安装过程中拆卸下来的包装物应集中堆放，注意对现场环境的妥善保护，安装完成后保持安装现场的整洁，不得妨碍甲方正常的工作秩序。</w:t>
      </w:r>
    </w:p>
    <w:p>
      <w:pPr>
        <w:pStyle w:val="null3"/>
        <w:ind w:firstLine="420"/>
        <w:jc w:val="both"/>
      </w:pPr>
      <w:r>
        <w:rPr>
          <w:rFonts w:ascii="&quot;arial&quot;, sans-serif" w:hAnsi="&quot;arial&quot;, sans-serif" w:cs="&quot;arial&quot;, sans-serif" w:eastAsia="&quot;arial&quot;, sans-serif"/>
          <w:sz w:val="21"/>
        </w:rPr>
        <w:t xml:space="preserve">2.2.6 </w:t>
      </w:r>
      <w:r>
        <w:rPr>
          <w:rFonts w:ascii="宋体" w:hAnsi="宋体" w:cs="宋体" w:eastAsia="宋体"/>
          <w:sz w:val="21"/>
        </w:rPr>
        <w:t>乙方应在指定时间内按约定完成货物安装、调试，和甲方共同开展货物验收，确保本合同产品能正常使用，并提交相关报告。</w:t>
      </w:r>
    </w:p>
    <w:p>
      <w:pPr>
        <w:pStyle w:val="null3"/>
        <w:ind w:firstLine="420"/>
        <w:jc w:val="both"/>
      </w:pPr>
      <w:r>
        <w:rPr>
          <w:rFonts w:ascii="&quot;arial&quot;, sans-serif" w:hAnsi="&quot;arial&quot;, sans-serif" w:cs="&quot;arial&quot;, sans-serif" w:eastAsia="&quot;arial&quot;, sans-serif"/>
          <w:sz w:val="21"/>
        </w:rPr>
        <w:t xml:space="preserve">2.2.7 </w:t>
      </w:r>
      <w:r>
        <w:rPr>
          <w:rFonts w:ascii="宋体" w:hAnsi="宋体" w:cs="宋体" w:eastAsia="宋体"/>
          <w:sz w:val="21"/>
        </w:rPr>
        <w:t>乙方在提供服务时应妥善对待甲方已有设施、材料与物品，不得侵占与破坏。</w:t>
      </w:r>
    </w:p>
    <w:p>
      <w:pPr>
        <w:pStyle w:val="null3"/>
        <w:ind w:firstLine="420"/>
        <w:jc w:val="both"/>
      </w:pPr>
      <w:r>
        <w:rPr>
          <w:rFonts w:ascii="&quot;arial&quot;, sans-serif" w:hAnsi="&quot;arial&quot;, sans-serif" w:cs="&quot;arial&quot;, sans-serif" w:eastAsia="&quot;arial&quot;, sans-serif"/>
          <w:sz w:val="21"/>
        </w:rPr>
        <w:t xml:space="preserve">2.2.8 </w:t>
      </w:r>
      <w:r>
        <w:rPr>
          <w:rFonts w:ascii="宋体" w:hAnsi="宋体" w:cs="宋体" w:eastAsia="宋体"/>
          <w:sz w:val="21"/>
        </w:rPr>
        <w:t>乙方服务人员须满足合同要求的基本素质要求和技能要求、上岗前经过必要的培训，并确保实施团队保证稳定，未经甲方同意，不得随意更换。</w:t>
      </w:r>
    </w:p>
    <w:p>
      <w:pPr>
        <w:pStyle w:val="null3"/>
        <w:ind w:firstLine="420"/>
        <w:jc w:val="both"/>
      </w:pPr>
      <w:r>
        <w:rPr>
          <w:rFonts w:ascii="&quot;arial&quot;, sans-serif" w:hAnsi="&quot;arial&quot;, sans-serif" w:cs="&quot;arial&quot;, sans-serif" w:eastAsia="&quot;arial&quot;, sans-serif"/>
          <w:sz w:val="21"/>
        </w:rPr>
        <w:t xml:space="preserve">2.2.9 </w:t>
      </w:r>
      <w:r>
        <w:rPr>
          <w:rFonts w:ascii="宋体" w:hAnsi="宋体" w:cs="宋体" w:eastAsia="宋体"/>
          <w:sz w:val="21"/>
        </w:rPr>
        <w:t>乙方应遵守本合同关于保密、知识产权条款的约定，不得以任何形式将甲方标有</w:t>
      </w:r>
      <w:r>
        <w:rPr>
          <w:rFonts w:ascii="&quot;arial&quot;, sans-serif" w:hAnsi="&quot;arial&quot;, sans-serif" w:cs="&quot;arial&quot;, sans-serif" w:eastAsia="&quot;arial&quot;, sans-serif"/>
          <w:sz w:val="21"/>
        </w:rPr>
        <w:t>“</w:t>
      </w:r>
      <w:r>
        <w:rPr>
          <w:rFonts w:ascii="宋体" w:hAnsi="宋体" w:cs="宋体" w:eastAsia="宋体"/>
          <w:sz w:val="21"/>
        </w:rPr>
        <w:t>内部</w:t>
      </w:r>
      <w:r>
        <w:rPr>
          <w:rFonts w:ascii="&quot;arial&quot;, sans-serif" w:hAnsi="&quot;arial&quot;, sans-serif" w:cs="&quot;arial&quot;, sans-serif" w:eastAsia="&quot;arial&quot;, sans-serif"/>
          <w:sz w:val="21"/>
        </w:rPr>
        <w:t>”</w:t>
      </w:r>
      <w:r>
        <w:rPr>
          <w:rFonts w:ascii="宋体" w:hAnsi="宋体" w:cs="宋体" w:eastAsia="宋体"/>
          <w:sz w:val="21"/>
        </w:rPr>
        <w:t>的资料带出工作现场，不得将合同履行过程中获知的保密信息和敏感个人信息泄露给第三方。未经甲方书面允许，乙方不得以任何方式发布涉及甲方商务合作、交流活动、培训会议等方面内容的信息。</w:t>
      </w:r>
    </w:p>
    <w:p>
      <w:pPr>
        <w:pStyle w:val="null3"/>
        <w:ind w:firstLine="420"/>
        <w:jc w:val="both"/>
      </w:pPr>
      <w:r>
        <w:rPr>
          <w:rFonts w:ascii="&quot;arial&quot;, sans-serif" w:hAnsi="&quot;arial&quot;, sans-serif" w:cs="&quot;arial&quot;, sans-serif" w:eastAsia="&quot;arial&quot;, sans-serif"/>
          <w:sz w:val="21"/>
        </w:rPr>
        <w:t xml:space="preserve">2.2.10 </w:t>
      </w:r>
      <w:r>
        <w:rPr>
          <w:rFonts w:ascii="宋体" w:hAnsi="宋体" w:cs="宋体" w:eastAsia="宋体"/>
          <w:sz w:val="21"/>
        </w:rPr>
        <w:t>乙方因履行本合同产生的食、宿交通费以及其它不可预知的费用由乙方自行负责。</w:t>
      </w:r>
    </w:p>
    <w:p>
      <w:pPr>
        <w:pStyle w:val="null3"/>
        <w:ind w:firstLine="420"/>
        <w:jc w:val="both"/>
      </w:pPr>
      <w:r>
        <w:rPr>
          <w:rFonts w:ascii="&quot;arial&quot;, sans-serif" w:hAnsi="&quot;arial&quot;, sans-serif" w:cs="&quot;arial&quot;, sans-serif" w:eastAsia="&quot;arial&quot;, sans-serif"/>
          <w:sz w:val="21"/>
        </w:rPr>
        <w:t xml:space="preserve">2.2.11 </w:t>
      </w:r>
      <w:r>
        <w:rPr>
          <w:rFonts w:ascii="宋体" w:hAnsi="宋体" w:cs="宋体" w:eastAsia="宋体"/>
          <w:sz w:val="21"/>
        </w:rPr>
        <w:t>合同履行完毕或合同提前解除，乙方均应在合同解除前将其取得的甲方资料等文件信息删除或交还甲方。</w:t>
      </w:r>
    </w:p>
    <w:p>
      <w:pPr>
        <w:pStyle w:val="null3"/>
        <w:ind w:firstLine="420"/>
        <w:jc w:val="both"/>
      </w:pPr>
      <w:r>
        <w:rPr>
          <w:rFonts w:ascii="&quot;arial&quot;, sans-serif" w:hAnsi="&quot;arial&quot;, sans-serif" w:cs="&quot;arial&quot;, sans-serif" w:eastAsia="&quot;arial&quot;, sans-serif"/>
          <w:sz w:val="21"/>
        </w:rPr>
        <w:t xml:space="preserve">2.2.12 </w:t>
      </w:r>
      <w:r>
        <w:rPr>
          <w:rFonts w:ascii="宋体" w:hAnsi="宋体" w:cs="宋体" w:eastAsia="宋体"/>
          <w:sz w:val="21"/>
        </w:rPr>
        <w:t>其他：其他根据法律规定和合同约定应由乙方享有的权利和承担的义务。</w:t>
      </w:r>
    </w:p>
    <w:p>
      <w:pPr>
        <w:pStyle w:val="null3"/>
        <w:jc w:val="both"/>
      </w:pPr>
      <w:r>
        <w:rPr>
          <w:rFonts w:ascii="宋体" w:hAnsi="宋体" w:cs="宋体" w:eastAsia="宋体"/>
          <w:sz w:val="21"/>
          <w:b/>
        </w:rPr>
        <w:t>第三条</w:t>
      </w:r>
      <w:r>
        <w:rPr>
          <w:rFonts w:ascii="宋体" w:hAnsi="宋体" w:cs="宋体" w:eastAsia="宋体"/>
          <w:sz w:val="21"/>
          <w:b/>
        </w:rPr>
        <w:t>包装及运输</w:t>
      </w:r>
    </w:p>
    <w:p>
      <w:pPr>
        <w:pStyle w:val="null3"/>
        <w:ind w:firstLine="420"/>
        <w:jc w:val="both"/>
      </w:pPr>
      <w:r>
        <w:rPr>
          <w:rFonts w:ascii="&quot;arial&quot;, sans-serif" w:hAnsi="&quot;arial&quot;, sans-serif" w:cs="&quot;arial&quot;, sans-serif" w:eastAsia="&quot;arial&quot;, sans-serif"/>
          <w:sz w:val="21"/>
        </w:rPr>
        <w:t xml:space="preserve">3.1 </w:t>
      </w:r>
      <w:r>
        <w:rPr>
          <w:rFonts w:ascii="宋体" w:hAnsi="宋体" w:cs="宋体" w:eastAsia="宋体"/>
          <w:sz w:val="21"/>
        </w:rPr>
        <w:t>乙方负责办理运输和保险，乙方承担交货前发生的包装费、运费、保险费、商检费、搬运费等费用。</w:t>
      </w:r>
    </w:p>
    <w:p>
      <w:pPr>
        <w:pStyle w:val="null3"/>
        <w:ind w:firstLine="420"/>
        <w:jc w:val="both"/>
      </w:pPr>
      <w:r>
        <w:rPr>
          <w:rFonts w:ascii="&quot;arial&quot;, sans-serif" w:hAnsi="&quot;arial&quot;, sans-serif" w:cs="&quot;arial&quot;, sans-serif" w:eastAsia="&quot;arial&quot;, sans-serif"/>
          <w:sz w:val="21"/>
        </w:rPr>
        <w:t xml:space="preserve">3.2 </w:t>
      </w:r>
      <w:r>
        <w:rPr>
          <w:rFonts w:ascii="宋体" w:hAnsi="宋体" w:cs="宋体" w:eastAsia="宋体"/>
          <w:sz w:val="21"/>
        </w:rPr>
        <w:t>所有货物均应在明显位置有固定的金属铭牌或标志，铭牌或标志上至少应载明下列内容：收货人、产品名称和型号、</w:t>
      </w:r>
      <w:r>
        <w:rPr>
          <w:rFonts w:ascii="宋体" w:hAnsi="宋体" w:cs="宋体" w:eastAsia="宋体"/>
          <w:sz w:val="21"/>
          <w:u w:val="single"/>
        </w:rPr>
        <w:t>产品编号</w:t>
      </w:r>
      <w:r>
        <w:rPr>
          <w:rFonts w:ascii="宋体" w:hAnsi="宋体" w:cs="宋体" w:eastAsia="宋体"/>
          <w:sz w:val="21"/>
        </w:rPr>
        <w:t>、</w:t>
      </w:r>
      <w:r>
        <w:rPr>
          <w:rFonts w:ascii="宋体" w:hAnsi="宋体" w:cs="宋体" w:eastAsia="宋体"/>
          <w:sz w:val="21"/>
          <w:u w:val="single"/>
        </w:rPr>
        <w:t>合同号</w:t>
      </w:r>
      <w:r>
        <w:rPr>
          <w:rFonts w:ascii="宋体" w:hAnsi="宋体" w:cs="宋体" w:eastAsia="宋体"/>
          <w:sz w:val="21"/>
        </w:rPr>
        <w:t>、</w:t>
      </w:r>
      <w:r>
        <w:rPr>
          <w:rFonts w:ascii="宋体" w:hAnsi="宋体" w:cs="宋体" w:eastAsia="宋体"/>
          <w:sz w:val="21"/>
          <w:u w:val="single"/>
        </w:rPr>
        <w:t>制造厂名称</w:t>
      </w:r>
      <w:r>
        <w:rPr>
          <w:rFonts w:ascii="宋体" w:hAnsi="宋体" w:cs="宋体" w:eastAsia="宋体"/>
          <w:sz w:val="21"/>
        </w:rPr>
        <w:t>、</w:t>
      </w:r>
      <w:r>
        <w:rPr>
          <w:rFonts w:ascii="宋体" w:hAnsi="宋体" w:cs="宋体" w:eastAsia="宋体"/>
          <w:sz w:val="21"/>
          <w:u w:val="single"/>
        </w:rPr>
        <w:t>制造日期、外形尺寸</w:t>
      </w:r>
      <w:r>
        <w:rPr>
          <w:rFonts w:ascii="宋体" w:hAnsi="宋体" w:cs="宋体" w:eastAsia="宋体"/>
          <w:sz w:val="21"/>
        </w:rPr>
        <w:t>等。</w:t>
      </w:r>
    </w:p>
    <w:p>
      <w:pPr>
        <w:pStyle w:val="null3"/>
        <w:ind w:firstLine="420"/>
        <w:jc w:val="both"/>
      </w:pPr>
      <w:r>
        <w:rPr>
          <w:rFonts w:ascii="&quot;arial&quot;, sans-serif" w:hAnsi="&quot;arial&quot;, sans-serif" w:cs="&quot;arial&quot;, sans-serif" w:eastAsia="&quot;arial&quot;, sans-serif"/>
          <w:sz w:val="21"/>
        </w:rPr>
        <w:t xml:space="preserve">3.3 </w:t>
      </w:r>
      <w:r>
        <w:rPr>
          <w:rFonts w:ascii="宋体" w:hAnsi="宋体" w:cs="宋体" w:eastAsia="宋体"/>
          <w:sz w:val="21"/>
        </w:rPr>
        <w:t>为了保证货物在运输和装卸过程中的安全，乙方应提供货物需要的合格包装且未拆封，产品包装应符合国家或专业标准规定，具有良好的防潮、防震、防锈和防野蛮装卸等保护措施。由于包装不善导致货物锈蚀、失缺或损坏，甲方有权拒收，由乙方承担一切责任和费用。</w:t>
      </w:r>
    </w:p>
    <w:p>
      <w:pPr>
        <w:pStyle w:val="null3"/>
        <w:ind w:firstLine="420"/>
        <w:jc w:val="both"/>
      </w:pPr>
      <w:r>
        <w:rPr>
          <w:rFonts w:ascii="宋体" w:hAnsi="宋体" w:cs="宋体" w:eastAsia="宋体"/>
          <w:sz w:val="21"/>
        </w:rPr>
        <w:t>上述拒绝，不被视为甲方已同意乙方延期交货，乙方需在合同约定的交货时间内或甲方要求的时间内自费替换受损之货物，否则应按本合同违约条款迟延履行之约定支付违约金。</w:t>
      </w:r>
    </w:p>
    <w:p>
      <w:pPr>
        <w:pStyle w:val="null3"/>
        <w:ind w:firstLine="420"/>
        <w:jc w:val="both"/>
      </w:pPr>
      <w:r>
        <w:rPr>
          <w:rFonts w:ascii="&quot;arial&quot;, sans-serif" w:hAnsi="&quot;arial&quot;, sans-serif" w:cs="&quot;arial&quot;, sans-serif" w:eastAsia="&quot;arial&quot;, sans-serif"/>
          <w:sz w:val="21"/>
        </w:rPr>
        <w:t xml:space="preserve">3.4 </w:t>
      </w:r>
      <w:r>
        <w:rPr>
          <w:rFonts w:ascii="宋体" w:hAnsi="宋体" w:cs="宋体" w:eastAsia="宋体"/>
          <w:sz w:val="21"/>
        </w:rPr>
        <w:t>本合同运输责任及运输中的风险由乙方承担，运输途中发生货物毁损或丢失的，乙方应负责在接到甲方通知后</w:t>
      </w:r>
      <w:r>
        <w:rPr>
          <w:rFonts w:ascii="&quot;arial&quot;, sans-serif" w:hAnsi="&quot;arial&quot;, sans-serif" w:cs="&quot;arial&quot;, sans-serif" w:eastAsia="&quot;arial&quot;, sans-serif"/>
          <w:sz w:val="21"/>
          <w:u w:val="single"/>
        </w:rPr>
        <w:t xml:space="preserve">  5  </w:t>
      </w:r>
      <w:r>
        <w:rPr>
          <w:rFonts w:ascii="宋体" w:hAnsi="宋体" w:cs="宋体" w:eastAsia="宋体"/>
          <w:sz w:val="21"/>
        </w:rPr>
        <w:t>日内更换或补齐，并承担全部额外费用。若乙方未能在甲方规定的时间内交货的，乙方应按本合同违约条款迟延履行之约定支付违约金。</w:t>
      </w:r>
    </w:p>
    <w:p>
      <w:pPr>
        <w:pStyle w:val="null3"/>
      </w:pPr>
      <w:r>
        <w:rPr>
          <w:rFonts w:ascii="宋体" w:hAnsi="宋体" w:cs="宋体" w:eastAsia="宋体"/>
          <w:sz w:val="21"/>
          <w:b/>
        </w:rPr>
        <w:t>第四条</w:t>
      </w:r>
      <w:r>
        <w:rPr>
          <w:rFonts w:ascii="宋体" w:hAnsi="宋体" w:cs="宋体" w:eastAsia="宋体"/>
          <w:sz w:val="21"/>
          <w:b/>
        </w:rPr>
        <w:t>到货交付及服务时间、地点</w:t>
      </w:r>
    </w:p>
    <w:p>
      <w:pPr>
        <w:pStyle w:val="null3"/>
        <w:ind w:firstLine="420"/>
        <w:jc w:val="both"/>
      </w:pPr>
      <w:r>
        <w:rPr>
          <w:rFonts w:ascii="&quot;arial&quot;, sans-serif" w:hAnsi="&quot;arial&quot;, sans-serif" w:cs="&quot;arial&quot;, sans-serif" w:eastAsia="&quot;arial&quot;, sans-serif"/>
          <w:sz w:val="21"/>
        </w:rPr>
        <w:t>4.1</w:t>
      </w:r>
      <w:r>
        <w:rPr>
          <w:rFonts w:ascii="宋体" w:hAnsi="宋体" w:cs="宋体" w:eastAsia="宋体"/>
          <w:sz w:val="21"/>
        </w:rPr>
        <w:t>合同签订后</w:t>
      </w:r>
      <w:r>
        <w:rPr>
          <w:rFonts w:ascii="&quot;arial&quot;, sans-serif" w:hAnsi="&quot;arial&quot;, sans-serif" w:cs="&quot;arial&quot;, sans-serif" w:eastAsia="&quot;arial&quot;, sans-serif"/>
          <w:sz w:val="21"/>
        </w:rPr>
        <w:t>15</w:t>
      </w:r>
      <w:r>
        <w:rPr>
          <w:rFonts w:ascii="宋体" w:hAnsi="宋体" w:cs="宋体" w:eastAsia="宋体"/>
          <w:sz w:val="21"/>
        </w:rPr>
        <w:t>自然日内</w:t>
      </w:r>
      <w:r>
        <w:rPr>
          <w:rFonts w:ascii="宋体" w:hAnsi="宋体" w:cs="宋体" w:eastAsia="宋体"/>
          <w:sz w:val="21"/>
        </w:rPr>
        <w:t>，甲方向乙方发送书面交货通知，乙方接到甲方通知后</w:t>
      </w:r>
      <w:r>
        <w:rPr>
          <w:rFonts w:ascii="&quot;arial&quot;, sans-serif" w:hAnsi="&quot;arial&quot;, sans-serif" w:cs="&quot;arial&quot;, sans-serif" w:eastAsia="&quot;arial&quot;, sans-serif"/>
          <w:sz w:val="21"/>
        </w:rPr>
        <w:t>20</w:t>
      </w:r>
      <w:r>
        <w:rPr>
          <w:rFonts w:ascii="宋体" w:hAnsi="宋体" w:cs="宋体" w:eastAsia="宋体"/>
          <w:sz w:val="21"/>
        </w:rPr>
        <w:t>个自然日内将所有设备交付到北京市海淀区翠湖北环路</w:t>
      </w:r>
      <w:r>
        <w:rPr>
          <w:rFonts w:ascii="&quot;arial&quot;, sans-serif" w:hAnsi="&quot;arial&quot;, sans-serif" w:cs="&quot;arial&quot;, sans-serif" w:eastAsia="&quot;arial&quot;, sans-serif"/>
          <w:sz w:val="21"/>
        </w:rPr>
        <w:t>9</w:t>
      </w:r>
      <w:r>
        <w:rPr>
          <w:rFonts w:ascii="宋体" w:hAnsi="宋体" w:cs="宋体" w:eastAsia="宋体"/>
          <w:sz w:val="21"/>
        </w:rPr>
        <w:t>号。乙方保证在到货后</w:t>
      </w:r>
      <w:r>
        <w:rPr>
          <w:rFonts w:ascii="&quot;arial&quot;, sans-serif" w:hAnsi="&quot;arial&quot;, sans-serif" w:cs="&quot;arial&quot;, sans-serif" w:eastAsia="&quot;arial&quot;, sans-serif"/>
          <w:sz w:val="21"/>
        </w:rPr>
        <w:t>30</w:t>
      </w:r>
      <w:r>
        <w:rPr>
          <w:rFonts w:ascii="宋体" w:hAnsi="宋体" w:cs="宋体" w:eastAsia="宋体"/>
          <w:sz w:val="21"/>
        </w:rPr>
        <w:t>自然日内完成所有设备上架、加电、配置、测试等工作。</w:t>
      </w:r>
    </w:p>
    <w:p>
      <w:pPr>
        <w:pStyle w:val="null3"/>
        <w:ind w:firstLine="420"/>
        <w:jc w:val="both"/>
      </w:pPr>
      <w:r>
        <w:rPr>
          <w:rFonts w:ascii="&quot;arial&quot;, sans-serif" w:hAnsi="&quot;arial&quot;, sans-serif" w:cs="&quot;arial&quot;, sans-serif" w:eastAsia="&quot;arial&quot;, sans-serif"/>
          <w:sz w:val="21"/>
        </w:rPr>
        <w:t xml:space="preserve">4.2 </w:t>
      </w:r>
      <w:r>
        <w:rPr>
          <w:rFonts w:ascii="宋体" w:hAnsi="宋体" w:cs="宋体" w:eastAsia="宋体"/>
          <w:sz w:val="21"/>
        </w:rPr>
        <w:t>乙方应当随产品向甲方提供与产品有关的资料包括但不限于发票、产品合格证、技术资料等。</w:t>
      </w:r>
    </w:p>
    <w:p>
      <w:pPr>
        <w:pStyle w:val="null3"/>
        <w:ind w:firstLine="420"/>
        <w:jc w:val="both"/>
      </w:pPr>
      <w:r>
        <w:rPr>
          <w:rFonts w:ascii="&quot;arial&quot;, sans-serif" w:hAnsi="&quot;arial&quot;, sans-serif" w:cs="&quot;arial&quot;, sans-serif" w:eastAsia="&quot;arial&quot;, sans-serif"/>
          <w:sz w:val="21"/>
        </w:rPr>
        <w:t xml:space="preserve">4.3 </w:t>
      </w:r>
      <w:r>
        <w:rPr>
          <w:rFonts w:ascii="宋体" w:hAnsi="宋体" w:cs="宋体" w:eastAsia="宋体"/>
          <w:sz w:val="21"/>
        </w:rPr>
        <w:t>乙方应当提前至少</w:t>
      </w:r>
      <w:r>
        <w:rPr>
          <w:rFonts w:ascii="&quot;arial&quot;, sans-serif" w:hAnsi="&quot;arial&quot;, sans-serif" w:cs="&quot;arial&quot;, sans-serif" w:eastAsia="&quot;arial&quot;, sans-serif"/>
          <w:sz w:val="21"/>
        </w:rPr>
        <w:t>10</w:t>
      </w:r>
      <w:r>
        <w:rPr>
          <w:rFonts w:ascii="宋体" w:hAnsi="宋体" w:cs="宋体" w:eastAsia="宋体"/>
          <w:sz w:val="21"/>
        </w:rPr>
        <w:t>个工作日将到货时间告知甲方。</w:t>
      </w:r>
    </w:p>
    <w:p>
      <w:pPr>
        <w:pStyle w:val="null3"/>
        <w:ind w:firstLine="420"/>
        <w:jc w:val="both"/>
      </w:pPr>
      <w:r>
        <w:rPr>
          <w:rFonts w:ascii="&quot;arial&quot;, sans-serif" w:hAnsi="&quot;arial&quot;, sans-serif" w:cs="&quot;arial&quot;, sans-serif" w:eastAsia="&quot;arial&quot;, sans-serif"/>
          <w:sz w:val="21"/>
        </w:rPr>
        <w:t xml:space="preserve">4.4 </w:t>
      </w:r>
      <w:r>
        <w:rPr>
          <w:rFonts w:ascii="宋体" w:hAnsi="宋体" w:cs="宋体" w:eastAsia="宋体"/>
          <w:sz w:val="21"/>
        </w:rPr>
        <w:t>乙方负责安排运输，将所供协议中全部产品及协议约定的相关资料运至甲方指定的交货地点，运费及货物在途毁损、灭失的风险由乙方承担。乙方应根据产品属性及运输方式的特点，对产品进行合适的包装，该包装应防潮、防锈、防振动、防野蛮装运，并能满足多次搬运的需要。甲方有权不接收未按适合包装的货物和技术文件，乙方承担任何因不适当包装所造成的一切费用和损失。</w:t>
      </w:r>
    </w:p>
    <w:p>
      <w:pPr>
        <w:pStyle w:val="null3"/>
        <w:ind w:firstLine="420"/>
        <w:jc w:val="both"/>
      </w:pPr>
      <w:r>
        <w:rPr>
          <w:rFonts w:ascii="&quot;arial&quot;, sans-serif" w:hAnsi="&quot;arial&quot;, sans-serif" w:cs="&quot;arial&quot;, sans-serif" w:eastAsia="&quot;arial&quot;, sans-serif"/>
          <w:sz w:val="21"/>
        </w:rPr>
        <w:t xml:space="preserve">4.5 </w:t>
      </w:r>
      <w:r>
        <w:rPr>
          <w:rFonts w:ascii="宋体" w:hAnsi="宋体" w:cs="宋体" w:eastAsia="宋体"/>
          <w:sz w:val="21"/>
        </w:rPr>
        <w:t>服务期限：</w:t>
      </w:r>
      <w:r>
        <w:rPr>
          <w:rFonts w:ascii="宋体" w:hAnsi="宋体" w:cs="宋体" w:eastAsia="宋体"/>
          <w:sz w:val="21"/>
          <w:u w:val="single"/>
        </w:rPr>
        <w:t>乙方应在合同履行期内向甲方提供合同约定的全部服务，服务期限为自签订之日起至完成质量保证服务止。</w:t>
      </w:r>
    </w:p>
    <w:p>
      <w:pPr>
        <w:pStyle w:val="null3"/>
        <w:ind w:firstLine="420"/>
        <w:jc w:val="both"/>
      </w:pPr>
      <w:r>
        <w:rPr>
          <w:rFonts w:ascii="&quot;arial&quot;, sans-serif" w:hAnsi="&quot;arial&quot;, sans-serif" w:cs="&quot;arial&quot;, sans-serif" w:eastAsia="&quot;arial&quot;, sans-serif"/>
          <w:sz w:val="21"/>
        </w:rPr>
        <w:t xml:space="preserve">4.6 </w:t>
      </w:r>
      <w:r>
        <w:rPr>
          <w:rFonts w:ascii="宋体" w:hAnsi="宋体" w:cs="宋体" w:eastAsia="宋体"/>
          <w:sz w:val="21"/>
        </w:rPr>
        <w:t>乙方交货及提供服务时应提供下列技术资料：（</w:t>
      </w:r>
      <w:r>
        <w:rPr>
          <w:rFonts w:ascii="&quot;arial&quot;, sans-serif" w:hAnsi="&quot;arial&quot;, sans-serif" w:cs="&quot;arial&quot;, sans-serif" w:eastAsia="&quot;arial&quot;, sans-serif"/>
          <w:sz w:val="21"/>
        </w:rPr>
        <w:t>1</w:t>
      </w:r>
      <w:r>
        <w:rPr>
          <w:rFonts w:ascii="宋体" w:hAnsi="宋体" w:cs="宋体" w:eastAsia="宋体"/>
          <w:sz w:val="21"/>
        </w:rPr>
        <w:t>）装箱清单；（</w:t>
      </w:r>
      <w:r>
        <w:rPr>
          <w:rFonts w:ascii="&quot;arial&quot;, sans-serif" w:hAnsi="&quot;arial&quot;, sans-serif" w:cs="&quot;arial&quot;, sans-serif" w:eastAsia="&quot;arial&quot;, sans-serif"/>
          <w:sz w:val="21"/>
        </w:rPr>
        <w:t>2</w:t>
      </w:r>
      <w:r>
        <w:rPr>
          <w:rFonts w:ascii="宋体" w:hAnsi="宋体" w:cs="宋体" w:eastAsia="宋体"/>
          <w:sz w:val="21"/>
        </w:rPr>
        <w:t>）产品原厂或原产地证明；（</w:t>
      </w:r>
      <w:r>
        <w:rPr>
          <w:rFonts w:ascii="&quot;arial&quot;, sans-serif" w:hAnsi="&quot;arial&quot;, sans-serif" w:cs="&quot;arial&quot;, sans-serif" w:eastAsia="&quot;arial&quot;, sans-serif"/>
          <w:sz w:val="21"/>
        </w:rPr>
        <w:t>3</w:t>
      </w:r>
      <w:r>
        <w:rPr>
          <w:rFonts w:ascii="宋体" w:hAnsi="宋体" w:cs="宋体" w:eastAsia="宋体"/>
          <w:sz w:val="21"/>
        </w:rPr>
        <w:t>）产品出厂检验报告和产品合格证；（</w:t>
      </w:r>
      <w:r>
        <w:rPr>
          <w:rFonts w:ascii="&quot;arial&quot;, sans-serif" w:hAnsi="&quot;arial&quot;, sans-serif" w:cs="&quot;arial&quot;, sans-serif" w:eastAsia="&quot;arial&quot;, sans-serif"/>
          <w:sz w:val="21"/>
        </w:rPr>
        <w:t>4</w:t>
      </w:r>
      <w:r>
        <w:rPr>
          <w:rFonts w:ascii="宋体" w:hAnsi="宋体" w:cs="宋体" w:eastAsia="宋体"/>
          <w:sz w:val="21"/>
        </w:rPr>
        <w:t>）产品使用说明书等有关技术资料和图纸；（</w:t>
      </w:r>
      <w:r>
        <w:rPr>
          <w:rFonts w:ascii="&quot;arial&quot;, sans-serif" w:hAnsi="&quot;arial&quot;, sans-serif" w:cs="&quot;arial&quot;, sans-serif" w:eastAsia="&quot;arial&quot;, sans-serif"/>
          <w:sz w:val="21"/>
        </w:rPr>
        <w:t>5</w:t>
      </w:r>
      <w:r>
        <w:rPr>
          <w:rFonts w:ascii="宋体" w:hAnsi="宋体" w:cs="宋体" w:eastAsia="宋体"/>
          <w:sz w:val="21"/>
        </w:rPr>
        <w:t>）因提供服务所形成的技术文档；（</w:t>
      </w:r>
      <w:r>
        <w:rPr>
          <w:rFonts w:ascii="&quot;arial&quot;, sans-serif" w:hAnsi="&quot;arial&quot;, sans-serif" w:cs="&quot;arial&quot;, sans-serif" w:eastAsia="&quot;arial&quot;, sans-serif"/>
          <w:sz w:val="21"/>
        </w:rPr>
        <w:t>6</w:t>
      </w:r>
      <w:r>
        <w:rPr>
          <w:rFonts w:ascii="宋体" w:hAnsi="宋体" w:cs="宋体" w:eastAsia="宋体"/>
          <w:sz w:val="21"/>
        </w:rPr>
        <w:t>）合同中所要求提交的其它资料。</w:t>
      </w:r>
    </w:p>
    <w:p>
      <w:pPr>
        <w:pStyle w:val="null3"/>
        <w:ind w:firstLine="420"/>
        <w:jc w:val="both"/>
      </w:pPr>
      <w:r>
        <w:rPr>
          <w:rFonts w:ascii="&quot;arial&quot;, sans-serif" w:hAnsi="&quot;arial&quot;, sans-serif" w:cs="&quot;arial&quot;, sans-serif" w:eastAsia="&quot;arial&quot;, sans-serif"/>
          <w:sz w:val="21"/>
        </w:rPr>
        <w:t xml:space="preserve">4.7 </w:t>
      </w:r>
      <w:r>
        <w:rPr>
          <w:rFonts w:ascii="宋体" w:hAnsi="宋体" w:cs="宋体" w:eastAsia="宋体"/>
          <w:sz w:val="21"/>
        </w:rPr>
        <w:t>双方联络人及联系方式</w:t>
      </w:r>
    </w:p>
    <w:p>
      <w:pPr>
        <w:pStyle w:val="null3"/>
        <w:ind w:firstLine="420"/>
        <w:jc w:val="both"/>
      </w:pPr>
      <w:r>
        <w:rPr>
          <w:rFonts w:ascii="宋体" w:hAnsi="宋体" w:cs="宋体" w:eastAsia="宋体"/>
          <w:sz w:val="21"/>
        </w:rPr>
        <w:t>甲方联络人：</w:t>
      </w:r>
      <w:r>
        <w:rPr>
          <w:rFonts w:ascii="宋体" w:hAnsi="宋体" w:cs="宋体" w:eastAsia="宋体"/>
          <w:sz w:val="21"/>
          <w:u w:val="single"/>
        </w:rPr>
        <w:t>申伟</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电话：</w:t>
      </w:r>
      <w:r>
        <w:rPr>
          <w:rFonts w:ascii="&quot;arial&quot;, sans-serif" w:hAnsi="&quot;arial&quot;, sans-serif" w:cs="&quot;arial&quot;, sans-serif" w:eastAsia="&quot;arial&quot;, sans-serif"/>
          <w:sz w:val="21"/>
          <w:u w:val="single"/>
        </w:rPr>
        <w:t xml:space="preserve"> 13520813087   </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邮箱：</w:t>
      </w:r>
      <w:r>
        <w:rPr>
          <w:rFonts w:ascii="&quot;arial&quot;, sans-serif" w:hAnsi="&quot;arial&quot;, sans-serif" w:cs="&quot;arial&quot;, sans-serif" w:eastAsia="&quot;arial&quot;, sans-serif"/>
          <w:sz w:val="21"/>
        </w:rPr>
        <w:t>weishen@cncc.cn</w:t>
      </w:r>
    </w:p>
    <w:p>
      <w:pPr>
        <w:pStyle w:val="null3"/>
        <w:ind w:firstLine="420"/>
        <w:jc w:val="both"/>
      </w:pPr>
      <w:r>
        <w:rPr>
          <w:rFonts w:ascii="宋体" w:hAnsi="宋体" w:cs="宋体" w:eastAsia="宋体"/>
          <w:sz w:val="21"/>
        </w:rPr>
        <w:t>乙方联络人：</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电话：</w:t>
      </w:r>
      <w:r>
        <w:rPr>
          <w:rFonts w:ascii="&quot;times new roman&quot;, serif" w:hAnsi="&quot;times new roman&quot;, serif" w:cs="&quot;times new roman&quot;, serif" w:eastAsia="&quot;times new roman&quot;, serif"/>
          <w:sz w:val="21"/>
          <w:u w:val="single"/>
        </w:rPr>
        <w:t xml:space="preserve">              </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邮箱：</w:t>
      </w:r>
      <w:r>
        <w:rPr>
          <w:rFonts w:ascii="&quot;times new roman&quot;, serif" w:hAnsi="&quot;times new roman&quot;, serif" w:cs="&quot;times new roman&quot;, serif" w:eastAsia="&quot;times new roman&quot;, serif"/>
          <w:sz w:val="21"/>
          <w:u w:val="single"/>
        </w:rPr>
        <w:t xml:space="preserve">                  </w:t>
      </w:r>
    </w:p>
    <w:p>
      <w:pPr>
        <w:pStyle w:val="null3"/>
        <w:ind w:firstLine="420"/>
        <w:jc w:val="both"/>
      </w:pPr>
      <w:r>
        <w:rPr>
          <w:rFonts w:ascii="宋体" w:hAnsi="宋体" w:cs="宋体" w:eastAsia="宋体"/>
          <w:sz w:val="21"/>
        </w:rPr>
        <w:t>原厂联络人：</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电话：</w:t>
      </w:r>
      <w:r>
        <w:rPr>
          <w:rFonts w:ascii="&quot;times new roman&quot;, serif" w:hAnsi="&quot;times new roman&quot;, serif" w:cs="&quot;times new roman&quot;, serif" w:eastAsia="&quot;times new roman&quot;, serif"/>
          <w:sz w:val="21"/>
          <w:u w:val="single"/>
        </w:rPr>
        <w:t xml:space="preserve">              </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邮箱：</w:t>
      </w:r>
      <w:r>
        <w:rPr>
          <w:rFonts w:ascii="&quot;times new roman&quot;, serif" w:hAnsi="&quot;times new roman&quot;, serif" w:cs="&quot;times new roman&quot;, serif" w:eastAsia="&quot;times new roman&quot;, serif"/>
          <w:sz w:val="21"/>
          <w:u w:val="single"/>
        </w:rPr>
        <w:t xml:space="preserve">                  </w:t>
      </w:r>
    </w:p>
    <w:p>
      <w:pPr>
        <w:pStyle w:val="null3"/>
        <w:ind w:left="150"/>
      </w:pPr>
      <w:r>
        <w:rPr>
          <w:rFonts w:ascii="宋体" w:hAnsi="宋体" w:cs="宋体" w:eastAsia="宋体"/>
          <w:sz w:val="21"/>
          <w:b/>
        </w:rPr>
        <w:t>第五条</w:t>
      </w:r>
      <w:r>
        <w:rPr>
          <w:rFonts w:ascii="宋体" w:hAnsi="宋体" w:cs="宋体" w:eastAsia="宋体"/>
          <w:sz w:val="21"/>
          <w:b/>
        </w:rPr>
        <w:t>验收</w:t>
      </w:r>
    </w:p>
    <w:p>
      <w:pPr>
        <w:pStyle w:val="null3"/>
        <w:ind w:left="210" w:firstLine="420"/>
      </w:pPr>
      <w:r>
        <w:rPr>
          <w:rFonts w:ascii="&quot;times new roman&quot;, serif" w:hAnsi="&quot;times new roman&quot;, serif" w:cs="&quot;times new roman&quot;, serif" w:eastAsia="&quot;times new roman&quot;, serif"/>
          <w:sz w:val="21"/>
        </w:rPr>
        <w:t xml:space="preserve">5.1 </w:t>
      </w:r>
      <w:r>
        <w:rPr>
          <w:rFonts w:ascii="宋体" w:hAnsi="宋体" w:cs="宋体" w:eastAsia="宋体"/>
          <w:sz w:val="21"/>
        </w:rPr>
        <w:t>到货验收和设备点验：</w:t>
      </w:r>
    </w:p>
    <w:p>
      <w:pPr>
        <w:pStyle w:val="null3"/>
        <w:ind w:left="210" w:firstLine="420"/>
      </w:pPr>
      <w:r>
        <w:rPr>
          <w:rFonts w:ascii="宋体" w:hAnsi="宋体" w:cs="宋体" w:eastAsia="宋体"/>
          <w:sz w:val="21"/>
        </w:rPr>
        <w:t>到货验收和设备点验：设备到货后，乙方接到甲方关于设备点验通知后，在</w:t>
      </w:r>
      <w:r>
        <w:rPr>
          <w:rFonts w:ascii="&quot;times new roman&quot;, serif" w:hAnsi="&quot;times new roman&quot;, serif" w:cs="&quot;times new roman&quot;, serif" w:eastAsia="&quot;times new roman&quot;, serif"/>
          <w:sz w:val="21"/>
        </w:rPr>
        <w:t>24</w:t>
      </w:r>
      <w:r>
        <w:rPr>
          <w:rFonts w:ascii="宋体" w:hAnsi="宋体" w:cs="宋体" w:eastAsia="宋体"/>
          <w:sz w:val="21"/>
        </w:rPr>
        <w:t>小时内到达甲方指定地点，按甲方要求完成所有设备上架、加电、配置、测试等工作。到货后由甲乙双方共同逐一开箱检查产品外观是否损坏，型号是否正确，数量是否齐全，设备是否全新等。记录设备的型号、数量、序列号，如无误，双方签署设备到货验收报告。如有缺货、错货、损坏、数量不全、型号不正确、设备非全新等现象，由乙方负责在接到甲方通知后补齐或更换，以不影响甲方的工程进度为准。</w:t>
      </w:r>
    </w:p>
    <w:p>
      <w:pPr>
        <w:pStyle w:val="null3"/>
        <w:ind w:left="210" w:firstLine="420"/>
      </w:pPr>
      <w:r>
        <w:rPr>
          <w:rFonts w:ascii="&quot;times new roman&quot;, serif" w:hAnsi="&quot;times new roman&quot;, serif" w:cs="&quot;times new roman&quot;, serif" w:eastAsia="&quot;times new roman&quot;, serif"/>
          <w:sz w:val="21"/>
        </w:rPr>
        <w:t xml:space="preserve">5.2 </w:t>
      </w:r>
      <w:r>
        <w:rPr>
          <w:rFonts w:ascii="宋体" w:hAnsi="宋体" w:cs="宋体" w:eastAsia="宋体"/>
          <w:sz w:val="21"/>
        </w:rPr>
        <w:t>设备加电测试：</w:t>
      </w:r>
    </w:p>
    <w:p>
      <w:pPr>
        <w:pStyle w:val="null3"/>
        <w:ind w:left="210" w:firstLine="420"/>
      </w:pPr>
      <w:r>
        <w:rPr>
          <w:rFonts w:ascii="宋体" w:hAnsi="宋体" w:cs="宋体" w:eastAsia="宋体"/>
          <w:sz w:val="21"/>
        </w:rPr>
        <w:t>设备加电测试：甲乙双方一起对本合同设备逐一进行加电测试，各项测试指标测试正常后，双方签署加电测试报告。</w:t>
      </w:r>
    </w:p>
    <w:p>
      <w:pPr>
        <w:pStyle w:val="null3"/>
        <w:ind w:left="210" w:firstLine="420"/>
      </w:pPr>
      <w:r>
        <w:rPr>
          <w:rFonts w:ascii="&quot;times new roman&quot;, serif" w:hAnsi="&quot;times new roman&quot;, serif" w:cs="&quot;times new roman&quot;, serif" w:eastAsia="&quot;times new roman&quot;, serif"/>
          <w:sz w:val="21"/>
        </w:rPr>
        <w:t>5.3</w:t>
      </w:r>
      <w:r>
        <w:rPr>
          <w:rFonts w:ascii="宋体" w:hAnsi="宋体" w:cs="宋体" w:eastAsia="宋体"/>
          <w:sz w:val="21"/>
        </w:rPr>
        <w:t>安装和调试：</w:t>
      </w:r>
    </w:p>
    <w:p>
      <w:pPr>
        <w:pStyle w:val="null3"/>
        <w:ind w:left="210" w:firstLine="420"/>
      </w:pPr>
      <w:r>
        <w:rPr>
          <w:rFonts w:ascii="宋体" w:hAnsi="宋体" w:cs="宋体" w:eastAsia="宋体"/>
          <w:sz w:val="21"/>
        </w:rPr>
        <w:t>合同中提供的所有设备全部应由乙方负责完成安装调试，甲方派遣技术人员参与整套设备的安装和调试，在安装调试过程中乙方的技术人员应说明设备的安装步骤和应该注意的事项，安装的每一台设备应做安装详细记录。在安装、调试过程中造成的设备损坏，一切责任由乙方承担。</w:t>
      </w:r>
    </w:p>
    <w:p>
      <w:pPr>
        <w:pStyle w:val="null3"/>
        <w:ind w:left="210" w:firstLine="420"/>
      </w:pPr>
      <w:r>
        <w:rPr>
          <w:rFonts w:ascii="&quot;times new roman&quot;, serif" w:hAnsi="&quot;times new roman&quot;, serif" w:cs="&quot;times new roman&quot;, serif" w:eastAsia="&quot;times new roman&quot;, serif"/>
          <w:sz w:val="21"/>
        </w:rPr>
        <w:t>5.4</w:t>
      </w:r>
      <w:r>
        <w:rPr>
          <w:rFonts w:ascii="宋体" w:hAnsi="宋体" w:cs="宋体" w:eastAsia="宋体"/>
          <w:sz w:val="21"/>
        </w:rPr>
        <w:t>初验：</w:t>
      </w:r>
    </w:p>
    <w:p>
      <w:pPr>
        <w:pStyle w:val="null3"/>
        <w:ind w:left="210" w:firstLine="420"/>
      </w:pPr>
      <w:r>
        <w:rPr>
          <w:rFonts w:ascii="宋体" w:hAnsi="宋体" w:cs="宋体" w:eastAsia="宋体"/>
          <w:sz w:val="21"/>
        </w:rPr>
        <w:t>初验测试在安装地现场按照初验测试的内容和步骤独立进行。由乙方向甲方提交能反映设备技术指标的初验测试内容、预期结果和步骤。乙方负责在工程项目现场进行初验测试，并将初验测试报告提交给甲方。如果所有测试项目的测试结果与预期结果相符合，且设备上线稳定运行无故障二十日后视为初验合格</w:t>
      </w:r>
      <w:r>
        <w:rPr>
          <w:rFonts w:ascii="&quot;times new roman&quot;, serif" w:hAnsi="&quot;times new roman&quot;, serif" w:cs="&quot;times new roman&quot;, serif" w:eastAsia="&quot;times new roman&quot;, serif"/>
          <w:sz w:val="21"/>
        </w:rPr>
        <w:t>(</w:t>
      </w:r>
      <w:r>
        <w:rPr>
          <w:rFonts w:ascii="宋体" w:hAnsi="宋体" w:cs="宋体" w:eastAsia="宋体"/>
          <w:sz w:val="21"/>
        </w:rPr>
        <w:t>如发生故障，上线稳定运行期自故障解决后次日起重新计算</w:t>
      </w:r>
      <w:r>
        <w:rPr>
          <w:rFonts w:ascii="&quot;times new roman&quot;, serif" w:hAnsi="&quot;times new roman&quot;, serif" w:cs="&quot;times new roman&quot;, serif" w:eastAsia="&quot;times new roman&quot;, serif"/>
          <w:sz w:val="21"/>
        </w:rPr>
        <w:t>)</w:t>
      </w:r>
      <w:r>
        <w:rPr>
          <w:rFonts w:ascii="宋体" w:hAnsi="宋体" w:cs="宋体" w:eastAsia="宋体"/>
          <w:sz w:val="21"/>
        </w:rPr>
        <w:t>，双方签署初验报告。</w:t>
      </w:r>
    </w:p>
    <w:p>
      <w:pPr>
        <w:pStyle w:val="null3"/>
        <w:ind w:left="210" w:firstLine="420"/>
      </w:pPr>
      <w:r>
        <w:rPr>
          <w:rFonts w:ascii="&quot;times new roman&quot;, serif" w:hAnsi="&quot;times new roman&quot;, serif" w:cs="&quot;times new roman&quot;, serif" w:eastAsia="&quot;times new roman&quot;, serif"/>
          <w:sz w:val="21"/>
        </w:rPr>
        <w:t>5.5</w:t>
      </w:r>
      <w:r>
        <w:rPr>
          <w:rFonts w:ascii="宋体" w:hAnsi="宋体" w:cs="宋体" w:eastAsia="宋体"/>
          <w:sz w:val="21"/>
        </w:rPr>
        <w:t>终验：</w:t>
      </w:r>
    </w:p>
    <w:p>
      <w:pPr>
        <w:pStyle w:val="null3"/>
        <w:ind w:left="210" w:firstLine="420"/>
      </w:pPr>
      <w:r>
        <w:rPr>
          <w:rFonts w:ascii="宋体" w:hAnsi="宋体" w:cs="宋体" w:eastAsia="宋体"/>
          <w:sz w:val="21"/>
        </w:rPr>
        <w:t>完成初验后，合同产品进入试运行期，试运行期为初验完成次日起三个月，在此期间没有发生由于乙方设备或是安装、调试所导致的任何故障</w:t>
      </w:r>
      <w:r>
        <w:rPr>
          <w:rFonts w:ascii="&quot;times new roman&quot;, serif" w:hAnsi="&quot;times new roman&quot;, serif" w:cs="&quot;times new roman&quot;, serif" w:eastAsia="&quot;times new roman&quot;, serif"/>
          <w:sz w:val="21"/>
        </w:rPr>
        <w:t>(</w:t>
      </w:r>
      <w:r>
        <w:rPr>
          <w:rFonts w:ascii="宋体" w:hAnsi="宋体" w:cs="宋体" w:eastAsia="宋体"/>
          <w:sz w:val="21"/>
        </w:rPr>
        <w:t>如发生故障，试运行期自故障解决后次日起重新计算</w:t>
      </w:r>
      <w:r>
        <w:rPr>
          <w:rFonts w:ascii="&quot;times new roman&quot;, serif" w:hAnsi="&quot;times new roman&quot;, serif" w:cs="&quot;times new roman&quot;, serif" w:eastAsia="&quot;times new roman&quot;, serif"/>
          <w:sz w:val="21"/>
        </w:rPr>
        <w:t>)</w:t>
      </w:r>
      <w:r>
        <w:rPr>
          <w:rFonts w:ascii="宋体" w:hAnsi="宋体" w:cs="宋体" w:eastAsia="宋体"/>
          <w:sz w:val="21"/>
        </w:rPr>
        <w:t>，乙方提供试运行期服务报告，双方进行终验。终验合格后，双方签署终验报告。</w:t>
      </w:r>
    </w:p>
    <w:p>
      <w:pPr>
        <w:pStyle w:val="null3"/>
        <w:ind w:left="210" w:firstLine="420"/>
      </w:pPr>
      <w:r>
        <w:rPr>
          <w:rFonts w:ascii="&quot;times new roman&quot;, serif" w:hAnsi="&quot;times new roman&quot;, serif" w:cs="&quot;times new roman&quot;, serif" w:eastAsia="&quot;times new roman&quot;, serif"/>
          <w:sz w:val="21"/>
        </w:rPr>
        <w:t>5.6</w:t>
      </w:r>
      <w:r>
        <w:rPr>
          <w:rFonts w:ascii="宋体" w:hAnsi="宋体" w:cs="宋体" w:eastAsia="宋体"/>
          <w:sz w:val="21"/>
        </w:rPr>
        <w:t>质量保证期服务验收：</w:t>
      </w:r>
    </w:p>
    <w:p>
      <w:pPr>
        <w:pStyle w:val="null3"/>
        <w:ind w:left="210" w:firstLine="420"/>
      </w:pPr>
      <w:r>
        <w:rPr>
          <w:rFonts w:ascii="宋体" w:hAnsi="宋体" w:cs="宋体" w:eastAsia="宋体"/>
          <w:sz w:val="21"/>
        </w:rPr>
        <w:t>质量保证期自经过用户终验合格后次日起，由乙方提供合同产品原厂质量保证服务，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p>
    <w:p>
      <w:pPr>
        <w:pStyle w:val="null3"/>
        <w:ind w:left="210" w:firstLine="420"/>
      </w:pPr>
      <w:r>
        <w:rPr>
          <w:rFonts w:ascii="&quot;times new roman&quot;, serif" w:hAnsi="&quot;times new roman&quot;, serif" w:cs="&quot;times new roman&quot;, serif" w:eastAsia="&quot;times new roman&quot;, serif"/>
          <w:sz w:val="21"/>
        </w:rPr>
        <w:t xml:space="preserve">5.7 </w:t>
      </w:r>
      <w:r>
        <w:rPr>
          <w:rFonts w:ascii="宋体" w:hAnsi="宋体" w:cs="宋体" w:eastAsia="宋体"/>
          <w:sz w:val="21"/>
        </w:rPr>
        <w:t>如验收中出现质量问题或由于验收失败而影响甲方项目的工程进度，甲方保留索赔的权利。</w:t>
      </w:r>
    </w:p>
    <w:p>
      <w:pPr>
        <w:pStyle w:val="null3"/>
      </w:pPr>
      <w:r>
        <w:rPr>
          <w:rFonts w:ascii="宋体" w:hAnsi="宋体" w:cs="宋体" w:eastAsia="宋体"/>
          <w:sz w:val="21"/>
          <w:b/>
        </w:rPr>
        <w:t>第六条</w:t>
      </w:r>
      <w:r>
        <w:rPr>
          <w:rFonts w:ascii="宋体" w:hAnsi="宋体" w:cs="宋体" w:eastAsia="宋体"/>
          <w:sz w:val="21"/>
          <w:b/>
        </w:rPr>
        <w:t>质量保证</w:t>
      </w:r>
    </w:p>
    <w:p>
      <w:pPr>
        <w:pStyle w:val="null3"/>
        <w:ind w:left="210" w:firstLine="420"/>
      </w:pPr>
      <w:r>
        <w:rPr>
          <w:rFonts w:ascii="&quot;times new roman&quot;, serif" w:hAnsi="&quot;times new roman&quot;, serif" w:cs="&quot;times new roman&quot;, serif" w:eastAsia="&quot;times new roman&quot;, serif"/>
          <w:sz w:val="21"/>
        </w:rPr>
        <w:t xml:space="preserve">6.1 </w:t>
      </w:r>
      <w:r>
        <w:rPr>
          <w:rFonts w:ascii="宋体" w:hAnsi="宋体" w:cs="宋体" w:eastAsia="宋体"/>
          <w:sz w:val="21"/>
        </w:rPr>
        <w:t>乙方与制造商保证严格的质量保证体系和完善的售后服务体系。乙方承诺向甲方提供为期</w:t>
      </w:r>
      <w:r>
        <w:rPr>
          <w:rFonts w:ascii="&quot;times new roman&quot;, serif" w:hAnsi="&quot;times new roman&quot;, serif" w:cs="&quot;times new roman&quot;, serif" w:eastAsia="&quot;times new roman&quot;, serif"/>
          <w:sz w:val="21"/>
        </w:rPr>
        <w:t>36</w:t>
      </w:r>
      <w:r>
        <w:rPr>
          <w:rFonts w:ascii="宋体" w:hAnsi="宋体" w:cs="宋体" w:eastAsia="宋体"/>
          <w:sz w:val="21"/>
        </w:rPr>
        <w:t>个月的质量保证期（以下或简称“质保期”），为甲方提供原厂质量保证服务（服务级别：</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），对所有设备提供三年版本和特征库升级服务，以及软件技术支持和硬件保修服务。</w:t>
      </w:r>
    </w:p>
    <w:p>
      <w:pPr>
        <w:pStyle w:val="null3"/>
        <w:ind w:left="210" w:firstLine="420"/>
      </w:pPr>
      <w:r>
        <w:rPr>
          <w:rFonts w:ascii="&quot;times new roman&quot;, serif" w:hAnsi="&quot;times new roman&quot;, serif" w:cs="&quot;times new roman&quot;, serif" w:eastAsia="&quot;times new roman&quot;, serif"/>
          <w:sz w:val="21"/>
        </w:rPr>
        <w:t xml:space="preserve">6.2 </w:t>
      </w:r>
      <w:r>
        <w:rPr>
          <w:rFonts w:ascii="宋体" w:hAnsi="宋体" w:cs="宋体" w:eastAsia="宋体"/>
          <w:sz w:val="21"/>
        </w:rPr>
        <w:t>乙方所提供设备必须是先进的，未来</w:t>
      </w:r>
      <w:r>
        <w:rPr>
          <w:rFonts w:ascii="&quot;times new roman&quot;, serif" w:hAnsi="&quot;times new roman&quot;, serif" w:cs="&quot;times new roman&quot;, serif" w:eastAsia="&quot;times new roman&quot;, serif"/>
          <w:sz w:val="21"/>
        </w:rPr>
        <w:t>5</w:t>
      </w:r>
      <w:r>
        <w:rPr>
          <w:rFonts w:ascii="宋体" w:hAnsi="宋体" w:cs="宋体" w:eastAsia="宋体"/>
          <w:sz w:val="21"/>
        </w:rPr>
        <w:t>年内不能废型，且必须保证：所提供设备完全符合该设备规定的质量、规格和性能的要求，且在正确安装、正常使用和保养条件下，设备性能满足承诺的指标要求。</w:t>
      </w:r>
    </w:p>
    <w:p>
      <w:pPr>
        <w:pStyle w:val="null3"/>
        <w:ind w:left="210" w:firstLine="420"/>
      </w:pPr>
      <w:r>
        <w:rPr>
          <w:rFonts w:ascii="&quot;times new roman&quot;, serif" w:hAnsi="&quot;times new roman&quot;, serif" w:cs="&quot;times new roman&quot;, serif" w:eastAsia="&quot;times new roman&quot;, serif"/>
          <w:sz w:val="21"/>
        </w:rPr>
        <w:t>6.3</w:t>
      </w:r>
      <w:r>
        <w:rPr>
          <w:rFonts w:ascii="宋体" w:hAnsi="宋体" w:cs="宋体" w:eastAsia="宋体"/>
          <w:sz w:val="21"/>
        </w:rPr>
        <w:t>甲方保留要求乙方对货物出具独立第三方测试报告的权利，如该测试报告表明乙方投标货物不能达到招标文件所要求的技术需求，有权要求乙方提供同等或高于原配置的设备。</w:t>
      </w:r>
    </w:p>
    <w:p>
      <w:pPr>
        <w:pStyle w:val="null3"/>
        <w:ind w:left="210" w:firstLine="420"/>
      </w:pPr>
      <w:r>
        <w:rPr>
          <w:rFonts w:ascii="&quot;times new roman&quot;, serif" w:hAnsi="&quot;times new roman&quot;, serif" w:cs="&quot;times new roman&quot;, serif" w:eastAsia="&quot;times new roman&quot;, serif"/>
          <w:sz w:val="21"/>
        </w:rPr>
        <w:t>6.4</w:t>
      </w:r>
      <w:r>
        <w:rPr>
          <w:rFonts w:ascii="宋体" w:hAnsi="宋体" w:cs="宋体" w:eastAsia="宋体"/>
          <w:sz w:val="21"/>
        </w:rPr>
        <w:t>乙方保证其所提供的本合同设备及其部件均为全新的、高质量的、工艺好的、由制造商原厂生产的原装货物，设备采用相应标准的保护措施进行包装，适于长途运输，并有良好的防潮、防震、防锈和防野蛮装卸等保护措施。乙方承诺本合同的设备不存在任何侵权行为，否则甲方将不承担任何相关责任而由乙方承担所有责任。</w:t>
      </w:r>
    </w:p>
    <w:p>
      <w:pPr>
        <w:pStyle w:val="null3"/>
        <w:ind w:left="210" w:firstLine="420"/>
      </w:pPr>
      <w:r>
        <w:rPr>
          <w:rFonts w:ascii="&quot;times new roman&quot;, serif" w:hAnsi="&quot;times new roman&quot;, serif" w:cs="&quot;times new roman&quot;, serif" w:eastAsia="&quot;times new roman&quot;, serif"/>
          <w:sz w:val="21"/>
        </w:rPr>
        <w:t xml:space="preserve">6.5 </w:t>
      </w:r>
      <w:r>
        <w:rPr>
          <w:rFonts w:ascii="宋体" w:hAnsi="宋体" w:cs="宋体" w:eastAsia="宋体"/>
          <w:sz w:val="21"/>
        </w:rPr>
        <w:t>乙方所提供的所有产品必须为投标货物生产厂家提供的原厂设备，包装未开封，而且设备（包括辅材）应是交付前六个月内生产且未被使用过的全新设备，并且是非长期积压的库存商品，同时必须在中国境内具有合法使用权，并明确甲方为中国人民银行清算总中心。</w:t>
      </w:r>
    </w:p>
    <w:p>
      <w:pPr>
        <w:pStyle w:val="null3"/>
        <w:ind w:left="210" w:firstLine="420"/>
      </w:pPr>
      <w:r>
        <w:rPr>
          <w:rFonts w:ascii="&quot;times new roman&quot;, serif" w:hAnsi="&quot;times new roman&quot;, serif" w:cs="&quot;times new roman&quot;, serif" w:eastAsia="&quot;times new roman&quot;, serif"/>
          <w:sz w:val="21"/>
        </w:rPr>
        <w:t xml:space="preserve">6.6 </w:t>
      </w:r>
      <w:r>
        <w:rPr>
          <w:rFonts w:ascii="宋体" w:hAnsi="宋体" w:cs="宋体" w:eastAsia="宋体"/>
          <w:sz w:val="21"/>
        </w:rPr>
        <w:t>乙方承诺所提供的产品符合甲方的技术要求。所提供设备完全符合该设备规定的质量、规格和性能的要求，且在正确安装、正常使用和保养条件下，在规定的使用寿命期内性能满足承诺的指标要求。</w:t>
      </w:r>
    </w:p>
    <w:p>
      <w:pPr>
        <w:pStyle w:val="null3"/>
        <w:ind w:left="210" w:firstLine="420"/>
      </w:pPr>
      <w:r>
        <w:rPr>
          <w:rFonts w:ascii="&quot;times new roman&quot;, serif" w:hAnsi="&quot;times new roman&quot;, serif" w:cs="&quot;times new roman&quot;, serif" w:eastAsia="&quot;times new roman&quot;, serif"/>
          <w:sz w:val="21"/>
        </w:rPr>
        <w:t>6.7</w:t>
      </w:r>
      <w:r>
        <w:rPr>
          <w:rFonts w:ascii="宋体" w:hAnsi="宋体" w:cs="宋体" w:eastAsia="宋体"/>
          <w:sz w:val="21"/>
        </w:rPr>
        <w:t>附件二所列明的设备的主要技术要求，不应理解为甲方完整的详细要求。对于整机维持稳定运行所需要的其他部件，应由乙方免费提供，确保所提供的设备能够独立稳定运行。</w:t>
      </w:r>
    </w:p>
    <w:p>
      <w:pPr>
        <w:pStyle w:val="null3"/>
        <w:ind w:left="210" w:firstLine="420"/>
      </w:pPr>
      <w:r>
        <w:rPr>
          <w:rFonts w:ascii="&quot;times new roman&quot;, serif" w:hAnsi="&quot;times new roman&quot;, serif" w:cs="&quot;times new roman&quot;, serif" w:eastAsia="&quot;times new roman&quot;, serif"/>
          <w:sz w:val="21"/>
        </w:rPr>
        <w:t>6.8</w:t>
      </w:r>
      <w:r>
        <w:rPr>
          <w:rFonts w:ascii="宋体" w:hAnsi="宋体" w:cs="宋体" w:eastAsia="宋体"/>
          <w:sz w:val="21"/>
        </w:rPr>
        <w:t>乙方保证提供的本合同设备符合中华人民共和国国家相关标准、相关行业标准、本合同技术规范。乙方承诺提供的软件产品为正版版本，具有在中国境内的合法使用权，具有完整的技术资料。</w:t>
      </w:r>
    </w:p>
    <w:p>
      <w:pPr>
        <w:pStyle w:val="null3"/>
        <w:ind w:left="210" w:firstLine="420"/>
      </w:pPr>
      <w:r>
        <w:rPr>
          <w:rFonts w:ascii="&quot;times new roman&quot;, serif" w:hAnsi="&quot;times new roman&quot;, serif" w:cs="&quot;times new roman&quot;, serif" w:eastAsia="&quot;times new roman&quot;, serif"/>
          <w:sz w:val="21"/>
        </w:rPr>
        <w:t xml:space="preserve">6.9 </w:t>
      </w:r>
      <w:r>
        <w:rPr>
          <w:rFonts w:ascii="宋体" w:hAnsi="宋体" w:cs="宋体" w:eastAsia="宋体"/>
          <w:sz w:val="21"/>
        </w:rPr>
        <w:t>如果设备软件版本升级，甲方将免费获得新软件的许可使用权。</w:t>
      </w:r>
    </w:p>
    <w:p>
      <w:pPr>
        <w:pStyle w:val="null3"/>
        <w:ind w:left="210" w:firstLine="420"/>
      </w:pPr>
      <w:r>
        <w:rPr>
          <w:rFonts w:ascii="&quot;times new roman&quot;, serif" w:hAnsi="&quot;times new roman&quot;, serif" w:cs="&quot;times new roman&quot;, serif" w:eastAsia="&quot;times new roman&quot;, serif"/>
          <w:sz w:val="21"/>
        </w:rPr>
        <w:t xml:space="preserve">6.10 </w:t>
      </w:r>
      <w:r>
        <w:rPr>
          <w:rFonts w:ascii="宋体" w:hAnsi="宋体" w:cs="宋体" w:eastAsia="宋体"/>
          <w:sz w:val="21"/>
        </w:rPr>
        <w:t>乙方保证合同项下的所有产品和服务不存在任何质量瑕疵和权利瑕疵。</w:t>
      </w:r>
    </w:p>
    <w:p>
      <w:pPr>
        <w:pStyle w:val="null3"/>
        <w:ind w:left="210" w:firstLine="420"/>
      </w:pPr>
      <w:r>
        <w:rPr>
          <w:rFonts w:ascii="&quot;times new roman&quot;, serif" w:hAnsi="&quot;times new roman&quot;, serif" w:cs="&quot;times new roman&quot;, serif" w:eastAsia="&quot;times new roman&quot;, serif"/>
          <w:sz w:val="21"/>
        </w:rPr>
        <w:t>6.11</w:t>
      </w:r>
      <w:r>
        <w:rPr>
          <w:rFonts w:ascii="宋体" w:hAnsi="宋体" w:cs="宋体" w:eastAsia="宋体"/>
          <w:sz w:val="21"/>
        </w:rPr>
        <w:t>在本项目终验前，对于本合同中规定的乙方向甲方提供的同一型号货物，出现一次产品故障需退回此故障货物更换全新货物，出现两次产品故障需退回整批次货物并更换全新货物。所有货物软件在出现故障时不允许打补丁，需使用正规发布版软件对本批次货物进行统一升级，期间产生的费用由投标人自行承担。</w:t>
      </w:r>
    </w:p>
    <w:p>
      <w:pPr>
        <w:pStyle w:val="null3"/>
        <w:ind w:left="210" w:firstLine="420"/>
      </w:pPr>
      <w:r>
        <w:rPr>
          <w:rFonts w:ascii="&quot;times new roman&quot;, serif" w:hAnsi="&quot;times new roman&quot;, serif" w:cs="&quot;times new roman&quot;, serif" w:eastAsia="&quot;times new roman&quot;, serif"/>
          <w:sz w:val="21"/>
        </w:rPr>
        <w:t>6.12</w:t>
      </w:r>
      <w:r>
        <w:rPr>
          <w:rFonts w:ascii="宋体" w:hAnsi="宋体" w:cs="宋体" w:eastAsia="宋体"/>
          <w:sz w:val="21"/>
        </w:rPr>
        <w:t>由于乙方原因影响系统开通及（或）不能达到系统设计指标时，乙方应免费提供解决问题所需的设备和材料，并在问题发生后</w:t>
      </w:r>
      <w:r>
        <w:rPr>
          <w:rFonts w:ascii="&quot;times new roman&quot;, serif" w:hAnsi="&quot;times new roman&quot;, serif" w:cs="&quot;times new roman&quot;, serif" w:eastAsia="&quot;times new roman&quot;, serif"/>
          <w:sz w:val="21"/>
        </w:rPr>
        <w:t>15</w:t>
      </w:r>
      <w:r>
        <w:rPr>
          <w:rFonts w:ascii="宋体" w:hAnsi="宋体" w:cs="宋体" w:eastAsia="宋体"/>
          <w:sz w:val="21"/>
        </w:rPr>
        <w:t>天之内解决问题，以保证支付系统的正常运行。</w:t>
      </w:r>
    </w:p>
    <w:p>
      <w:pPr>
        <w:pStyle w:val="null3"/>
        <w:ind w:left="210" w:firstLine="420"/>
      </w:pPr>
      <w:r>
        <w:rPr>
          <w:rFonts w:ascii="&quot;times new roman&quot;, serif" w:hAnsi="&quot;times new roman&quot;, serif" w:cs="&quot;times new roman&quot;, serif" w:eastAsia="&quot;times new roman&quot;, serif"/>
          <w:sz w:val="21"/>
        </w:rPr>
        <w:t>6.13</w:t>
      </w:r>
      <w:r>
        <w:rPr>
          <w:rFonts w:ascii="宋体" w:hAnsi="宋体" w:cs="宋体" w:eastAsia="宋体"/>
          <w:sz w:val="21"/>
        </w:rPr>
        <w:t>无额外运行费用保证：无论是在保修期内还是在保修期外，甲方不需要向乙方提供系统及设备的使用及（或）运行费用。在保修期结束前，乙方向甲方提供本合同所规定的所有服务内容。</w:t>
      </w:r>
    </w:p>
    <w:p>
      <w:pPr>
        <w:pStyle w:val="null3"/>
        <w:ind w:left="210" w:firstLine="420"/>
      </w:pPr>
      <w:r>
        <w:rPr>
          <w:rFonts w:ascii="&quot;times new roman&quot;, serif" w:hAnsi="&quot;times new roman&quot;, serif" w:cs="&quot;times new roman&quot;, serif" w:eastAsia="&quot;times new roman&quot;, serif"/>
          <w:sz w:val="21"/>
        </w:rPr>
        <w:t>6.14</w:t>
      </w:r>
      <w:r>
        <w:rPr>
          <w:rFonts w:ascii="宋体" w:hAnsi="宋体" w:cs="宋体" w:eastAsia="宋体"/>
          <w:sz w:val="21"/>
        </w:rPr>
        <w:t>备件和维护保证：质保期内，乙方提供系统的设备备件、部件备件以及维修和维护等服务（设备备件、部件备件以及维修和维护等服务费用包含在合同总价中）。质保期后，乙方以不高于本协议“延长一年质量保证服务价格比例”（详见附件一</w:t>
      </w:r>
      <w:r>
        <w:rPr>
          <w:rFonts w:ascii="&quot;times new roman&quot;, serif" w:hAnsi="&quot;times new roman&quot;, serif" w:cs="&quot;times new roman&quot;, serif" w:eastAsia="&quot;times new roman&quot;, serif"/>
          <w:sz w:val="21"/>
        </w:rPr>
        <w:t>)</w:t>
      </w:r>
      <w:r>
        <w:rPr>
          <w:rFonts w:ascii="宋体" w:hAnsi="宋体" w:cs="宋体" w:eastAsia="宋体"/>
          <w:sz w:val="21"/>
        </w:rPr>
        <w:t>提供系统的设备备件、部件备件以及维修和维护等服务（以下简称“延保服务”），延保服务的服务内容、服务质量、响应时间等均不低于质量保证期内服务；同时根据甲方需求，乙方保证以不高于本合同成交折扣后单价的价格提供系统的设备备件和部件备件。经甲方同意后，乙方也可使用与系统相兼容的其他设备或部件进行替代，但其价格不得高于本合同设</w:t>
      </w:r>
      <w:r>
        <w:rPr>
          <w:rFonts w:ascii="宋体" w:hAnsi="宋体" w:cs="宋体" w:eastAsia="宋体"/>
          <w:sz w:val="21"/>
        </w:rPr>
        <w:t>备和部件的价格。</w:t>
      </w:r>
    </w:p>
    <w:p>
      <w:pPr>
        <w:pStyle w:val="null3"/>
      </w:pPr>
      <w:r>
        <w:rPr>
          <w:rFonts w:ascii="宋体" w:hAnsi="宋体" w:cs="宋体" w:eastAsia="宋体"/>
          <w:sz w:val="21"/>
          <w:b/>
        </w:rPr>
        <w:t>第七条</w:t>
      </w:r>
      <w:r>
        <w:rPr>
          <w:rFonts w:ascii="宋体" w:hAnsi="宋体" w:cs="宋体" w:eastAsia="宋体"/>
          <w:sz w:val="21"/>
          <w:b/>
        </w:rPr>
        <w:t>知识产权</w:t>
      </w:r>
    </w:p>
    <w:p>
      <w:pPr>
        <w:pStyle w:val="null3"/>
        <w:ind w:firstLine="420"/>
        <w:jc w:val="both"/>
      </w:pPr>
      <w:r>
        <w:rPr>
          <w:rFonts w:ascii="&quot;arial&quot;, sans-serif" w:hAnsi="&quot;arial&quot;, sans-serif" w:cs="&quot;arial&quot;, sans-serif" w:eastAsia="&quot;arial&quot;, sans-serif"/>
          <w:sz w:val="21"/>
        </w:rPr>
        <w:t xml:space="preserve">7.1 </w:t>
      </w:r>
      <w:r>
        <w:rPr>
          <w:rFonts w:ascii="宋体" w:hAnsi="宋体" w:cs="宋体" w:eastAsia="宋体"/>
          <w:sz w:val="21"/>
        </w:rPr>
        <w:t>双方一致同意，自本合同生效之日起，甲方即享有本合同项下产品（包括技术文档、源代码等）的永久许可使用权，以及定制开发部分的全部成果、可编译的源代码及过程品的所有权及知识产权。</w:t>
      </w:r>
    </w:p>
    <w:p>
      <w:pPr>
        <w:pStyle w:val="null3"/>
        <w:ind w:firstLine="420"/>
        <w:jc w:val="both"/>
      </w:pPr>
      <w:r>
        <w:rPr>
          <w:rFonts w:ascii="&quot;arial&quot;, sans-serif" w:hAnsi="&quot;arial&quot;, sans-serif" w:cs="&quot;arial&quot;, sans-serif" w:eastAsia="&quot;arial&quot;, sans-serif"/>
          <w:sz w:val="21"/>
        </w:rPr>
        <w:t xml:space="preserve">7.2 </w:t>
      </w:r>
      <w:r>
        <w:rPr>
          <w:rFonts w:ascii="宋体" w:hAnsi="宋体" w:cs="宋体" w:eastAsia="宋体"/>
          <w:sz w:val="21"/>
        </w:rPr>
        <w:t>乙方承诺其提供的设备与软件产品为正版版本，具有完整的技术资料和在中国境内合法使用权，如果同代设备软件版本升级，在不增加新功能的情况下将免费获得升级后软件的永久许可使用权。</w:t>
      </w:r>
    </w:p>
    <w:p>
      <w:pPr>
        <w:pStyle w:val="null3"/>
        <w:ind w:firstLine="420"/>
        <w:jc w:val="both"/>
      </w:pPr>
      <w:r>
        <w:rPr>
          <w:rFonts w:ascii="&quot;arial&quot;, sans-serif" w:hAnsi="&quot;arial&quot;, sans-serif" w:cs="&quot;arial&quot;, sans-serif" w:eastAsia="&quot;arial&quot;, sans-serif"/>
          <w:sz w:val="21"/>
        </w:rPr>
        <w:t xml:space="preserve">7.3 </w:t>
      </w:r>
      <w:r>
        <w:rPr>
          <w:rFonts w:ascii="宋体" w:hAnsi="宋体" w:cs="宋体" w:eastAsia="宋体"/>
          <w:sz w:val="21"/>
        </w:rPr>
        <w:t>乙方保证其最终提供给甲方的货物及包装</w:t>
      </w:r>
      <w:r>
        <w:rPr>
          <w:rFonts w:ascii="&quot;arial&quot;, sans-serif" w:hAnsi="&quot;arial&quot;, sans-serif" w:cs="&quot;arial&quot;, sans-serif" w:eastAsia="&quot;arial&quot;, sans-serif"/>
          <w:sz w:val="21"/>
        </w:rPr>
        <w:t>/</w:t>
      </w:r>
      <w:r>
        <w:rPr>
          <w:rFonts w:ascii="宋体" w:hAnsi="宋体" w:cs="宋体" w:eastAsia="宋体"/>
          <w:sz w:val="21"/>
        </w:rPr>
        <w:t>服务的任何一部分不会侵犯任何第三方的知识产权或其他合法权益，而且乙方履行本合同义务的行为不会引起任何第三方有关知识产权或其他合法权益的指控。</w:t>
      </w:r>
    </w:p>
    <w:p>
      <w:pPr>
        <w:pStyle w:val="null3"/>
        <w:ind w:firstLine="420"/>
        <w:jc w:val="both"/>
      </w:pPr>
      <w:r>
        <w:rPr>
          <w:rFonts w:ascii="&quot;arial&quot;, sans-serif" w:hAnsi="&quot;arial&quot;, sans-serif" w:cs="&quot;arial&quot;, sans-serif" w:eastAsia="&quot;arial&quot;, sans-serif"/>
          <w:sz w:val="21"/>
        </w:rPr>
        <w:t xml:space="preserve">7.4 </w:t>
      </w:r>
      <w:r>
        <w:rPr>
          <w:rFonts w:ascii="宋体" w:hAnsi="宋体" w:cs="宋体" w:eastAsia="宋体"/>
          <w:sz w:val="21"/>
        </w:rPr>
        <w:t>如第三方指控乙方提供给甲方的货物及软件产品侵犯了该方相关知识产权或其他合法权益，甲方有权单方解除合同，乙方同意负责解决此等纠纷并承担全部法律责任和经济责任。乙方还须支付甲方因此遭受的全部损失和发生的全部费用，包括但不限于损害赔偿金、诉讼费、保全费、执行费和律师费等。</w:t>
      </w:r>
    </w:p>
    <w:p>
      <w:pPr>
        <w:pStyle w:val="null3"/>
        <w:ind w:firstLine="420"/>
        <w:jc w:val="both"/>
      </w:pPr>
      <w:r>
        <w:rPr>
          <w:rFonts w:ascii="&quot;arial&quot;, sans-serif" w:hAnsi="&quot;arial&quot;, sans-serif" w:cs="&quot;arial&quot;, sans-serif" w:eastAsia="&quot;arial&quot;, sans-serif"/>
          <w:sz w:val="21"/>
        </w:rPr>
        <w:t xml:space="preserve">7.5 </w:t>
      </w:r>
      <w:r>
        <w:rPr>
          <w:rFonts w:ascii="宋体" w:hAnsi="宋体" w:cs="宋体" w:eastAsia="宋体"/>
          <w:sz w:val="21"/>
        </w:rPr>
        <w:t>甲方应保证本合同项下货物及软件产品的使用符合国家相关法律法规的规定。</w:t>
      </w:r>
    </w:p>
    <w:p>
      <w:pPr>
        <w:pStyle w:val="null3"/>
        <w:ind w:firstLine="420"/>
        <w:jc w:val="both"/>
      </w:pPr>
      <w:r>
        <w:rPr>
          <w:rFonts w:ascii="&quot;arial&quot;, sans-serif" w:hAnsi="&quot;arial&quot;, sans-serif" w:cs="&quot;arial&quot;, sans-serif" w:eastAsia="&quot;arial&quot;, sans-serif"/>
          <w:sz w:val="21"/>
        </w:rPr>
        <w:t xml:space="preserve">7.6 </w:t>
      </w:r>
      <w:r>
        <w:rPr>
          <w:rFonts w:ascii="宋体" w:hAnsi="宋体" w:cs="宋体" w:eastAsia="宋体"/>
          <w:sz w:val="21"/>
        </w:rPr>
        <w:t>本合同的签署不导致甲乙双方各自所有的知识产权发生转移。任何一方均不得因本合同的磋商、签订及履行而取得、使用另一方（包括其子、分公司）所拥有的知识产权，除非事先获得对方的书面授权。</w:t>
      </w:r>
    </w:p>
    <w:p>
      <w:pPr>
        <w:pStyle w:val="null3"/>
        <w:ind w:firstLine="420"/>
        <w:jc w:val="both"/>
      </w:pPr>
      <w:r>
        <w:rPr>
          <w:rFonts w:ascii="&quot;arial&quot;, sans-serif" w:hAnsi="&quot;arial&quot;, sans-serif" w:cs="&quot;arial&quot;, sans-serif" w:eastAsia="&quot;arial&quot;, sans-serif"/>
          <w:sz w:val="21"/>
        </w:rPr>
        <w:t xml:space="preserve">7.7 </w:t>
      </w:r>
      <w:r>
        <w:rPr>
          <w:rFonts w:ascii="宋体" w:hAnsi="宋体" w:cs="宋体" w:eastAsia="宋体"/>
          <w:sz w:val="21"/>
        </w:rPr>
        <w:t>本合同项下知识产权条款的约定不因本合同解除或终止而失效。</w:t>
      </w:r>
    </w:p>
    <w:p>
      <w:pPr>
        <w:pStyle w:val="null3"/>
      </w:pPr>
      <w:r>
        <w:rPr>
          <w:rFonts w:ascii="宋体" w:hAnsi="宋体" w:cs="宋体" w:eastAsia="宋体"/>
          <w:sz w:val="21"/>
          <w:b/>
        </w:rPr>
        <w:t>第八条</w:t>
      </w:r>
      <w:r>
        <w:rPr>
          <w:rFonts w:ascii="宋体" w:hAnsi="宋体" w:cs="宋体" w:eastAsia="宋体"/>
          <w:sz w:val="21"/>
          <w:b/>
        </w:rPr>
        <w:t>保密</w:t>
      </w:r>
    </w:p>
    <w:p>
      <w:pPr>
        <w:pStyle w:val="null3"/>
        <w:ind w:firstLine="420"/>
        <w:jc w:val="both"/>
      </w:pPr>
      <w:r>
        <w:rPr>
          <w:rFonts w:ascii="&quot;arial&quot;, sans-serif" w:hAnsi="&quot;arial&quot;, sans-serif" w:cs="&quot;arial&quot;, sans-serif" w:eastAsia="&quot;arial&quot;, sans-serif"/>
          <w:sz w:val="21"/>
        </w:rPr>
        <w:t xml:space="preserve">8.1 </w:t>
      </w:r>
      <w:r>
        <w:rPr>
          <w:rFonts w:ascii="宋体" w:hAnsi="宋体" w:cs="宋体" w:eastAsia="宋体"/>
          <w:sz w:val="21"/>
        </w:rPr>
        <w:t>本合同所称保密信息是指：一方在缔结合同及合同履行过程中获知的另一方尚未公开或未被社会大众知悉的商业秘密、工作秘密及对方标明</w:t>
      </w:r>
      <w:r>
        <w:rPr>
          <w:rFonts w:ascii="&quot;arial&quot;, sans-serif" w:hAnsi="&quot;arial&quot;, sans-serif" w:cs="&quot;arial&quot;, sans-serif" w:eastAsia="&quot;arial&quot;, sans-serif"/>
          <w:sz w:val="21"/>
        </w:rPr>
        <w:t>“</w:t>
      </w:r>
      <w:r>
        <w:rPr>
          <w:rFonts w:ascii="宋体" w:hAnsi="宋体" w:cs="宋体" w:eastAsia="宋体"/>
          <w:sz w:val="21"/>
        </w:rPr>
        <w:t>内部资料</w:t>
      </w:r>
      <w:r>
        <w:rPr>
          <w:rFonts w:ascii="&quot;arial&quot;, sans-serif" w:hAnsi="&quot;arial&quot;, sans-serif" w:cs="&quot;arial&quot;, sans-serif" w:eastAsia="&quot;arial&quot;, sans-serif"/>
          <w:sz w:val="21"/>
        </w:rPr>
        <w:t>”</w:t>
      </w:r>
      <w:r>
        <w:rPr>
          <w:rFonts w:ascii="宋体" w:hAnsi="宋体" w:cs="宋体" w:eastAsia="宋体"/>
          <w:sz w:val="21"/>
        </w:rPr>
        <w:t>的文件信息，以及虽属于第三方但由甲方或乙方承担保密义务的商业秘密、工作秘密和其它内部资料信息。</w:t>
      </w:r>
    </w:p>
    <w:p>
      <w:pPr>
        <w:pStyle w:val="null3"/>
        <w:ind w:firstLine="420"/>
        <w:jc w:val="both"/>
      </w:pPr>
      <w:r>
        <w:rPr>
          <w:rFonts w:ascii="&quot;arial&quot;, sans-serif" w:hAnsi="&quot;arial&quot;, sans-serif" w:cs="&quot;arial&quot;, sans-serif" w:eastAsia="&quot;arial&quot;, sans-serif"/>
          <w:sz w:val="21"/>
        </w:rPr>
        <w:t xml:space="preserve">8.2 </w:t>
      </w:r>
      <w:r>
        <w:rPr>
          <w:rFonts w:ascii="宋体" w:hAnsi="宋体" w:cs="宋体" w:eastAsia="宋体"/>
          <w:sz w:val="21"/>
        </w:rPr>
        <w:t>双方同意在合同履行期间及合同终止后，未经对方书面同意，除一方履行合同义务的必要或有法律法规规定、因诉讼仲裁准备材料或提供证据之需要应披露的之外，任何一方不得以任何方式向第三方披露或使用保密信息，否则，应当赔偿因泄露保密信息给对方造成的损失。具体保密义务详见附件</w:t>
      </w:r>
      <w:r>
        <w:rPr>
          <w:rFonts w:ascii="宋体" w:hAnsi="宋体" w:cs="宋体" w:eastAsia="宋体"/>
          <w:sz w:val="21"/>
          <w:u w:val="single"/>
        </w:rPr>
        <w:t>七</w:t>
      </w:r>
      <w:r>
        <w:rPr>
          <w:rFonts w:ascii="宋体" w:hAnsi="宋体" w:cs="宋体" w:eastAsia="宋体"/>
          <w:sz w:val="21"/>
        </w:rPr>
        <w:t>。</w:t>
      </w:r>
    </w:p>
    <w:p>
      <w:pPr>
        <w:pStyle w:val="null3"/>
        <w:ind w:firstLine="420"/>
        <w:jc w:val="both"/>
      </w:pPr>
      <w:r>
        <w:rPr>
          <w:rFonts w:ascii="&quot;arial&quot;, sans-serif" w:hAnsi="&quot;arial&quot;, sans-serif" w:cs="&quot;arial&quot;, sans-serif" w:eastAsia="&quot;arial&quot;, sans-serif"/>
          <w:sz w:val="21"/>
        </w:rPr>
        <w:t xml:space="preserve">8.3 </w:t>
      </w:r>
      <w:r>
        <w:rPr>
          <w:rFonts w:ascii="宋体" w:hAnsi="宋体" w:cs="宋体" w:eastAsia="宋体"/>
          <w:sz w:val="21"/>
        </w:rPr>
        <w:t>本合同项下的保密义务不以合同解除或终止而结束。</w:t>
      </w:r>
    </w:p>
    <w:p>
      <w:pPr>
        <w:pStyle w:val="null3"/>
        <w:ind w:left="210" w:firstLine="422"/>
      </w:pPr>
      <w:r>
        <w:rPr>
          <w:rFonts w:ascii="宋体" w:hAnsi="宋体" w:cs="宋体" w:eastAsia="宋体"/>
          <w:sz w:val="21"/>
          <w:b/>
        </w:rPr>
        <w:t>第九条</w:t>
      </w:r>
      <w:r>
        <w:rPr>
          <w:rFonts w:ascii="宋体" w:hAnsi="宋体" w:cs="宋体" w:eastAsia="宋体"/>
          <w:sz w:val="21"/>
          <w:b/>
        </w:rPr>
        <w:t>合同金额及付款方式</w:t>
      </w:r>
    </w:p>
    <w:p>
      <w:pPr>
        <w:pStyle w:val="null3"/>
        <w:ind w:firstLine="420"/>
        <w:jc w:val="both"/>
      </w:pPr>
      <w:r>
        <w:rPr>
          <w:rFonts w:ascii="&quot;arial&quot;, sans-serif" w:hAnsi="&quot;arial&quot;, sans-serif" w:cs="&quot;arial&quot;, sans-serif" w:eastAsia="&quot;arial&quot;, sans-serif"/>
          <w:sz w:val="21"/>
        </w:rPr>
        <w:t xml:space="preserve">9.1 </w:t>
      </w:r>
      <w:r>
        <w:rPr>
          <w:rFonts w:ascii="宋体" w:hAnsi="宋体" w:cs="宋体" w:eastAsia="宋体"/>
          <w:sz w:val="21"/>
        </w:rPr>
        <w:t>本合同计价单位为人民币。</w:t>
      </w:r>
    </w:p>
    <w:p>
      <w:pPr>
        <w:pStyle w:val="null3"/>
        <w:ind w:firstLine="420"/>
        <w:jc w:val="both"/>
      </w:pPr>
      <w:r>
        <w:rPr>
          <w:rFonts w:ascii="&quot;arial&quot;, sans-serif" w:hAnsi="&quot;arial&quot;, sans-serif" w:cs="&quot;arial&quot;, sans-serif" w:eastAsia="&quot;arial&quot;, sans-serif"/>
          <w:sz w:val="21"/>
        </w:rPr>
        <w:t xml:space="preserve">9.2 </w:t>
      </w:r>
      <w:r>
        <w:rPr>
          <w:rFonts w:ascii="宋体" w:hAnsi="宋体" w:cs="宋体" w:eastAsia="宋体"/>
          <w:sz w:val="21"/>
        </w:rPr>
        <w:t>本合同为固定总价合同，合同总额为：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，税率为：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，不含税金额为：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。税率随国家税收政策调整而变化，合同总金额随税率调整而变化。价格清单详见附件一。</w:t>
      </w:r>
    </w:p>
    <w:p>
      <w:pPr>
        <w:pStyle w:val="null3"/>
        <w:ind w:firstLine="420"/>
        <w:jc w:val="both"/>
      </w:pP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上述“合同金额”，已包含每批次国产及进口产品的全部价款、税费、包装、运输、装卸、安装、调试、技术、指导、培训、咨询、服务、检测、保险、商检等的一切手续费、验收合格交付使用之前以及技术和售后服务等等其他各项有关费用；甲方不再另向乙方支付本合同规定之外的任何费用。</w:t>
      </w:r>
    </w:p>
    <w:p>
      <w:pPr>
        <w:pStyle w:val="null3"/>
        <w:ind w:firstLine="420"/>
        <w:jc w:val="both"/>
      </w:pPr>
      <w:r>
        <w:rPr>
          <w:rFonts w:ascii="&quot;arial&quot;, sans-serif" w:hAnsi="&quot;arial&quot;, sans-serif" w:cs="&quot;arial&quot;, sans-serif" w:eastAsia="&quot;arial&quot;, sans-serif"/>
          <w:sz w:val="21"/>
        </w:rPr>
        <w:t>9.3</w:t>
      </w:r>
      <w:r>
        <w:rPr>
          <w:rFonts w:ascii="宋体" w:hAnsi="宋体" w:cs="宋体" w:eastAsia="宋体"/>
          <w:sz w:val="21"/>
        </w:rPr>
        <w:t>付款方式：</w:t>
      </w:r>
    </w:p>
    <w:p>
      <w:pPr>
        <w:pStyle w:val="null3"/>
        <w:ind w:firstLine="420"/>
        <w:jc w:val="both"/>
      </w:pPr>
      <w:r>
        <w:rPr>
          <w:rFonts w:ascii="&quot;arial&quot;, sans-serif" w:hAnsi="&quot;arial&quot;, sans-serif" w:cs="&quot;arial&quot;, sans-serif" w:eastAsia="&quot;arial&quot;, sans-serif"/>
          <w:sz w:val="21"/>
        </w:rPr>
        <w:t>1</w:t>
      </w:r>
      <w:r>
        <w:rPr>
          <w:rFonts w:ascii="宋体" w:hAnsi="宋体" w:cs="宋体" w:eastAsia="宋体"/>
          <w:sz w:val="21"/>
        </w:rPr>
        <w:t>、第一次付款：合同签订，设备到货加电并验收合格，双方签署设备到货验收报告和加电测试报告后，甲方收到乙方提交的正式增值税专用发票、设备到货验收报告、加电测试报告及付款申请后</w:t>
      </w:r>
      <w:r>
        <w:rPr>
          <w:rFonts w:ascii="&quot;arial&quot;, sans-serif" w:hAnsi="&quot;arial&quot;, sans-serif" w:cs="&quot;arial&quot;, sans-serif" w:eastAsia="&quot;arial&quot;, sans-serif"/>
          <w:sz w:val="21"/>
        </w:rPr>
        <w:t>10</w:t>
      </w:r>
      <w:r>
        <w:rPr>
          <w:rFonts w:ascii="宋体" w:hAnsi="宋体" w:cs="宋体" w:eastAsia="宋体"/>
          <w:sz w:val="21"/>
        </w:rPr>
        <w:t>个工作日内，向乙方支付</w:t>
      </w:r>
      <w:r>
        <w:rPr>
          <w:rFonts w:ascii="&quot;arial&quot;, sans-serif" w:hAnsi="&quot;arial&quot;, sans-serif" w:cs="&quot;arial&quot;, sans-serif" w:eastAsia="&quot;arial&quot;, sans-serif"/>
          <w:sz w:val="21"/>
        </w:rPr>
        <w:t>50%</w:t>
      </w:r>
      <w:r>
        <w:rPr>
          <w:rFonts w:ascii="宋体" w:hAnsi="宋体" w:cs="宋体" w:eastAsia="宋体"/>
          <w:sz w:val="21"/>
        </w:rPr>
        <w:t>的合同价款到乙方指定账号。第一次付款金额为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元（</w:t>
      </w:r>
      <w:r>
        <w:rPr>
          <w:rFonts w:ascii="&quot;arial&quot;, sans-serif" w:hAnsi="&quot;arial&quot;, sans-serif" w:cs="&quot;arial&quot;, sans-serif" w:eastAsia="&quot;arial&quot;, sans-serif"/>
          <w:sz w:val="21"/>
        </w:rPr>
        <w:t xml:space="preserve">¥    </w:t>
      </w:r>
      <w:r>
        <w:rPr>
          <w:rFonts w:ascii="宋体" w:hAnsi="宋体" w:cs="宋体" w:eastAsia="宋体"/>
          <w:sz w:val="21"/>
        </w:rPr>
        <w:t>元）。</w:t>
      </w:r>
    </w:p>
    <w:p>
      <w:pPr>
        <w:pStyle w:val="null3"/>
        <w:ind w:firstLine="420"/>
        <w:jc w:val="both"/>
      </w:pPr>
      <w:r>
        <w:rPr>
          <w:rFonts w:ascii="&quot;arial&quot;, sans-serif" w:hAnsi="&quot;arial&quot;, sans-serif" w:cs="&quot;arial&quot;, sans-serif" w:eastAsia="&quot;arial&quot;, sans-serif"/>
          <w:sz w:val="21"/>
        </w:rPr>
        <w:t>2</w:t>
      </w:r>
      <w:r>
        <w:rPr>
          <w:rFonts w:ascii="宋体" w:hAnsi="宋体" w:cs="宋体" w:eastAsia="宋体"/>
          <w:sz w:val="21"/>
        </w:rPr>
        <w:t>、第二次付款：终验合格，双方签署终验报告后，甲方收到乙方提交的正式增值税专用发票、初验报告、终验报告和付款申请后</w:t>
      </w:r>
      <w:r>
        <w:rPr>
          <w:rFonts w:ascii="&quot;arial&quot;, sans-serif" w:hAnsi="&quot;arial&quot;, sans-serif" w:cs="&quot;arial&quot;, sans-serif" w:eastAsia="&quot;arial&quot;, sans-serif"/>
          <w:sz w:val="21"/>
        </w:rPr>
        <w:t>10</w:t>
      </w:r>
      <w:r>
        <w:rPr>
          <w:rFonts w:ascii="宋体" w:hAnsi="宋体" w:cs="宋体" w:eastAsia="宋体"/>
          <w:sz w:val="21"/>
        </w:rPr>
        <w:t>个工作日内，向乙方支付</w:t>
      </w:r>
      <w:r>
        <w:rPr>
          <w:rFonts w:ascii="&quot;arial&quot;, sans-serif" w:hAnsi="&quot;arial&quot;, sans-serif" w:cs="&quot;arial&quot;, sans-serif" w:eastAsia="&quot;arial&quot;, sans-serif"/>
          <w:sz w:val="21"/>
        </w:rPr>
        <w:t>45%</w:t>
      </w:r>
      <w:r>
        <w:rPr>
          <w:rFonts w:ascii="宋体" w:hAnsi="宋体" w:cs="宋体" w:eastAsia="宋体"/>
          <w:sz w:val="21"/>
        </w:rPr>
        <w:t>的合同价款到乙方指定账号。第二次付款金额为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元（</w:t>
      </w:r>
      <w:r>
        <w:rPr>
          <w:rFonts w:ascii="&quot;arial&quot;, sans-serif" w:hAnsi="&quot;arial&quot;, sans-serif" w:cs="&quot;arial&quot;, sans-serif" w:eastAsia="&quot;arial&quot;, sans-serif"/>
          <w:sz w:val="21"/>
        </w:rPr>
        <w:t xml:space="preserve">¥    </w:t>
      </w:r>
      <w:r>
        <w:rPr>
          <w:rFonts w:ascii="宋体" w:hAnsi="宋体" w:cs="宋体" w:eastAsia="宋体"/>
          <w:sz w:val="21"/>
        </w:rPr>
        <w:t>元）。</w:t>
      </w:r>
    </w:p>
    <w:p>
      <w:pPr>
        <w:pStyle w:val="null3"/>
        <w:ind w:firstLine="420"/>
        <w:jc w:val="both"/>
      </w:pPr>
      <w:r>
        <w:rPr>
          <w:rFonts w:ascii="&quot;arial&quot;, sans-serif" w:hAnsi="&quot;arial&quot;, sans-serif" w:cs="&quot;arial&quot;, sans-serif" w:eastAsia="&quot;arial&quot;, sans-serif"/>
          <w:sz w:val="21"/>
        </w:rPr>
        <w:t>3</w:t>
      </w:r>
      <w:r>
        <w:rPr>
          <w:rFonts w:ascii="宋体" w:hAnsi="宋体" w:cs="宋体" w:eastAsia="宋体"/>
          <w:sz w:val="21"/>
        </w:rPr>
        <w:t>、第三次付款：终验合格后次日起满三年，双方签署质量保证期报告，甲方收到乙方提交的正式增值税专用发票、质量保证期报告及付款申请后</w:t>
      </w:r>
      <w:r>
        <w:rPr>
          <w:rFonts w:ascii="&quot;arial&quot;, sans-serif" w:hAnsi="&quot;arial&quot;, sans-serif" w:cs="&quot;arial&quot;, sans-serif" w:eastAsia="&quot;arial&quot;, sans-serif"/>
          <w:sz w:val="21"/>
        </w:rPr>
        <w:t>10</w:t>
      </w:r>
      <w:r>
        <w:rPr>
          <w:rFonts w:ascii="宋体" w:hAnsi="宋体" w:cs="宋体" w:eastAsia="宋体"/>
          <w:sz w:val="21"/>
        </w:rPr>
        <w:t>个工作日内，向乙方支付</w:t>
      </w:r>
      <w:r>
        <w:rPr>
          <w:rFonts w:ascii="&quot;arial&quot;, sans-serif" w:hAnsi="&quot;arial&quot;, sans-serif" w:cs="&quot;arial&quot;, sans-serif" w:eastAsia="&quot;arial&quot;, sans-serif"/>
          <w:sz w:val="21"/>
        </w:rPr>
        <w:t>5%</w:t>
      </w:r>
      <w:r>
        <w:rPr>
          <w:rFonts w:ascii="宋体" w:hAnsi="宋体" w:cs="宋体" w:eastAsia="宋体"/>
          <w:sz w:val="21"/>
        </w:rPr>
        <w:t>的合同价款到乙方指定账号。第三次付款金额为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元（</w:t>
      </w:r>
      <w:r>
        <w:rPr>
          <w:rFonts w:ascii="&quot;arial&quot;, sans-serif" w:hAnsi="&quot;arial&quot;, sans-serif" w:cs="&quot;arial&quot;, sans-serif" w:eastAsia="&quot;arial&quot;, sans-serif"/>
          <w:sz w:val="21"/>
        </w:rPr>
        <w:t xml:space="preserve">¥    </w:t>
      </w:r>
      <w:r>
        <w:rPr>
          <w:rFonts w:ascii="宋体" w:hAnsi="宋体" w:cs="宋体" w:eastAsia="宋体"/>
          <w:sz w:val="21"/>
        </w:rPr>
        <w:t>元）。</w:t>
      </w:r>
    </w:p>
    <w:p>
      <w:pPr>
        <w:pStyle w:val="null3"/>
        <w:ind w:firstLine="420"/>
        <w:jc w:val="both"/>
      </w:pPr>
      <w:r>
        <w:rPr>
          <w:rFonts w:ascii="&quot;arial&quot;, sans-serif" w:hAnsi="&quot;arial&quot;, sans-serif" w:cs="&quot;arial&quot;, sans-serif" w:eastAsia="&quot;arial&quot;, sans-serif"/>
          <w:sz w:val="21"/>
        </w:rPr>
        <w:t>9.4</w:t>
      </w:r>
      <w:r>
        <w:rPr>
          <w:rFonts w:ascii="宋体" w:hAnsi="宋体" w:cs="宋体" w:eastAsia="宋体"/>
          <w:sz w:val="21"/>
        </w:rPr>
        <w:t>甲方通过银行转账方式将合同款支付到乙方指定的、如下银行账户：</w:t>
      </w:r>
    </w:p>
    <w:p>
      <w:pPr>
        <w:pStyle w:val="null3"/>
        <w:ind w:firstLine="420"/>
        <w:jc w:val="both"/>
      </w:pPr>
      <w:r>
        <w:rPr>
          <w:rFonts w:ascii="宋体" w:hAnsi="宋体" w:cs="宋体" w:eastAsia="宋体"/>
          <w:sz w:val="21"/>
        </w:rPr>
        <w:t>开户行：　</w:t>
      </w:r>
    </w:p>
    <w:p>
      <w:pPr>
        <w:pStyle w:val="null3"/>
        <w:ind w:firstLine="420"/>
        <w:jc w:val="both"/>
      </w:pPr>
      <w:r>
        <w:rPr>
          <w:rFonts w:ascii="宋体" w:hAnsi="宋体" w:cs="宋体" w:eastAsia="宋体"/>
          <w:sz w:val="21"/>
        </w:rPr>
        <w:t>帐</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号：</w:t>
      </w:r>
    </w:p>
    <w:p>
      <w:pPr>
        <w:pStyle w:val="null3"/>
        <w:ind w:firstLine="420"/>
        <w:jc w:val="both"/>
      </w:pPr>
      <w:r>
        <w:rPr>
          <w:rFonts w:ascii="宋体" w:hAnsi="宋体" w:cs="宋体" w:eastAsia="宋体"/>
          <w:sz w:val="21"/>
        </w:rPr>
        <w:t>户</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名：</w:t>
      </w:r>
    </w:p>
    <w:p>
      <w:pPr>
        <w:pStyle w:val="null3"/>
        <w:ind w:firstLine="420"/>
        <w:jc w:val="both"/>
      </w:pPr>
      <w:r>
        <w:rPr>
          <w:rFonts w:ascii="宋体" w:hAnsi="宋体" w:cs="宋体" w:eastAsia="宋体"/>
          <w:sz w:val="21"/>
        </w:rPr>
        <w:t>乙方变更上述有关银行账户的任何信息，应以加盖公章的书面形式提前向甲方提出申请，否则乙方应自行承担由此产生的任何损失。</w:t>
      </w:r>
    </w:p>
    <w:p>
      <w:pPr>
        <w:pStyle w:val="null3"/>
        <w:ind w:firstLine="420"/>
        <w:jc w:val="both"/>
      </w:pPr>
      <w:r>
        <w:rPr>
          <w:rFonts w:ascii="&quot;arial&quot;, sans-serif" w:hAnsi="&quot;arial&quot;, sans-serif" w:cs="&quot;arial&quot;, sans-serif" w:eastAsia="&quot;arial&quot;, sans-serif"/>
          <w:sz w:val="21"/>
        </w:rPr>
        <w:t>9.5</w:t>
      </w:r>
      <w:r>
        <w:rPr>
          <w:rFonts w:ascii="宋体" w:hAnsi="宋体" w:cs="宋体" w:eastAsia="宋体"/>
          <w:sz w:val="21"/>
        </w:rPr>
        <w:t>甲方作为增值税一般纳税人，相关开票信息如下：</w:t>
      </w:r>
    </w:p>
    <w:p>
      <w:pPr>
        <w:pStyle w:val="null3"/>
        <w:ind w:firstLine="420"/>
        <w:jc w:val="both"/>
      </w:pPr>
      <w:r>
        <w:rPr>
          <w:rFonts w:ascii="宋体" w:hAnsi="宋体" w:cs="宋体" w:eastAsia="宋体"/>
          <w:sz w:val="21"/>
        </w:rPr>
        <w:t>单位名称：中国人民银行清算总中心</w:t>
      </w:r>
    </w:p>
    <w:p>
      <w:pPr>
        <w:pStyle w:val="null3"/>
        <w:ind w:firstLine="420"/>
        <w:jc w:val="both"/>
      </w:pPr>
      <w:r>
        <w:rPr>
          <w:rFonts w:ascii="宋体" w:hAnsi="宋体" w:cs="宋体" w:eastAsia="宋体"/>
          <w:sz w:val="21"/>
        </w:rPr>
        <w:t>纳税人识别号：</w:t>
      </w:r>
      <w:r>
        <w:rPr>
          <w:rFonts w:ascii="&quot;arial&quot;, sans-serif" w:hAnsi="&quot;arial&quot;, sans-serif" w:cs="&quot;arial&quot;, sans-serif" w:eastAsia="&quot;arial&quot;, sans-serif"/>
          <w:sz w:val="21"/>
        </w:rPr>
        <w:t>12100000400882225T</w:t>
      </w:r>
    </w:p>
    <w:p>
      <w:pPr>
        <w:pStyle w:val="null3"/>
        <w:ind w:firstLine="420"/>
        <w:jc w:val="both"/>
      </w:pPr>
      <w:r>
        <w:rPr>
          <w:rFonts w:ascii="宋体" w:hAnsi="宋体" w:cs="宋体" w:eastAsia="宋体"/>
          <w:sz w:val="21"/>
        </w:rPr>
        <w:t>开户银行：中国民生银行北京航天桥支行</w:t>
      </w:r>
    </w:p>
    <w:p>
      <w:pPr>
        <w:pStyle w:val="null3"/>
        <w:ind w:firstLine="420"/>
        <w:jc w:val="both"/>
      </w:pPr>
      <w:r>
        <w:rPr>
          <w:rFonts w:ascii="宋体" w:hAnsi="宋体" w:cs="宋体" w:eastAsia="宋体"/>
          <w:sz w:val="21"/>
        </w:rPr>
        <w:t>银行账号：</w:t>
      </w:r>
      <w:r>
        <w:rPr>
          <w:rFonts w:ascii="&quot;arial&quot;, sans-serif" w:hAnsi="&quot;arial&quot;, sans-serif" w:cs="&quot;arial&quot;, sans-serif" w:eastAsia="&quot;arial&quot;, sans-serif"/>
          <w:sz w:val="21"/>
        </w:rPr>
        <w:t>0142 0142 1000 0268</w:t>
      </w:r>
    </w:p>
    <w:p>
      <w:pPr>
        <w:pStyle w:val="null3"/>
        <w:ind w:firstLine="420"/>
        <w:jc w:val="both"/>
      </w:pPr>
      <w:r>
        <w:rPr>
          <w:rFonts w:ascii="宋体" w:hAnsi="宋体" w:cs="宋体" w:eastAsia="宋体"/>
          <w:sz w:val="21"/>
        </w:rPr>
        <w:t>地址：北京市海淀区阜成路</w:t>
      </w:r>
      <w:r>
        <w:rPr>
          <w:rFonts w:ascii="&quot;arial&quot;, sans-serif" w:hAnsi="&quot;arial&quot;, sans-serif" w:cs="&quot;arial&quot;, sans-serif" w:eastAsia="&quot;arial&quot;, sans-serif"/>
          <w:sz w:val="21"/>
        </w:rPr>
        <w:t>18</w:t>
      </w:r>
      <w:r>
        <w:rPr>
          <w:rFonts w:ascii="宋体" w:hAnsi="宋体" w:cs="宋体" w:eastAsia="宋体"/>
          <w:sz w:val="21"/>
        </w:rPr>
        <w:t>号华融大厦</w:t>
      </w:r>
      <w:r>
        <w:rPr>
          <w:rFonts w:ascii="&quot;arial&quot;, sans-serif" w:hAnsi="&quot;arial&quot;, sans-serif" w:cs="&quot;arial&quot;, sans-serif" w:eastAsia="&quot;arial&quot;, sans-serif"/>
          <w:sz w:val="21"/>
        </w:rPr>
        <w:t>1221</w:t>
      </w:r>
      <w:r>
        <w:rPr>
          <w:rFonts w:ascii="宋体" w:hAnsi="宋体" w:cs="宋体" w:eastAsia="宋体"/>
          <w:sz w:val="21"/>
        </w:rPr>
        <w:t>室</w:t>
      </w:r>
    </w:p>
    <w:p>
      <w:pPr>
        <w:pStyle w:val="null3"/>
        <w:ind w:firstLine="420"/>
        <w:jc w:val="both"/>
      </w:pPr>
      <w:r>
        <w:rPr>
          <w:rFonts w:ascii="宋体" w:hAnsi="宋体" w:cs="宋体" w:eastAsia="宋体"/>
          <w:sz w:val="21"/>
        </w:rPr>
        <w:t>电话：</w:t>
      </w:r>
      <w:r>
        <w:rPr>
          <w:rFonts w:ascii="&quot;arial&quot;, sans-serif" w:hAnsi="&quot;arial&quot;, sans-serif" w:cs="&quot;arial&quot;, sans-serif" w:eastAsia="&quot;arial&quot;, sans-serif"/>
          <w:sz w:val="21"/>
        </w:rPr>
        <w:t>010-68401627</w:t>
      </w:r>
    </w:p>
    <w:p>
      <w:pPr>
        <w:pStyle w:val="null3"/>
        <w:ind w:left="465"/>
      </w:pPr>
      <w:r>
        <w:rPr>
          <w:rFonts w:ascii="宋体" w:hAnsi="宋体" w:cs="宋体" w:eastAsia="宋体"/>
          <w:sz w:val="21"/>
          <w:b/>
        </w:rPr>
        <w:t>第十条</w:t>
      </w:r>
      <w:r>
        <w:rPr>
          <w:rFonts w:ascii="宋体" w:hAnsi="宋体" w:cs="宋体" w:eastAsia="宋体"/>
          <w:sz w:val="21"/>
          <w:b/>
        </w:rPr>
        <w:t>违约责任及不可抗力</w:t>
      </w:r>
    </w:p>
    <w:p>
      <w:pPr>
        <w:pStyle w:val="null3"/>
        <w:ind w:firstLine="420"/>
        <w:jc w:val="both"/>
      </w:pPr>
      <w:r>
        <w:rPr>
          <w:rFonts w:ascii="&quot;arial&quot;, sans-serif" w:hAnsi="&quot;arial&quot;, sans-serif" w:cs="&quot;arial&quot;, sans-serif" w:eastAsia="&quot;arial&quot;, sans-serif"/>
          <w:sz w:val="21"/>
        </w:rPr>
        <w:t>10.1</w:t>
      </w:r>
      <w:r>
        <w:rPr>
          <w:rFonts w:ascii="宋体" w:hAnsi="宋体" w:cs="宋体" w:eastAsia="宋体"/>
          <w:sz w:val="21"/>
        </w:rPr>
        <w:t>违约责任</w:t>
      </w:r>
    </w:p>
    <w:p>
      <w:pPr>
        <w:pStyle w:val="null3"/>
        <w:ind w:firstLine="420"/>
        <w:jc w:val="both"/>
      </w:pPr>
      <w:r>
        <w:rPr>
          <w:rFonts w:ascii="宋体" w:hAnsi="宋体" w:cs="宋体" w:eastAsia="宋体"/>
          <w:sz w:val="21"/>
        </w:rPr>
        <w:t>除本合同第</w:t>
      </w:r>
      <w:r>
        <w:rPr>
          <w:rFonts w:ascii="&quot;arial&quot;, sans-serif" w:hAnsi="&quot;arial&quot;, sans-serif" w:cs="&quot;arial&quot;, sans-serif" w:eastAsia="&quot;arial&quot;, sans-serif"/>
          <w:sz w:val="21"/>
        </w:rPr>
        <w:t>6.2</w:t>
      </w:r>
      <w:r>
        <w:rPr>
          <w:rFonts w:ascii="宋体" w:hAnsi="宋体" w:cs="宋体" w:eastAsia="宋体"/>
          <w:sz w:val="21"/>
        </w:rPr>
        <w:t>节不可抗力之原因外，若乙方不能按本合同约定的时间和质量提供产品及相关服务，则每逾期一周按本合同总金额的千分之五支付违约金（不足七日按七日计），但违约金总额不超过本合同总金额的</w:t>
      </w:r>
      <w:r>
        <w:rPr>
          <w:rFonts w:ascii="&quot;arial&quot;, sans-serif" w:hAnsi="&quot;arial&quot;, sans-serif" w:cs="&quot;arial&quot;, sans-serif" w:eastAsia="&quot;arial&quot;, sans-serif"/>
          <w:sz w:val="21"/>
        </w:rPr>
        <w:t>5%</w:t>
      </w:r>
      <w:r>
        <w:rPr>
          <w:rFonts w:ascii="宋体" w:hAnsi="宋体" w:cs="宋体" w:eastAsia="宋体"/>
          <w:sz w:val="21"/>
        </w:rPr>
        <w:t>。逾期超过一个月，甲方有权终止合同，要求乙方返还甲方已付的合同款并赔偿甲方因此遭受的一切损失。其他违约责任情形及罚则内容如下：</w:t>
      </w:r>
    </w:p>
    <w:tbl>
      <w:tblPr>
        <w:tblW w:w="0" w:type="auto"/>
        <w:tblBorders>
          <w:top w:val="none" w:color="000000" w:sz="4"/>
          <w:left w:val="none" w:color="000000" w:sz="4"/>
          <w:bottom w:val="none" w:color="000000" w:sz="4"/>
          <w:right w:val="none" w:color="000000" w:sz="4"/>
          <w:insideH w:val="none"/>
          <w:insideV w:val="none"/>
        </w:tblBorders>
      </w:tblPr>
      <w:tblGrid>
        <w:gridCol w:w="706"/>
        <w:gridCol w:w="1737"/>
        <w:gridCol w:w="5876"/>
      </w:tblGrid>
      <w:tr>
        <w:tc>
          <w:tcPr>
            <w:tcW w:type="dxa" w:w="706"/>
            <w:vMerge w:val="restart"/>
            <w:tcMar>
              <w:top w:type="dxa" w:w="0"/>
              <w:left w:type="dxa" w:w="105"/>
              <w:bottom w:type="dxa" w:w="0"/>
              <w:right w:type="dxa" w:w="105"/>
            </w:tcMar>
          </w:tcPr>
          <w:p>
            <w:pPr>
              <w:pStyle w:val="null3"/>
              <w:jc w:val="center"/>
            </w:pPr>
            <w:r>
              <w:rPr>
                <w:rFonts w:ascii="宋体" w:hAnsi="宋体" w:cs="宋体" w:eastAsia="宋体"/>
                <w:sz w:val="21"/>
              </w:rPr>
              <w:t>序号</w:t>
            </w:r>
          </w:p>
        </w:tc>
        <w:tc>
          <w:tcPr>
            <w:tcW w:type="dxa" w:w="7613"/>
            <w:gridSpan w:val="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违约罚则内容</w:t>
            </w:r>
          </w:p>
        </w:tc>
      </w:tr>
      <w:tr>
        <w:tc>
          <w:tcPr>
            <w:tcW w:type="dxa" w:w="706"/>
            <w:vMerge/>
          </w:tcP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项目</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违约及罚则</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1</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逾期交货罚则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投标人逾期交货，按合同总金额计算向买方赔偿违约金，货物每逾期一天交付，罚款合同总金额千分之五。</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2</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逾期集成罚则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投标人逾期集成，按合同总金额计算向买方赔偿违约金，每逾期一天，罚款合同总金额千分之五。</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3</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到货即损罚则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设备到货后，在初验过程中，如遇到设备开机不合格率高于百分之一，按照设备总价计算向买方赔偿违约金，每有一台故障设备，罚款设备总价的百分之五；如果开机不合格率高于百分之五，则甲方有权要求解除合同。</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4</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终验故障率罚则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设备初验后，在终验之前，如遇到设备故障率超过百分之三，按照设备总价计算向买方赔偿违约金，每有一台故障设备，罚款设备总价的百分之五；如故障率超过百分之五，则甲方有权要求解除合同。</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5</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设备质量罚则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设备完成终验后，在质保期内，如遇到设备故障率（计算方式为：设备故障数量（单位：台次）除以设备总数（单位：台）再除以计算时长（单位：年）），如遇到设备故障率（年）超过百分之十，按照设备总价计算向买方赔偿违约金，每有一台故障设备，罚款设备总价的百分之五。</w:t>
            </w:r>
          </w:p>
          <w:p>
            <w:pPr>
              <w:pStyle w:val="null3"/>
            </w:pPr>
            <w:r>
              <w:rPr>
                <w:rFonts w:ascii="宋体" w:hAnsi="宋体" w:cs="宋体" w:eastAsia="宋体"/>
                <w:sz w:val="21"/>
              </w:rPr>
              <w:t>在质保期内，网络设备出现故障总台次达到其供货量的</w:t>
            </w:r>
            <w:r>
              <w:rPr>
                <w:rFonts w:ascii="&quot;times new roman&quot;, serif" w:hAnsi="&quot;times new roman&quot;, serif" w:cs="&quot;times new roman&quot;, serif" w:eastAsia="&quot;times new roman&quot;, serif"/>
                <w:sz w:val="21"/>
              </w:rPr>
              <w:t>5%</w:t>
            </w:r>
            <w:r>
              <w:rPr>
                <w:rFonts w:ascii="宋体" w:hAnsi="宋体" w:cs="宋体" w:eastAsia="宋体"/>
                <w:sz w:val="21"/>
              </w:rPr>
              <w:t>，则其后每出现</w:t>
            </w:r>
            <w:r>
              <w:rPr>
                <w:rFonts w:ascii="&quot;times new roman&quot;, serif" w:hAnsi="&quot;times new roman&quot;, serif" w:cs="&quot;times new roman&quot;, serif" w:eastAsia="&quot;times new roman&quot;, serif"/>
                <w:sz w:val="21"/>
              </w:rPr>
              <w:t>10</w:t>
            </w:r>
            <w:r>
              <w:rPr>
                <w:rFonts w:ascii="宋体" w:hAnsi="宋体" w:cs="宋体" w:eastAsia="宋体"/>
                <w:sz w:val="21"/>
              </w:rPr>
              <w:t>台次故障，须在采购人现场额外提供一台备机，在保修期内，甲方有权使用备机，但备机所有权归乙方所有。且备机硬盘不予以返还。</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6</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无法按承诺供货的罚则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在合同期内，供应商无法按照合同交货时，按照合同总金额的</w:t>
            </w:r>
            <w:r>
              <w:rPr>
                <w:rFonts w:ascii="&quot;times new roman&quot;, serif" w:hAnsi="&quot;times new roman&quot;, serif" w:cs="&quot;times new roman&quot;, serif" w:eastAsia="&quot;times new roman&quot;, serif"/>
                <w:sz w:val="21"/>
              </w:rPr>
              <w:t>10%</w:t>
            </w:r>
            <w:r>
              <w:rPr>
                <w:rFonts w:ascii="宋体" w:hAnsi="宋体" w:cs="宋体" w:eastAsia="宋体"/>
                <w:sz w:val="21"/>
              </w:rPr>
              <w:t>向甲方赔偿违约金。</w:t>
            </w:r>
          </w:p>
        </w:tc>
      </w:tr>
      <w:tr>
        <w:tc>
          <w:tcPr>
            <w:tcW w:type="dxa" w:w="706"/>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7</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服务团队稳定性罚则</w:t>
            </w:r>
          </w:p>
        </w:tc>
        <w:tc>
          <w:tcPr>
            <w:tcW w:type="dxa" w:w="5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sz w:val="21"/>
              </w:rPr>
              <w:t>乙方应保证原厂及乙方服务团队成员资质均符合要求，并尽量保证其服务团队的稳定性，未经甲方事先书面同意，不得擅自更换服务团队成员、项目经理员。若违反上述约定，每发生一次，乙方应向甲方支付违约金</w:t>
            </w:r>
            <w:r>
              <w:rPr>
                <w:rFonts w:ascii="&quot;times new roman&quot;, serif" w:hAnsi="&quot;times new roman&quot;, serif" w:cs="&quot;times new roman&quot;, serif" w:eastAsia="&quot;times new roman&quot;, serif"/>
                <w:sz w:val="21"/>
              </w:rPr>
              <w:t>5000</w:t>
            </w:r>
            <w:r>
              <w:rPr>
                <w:rFonts w:ascii="宋体" w:hAnsi="宋体" w:cs="宋体" w:eastAsia="宋体"/>
                <w:sz w:val="21"/>
              </w:rPr>
              <w:t>元，并在甲方要求的期限内完成整改。</w:t>
            </w:r>
          </w:p>
        </w:tc>
      </w:tr>
    </w:tbl>
    <w:p>
      <w:pPr>
        <w:pStyle w:val="null3"/>
        <w:ind w:firstLine="420"/>
        <w:jc w:val="both"/>
      </w:pPr>
      <w:r>
        <w:rPr>
          <w:rFonts w:ascii="&quot;arial&quot;, sans-serif" w:hAnsi="&quot;arial&quot;, sans-serif" w:cs="&quot;arial&quot;, sans-serif" w:eastAsia="&quot;arial&quot;, sans-serif"/>
          <w:sz w:val="21"/>
        </w:rPr>
        <w:t>10.2</w:t>
      </w:r>
      <w:r>
        <w:rPr>
          <w:rFonts w:ascii="宋体" w:hAnsi="宋体" w:cs="宋体" w:eastAsia="宋体"/>
          <w:sz w:val="21"/>
        </w:rPr>
        <w:t>不可抗力</w:t>
      </w:r>
    </w:p>
    <w:p>
      <w:pPr>
        <w:pStyle w:val="null3"/>
        <w:ind w:firstLine="420"/>
        <w:jc w:val="both"/>
      </w:pPr>
      <w:r>
        <w:rPr>
          <w:rFonts w:ascii="宋体" w:hAnsi="宋体" w:cs="宋体" w:eastAsia="宋体"/>
          <w:sz w:val="21"/>
        </w:rPr>
        <w:t>不可抗力事件系指不能预见、不能避免且不能克服的客观情况。</w:t>
      </w:r>
    </w:p>
    <w:p>
      <w:pPr>
        <w:pStyle w:val="null3"/>
        <w:ind w:firstLine="420"/>
        <w:jc w:val="both"/>
      </w:pPr>
      <w:r>
        <w:rPr>
          <w:rFonts w:ascii="&quot;arial&quot;, sans-serif" w:hAnsi="&quot;arial&quot;, sans-serif" w:cs="&quot;arial&quot;, sans-serif" w:eastAsia="&quot;arial&quot;, sans-serif"/>
          <w:sz w:val="21"/>
        </w:rPr>
        <w:t xml:space="preserve">10.2.1 </w:t>
      </w:r>
      <w:r>
        <w:rPr>
          <w:rFonts w:ascii="宋体" w:hAnsi="宋体" w:cs="宋体" w:eastAsia="宋体"/>
          <w:sz w:val="21"/>
        </w:rPr>
        <w:t>合同签订后，任何一方由于台风、水灾、地震、战争、重大疫情等不可抗力事件而影响本合同履行，应在不可抗力发生后</w:t>
      </w:r>
      <w:r>
        <w:rPr>
          <w:rFonts w:ascii="&quot;arial&quot;, sans-serif" w:hAnsi="&quot;arial&quot;, sans-serif" w:cs="&quot;arial&quot;, sans-serif" w:eastAsia="&quot;arial&quot;, sans-serif"/>
          <w:sz w:val="21"/>
        </w:rPr>
        <w:t>24</w:t>
      </w:r>
      <w:r>
        <w:rPr>
          <w:rFonts w:ascii="宋体" w:hAnsi="宋体" w:cs="宋体" w:eastAsia="宋体"/>
          <w:sz w:val="21"/>
        </w:rPr>
        <w:t>小时内将所发生的不可抗力事件及可能发生的后果通过电子邮件、特快专递等方式通知对方，并在合理期限内提供证明。不可抗力事件停止或消除后，遭受不可抗力的一方应在</w:t>
      </w:r>
      <w:r>
        <w:rPr>
          <w:rFonts w:ascii="&quot;arial&quot;, sans-serif" w:hAnsi="&quot;arial&quot;, sans-serif" w:cs="&quot;arial&quot;, sans-serif" w:eastAsia="&quot;arial&quot;, sans-serif"/>
          <w:sz w:val="21"/>
        </w:rPr>
        <w:t>48</w:t>
      </w:r>
      <w:r>
        <w:rPr>
          <w:rFonts w:ascii="宋体" w:hAnsi="宋体" w:cs="宋体" w:eastAsia="宋体"/>
          <w:sz w:val="21"/>
        </w:rPr>
        <w:t>小时内以书面形式通知合同相对方。</w:t>
      </w:r>
    </w:p>
    <w:p>
      <w:pPr>
        <w:pStyle w:val="null3"/>
        <w:ind w:firstLine="420"/>
        <w:jc w:val="both"/>
      </w:pPr>
      <w:r>
        <w:rPr>
          <w:rFonts w:ascii="宋体" w:hAnsi="宋体" w:cs="宋体" w:eastAsia="宋体"/>
          <w:sz w:val="21"/>
        </w:rPr>
        <w:t>除非迟延履行后发生不可抗力，受不可抗力影响的一方可根据不可抗力的影响部分或全部免除责任。</w:t>
      </w:r>
    </w:p>
    <w:p>
      <w:pPr>
        <w:pStyle w:val="null3"/>
        <w:ind w:firstLine="420"/>
        <w:jc w:val="both"/>
      </w:pPr>
      <w:r>
        <w:rPr>
          <w:rFonts w:ascii="&quot;arial&quot;, sans-serif" w:hAnsi="&quot;arial&quot;, sans-serif" w:cs="&quot;arial&quot;, sans-serif" w:eastAsia="&quot;arial&quot;, sans-serif"/>
          <w:sz w:val="21"/>
        </w:rPr>
        <w:t xml:space="preserve">10.2.2 </w:t>
      </w:r>
      <w:r>
        <w:rPr>
          <w:rFonts w:ascii="宋体" w:hAnsi="宋体" w:cs="宋体" w:eastAsia="宋体"/>
          <w:sz w:val="21"/>
        </w:rPr>
        <w:t>不可抗力事件发生后，经双方协商一致，可延长合同履行期限。合同履行延长的期限应为不可抗力事件对履行合同造成影响的期限。</w:t>
      </w:r>
    </w:p>
    <w:p>
      <w:pPr>
        <w:pStyle w:val="null3"/>
        <w:ind w:firstLine="420"/>
        <w:jc w:val="both"/>
      </w:pPr>
      <w:r>
        <w:rPr>
          <w:rFonts w:ascii="&quot;arial&quot;, sans-serif" w:hAnsi="&quot;arial&quot;, sans-serif" w:cs="&quot;arial&quot;, sans-serif" w:eastAsia="&quot;arial&quot;, sans-serif"/>
          <w:sz w:val="21"/>
        </w:rPr>
        <w:t xml:space="preserve">10.2.3 </w:t>
      </w:r>
      <w:r>
        <w:rPr>
          <w:rFonts w:ascii="宋体" w:hAnsi="宋体" w:cs="宋体" w:eastAsia="宋体"/>
          <w:sz w:val="21"/>
        </w:rPr>
        <w:t>不可抗力事件发生后，受不可抗力影响的一方应采取补救措施减少对合同相对方造成的损失，如未能履行此义务，应对因此而扩大的损失承担责任。</w:t>
      </w:r>
    </w:p>
    <w:p>
      <w:pPr>
        <w:pStyle w:val="null3"/>
        <w:ind w:firstLine="420"/>
        <w:jc w:val="both"/>
      </w:pPr>
      <w:r>
        <w:rPr>
          <w:rFonts w:ascii="&quot;arial&quot;, sans-serif" w:hAnsi="&quot;arial&quot;, sans-serif" w:cs="&quot;arial&quot;, sans-serif" w:eastAsia="&quot;arial&quot;, sans-serif"/>
          <w:sz w:val="21"/>
        </w:rPr>
        <w:t xml:space="preserve">10.2.4 </w:t>
      </w:r>
      <w:r>
        <w:rPr>
          <w:rFonts w:ascii="宋体" w:hAnsi="宋体" w:cs="宋体" w:eastAsia="宋体"/>
          <w:sz w:val="21"/>
        </w:rPr>
        <w:t>因乙方遭受不可抗力致使合同继续履行已无意义的，甲方有权以书面方式通知乙方解除合同，且无须为行使</w:t>
      </w:r>
      <w:r>
        <w:rPr>
          <w:rFonts w:ascii="宋体" w:hAnsi="宋体" w:cs="宋体" w:eastAsia="宋体"/>
          <w:sz w:val="21"/>
        </w:rPr>
        <w:t>本条约定的解除权向乙方承担任何违约责任。若甲方选择不解除合同，当不可抗力事件的影响持续</w:t>
      </w:r>
      <w:r>
        <w:rPr>
          <w:rFonts w:ascii="&quot;times new roman&quot;, serif" w:hAnsi="&quot;times new roman&quot;, serif" w:cs="&quot;times new roman&quot;, serif" w:eastAsia="&quot;times new roman&quot;, serif"/>
          <w:sz w:val="21"/>
        </w:rPr>
        <w:t>30</w:t>
      </w:r>
      <w:r>
        <w:rPr>
          <w:rFonts w:ascii="宋体" w:hAnsi="宋体" w:cs="宋体" w:eastAsia="宋体"/>
          <w:sz w:val="21"/>
        </w:rPr>
        <w:t>天以上时，双方应通过友好协商的方式尽快达成进一步履行、变更或终止合同的协议。</w:t>
      </w:r>
    </w:p>
    <w:p>
      <w:pPr>
        <w:pStyle w:val="null3"/>
        <w:ind w:firstLine="420"/>
        <w:jc w:val="both"/>
      </w:pPr>
      <w:r>
        <w:rPr>
          <w:rFonts w:ascii="&quot;arial&quot;, sans-serif" w:hAnsi="&quot;arial&quot;, sans-serif" w:cs="&quot;arial&quot;, sans-serif" w:eastAsia="&quot;arial&quot;, sans-serif"/>
          <w:sz w:val="21"/>
        </w:rPr>
        <w:t xml:space="preserve">10.3 </w:t>
      </w:r>
      <w:r>
        <w:rPr>
          <w:rFonts w:ascii="宋体" w:hAnsi="宋体" w:cs="宋体" w:eastAsia="宋体"/>
          <w:sz w:val="21"/>
        </w:rPr>
        <w:t>损失的定义</w:t>
      </w:r>
    </w:p>
    <w:p>
      <w:pPr>
        <w:pStyle w:val="null3"/>
        <w:ind w:firstLine="420"/>
        <w:jc w:val="both"/>
      </w:pPr>
      <w:r>
        <w:rPr>
          <w:rFonts w:ascii="宋体" w:hAnsi="宋体" w:cs="宋体" w:eastAsia="宋体"/>
          <w:sz w:val="21"/>
        </w:rPr>
        <w:t>本合同所称损失是指合同一方因与另一方缔结合同、调查乙方违约行为、由专业机构评估损失、采取补救措施等而支出的所有费用，包括但不限于一方先期经济投入、直接财产损失、向违约方及有关单位追索而发生的诉讼费、仲裁费、执行费、保全费、律师费、差旅费及合同履行后可得利益等费用。</w:t>
      </w:r>
    </w:p>
    <w:p>
      <w:pPr>
        <w:pStyle w:val="null3"/>
        <w:ind w:firstLine="420"/>
        <w:jc w:val="both"/>
      </w:pPr>
      <w:r>
        <w:rPr>
          <w:rFonts w:ascii="宋体" w:hAnsi="宋体" w:cs="宋体" w:eastAsia="宋体"/>
          <w:sz w:val="21"/>
          <w:b/>
        </w:rPr>
        <w:t>第十一条</w:t>
      </w:r>
      <w:r>
        <w:rPr>
          <w:rFonts w:ascii="宋体" w:hAnsi="宋体" w:cs="宋体" w:eastAsia="宋体"/>
          <w:sz w:val="21"/>
          <w:b/>
        </w:rPr>
        <w:t>通知与送达</w:t>
      </w:r>
    </w:p>
    <w:p>
      <w:pPr>
        <w:pStyle w:val="null3"/>
        <w:ind w:firstLine="420"/>
      </w:pPr>
      <w:r>
        <w:rPr>
          <w:rFonts w:ascii="&quot;arial&quot;, sans-serif" w:hAnsi="&quot;arial&quot;, sans-serif" w:cs="&quot;arial&quot;, sans-serif" w:eastAsia="&quot;arial&quot;, sans-serif"/>
          <w:sz w:val="21"/>
        </w:rPr>
        <w:t>11.1</w:t>
      </w:r>
      <w:r>
        <w:rPr>
          <w:rFonts w:ascii="宋体" w:hAnsi="宋体" w:cs="宋体" w:eastAsia="宋体"/>
          <w:sz w:val="21"/>
        </w:rPr>
        <w:t>甲、乙双方同意，本合同中注明的联系地址和联系方式均为真实、有效的，以确保甲、乙双方能保持及时有效的联络。甲、乙双方确认该地址为相关法律文书送达的地址，采用邮寄方式的，一经签收，视为已送达；采用电子邮件方式的，一经发出，视为送达。若因提供的联系地址或方式有误，造成双方在无法保持联络通畅的，由此造成的损失及法律责任，由不实信息提供方承担。</w:t>
      </w:r>
    </w:p>
    <w:p>
      <w:pPr>
        <w:pStyle w:val="null3"/>
      </w:pPr>
      <w:r>
        <w:rPr>
          <w:rFonts w:ascii="宋体" w:hAnsi="宋体" w:cs="宋体" w:eastAsia="宋体"/>
          <w:sz w:val="21"/>
          <w:b/>
        </w:rPr>
        <w:t>第十二条</w:t>
      </w:r>
      <w:r>
        <w:rPr>
          <w:rFonts w:ascii="宋体" w:hAnsi="宋体" w:cs="宋体" w:eastAsia="宋体"/>
          <w:sz w:val="21"/>
          <w:b/>
        </w:rPr>
        <w:t>争议</w:t>
      </w:r>
      <w:r>
        <w:rPr>
          <w:rFonts w:ascii="宋体" w:hAnsi="宋体" w:cs="宋体" w:eastAsia="宋体"/>
          <w:sz w:val="21"/>
          <w:b/>
        </w:rPr>
        <w:t>解决</w:t>
      </w:r>
    </w:p>
    <w:p>
      <w:pPr>
        <w:pStyle w:val="null3"/>
        <w:ind w:firstLine="420"/>
      </w:pPr>
      <w:r>
        <w:rPr>
          <w:rFonts w:ascii="&quot;arial&quot;, sans-serif" w:hAnsi="&quot;arial&quot;, sans-serif" w:cs="&quot;arial&quot;, sans-serif" w:eastAsia="&quot;arial&quot;, sans-serif"/>
          <w:sz w:val="21"/>
        </w:rPr>
        <w:t>12.1</w:t>
      </w:r>
      <w:r>
        <w:rPr>
          <w:rFonts w:ascii="宋体" w:hAnsi="宋体" w:cs="宋体" w:eastAsia="宋体"/>
          <w:sz w:val="21"/>
        </w:rPr>
        <w:t>双方应尽最大努力友好协商解决与合同或合同执行有关的任何争议。如果未能友好解决，双方可向北京仲裁委员会申请仲裁，仲裁地点在北京。</w:t>
      </w:r>
    </w:p>
    <w:p>
      <w:pPr>
        <w:pStyle w:val="null3"/>
        <w:ind w:firstLine="420"/>
      </w:pPr>
      <w:r>
        <w:rPr>
          <w:rFonts w:ascii="&quot;arial&quot;, sans-serif" w:hAnsi="&quot;arial&quot;, sans-serif" w:cs="&quot;arial&quot;, sans-serif" w:eastAsia="&quot;arial&quot;, sans-serif"/>
          <w:sz w:val="21"/>
        </w:rPr>
        <w:t>12.2</w:t>
      </w:r>
      <w:r>
        <w:rPr>
          <w:rFonts w:ascii="宋体" w:hAnsi="宋体" w:cs="宋体" w:eastAsia="宋体"/>
          <w:sz w:val="21"/>
        </w:rPr>
        <w:t>仲裁裁决是终局裁决，对双方均有约束力。除非仲裁庭另有规定，仲裁费用由仲裁败诉一方承担。</w:t>
      </w:r>
    </w:p>
    <w:p>
      <w:pPr>
        <w:pStyle w:val="null3"/>
      </w:pPr>
      <w:r>
        <w:rPr>
          <w:rFonts w:ascii="宋体" w:hAnsi="宋体" w:cs="宋体" w:eastAsia="宋体"/>
          <w:sz w:val="21"/>
          <w:b/>
        </w:rPr>
        <w:t>第十三条</w:t>
      </w:r>
      <w:r>
        <w:rPr>
          <w:rFonts w:ascii="宋体" w:hAnsi="宋体" w:cs="宋体" w:eastAsia="宋体"/>
          <w:sz w:val="21"/>
          <w:b/>
        </w:rPr>
        <w:t>合同的生效、解除和终止</w:t>
      </w:r>
    </w:p>
    <w:p>
      <w:pPr>
        <w:pStyle w:val="null3"/>
        <w:ind w:firstLine="420"/>
      </w:pPr>
      <w:r>
        <w:rPr>
          <w:rFonts w:ascii="&quot;arial&quot;, sans-serif" w:hAnsi="&quot;arial&quot;, sans-serif" w:cs="&quot;arial&quot;, sans-serif" w:eastAsia="&quot;arial&quot;, sans-serif"/>
          <w:sz w:val="21"/>
        </w:rPr>
        <w:t xml:space="preserve">13.1 </w:t>
      </w:r>
      <w:r>
        <w:rPr>
          <w:rFonts w:ascii="宋体" w:hAnsi="宋体" w:cs="宋体" w:eastAsia="宋体"/>
          <w:sz w:val="21"/>
        </w:rPr>
        <w:t>本合同经双方法定代表人或者授权代表签字，并加盖合同章或公章后生效。合同有效期为自合同生效之日至合同约定的权利义务均履行完毕之日。</w:t>
      </w:r>
    </w:p>
    <w:p>
      <w:pPr>
        <w:pStyle w:val="null3"/>
        <w:ind w:firstLine="420"/>
      </w:pPr>
      <w:r>
        <w:rPr>
          <w:rFonts w:ascii="&quot;arial&quot;, sans-serif" w:hAnsi="&quot;arial&quot;, sans-serif" w:cs="&quot;arial&quot;, sans-serif" w:eastAsia="&quot;arial&quot;, sans-serif"/>
          <w:sz w:val="21"/>
        </w:rPr>
        <w:t xml:space="preserve">13.2 </w:t>
      </w:r>
      <w:r>
        <w:rPr>
          <w:rFonts w:ascii="宋体" w:hAnsi="宋体" w:cs="宋体" w:eastAsia="宋体"/>
          <w:sz w:val="21"/>
        </w:rPr>
        <w:t>合同生效后，任何一方不得擅自解除本合同，除非发生以下情况之一：</w:t>
      </w:r>
    </w:p>
    <w:p>
      <w:pPr>
        <w:pStyle w:val="null3"/>
        <w:ind w:firstLine="420"/>
      </w:pPr>
      <w:r>
        <w:rPr>
          <w:rFonts w:ascii="&quot;arial&quot;, sans-serif" w:hAnsi="&quot;arial&quot;, sans-serif" w:cs="&quot;arial&quot;, sans-serif" w:eastAsia="&quot;arial&quot;, sans-serif"/>
          <w:sz w:val="21"/>
        </w:rPr>
        <w:t xml:space="preserve">13.2.1 </w:t>
      </w:r>
      <w:r>
        <w:rPr>
          <w:rFonts w:ascii="宋体" w:hAnsi="宋体" w:cs="宋体" w:eastAsia="宋体"/>
          <w:sz w:val="21"/>
        </w:rPr>
        <w:t>双方协商一致同意提前解除合同的；</w:t>
      </w:r>
    </w:p>
    <w:p>
      <w:pPr>
        <w:pStyle w:val="null3"/>
        <w:ind w:firstLine="420"/>
      </w:pPr>
      <w:r>
        <w:rPr>
          <w:rFonts w:ascii="&quot;arial&quot;, sans-serif" w:hAnsi="&quot;arial&quot;, sans-serif" w:cs="&quot;arial&quot;, sans-serif" w:eastAsia="&quot;arial&quot;, sans-serif"/>
          <w:sz w:val="21"/>
        </w:rPr>
        <w:t xml:space="preserve">13.2.2 </w:t>
      </w:r>
      <w:r>
        <w:rPr>
          <w:rFonts w:ascii="宋体" w:hAnsi="宋体" w:cs="宋体" w:eastAsia="宋体"/>
          <w:sz w:val="21"/>
        </w:rPr>
        <w:t>按法院判决或者仲裁机构的裁决，合同被解除或终止的；</w:t>
      </w:r>
    </w:p>
    <w:p>
      <w:pPr>
        <w:pStyle w:val="null3"/>
        <w:ind w:firstLine="420"/>
      </w:pPr>
      <w:r>
        <w:rPr>
          <w:rFonts w:ascii="&quot;arial&quot;, sans-serif" w:hAnsi="&quot;arial&quot;, sans-serif" w:cs="&quot;arial&quot;, sans-serif" w:eastAsia="&quot;arial&quot;, sans-serif"/>
          <w:sz w:val="21"/>
        </w:rPr>
        <w:t xml:space="preserve">13.2.3 </w:t>
      </w:r>
      <w:r>
        <w:rPr>
          <w:rFonts w:ascii="宋体" w:hAnsi="宋体" w:cs="宋体" w:eastAsia="宋体"/>
          <w:sz w:val="21"/>
        </w:rPr>
        <w:t>发生不可抗力，继续履行不能实现合同目的的；</w:t>
      </w:r>
    </w:p>
    <w:p>
      <w:pPr>
        <w:pStyle w:val="null3"/>
        <w:ind w:firstLine="420"/>
      </w:pPr>
      <w:r>
        <w:rPr>
          <w:rFonts w:ascii="&quot;arial&quot;, sans-serif" w:hAnsi="&quot;arial&quot;, sans-serif" w:cs="&quot;arial&quot;, sans-serif" w:eastAsia="&quot;arial&quot;, sans-serif"/>
          <w:sz w:val="21"/>
        </w:rPr>
        <w:t xml:space="preserve">13.2.4 </w:t>
      </w:r>
      <w:r>
        <w:rPr>
          <w:rFonts w:ascii="宋体" w:hAnsi="宋体" w:cs="宋体" w:eastAsia="宋体"/>
          <w:sz w:val="21"/>
        </w:rPr>
        <w:t>一方未能按照合同的约定履行义务，致使合同相对方无法实现合同目的，或出现本合同违约条款等条款约定的可以解除合同的情形，自解除合同的通知到达合同相对方后解除，该解除不影响甲乙双方已采取或将采取补救措施的权利；</w:t>
      </w:r>
    </w:p>
    <w:p>
      <w:pPr>
        <w:pStyle w:val="null3"/>
        <w:ind w:firstLine="420"/>
      </w:pPr>
      <w:r>
        <w:rPr>
          <w:rFonts w:ascii="&quot;arial&quot;, sans-serif" w:hAnsi="&quot;arial&quot;, sans-serif" w:cs="&quot;arial&quot;, sans-serif" w:eastAsia="&quot;arial&quot;, sans-serif"/>
          <w:sz w:val="21"/>
        </w:rPr>
        <w:t xml:space="preserve">13.2.5 </w:t>
      </w:r>
      <w:r>
        <w:rPr>
          <w:rFonts w:ascii="宋体" w:hAnsi="宋体" w:cs="宋体" w:eastAsia="宋体"/>
          <w:sz w:val="21"/>
        </w:rPr>
        <w:t>当乙方无供货能力、经营状况恶化、破产，或发生其他与前述情形相当的、甲方继续履行合同可能遭受损失的情形时，甲方可以在任何时候以书面形式通知乙方解除合同，自解除合同的通知到达乙方后合同自然解除，并且该解除不影响甲乙双方已采取或将采取补救措施的权利。</w:t>
      </w:r>
    </w:p>
    <w:p>
      <w:pPr>
        <w:pStyle w:val="null3"/>
        <w:ind w:firstLine="420"/>
      </w:pPr>
      <w:r>
        <w:rPr>
          <w:rFonts w:ascii="&quot;arial&quot;, sans-serif" w:hAnsi="&quot;arial&quot;, sans-serif" w:cs="&quot;arial&quot;, sans-serif" w:eastAsia="&quot;arial&quot;, sans-serif"/>
          <w:sz w:val="21"/>
        </w:rPr>
        <w:t xml:space="preserve">13.3 </w:t>
      </w:r>
      <w:r>
        <w:rPr>
          <w:rFonts w:ascii="宋体" w:hAnsi="宋体" w:cs="宋体" w:eastAsia="宋体"/>
          <w:sz w:val="21"/>
        </w:rPr>
        <w:t>本合同的补充或变更须经双方协商一致后，采用书面形式签订本合同的补充或变更协议，补充或变更协议经双方法定代表人或授权代表签字并加盖合同专用章或公章后生效。</w:t>
      </w:r>
    </w:p>
    <w:p>
      <w:pPr>
        <w:pStyle w:val="null3"/>
        <w:ind w:firstLine="420"/>
      </w:pPr>
      <w:r>
        <w:rPr>
          <w:rFonts w:ascii="&quot;arial&quot;, sans-serif" w:hAnsi="&quot;arial&quot;, sans-serif" w:cs="&quot;arial&quot;, sans-serif" w:eastAsia="&quot;arial&quot;, sans-serif"/>
          <w:sz w:val="21"/>
        </w:rPr>
        <w:t xml:space="preserve">13.4 </w:t>
      </w:r>
      <w:r>
        <w:rPr>
          <w:rFonts w:ascii="宋体" w:hAnsi="宋体" w:cs="宋体" w:eastAsia="宋体"/>
          <w:sz w:val="21"/>
        </w:rPr>
        <w:t>如果本合同部分条款依据现行法律法规被认为是无效，或者部分条款与法律法规相冲突、失去履行可能性，双方同意该部分无效或者无法履行的条款不影响本合同其他条款效力；同时合同双方应尽快协商一致，依据现行法律、法规对该部分无效或者无法履行的条款进行调整使其依法成为有效条款，并尽量符合本合同订立所体现的原则和精神。</w:t>
      </w:r>
    </w:p>
    <w:p>
      <w:pPr>
        <w:pStyle w:val="null3"/>
        <w:spacing w:after="120"/>
      </w:pPr>
      <w:r>
        <w:rPr>
          <w:rFonts w:ascii="宋体" w:hAnsi="宋体" w:cs="宋体" w:eastAsia="宋体"/>
          <w:sz w:val="21"/>
          <w:b/>
        </w:rPr>
        <w:t>第十四条</w:t>
      </w:r>
      <w:r>
        <w:rPr>
          <w:rFonts w:ascii="宋体" w:hAnsi="宋体" w:cs="宋体" w:eastAsia="宋体"/>
          <w:sz w:val="21"/>
          <w:b/>
        </w:rPr>
        <w:t>其它</w:t>
      </w:r>
    </w:p>
    <w:p>
      <w:pPr>
        <w:pStyle w:val="null3"/>
        <w:ind w:firstLine="420"/>
        <w:jc w:val="both"/>
      </w:pPr>
      <w:r>
        <w:rPr>
          <w:rFonts w:ascii="&quot;arial&quot;, sans-serif" w:hAnsi="&quot;arial&quot;, sans-serif" w:cs="&quot;arial&quot;, sans-serif" w:eastAsia="&quot;arial&quot;, sans-serif"/>
          <w:sz w:val="21"/>
        </w:rPr>
        <w:t xml:space="preserve">14.1 </w:t>
      </w:r>
      <w:r>
        <w:rPr>
          <w:rFonts w:ascii="宋体" w:hAnsi="宋体" w:cs="宋体" w:eastAsia="宋体"/>
          <w:sz w:val="21"/>
        </w:rPr>
        <w:t>本合同一式</w:t>
      </w:r>
      <w:r>
        <w:rPr>
          <w:rFonts w:ascii="宋体" w:hAnsi="宋体" w:cs="宋体" w:eastAsia="宋体"/>
          <w:sz w:val="21"/>
          <w:u w:val="single"/>
        </w:rPr>
        <w:t>陆</w:t>
      </w:r>
      <w:r>
        <w:rPr>
          <w:rFonts w:ascii="宋体" w:hAnsi="宋体" w:cs="宋体" w:eastAsia="宋体"/>
          <w:sz w:val="21"/>
        </w:rPr>
        <w:t>份，甲方执</w:t>
      </w:r>
      <w:r>
        <w:rPr>
          <w:rFonts w:ascii="宋体" w:hAnsi="宋体" w:cs="宋体" w:eastAsia="宋体"/>
          <w:sz w:val="21"/>
          <w:u w:val="single"/>
        </w:rPr>
        <w:t>肆</w:t>
      </w:r>
      <w:r>
        <w:rPr>
          <w:rFonts w:ascii="宋体" w:hAnsi="宋体" w:cs="宋体" w:eastAsia="宋体"/>
          <w:sz w:val="21"/>
        </w:rPr>
        <w:t>份，乙方执</w:t>
      </w:r>
      <w:r>
        <w:rPr>
          <w:rFonts w:ascii="宋体" w:hAnsi="宋体" w:cs="宋体" w:eastAsia="宋体"/>
          <w:sz w:val="21"/>
          <w:u w:val="single"/>
        </w:rPr>
        <w:t>贰</w:t>
      </w:r>
      <w:r>
        <w:rPr>
          <w:rFonts w:ascii="&quot;times new roman&quot;, serif" w:hAnsi="&quot;times new roman&quot;, serif" w:cs="&quot;times new roman&quot;, serif" w:eastAsia="&quot;times new roman&quot;, serif"/>
          <w:sz w:val="21"/>
          <w:u w:val="single"/>
        </w:rPr>
        <w:t xml:space="preserve">  </w:t>
      </w:r>
      <w:r>
        <w:rPr>
          <w:rFonts w:ascii="宋体" w:hAnsi="宋体" w:cs="宋体" w:eastAsia="宋体"/>
          <w:sz w:val="21"/>
        </w:rPr>
        <w:t>份，具同等法律效力。</w:t>
      </w:r>
    </w:p>
    <w:p>
      <w:pPr>
        <w:pStyle w:val="null3"/>
        <w:ind w:firstLine="420"/>
        <w:jc w:val="both"/>
      </w:pPr>
      <w:r>
        <w:rPr>
          <w:rFonts w:ascii="&quot;arial&quot;, sans-serif" w:hAnsi="&quot;arial&quot;, sans-serif" w:cs="&quot;arial&quot;, sans-serif" w:eastAsia="&quot;arial&quot;, sans-serif"/>
          <w:sz w:val="21"/>
        </w:rPr>
        <w:t xml:space="preserve">14.2 </w:t>
      </w:r>
      <w:r>
        <w:rPr>
          <w:rFonts w:ascii="宋体" w:hAnsi="宋体" w:cs="宋体" w:eastAsia="宋体"/>
          <w:sz w:val="21"/>
        </w:rPr>
        <w:t>本合同所称</w:t>
      </w:r>
      <w:r>
        <w:rPr>
          <w:rFonts w:ascii="&quot;arial&quot;, sans-serif" w:hAnsi="&quot;arial&quot;, sans-serif" w:cs="&quot;arial&quot;, sans-serif" w:eastAsia="&quot;arial&quot;, sans-serif"/>
          <w:sz w:val="21"/>
        </w:rPr>
        <w:t>“</w:t>
      </w:r>
      <w:r>
        <w:rPr>
          <w:rFonts w:ascii="宋体" w:hAnsi="宋体" w:cs="宋体" w:eastAsia="宋体"/>
          <w:sz w:val="21"/>
        </w:rPr>
        <w:t>以上</w:t>
      </w:r>
      <w:r>
        <w:rPr>
          <w:rFonts w:ascii="&quot;arial&quot;, sans-serif" w:hAnsi="&quot;arial&quot;, sans-serif" w:cs="&quot;arial&quot;, sans-serif" w:eastAsia="&quot;arial&quot;, sans-serif"/>
          <w:sz w:val="21"/>
        </w:rPr>
        <w:t>”“</w:t>
      </w:r>
      <w:r>
        <w:rPr>
          <w:rFonts w:ascii="宋体" w:hAnsi="宋体" w:cs="宋体" w:eastAsia="宋体"/>
          <w:sz w:val="21"/>
        </w:rPr>
        <w:t>以下</w:t>
      </w:r>
      <w:r>
        <w:rPr>
          <w:rFonts w:ascii="&quot;arial&quot;, sans-serif" w:hAnsi="&quot;arial&quot;, sans-serif" w:cs="&quot;arial&quot;, sans-serif" w:eastAsia="&quot;arial&quot;, sans-serif"/>
          <w:sz w:val="21"/>
        </w:rPr>
        <w:t>”“</w:t>
      </w:r>
      <w:r>
        <w:rPr>
          <w:rFonts w:ascii="宋体" w:hAnsi="宋体" w:cs="宋体" w:eastAsia="宋体"/>
          <w:sz w:val="21"/>
        </w:rPr>
        <w:t>以内</w:t>
      </w:r>
      <w:r>
        <w:rPr>
          <w:rFonts w:ascii="&quot;arial&quot;, sans-serif" w:hAnsi="&quot;arial&quot;, sans-serif" w:cs="&quot;arial&quot;, sans-serif" w:eastAsia="&quot;arial&quot;, sans-serif"/>
          <w:sz w:val="21"/>
        </w:rPr>
        <w:t>”“</w:t>
      </w:r>
      <w:r>
        <w:rPr>
          <w:rFonts w:ascii="宋体" w:hAnsi="宋体" w:cs="宋体" w:eastAsia="宋体"/>
          <w:sz w:val="21"/>
        </w:rPr>
        <w:t>届满</w:t>
      </w:r>
      <w:r>
        <w:rPr>
          <w:rFonts w:ascii="&quot;arial&quot;, sans-serif" w:hAnsi="&quot;arial&quot;, sans-serif" w:cs="&quot;arial&quot;, sans-serif" w:eastAsia="&quot;arial&quot;, sans-serif"/>
          <w:sz w:val="21"/>
        </w:rPr>
        <w:t>”</w:t>
      </w:r>
      <w:r>
        <w:rPr>
          <w:rFonts w:ascii="宋体" w:hAnsi="宋体" w:cs="宋体" w:eastAsia="宋体"/>
          <w:sz w:val="21"/>
        </w:rPr>
        <w:t>，包括本数，本合同所称</w:t>
      </w:r>
      <w:r>
        <w:rPr>
          <w:rFonts w:ascii="&quot;arial&quot;, sans-serif" w:hAnsi="&quot;arial&quot;, sans-serif" w:cs="&quot;arial&quot;, sans-serif" w:eastAsia="&quot;arial&quot;, sans-serif"/>
          <w:sz w:val="21"/>
        </w:rPr>
        <w:t>“</w:t>
      </w:r>
      <w:r>
        <w:rPr>
          <w:rFonts w:ascii="宋体" w:hAnsi="宋体" w:cs="宋体" w:eastAsia="宋体"/>
          <w:sz w:val="21"/>
        </w:rPr>
        <w:t>不满</w:t>
      </w:r>
      <w:r>
        <w:rPr>
          <w:rFonts w:ascii="&quot;arial&quot;, sans-serif" w:hAnsi="&quot;arial&quot;, sans-serif" w:cs="&quot;arial&quot;, sans-serif" w:eastAsia="&quot;arial&quot;, sans-serif"/>
          <w:sz w:val="21"/>
        </w:rPr>
        <w:t>”“</w:t>
      </w:r>
      <w:r>
        <w:rPr>
          <w:rFonts w:ascii="宋体" w:hAnsi="宋体" w:cs="宋体" w:eastAsia="宋体"/>
          <w:sz w:val="21"/>
        </w:rPr>
        <w:t>超过</w:t>
      </w:r>
      <w:r>
        <w:rPr>
          <w:rFonts w:ascii="&quot;arial&quot;, sans-serif" w:hAnsi="&quot;arial&quot;, sans-serif" w:cs="&quot;arial&quot;, sans-serif" w:eastAsia="&quot;arial&quot;, sans-serif"/>
          <w:sz w:val="21"/>
        </w:rPr>
        <w:t>”“</w:t>
      </w:r>
      <w:r>
        <w:rPr>
          <w:rFonts w:ascii="宋体" w:hAnsi="宋体" w:cs="宋体" w:eastAsia="宋体"/>
          <w:sz w:val="21"/>
        </w:rPr>
        <w:t>以外</w:t>
      </w:r>
      <w:r>
        <w:rPr>
          <w:rFonts w:ascii="&quot;arial&quot;, sans-serif" w:hAnsi="&quot;arial&quot;, sans-serif" w:cs="&quot;arial&quot;, sans-serif" w:eastAsia="&quot;arial&quot;, sans-serif"/>
          <w:sz w:val="21"/>
        </w:rPr>
        <w:t>”</w:t>
      </w:r>
      <w:r>
        <w:rPr>
          <w:rFonts w:ascii="宋体" w:hAnsi="宋体" w:cs="宋体" w:eastAsia="宋体"/>
          <w:sz w:val="21"/>
        </w:rPr>
        <w:t>，不包括本数。</w:t>
      </w:r>
    </w:p>
    <w:p>
      <w:pPr>
        <w:pStyle w:val="null3"/>
        <w:ind w:firstLine="420"/>
      </w:pPr>
      <w:r>
        <w:rPr>
          <w:rFonts w:ascii="&quot;arial&quot;, sans-serif" w:hAnsi="&quot;arial&quot;, sans-serif" w:cs="&quot;arial&quot;, sans-serif" w:eastAsia="&quot;arial&quot;, sans-serif"/>
          <w:sz w:val="21"/>
        </w:rPr>
        <w:t xml:space="preserve">14.3 </w:t>
      </w:r>
      <w:r>
        <w:rPr>
          <w:rFonts w:ascii="宋体" w:hAnsi="宋体" w:cs="宋体" w:eastAsia="宋体"/>
          <w:sz w:val="21"/>
        </w:rPr>
        <w:t>合同文件的组成及解释顺序如下：</w:t>
      </w:r>
    </w:p>
    <w:p>
      <w:pPr>
        <w:pStyle w:val="null3"/>
        <w:ind w:firstLine="420"/>
        <w:jc w:val="both"/>
      </w:pPr>
      <w:r>
        <w:rPr>
          <w:rFonts w:ascii="宋体" w:hAnsi="宋体" w:cs="宋体" w:eastAsia="宋体"/>
          <w:sz w:val="21"/>
        </w:rPr>
        <w:t>（</w:t>
      </w:r>
      <w:r>
        <w:rPr>
          <w:rFonts w:ascii="&quot;arial&quot;, sans-serif" w:hAnsi="&quot;arial&quot;, sans-serif" w:cs="&quot;arial&quot;, sans-serif" w:eastAsia="&quot;arial&quot;, sans-serif"/>
          <w:sz w:val="21"/>
        </w:rPr>
        <w:t>1</w:t>
      </w:r>
      <w:r>
        <w:rPr>
          <w:rFonts w:ascii="宋体" w:hAnsi="宋体" w:cs="宋体" w:eastAsia="宋体"/>
          <w:sz w:val="21"/>
        </w:rPr>
        <w:t>）签订在后的补充协议或其他具有法律效力的、经双方协商一致的往来文件；</w:t>
      </w:r>
    </w:p>
    <w:p>
      <w:pPr>
        <w:pStyle w:val="null3"/>
        <w:ind w:firstLine="420"/>
        <w:jc w:val="both"/>
      </w:pPr>
      <w:r>
        <w:rPr>
          <w:rFonts w:ascii="宋体" w:hAnsi="宋体" w:cs="宋体" w:eastAsia="宋体"/>
          <w:sz w:val="21"/>
        </w:rPr>
        <w:t>（</w:t>
      </w:r>
      <w:r>
        <w:rPr>
          <w:rFonts w:ascii="&quot;arial&quot;, sans-serif" w:hAnsi="&quot;arial&quot;, sans-serif" w:cs="&quot;arial&quot;, sans-serif" w:eastAsia="&quot;arial&quot;, sans-serif"/>
          <w:sz w:val="21"/>
        </w:rPr>
        <w:t>2</w:t>
      </w:r>
      <w:r>
        <w:rPr>
          <w:rFonts w:ascii="宋体" w:hAnsi="宋体" w:cs="宋体" w:eastAsia="宋体"/>
          <w:sz w:val="21"/>
        </w:rPr>
        <w:t>）合同正文；</w:t>
      </w:r>
    </w:p>
    <w:p>
      <w:pPr>
        <w:pStyle w:val="null3"/>
        <w:ind w:firstLine="420"/>
        <w:jc w:val="both"/>
      </w:pPr>
      <w:r>
        <w:rPr>
          <w:rFonts w:ascii="宋体" w:hAnsi="宋体" w:cs="宋体" w:eastAsia="宋体"/>
          <w:sz w:val="21"/>
        </w:rPr>
        <w:t>（</w:t>
      </w:r>
      <w:r>
        <w:rPr>
          <w:rFonts w:ascii="&quot;arial&quot;, sans-serif" w:hAnsi="&quot;arial&quot;, sans-serif" w:cs="&quot;arial&quot;, sans-serif" w:eastAsia="&quot;arial&quot;, sans-serif"/>
          <w:sz w:val="21"/>
        </w:rPr>
        <w:t>3</w:t>
      </w:r>
      <w:r>
        <w:rPr>
          <w:rFonts w:ascii="宋体" w:hAnsi="宋体" w:cs="宋体" w:eastAsia="宋体"/>
          <w:sz w:val="21"/>
        </w:rPr>
        <w:t>）合同附件；</w:t>
      </w:r>
    </w:p>
    <w:p>
      <w:pPr>
        <w:pStyle w:val="null3"/>
        <w:ind w:firstLine="420"/>
        <w:jc w:val="both"/>
      </w:pPr>
      <w:r>
        <w:rPr>
          <w:rFonts w:ascii="宋体" w:hAnsi="宋体" w:cs="宋体" w:eastAsia="宋体"/>
          <w:sz w:val="21"/>
        </w:rPr>
        <w:t>（</w:t>
      </w:r>
      <w:r>
        <w:rPr>
          <w:rFonts w:ascii="&quot;arial&quot;, sans-serif" w:hAnsi="&quot;arial&quot;, sans-serif" w:cs="&quot;arial&quot;, sans-serif" w:eastAsia="&quot;arial&quot;, sans-serif"/>
          <w:sz w:val="21"/>
        </w:rPr>
        <w:t>4</w:t>
      </w:r>
      <w:r>
        <w:rPr>
          <w:rFonts w:ascii="宋体" w:hAnsi="宋体" w:cs="宋体" w:eastAsia="宋体"/>
          <w:sz w:val="21"/>
        </w:rPr>
        <w:t>）</w:t>
      </w:r>
      <w:r>
        <w:rPr>
          <w:rFonts w:ascii="宋体" w:hAnsi="宋体" w:cs="宋体" w:eastAsia="宋体"/>
          <w:sz w:val="21"/>
          <w:u w:val="single"/>
        </w:rPr>
        <w:t>投标文件；</w:t>
      </w:r>
    </w:p>
    <w:p>
      <w:pPr>
        <w:pStyle w:val="null3"/>
        <w:ind w:firstLine="420"/>
        <w:jc w:val="both"/>
      </w:pPr>
      <w:r>
        <w:rPr>
          <w:rFonts w:ascii="宋体" w:hAnsi="宋体" w:cs="宋体" w:eastAsia="宋体"/>
          <w:sz w:val="21"/>
          <w:u w:val="single"/>
        </w:rPr>
        <w:t>（</w:t>
      </w:r>
      <w:r>
        <w:rPr>
          <w:rFonts w:ascii="&quot;arial&quot;, sans-serif" w:hAnsi="&quot;arial&quot;, sans-serif" w:cs="&quot;arial&quot;, sans-serif" w:eastAsia="&quot;arial&quot;, sans-serif"/>
          <w:sz w:val="21"/>
          <w:u w:val="single"/>
        </w:rPr>
        <w:t>5</w:t>
      </w:r>
      <w:r>
        <w:rPr>
          <w:rFonts w:ascii="宋体" w:hAnsi="宋体" w:cs="宋体" w:eastAsia="宋体"/>
          <w:sz w:val="21"/>
          <w:u w:val="single"/>
        </w:rPr>
        <w:t>）招标文件。</w:t>
      </w:r>
    </w:p>
    <w:p>
      <w:pPr>
        <w:pStyle w:val="null3"/>
        <w:ind w:firstLine="420"/>
        <w:jc w:val="both"/>
      </w:pPr>
      <w:r>
        <w:rPr>
          <w:rFonts w:ascii="&quot;arial&quot;, sans-serif" w:hAnsi="&quot;arial&quot;, sans-serif" w:cs="&quot;arial&quot;, sans-serif" w:eastAsia="&quot;arial&quot;, sans-serif"/>
          <w:sz w:val="21"/>
        </w:rPr>
        <w:t xml:space="preserve">14.4 </w:t>
      </w:r>
      <w:r>
        <w:rPr>
          <w:rFonts w:ascii="宋体" w:hAnsi="宋体" w:cs="宋体" w:eastAsia="宋体"/>
          <w:sz w:val="21"/>
        </w:rPr>
        <w:t>合同附件清单如下：</w:t>
      </w:r>
    </w:p>
    <w:p>
      <w:pPr>
        <w:pStyle w:val="null3"/>
        <w:ind w:firstLine="420"/>
        <w:jc w:val="both"/>
      </w:pPr>
      <w:r>
        <w:rPr>
          <w:rFonts w:ascii="宋体" w:hAnsi="宋体" w:cs="宋体" w:eastAsia="宋体"/>
          <w:sz w:val="21"/>
        </w:rPr>
        <w:t>附件一：设备清单及价格明细表</w:t>
      </w:r>
    </w:p>
    <w:p>
      <w:pPr>
        <w:pStyle w:val="null3"/>
        <w:ind w:firstLine="420"/>
        <w:jc w:val="both"/>
      </w:pPr>
      <w:r>
        <w:rPr>
          <w:rFonts w:ascii="宋体" w:hAnsi="宋体" w:cs="宋体" w:eastAsia="宋体"/>
          <w:sz w:val="21"/>
        </w:rPr>
        <w:t>附件二：产品配置</w:t>
      </w:r>
      <w:r>
        <w:rPr>
          <w:rFonts w:ascii="&quot;arial&quot;, sans-serif" w:hAnsi="&quot;arial&quot;, sans-serif" w:cs="&quot;arial&quot;, sans-serif" w:eastAsia="&quot;arial&quot;, sans-serif"/>
          <w:sz w:val="21"/>
        </w:rPr>
        <w:t>/</w:t>
      </w:r>
      <w:r>
        <w:rPr>
          <w:rFonts w:ascii="宋体" w:hAnsi="宋体" w:cs="宋体" w:eastAsia="宋体"/>
          <w:sz w:val="21"/>
        </w:rPr>
        <w:t>技术说明</w:t>
      </w:r>
    </w:p>
    <w:p>
      <w:pPr>
        <w:pStyle w:val="null3"/>
        <w:ind w:firstLine="420"/>
        <w:jc w:val="both"/>
      </w:pPr>
      <w:r>
        <w:rPr>
          <w:rFonts w:ascii="宋体" w:hAnsi="宋体" w:cs="宋体" w:eastAsia="宋体"/>
          <w:sz w:val="21"/>
        </w:rPr>
        <w:t>附件三：工程实施方案</w:t>
      </w:r>
    </w:p>
    <w:p>
      <w:pPr>
        <w:pStyle w:val="null3"/>
        <w:ind w:firstLine="420"/>
        <w:jc w:val="both"/>
      </w:pPr>
      <w:r>
        <w:rPr>
          <w:rFonts w:ascii="宋体" w:hAnsi="宋体" w:cs="宋体" w:eastAsia="宋体"/>
          <w:sz w:val="21"/>
        </w:rPr>
        <w:t>附件四：质量保证期服务</w:t>
      </w:r>
    </w:p>
    <w:p>
      <w:pPr>
        <w:pStyle w:val="null3"/>
        <w:ind w:firstLine="420"/>
        <w:jc w:val="both"/>
      </w:pPr>
      <w:r>
        <w:rPr>
          <w:rFonts w:ascii="宋体" w:hAnsi="宋体" w:cs="宋体" w:eastAsia="宋体"/>
          <w:sz w:val="21"/>
        </w:rPr>
        <w:t>附件五：验收报告格式</w:t>
      </w:r>
    </w:p>
    <w:p>
      <w:pPr>
        <w:pStyle w:val="null3"/>
        <w:ind w:firstLine="420"/>
        <w:jc w:val="both"/>
      </w:pPr>
      <w:r>
        <w:rPr>
          <w:rFonts w:ascii="宋体" w:hAnsi="宋体" w:cs="宋体" w:eastAsia="宋体"/>
          <w:sz w:val="21"/>
        </w:rPr>
        <w:t>附件六：付款申请</w:t>
      </w:r>
    </w:p>
    <w:p>
      <w:pPr>
        <w:pStyle w:val="null3"/>
        <w:ind w:firstLine="420"/>
        <w:jc w:val="both"/>
      </w:pPr>
      <w:r>
        <w:rPr>
          <w:rFonts w:ascii="宋体" w:hAnsi="宋体" w:cs="宋体" w:eastAsia="宋体"/>
          <w:sz w:val="21"/>
        </w:rPr>
        <w:t>附件七：外包服务人员保密和信息安全承诺书</w:t>
      </w:r>
    </w:p>
    <w:p>
      <w:pPr>
        <w:pStyle w:val="null3"/>
        <w:ind w:firstLine="420"/>
        <w:jc w:val="both"/>
      </w:pPr>
      <w:r>
        <w:rPr>
          <w:rFonts w:ascii="宋体" w:hAnsi="宋体" w:cs="宋体" w:eastAsia="宋体"/>
          <w:sz w:val="21"/>
        </w:rPr>
        <w:t>附件八：保密和信息安全承诺书</w:t>
      </w:r>
    </w:p>
    <w:p>
      <w:pPr>
        <w:pStyle w:val="null3"/>
        <w:ind w:firstLine="420"/>
        <w:jc w:val="both"/>
      </w:pPr>
      <w:r>
        <w:rPr>
          <w:rFonts w:ascii="宋体" w:hAnsi="宋体" w:cs="宋体" w:eastAsia="宋体"/>
          <w:sz w:val="21"/>
        </w:rPr>
        <w:t>附件九：网络安全审查承诺函</w:t>
      </w:r>
    </w:p>
    <w:p>
      <w:pPr>
        <w:pStyle w:val="null3"/>
        <w:ind w:firstLine="420"/>
        <w:jc w:val="both"/>
      </w:pPr>
      <w:r>
        <w:rPr>
          <w:rFonts w:ascii="宋体" w:hAnsi="宋体" w:cs="宋体" w:eastAsia="宋体"/>
          <w:sz w:val="21"/>
        </w:rPr>
        <w:t>附件十：廉洁共建承诺书</w:t>
      </w:r>
    </w:p>
    <w:p>
      <w:pPr>
        <w:pStyle w:val="null3"/>
        <w:ind w:firstLine="420"/>
        <w:jc w:val="both"/>
      </w:pPr>
      <w:r>
        <w:rPr>
          <w:rFonts w:ascii="宋体" w:hAnsi="宋体" w:cs="宋体" w:eastAsia="宋体"/>
          <w:sz w:val="21"/>
        </w:rPr>
        <w:t>附件十一：原厂授权函</w:t>
      </w:r>
    </w:p>
    <w:p>
      <w:pPr>
        <w:pStyle w:val="null3"/>
        <w:ind w:firstLine="420"/>
        <w:jc w:val="both"/>
      </w:pPr>
      <w:r>
        <w:rPr>
          <w:rFonts w:ascii="宋体" w:hAnsi="宋体" w:cs="宋体" w:eastAsia="宋体"/>
          <w:sz w:val="21"/>
        </w:rPr>
        <w:t>附件十二：原厂服务承诺函</w:t>
      </w:r>
    </w:p>
    <w:p>
      <w:pPr>
        <w:pStyle w:val="null3"/>
        <w:ind w:firstLine="420"/>
        <w:jc w:val="both"/>
      </w:pPr>
      <w:r>
        <w:rPr>
          <w:rFonts w:ascii="宋体" w:hAnsi="宋体" w:cs="宋体" w:eastAsia="宋体"/>
          <w:sz w:val="21"/>
        </w:rPr>
        <w:t>附件十三：履约验收方案</w:t>
      </w:r>
    </w:p>
    <w:p>
      <w:pPr>
        <w:pStyle w:val="null3"/>
        <w:ind w:firstLine="420"/>
        <w:jc w:val="both"/>
      </w:pPr>
      <w:r>
        <w:rPr>
          <w:rFonts w:ascii="&quot;arial&quot;, sans-serif" w:hAnsi="&quot;arial&quot;, sans-serif" w:cs="&quot;arial&quot;, sans-serif" w:eastAsia="&quot;arial&quot;, sans-serif"/>
          <w:sz w:val="21"/>
        </w:rPr>
        <w:t xml:space="preserve">14.5 </w:t>
      </w:r>
      <w:r>
        <w:rPr>
          <w:rFonts w:ascii="宋体" w:hAnsi="宋体" w:cs="宋体" w:eastAsia="宋体"/>
          <w:sz w:val="21"/>
        </w:rPr>
        <w:t>本合同未尽事宜，由甲乙双方根据中华人民共和国有关法律法规执行或者双方友好协商解决。</w:t>
      </w:r>
    </w:p>
    <w:p>
      <w:pPr>
        <w:pStyle w:val="null3"/>
      </w:pPr>
      <w:r>
        <w:rPr>
          <w:rFonts w:ascii="宋体" w:hAnsi="宋体" w:cs="宋体" w:eastAsia="宋体"/>
          <w:sz w:val="21"/>
        </w:rPr>
        <w:t>（以下无正文）</w:t>
      </w:r>
    </w:p>
    <w:p>
      <w:pPr>
        <w:pStyle w:val="null3"/>
      </w:pPr>
      <w:r>
        <w:rPr>
          <w:rFonts w:ascii="楷体" w:hAnsi="楷体" w:cs="楷体" w:eastAsia="楷体"/>
        </w:rPr>
        <w:t>（签字页）</w:t>
      </w:r>
    </w:p>
    <w:p>
      <w:pPr>
        <w:pStyle w:val="null3"/>
      </w:pPr>
      <w:r>
        <w:rPr/>
        <w:t xml:space="preserve"> </w:t>
      </w:r>
    </w:p>
    <w:p>
      <w:pPr>
        <w:pStyle w:val="null3"/>
      </w:pPr>
      <w:r>
        <w:rPr>
          <w:rFonts w:ascii="宋体" w:hAnsi="宋体" w:cs="宋体" w:eastAsia="宋体"/>
          <w:sz w:val="21"/>
        </w:rPr>
        <w:t>（本行以下无正文</w:t>
      </w:r>
      <w:r>
        <w:rPr>
          <w:rFonts w:ascii="&quot;times new roman&quot;, serif" w:hAnsi="&quot;times new roman&quot;, serif" w:cs="&quot;times new roman&quot;, serif" w:eastAsia="&quot;times new roman&quot;, serif"/>
          <w:sz w:val="21"/>
        </w:rPr>
        <w:t>/</w:t>
      </w:r>
      <w:r>
        <w:rPr>
          <w:rFonts w:ascii="宋体" w:hAnsi="宋体" w:cs="宋体" w:eastAsia="宋体"/>
          <w:sz w:val="21"/>
        </w:rPr>
        <w:t>本页无正文）</w:t>
      </w:r>
      <w:r>
        <w:rPr>
          <w:rFonts w:ascii="&quot;times new roman&quot;, serif" w:hAnsi="&quot;times new roman&quot;, serif" w:cs="&quot;times new roman&quot;, serif" w:eastAsia="&quot;times new roman&quot;, serif"/>
          <w:sz w:val="21"/>
        </w:rPr>
        <w:t xml:space="preserve">                         </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甲方：中国人民银行清算总中心（盖章）</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乙方：</w:t>
            </w:r>
            <w:r>
              <w:rPr>
                <w:rFonts w:ascii="&quot;arial&quot;, sans-serif" w:hAnsi="&quot;arial&quot;, sans-serif" w:cs="&quot;arial&quot;, sans-serif" w:eastAsia="&quot;arial&quot;, sans-serif"/>
                <w:sz w:val="21"/>
              </w:rPr>
              <w:t>XXXX</w:t>
            </w:r>
            <w:r>
              <w:rPr>
                <w:rFonts w:ascii="宋体" w:hAnsi="宋体" w:cs="宋体" w:eastAsia="宋体"/>
                <w:sz w:val="21"/>
              </w:rPr>
              <w:t>公司（盖章）</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法定代表人</w:t>
            </w:r>
            <w:r>
              <w:rPr>
                <w:rFonts w:ascii="&quot;arial&quot;, sans-serif" w:hAnsi="&quot;arial&quot;, sans-serif" w:cs="&quot;arial&quot;, sans-serif" w:eastAsia="&quot;arial&quot;, sans-serif"/>
                <w:sz w:val="21"/>
              </w:rPr>
              <w:t>/</w:t>
            </w:r>
            <w:r>
              <w:rPr>
                <w:rFonts w:ascii="宋体" w:hAnsi="宋体" w:cs="宋体" w:eastAsia="宋体"/>
                <w:sz w:val="21"/>
              </w:rPr>
              <w:t>授权代表签字：</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法定代表人</w:t>
            </w:r>
            <w:r>
              <w:rPr>
                <w:rFonts w:ascii="&quot;arial&quot;, sans-serif" w:hAnsi="&quot;arial&quot;, sans-serif" w:cs="&quot;arial&quot;, sans-serif" w:eastAsia="&quot;arial&quot;, sans-serif"/>
                <w:sz w:val="21"/>
              </w:rPr>
              <w:t>/</w:t>
            </w:r>
            <w:r>
              <w:rPr>
                <w:rFonts w:ascii="宋体" w:hAnsi="宋体" w:cs="宋体" w:eastAsia="宋体"/>
                <w:sz w:val="21"/>
              </w:rPr>
              <w:t>授权代表签字：</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quot;arial&quot;, sans-serif" w:hAnsi="&quot;arial&quot;, sans-serif" w:cs="&quot;arial&quot;, sans-serif" w:eastAsia="&quot;arial&quot;, sans-serif"/>
                <w:sz w:val="21"/>
              </w:rPr>
              <w:t>2026</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quot;arial&quot;, sans-serif" w:hAnsi="&quot;arial&quot;, sans-serif" w:cs="&quot;arial&quot;, sans-serif" w:eastAsia="&quot;arial&quot;, sans-serif"/>
                <w:sz w:val="21"/>
              </w:rPr>
              <w:t>2026</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tc>
      </w:tr>
    </w:tbl>
    <w:p>
      <w:pPr>
        <w:pStyle w:val="null3"/>
      </w:pPr>
      <w:r>
        <w:rPr>
          <w:rFonts w:ascii="宋体" w:hAnsi="宋体" w:cs="宋体" w:eastAsia="宋体"/>
          <w:sz w:val="21"/>
          <w:b/>
        </w:rPr>
        <w:t>附件一：设备清单及价格明细</w:t>
      </w:r>
    </w:p>
    <w:p>
      <w:pPr>
        <w:pStyle w:val="null3"/>
      </w:pPr>
      <w:r>
        <w:rPr>
          <w:rFonts w:ascii="&quot;times new roman&quot;, serif" w:hAnsi="&quot;times new roman&quot;, serif" w:cs="&quot;times new roman&quot;, serif" w:eastAsia="&quot;times new roman&quot;, serif"/>
          <w:sz w:val="24"/>
        </w:rPr>
        <w:t xml:space="preserve">1 </w:t>
      </w:r>
      <w:r>
        <w:rPr>
          <w:rFonts w:ascii="宋体" w:hAnsi="宋体" w:cs="宋体" w:eastAsia="宋体"/>
          <w:sz w:val="24"/>
        </w:rPr>
        <w:t>设备分项报价表</w:t>
      </w:r>
    </w:p>
    <w:p>
      <w:pPr>
        <w:pStyle w:val="null3"/>
      </w:pPr>
      <w:r>
        <w:rPr>
          <w:rFonts w:ascii="宋体" w:hAnsi="宋体" w:cs="宋体" w:eastAsia="宋体"/>
          <w:sz w:val="21"/>
        </w:rPr>
        <w:t>格式见投标文件</w:t>
      </w:r>
    </w:p>
    <w:p>
      <w:pPr>
        <w:pStyle w:val="null3"/>
      </w:pPr>
      <w:r>
        <w:rPr>
          <w:rFonts w:ascii="&quot;times new roman&quot;, serif" w:hAnsi="&quot;times new roman&quot;, serif" w:cs="&quot;times new roman&quot;, serif" w:eastAsia="&quot;times new roman&quot;, serif"/>
          <w:sz w:val="24"/>
        </w:rPr>
        <w:t xml:space="preserve">2 </w:t>
      </w:r>
      <w:r>
        <w:rPr>
          <w:rFonts w:ascii="宋体" w:hAnsi="宋体" w:cs="宋体" w:eastAsia="宋体"/>
          <w:sz w:val="24"/>
        </w:rPr>
        <w:t>单台设备（或服务）明细报价表</w:t>
      </w:r>
    </w:p>
    <w:p>
      <w:pPr>
        <w:pStyle w:val="null3"/>
      </w:pPr>
      <w:r>
        <w:rPr>
          <w:rFonts w:ascii="宋体" w:hAnsi="宋体" w:cs="宋体" w:eastAsia="宋体"/>
          <w:sz w:val="21"/>
        </w:rPr>
        <w:t>格式见投标文件</w:t>
      </w:r>
    </w:p>
    <w:p>
      <w:pPr>
        <w:pStyle w:val="null3"/>
      </w:pPr>
      <w:r>
        <w:rPr>
          <w:rFonts w:ascii="&quot;times new roman&quot;, serif" w:hAnsi="&quot;times new roman&quot;, serif" w:cs="&quot;times new roman&quot;, serif" w:eastAsia="&quot;times new roman&quot;, serif"/>
          <w:sz w:val="24"/>
        </w:rPr>
        <w:t xml:space="preserve">3 </w:t>
      </w:r>
      <w:r>
        <w:rPr>
          <w:rFonts w:ascii="宋体" w:hAnsi="宋体" w:cs="宋体" w:eastAsia="宋体"/>
          <w:sz w:val="24"/>
        </w:rPr>
        <w:t>延长一年质量保证服务报价表（不计入总价）</w:t>
      </w:r>
    </w:p>
    <w:p>
      <w:pPr>
        <w:pStyle w:val="null3"/>
      </w:pPr>
      <w:r>
        <w:rPr>
          <w:rFonts w:ascii="宋体" w:hAnsi="宋体" w:cs="宋体" w:eastAsia="宋体"/>
          <w:sz w:val="21"/>
        </w:rPr>
        <w:t>格式见投标文件</w:t>
      </w:r>
    </w:p>
    <w:p>
      <w:pPr>
        <w:pStyle w:val="null3"/>
      </w:pPr>
      <w:r>
        <w:rPr>
          <w:rFonts w:ascii="宋体" w:hAnsi="宋体" w:cs="宋体" w:eastAsia="宋体"/>
          <w:sz w:val="21"/>
          <w:b/>
        </w:rPr>
        <w:t>附件二：产品配置</w:t>
      </w:r>
      <w:r>
        <w:rPr>
          <w:rFonts w:ascii="&quot;arial&quot;, sans-serif" w:hAnsi="&quot;arial&quot;, sans-serif" w:cs="&quot;arial&quot;, sans-serif" w:eastAsia="&quot;arial&quot;, sans-serif"/>
          <w:sz w:val="21"/>
          <w:b/>
        </w:rPr>
        <w:t>/</w:t>
      </w:r>
      <w:r>
        <w:rPr>
          <w:rFonts w:ascii="宋体" w:hAnsi="宋体" w:cs="宋体" w:eastAsia="宋体"/>
          <w:sz w:val="21"/>
          <w:b/>
        </w:rPr>
        <w:t>技术说明</w:t>
      </w:r>
    </w:p>
    <w:p>
      <w:pPr>
        <w:pStyle w:val="null3"/>
      </w:pPr>
      <w:r>
        <w:rPr>
          <w:rFonts w:ascii="宋体" w:hAnsi="宋体" w:cs="宋体" w:eastAsia="宋体"/>
          <w:sz w:val="21"/>
          <w:b/>
        </w:rPr>
        <w:t>附件三：</w:t>
      </w:r>
      <w:r>
        <w:rPr>
          <w:rFonts w:ascii="宋体" w:hAnsi="宋体" w:cs="宋体" w:eastAsia="宋体"/>
          <w:sz w:val="21"/>
          <w:b/>
        </w:rPr>
        <w:t>服务方案</w:t>
      </w:r>
    </w:p>
    <w:p>
      <w:pPr>
        <w:pStyle w:val="null3"/>
      </w:pPr>
      <w:r>
        <w:rPr>
          <w:rFonts w:ascii="&quot;times new roman&quot;, serif" w:hAnsi="&quot;times new roman&quot;, serif" w:cs="&quot;times new roman&quot;, serif" w:eastAsia="&quot;times new roman&quot;, serif"/>
          <w:sz w:val="21"/>
        </w:rPr>
        <w:t>(</w:t>
      </w:r>
      <w:r>
        <w:rPr>
          <w:rFonts w:ascii="宋体" w:hAnsi="宋体" w:cs="宋体" w:eastAsia="宋体"/>
          <w:sz w:val="21"/>
        </w:rPr>
        <w:t>本章内容包括：工程实施保障、工程组织、工程实施计划、项目质量和风险控制。</w:t>
      </w:r>
      <w:r>
        <w:rPr>
          <w:rFonts w:ascii="&quot;times new roman&quot;, serif" w:hAnsi="&quot;times new roman&quot;, serif" w:cs="&quot;times new roman&quot;, serif" w:eastAsia="&quot;times new roman&quot;, serif"/>
          <w:sz w:val="21"/>
        </w:rPr>
        <w:t>)</w:t>
      </w:r>
    </w:p>
    <w:p>
      <w:pPr>
        <w:pStyle w:val="null3"/>
      </w:pPr>
      <w:r>
        <w:rPr>
          <w:rFonts w:ascii="&quot;times new roman&quot;, serif" w:hAnsi="&quot;times new roman&quot;, serif" w:cs="&quot;times new roman&quot;, serif" w:eastAsia="&quot;times new roman&quot;, serif"/>
          <w:sz w:val="24"/>
        </w:rPr>
        <w:t xml:space="preserve">1 </w:t>
      </w:r>
      <w:r>
        <w:rPr>
          <w:rFonts w:ascii="宋体" w:hAnsi="宋体" w:cs="宋体" w:eastAsia="宋体"/>
          <w:sz w:val="24"/>
        </w:rPr>
        <w:t>工程实施保障</w:t>
      </w:r>
    </w:p>
    <w:p>
      <w:pPr>
        <w:pStyle w:val="null3"/>
      </w:pPr>
      <w:r>
        <w:rPr>
          <w:rFonts w:ascii="宋体" w:hAnsi="宋体" w:cs="宋体" w:eastAsia="宋体"/>
          <w:sz w:val="21"/>
        </w:rPr>
        <w:t>（包含但不限于实施准备、工程实施期间的时间、人员保障）</w:t>
      </w:r>
    </w:p>
    <w:p>
      <w:pPr>
        <w:pStyle w:val="null3"/>
      </w:pPr>
      <w:r>
        <w:rPr>
          <w:rFonts w:ascii="&quot;times new roman&quot;, serif" w:hAnsi="&quot;times new roman&quot;, serif" w:cs="&quot;times new roman&quot;, serif" w:eastAsia="&quot;times new roman&quot;, serif"/>
          <w:sz w:val="24"/>
        </w:rPr>
        <w:t xml:space="preserve">2 </w:t>
      </w:r>
      <w:r>
        <w:rPr>
          <w:rFonts w:ascii="宋体" w:hAnsi="宋体" w:cs="宋体" w:eastAsia="宋体"/>
          <w:sz w:val="24"/>
        </w:rPr>
        <w:t>工程组织</w:t>
      </w:r>
    </w:p>
    <w:p>
      <w:pPr>
        <w:pStyle w:val="null3"/>
      </w:pPr>
      <w:r>
        <w:rPr>
          <w:rFonts w:ascii="宋体" w:hAnsi="宋体" w:cs="宋体" w:eastAsia="宋体"/>
          <w:sz w:val="21"/>
        </w:rPr>
        <w:t>（包含但不限于项目组人员组成、承担职责、任务分解等）</w:t>
      </w:r>
    </w:p>
    <w:p>
      <w:pPr>
        <w:pStyle w:val="null3"/>
      </w:pPr>
      <w:r>
        <w:rPr>
          <w:rFonts w:ascii="&quot;times new roman&quot;, serif" w:hAnsi="&quot;times new roman&quot;, serif" w:cs="&quot;times new roman&quot;, serif" w:eastAsia="&quot;times new roman&quot;, serif"/>
          <w:sz w:val="24"/>
        </w:rPr>
        <w:t xml:space="preserve">3 </w:t>
      </w:r>
      <w:r>
        <w:rPr>
          <w:rFonts w:ascii="宋体" w:hAnsi="宋体" w:cs="宋体" w:eastAsia="宋体"/>
          <w:sz w:val="24"/>
        </w:rPr>
        <w:t>工程实施计划</w:t>
      </w:r>
    </w:p>
    <w:p>
      <w:pPr>
        <w:pStyle w:val="null3"/>
      </w:pPr>
      <w:r>
        <w:rPr>
          <w:rFonts w:ascii="宋体" w:hAnsi="宋体" w:cs="宋体" w:eastAsia="宋体"/>
          <w:sz w:val="21"/>
        </w:rPr>
        <w:t>（包含但不限于工程开展流程）</w:t>
      </w:r>
    </w:p>
    <w:p>
      <w:pPr>
        <w:pStyle w:val="null3"/>
      </w:pPr>
      <w:r>
        <w:rPr>
          <w:rFonts w:ascii="&quot;times new roman&quot;, serif" w:hAnsi="&quot;times new roman&quot;, serif" w:cs="&quot;times new roman&quot;, serif" w:eastAsia="&quot;times new roman&quot;, serif"/>
          <w:sz w:val="24"/>
        </w:rPr>
        <w:t xml:space="preserve">4 </w:t>
      </w:r>
      <w:r>
        <w:rPr>
          <w:rFonts w:ascii="宋体" w:hAnsi="宋体" w:cs="宋体" w:eastAsia="宋体"/>
          <w:sz w:val="24"/>
        </w:rPr>
        <w:t>项目质量和风险控制</w:t>
      </w:r>
    </w:p>
    <w:p>
      <w:pPr>
        <w:pStyle w:val="null3"/>
      </w:pPr>
      <w:r>
        <w:rPr>
          <w:rFonts w:ascii="宋体" w:hAnsi="宋体" w:cs="宋体" w:eastAsia="宋体"/>
          <w:sz w:val="21"/>
        </w:rPr>
        <w:t>（包含但不限于各类质量和风险控制制度）</w:t>
      </w:r>
    </w:p>
    <w:p>
      <w:pPr>
        <w:pStyle w:val="null3"/>
      </w:pPr>
      <w:r>
        <w:rPr>
          <w:rFonts w:ascii="宋体" w:hAnsi="宋体" w:cs="宋体" w:eastAsia="宋体"/>
          <w:sz w:val="21"/>
          <w:b/>
        </w:rPr>
        <w:t>附件四：质量保证期服务</w:t>
      </w:r>
    </w:p>
    <w:p>
      <w:pPr>
        <w:pStyle w:val="null3"/>
      </w:pPr>
      <w:r>
        <w:rPr>
          <w:rFonts w:ascii="&quot;times new roman&quot;, serif" w:hAnsi="&quot;times new roman&quot;, serif" w:cs="&quot;times new roman&quot;, serif" w:eastAsia="&quot;times new roman&quot;, serif"/>
          <w:sz w:val="24"/>
        </w:rPr>
        <w:t xml:space="preserve">1 </w:t>
      </w:r>
      <w:r>
        <w:rPr>
          <w:rFonts w:ascii="宋体" w:hAnsi="宋体" w:cs="宋体" w:eastAsia="宋体"/>
          <w:sz w:val="24"/>
        </w:rPr>
        <w:t>技术支持与售后服务概述</w:t>
      </w:r>
    </w:p>
    <w:p>
      <w:pPr>
        <w:pStyle w:val="null3"/>
      </w:pPr>
      <w:r>
        <w:rPr>
          <w:rFonts w:ascii="宋体" w:hAnsi="宋体" w:cs="宋体" w:eastAsia="宋体"/>
          <w:sz w:val="21"/>
        </w:rPr>
        <w:t>（包含但不限于服务级别、响应时间、服务内容、起始时间及联系方式等）</w:t>
      </w:r>
    </w:p>
    <w:p>
      <w:pPr>
        <w:pStyle w:val="null3"/>
      </w:pPr>
      <w:r>
        <w:rPr>
          <w:rFonts w:ascii="&quot;times new roman&quot;, serif" w:hAnsi="&quot;times new roman&quot;, serif" w:cs="&quot;times new roman&quot;, serif" w:eastAsia="&quot;times new roman&quot;, serif"/>
          <w:sz w:val="24"/>
        </w:rPr>
        <w:t xml:space="preserve">2 </w:t>
      </w:r>
      <w:r>
        <w:rPr>
          <w:rFonts w:ascii="宋体" w:hAnsi="宋体" w:cs="宋体" w:eastAsia="宋体"/>
          <w:sz w:val="24"/>
        </w:rPr>
        <w:t>乙方技术支持与售后服务</w:t>
      </w:r>
    </w:p>
    <w:p>
      <w:pPr>
        <w:pStyle w:val="null3"/>
      </w:pPr>
      <w:r>
        <w:rPr>
          <w:rFonts w:ascii="宋体" w:hAnsi="宋体" w:cs="宋体" w:eastAsia="宋体"/>
          <w:sz w:val="21"/>
        </w:rPr>
        <w:t>（包含但不限于服务级别、响应时间、服务内容、起始时间及联系方式等）</w:t>
      </w:r>
    </w:p>
    <w:p>
      <w:pPr>
        <w:pStyle w:val="null3"/>
      </w:pPr>
      <w:r>
        <w:rPr>
          <w:rFonts w:ascii="&quot;times new roman&quot;, serif" w:hAnsi="&quot;times new roman&quot;, serif" w:cs="&quot;times new roman&quot;, serif" w:eastAsia="&quot;times new roman&quot;, serif"/>
          <w:sz w:val="24"/>
        </w:rPr>
        <w:t>3 XXX</w:t>
      </w:r>
      <w:r>
        <w:rPr>
          <w:rFonts w:ascii="宋体" w:hAnsi="宋体" w:cs="宋体" w:eastAsia="宋体"/>
          <w:sz w:val="24"/>
        </w:rPr>
        <w:t>公司技术支持与售后服务（服务器制造商）</w:t>
      </w:r>
    </w:p>
    <w:p>
      <w:pPr>
        <w:pStyle w:val="null3"/>
      </w:pPr>
      <w:r>
        <w:rPr>
          <w:rFonts w:ascii="宋体" w:hAnsi="宋体" w:cs="宋体" w:eastAsia="宋体"/>
          <w:sz w:val="21"/>
        </w:rPr>
        <w:t>（包含但不限于服务级别、响应时间、服务内容、起始时间及联系方式等）</w:t>
      </w:r>
    </w:p>
    <w:p>
      <w:pPr>
        <w:pStyle w:val="null3"/>
      </w:pPr>
      <w:r>
        <w:rPr>
          <w:rFonts w:ascii="宋体" w:hAnsi="宋体" w:cs="宋体" w:eastAsia="宋体"/>
          <w:sz w:val="21"/>
          <w:b/>
        </w:rPr>
        <w:t>附件五：</w:t>
      </w:r>
      <w:r>
        <w:rPr>
          <w:rFonts w:ascii="宋体" w:hAnsi="宋体" w:cs="宋体" w:eastAsia="宋体"/>
          <w:sz w:val="21"/>
          <w:b/>
        </w:rPr>
        <w:t>验收报告格式</w:t>
      </w:r>
    </w:p>
    <w:p>
      <w:pPr>
        <w:pStyle w:val="null3"/>
        <w:numPr>
          <w:ilvl w:val="0"/>
          <w:numId w:val="1"/>
        </w:numPr>
      </w:pPr>
      <w:r>
        <w:rPr>
          <w:rFonts w:ascii="宋体" w:hAnsi="宋体" w:cs="宋体" w:eastAsia="宋体"/>
          <w:sz w:val="21"/>
          <w:b/>
        </w:rPr>
        <w:t>概述</w:t>
      </w:r>
    </w:p>
    <w:p>
      <w:pPr>
        <w:pStyle w:val="null3"/>
        <w:ind w:left="420" w:firstLine="420"/>
      </w:pPr>
      <w:r>
        <w:rPr>
          <w:rFonts w:ascii="宋体" w:hAnsi="宋体" w:cs="宋体" w:eastAsia="宋体"/>
          <w:sz w:val="21"/>
        </w:rPr>
        <w:t>设备和系统验收报告主要包括以下内容：</w:t>
      </w:r>
    </w:p>
    <w:p>
      <w:pPr>
        <w:pStyle w:val="null3"/>
        <w:numPr>
          <w:ilvl w:val="0"/>
          <w:numId w:val="2"/>
        </w:numPr>
        <w:ind w:left="660"/>
      </w:pPr>
      <w:r>
        <w:rPr>
          <w:rFonts w:ascii="宋体" w:hAnsi="宋体" w:cs="宋体" w:eastAsia="宋体"/>
          <w:sz w:val="21"/>
        </w:rPr>
        <w:t>设备到货验收报告；</w:t>
      </w:r>
    </w:p>
    <w:p>
      <w:pPr>
        <w:pStyle w:val="null3"/>
        <w:numPr>
          <w:ilvl w:val="0"/>
          <w:numId w:val="2"/>
        </w:numPr>
        <w:ind w:left="660"/>
      </w:pPr>
      <w:r>
        <w:rPr>
          <w:rFonts w:ascii="宋体" w:hAnsi="宋体" w:cs="宋体" w:eastAsia="宋体"/>
          <w:sz w:val="21"/>
        </w:rPr>
        <w:t>设备加电测试报告</w:t>
      </w:r>
    </w:p>
    <w:p>
      <w:pPr>
        <w:pStyle w:val="null3"/>
        <w:numPr>
          <w:ilvl w:val="0"/>
          <w:numId w:val="2"/>
        </w:numPr>
        <w:ind w:left="660"/>
      </w:pPr>
      <w:r>
        <w:rPr>
          <w:rFonts w:ascii="宋体" w:hAnsi="宋体" w:cs="宋体" w:eastAsia="宋体"/>
          <w:sz w:val="21"/>
        </w:rPr>
        <w:t>设备入库清单；</w:t>
      </w:r>
    </w:p>
    <w:p>
      <w:pPr>
        <w:pStyle w:val="null3"/>
        <w:numPr>
          <w:ilvl w:val="0"/>
          <w:numId w:val="2"/>
        </w:numPr>
        <w:ind w:left="660"/>
      </w:pPr>
      <w:r>
        <w:rPr>
          <w:rFonts w:ascii="宋体" w:hAnsi="宋体" w:cs="宋体" w:eastAsia="宋体"/>
          <w:sz w:val="21"/>
        </w:rPr>
        <w:t>初验报告；</w:t>
      </w:r>
    </w:p>
    <w:p>
      <w:pPr>
        <w:pStyle w:val="null3"/>
        <w:numPr>
          <w:ilvl w:val="0"/>
          <w:numId w:val="2"/>
        </w:numPr>
        <w:ind w:left="660"/>
      </w:pPr>
      <w:r>
        <w:rPr>
          <w:rFonts w:ascii="宋体" w:hAnsi="宋体" w:cs="宋体" w:eastAsia="宋体"/>
          <w:sz w:val="21"/>
        </w:rPr>
        <w:t>终验报告；</w:t>
      </w:r>
    </w:p>
    <w:p>
      <w:pPr>
        <w:pStyle w:val="null3"/>
        <w:numPr>
          <w:ilvl w:val="0"/>
          <w:numId w:val="2"/>
        </w:numPr>
        <w:ind w:left="660"/>
      </w:pPr>
      <w:r>
        <w:rPr>
          <w:rFonts w:ascii="宋体" w:hAnsi="宋体" w:cs="宋体" w:eastAsia="宋体"/>
          <w:sz w:val="21"/>
        </w:rPr>
        <w:t>质量保证期报告。</w:t>
      </w:r>
    </w:p>
    <w:p>
      <w:pPr>
        <w:pStyle w:val="null3"/>
        <w:ind w:left="420" w:firstLine="420"/>
      </w:pPr>
      <w:r>
        <w:rPr>
          <w:rFonts w:ascii="宋体" w:hAnsi="宋体" w:cs="宋体" w:eastAsia="宋体"/>
          <w:sz w:val="21"/>
        </w:rPr>
        <w:t>以下对上述测试内容进行分别展开详细描述。</w:t>
      </w:r>
    </w:p>
    <w:p>
      <w:pPr>
        <w:pStyle w:val="null3"/>
        <w:numPr>
          <w:ilvl w:val="0"/>
          <w:numId w:val="1"/>
        </w:numPr>
      </w:pPr>
      <w:r>
        <w:rPr>
          <w:rFonts w:ascii="宋体" w:hAnsi="宋体" w:cs="宋体" w:eastAsia="宋体"/>
          <w:sz w:val="21"/>
          <w:b/>
        </w:rPr>
        <w:t>模板及格式</w:t>
      </w:r>
    </w:p>
    <w:p>
      <w:pPr>
        <w:pStyle w:val="null3"/>
      </w:pPr>
      <w:r>
        <w:rPr>
          <w:rFonts w:ascii="&quot;times new roman&quot;, serif" w:hAnsi="&quot;times new roman&quot;, serif" w:cs="&quot;times new roman&quot;, serif" w:eastAsia="&quot;times new roman&quot;, serif"/>
          <w:sz w:val="21"/>
          <w:b/>
        </w:rPr>
        <w:t>2.1</w:t>
      </w:r>
      <w:r>
        <w:rPr>
          <w:rFonts w:ascii="宋体" w:hAnsi="宋体" w:cs="宋体" w:eastAsia="宋体"/>
          <w:sz w:val="21"/>
          <w:b/>
        </w:rPr>
        <w:t>设备到货验收报告</w:t>
      </w:r>
    </w:p>
    <w:p>
      <w:pPr>
        <w:pStyle w:val="null3"/>
      </w:pPr>
      <w:r>
        <w:rPr>
          <w:rFonts w:ascii="宋体" w:hAnsi="宋体" w:cs="宋体" w:eastAsia="宋体"/>
          <w:sz w:val="21"/>
        </w:rPr>
        <w:t>合同编号：</w:t>
      </w:r>
    </w:p>
    <w:p>
      <w:pPr>
        <w:pStyle w:val="null3"/>
      </w:pPr>
      <w:r>
        <w:rPr>
          <w:rFonts w:ascii="宋体" w:hAnsi="宋体" w:cs="宋体" w:eastAsia="宋体"/>
          <w:sz w:val="21"/>
        </w:rPr>
        <w:t>合同名称：</w:t>
      </w:r>
    </w:p>
    <w:tbl>
      <w:tblPr>
        <w:tblW w:w="0" w:type="auto"/>
        <w:tblBorders>
          <w:top w:val="single"/>
          <w:left w:val="single"/>
          <w:bottom w:val="single"/>
          <w:right w:val="single"/>
          <w:insideH w:val="single"/>
          <w:insideV w:val="single"/>
        </w:tblBorders>
      </w:tblPr>
      <w:tblGrid>
        <w:gridCol w:w="391"/>
        <w:gridCol w:w="692"/>
        <w:gridCol w:w="707"/>
        <w:gridCol w:w="767"/>
        <w:gridCol w:w="1429"/>
        <w:gridCol w:w="512"/>
        <w:gridCol w:w="662"/>
        <w:gridCol w:w="1264"/>
        <w:gridCol w:w="1249"/>
        <w:gridCol w:w="572"/>
        <w:gridCol w:w="60"/>
      </w:tblGrid>
      <w:tr>
        <w:tc>
          <w:tcPr>
            <w:tcW w:type="dxa" w:w="1083"/>
            <w:gridSpan w:val="2"/>
            <w:tcBorders>
              <w:top w:val="double" w:color="000000" w:sz="12"/>
              <w:left w:val="double" w:color="000000" w:sz="12"/>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rPr>
              <w:t>产品名称</w:t>
            </w:r>
          </w:p>
        </w:tc>
        <w:tc>
          <w:tcPr>
            <w:tcW w:type="dxa" w:w="1474"/>
            <w:gridSpan w:val="2"/>
            <w:tcBorders>
              <w:top w:val="double" w:color="000000" w:sz="12"/>
              <w:left w:val="none" w:color="000000" w:sz="4"/>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产品型号</w:t>
            </w:r>
          </w:p>
        </w:tc>
        <w:tc>
          <w:tcPr>
            <w:tcW w:type="dxa" w:w="1429"/>
            <w:tcBorders>
              <w:top w:val="double" w:color="000000" w:sz="12"/>
              <w:left w:val="none" w:color="000000" w:sz="4"/>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产品描述</w:t>
            </w:r>
          </w:p>
        </w:tc>
        <w:tc>
          <w:tcPr>
            <w:tcW w:type="dxa" w:w="1174"/>
            <w:gridSpan w:val="2"/>
            <w:tcBorders>
              <w:top w:val="double" w:color="000000" w:sz="12"/>
              <w:left w:val="none" w:color="000000" w:sz="4"/>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合同数量</w:t>
            </w:r>
          </w:p>
        </w:tc>
        <w:tc>
          <w:tcPr>
            <w:tcW w:type="dxa" w:w="1264"/>
            <w:tcBorders>
              <w:top w:val="double" w:color="000000" w:sz="12"/>
              <w:left w:val="none" w:color="000000" w:sz="4"/>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实到数量</w:t>
            </w:r>
          </w:p>
        </w:tc>
        <w:tc>
          <w:tcPr>
            <w:tcW w:type="dxa" w:w="1249"/>
            <w:tcBorders>
              <w:top w:val="double" w:color="000000" w:sz="12"/>
              <w:left w:val="none" w:color="000000" w:sz="4"/>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序列号</w:t>
            </w:r>
          </w:p>
        </w:tc>
        <w:tc>
          <w:tcPr>
            <w:tcW w:type="dxa" w:w="632"/>
            <w:gridSpan w:val="2"/>
            <w:tcBorders>
              <w:top w:val="double" w:color="000000" w:sz="12"/>
              <w:left w:val="none" w:color="000000" w:sz="4"/>
              <w:bottom w:val="single" w:color="000000" w:sz="4"/>
              <w:right w:val="double" w:color="000000" w:sz="12"/>
            </w:tcBorders>
            <w:shd w:fill="CCFFFF"/>
            <w:tcMar>
              <w:top w:type="dxa" w:w="0"/>
              <w:left w:type="dxa" w:w="105"/>
              <w:bottom w:type="dxa" w:w="0"/>
              <w:right w:type="dxa" w:w="105"/>
            </w:tcMar>
          </w:tcPr>
          <w:p>
            <w:pPr>
              <w:pStyle w:val="null3"/>
              <w:jc w:val="center"/>
            </w:pPr>
            <w:r>
              <w:rPr>
                <w:rFonts w:ascii="宋体" w:hAnsi="宋体" w:cs="宋体" w:eastAsia="宋体"/>
                <w:sz w:val="22"/>
                <w:b/>
                <w:color w:val="000000"/>
              </w:rPr>
              <w:t>备注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gridSpan w:val="2"/>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gridSpan w:val="2"/>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gridSpan w:val="2"/>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gridSpan w:val="2"/>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gridSpan w:val="2"/>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1790"/>
            <w:gridSpan w:val="3"/>
            <w:tcMar>
              <w:top w:type="dxa" w:w="0"/>
              <w:left w:type="dxa" w:w="105"/>
              <w:bottom w:type="dxa" w:w="0"/>
              <w:right w:type="dxa" w:w="105"/>
            </w:tcMar>
            <w:vAlign w:val="top"/>
          </w:tcPr>
          <w:p>
            <w:pPr>
              <w:pStyle w:val="null3"/>
            </w:pPr>
            <w:r>
              <w:rPr>
                <w:rFonts w:ascii="宋体" w:hAnsi="宋体" w:cs="宋体" w:eastAsia="宋体"/>
                <w:sz w:val="22"/>
              </w:rPr>
              <w:t>甲方：</w:t>
            </w:r>
          </w:p>
        </w:tc>
        <w:tc>
          <w:tcPr>
            <w:tcW w:type="dxa" w:w="2708"/>
            <w:gridSpan w:val="3"/>
            <w:tcMar>
              <w:top w:type="dxa" w:w="0"/>
              <w:left w:type="dxa" w:w="105"/>
              <w:bottom w:type="dxa" w:w="0"/>
              <w:right w:type="dxa" w:w="105"/>
            </w:tcMar>
            <w:vAlign w:val="top"/>
          </w:tcPr>
          <w:p>
            <w:pPr>
              <w:pStyle w:val="null3"/>
            </w:p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乙方集成商：</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r>
              <w:rPr>
                <w:rFonts w:ascii="宋体" w:hAnsi="宋体" w:cs="宋体" w:eastAsia="宋体"/>
                <w:sz w:val="22"/>
              </w:rPr>
              <w:t>工程师：</w:t>
            </w:r>
          </w:p>
        </w:tc>
        <w:tc>
          <w:tcPr>
            <w:tcW w:type="dxa" w:w="2708"/>
            <w:gridSpan w:val="3"/>
            <w:tcMar>
              <w:top w:type="dxa" w:w="0"/>
              <w:left w:type="dxa" w:w="105"/>
              <w:bottom w:type="dxa" w:w="0"/>
              <w:right w:type="dxa" w:w="105"/>
            </w:tcMar>
            <w:vAlign w:val="top"/>
          </w:tcPr>
          <w:p>
            <w:pPr>
              <w:pStyle w:val="null3"/>
            </w:p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工程师：</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r>
              <w:rPr>
                <w:rFonts w:ascii="宋体" w:hAnsi="宋体" w:cs="宋体" w:eastAsia="宋体"/>
                <w:sz w:val="22"/>
              </w:rPr>
              <w:t>日期：</w:t>
            </w:r>
          </w:p>
        </w:tc>
        <w:tc>
          <w:tcPr>
            <w:tcW w:type="dxa" w:w="2708"/>
            <w:gridSpan w:val="3"/>
            <w:tcMar>
              <w:top w:type="dxa" w:w="0"/>
              <w:left w:type="dxa" w:w="105"/>
              <w:bottom w:type="dxa" w:w="0"/>
              <w:right w:type="dxa" w:w="105"/>
            </w:tcMar>
            <w:vAlign w:val="top"/>
          </w:tcPr>
          <w:p>
            <w:pPr>
              <w:pStyle w:val="null3"/>
            </w:p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日期：</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p>
        </w:tc>
        <w:tc>
          <w:tcPr>
            <w:tcW w:type="dxa" w:w="2708"/>
            <w:gridSpan w:val="3"/>
            <w:tcMar>
              <w:top w:type="dxa" w:w="0"/>
              <w:left w:type="dxa" w:w="105"/>
              <w:bottom w:type="dxa" w:w="0"/>
              <w:right w:type="dxa" w:w="105"/>
            </w:tcMar>
            <w:vAlign w:val="top"/>
          </w:tcPr>
          <w:p/>
        </w:tc>
        <w:tc>
          <w:tcPr>
            <w:tcW w:type="dxa" w:w="3747"/>
            <w:gridSpan w:val="4"/>
            <w:tcMar>
              <w:top w:type="dxa" w:w="0"/>
              <w:left w:type="dxa" w:w="105"/>
              <w:bottom w:type="dxa" w:w="0"/>
              <w:right w:type="dxa" w:w="105"/>
            </w:tcMar>
            <w:vAlign w:val="top"/>
          </w:tcP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p>
        </w:tc>
        <w:tc>
          <w:tcPr>
            <w:tcW w:type="dxa" w:w="2708"/>
            <w:gridSpan w:val="3"/>
            <w:tcMar>
              <w:top w:type="dxa" w:w="0"/>
              <w:left w:type="dxa" w:w="105"/>
              <w:bottom w:type="dxa" w:w="0"/>
              <w:right w:type="dxa" w:w="105"/>
            </w:tcMar>
            <w:vAlign w:val="top"/>
          </w:tc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制造商：</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p>
        </w:tc>
        <w:tc>
          <w:tcPr>
            <w:tcW w:type="dxa" w:w="2708"/>
            <w:gridSpan w:val="3"/>
            <w:tcMar>
              <w:top w:type="dxa" w:w="0"/>
              <w:left w:type="dxa" w:w="105"/>
              <w:bottom w:type="dxa" w:w="0"/>
              <w:right w:type="dxa" w:w="105"/>
            </w:tcMar>
            <w:vAlign w:val="top"/>
          </w:tc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工程师：</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1790"/>
            <w:gridSpan w:val="3"/>
            <w:tcMar>
              <w:top w:type="dxa" w:w="0"/>
              <w:left w:type="dxa" w:w="105"/>
              <w:bottom w:type="dxa" w:w="0"/>
              <w:right w:type="dxa" w:w="105"/>
            </w:tcMar>
            <w:vAlign w:val="top"/>
          </w:tcPr>
          <w:p>
            <w:pPr>
              <w:pStyle w:val="null3"/>
            </w:pPr>
          </w:p>
        </w:tc>
        <w:tc>
          <w:tcPr>
            <w:tcW w:type="dxa" w:w="2708"/>
            <w:gridSpan w:val="3"/>
            <w:tcMar>
              <w:top w:type="dxa" w:w="0"/>
              <w:left w:type="dxa" w:w="105"/>
              <w:bottom w:type="dxa" w:w="0"/>
              <w:right w:type="dxa" w:w="105"/>
            </w:tcMar>
            <w:vAlign w:val="top"/>
          </w:tcPr>
          <w:p/>
        </w:tc>
        <w:tc>
          <w:tcPr>
            <w:tcW w:type="dxa" w:w="3747"/>
            <w:gridSpan w:val="4"/>
            <w:tcMar>
              <w:top w:type="dxa" w:w="0"/>
              <w:left w:type="dxa" w:w="105"/>
              <w:bottom w:type="dxa" w:w="0"/>
              <w:right w:type="dxa" w:w="105"/>
            </w:tcMar>
            <w:vAlign w:val="top"/>
          </w:tcPr>
          <w:p>
            <w:pPr>
              <w:pStyle w:val="null3"/>
            </w:pPr>
            <w:r>
              <w:rPr>
                <w:rFonts w:ascii="宋体" w:hAnsi="宋体" w:cs="宋体" w:eastAsia="宋体"/>
                <w:sz w:val="22"/>
              </w:rPr>
              <w:t>日期：</w:t>
            </w:r>
          </w:p>
        </w:tc>
        <w:tc>
          <w:tcPr>
            <w:tcW w:type="dxa" w:w="6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pPr>
            <w:r>
              <w:rPr>
                <w:rFonts w:ascii="&quot;times new roman&quot;, serif" w:hAnsi="&quot;times new roman&quot;, serif" w:cs="&quot;times new roman&quot;, serif" w:eastAsia="&quot;times new roman&quot;, serif"/>
                <w:sz w:val="21"/>
              </w:rPr>
              <w:t xml:space="preserve"> </w:t>
            </w:r>
          </w:p>
        </w:tc>
      </w:tr>
      <w:tr>
        <w:tc>
          <w:tcPr>
            <w:tcW w:type="dxa" w:w="391"/>
            <w:tcBorders>
              <w:top w:val="none" w:color="000000" w:sz="4"/>
              <w:left w:val="none" w:color="000000" w:sz="4"/>
              <w:bottom w:val="none" w:color="000000" w:sz="4"/>
              <w:right w:val="none" w:color="000000" w:sz="4"/>
            </w:tcBorders>
          </w:tcPr>
          <w:p>
            <w:pPr>
              <w:pStyle w:val="null3"/>
            </w:pPr>
            <w:r>
              <w:rPr/>
              <w:t xml:space="preserve"> </w:t>
            </w:r>
          </w:p>
        </w:tc>
        <w:tc>
          <w:tcPr>
            <w:tcW w:type="dxa" w:w="692"/>
            <w:tcBorders>
              <w:top w:val="none" w:color="000000" w:sz="4"/>
              <w:left w:val="none" w:color="000000" w:sz="4"/>
              <w:bottom w:val="none" w:color="000000" w:sz="4"/>
              <w:right w:val="none" w:color="000000" w:sz="4"/>
            </w:tcBorders>
          </w:tcPr>
          <w:p>
            <w:pPr>
              <w:pStyle w:val="null3"/>
            </w:pPr>
            <w:r>
              <w:rPr/>
              <w:t xml:space="preserve"> </w:t>
            </w:r>
          </w:p>
        </w:tc>
        <w:tc>
          <w:tcPr>
            <w:tcW w:type="dxa" w:w="707"/>
            <w:tcBorders>
              <w:top w:val="none" w:color="000000" w:sz="4"/>
              <w:left w:val="none" w:color="000000" w:sz="4"/>
              <w:bottom w:val="none" w:color="000000" w:sz="4"/>
              <w:right w:val="none" w:color="000000" w:sz="4"/>
            </w:tcBorders>
          </w:tcPr>
          <w:p>
            <w:pPr>
              <w:pStyle w:val="null3"/>
            </w:pPr>
            <w:r>
              <w:rPr/>
              <w:t xml:space="preserve"> </w:t>
            </w:r>
          </w:p>
        </w:tc>
        <w:tc>
          <w:tcPr>
            <w:tcW w:type="dxa" w:w="767"/>
            <w:tcBorders>
              <w:top w:val="none" w:color="000000" w:sz="4"/>
              <w:left w:val="none" w:color="000000" w:sz="4"/>
              <w:bottom w:val="none" w:color="000000" w:sz="4"/>
              <w:right w:val="none" w:color="000000" w:sz="4"/>
            </w:tcBorders>
          </w:tcPr>
          <w:p>
            <w:pPr>
              <w:pStyle w:val="null3"/>
            </w:pPr>
            <w:r>
              <w:rPr/>
              <w:t xml:space="preserve"> </w:t>
            </w:r>
          </w:p>
        </w:tc>
        <w:tc>
          <w:tcPr>
            <w:tcW w:type="dxa" w:w="1429"/>
            <w:tcBorders>
              <w:top w:val="none" w:color="000000" w:sz="4"/>
              <w:left w:val="none" w:color="000000" w:sz="4"/>
              <w:bottom w:val="none" w:color="000000" w:sz="4"/>
              <w:right w:val="none" w:color="000000" w:sz="4"/>
            </w:tcBorders>
          </w:tcPr>
          <w:p>
            <w:pPr>
              <w:pStyle w:val="null3"/>
            </w:pPr>
            <w:r>
              <w:rPr/>
              <w:t xml:space="preserve"> </w:t>
            </w:r>
          </w:p>
        </w:tc>
        <w:tc>
          <w:tcPr>
            <w:tcW w:type="dxa" w:w="512"/>
            <w:tcBorders>
              <w:top w:val="none" w:color="000000" w:sz="4"/>
              <w:left w:val="none" w:color="000000" w:sz="4"/>
              <w:bottom w:val="none" w:color="000000" w:sz="4"/>
              <w:right w:val="none" w:color="000000" w:sz="4"/>
            </w:tcBorders>
          </w:tcPr>
          <w:p>
            <w:pPr>
              <w:pStyle w:val="null3"/>
            </w:pPr>
            <w:r>
              <w:rPr/>
              <w:t xml:space="preserve"> </w:t>
            </w:r>
          </w:p>
        </w:tc>
        <w:tc>
          <w:tcPr>
            <w:tcW w:type="dxa" w:w="662"/>
            <w:tcBorders>
              <w:top w:val="none" w:color="000000" w:sz="4"/>
              <w:left w:val="none" w:color="000000" w:sz="4"/>
              <w:bottom w:val="none" w:color="000000" w:sz="4"/>
              <w:right w:val="none" w:color="000000" w:sz="4"/>
            </w:tcBorders>
          </w:tcPr>
          <w:p>
            <w:pPr>
              <w:pStyle w:val="null3"/>
            </w:pPr>
            <w:r>
              <w:rPr/>
              <w:t xml:space="preserve"> </w:t>
            </w:r>
          </w:p>
        </w:tc>
        <w:tc>
          <w:tcPr>
            <w:tcW w:type="dxa" w:w="1264"/>
            <w:tcBorders>
              <w:top w:val="none" w:color="000000" w:sz="4"/>
              <w:left w:val="none" w:color="000000" w:sz="4"/>
              <w:bottom w:val="none" w:color="000000" w:sz="4"/>
              <w:right w:val="none" w:color="000000" w:sz="4"/>
            </w:tcBorders>
          </w:tcPr>
          <w:p>
            <w:pPr>
              <w:pStyle w:val="null3"/>
            </w:pPr>
            <w:r>
              <w:rPr/>
              <w:t xml:space="preserve"> </w:t>
            </w:r>
          </w:p>
        </w:tc>
        <w:tc>
          <w:tcPr>
            <w:tcW w:type="dxa" w:w="1249"/>
            <w:tcBorders>
              <w:top w:val="none" w:color="000000" w:sz="4"/>
              <w:left w:val="none" w:color="000000" w:sz="4"/>
              <w:bottom w:val="none" w:color="000000" w:sz="4"/>
              <w:right w:val="none" w:color="000000" w:sz="4"/>
            </w:tcBorders>
          </w:tcPr>
          <w:p>
            <w:pPr>
              <w:pStyle w:val="null3"/>
            </w:pPr>
            <w:r>
              <w:rPr/>
              <w:t xml:space="preserve"> </w:t>
            </w:r>
          </w:p>
        </w:tc>
        <w:tc>
          <w:tcPr>
            <w:tcW w:type="dxa" w:w="572"/>
            <w:tcBorders>
              <w:top w:val="none" w:color="000000" w:sz="4"/>
              <w:left w:val="none" w:color="000000" w:sz="4"/>
              <w:bottom w:val="none" w:color="000000" w:sz="4"/>
              <w:right w:val="none" w:color="000000" w:sz="4"/>
            </w:tcBorders>
          </w:tcPr>
          <w:p>
            <w:pPr>
              <w:pStyle w:val="null3"/>
            </w:pPr>
            <w:r>
              <w:rPr/>
              <w:t xml:space="preserve"> </w:t>
            </w:r>
          </w:p>
        </w:tc>
        <w:tc>
          <w:tcPr>
            <w:tcW w:type="dxa" w:w="60"/>
            <w:tcBorders>
              <w:top w:val="none" w:color="000000" w:sz="4"/>
              <w:left w:val="none" w:color="000000" w:sz="4"/>
              <w:bottom w:val="none" w:color="000000" w:sz="4"/>
              <w:right w:val="none" w:color="000000" w:sz="4"/>
            </w:tcBorders>
          </w:tcPr>
          <w:p>
            <w:pPr>
              <w:pStyle w:val="null3"/>
            </w:pPr>
            <w:r>
              <w:rPr/>
              <w:t xml:space="preserve"> </w:t>
            </w:r>
          </w:p>
        </w:tc>
      </w:tr>
    </w:tbl>
    <w:p>
      <w:pPr>
        <w:pStyle w:val="null3"/>
      </w:pPr>
      <w:r>
        <w:rPr>
          <w:rFonts w:ascii="&quot;times new roman&quot;, serif" w:hAnsi="&quot;times new roman&quot;, serif" w:cs="&quot;times new roman&quot;, serif" w:eastAsia="&quot;times new roman&quot;, serif"/>
          <w:sz w:val="21"/>
          <w:b/>
        </w:rPr>
        <w:t>2.2</w:t>
      </w:r>
      <w:r>
        <w:rPr>
          <w:rFonts w:ascii="宋体" w:hAnsi="宋体" w:cs="宋体" w:eastAsia="宋体"/>
          <w:sz w:val="21"/>
          <w:b/>
        </w:rPr>
        <w:t>设备加电测试报告</w:t>
      </w:r>
    </w:p>
    <w:p>
      <w:pPr>
        <w:pStyle w:val="null3"/>
      </w:pPr>
      <w:r>
        <w:rPr>
          <w:rFonts w:ascii="宋体" w:hAnsi="宋体" w:cs="宋体" w:eastAsia="宋体"/>
          <w:sz w:val="21"/>
        </w:rPr>
        <w:t>合同编号：</w:t>
      </w:r>
    </w:p>
    <w:p>
      <w:pPr>
        <w:pStyle w:val="null3"/>
      </w:pPr>
      <w:r>
        <w:rPr>
          <w:rFonts w:ascii="宋体" w:hAnsi="宋体" w:cs="宋体" w:eastAsia="宋体"/>
          <w:sz w:val="21"/>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851"/>
        <w:gridCol w:w="2746"/>
        <w:gridCol w:w="2389"/>
        <w:gridCol w:w="2320"/>
      </w:tblGrid>
      <w:tr>
        <w:tc>
          <w:tcPr>
            <w:tcW w:type="dxa" w:w="851"/>
            <w:tcBorders>
              <w:top w:val="double" w:color="000000" w:sz="12"/>
              <w:left w:val="double" w:color="000000" w:sz="12"/>
              <w:bottom w:val="single" w:color="000000" w:sz="4"/>
              <w:right w:val="single" w:color="000000" w:sz="4"/>
            </w:tcBorders>
            <w:shd w:fill="CCFFFF"/>
            <w:tcMar>
              <w:top w:type="dxa" w:w="0"/>
              <w:left w:type="dxa" w:w="105"/>
              <w:bottom w:type="dxa" w:w="0"/>
              <w:right w:type="dxa" w:w="105"/>
            </w:tcMar>
          </w:tcPr>
          <w:p>
            <w:pPr>
              <w:pStyle w:val="null3"/>
              <w:jc w:val="center"/>
            </w:pPr>
            <w:r>
              <w:rPr>
                <w:rFonts w:ascii="宋体" w:hAnsi="宋体" w:cs="宋体" w:eastAsia="宋体"/>
                <w:sz w:val="21"/>
                <w:b/>
              </w:rPr>
              <w:t>测试项</w:t>
            </w:r>
          </w:p>
        </w:tc>
        <w:tc>
          <w:tcPr>
            <w:tcW w:type="dxa" w:w="2746"/>
            <w:tcBorders>
              <w:top w:val="double" w:color="000000" w:sz="12"/>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color w:val="000000"/>
              </w:rPr>
              <w:t>测试内容</w:t>
            </w:r>
          </w:p>
        </w:tc>
        <w:tc>
          <w:tcPr>
            <w:tcW w:type="dxa" w:w="2389"/>
            <w:tcBorders>
              <w:top w:val="double" w:color="000000" w:sz="12"/>
              <w:left w:val="none" w:color="000000" w:sz="4"/>
              <w:bottom w:val="single" w:color="000000" w:sz="4"/>
              <w:right w:val="single" w:color="000000" w:sz="4"/>
            </w:tcBorders>
            <w:shd w:fill="CCFFFF"/>
            <w:tcMar>
              <w:top w:type="dxa" w:w="0"/>
              <w:left w:type="dxa" w:w="105"/>
              <w:bottom w:type="dxa" w:w="0"/>
              <w:right w:type="dxa" w:w="105"/>
            </w:tcMar>
            <w:vAlign w:val="top"/>
          </w:tcPr>
          <w:p>
            <w:pPr>
              <w:pStyle w:val="null3"/>
              <w:jc w:val="center"/>
            </w:pPr>
            <w:r>
              <w:rPr>
                <w:rFonts w:ascii="宋体" w:hAnsi="宋体" w:cs="宋体" w:eastAsia="宋体"/>
                <w:sz w:val="21"/>
                <w:b/>
                <w:color w:val="000000"/>
              </w:rPr>
              <w:t>测试方法</w:t>
            </w:r>
          </w:p>
        </w:tc>
        <w:tc>
          <w:tcPr>
            <w:tcW w:type="dxa" w:w="2320"/>
            <w:tcBorders>
              <w:top w:val="double" w:color="000000" w:sz="12"/>
              <w:left w:val="none" w:color="000000" w:sz="4"/>
              <w:bottom w:val="single" w:color="000000" w:sz="4"/>
              <w:right w:val="double" w:color="000000" w:sz="12"/>
            </w:tcBorders>
            <w:shd w:fill="CCFFFF"/>
            <w:tcMar>
              <w:top w:type="dxa" w:w="0"/>
              <w:left w:type="dxa" w:w="105"/>
              <w:bottom w:type="dxa" w:w="0"/>
              <w:right w:type="dxa" w:w="105"/>
            </w:tcMar>
            <w:vAlign w:val="top"/>
          </w:tcPr>
          <w:p>
            <w:pPr>
              <w:pStyle w:val="null3"/>
              <w:jc w:val="center"/>
            </w:pPr>
            <w:r>
              <w:rPr>
                <w:rFonts w:ascii="宋体" w:hAnsi="宋体" w:cs="宋体" w:eastAsia="宋体"/>
                <w:sz w:val="21"/>
                <w:b/>
                <w:color w:val="000000"/>
              </w:rPr>
              <w:t>测试结果</w:t>
            </w:r>
          </w:p>
        </w:tc>
      </w:tr>
      <w:tr>
        <w:tc>
          <w:tcPr>
            <w:tcW w:type="dxa" w:w="851"/>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20"/>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851"/>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20"/>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851"/>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320"/>
            <w:tcBorders>
              <w:top w:val="none" w:color="000000" w:sz="4"/>
              <w:left w:val="none" w:color="000000" w:sz="4"/>
              <w:bottom w:val="single" w:color="000000" w:sz="4"/>
              <w:right w:val="double" w:color="000000" w:sz="12"/>
            </w:tcBorders>
            <w:tcMar>
              <w:top w:type="dxa" w:w="0"/>
              <w:left w:type="dxa" w:w="105"/>
              <w:bottom w:type="dxa" w:w="0"/>
              <w:right w:type="dxa" w:w="105"/>
            </w:tcMar>
          </w:tcPr>
          <w:p/>
        </w:tc>
      </w:tr>
      <w:tr>
        <w:tc>
          <w:tcPr>
            <w:tcW w:type="dxa" w:w="851"/>
            <w:tcBorders>
              <w:top w:val="none" w:color="000000" w:sz="4"/>
              <w:left w:val="double" w:color="000000" w:sz="12"/>
              <w:bottom w:val="double" w:color="000000" w:sz="12"/>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21"/>
              </w:rPr>
              <w:t>4</w:t>
            </w:r>
          </w:p>
        </w:tc>
        <w:tc>
          <w:tcPr>
            <w:tcW w:type="dxa" w:w="2746"/>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pPr>
          </w:p>
        </w:tc>
        <w:tc>
          <w:tcPr>
            <w:tcW w:type="dxa" w:w="2389"/>
            <w:tcBorders>
              <w:top w:val="none" w:color="000000" w:sz="4"/>
              <w:left w:val="none" w:color="000000" w:sz="4"/>
              <w:bottom w:val="double" w:color="000000" w:sz="12"/>
              <w:right w:val="single" w:color="000000" w:sz="4"/>
            </w:tcBorders>
            <w:tcMar>
              <w:top w:type="dxa" w:w="0"/>
              <w:left w:type="dxa" w:w="105"/>
              <w:bottom w:type="dxa" w:w="0"/>
              <w:right w:type="dxa" w:w="105"/>
            </w:tcMar>
          </w:tcPr>
          <w:p/>
        </w:tc>
        <w:tc>
          <w:tcPr>
            <w:tcW w:type="dxa" w:w="2320"/>
            <w:tcBorders>
              <w:top w:val="none" w:color="000000" w:sz="4"/>
              <w:left w:val="none" w:color="000000" w:sz="4"/>
              <w:bottom w:val="double" w:color="000000" w:sz="12"/>
              <w:right w:val="double" w:color="000000" w:sz="12"/>
            </w:tcBorders>
            <w:tcMar>
              <w:top w:type="dxa" w:w="0"/>
              <w:left w:type="dxa" w:w="105"/>
              <w:bottom w:type="dxa" w:w="0"/>
              <w:right w:type="dxa" w:w="105"/>
            </w:tcMar>
          </w:tcPr>
          <w:p/>
        </w:tc>
      </w:tr>
    </w:tbl>
    <w:tbl>
      <w:tblPr>
        <w:tblW w:w="0" w:type="auto"/>
        <w:tblBorders>
          <w:top w:val="single"/>
          <w:left w:val="single"/>
          <w:bottom w:val="single"/>
          <w:right w:val="single"/>
          <w:insideH w:val="single"/>
          <w:insideV w:val="single"/>
        </w:tblBorders>
      </w:tblPr>
      <w:tblGrid>
        <w:gridCol w:w="1938"/>
        <w:gridCol w:w="2741"/>
        <w:gridCol w:w="3627"/>
      </w:tblGrid>
      <w:tr>
        <w:tc>
          <w:tcPr>
            <w:tcW w:type="dxa" w:w="1938"/>
            <w:tcMar>
              <w:top w:type="dxa" w:w="0"/>
              <w:left w:type="dxa" w:w="105"/>
              <w:bottom w:type="dxa" w:w="0"/>
              <w:right w:type="dxa" w:w="105"/>
            </w:tcMar>
            <w:vAlign w:val="top"/>
          </w:tcPr>
          <w:p>
            <w:pPr>
              <w:pStyle w:val="null3"/>
            </w:pPr>
            <w:r>
              <w:rPr>
                <w:rFonts w:ascii="宋体" w:hAnsi="宋体" w:cs="宋体" w:eastAsia="宋体"/>
                <w:sz w:val="22"/>
              </w:rPr>
              <w:t>甲方：</w:t>
            </w:r>
          </w:p>
        </w:tc>
        <w:tc>
          <w:tcPr>
            <w:tcW w:type="dxa" w:w="2741"/>
            <w:tcMar>
              <w:top w:type="dxa" w:w="0"/>
              <w:left w:type="dxa" w:w="105"/>
              <w:bottom w:type="dxa" w:w="0"/>
              <w:right w:type="dxa" w:w="105"/>
            </w:tcMar>
            <w:vAlign w:val="top"/>
          </w:tcPr>
          <w:p>
            <w:pPr>
              <w:pStyle w:val="null3"/>
            </w:pPr>
          </w:p>
        </w:tc>
        <w:tc>
          <w:tcPr>
            <w:tcW w:type="dxa" w:w="3627"/>
            <w:tcMar>
              <w:top w:type="dxa" w:w="0"/>
              <w:left w:type="dxa" w:w="105"/>
              <w:bottom w:type="dxa" w:w="0"/>
              <w:right w:type="dxa" w:w="105"/>
            </w:tcMar>
            <w:vAlign w:val="top"/>
          </w:tcPr>
          <w:p>
            <w:pPr>
              <w:pStyle w:val="null3"/>
            </w:pPr>
            <w:r>
              <w:rPr>
                <w:rFonts w:ascii="宋体" w:hAnsi="宋体" w:cs="宋体" w:eastAsia="宋体"/>
                <w:sz w:val="22"/>
              </w:rPr>
              <w:t>乙方集成商：</w:t>
            </w:r>
          </w:p>
        </w:tc>
      </w:tr>
      <w:tr>
        <w:tc>
          <w:tcPr>
            <w:tcW w:type="dxa" w:w="1938"/>
            <w:tcMar>
              <w:top w:type="dxa" w:w="0"/>
              <w:left w:type="dxa" w:w="105"/>
              <w:bottom w:type="dxa" w:w="0"/>
              <w:right w:type="dxa" w:w="105"/>
            </w:tcMar>
            <w:vAlign w:val="top"/>
          </w:tcPr>
          <w:p>
            <w:pPr>
              <w:pStyle w:val="null3"/>
            </w:pPr>
            <w:r>
              <w:rPr>
                <w:rFonts w:ascii="宋体" w:hAnsi="宋体" w:cs="宋体" w:eastAsia="宋体"/>
                <w:sz w:val="22"/>
              </w:rPr>
              <w:t>工程师：</w:t>
            </w:r>
          </w:p>
        </w:tc>
        <w:tc>
          <w:tcPr>
            <w:tcW w:type="dxa" w:w="2741"/>
            <w:tcMar>
              <w:top w:type="dxa" w:w="0"/>
              <w:left w:type="dxa" w:w="105"/>
              <w:bottom w:type="dxa" w:w="0"/>
              <w:right w:type="dxa" w:w="105"/>
            </w:tcMar>
            <w:vAlign w:val="top"/>
          </w:tcPr>
          <w:p>
            <w:pPr>
              <w:pStyle w:val="null3"/>
            </w:pPr>
          </w:p>
        </w:tc>
        <w:tc>
          <w:tcPr>
            <w:tcW w:type="dxa" w:w="3627"/>
            <w:tcMar>
              <w:top w:type="dxa" w:w="0"/>
              <w:left w:type="dxa" w:w="105"/>
              <w:bottom w:type="dxa" w:w="0"/>
              <w:right w:type="dxa" w:w="105"/>
            </w:tcMar>
            <w:vAlign w:val="top"/>
          </w:tcPr>
          <w:p>
            <w:pPr>
              <w:pStyle w:val="null3"/>
            </w:pPr>
            <w:r>
              <w:rPr>
                <w:rFonts w:ascii="宋体" w:hAnsi="宋体" w:cs="宋体" w:eastAsia="宋体"/>
                <w:sz w:val="22"/>
              </w:rPr>
              <w:t>工程师：</w:t>
            </w:r>
          </w:p>
        </w:tc>
      </w:tr>
      <w:tr>
        <w:tc>
          <w:tcPr>
            <w:tcW w:type="dxa" w:w="1938"/>
            <w:tcMar>
              <w:top w:type="dxa" w:w="0"/>
              <w:left w:type="dxa" w:w="105"/>
              <w:bottom w:type="dxa" w:w="0"/>
              <w:right w:type="dxa" w:w="105"/>
            </w:tcMar>
            <w:vAlign w:val="top"/>
          </w:tcPr>
          <w:p>
            <w:pPr>
              <w:pStyle w:val="null3"/>
            </w:pPr>
            <w:r>
              <w:rPr>
                <w:rFonts w:ascii="宋体" w:hAnsi="宋体" w:cs="宋体" w:eastAsia="宋体"/>
                <w:sz w:val="22"/>
              </w:rPr>
              <w:t>日期：</w:t>
            </w:r>
          </w:p>
        </w:tc>
        <w:tc>
          <w:tcPr>
            <w:tcW w:type="dxa" w:w="2741"/>
            <w:tcMar>
              <w:top w:type="dxa" w:w="0"/>
              <w:left w:type="dxa" w:w="105"/>
              <w:bottom w:type="dxa" w:w="0"/>
              <w:right w:type="dxa" w:w="105"/>
            </w:tcMar>
            <w:vAlign w:val="top"/>
          </w:tcPr>
          <w:p>
            <w:pPr>
              <w:pStyle w:val="null3"/>
            </w:pPr>
          </w:p>
        </w:tc>
        <w:tc>
          <w:tcPr>
            <w:tcW w:type="dxa" w:w="3627"/>
            <w:tcMar>
              <w:top w:type="dxa" w:w="0"/>
              <w:left w:type="dxa" w:w="105"/>
              <w:bottom w:type="dxa" w:w="0"/>
              <w:right w:type="dxa" w:w="105"/>
            </w:tcMar>
            <w:vAlign w:val="top"/>
          </w:tcPr>
          <w:p>
            <w:pPr>
              <w:pStyle w:val="null3"/>
            </w:pPr>
            <w:r>
              <w:rPr>
                <w:rFonts w:ascii="宋体" w:hAnsi="宋体" w:cs="宋体" w:eastAsia="宋体"/>
                <w:sz w:val="22"/>
              </w:rPr>
              <w:t>日期：</w:t>
            </w:r>
          </w:p>
        </w:tc>
      </w:tr>
      <w:tr>
        <w:tc>
          <w:tcPr>
            <w:tcW w:type="dxa" w:w="1938"/>
            <w:tcMar>
              <w:top w:type="dxa" w:w="0"/>
              <w:left w:type="dxa" w:w="105"/>
              <w:bottom w:type="dxa" w:w="0"/>
              <w:right w:type="dxa" w:w="105"/>
            </w:tcMar>
            <w:vAlign w:val="top"/>
          </w:tcPr>
          <w:p>
            <w:pPr>
              <w:pStyle w:val="null3"/>
            </w:pPr>
          </w:p>
        </w:tc>
        <w:tc>
          <w:tcPr>
            <w:tcW w:type="dxa" w:w="2741"/>
            <w:tcMar>
              <w:top w:type="dxa" w:w="0"/>
              <w:left w:type="dxa" w:w="105"/>
              <w:bottom w:type="dxa" w:w="0"/>
              <w:right w:type="dxa" w:w="105"/>
            </w:tcMar>
            <w:vAlign w:val="top"/>
          </w:tcPr>
          <w:p/>
        </w:tc>
        <w:tc>
          <w:tcPr>
            <w:tcW w:type="dxa" w:w="3627"/>
            <w:tcMar>
              <w:top w:type="dxa" w:w="0"/>
              <w:left w:type="dxa" w:w="105"/>
              <w:bottom w:type="dxa" w:w="0"/>
              <w:right w:type="dxa" w:w="105"/>
            </w:tcMar>
            <w:vAlign w:val="top"/>
          </w:tcPr>
          <w:p/>
        </w:tc>
      </w:tr>
      <w:tr>
        <w:tc>
          <w:tcPr>
            <w:tcW w:type="dxa" w:w="1938"/>
            <w:tcMar>
              <w:top w:type="dxa" w:w="0"/>
              <w:left w:type="dxa" w:w="105"/>
              <w:bottom w:type="dxa" w:w="0"/>
              <w:right w:type="dxa" w:w="105"/>
            </w:tcMar>
            <w:vAlign w:val="top"/>
          </w:tcPr>
          <w:p/>
        </w:tc>
        <w:tc>
          <w:tcPr>
            <w:tcW w:type="dxa" w:w="2741"/>
            <w:tcMar>
              <w:top w:type="dxa" w:w="0"/>
              <w:left w:type="dxa" w:w="105"/>
              <w:bottom w:type="dxa" w:w="0"/>
              <w:right w:type="dxa" w:w="105"/>
            </w:tcMar>
            <w:vAlign w:val="top"/>
          </w:tcPr>
          <w:p/>
        </w:tc>
        <w:tc>
          <w:tcPr>
            <w:tcW w:type="dxa" w:w="3627"/>
            <w:tcMar>
              <w:top w:type="dxa" w:w="0"/>
              <w:left w:type="dxa" w:w="105"/>
              <w:bottom w:type="dxa" w:w="0"/>
              <w:right w:type="dxa" w:w="105"/>
            </w:tcMar>
            <w:vAlign w:val="top"/>
          </w:tcPr>
          <w:p>
            <w:pPr>
              <w:pStyle w:val="null3"/>
            </w:pPr>
            <w:r>
              <w:rPr>
                <w:rFonts w:ascii="宋体" w:hAnsi="宋体" w:cs="宋体" w:eastAsia="宋体"/>
                <w:sz w:val="22"/>
              </w:rPr>
              <w:t>制造商：</w:t>
            </w:r>
          </w:p>
        </w:tc>
      </w:tr>
      <w:tr>
        <w:tc>
          <w:tcPr>
            <w:tcW w:type="dxa" w:w="1938"/>
            <w:tcMar>
              <w:top w:type="dxa" w:w="0"/>
              <w:left w:type="dxa" w:w="105"/>
              <w:bottom w:type="dxa" w:w="0"/>
              <w:right w:type="dxa" w:w="105"/>
            </w:tcMar>
            <w:vAlign w:val="top"/>
          </w:tcPr>
          <w:p>
            <w:pPr>
              <w:pStyle w:val="null3"/>
            </w:pPr>
          </w:p>
        </w:tc>
        <w:tc>
          <w:tcPr>
            <w:tcW w:type="dxa" w:w="2741"/>
            <w:tcMar>
              <w:top w:type="dxa" w:w="0"/>
              <w:left w:type="dxa" w:w="105"/>
              <w:bottom w:type="dxa" w:w="0"/>
              <w:right w:type="dxa" w:w="105"/>
            </w:tcMar>
            <w:vAlign w:val="top"/>
          </w:tcPr>
          <w:p/>
        </w:tc>
        <w:tc>
          <w:tcPr>
            <w:tcW w:type="dxa" w:w="3627"/>
            <w:tcMar>
              <w:top w:type="dxa" w:w="0"/>
              <w:left w:type="dxa" w:w="105"/>
              <w:bottom w:type="dxa" w:w="0"/>
              <w:right w:type="dxa" w:w="105"/>
            </w:tcMar>
            <w:vAlign w:val="top"/>
          </w:tcPr>
          <w:p>
            <w:pPr>
              <w:pStyle w:val="null3"/>
            </w:pPr>
            <w:r>
              <w:rPr>
                <w:rFonts w:ascii="宋体" w:hAnsi="宋体" w:cs="宋体" w:eastAsia="宋体"/>
                <w:sz w:val="22"/>
              </w:rPr>
              <w:t>工程师：</w:t>
            </w:r>
          </w:p>
        </w:tc>
      </w:tr>
      <w:tr>
        <w:tc>
          <w:tcPr>
            <w:tcW w:type="dxa" w:w="1938"/>
            <w:tcMar>
              <w:top w:type="dxa" w:w="0"/>
              <w:left w:type="dxa" w:w="105"/>
              <w:bottom w:type="dxa" w:w="0"/>
              <w:right w:type="dxa" w:w="105"/>
            </w:tcMar>
            <w:vAlign w:val="top"/>
          </w:tcPr>
          <w:p>
            <w:pPr>
              <w:pStyle w:val="null3"/>
            </w:pPr>
          </w:p>
        </w:tc>
        <w:tc>
          <w:tcPr>
            <w:tcW w:type="dxa" w:w="2741"/>
            <w:tcMar>
              <w:top w:type="dxa" w:w="0"/>
              <w:left w:type="dxa" w:w="105"/>
              <w:bottom w:type="dxa" w:w="0"/>
              <w:right w:type="dxa" w:w="105"/>
            </w:tcMar>
            <w:vAlign w:val="top"/>
          </w:tcPr>
          <w:p/>
        </w:tc>
        <w:tc>
          <w:tcPr>
            <w:tcW w:type="dxa" w:w="3627"/>
            <w:tcMar>
              <w:top w:type="dxa" w:w="0"/>
              <w:left w:type="dxa" w:w="105"/>
              <w:bottom w:type="dxa" w:w="0"/>
              <w:right w:type="dxa" w:w="105"/>
            </w:tcMar>
            <w:vAlign w:val="top"/>
          </w:tcPr>
          <w:p>
            <w:pPr>
              <w:pStyle w:val="null3"/>
            </w:pPr>
            <w:r>
              <w:rPr>
                <w:rFonts w:ascii="宋体" w:hAnsi="宋体" w:cs="宋体" w:eastAsia="宋体"/>
                <w:sz w:val="22"/>
              </w:rPr>
              <w:t>日期：</w:t>
            </w:r>
          </w:p>
        </w:tc>
      </w:tr>
    </w:tbl>
    <w:p>
      <w:pPr>
        <w:pStyle w:val="null3"/>
      </w:pPr>
      <w:r>
        <w:rPr>
          <w:rFonts w:ascii="&quot;times new roman&quot;, serif" w:hAnsi="&quot;times new roman&quot;, serif" w:cs="&quot;times new roman&quot;, serif" w:eastAsia="&quot;times new roman&quot;, serif"/>
          <w:sz w:val="21"/>
          <w:b/>
        </w:rPr>
        <w:t>2.3</w:t>
      </w:r>
      <w:r>
        <w:rPr>
          <w:rFonts w:ascii="宋体" w:hAnsi="宋体" w:cs="宋体" w:eastAsia="宋体"/>
          <w:sz w:val="21"/>
          <w:b/>
        </w:rPr>
        <w:t>初验报告</w:t>
      </w:r>
    </w:p>
    <w:p>
      <w:pPr>
        <w:pStyle w:val="null3"/>
        <w:jc w:val="center"/>
      </w:pPr>
      <w:r>
        <w:rPr>
          <w:rFonts w:ascii="宋体" w:hAnsi="宋体" w:cs="宋体" w:eastAsia="宋体"/>
          <w:sz w:val="21"/>
          <w:b/>
        </w:rPr>
        <w:t>中国人民银行清算总中心</w:t>
      </w:r>
    </w:p>
    <w:p>
      <w:pPr>
        <w:pStyle w:val="null3"/>
        <w:jc w:val="center"/>
      </w:pPr>
      <w:r>
        <w:rPr>
          <w:rFonts w:ascii="&quot;times new roman&quot;, serif" w:hAnsi="&quot;times new roman&quot;, serif" w:cs="&quot;times new roman&quot;, serif" w:eastAsia="&quot;times new roman&quot;, serif"/>
          <w:sz w:val="21"/>
          <w:b/>
          <w:u w:val="single"/>
        </w:rPr>
        <w:t xml:space="preserve">                  </w:t>
      </w:r>
      <w:r>
        <w:rPr>
          <w:rFonts w:ascii="宋体" w:hAnsi="宋体" w:cs="宋体" w:eastAsia="宋体"/>
          <w:sz w:val="21"/>
          <w:b/>
        </w:rPr>
        <w:t>合同</w:t>
      </w:r>
    </w:p>
    <w:p>
      <w:pPr>
        <w:pStyle w:val="null3"/>
        <w:jc w:val="center"/>
      </w:pPr>
      <w:r>
        <w:rPr>
          <w:rFonts w:ascii="宋体" w:hAnsi="宋体" w:cs="宋体" w:eastAsia="宋体"/>
          <w:sz w:val="21"/>
          <w:b/>
        </w:rPr>
        <w:t>初验报告</w:t>
      </w:r>
    </w:p>
    <w:p>
      <w:pPr>
        <w:pStyle w:val="null3"/>
        <w:jc w:val="center"/>
      </w:pPr>
      <w:r>
        <w:rPr>
          <w:rFonts w:ascii="宋体" w:hAnsi="宋体" w:cs="宋体" w:eastAsia="宋体"/>
          <w:sz w:val="21"/>
          <w:b/>
        </w:rPr>
        <w:t>甲方</w:t>
      </w:r>
      <w:r>
        <w:rPr>
          <w:rFonts w:ascii="宋体" w:hAnsi="宋体" w:cs="宋体" w:eastAsia="宋体"/>
          <w:sz w:val="21"/>
        </w:rPr>
        <w:t>：中国人民银行清算总中心中志公司</w:t>
      </w:r>
    </w:p>
    <w:p>
      <w:pPr>
        <w:pStyle w:val="null3"/>
      </w:pPr>
      <w:r>
        <w:rPr>
          <w:rFonts w:ascii="宋体" w:hAnsi="宋体" w:cs="宋体" w:eastAsia="宋体"/>
          <w:sz w:val="21"/>
          <w:b/>
        </w:rPr>
        <w:t>乙方</w:t>
      </w:r>
      <w:r>
        <w:rPr>
          <w:rFonts w:ascii="宋体" w:hAnsi="宋体" w:cs="宋体" w:eastAsia="宋体"/>
          <w:sz w:val="21"/>
        </w:rPr>
        <w:t>：</w:t>
      </w:r>
      <w:r>
        <w:rPr>
          <w:rFonts w:ascii="&quot;times new roman&quot;, serif" w:hAnsi="&quot;times new roman&quot;, serif" w:cs="&quot;times new roman&quot;, serif" w:eastAsia="&quot;times new roman&quot;, serif"/>
          <w:sz w:val="21"/>
        </w:rPr>
        <w:t>XXX</w:t>
      </w:r>
    </w:p>
    <w:p>
      <w:pPr>
        <w:pStyle w:val="null3"/>
      </w:pPr>
      <w:r>
        <w:rPr>
          <w:rFonts w:ascii="宋体" w:hAnsi="宋体" w:cs="宋体" w:eastAsia="宋体"/>
          <w:sz w:val="21"/>
          <w:b/>
        </w:rPr>
        <w:t>合同名称</w:t>
      </w:r>
      <w:r>
        <w:rPr>
          <w:rFonts w:ascii="宋体" w:hAnsi="宋体" w:cs="宋体" w:eastAsia="宋体"/>
          <w:sz w:val="21"/>
        </w:rPr>
        <w:t>：“”</w:t>
      </w:r>
    </w:p>
    <w:p>
      <w:pPr>
        <w:pStyle w:val="null3"/>
      </w:pPr>
      <w:r>
        <w:rPr>
          <w:rFonts w:ascii="宋体" w:hAnsi="宋体" w:cs="宋体" w:eastAsia="宋体"/>
          <w:sz w:val="21"/>
          <w:b/>
        </w:rPr>
        <w:t>合同编号：</w:t>
      </w:r>
    </w:p>
    <w:p>
      <w:pPr>
        <w:pStyle w:val="null3"/>
      </w:pPr>
      <w:r>
        <w:rPr>
          <w:rFonts w:ascii="宋体" w:hAnsi="宋体" w:cs="宋体" w:eastAsia="宋体"/>
          <w:sz w:val="21"/>
        </w:rPr>
        <w:t>根据该合同相关条款，</w:t>
      </w:r>
      <w:r>
        <w:rPr>
          <w:rFonts w:ascii="&quot;times new roman&quot;, serif" w:hAnsi="&quot;times new roman&quot;, serif" w:cs="&quot;times new roman&quot;, serif" w:eastAsia="&quot;times new roman&quot;, serif"/>
          <w:sz w:val="21"/>
        </w:rPr>
        <w:t>XXX</w:t>
      </w:r>
      <w:r>
        <w:rPr>
          <w:rFonts w:ascii="宋体" w:hAnsi="宋体" w:cs="宋体" w:eastAsia="宋体"/>
          <w:sz w:val="21"/>
        </w:rPr>
        <w:t>已完成合同中规定的有关初验的各项条款的内容（验收细则如下：所有测试项目的测试结果与预期结果相符合，进入投产运行阶段次日起二十日内设备未出现任何问题后视为该合同初验合格）。设备测试结果满足合同要求，双方已完成系统初验。</w:t>
      </w:r>
    </w:p>
    <w:p>
      <w:pPr>
        <w:pStyle w:val="null3"/>
        <w:ind w:firstLine="630"/>
      </w:pPr>
      <w:r>
        <w:rPr>
          <w:rFonts w:ascii="宋体" w:hAnsi="宋体" w:cs="宋体" w:eastAsia="宋体"/>
          <w:sz w:val="21"/>
        </w:rPr>
        <w:t>甲方（签字代表）：</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乙方（签字代表）：</w:t>
      </w:r>
    </w:p>
    <w:p>
      <w:pPr>
        <w:pStyle w:val="null3"/>
      </w:pPr>
      <w:r>
        <w:rPr>
          <w:rFonts w:ascii="宋体" w:hAnsi="宋体" w:cs="宋体" w:eastAsia="宋体"/>
          <w:sz w:val="21"/>
        </w:rPr>
        <w:t>日期：</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日期：</w:t>
      </w:r>
    </w:p>
    <w:p>
      <w:pPr>
        <w:pStyle w:val="null3"/>
      </w:pPr>
      <w:r>
        <w:rPr>
          <w:rFonts w:ascii="&quot;times new roman&quot;, serif" w:hAnsi="&quot;times new roman&quot;, serif" w:cs="&quot;times new roman&quot;, serif" w:eastAsia="&quot;times new roman&quot;, serif"/>
          <w:sz w:val="21"/>
          <w:b/>
        </w:rPr>
        <w:t>2.4</w:t>
      </w:r>
      <w:r>
        <w:rPr>
          <w:rFonts w:ascii="宋体" w:hAnsi="宋体" w:cs="宋体" w:eastAsia="宋体"/>
          <w:sz w:val="21"/>
          <w:b/>
        </w:rPr>
        <w:t>终验报告</w:t>
      </w:r>
    </w:p>
    <w:p>
      <w:pPr>
        <w:pStyle w:val="null3"/>
        <w:jc w:val="center"/>
      </w:pPr>
      <w:r>
        <w:rPr>
          <w:rFonts w:ascii="宋体" w:hAnsi="宋体" w:cs="宋体" w:eastAsia="宋体"/>
          <w:sz w:val="21"/>
          <w:b/>
        </w:rPr>
        <w:t>中国人民银行清算总中心</w:t>
      </w:r>
    </w:p>
    <w:p>
      <w:pPr>
        <w:pStyle w:val="null3"/>
        <w:jc w:val="center"/>
      </w:pPr>
      <w:r>
        <w:rPr>
          <w:rFonts w:ascii="&quot;times new roman&quot;, serif" w:hAnsi="&quot;times new roman&quot;, serif" w:cs="&quot;times new roman&quot;, serif" w:eastAsia="&quot;times new roman&quot;, serif"/>
          <w:sz w:val="21"/>
          <w:b/>
          <w:u w:val="single"/>
        </w:rPr>
        <w:t xml:space="preserve">                  </w:t>
      </w:r>
      <w:r>
        <w:rPr>
          <w:rFonts w:ascii="宋体" w:hAnsi="宋体" w:cs="宋体" w:eastAsia="宋体"/>
          <w:sz w:val="21"/>
          <w:b/>
        </w:rPr>
        <w:t>采购合同</w:t>
      </w:r>
    </w:p>
    <w:p>
      <w:pPr>
        <w:pStyle w:val="null3"/>
        <w:jc w:val="center"/>
      </w:pPr>
      <w:r>
        <w:rPr>
          <w:rFonts w:ascii="宋体" w:hAnsi="宋体" w:cs="宋体" w:eastAsia="宋体"/>
          <w:sz w:val="21"/>
          <w:b/>
        </w:rPr>
        <w:t>终验报告</w:t>
      </w:r>
    </w:p>
    <w:p>
      <w:pPr>
        <w:pStyle w:val="null3"/>
      </w:pPr>
      <w:r>
        <w:rPr>
          <w:rFonts w:ascii="宋体" w:hAnsi="宋体" w:cs="宋体" w:eastAsia="宋体"/>
          <w:sz w:val="21"/>
          <w:b/>
        </w:rPr>
        <w:t>甲方</w:t>
      </w:r>
      <w:r>
        <w:rPr>
          <w:rFonts w:ascii="宋体" w:hAnsi="宋体" w:cs="宋体" w:eastAsia="宋体"/>
          <w:sz w:val="21"/>
        </w:rPr>
        <w:t>：中国人民银行清算总中心中志公司</w:t>
      </w:r>
    </w:p>
    <w:p>
      <w:pPr>
        <w:pStyle w:val="null3"/>
      </w:pPr>
      <w:r>
        <w:rPr>
          <w:rFonts w:ascii="宋体" w:hAnsi="宋体" w:cs="宋体" w:eastAsia="宋体"/>
          <w:sz w:val="21"/>
          <w:b/>
        </w:rPr>
        <w:t>乙方</w:t>
      </w:r>
      <w:r>
        <w:rPr>
          <w:rFonts w:ascii="宋体" w:hAnsi="宋体" w:cs="宋体" w:eastAsia="宋体"/>
          <w:sz w:val="21"/>
        </w:rPr>
        <w:t>：</w:t>
      </w:r>
      <w:r>
        <w:rPr>
          <w:rFonts w:ascii="&quot;times new roman&quot;, serif" w:hAnsi="&quot;times new roman&quot;, serif" w:cs="&quot;times new roman&quot;, serif" w:eastAsia="&quot;times new roman&quot;, serif"/>
          <w:sz w:val="21"/>
        </w:rPr>
        <w:t>XXX</w:t>
      </w:r>
    </w:p>
    <w:p>
      <w:pPr>
        <w:pStyle w:val="null3"/>
        <w:ind w:left="1050"/>
      </w:pPr>
      <w:r>
        <w:rPr>
          <w:rFonts w:ascii="宋体" w:hAnsi="宋体" w:cs="宋体" w:eastAsia="宋体"/>
          <w:sz w:val="21"/>
          <w:b/>
        </w:rPr>
        <w:t>合同名称：“”</w:t>
      </w:r>
    </w:p>
    <w:p>
      <w:pPr>
        <w:pStyle w:val="null3"/>
      </w:pPr>
      <w:r>
        <w:rPr>
          <w:rFonts w:ascii="宋体" w:hAnsi="宋体" w:cs="宋体" w:eastAsia="宋体"/>
          <w:sz w:val="21"/>
          <w:b/>
        </w:rPr>
        <w:t>合同编号：</w:t>
      </w:r>
    </w:p>
    <w:p>
      <w:pPr>
        <w:pStyle w:val="null3"/>
      </w:pPr>
      <w:r>
        <w:rPr>
          <w:rFonts w:ascii="宋体" w:hAnsi="宋体" w:cs="宋体" w:eastAsia="宋体"/>
          <w:sz w:val="21"/>
        </w:rPr>
        <w:t>根据该合同相关条款，</w:t>
      </w:r>
      <w:r>
        <w:rPr>
          <w:rFonts w:ascii="&quot;times new roman&quot;, serif" w:hAnsi="&quot;times new roman&quot;, serif" w:cs="&quot;times new roman&quot;, serif" w:eastAsia="&quot;times new roman&quot;, serif"/>
          <w:sz w:val="21"/>
        </w:rPr>
        <w:t>XXX</w:t>
      </w:r>
      <w:r>
        <w:rPr>
          <w:rFonts w:ascii="宋体" w:hAnsi="宋体" w:cs="宋体" w:eastAsia="宋体"/>
          <w:sz w:val="21"/>
        </w:rPr>
        <w:t>已完成合同中规定的有关终验的各项条款的内容（验收细则如下：完成初验后，试运行期为初验完成次日起三个月，在此期间无系统故障视为终验合格，如果出现任何故障，由乙方在甲方指定的期限内进行解决，试运行期在解决故障后次日起重新计算，并以此类推）。设备测试结果满足合同要求，双方已完成系统终验。</w:t>
      </w:r>
    </w:p>
    <w:p>
      <w:pPr>
        <w:pStyle w:val="null3"/>
        <w:ind w:firstLine="600"/>
      </w:pPr>
      <w:r>
        <w:rPr>
          <w:rFonts w:ascii="宋体" w:hAnsi="宋体" w:cs="宋体" w:eastAsia="宋体"/>
          <w:sz w:val="21"/>
        </w:rPr>
        <w:t>甲方（签字代表）：</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乙方（签字代表）：</w:t>
      </w:r>
    </w:p>
    <w:p>
      <w:pPr>
        <w:pStyle w:val="null3"/>
      </w:pPr>
      <w:r>
        <w:rPr>
          <w:rFonts w:ascii="宋体" w:hAnsi="宋体" w:cs="宋体" w:eastAsia="宋体"/>
          <w:sz w:val="21"/>
        </w:rPr>
        <w:t>日期：</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日期：</w:t>
      </w:r>
    </w:p>
    <w:p>
      <w:pPr>
        <w:pStyle w:val="null3"/>
      </w:pPr>
      <w:r>
        <w:rPr>
          <w:rFonts w:ascii="&quot;times new roman&quot;, serif" w:hAnsi="&quot;times new roman&quot;, serif" w:cs="&quot;times new roman&quot;, serif" w:eastAsia="&quot;times new roman&quot;, serif"/>
          <w:sz w:val="21"/>
          <w:b/>
        </w:rPr>
        <w:t>2.5</w:t>
      </w:r>
      <w:r>
        <w:rPr>
          <w:rFonts w:ascii="宋体" w:hAnsi="宋体" w:cs="宋体" w:eastAsia="宋体"/>
          <w:sz w:val="21"/>
          <w:b/>
        </w:rPr>
        <w:t>质量保证期报告</w:t>
      </w:r>
    </w:p>
    <w:p>
      <w:pPr>
        <w:pStyle w:val="null3"/>
        <w:jc w:val="center"/>
      </w:pPr>
      <w:r>
        <w:rPr>
          <w:rFonts w:ascii="宋体" w:hAnsi="宋体" w:cs="宋体" w:eastAsia="宋体"/>
          <w:sz w:val="21"/>
          <w:b/>
        </w:rPr>
        <w:t>中国人民银行清算总中心</w:t>
      </w:r>
    </w:p>
    <w:p>
      <w:pPr>
        <w:pStyle w:val="null3"/>
        <w:jc w:val="center"/>
      </w:pPr>
      <w:r>
        <w:rPr>
          <w:rFonts w:ascii="&quot;times new roman&quot;, serif" w:hAnsi="&quot;times new roman&quot;, serif" w:cs="&quot;times new roman&quot;, serif" w:eastAsia="&quot;times new roman&quot;, serif"/>
          <w:sz w:val="21"/>
          <w:b/>
          <w:u w:val="single"/>
        </w:rPr>
        <w:t xml:space="preserve">                </w:t>
      </w:r>
      <w:r>
        <w:rPr>
          <w:rFonts w:ascii="宋体" w:hAnsi="宋体" w:cs="宋体" w:eastAsia="宋体"/>
          <w:sz w:val="21"/>
          <w:b/>
        </w:rPr>
        <w:t>采购合同</w:t>
      </w:r>
    </w:p>
    <w:p>
      <w:pPr>
        <w:pStyle w:val="null3"/>
        <w:jc w:val="center"/>
      </w:pPr>
      <w:r>
        <w:rPr>
          <w:rFonts w:ascii="宋体" w:hAnsi="宋体" w:cs="宋体" w:eastAsia="宋体"/>
          <w:sz w:val="21"/>
          <w:b/>
        </w:rPr>
        <w:t>质量保证期报告</w:t>
      </w:r>
    </w:p>
    <w:p>
      <w:pPr>
        <w:pStyle w:val="null3"/>
      </w:pPr>
      <w:r>
        <w:rPr>
          <w:rFonts w:ascii="宋体" w:hAnsi="宋体" w:cs="宋体" w:eastAsia="宋体"/>
          <w:sz w:val="21"/>
          <w:b/>
        </w:rPr>
        <w:t>甲方</w:t>
      </w:r>
      <w:r>
        <w:rPr>
          <w:rFonts w:ascii="宋体" w:hAnsi="宋体" w:cs="宋体" w:eastAsia="宋体"/>
          <w:sz w:val="21"/>
        </w:rPr>
        <w:t>：中国人民银行清算总中心中志公司</w:t>
      </w:r>
    </w:p>
    <w:p>
      <w:pPr>
        <w:pStyle w:val="null3"/>
      </w:pPr>
      <w:r>
        <w:rPr>
          <w:rFonts w:ascii="宋体" w:hAnsi="宋体" w:cs="宋体" w:eastAsia="宋体"/>
          <w:sz w:val="21"/>
          <w:b/>
        </w:rPr>
        <w:t>乙方</w:t>
      </w:r>
      <w:r>
        <w:rPr>
          <w:rFonts w:ascii="宋体" w:hAnsi="宋体" w:cs="宋体" w:eastAsia="宋体"/>
          <w:sz w:val="21"/>
        </w:rPr>
        <w:t>：</w:t>
      </w:r>
      <w:r>
        <w:rPr>
          <w:rFonts w:ascii="&quot;times new roman&quot;, serif" w:hAnsi="&quot;times new roman&quot;, serif" w:cs="&quot;times new roman&quot;, serif" w:eastAsia="&quot;times new roman&quot;, serif"/>
          <w:sz w:val="21"/>
        </w:rPr>
        <w:t>XXX</w:t>
      </w:r>
    </w:p>
    <w:p>
      <w:pPr>
        <w:pStyle w:val="null3"/>
        <w:ind w:left="945"/>
      </w:pPr>
      <w:r>
        <w:rPr>
          <w:rFonts w:ascii="宋体" w:hAnsi="宋体" w:cs="宋体" w:eastAsia="宋体"/>
          <w:sz w:val="21"/>
          <w:b/>
        </w:rPr>
        <w:t>合同名称</w:t>
      </w:r>
      <w:r>
        <w:rPr>
          <w:rFonts w:ascii="宋体" w:hAnsi="宋体" w:cs="宋体" w:eastAsia="宋体"/>
          <w:sz w:val="21"/>
        </w:rPr>
        <w:t>：</w:t>
      </w:r>
      <w:r>
        <w:rPr>
          <w:rFonts w:ascii="宋体" w:hAnsi="宋体" w:cs="宋体" w:eastAsia="宋体"/>
          <w:sz w:val="21"/>
          <w:b/>
        </w:rPr>
        <w:t>“”</w:t>
      </w:r>
    </w:p>
    <w:p>
      <w:pPr>
        <w:pStyle w:val="null3"/>
      </w:pPr>
      <w:r>
        <w:rPr>
          <w:rFonts w:ascii="宋体" w:hAnsi="宋体" w:cs="宋体" w:eastAsia="宋体"/>
          <w:sz w:val="21"/>
          <w:b/>
        </w:rPr>
        <w:t>合同编号：</w:t>
      </w:r>
    </w:p>
    <w:p>
      <w:pPr>
        <w:pStyle w:val="null3"/>
      </w:pPr>
      <w:r>
        <w:rPr>
          <w:rFonts w:ascii="宋体" w:hAnsi="宋体" w:cs="宋体" w:eastAsia="宋体"/>
          <w:sz w:val="21"/>
        </w:rPr>
        <w:t>根据该合同相关条款，</w:t>
      </w:r>
      <w:r>
        <w:rPr>
          <w:rFonts w:ascii="&quot;times new roman&quot;, serif" w:hAnsi="&quot;times new roman&quot;, serif" w:cs="&quot;times new roman&quot;, serif" w:eastAsia="&quot;times new roman&quot;, serif"/>
          <w:sz w:val="21"/>
        </w:rPr>
        <w:t>XXX</w:t>
      </w:r>
      <w:r>
        <w:rPr>
          <w:rFonts w:ascii="宋体" w:hAnsi="宋体" w:cs="宋体" w:eastAsia="宋体"/>
          <w:sz w:val="21"/>
        </w:rPr>
        <w:t>的服务质量满足合同技术支持和售后服务相关要求（验收细则如下：系统终验完成次日起满三年，原厂的服务质量符合合同要求，双方签署质量保证期报告。）。双方已完成系统质量保证期验收。</w:t>
      </w:r>
    </w:p>
    <w:p>
      <w:pPr>
        <w:pStyle w:val="null3"/>
        <w:ind w:firstLine="420"/>
      </w:pPr>
      <w:r>
        <w:rPr>
          <w:rFonts w:ascii="宋体" w:hAnsi="宋体" w:cs="宋体" w:eastAsia="宋体"/>
          <w:sz w:val="21"/>
        </w:rPr>
        <w:t>甲方（签字代表）：</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乙方（签字代表）：</w:t>
      </w:r>
    </w:p>
    <w:p>
      <w:pPr>
        <w:pStyle w:val="null3"/>
      </w:pPr>
      <w:r>
        <w:rPr>
          <w:rFonts w:ascii="宋体" w:hAnsi="宋体" w:cs="宋体" w:eastAsia="宋体"/>
          <w:sz w:val="21"/>
        </w:rPr>
        <w:t>日期：</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日期：</w:t>
      </w:r>
    </w:p>
    <w:p>
      <w:pPr>
        <w:pStyle w:val="null3"/>
      </w:pPr>
      <w:r>
        <w:rPr>
          <w:rFonts w:ascii="宋体" w:hAnsi="宋体" w:cs="宋体" w:eastAsia="宋体"/>
          <w:sz w:val="21"/>
          <w:b/>
        </w:rPr>
        <w:t>附件六：付款申请</w:t>
      </w:r>
    </w:p>
    <w:p>
      <w:pPr>
        <w:pStyle w:val="null3"/>
        <w:ind w:right="-270"/>
        <w:jc w:val="center"/>
      </w:pPr>
      <w:r>
        <w:rPr>
          <w:rFonts w:ascii="仿宋" w:hAnsi="仿宋" w:cs="仿宋" w:eastAsia="仿宋"/>
          <w:sz w:val="32"/>
          <w:b/>
        </w:rPr>
        <w:t>付款申请单</w:t>
      </w:r>
    </w:p>
    <w:p>
      <w:pPr>
        <w:pStyle w:val="null3"/>
      </w:pPr>
      <w:r>
        <w:rPr>
          <w:rFonts w:ascii="宋体" w:hAnsi="宋体" w:cs="宋体" w:eastAsia="宋体"/>
          <w:sz w:val="21"/>
          <w:b/>
        </w:rPr>
        <w:t>中国人民银行清算总中心</w:t>
      </w:r>
      <w:r>
        <w:rPr>
          <w:rFonts w:ascii="&quot;times new roman&quot;, serif" w:hAnsi="&quot;times new roman&quot;, serif" w:cs="&quot;times new roman&quot;, serif" w:eastAsia="&quot;times new roman&quot;, serif"/>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2961"/>
        <w:gridCol w:w="5344"/>
      </w:tblGrid>
      <w:tr>
        <w:tc>
          <w:tcPr>
            <w:tcW w:type="dxa" w:w="29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合同名称</w:t>
            </w:r>
          </w:p>
        </w:tc>
        <w:tc>
          <w:tcPr>
            <w:tcW w:type="dxa" w:w="5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合同编号</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签约日期</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合同金额</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申请付款金额</w:t>
            </w:r>
          </w:p>
          <w:p>
            <w:pPr>
              <w:pStyle w:val="null3"/>
              <w:jc w:val="center"/>
            </w:pPr>
            <w:r>
              <w:rPr>
                <w:rFonts w:ascii="宋体" w:hAnsi="宋体" w:cs="宋体" w:eastAsia="宋体"/>
                <w:sz w:val="21"/>
              </w:rPr>
              <w:t>（比例</w:t>
            </w:r>
            <w:r>
              <w:rPr>
                <w:rFonts w:ascii="&quot;times new roman&quot;, serif" w:hAnsi="&quot;times new roman&quot;, serif" w:cs="&quot;times new roman&quot;, serif" w:eastAsia="&quot;times new roman&quot;, serif"/>
                <w:sz w:val="21"/>
              </w:rPr>
              <w:t>/</w:t>
            </w:r>
            <w:r>
              <w:rPr>
                <w:rFonts w:ascii="宋体" w:hAnsi="宋体" w:cs="宋体" w:eastAsia="宋体"/>
                <w:sz w:val="21"/>
              </w:rPr>
              <w:t>期数）</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本次付款条件</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收款信息</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pPr>
            <w:r>
              <w:rPr>
                <w:rFonts w:ascii="宋体" w:hAnsi="宋体" w:cs="宋体" w:eastAsia="宋体"/>
                <w:sz w:val="21"/>
              </w:rPr>
              <w:t>户名：</w:t>
            </w:r>
          </w:p>
          <w:p>
            <w:pPr>
              <w:pStyle w:val="null3"/>
              <w:spacing w:after="120"/>
            </w:pPr>
            <w:r>
              <w:rPr>
                <w:rFonts w:ascii="宋体" w:hAnsi="宋体" w:cs="宋体" w:eastAsia="宋体"/>
                <w:sz w:val="21"/>
              </w:rPr>
              <w:t>帐号：</w:t>
            </w:r>
          </w:p>
          <w:p>
            <w:pPr>
              <w:pStyle w:val="null3"/>
              <w:spacing w:after="120"/>
            </w:pPr>
            <w:r>
              <w:rPr>
                <w:rFonts w:ascii="宋体" w:hAnsi="宋体" w:cs="宋体" w:eastAsia="宋体"/>
                <w:sz w:val="21"/>
              </w:rPr>
              <w:t>开户行：</w:t>
            </w:r>
          </w:p>
          <w:p>
            <w:pPr>
              <w:pStyle w:val="null3"/>
              <w:spacing w:after="120"/>
            </w:pPr>
            <w:r>
              <w:rPr>
                <w:rFonts w:ascii="宋体" w:hAnsi="宋体" w:cs="宋体" w:eastAsia="宋体"/>
                <w:sz w:val="21"/>
              </w:rPr>
              <w:t>大小额汇路行号：</w:t>
            </w:r>
          </w:p>
        </w:tc>
      </w:tr>
      <w:tr>
        <w:tc>
          <w:tcPr>
            <w:tcW w:type="dxa" w:w="29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联系人及电话</w:t>
            </w:r>
          </w:p>
        </w:tc>
        <w:tc>
          <w:tcPr>
            <w:tcW w:type="dxa" w:w="5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right"/>
      </w:pP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公司</w:t>
      </w:r>
      <w:r>
        <w:rPr>
          <w:rFonts w:ascii="&quot;times new roman&quot;, serif" w:hAnsi="&quot;times new roman&quot;, serif" w:cs="&quot;times new roman&quot;, serif" w:eastAsia="&quot;times new roman&quot;, serif"/>
          <w:sz w:val="21"/>
        </w:rPr>
        <w:t>(</w:t>
      </w:r>
      <w:r>
        <w:rPr>
          <w:rFonts w:ascii="宋体" w:hAnsi="宋体" w:cs="宋体" w:eastAsia="宋体"/>
          <w:sz w:val="21"/>
        </w:rPr>
        <w:t>盖章</w:t>
      </w:r>
      <w:r>
        <w:rPr>
          <w:rFonts w:ascii="&quot;times new roman&quot;, serif" w:hAnsi="&quot;times new roman&quot;, serif" w:cs="&quot;times new roman&quot;, serif" w:eastAsia="&quot;times new roman&quot;, serif"/>
          <w:sz w:val="21"/>
        </w:rPr>
        <w:t>)</w:t>
      </w:r>
    </w:p>
    <w:p>
      <w:pPr>
        <w:pStyle w:val="null3"/>
        <w:jc w:val="right"/>
      </w:pP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p>
      <w:pPr>
        <w:pStyle w:val="null3"/>
        <w:spacing w:after="120"/>
      </w:pPr>
      <w:r>
        <w:rPr>
          <w:rFonts w:ascii="宋体" w:hAnsi="宋体" w:cs="宋体" w:eastAsia="宋体"/>
          <w:sz w:val="21"/>
          <w:b/>
        </w:rPr>
        <w:t>附件七：外包服务人员保密和信息安全承诺书</w:t>
      </w:r>
    </w:p>
    <w:p>
      <w:pPr>
        <w:pStyle w:val="null3"/>
        <w:ind w:firstLine="422"/>
        <w:jc w:val="center"/>
      </w:pPr>
      <w:r>
        <w:rPr>
          <w:rFonts w:ascii="宋体" w:hAnsi="宋体" w:cs="宋体" w:eastAsia="宋体"/>
          <w:sz w:val="21"/>
          <w:b/>
        </w:rPr>
        <w:t>外包服务人员保密和信息安全承诺书</w:t>
      </w:r>
    </w:p>
    <w:p>
      <w:pPr>
        <w:pStyle w:val="null3"/>
        <w:ind w:firstLine="420"/>
        <w:jc w:val="both"/>
      </w:pPr>
      <w:r>
        <w:rPr>
          <w:rFonts w:ascii="宋体" w:hAnsi="宋体" w:cs="宋体" w:eastAsia="宋体"/>
          <w:sz w:val="21"/>
        </w:rPr>
        <w:t>本人</w:t>
      </w:r>
      <w:r>
        <w:rPr>
          <w:rFonts w:ascii="&quot;arial&quot;, sans-serif" w:hAnsi="&quot;arial&quot;, sans-serif" w:cs="&quot;arial&quot;, sans-serif" w:eastAsia="&quot;arial&quot;, sans-serif"/>
          <w:sz w:val="21"/>
        </w:rPr>
        <w:t>____</w:t>
      </w:r>
      <w:r>
        <w:rPr>
          <w:rFonts w:ascii="宋体" w:hAnsi="宋体" w:cs="宋体" w:eastAsia="宋体"/>
          <w:sz w:val="21"/>
        </w:rPr>
        <w:t>受雇于</w:t>
      </w:r>
      <w:r>
        <w:rPr>
          <w:rFonts w:ascii="宋体" w:hAnsi="宋体" w:cs="宋体" w:eastAsia="宋体"/>
          <w:sz w:val="21"/>
        </w:rPr>
        <w:t>，被派驻至中国人民银行清算总中心中志公司参加</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服务。本人已被告知清算总中心保密和信息安全有关规章制度和工作要求，知悉应当承担的保密和信息安全义务，在此庄重承诺：</w:t>
      </w:r>
    </w:p>
    <w:p>
      <w:pPr>
        <w:pStyle w:val="null3"/>
        <w:ind w:firstLine="420"/>
        <w:jc w:val="both"/>
      </w:pPr>
      <w:r>
        <w:rPr>
          <w:rFonts w:ascii="宋体" w:hAnsi="宋体" w:cs="宋体" w:eastAsia="宋体"/>
          <w:sz w:val="21"/>
        </w:rPr>
        <w:t>本人承诺，自觉遵守国家保密和信息安全法律、法规以及人民银行、清算总中心的规章制度，履行保密和信息安全义务。</w:t>
      </w:r>
    </w:p>
    <w:p>
      <w:pPr>
        <w:pStyle w:val="null3"/>
        <w:ind w:firstLine="420"/>
        <w:jc w:val="both"/>
      </w:pPr>
      <w:r>
        <w:rPr>
          <w:rFonts w:ascii="宋体" w:hAnsi="宋体" w:cs="宋体" w:eastAsia="宋体"/>
          <w:sz w:val="21"/>
        </w:rPr>
        <w:t>本人承诺，除非得到合法授权或批准，永不泄露所知悉的国家秘密、人民银行工作秘密和总中心内部敏感信息。</w:t>
      </w:r>
    </w:p>
    <w:p>
      <w:pPr>
        <w:pStyle w:val="null3"/>
        <w:ind w:firstLine="420"/>
        <w:jc w:val="both"/>
      </w:pPr>
      <w:r>
        <w:rPr>
          <w:rFonts w:ascii="宋体" w:hAnsi="宋体" w:cs="宋体" w:eastAsia="宋体"/>
          <w:sz w:val="21"/>
        </w:rPr>
        <w:t>本人承诺，不私自以任何形式留存涉及国家秘密信息、人民银行工作秘密信息的载体；不在非涉密网络、设备、手机以及公共网盘、文库、代码托管平台、自建文件服务器、社交平台等互联网暴露区域存储、处理、传输涉及国家秘密信息、人民银行工作秘密信息和总中心内部敏感信息。</w:t>
      </w:r>
    </w:p>
    <w:p>
      <w:pPr>
        <w:pStyle w:val="null3"/>
        <w:ind w:firstLine="420"/>
        <w:jc w:val="both"/>
      </w:pPr>
      <w:r>
        <w:rPr>
          <w:rFonts w:ascii="宋体" w:hAnsi="宋体" w:cs="宋体" w:eastAsia="宋体"/>
          <w:sz w:val="21"/>
        </w:rPr>
        <w:t>本人承诺，发现他人违反敏感信息保护要求，泄露清算总中心敏感信息时，立即予以制止，并及时向项目组进行报告。</w:t>
      </w:r>
    </w:p>
    <w:p>
      <w:pPr>
        <w:pStyle w:val="null3"/>
        <w:ind w:firstLine="420"/>
        <w:jc w:val="both"/>
      </w:pPr>
      <w:r>
        <w:rPr>
          <w:rFonts w:ascii="宋体" w:hAnsi="宋体" w:cs="宋体" w:eastAsia="宋体"/>
          <w:sz w:val="21"/>
        </w:rPr>
        <w:t>本人承诺，未经人民银行、清算总中心审查批准，不擅自发表涉及国家、人民银行及清算总中心未公开工作内容的文章、著述。</w:t>
      </w:r>
    </w:p>
    <w:p>
      <w:pPr>
        <w:pStyle w:val="null3"/>
        <w:ind w:firstLine="420"/>
        <w:jc w:val="both"/>
      </w:pPr>
      <w:r>
        <w:rPr>
          <w:rFonts w:ascii="宋体" w:hAnsi="宋体" w:cs="宋体" w:eastAsia="宋体"/>
          <w:sz w:val="21"/>
        </w:rPr>
        <w:t>本人承诺，不制作、复制、查阅和传播以下信息：</w:t>
      </w:r>
    </w:p>
    <w:p>
      <w:pPr>
        <w:pStyle w:val="null3"/>
        <w:ind w:firstLine="420"/>
        <w:jc w:val="both"/>
      </w:pPr>
      <w:r>
        <w:rPr>
          <w:rFonts w:ascii="宋体" w:hAnsi="宋体" w:cs="宋体" w:eastAsia="宋体"/>
          <w:sz w:val="21"/>
        </w:rPr>
        <w:t>反对宪法所确定的基本原则的；</w:t>
      </w:r>
    </w:p>
    <w:p>
      <w:pPr>
        <w:pStyle w:val="null3"/>
        <w:ind w:firstLine="420"/>
        <w:jc w:val="both"/>
      </w:pPr>
      <w:r>
        <w:rPr>
          <w:rFonts w:ascii="宋体" w:hAnsi="宋体" w:cs="宋体" w:eastAsia="宋体"/>
          <w:sz w:val="21"/>
        </w:rPr>
        <w:t>危害国家安全，泄露国家秘密，颠覆国家政权，破坏国家统一的；</w:t>
      </w:r>
    </w:p>
    <w:p>
      <w:pPr>
        <w:pStyle w:val="null3"/>
        <w:ind w:firstLine="420"/>
        <w:jc w:val="both"/>
      </w:pPr>
      <w:r>
        <w:rPr>
          <w:rFonts w:ascii="宋体" w:hAnsi="宋体" w:cs="宋体" w:eastAsia="宋体"/>
          <w:sz w:val="21"/>
        </w:rPr>
        <w:t>损害国家荣誉和利益的；</w:t>
      </w:r>
    </w:p>
    <w:p>
      <w:pPr>
        <w:pStyle w:val="null3"/>
        <w:ind w:firstLine="420"/>
        <w:jc w:val="both"/>
      </w:pPr>
      <w:r>
        <w:rPr>
          <w:rFonts w:ascii="宋体" w:hAnsi="宋体" w:cs="宋体" w:eastAsia="宋体"/>
          <w:sz w:val="21"/>
        </w:rPr>
        <w:t>煽动民族仇恨、民族歧视，破坏民族团结的；</w:t>
      </w:r>
    </w:p>
    <w:p>
      <w:pPr>
        <w:pStyle w:val="null3"/>
        <w:ind w:firstLine="420"/>
        <w:jc w:val="both"/>
      </w:pPr>
      <w:r>
        <w:rPr>
          <w:rFonts w:ascii="宋体" w:hAnsi="宋体" w:cs="宋体" w:eastAsia="宋体"/>
          <w:sz w:val="21"/>
        </w:rPr>
        <w:t>破坏国家宗教政策，宣扬邪教和封建迷信的；</w:t>
      </w:r>
    </w:p>
    <w:p>
      <w:pPr>
        <w:pStyle w:val="null3"/>
        <w:ind w:firstLine="420"/>
        <w:jc w:val="both"/>
      </w:pPr>
      <w:r>
        <w:rPr>
          <w:rFonts w:ascii="宋体" w:hAnsi="宋体" w:cs="宋体" w:eastAsia="宋体"/>
          <w:sz w:val="21"/>
        </w:rPr>
        <w:t>散布谣言，扰乱社会秩序，破坏社会稳定的；</w:t>
      </w:r>
    </w:p>
    <w:p>
      <w:pPr>
        <w:pStyle w:val="null3"/>
        <w:ind w:firstLine="420"/>
        <w:jc w:val="both"/>
      </w:pPr>
      <w:r>
        <w:rPr>
          <w:rFonts w:ascii="宋体" w:hAnsi="宋体" w:cs="宋体" w:eastAsia="宋体"/>
          <w:sz w:val="21"/>
        </w:rPr>
        <w:t>散布淫秽、色情、赌博、暴力、凶杀、恐怖或者教唆犯罪的；</w:t>
      </w:r>
    </w:p>
    <w:p>
      <w:pPr>
        <w:pStyle w:val="null3"/>
        <w:ind w:firstLine="420"/>
        <w:jc w:val="both"/>
      </w:pPr>
      <w:r>
        <w:rPr>
          <w:rFonts w:ascii="宋体" w:hAnsi="宋体" w:cs="宋体" w:eastAsia="宋体"/>
          <w:sz w:val="21"/>
        </w:rPr>
        <w:t>侮辱或者诽谤他人，侵害他人合法权益的；</w:t>
      </w:r>
    </w:p>
    <w:p>
      <w:pPr>
        <w:pStyle w:val="null3"/>
        <w:ind w:firstLine="420"/>
        <w:jc w:val="both"/>
      </w:pPr>
      <w:r>
        <w:rPr>
          <w:rFonts w:ascii="宋体" w:hAnsi="宋体" w:cs="宋体" w:eastAsia="宋体"/>
          <w:sz w:val="21"/>
        </w:rPr>
        <w:t>内含法律、行政法规禁止的其他资料的。</w:t>
      </w:r>
    </w:p>
    <w:p>
      <w:pPr>
        <w:pStyle w:val="null3"/>
        <w:ind w:firstLine="420"/>
        <w:jc w:val="both"/>
      </w:pPr>
      <w:r>
        <w:rPr>
          <w:rFonts w:ascii="宋体" w:hAnsi="宋体" w:cs="宋体" w:eastAsia="宋体"/>
          <w:sz w:val="21"/>
        </w:rPr>
        <w:t>本人承诺，不从事下列危网络安全的活动：</w:t>
      </w:r>
    </w:p>
    <w:p>
      <w:pPr>
        <w:pStyle w:val="null3"/>
        <w:ind w:firstLine="420"/>
        <w:jc w:val="both"/>
      </w:pPr>
      <w:r>
        <w:rPr>
          <w:rFonts w:ascii="宋体" w:hAnsi="宋体" w:cs="宋体" w:eastAsia="宋体"/>
          <w:sz w:val="21"/>
        </w:rPr>
        <w:t>未经允许，进入或使用网络与信息系统的；</w:t>
      </w:r>
    </w:p>
    <w:p>
      <w:pPr>
        <w:pStyle w:val="null3"/>
        <w:ind w:firstLine="420"/>
        <w:jc w:val="both"/>
      </w:pPr>
      <w:r>
        <w:rPr>
          <w:rFonts w:ascii="宋体" w:hAnsi="宋体" w:cs="宋体" w:eastAsia="宋体"/>
          <w:sz w:val="21"/>
        </w:rPr>
        <w:t>未经允许，对网络与信息系统进行删除、修改或者增加的；</w:t>
      </w:r>
    </w:p>
    <w:p>
      <w:pPr>
        <w:pStyle w:val="null3"/>
        <w:ind w:firstLine="420"/>
        <w:jc w:val="both"/>
      </w:pPr>
      <w:r>
        <w:rPr>
          <w:rFonts w:ascii="宋体" w:hAnsi="宋体" w:cs="宋体" w:eastAsia="宋体"/>
          <w:sz w:val="21"/>
        </w:rPr>
        <w:t>未经允许，对网络与信息系统中存储或者传输的数据和应用程序进行删除、修改或者增加的；</w:t>
      </w:r>
    </w:p>
    <w:p>
      <w:pPr>
        <w:pStyle w:val="null3"/>
        <w:ind w:firstLine="420"/>
        <w:jc w:val="both"/>
      </w:pPr>
      <w:r>
        <w:rPr>
          <w:rFonts w:ascii="宋体" w:hAnsi="宋体" w:cs="宋体" w:eastAsia="宋体"/>
          <w:sz w:val="21"/>
        </w:rPr>
        <w:t>故意制作、传播计算机病毒等破坏性程序的；</w:t>
      </w:r>
    </w:p>
    <w:p>
      <w:pPr>
        <w:pStyle w:val="null3"/>
        <w:ind w:firstLine="420"/>
        <w:jc w:val="both"/>
      </w:pPr>
      <w:r>
        <w:rPr>
          <w:rFonts w:ascii="宋体" w:hAnsi="宋体" w:cs="宋体" w:eastAsia="宋体"/>
          <w:sz w:val="21"/>
        </w:rPr>
        <w:t>其他危害计算机信息网络安全的。</w:t>
      </w:r>
    </w:p>
    <w:p>
      <w:pPr>
        <w:pStyle w:val="null3"/>
        <w:ind w:firstLine="420"/>
        <w:jc w:val="both"/>
      </w:pPr>
      <w:r>
        <w:rPr>
          <w:rFonts w:ascii="宋体" w:hAnsi="宋体" w:cs="宋体" w:eastAsia="宋体"/>
          <w:sz w:val="21"/>
        </w:rPr>
        <w:t>本人承诺，未经允许不得擅自访问驻场指定区域以外的办公区域，不得将没有使用权的清算总中心物品带出办公区域。</w:t>
      </w:r>
    </w:p>
    <w:p>
      <w:pPr>
        <w:pStyle w:val="null3"/>
        <w:ind w:firstLine="420"/>
        <w:jc w:val="both"/>
      </w:pPr>
      <w:r>
        <w:rPr>
          <w:rFonts w:ascii="宋体" w:hAnsi="宋体" w:cs="宋体" w:eastAsia="宋体"/>
          <w:sz w:val="21"/>
        </w:rPr>
        <w:t>本人承诺，按要求接入并访问清算总中心网络与信息系统，不私自更换网络接入位置和网络地址，不利用清算总中心网络环境从事与工作无关的活动。</w:t>
      </w:r>
    </w:p>
    <w:p>
      <w:pPr>
        <w:pStyle w:val="null3"/>
        <w:ind w:firstLine="420"/>
        <w:jc w:val="both"/>
      </w:pPr>
      <w:r>
        <w:rPr>
          <w:rFonts w:ascii="宋体" w:hAnsi="宋体" w:cs="宋体" w:eastAsia="宋体"/>
          <w:sz w:val="21"/>
        </w:rPr>
        <w:t>本人承诺，遵守落实各项信息安全技术防护措施，包含但不限于安装商业化的防病毒软件、定期进行操作系统和应用软件补丁修复、设置高强度的口令账户等，确保提供服务的办公环境安全可靠。</w:t>
      </w:r>
    </w:p>
    <w:p>
      <w:pPr>
        <w:pStyle w:val="null3"/>
        <w:ind w:firstLine="420"/>
        <w:jc w:val="both"/>
      </w:pPr>
      <w:r>
        <w:rPr>
          <w:rFonts w:ascii="宋体" w:hAnsi="宋体" w:cs="宋体" w:eastAsia="宋体"/>
          <w:sz w:val="21"/>
        </w:rPr>
        <w:t>本人承诺，发现存在信息安全隐患或发生信息安全事件时，立刻采取补救措施并保存原始记录，同时向项目组进行报告，决不隐瞒。</w:t>
      </w:r>
    </w:p>
    <w:p>
      <w:pPr>
        <w:pStyle w:val="null3"/>
        <w:ind w:firstLine="420"/>
        <w:jc w:val="both"/>
      </w:pPr>
      <w:r>
        <w:rPr>
          <w:rFonts w:ascii="宋体" w:hAnsi="宋体" w:cs="宋体" w:eastAsia="宋体"/>
          <w:sz w:val="21"/>
        </w:rPr>
        <w:t>违反上述承诺，本人自愿承担党纪、政纪和法律后果，服从公司评价考核相关惩戒。</w:t>
      </w:r>
    </w:p>
    <w:p>
      <w:pPr>
        <w:pStyle w:val="null3"/>
        <w:ind w:firstLine="420"/>
        <w:jc w:val="both"/>
      </w:pPr>
      <w:r>
        <w:rPr>
          <w:rFonts w:ascii="宋体" w:hAnsi="宋体" w:cs="宋体" w:eastAsia="宋体"/>
          <w:sz w:val="21"/>
        </w:rPr>
        <w:t>上述所有条款本人已仔细阅读，对其中的所有内容没有异议。</w:t>
      </w:r>
    </w:p>
    <w:p>
      <w:pPr>
        <w:pStyle w:val="null3"/>
        <w:ind w:firstLine="420"/>
        <w:jc w:val="both"/>
      </w:pPr>
      <w:r>
        <w:rPr>
          <w:rFonts w:ascii="宋体" w:hAnsi="宋体" w:cs="宋体" w:eastAsia="宋体"/>
          <w:sz w:val="21"/>
        </w:rPr>
        <w:t>本承诺书一式叁份，分别由承诺人、承诺人所在单位、清算总中心项目承担部门（外包使用部门）留存，自签字之日起生效。</w:t>
      </w:r>
    </w:p>
    <w:p>
      <w:pPr>
        <w:pStyle w:val="null3"/>
        <w:ind w:firstLine="420"/>
        <w:jc w:val="right"/>
      </w:pP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承诺人（签字）</w:t>
      </w:r>
      <w:r>
        <w:rPr>
          <w:rFonts w:ascii="&quot;arial&quot;, sans-serif" w:hAnsi="&quot;arial&quot;, sans-serif" w:cs="&quot;arial&quot;, sans-serif" w:eastAsia="&quot;arial&quot;, sans-serif"/>
          <w:sz w:val="21"/>
        </w:rPr>
        <w:t xml:space="preserve">:               </w:t>
      </w:r>
    </w:p>
    <w:p>
      <w:pPr>
        <w:pStyle w:val="null3"/>
        <w:ind w:firstLine="420"/>
        <w:jc w:val="right"/>
      </w:pPr>
      <w:r>
        <w:rPr>
          <w:rFonts w:ascii="宋体" w:hAnsi="宋体" w:cs="宋体" w:eastAsia="宋体"/>
          <w:sz w:val="21"/>
        </w:rPr>
        <w:t>身份证号：</w:t>
      </w:r>
      <w:r>
        <w:rPr>
          <w:rFonts w:ascii="&quot;times new roman&quot;, serif" w:hAnsi="&quot;times new roman&quot;, serif" w:cs="&quot;times new roman&quot;, serif" w:eastAsia="&quot;times new roman&quot;, serif"/>
          <w:sz w:val="21"/>
        </w:rPr>
        <w:t xml:space="preserve">              </w:t>
      </w:r>
    </w:p>
    <w:p>
      <w:pPr>
        <w:pStyle w:val="null3"/>
        <w:ind w:firstLine="420"/>
        <w:jc w:val="right"/>
      </w:pPr>
      <w:r>
        <w:rPr>
          <w:rFonts w:ascii="宋体" w:hAnsi="宋体" w:cs="宋体" w:eastAsia="宋体"/>
          <w:sz w:val="21"/>
        </w:rPr>
        <w:t>联系方式：</w:t>
      </w:r>
      <w:r>
        <w:rPr>
          <w:rFonts w:ascii="&quot;times new roman&quot;, serif" w:hAnsi="&quot;times new roman&quot;, serif" w:cs="&quot;times new roman&quot;, serif" w:eastAsia="&quot;times new roman&quot;, serif"/>
          <w:sz w:val="21"/>
        </w:rPr>
        <w:t xml:space="preserve">            </w:t>
      </w:r>
    </w:p>
    <w:p>
      <w:pPr>
        <w:pStyle w:val="null3"/>
        <w:ind w:firstLine="420"/>
        <w:jc w:val="right"/>
      </w:pPr>
      <w:r>
        <w:rPr>
          <w:rFonts w:ascii="宋体" w:hAnsi="宋体" w:cs="宋体" w:eastAsia="宋体"/>
          <w:sz w:val="21"/>
        </w:rPr>
        <w:t>承诺人所在单位（盖章）：</w:t>
      </w:r>
      <w:r>
        <w:rPr>
          <w:rFonts w:ascii="&quot;times new roman&quot;, serif" w:hAnsi="&quot;times new roman&quot;, serif" w:cs="&quot;times new roman&quot;, serif" w:eastAsia="&quot;times new roman&quot;, serif"/>
          <w:sz w:val="21"/>
        </w:rPr>
        <w:t xml:space="preserve">            </w:t>
      </w:r>
    </w:p>
    <w:p>
      <w:pPr>
        <w:pStyle w:val="null3"/>
        <w:ind w:firstLine="420"/>
        <w:jc w:val="right"/>
      </w:pP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p>
      <w:pPr>
        <w:pStyle w:val="null3"/>
      </w:pPr>
      <w:r>
        <w:rPr>
          <w:rFonts w:ascii="宋体" w:hAnsi="宋体" w:cs="宋体" w:eastAsia="宋体"/>
          <w:sz w:val="21"/>
          <w:b/>
        </w:rPr>
        <w:t>附件八：保密和信息安全承诺书</w:t>
      </w:r>
    </w:p>
    <w:p>
      <w:pPr>
        <w:pStyle w:val="null3"/>
        <w:ind w:firstLine="422"/>
        <w:jc w:val="center"/>
      </w:pPr>
      <w:r>
        <w:rPr>
          <w:rFonts w:ascii="宋体" w:hAnsi="宋体" w:cs="宋体" w:eastAsia="宋体"/>
          <w:sz w:val="21"/>
          <w:b/>
        </w:rPr>
        <w:t>保密和信息安全承诺书</w:t>
      </w:r>
    </w:p>
    <w:p>
      <w:pPr>
        <w:pStyle w:val="null3"/>
        <w:jc w:val="both"/>
      </w:pPr>
      <w:r>
        <w:rPr>
          <w:rFonts w:ascii="宋体" w:hAnsi="宋体" w:cs="宋体" w:eastAsia="宋体"/>
          <w:sz w:val="21"/>
        </w:rPr>
        <w:t>致中国人民银行清算总中心中志公司（以下简称甲方）：</w:t>
      </w:r>
    </w:p>
    <w:p>
      <w:pPr>
        <w:pStyle w:val="null3"/>
        <w:ind w:firstLine="420"/>
        <w:jc w:val="both"/>
      </w:pPr>
      <w:r>
        <w:rPr>
          <w:rFonts w:ascii="宋体" w:hAnsi="宋体" w:cs="宋体" w:eastAsia="宋体"/>
          <w:sz w:val="21"/>
        </w:rPr>
        <w:t>甲方与乙方（</w:t>
      </w:r>
      <w:r>
        <w:rPr>
          <w:rFonts w:ascii="&quot;arial&quot;, sans-serif" w:hAnsi="&quot;arial&quot;, sans-serif" w:cs="&quot;arial&quot;, sans-serif" w:eastAsia="&quot;arial&quot;, sans-serif"/>
          <w:sz w:val="21"/>
        </w:rPr>
        <w:t>XXXX</w:t>
      </w:r>
      <w:r>
        <w:rPr>
          <w:rFonts w:ascii="宋体" w:hAnsi="宋体" w:cs="宋体" w:eastAsia="宋体"/>
          <w:sz w:val="21"/>
        </w:rPr>
        <w:t>公司）签订了《</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合同》，约定乙方派遣人员为甲方提供</w:t>
      </w:r>
      <w:r>
        <w:rPr>
          <w:rFonts w:ascii="宋体" w:hAnsi="宋体" w:cs="宋体" w:eastAsia="宋体"/>
          <w:sz w:val="21"/>
        </w:rPr>
        <w:t>信息安全设备及集成实施服务。为进一步明确保密和信息安全义务与责任，确保合作期间清算总中心网络与信息系统安全、稳定运行，根据甲方有关制度和规定，经双方友好协商，乙方作为外包服务提供商就有关保密和信息安全义务事项作出如下承诺：</w:t>
      </w:r>
    </w:p>
    <w:p>
      <w:pPr>
        <w:pStyle w:val="null3"/>
        <w:ind w:firstLine="420"/>
        <w:jc w:val="both"/>
      </w:pPr>
      <w:r>
        <w:rPr>
          <w:rFonts w:ascii="宋体" w:hAnsi="宋体" w:cs="宋体" w:eastAsia="宋体"/>
          <w:sz w:val="21"/>
        </w:rPr>
        <w:t>一、保密责任与义务</w:t>
      </w:r>
    </w:p>
    <w:p>
      <w:pPr>
        <w:pStyle w:val="null3"/>
        <w:ind w:firstLine="420"/>
        <w:jc w:val="both"/>
      </w:pPr>
      <w:r>
        <w:rPr>
          <w:rFonts w:ascii="&quot;arial&quot;, sans-serif" w:hAnsi="&quot;arial&quot;, sans-serif" w:cs="&quot;arial&quot;, sans-serif" w:eastAsia="&quot;arial&quot;, sans-serif"/>
          <w:sz w:val="21"/>
        </w:rPr>
        <w:t>1</w:t>
      </w:r>
      <w:r>
        <w:rPr>
          <w:rFonts w:ascii="宋体" w:hAnsi="宋体" w:cs="宋体" w:eastAsia="宋体"/>
          <w:sz w:val="21"/>
        </w:rPr>
        <w:t>、我方保证，未经甲方书面同意</w:t>
      </w:r>
      <w:r>
        <w:rPr>
          <w:rFonts w:ascii="&quot;arial&quot;, sans-serif" w:hAnsi="&quot;arial&quot;, sans-serif" w:cs="&quot;arial&quot;, sans-serif" w:eastAsia="&quot;arial&quot;, sans-serif"/>
          <w:sz w:val="21"/>
        </w:rPr>
        <w:t>,</w:t>
      </w:r>
      <w:r>
        <w:rPr>
          <w:rFonts w:ascii="宋体" w:hAnsi="宋体" w:cs="宋体" w:eastAsia="宋体"/>
          <w:sz w:val="21"/>
        </w:rPr>
        <w:t>不得向社会公众或第三方通过任何途径出示、披露获知的甲方的保密信息（包括但不限于商业、技术信息以及标有</w:t>
      </w:r>
      <w:r>
        <w:rPr>
          <w:rFonts w:ascii="&quot;arial&quot;, sans-serif" w:hAnsi="&quot;arial&quot;, sans-serif" w:cs="&quot;arial&quot;, sans-serif" w:eastAsia="&quot;arial&quot;, sans-serif"/>
          <w:sz w:val="21"/>
        </w:rPr>
        <w:t>“</w:t>
      </w:r>
      <w:r>
        <w:rPr>
          <w:rFonts w:ascii="宋体" w:hAnsi="宋体" w:cs="宋体" w:eastAsia="宋体"/>
          <w:sz w:val="21"/>
        </w:rPr>
        <w:t>工作秘密</w:t>
      </w:r>
      <w:r>
        <w:rPr>
          <w:rFonts w:ascii="&quot;arial&quot;, sans-serif" w:hAnsi="&quot;arial&quot;, sans-serif" w:cs="&quot;arial&quot;, sans-serif" w:eastAsia="&quot;arial&quot;, sans-serif"/>
          <w:sz w:val="21"/>
        </w:rPr>
        <w:t>”“</w:t>
      </w:r>
      <w:r>
        <w:rPr>
          <w:rFonts w:ascii="宋体" w:hAnsi="宋体" w:cs="宋体" w:eastAsia="宋体"/>
          <w:sz w:val="21"/>
        </w:rPr>
        <w:t>内部资料</w:t>
      </w:r>
      <w:r>
        <w:rPr>
          <w:rFonts w:ascii="&quot;arial&quot;, sans-serif" w:hAnsi="&quot;arial&quot;, sans-serif" w:cs="&quot;arial&quot;, sans-serif" w:eastAsia="&quot;arial&quot;, sans-serif"/>
          <w:sz w:val="21"/>
        </w:rPr>
        <w:t>”“</w:t>
      </w:r>
      <w:r>
        <w:rPr>
          <w:rFonts w:ascii="宋体" w:hAnsi="宋体" w:cs="宋体" w:eastAsia="宋体"/>
          <w:sz w:val="21"/>
        </w:rPr>
        <w:t>内部</w:t>
      </w:r>
      <w:r>
        <w:rPr>
          <w:rFonts w:ascii="&quot;arial&quot;, sans-serif" w:hAnsi="&quot;arial&quot;, sans-serif" w:cs="&quot;arial&quot;, sans-serif" w:eastAsia="&quot;arial&quot;, sans-serif"/>
          <w:sz w:val="21"/>
        </w:rPr>
        <w:t>”</w:t>
      </w:r>
      <w:r>
        <w:rPr>
          <w:rFonts w:ascii="宋体" w:hAnsi="宋体" w:cs="宋体" w:eastAsia="宋体"/>
          <w:sz w:val="21"/>
        </w:rPr>
        <w:t>等字样的材料）以及本项目的工作成果（包括阶段性成果），亦不得对上述保密信息和工作成果进行传播和销售，并且保证只为执行本项目之目的使用上述信息和工作成果。</w:t>
      </w:r>
    </w:p>
    <w:p>
      <w:pPr>
        <w:pStyle w:val="null3"/>
        <w:ind w:firstLine="420"/>
        <w:jc w:val="both"/>
      </w:pPr>
      <w:r>
        <w:rPr>
          <w:rFonts w:ascii="&quot;arial&quot;, sans-serif" w:hAnsi="&quot;arial&quot;, sans-serif" w:cs="&quot;arial&quot;, sans-serif" w:eastAsia="&quot;arial&quot;, sans-serif"/>
          <w:sz w:val="21"/>
        </w:rPr>
        <w:t>2</w:t>
      </w:r>
      <w:r>
        <w:rPr>
          <w:rFonts w:ascii="宋体" w:hAnsi="宋体" w:cs="宋体" w:eastAsia="宋体"/>
          <w:sz w:val="21"/>
        </w:rPr>
        <w:t>、我方保证，如为本合同之目的确实需要向第三方披露甲方的保密信息，需事先得到甲方的书面许可，并与该第三方签订保密合同。</w:t>
      </w:r>
    </w:p>
    <w:p>
      <w:pPr>
        <w:pStyle w:val="null3"/>
        <w:ind w:firstLine="420"/>
        <w:jc w:val="both"/>
      </w:pPr>
      <w:r>
        <w:rPr>
          <w:rFonts w:ascii="&quot;arial&quot;, sans-serif" w:hAnsi="&quot;arial&quot;, sans-serif" w:cs="&quot;arial&quot;, sans-serif" w:eastAsia="&quot;arial&quot;, sans-serif"/>
          <w:sz w:val="21"/>
        </w:rPr>
        <w:t>3</w:t>
      </w:r>
      <w:r>
        <w:rPr>
          <w:rFonts w:ascii="宋体" w:hAnsi="宋体" w:cs="宋体" w:eastAsia="宋体"/>
          <w:sz w:val="21"/>
        </w:rPr>
        <w:t>、我方保证，只能将甲方的相关保密信息提供给与本合同工作直接相关的员工，提供范围及程度仅限于可使该员工完成本项工作，并应约束其员工遵守保密义务。</w:t>
      </w:r>
    </w:p>
    <w:p>
      <w:pPr>
        <w:pStyle w:val="null3"/>
        <w:ind w:firstLine="420"/>
        <w:jc w:val="both"/>
      </w:pPr>
      <w:r>
        <w:rPr>
          <w:rFonts w:ascii="&quot;arial&quot;, sans-serif" w:hAnsi="&quot;arial&quot;, sans-serif" w:cs="&quot;arial&quot;, sans-serif" w:eastAsia="&quot;arial&quot;, sans-serif"/>
          <w:sz w:val="21"/>
        </w:rPr>
        <w:t>4</w:t>
      </w:r>
      <w:r>
        <w:rPr>
          <w:rFonts w:ascii="宋体" w:hAnsi="宋体" w:cs="宋体" w:eastAsia="宋体"/>
          <w:sz w:val="21"/>
        </w:rPr>
        <w:t>、我方保证，在双方合作关系结束后，我方有义务按照甲方的要求将保密信息及其载体返还给甲方或者按照甲方的要求予以销毁，不得再以任何形式使用保密信息。</w:t>
      </w:r>
    </w:p>
    <w:p>
      <w:pPr>
        <w:pStyle w:val="null3"/>
        <w:ind w:firstLine="420"/>
        <w:jc w:val="both"/>
      </w:pPr>
      <w:r>
        <w:rPr>
          <w:rFonts w:ascii="&quot;arial&quot;, sans-serif" w:hAnsi="&quot;arial&quot;, sans-serif" w:cs="&quot;arial&quot;, sans-serif" w:eastAsia="&quot;arial&quot;, sans-serif"/>
          <w:sz w:val="21"/>
        </w:rPr>
        <w:t>5</w:t>
      </w:r>
      <w:r>
        <w:rPr>
          <w:rFonts w:ascii="宋体" w:hAnsi="宋体" w:cs="宋体" w:eastAsia="宋体"/>
          <w:sz w:val="21"/>
        </w:rPr>
        <w:t>、我方同意采取任何必要的、以及甲方要求的合理措施，保护甲方提供的保密信息。</w:t>
      </w:r>
    </w:p>
    <w:p>
      <w:pPr>
        <w:pStyle w:val="null3"/>
        <w:ind w:firstLine="420"/>
        <w:jc w:val="both"/>
      </w:pPr>
      <w:r>
        <w:rPr>
          <w:rFonts w:ascii="&quot;arial&quot;, sans-serif" w:hAnsi="&quot;arial&quot;, sans-serif" w:cs="&quot;arial&quot;, sans-serif" w:eastAsia="&quot;arial&quot;, sans-serif"/>
          <w:sz w:val="21"/>
        </w:rPr>
        <w:t>6</w:t>
      </w:r>
      <w:r>
        <w:rPr>
          <w:rFonts w:ascii="宋体" w:hAnsi="宋体" w:cs="宋体" w:eastAsia="宋体"/>
          <w:sz w:val="21"/>
        </w:rPr>
        <w:t>、如发生任何保密信息泄漏事件，包括但不限于因我方原因导致的泄漏事件或者因第三方非法获取和使用而造成的泄漏事件，我方均应立即通知甲方，并采取有效措施防止泄密进一步扩大。</w:t>
      </w:r>
    </w:p>
    <w:p>
      <w:pPr>
        <w:pStyle w:val="null3"/>
        <w:ind w:firstLine="420"/>
        <w:jc w:val="both"/>
      </w:pPr>
      <w:r>
        <w:rPr>
          <w:rFonts w:ascii="宋体" w:hAnsi="宋体" w:cs="宋体" w:eastAsia="宋体"/>
          <w:sz w:val="21"/>
        </w:rPr>
        <w:t>二、信息安全责任与义务</w:t>
      </w:r>
    </w:p>
    <w:p>
      <w:pPr>
        <w:pStyle w:val="null3"/>
        <w:ind w:firstLine="420"/>
        <w:jc w:val="both"/>
      </w:pPr>
      <w:r>
        <w:rPr>
          <w:rFonts w:ascii="&quot;arial&quot;, sans-serif" w:hAnsi="&quot;arial&quot;, sans-serif" w:cs="&quot;arial&quot;, sans-serif" w:eastAsia="&quot;arial&quot;, sans-serif"/>
          <w:sz w:val="21"/>
        </w:rPr>
        <w:t>1.</w:t>
      </w:r>
      <w:r>
        <w:rPr>
          <w:rFonts w:ascii="宋体" w:hAnsi="宋体" w:cs="宋体" w:eastAsia="宋体"/>
          <w:sz w:val="21"/>
        </w:rPr>
        <w:t>我方保证，严格遵守甲方各项信息安全制度和管理要求，确保责任期内不发生信息安全事件。合作项目涉及分包时，乙方负责相应分包商的信息安全管理，承担外包服务过程中的总体信息安全责任。</w:t>
      </w:r>
    </w:p>
    <w:p>
      <w:pPr>
        <w:pStyle w:val="null3"/>
        <w:ind w:firstLine="420"/>
        <w:jc w:val="both"/>
      </w:pPr>
      <w:r>
        <w:rPr>
          <w:rFonts w:ascii="&quot;arial&quot;, sans-serif" w:hAnsi="&quot;arial&quot;, sans-serif" w:cs="&quot;arial&quot;, sans-serif" w:eastAsia="&quot;arial&quot;, sans-serif"/>
          <w:sz w:val="21"/>
        </w:rPr>
        <w:t>2.</w:t>
      </w:r>
      <w:r>
        <w:rPr>
          <w:rFonts w:ascii="宋体" w:hAnsi="宋体" w:cs="宋体" w:eastAsia="宋体"/>
          <w:sz w:val="21"/>
        </w:rPr>
        <w:t>我方保证，加强派遣人员管理，负责对派遣到甲方的服务人员进行信息安全宣贯和教育，明确其信息安全责任。</w:t>
      </w:r>
    </w:p>
    <w:p>
      <w:pPr>
        <w:pStyle w:val="null3"/>
        <w:ind w:firstLine="420"/>
        <w:jc w:val="both"/>
      </w:pPr>
      <w:r>
        <w:rPr>
          <w:rFonts w:ascii="&quot;arial&quot;, sans-serif" w:hAnsi="&quot;arial&quot;, sans-serif" w:cs="&quot;arial&quot;, sans-serif" w:eastAsia="&quot;arial&quot;, sans-serif"/>
          <w:sz w:val="21"/>
        </w:rPr>
        <w:t>3.</w:t>
      </w:r>
      <w:r>
        <w:rPr>
          <w:rFonts w:ascii="宋体" w:hAnsi="宋体" w:cs="宋体" w:eastAsia="宋体"/>
          <w:sz w:val="21"/>
        </w:rPr>
        <w:t>我方保证，加强信息安全管理，及时将甲方的各项信息安全管理要求落实到位；积极配合甲方开展的各项信息安全工作，如实汇报相关情况；在重大节日及敏感时期，根据甲方要求开展保障工作，随时应对各类突发事件。</w:t>
      </w:r>
    </w:p>
    <w:p>
      <w:pPr>
        <w:pStyle w:val="null3"/>
        <w:ind w:firstLine="420"/>
        <w:jc w:val="both"/>
      </w:pPr>
      <w:r>
        <w:rPr>
          <w:rFonts w:ascii="&quot;arial&quot;, sans-serif" w:hAnsi="&quot;arial&quot;, sans-serif" w:cs="&quot;arial&quot;, sans-serif" w:eastAsia="&quot;arial&quot;, sans-serif"/>
          <w:sz w:val="21"/>
        </w:rPr>
        <w:t>4.</w:t>
      </w:r>
      <w:r>
        <w:rPr>
          <w:rFonts w:ascii="宋体" w:hAnsi="宋体" w:cs="宋体" w:eastAsia="宋体"/>
          <w:sz w:val="21"/>
        </w:rPr>
        <w:t>我方保证，发生或发现信息安全事件时，及时向甲方外包使用部门报告，做到不瞒报、不谎报、不拖延；根据甲方要求，积极参与信息安全事件处置、调查等工作；对相关责任人，按照甲方要求和乙方有关规定给予处理。</w:t>
      </w:r>
    </w:p>
    <w:p>
      <w:pPr>
        <w:pStyle w:val="null3"/>
        <w:ind w:firstLine="420"/>
        <w:jc w:val="both"/>
      </w:pPr>
      <w:r>
        <w:rPr>
          <w:rFonts w:ascii="宋体" w:hAnsi="宋体" w:cs="宋体" w:eastAsia="宋体"/>
          <w:sz w:val="21"/>
        </w:rPr>
        <w:t>三、附则</w:t>
      </w:r>
    </w:p>
    <w:p>
      <w:pPr>
        <w:pStyle w:val="null3"/>
        <w:ind w:firstLine="420"/>
        <w:jc w:val="both"/>
      </w:pPr>
      <w:r>
        <w:rPr>
          <w:rFonts w:ascii="宋体" w:hAnsi="宋体" w:cs="宋体" w:eastAsia="宋体"/>
          <w:sz w:val="21"/>
        </w:rPr>
        <w:t>本承诺书未尽事宜按国家有关法律法规及双方合同约定执行。</w:t>
      </w:r>
    </w:p>
    <w:p>
      <w:pPr>
        <w:pStyle w:val="null3"/>
        <w:jc w:val="right"/>
      </w:pPr>
      <w:r>
        <w:rPr>
          <w:rFonts w:ascii="&quot;times new roman&quot;, serif" w:hAnsi="&quot;times new roman&quot;, serif" w:cs="&quot;times new roman&quot;, serif" w:eastAsia="&quot;times new roman&quot;, serif"/>
          <w:sz w:val="21"/>
        </w:rPr>
        <w:t xml:space="preserve"> </w:t>
      </w:r>
    </w:p>
    <w:p>
      <w:pPr>
        <w:pStyle w:val="null3"/>
        <w:ind w:firstLine="420"/>
        <w:jc w:val="right"/>
      </w:pPr>
      <w:r>
        <w:rPr>
          <w:rFonts w:ascii="宋体" w:hAnsi="宋体" w:cs="宋体" w:eastAsia="宋体"/>
          <w:sz w:val="21"/>
        </w:rPr>
        <w:t>承诺人：</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公司（加盖公章）</w:t>
      </w:r>
    </w:p>
    <w:p>
      <w:pPr>
        <w:pStyle w:val="null3"/>
        <w:ind w:firstLine="420"/>
        <w:jc w:val="right"/>
      </w:pPr>
      <w:r>
        <w:rPr>
          <w:rFonts w:ascii="&quot;arial&quot;, sans-serif" w:hAnsi="&quot;arial&quot;, sans-serif" w:cs="&quot;arial&quot;, sans-serif" w:eastAsia="&quot;arial&quot;, sans-serif"/>
          <w:sz w:val="21"/>
        </w:rPr>
        <w:t>2026</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p>
      <w:pPr>
        <w:pStyle w:val="null3"/>
      </w:pPr>
      <w:r>
        <w:rPr>
          <w:rFonts w:ascii="宋体" w:hAnsi="宋体" w:cs="宋体" w:eastAsia="宋体"/>
          <w:sz w:val="21"/>
          <w:b/>
        </w:rPr>
        <w:t>附件九：网络安全审查承诺函</w:t>
      </w:r>
    </w:p>
    <w:p>
      <w:pPr>
        <w:pStyle w:val="null3"/>
        <w:spacing w:after="120"/>
        <w:jc w:val="center"/>
      </w:pPr>
      <w:r>
        <w:rPr>
          <w:rFonts w:ascii="宋体" w:hAnsi="宋体" w:cs="宋体" w:eastAsia="宋体"/>
          <w:sz w:val="21"/>
          <w:b/>
        </w:rPr>
        <w:t>承诺函</w:t>
      </w:r>
    </w:p>
    <w:p>
      <w:pPr>
        <w:pStyle w:val="null3"/>
        <w:spacing w:after="120"/>
      </w:pPr>
      <w:r>
        <w:rPr>
          <w:rFonts w:ascii="宋体" w:hAnsi="宋体" w:cs="宋体" w:eastAsia="宋体"/>
          <w:sz w:val="21"/>
        </w:rPr>
        <w:t>致中国人民银行清算总中心中志公司：</w:t>
      </w:r>
    </w:p>
    <w:p>
      <w:pPr>
        <w:pStyle w:val="null3"/>
        <w:spacing w:after="120"/>
        <w:ind w:firstLine="420"/>
      </w:pPr>
      <w:r>
        <w:rPr>
          <w:rFonts w:ascii="&quot;arial&quot;, sans-serif" w:hAnsi="&quot;arial&quot;, sans-serif" w:cs="&quot;arial&quot;, sans-serif" w:eastAsia="&quot;arial&quot;, sans-serif"/>
          <w:sz w:val="21"/>
        </w:rPr>
        <w:t>_____</w:t>
      </w:r>
      <w:r>
        <w:rPr>
          <w:rFonts w:ascii="宋体" w:hAnsi="宋体" w:cs="宋体" w:eastAsia="宋体"/>
          <w:sz w:val="21"/>
        </w:rPr>
        <w:t>公司（乙方公司名称）承诺，向贵中心所提供的产品中，均不含有未通过网络安全审查的产品或部件。</w:t>
      </w:r>
    </w:p>
    <w:p>
      <w:pPr>
        <w:pStyle w:val="null3"/>
        <w:spacing w:after="120"/>
        <w:ind w:firstLine="640"/>
      </w:pPr>
      <w:r>
        <w:rPr>
          <w:rFonts w:ascii="宋体" w:hAnsi="宋体" w:cs="宋体" w:eastAsia="宋体"/>
          <w:sz w:val="21"/>
        </w:rPr>
        <w:t>特此承诺。</w:t>
      </w:r>
    </w:p>
    <w:p>
      <w:pPr>
        <w:pStyle w:val="null3"/>
        <w:spacing w:after="120"/>
        <w:ind w:firstLine="640"/>
      </w:pPr>
      <w:r>
        <w:rPr>
          <w:rFonts w:ascii="&quot;arial&quot;, sans-serif" w:hAnsi="&quot;arial&quot;, sans-serif" w:cs="&quot;arial&quot;, sans-serif" w:eastAsia="&quot;arial&quot;, sans-serif"/>
          <w:sz w:val="21"/>
          <w:u w:val="single"/>
        </w:rPr>
        <w:t xml:space="preserve">_     </w:t>
      </w:r>
      <w:r>
        <w:rPr>
          <w:rFonts w:ascii="宋体" w:hAnsi="宋体" w:cs="宋体" w:eastAsia="宋体"/>
          <w:sz w:val="21"/>
        </w:rPr>
        <w:t>公司</w:t>
      </w:r>
      <w:r>
        <w:rPr>
          <w:rFonts w:ascii="&quot;arial&quot;, sans-serif" w:hAnsi="&quot;arial&quot;, sans-serif" w:cs="&quot;arial&quot;, sans-serif" w:eastAsia="&quot;arial&quot;, sans-serif"/>
          <w:sz w:val="21"/>
        </w:rPr>
        <w:t>_</w:t>
      </w:r>
      <w:r>
        <w:rPr>
          <w:rFonts w:ascii="宋体" w:hAnsi="宋体" w:cs="宋体" w:eastAsia="宋体"/>
          <w:sz w:val="21"/>
        </w:rPr>
        <w:t>（乙方公司名称</w:t>
      </w:r>
      <w:r>
        <w:rPr>
          <w:rFonts w:ascii="宋体" w:hAnsi="宋体" w:cs="宋体" w:eastAsia="宋体"/>
          <w:sz w:val="21"/>
        </w:rPr>
        <w:t>盖章）</w:t>
      </w:r>
    </w:p>
    <w:p>
      <w:pPr>
        <w:pStyle w:val="null3"/>
        <w:ind w:firstLine="420"/>
        <w:jc w:val="right"/>
      </w:pPr>
      <w:r>
        <w:rPr>
          <w:rFonts w:ascii="&quot;arial&quot;, sans-serif" w:hAnsi="&quot;arial&quot;, sans-serif" w:cs="&quot;arial&quot;, sans-serif" w:eastAsia="&quot;arial&quot;, sans-serif"/>
          <w:sz w:val="21"/>
        </w:rPr>
        <w:t xml:space="preserve">   2026</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p>
      <w:pPr>
        <w:pStyle w:val="null3"/>
        <w:spacing w:after="120"/>
        <w:ind w:firstLine="640"/>
        <w:jc w:val="center"/>
      </w:pPr>
      <w:r>
        <w:rPr>
          <w:rFonts w:ascii="宋体" w:hAnsi="宋体" w:cs="宋体" w:eastAsia="宋体"/>
          <w:sz w:val="21"/>
          <w:b/>
        </w:rPr>
        <w:t>附件十：廉洁共建承诺书</w:t>
      </w:r>
    </w:p>
    <w:p>
      <w:pPr>
        <w:pStyle w:val="null3"/>
        <w:jc w:val="center"/>
      </w:pPr>
      <w:r>
        <w:rPr>
          <w:rFonts w:ascii="宋体" w:hAnsi="宋体" w:cs="宋体" w:eastAsia="宋体"/>
          <w:sz w:val="21"/>
          <w:b/>
        </w:rPr>
        <w:t>廉洁共建承诺书</w:t>
      </w:r>
    </w:p>
    <w:p>
      <w:pPr>
        <w:pStyle w:val="null3"/>
      </w:pPr>
      <w:r>
        <w:rPr>
          <w:rFonts w:ascii="宋体" w:hAnsi="宋体" w:cs="宋体" w:eastAsia="宋体"/>
          <w:sz w:val="21"/>
        </w:rPr>
        <w:t>甲方：中国人民银行清算总中心中志公司</w:t>
      </w:r>
    </w:p>
    <w:p>
      <w:pPr>
        <w:pStyle w:val="null3"/>
      </w:pPr>
      <w:r>
        <w:rPr>
          <w:rFonts w:ascii="宋体" w:hAnsi="宋体" w:cs="宋体" w:eastAsia="宋体"/>
          <w:sz w:val="21"/>
        </w:rPr>
        <w:t>乙方：      公司</w:t>
      </w:r>
    </w:p>
    <w:p>
      <w:pPr>
        <w:pStyle w:val="null3"/>
        <w:ind w:firstLine="420"/>
      </w:pPr>
      <w:r>
        <w:rPr>
          <w:rFonts w:ascii="宋体" w:hAnsi="宋体" w:cs="宋体" w:eastAsia="宋体"/>
          <w:sz w:val="21"/>
        </w:rPr>
        <w:t>为认真贯彻落实中央八项规定，时刻警惕“四风”问题，弘扬廉政文化，甲方提议和乙方一起共同维护风清气正的公务往来环境，携手共建廉洁自律的工作氛围，双方承诺如下：</w:t>
      </w:r>
    </w:p>
    <w:p>
      <w:pPr>
        <w:pStyle w:val="null3"/>
        <w:numPr>
          <w:ilvl w:val="0"/>
          <w:numId w:val="1"/>
        </w:numPr>
      </w:pPr>
      <w:r>
        <w:rPr>
          <w:rFonts w:ascii="宋体" w:hAnsi="宋体" w:cs="宋体" w:eastAsia="宋体"/>
          <w:sz w:val="21"/>
        </w:rPr>
        <w:t>甲乙双方在商业合作中，严格遵守国家法律法规，接受各监管机构的监管与审查；</w:t>
      </w:r>
    </w:p>
    <w:p>
      <w:pPr>
        <w:pStyle w:val="null3"/>
        <w:numPr>
          <w:ilvl w:val="0"/>
          <w:numId w:val="1"/>
        </w:numPr>
      </w:pPr>
      <w:r>
        <w:rPr>
          <w:rFonts w:ascii="宋体" w:hAnsi="宋体" w:cs="宋体" w:eastAsia="宋体"/>
          <w:sz w:val="21"/>
        </w:rPr>
        <w:t>甲方及其工作人员不得索要或接受乙方赠送的礼金、有价证券、贵重物品，或乙方给予的回扣、感谢费、劳务费等各种名目的经费；</w:t>
      </w:r>
    </w:p>
    <w:p>
      <w:pPr>
        <w:pStyle w:val="null3"/>
        <w:numPr>
          <w:ilvl w:val="0"/>
          <w:numId w:val="1"/>
        </w:numPr>
      </w:pPr>
      <w:r>
        <w:rPr>
          <w:rFonts w:ascii="宋体" w:hAnsi="宋体" w:cs="宋体" w:eastAsia="宋体"/>
          <w:sz w:val="21"/>
        </w:rPr>
        <w:t>甲方及其工作人员不得找乙方报销应由甲方或甲方工作人员个人支付的费用；</w:t>
      </w:r>
    </w:p>
    <w:p>
      <w:pPr>
        <w:pStyle w:val="null3"/>
        <w:numPr>
          <w:ilvl w:val="0"/>
          <w:numId w:val="1"/>
        </w:numPr>
      </w:pPr>
      <w:r>
        <w:rPr>
          <w:rFonts w:ascii="宋体" w:hAnsi="宋体" w:cs="宋体" w:eastAsia="宋体"/>
          <w:sz w:val="21"/>
        </w:rPr>
        <w:t>甲方及其工作人员不得索要或接受乙方赠送或提供通讯工具、交通工具和高档办公用品等；</w:t>
      </w:r>
    </w:p>
    <w:p>
      <w:pPr>
        <w:pStyle w:val="null3"/>
        <w:numPr>
          <w:ilvl w:val="0"/>
          <w:numId w:val="1"/>
        </w:numPr>
      </w:pPr>
      <w:r>
        <w:rPr>
          <w:rFonts w:ascii="宋体" w:hAnsi="宋体" w:cs="宋体" w:eastAsia="宋体"/>
          <w:sz w:val="21"/>
        </w:rPr>
        <w:t>甲方及其工作人员不得索要或接受乙方提供的宴请、健身、旅游、娱乐等消费活动；</w:t>
      </w:r>
    </w:p>
    <w:p>
      <w:pPr>
        <w:pStyle w:val="null3"/>
        <w:numPr>
          <w:ilvl w:val="0"/>
          <w:numId w:val="1"/>
        </w:numPr>
      </w:pPr>
      <w:r>
        <w:rPr>
          <w:rFonts w:ascii="宋体" w:hAnsi="宋体" w:cs="宋体" w:eastAsia="宋体"/>
          <w:sz w:val="21"/>
        </w:rPr>
        <w:t>乙方及其工作人员不得以任何理由向甲方赠送礼金、有价证券、贵重物品，或给予甲方及其工作人员回扣、感谢费、劳务费等各种名目的经费；</w:t>
      </w:r>
    </w:p>
    <w:p>
      <w:pPr>
        <w:pStyle w:val="null3"/>
        <w:numPr>
          <w:ilvl w:val="0"/>
          <w:numId w:val="1"/>
        </w:numPr>
      </w:pPr>
      <w:r>
        <w:rPr>
          <w:rFonts w:ascii="宋体" w:hAnsi="宋体" w:cs="宋体" w:eastAsia="宋体"/>
          <w:sz w:val="21"/>
        </w:rPr>
        <w:t>乙方及其工作人员不得以任何理由报销应由甲方或甲方工作人员个人支付的费用；</w:t>
      </w:r>
    </w:p>
    <w:p>
      <w:pPr>
        <w:pStyle w:val="null3"/>
        <w:numPr>
          <w:ilvl w:val="0"/>
          <w:numId w:val="1"/>
        </w:numPr>
      </w:pPr>
      <w:r>
        <w:rPr>
          <w:rFonts w:ascii="宋体" w:hAnsi="宋体" w:cs="宋体" w:eastAsia="宋体"/>
          <w:sz w:val="21"/>
        </w:rPr>
        <w:t>乙方及其工作人员不得以任何理由向甲方赠送或提供通讯工具、交通工具和高档办公用品等；</w:t>
      </w:r>
    </w:p>
    <w:p>
      <w:pPr>
        <w:pStyle w:val="null3"/>
        <w:numPr>
          <w:ilvl w:val="0"/>
          <w:numId w:val="1"/>
        </w:numPr>
      </w:pPr>
      <w:r>
        <w:rPr>
          <w:rFonts w:ascii="宋体" w:hAnsi="宋体" w:cs="宋体" w:eastAsia="宋体"/>
          <w:sz w:val="21"/>
        </w:rPr>
        <w:t>乙方及其工作人员不得以任何理由向甲方提供宴请、健身、旅游、娱乐等高消费活动；</w:t>
      </w:r>
    </w:p>
    <w:p>
      <w:pPr>
        <w:pStyle w:val="null3"/>
        <w:numPr>
          <w:ilvl w:val="0"/>
          <w:numId w:val="1"/>
        </w:numPr>
      </w:pPr>
      <w:r>
        <w:rPr>
          <w:rFonts w:ascii="宋体" w:hAnsi="宋体" w:cs="宋体" w:eastAsia="宋体"/>
          <w:sz w:val="21"/>
        </w:rPr>
        <w:t>甲乙双方及其工作人员不得进行违反廉政相关规定的任何其他活动，严格执行回避制度，不得安排有关联关系的工作人员参与双方单位的任何相关工作，严禁关联交易和任何利益输送；</w:t>
      </w:r>
    </w:p>
    <w:p>
      <w:pPr>
        <w:pStyle w:val="null3"/>
        <w:numPr>
          <w:ilvl w:val="0"/>
          <w:numId w:val="1"/>
        </w:numPr>
      </w:pPr>
      <w:r>
        <w:rPr>
          <w:rFonts w:ascii="宋体" w:hAnsi="宋体" w:cs="宋体" w:eastAsia="宋体"/>
          <w:sz w:val="21"/>
        </w:rPr>
        <w:t>甲乙双方若发现对方工作人员有违反廉政相关规定的行为的，应及时对其进行教育帮助以终止其行为，若对方工作人员的行为已构成违法、违纪或违规的，应当及时向对方监察部门举报。</w:t>
      </w:r>
    </w:p>
    <w:p>
      <w:pPr>
        <w:pStyle w:val="null3"/>
        <w:ind w:firstLine="420"/>
      </w:pPr>
      <w:r>
        <w:rPr>
          <w:rFonts w:ascii="宋体" w:hAnsi="宋体" w:cs="宋体" w:eastAsia="宋体"/>
          <w:sz w:val="21"/>
        </w:rPr>
        <w:t>本承诺书甲乙双方盖章后生效，有效期为本协议签订之日起。</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甲方：中国人民银行清算总中心（盖章）</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乙方：</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公司（盖章）</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quot;arial&quot;, sans-serif" w:hAnsi="&quot;arial&quot;, sans-serif" w:cs="&quot;arial&quot;, sans-serif" w:eastAsia="&quot;arial&quot;, sans-serif"/>
                <w:sz w:val="21"/>
              </w:rPr>
              <w:t>2024</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1"/>
              </w:rPr>
              <w:t>日期：</w:t>
            </w:r>
            <w:r>
              <w:rPr>
                <w:rFonts w:ascii="&quot;arial&quot;, sans-serif" w:hAnsi="&quot;arial&quot;, sans-serif" w:cs="&quot;arial&quot;, sans-serif" w:eastAsia="&quot;arial&quot;, sans-serif"/>
                <w:sz w:val="21"/>
              </w:rPr>
              <w:t>2024</w:t>
            </w:r>
            <w:r>
              <w:rPr>
                <w:rFonts w:ascii="宋体" w:hAnsi="宋体" w:cs="宋体" w:eastAsia="宋体"/>
                <w:sz w:val="21"/>
              </w:rPr>
              <w:t>年</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月</w:t>
            </w:r>
            <w:r>
              <w:rPr>
                <w:rFonts w:ascii="&quot;times new roman&quot;, serif" w:hAnsi="&quot;times new roman&quot;, serif" w:cs="&quot;times new roman&quot;, serif" w:eastAsia="&quot;times new roman&quot;, serif"/>
                <w:sz w:val="21"/>
              </w:rPr>
              <w:t xml:space="preserve">    </w:t>
            </w:r>
            <w:r>
              <w:rPr>
                <w:rFonts w:ascii="宋体" w:hAnsi="宋体" w:cs="宋体" w:eastAsia="宋体"/>
                <w:sz w:val="21"/>
              </w:rPr>
              <w:t>日</w:t>
            </w:r>
          </w:p>
        </w:tc>
      </w:tr>
    </w:tbl>
    <w:p>
      <w:pPr>
        <w:pStyle w:val="null3"/>
      </w:pPr>
      <w:r>
        <w:rPr>
          <w:rFonts w:ascii="宋体" w:hAnsi="宋体" w:cs="宋体" w:eastAsia="宋体"/>
          <w:sz w:val="21"/>
          <w:b/>
        </w:rPr>
        <w:t>附件十一：原厂授权函</w:t>
      </w:r>
    </w:p>
    <w:p>
      <w:pPr>
        <w:pStyle w:val="null3"/>
      </w:pPr>
      <w:r>
        <w:rPr>
          <w:rFonts w:ascii="宋体" w:hAnsi="宋体" w:cs="宋体" w:eastAsia="宋体"/>
          <w:sz w:val="21"/>
          <w:b/>
        </w:rPr>
        <w:t>附件十二：原厂服务承诺函</w:t>
      </w:r>
    </w:p>
    <w:p>
      <w:pPr>
        <w:pStyle w:val="null3"/>
      </w:pPr>
      <w:r>
        <w:rPr>
          <w:rFonts w:ascii="宋体" w:hAnsi="宋体" w:cs="宋体" w:eastAsia="宋体"/>
          <w:sz w:val="21"/>
          <w:b/>
        </w:rPr>
        <w:t>附件十三：履约验收方案</w:t>
      </w:r>
    </w:p>
    <w:p>
      <w:pPr>
        <w:pStyle w:val="null3"/>
        <w:ind w:firstLine="64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）验收主体</w:t>
      </w:r>
    </w:p>
    <w:p>
      <w:pPr>
        <w:pStyle w:val="null3"/>
      </w:pPr>
      <w:r>
        <w:rPr>
          <w:rFonts w:ascii="仿宋_gb2312" w:hAnsi="仿宋_gb2312" w:cs="仿宋_gb2312" w:eastAsia="仿宋_gb2312"/>
          <w:sz w:val="20"/>
        </w:rPr>
        <w:t>采购人（需求部门）</w:t>
      </w:r>
      <w:r>
        <w:rPr>
          <w:rFonts w:ascii="仿宋_gb2312" w:hAnsi="仿宋_gb2312" w:cs="仿宋_gb2312" w:eastAsia="仿宋_gb2312"/>
          <w:sz w:val="20"/>
          <w:u w:val="single"/>
        </w:rPr>
        <w:t>中国人民银行清算总中心中志公司</w:t>
      </w:r>
    </w:p>
    <w:p>
      <w:pPr>
        <w:pStyle w:val="null3"/>
      </w:pPr>
      <w:r>
        <w:rPr>
          <w:rFonts w:ascii="仿宋_gb2312" w:hAnsi="仿宋_gb2312" w:cs="仿宋_gb2312" w:eastAsia="仿宋_gb2312"/>
          <w:sz w:val="20"/>
        </w:rPr>
        <w:t>采购人（需求部门）拟邀请（项目供应商）</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）验收时间</w:t>
      </w:r>
      <w:r>
        <w:rPr>
          <w:rFonts w:ascii="仿宋_gb2312" w:hAnsi="仿宋_gb2312" w:cs="仿宋_gb2312" w:eastAsia="仿宋_gb2312"/>
          <w:sz w:val="20"/>
          <w:u w:val="single"/>
        </w:rPr>
        <w:t>交货时间：合同签订后</w:t>
      </w:r>
      <w:r>
        <w:rPr>
          <w:rFonts w:ascii="仿宋_gb2312" w:hAnsi="仿宋_gb2312" w:cs="仿宋_gb2312" w:eastAsia="仿宋_gb2312"/>
          <w:sz w:val="20"/>
          <w:u w:val="single"/>
        </w:rPr>
        <w:t>15</w:t>
      </w:r>
      <w:r>
        <w:rPr>
          <w:rFonts w:ascii="仿宋_gb2312" w:hAnsi="仿宋_gb2312" w:cs="仿宋_gb2312" w:eastAsia="仿宋_gb2312"/>
          <w:sz w:val="20"/>
          <w:u w:val="single"/>
        </w:rPr>
        <w:t>自然日内，甲方向乙方发送书面交货通知，乙方接到甲方通知后</w:t>
      </w:r>
      <w:r>
        <w:rPr>
          <w:rFonts w:ascii="仿宋_gb2312" w:hAnsi="仿宋_gb2312" w:cs="仿宋_gb2312" w:eastAsia="仿宋_gb2312"/>
          <w:sz w:val="20"/>
          <w:u w:val="single"/>
        </w:rPr>
        <w:t>20</w:t>
      </w:r>
      <w:r>
        <w:rPr>
          <w:rFonts w:ascii="仿宋_gb2312" w:hAnsi="仿宋_gb2312" w:cs="仿宋_gb2312" w:eastAsia="仿宋_gb2312"/>
          <w:sz w:val="20"/>
          <w:u w:val="single"/>
        </w:rPr>
        <w:t>个自然日内交货。 初步验收时间：自初验测试在安装地现场按照初验测试的内容和步骤独立进行。由乙方向甲方提交能反映设备技术指标的初验测试内容、预期结果和步骤，并经甲方审核同意后在初验时采用。乙方负责在工程项目现场进行初验测试，并将初验测试报告提交给甲方。如果所有测试项目的测试结果与预期结果相符合，且设备上线稳定运行无故障起</w:t>
      </w:r>
      <w:r>
        <w:rPr>
          <w:rFonts w:ascii="仿宋_gb2312" w:hAnsi="仿宋_gb2312" w:cs="仿宋_gb2312" w:eastAsia="仿宋_gb2312"/>
          <w:sz w:val="20"/>
          <w:u w:val="single"/>
        </w:rPr>
        <w:t>20</w:t>
      </w:r>
      <w:r>
        <w:rPr>
          <w:rFonts w:ascii="仿宋_gb2312" w:hAnsi="仿宋_gb2312" w:cs="仿宋_gb2312" w:eastAsia="仿宋_gb2312"/>
          <w:sz w:val="20"/>
          <w:u w:val="single"/>
        </w:rPr>
        <w:t>个自然日后视为初验合格</w:t>
      </w:r>
      <w:r>
        <w:rPr>
          <w:rFonts w:ascii="仿宋_gb2312" w:hAnsi="仿宋_gb2312" w:cs="仿宋_gb2312" w:eastAsia="仿宋_gb2312"/>
          <w:sz w:val="20"/>
          <w:u w:val="single"/>
        </w:rPr>
        <w:t>(</w:t>
      </w:r>
      <w:r>
        <w:rPr>
          <w:rFonts w:ascii="仿宋_gb2312" w:hAnsi="仿宋_gb2312" w:cs="仿宋_gb2312" w:eastAsia="仿宋_gb2312"/>
          <w:sz w:val="20"/>
          <w:u w:val="single"/>
        </w:rPr>
        <w:t>如发生故障，上线稳定运行期自故障解决后次日起重新计算</w:t>
      </w:r>
      <w:r>
        <w:rPr>
          <w:rFonts w:ascii="仿宋_gb2312" w:hAnsi="仿宋_gb2312" w:cs="仿宋_gb2312" w:eastAsia="仿宋_gb2312"/>
          <w:sz w:val="20"/>
          <w:u w:val="single"/>
        </w:rPr>
        <w:t>)</w:t>
      </w:r>
      <w:r>
        <w:rPr>
          <w:rFonts w:ascii="仿宋_gb2312" w:hAnsi="仿宋_gb2312" w:cs="仿宋_gb2312" w:eastAsia="仿宋_gb2312"/>
          <w:sz w:val="20"/>
          <w:u w:val="single"/>
        </w:rPr>
        <w:t>，双方签署初验报告。 最终验收时间：自完成初验后，合同产品进入试运行期，试运行期为初验完成次日起三个月，在此期间没有发生由于乙方设备或是安装、调试所导致的任何故障</w:t>
      </w:r>
      <w:r>
        <w:rPr>
          <w:rFonts w:ascii="仿宋_gb2312" w:hAnsi="仿宋_gb2312" w:cs="仿宋_gb2312" w:eastAsia="仿宋_gb2312"/>
          <w:sz w:val="20"/>
          <w:u w:val="single"/>
        </w:rPr>
        <w:t>(</w:t>
      </w:r>
      <w:r>
        <w:rPr>
          <w:rFonts w:ascii="仿宋_gb2312" w:hAnsi="仿宋_gb2312" w:cs="仿宋_gb2312" w:eastAsia="仿宋_gb2312"/>
          <w:sz w:val="20"/>
          <w:u w:val="single"/>
        </w:rPr>
        <w:t>如发生故障，试运行期自故障解决后次日起重新计算</w:t>
      </w:r>
      <w:r>
        <w:rPr>
          <w:rFonts w:ascii="仿宋_gb2312" w:hAnsi="仿宋_gb2312" w:cs="仿宋_gb2312" w:eastAsia="仿宋_gb2312"/>
          <w:sz w:val="20"/>
          <w:u w:val="single"/>
        </w:rPr>
        <w:t>)</w:t>
      </w:r>
      <w:r>
        <w:rPr>
          <w:rFonts w:ascii="仿宋_gb2312" w:hAnsi="仿宋_gb2312" w:cs="仿宋_gb2312" w:eastAsia="仿宋_gb2312"/>
          <w:sz w:val="20"/>
          <w:u w:val="single"/>
        </w:rPr>
        <w:t>，乙方提交试运行期服务报告，双方进行终验。终验合格后，双方签署终验报告。 质量保证期：自完成终验后，合同产品接入质量保证期，质量保证期为终验合格后次日起三年。 合同履行期限：自合同签订之日至合同全部权利义务履行完毕之日止。</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）验收方式</w:t>
      </w:r>
      <w:r>
        <w:rPr>
          <w:rFonts w:ascii="仿宋_gb2312" w:hAnsi="仿宋_gb2312" w:cs="仿宋_gb2312" w:eastAsia="仿宋_gb2312"/>
          <w:sz w:val="20"/>
          <w:u w:val="single"/>
        </w:rPr>
        <w:t>到货验收和设备点验：线下方式 初步验收：线上方式 最终验收：线上方式 质量保证期验收：线上方式</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）验收程序</w:t>
      </w:r>
      <w:r>
        <w:rPr>
          <w:rFonts w:ascii="仿宋_gb2312" w:hAnsi="仿宋_gb2312" w:cs="仿宋_gb2312" w:eastAsia="仿宋_gb2312"/>
          <w:sz w:val="20"/>
          <w:u w:val="single"/>
        </w:rPr>
        <w:t>到货验收：验收合格后，双方签署设备到货验收报告和加电测试报告 初步验收：验收合格后，双方签署初验报告 最终验收：验收合格后，双方签署终验报告 质量保证期验收：验收合格后，双方签署质量保证期报告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）验收内容</w:t>
      </w:r>
      <w:r>
        <w:rPr>
          <w:rFonts w:ascii="仿宋_gb2312" w:hAnsi="仿宋_gb2312" w:cs="仿宋_gb2312" w:eastAsia="仿宋_gb2312"/>
          <w:sz w:val="20"/>
          <w:u w:val="single"/>
        </w:rPr>
        <w:t>到货验收：按甲方要求在</w:t>
      </w:r>
      <w:r>
        <w:rPr>
          <w:rFonts w:ascii="仿宋_gb2312" w:hAnsi="仿宋_gb2312" w:cs="仿宋_gb2312" w:eastAsia="仿宋_gb2312"/>
          <w:sz w:val="20"/>
          <w:u w:val="single"/>
        </w:rPr>
        <w:t>30</w:t>
      </w:r>
      <w:r>
        <w:rPr>
          <w:rFonts w:ascii="仿宋_gb2312" w:hAnsi="仿宋_gb2312" w:cs="仿宋_gb2312" w:eastAsia="仿宋_gb2312"/>
          <w:sz w:val="20"/>
          <w:u w:val="single"/>
        </w:rPr>
        <w:t>个自然日内完成所有设备上架、加电、配置、测试等工作。 初步验收：由乙方向甲方提交能反映设备技术指标的初验测试内容、预期结果和步骤，并经甲方审核同意后在初验时采用。乙方负责在工程项目现场进行初验测试，并将初验测试报告提交给甲方。 最终验收：自完成初验后，合同产品进入试运行期，试运行期为初验完成次日起三个月。 质量保证期验收：在质量保证期内，乙方就向甲方提供本合同设备的保修事宜负责随时与设备制造商联系，并对质量保证服务承担连带责任。质量保证期满后，乙方的服务质量符合合同技术支持和售后服务相关要求，双方签署质量保证期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）验收标准</w:t>
      </w:r>
      <w:r>
        <w:rPr>
          <w:rFonts w:ascii="仿宋_gb2312" w:hAnsi="仿宋_gb2312" w:cs="仿宋_gb2312" w:eastAsia="仿宋_gb2312"/>
          <w:sz w:val="20"/>
          <w:u w:val="single"/>
        </w:rPr>
        <w:t>到货验收：到货后由甲乙双方共同逐一开箱检查产品外观是否损坏，型号是否正确，数量是否齐全，设备是否全新等。记录设备的型号、数量、序列号，如无误。 初步验收：所有测试项目的测试结果与预期结果相符合，且设备上线稳定运行无故障起</w:t>
      </w:r>
      <w:r>
        <w:rPr>
          <w:rFonts w:ascii="仿宋_gb2312" w:hAnsi="仿宋_gb2312" w:cs="仿宋_gb2312" w:eastAsia="仿宋_gb2312"/>
          <w:sz w:val="20"/>
          <w:u w:val="single"/>
        </w:rPr>
        <w:t>20</w:t>
      </w:r>
      <w:r>
        <w:rPr>
          <w:rFonts w:ascii="仿宋_gb2312" w:hAnsi="仿宋_gb2312" w:cs="仿宋_gb2312" w:eastAsia="仿宋_gb2312"/>
          <w:sz w:val="20"/>
          <w:u w:val="single"/>
        </w:rPr>
        <w:t>个自然日后视为初验合格</w:t>
      </w:r>
      <w:r>
        <w:rPr>
          <w:rFonts w:ascii="仿宋_gb2312" w:hAnsi="仿宋_gb2312" w:cs="仿宋_gb2312" w:eastAsia="仿宋_gb2312"/>
          <w:sz w:val="20"/>
          <w:u w:val="single"/>
        </w:rPr>
        <w:t>(</w:t>
      </w:r>
      <w:r>
        <w:rPr>
          <w:rFonts w:ascii="仿宋_gb2312" w:hAnsi="仿宋_gb2312" w:cs="仿宋_gb2312" w:eastAsia="仿宋_gb2312"/>
          <w:sz w:val="20"/>
          <w:u w:val="single"/>
        </w:rPr>
        <w:t>如发生故障，上线稳定运行期自故障解决后次日起重新计算</w:t>
      </w:r>
      <w:r>
        <w:rPr>
          <w:rFonts w:ascii="仿宋_gb2312" w:hAnsi="仿宋_gb2312" w:cs="仿宋_gb2312" w:eastAsia="仿宋_gb2312"/>
          <w:sz w:val="20"/>
          <w:u w:val="single"/>
        </w:rPr>
        <w:t>)</w:t>
      </w:r>
      <w:r>
        <w:rPr>
          <w:rFonts w:ascii="仿宋_gb2312" w:hAnsi="仿宋_gb2312" w:cs="仿宋_gb2312" w:eastAsia="仿宋_gb2312"/>
          <w:sz w:val="20"/>
          <w:u w:val="single"/>
        </w:rPr>
        <w:t>。 最终验收：在三个月试运行期间没有发生由于乙方设备或是安装、调试所导致的任何故障</w:t>
      </w:r>
      <w:r>
        <w:rPr>
          <w:rFonts w:ascii="仿宋_gb2312" w:hAnsi="仿宋_gb2312" w:cs="仿宋_gb2312" w:eastAsia="仿宋_gb2312"/>
          <w:sz w:val="20"/>
          <w:u w:val="single"/>
        </w:rPr>
        <w:t>(</w:t>
      </w:r>
      <w:r>
        <w:rPr>
          <w:rFonts w:ascii="仿宋_gb2312" w:hAnsi="仿宋_gb2312" w:cs="仿宋_gb2312" w:eastAsia="仿宋_gb2312"/>
          <w:sz w:val="20"/>
          <w:u w:val="single"/>
        </w:rPr>
        <w:t>如发生故障，试运行期自故障解决后次日起重新计算</w:t>
      </w:r>
      <w:r>
        <w:rPr>
          <w:rFonts w:ascii="仿宋_gb2312" w:hAnsi="仿宋_gb2312" w:cs="仿宋_gb2312" w:eastAsia="仿宋_gb2312"/>
          <w:sz w:val="20"/>
          <w:u w:val="single"/>
        </w:rPr>
        <w:t>)</w:t>
      </w:r>
      <w:r>
        <w:rPr>
          <w:rFonts w:ascii="仿宋_gb2312" w:hAnsi="仿宋_gb2312" w:cs="仿宋_gb2312" w:eastAsia="仿宋_gb2312"/>
          <w:sz w:val="20"/>
          <w:u w:val="single"/>
        </w:rPr>
        <w:t>，乙方将试运行期服务报告提交给甲方。 质量保证验收：质量保证期内的服务质量满足合同技术支持和售后服务相关要求。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）其他事项（如有）</w:t>
      </w:r>
      <w:r>
        <w:rPr>
          <w:rFonts w:ascii="仿宋_gb2312" w:hAnsi="仿宋_gb2312" w:cs="仿宋_gb2312" w:eastAsia="仿宋_gb2312"/>
          <w:sz w:val="20"/>
          <w:u w:val="single"/>
        </w:rPr>
        <w:t>验收地点：北京。（与产品到货地点一致）</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本招标文件未尽事宜【按照/参照】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