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50884">
      <w:pPr>
        <w:snapToGrid w:val="0"/>
        <w:spacing w:line="360" w:lineRule="auto"/>
        <w:ind w:left="602"/>
        <w:jc w:val="left"/>
        <w:outlineLvl w:val="0"/>
        <w:rPr>
          <w:rFonts w:ascii="楷体" w:hAnsi="楷体" w:eastAsia="楷体" w:cs="Times New Roman"/>
          <w:bCs/>
          <w:sz w:val="32"/>
          <w:szCs w:val="32"/>
        </w:rPr>
      </w:pPr>
      <w:r>
        <w:rPr>
          <w:rFonts w:hint="eastAsia" w:ascii="楷体" w:hAnsi="楷体" w:eastAsia="楷体" w:cs="Times New Roman"/>
          <w:bCs/>
          <w:sz w:val="32"/>
          <w:szCs w:val="32"/>
        </w:rPr>
        <w:t>（三）合同文本</w:t>
      </w:r>
    </w:p>
    <w:p w14:paraId="45215501">
      <w:pPr>
        <w:widowControl/>
        <w:snapToGrid w:val="0"/>
        <w:spacing w:line="360" w:lineRule="auto"/>
        <w:ind w:firstLine="643" w:firstLineChars="200"/>
        <w:jc w:val="left"/>
        <w:rPr>
          <w:rFonts w:ascii="仿宋" w:hAnsi="仿宋" w:eastAsia="仿宋" w:cs="Times New Roman"/>
          <w:b/>
          <w:sz w:val="32"/>
          <w:szCs w:val="32"/>
        </w:rPr>
      </w:pPr>
    </w:p>
    <w:p w14:paraId="42B7100D">
      <w:pPr>
        <w:spacing w:beforeLines="50" w:after="156"/>
        <w:ind w:left="2340" w:hanging="2340"/>
        <w:jc w:val="center"/>
        <w:rPr>
          <w:rFonts w:ascii="黑体" w:hAnsi="黑体" w:eastAsia="黑体" w:cs="Times New Roman"/>
          <w:sz w:val="44"/>
          <w:szCs w:val="44"/>
        </w:rPr>
      </w:pPr>
    </w:p>
    <w:p w14:paraId="3802688F">
      <w:pPr>
        <w:spacing w:beforeLines="50" w:after="156"/>
        <w:ind w:left="2340" w:hanging="2340"/>
        <w:jc w:val="center"/>
        <w:rPr>
          <w:rFonts w:ascii="黑体" w:hAnsi="黑体" w:eastAsia="黑体"/>
          <w:sz w:val="44"/>
          <w:szCs w:val="44"/>
        </w:rPr>
      </w:pPr>
      <w:r>
        <w:rPr>
          <w:rFonts w:hint="eastAsia" w:ascii="黑体" w:hAnsi="黑体" w:eastAsia="黑体" w:cs="Times New Roman"/>
          <w:sz w:val="44"/>
          <w:szCs w:val="44"/>
        </w:rPr>
        <w:t>造币用低碳钢带采购</w:t>
      </w:r>
      <w:r>
        <w:rPr>
          <w:rFonts w:hint="eastAsia" w:ascii="黑体" w:hAnsi="黑体" w:eastAsia="黑体"/>
          <w:sz w:val="44"/>
          <w:szCs w:val="44"/>
        </w:rPr>
        <w:t>合同</w:t>
      </w:r>
    </w:p>
    <w:p w14:paraId="02B0E856">
      <w:pPr>
        <w:pStyle w:val="2"/>
        <w:spacing w:before="156" w:after="156"/>
        <w:rPr>
          <w:lang w:eastAsia="zh-CN"/>
        </w:rPr>
      </w:pPr>
    </w:p>
    <w:p w14:paraId="7DB54783">
      <w:pPr>
        <w:pStyle w:val="2"/>
        <w:spacing w:before="156" w:after="156"/>
        <w:rPr>
          <w:sz w:val="30"/>
          <w:szCs w:val="30"/>
          <w:lang w:eastAsia="zh-CN"/>
        </w:rPr>
      </w:pPr>
    </w:p>
    <w:p w14:paraId="2B745DD8">
      <w:pPr>
        <w:tabs>
          <w:tab w:val="left" w:pos="6930"/>
          <w:tab w:val="right" w:pos="8303"/>
        </w:tabs>
        <w:ind w:right="3" w:firstLine="1200" w:firstLineChars="400"/>
        <w:jc w:val="left"/>
        <w:rPr>
          <w:rFonts w:asciiTheme="minorEastAsia" w:hAnsiTheme="minorEastAsia"/>
          <w:color w:val="000000"/>
          <w:sz w:val="30"/>
          <w:szCs w:val="30"/>
          <w:u w:val="single"/>
        </w:rPr>
      </w:pPr>
      <w:r>
        <w:rPr>
          <w:rFonts w:asciiTheme="minorEastAsia" w:hAnsiTheme="minorEastAsia"/>
          <w:color w:val="000000"/>
          <w:sz w:val="30"/>
          <w:szCs w:val="30"/>
        </w:rPr>
        <w:t>合同编号：</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47BD7D39">
      <w:pPr>
        <w:ind w:right="3" w:firstLine="1200" w:firstLineChars="400"/>
        <w:jc w:val="left"/>
        <w:rPr>
          <w:rFonts w:asciiTheme="minorEastAsia" w:hAnsiTheme="minorEastAsia"/>
          <w:color w:val="000000"/>
          <w:sz w:val="30"/>
          <w:szCs w:val="30"/>
        </w:rPr>
      </w:pPr>
    </w:p>
    <w:p w14:paraId="022EFC50">
      <w:pPr>
        <w:tabs>
          <w:tab w:val="left" w:pos="6930"/>
          <w:tab w:val="right" w:pos="8303"/>
        </w:tabs>
        <w:ind w:right="3" w:firstLine="1200" w:firstLineChars="400"/>
        <w:jc w:val="left"/>
        <w:rPr>
          <w:rFonts w:asciiTheme="minorEastAsia" w:hAnsiTheme="minorEastAsia"/>
          <w:color w:val="000000"/>
          <w:sz w:val="30"/>
          <w:szCs w:val="30"/>
        </w:rPr>
      </w:pPr>
      <w:r>
        <w:rPr>
          <w:rFonts w:hint="eastAsia" w:asciiTheme="minorEastAsia" w:hAnsiTheme="minorEastAsia"/>
          <w:color w:val="000000"/>
          <w:sz w:val="30"/>
          <w:szCs w:val="30"/>
        </w:rPr>
        <w:t xml:space="preserve">甲    方： </w:t>
      </w:r>
      <w:r>
        <w:rPr>
          <w:rFonts w:hint="eastAsia" w:asciiTheme="minorEastAsia" w:hAnsiTheme="minorEastAsia"/>
          <w:color w:val="000000"/>
          <w:sz w:val="30"/>
          <w:szCs w:val="30"/>
          <w:u w:val="single"/>
        </w:rPr>
        <w:t xml:space="preserve">      南京造币有限公司       </w:t>
      </w:r>
    </w:p>
    <w:p w14:paraId="333ED79B">
      <w:pPr>
        <w:ind w:right="3" w:firstLine="1200" w:firstLineChars="400"/>
        <w:jc w:val="left"/>
        <w:rPr>
          <w:rFonts w:asciiTheme="minorEastAsia" w:hAnsiTheme="minorEastAsia"/>
          <w:sz w:val="30"/>
          <w:szCs w:val="30"/>
        </w:rPr>
      </w:pPr>
    </w:p>
    <w:p w14:paraId="679116AA">
      <w:pPr>
        <w:tabs>
          <w:tab w:val="left" w:pos="6930"/>
          <w:tab w:val="right" w:pos="8303"/>
        </w:tabs>
        <w:ind w:right="3" w:firstLine="1200" w:firstLineChars="400"/>
        <w:jc w:val="left"/>
        <w:rPr>
          <w:rFonts w:asciiTheme="minorEastAsia" w:hAnsiTheme="minorEastAsia"/>
          <w:color w:val="000000"/>
          <w:sz w:val="30"/>
          <w:szCs w:val="30"/>
        </w:rPr>
      </w:pPr>
      <w:r>
        <w:rPr>
          <w:rFonts w:hint="eastAsia" w:asciiTheme="minorEastAsia" w:hAnsiTheme="minorEastAsia"/>
          <w:color w:val="000000"/>
          <w:sz w:val="30"/>
          <w:szCs w:val="30"/>
        </w:rPr>
        <w:t xml:space="preserve">乙    方： </w:t>
      </w:r>
      <w:r>
        <w:rPr>
          <w:rFonts w:hint="eastAsia" w:asciiTheme="minorEastAsia" w:hAnsiTheme="minorEastAsia"/>
          <w:color w:val="000000"/>
          <w:sz w:val="30"/>
          <w:szCs w:val="30"/>
          <w:u w:val="single"/>
        </w:rPr>
        <w:t xml:space="preserve">                            </w:t>
      </w:r>
    </w:p>
    <w:p w14:paraId="6D87C714">
      <w:pPr>
        <w:ind w:right="3" w:firstLine="1200" w:firstLineChars="400"/>
        <w:jc w:val="left"/>
        <w:rPr>
          <w:rFonts w:asciiTheme="minorEastAsia" w:hAnsiTheme="minorEastAsia"/>
          <w:sz w:val="30"/>
          <w:szCs w:val="30"/>
        </w:rPr>
      </w:pPr>
    </w:p>
    <w:p w14:paraId="6846AE51">
      <w:pPr>
        <w:ind w:right="3" w:firstLine="1200" w:firstLineChars="400"/>
        <w:jc w:val="left"/>
        <w:rPr>
          <w:rFonts w:asciiTheme="minorEastAsia" w:hAnsiTheme="minorEastAsia"/>
          <w:color w:val="000000"/>
          <w:sz w:val="30"/>
          <w:szCs w:val="30"/>
        </w:rPr>
      </w:pPr>
      <w:r>
        <w:rPr>
          <w:rFonts w:asciiTheme="minorEastAsia" w:hAnsiTheme="minorEastAsia"/>
          <w:color w:val="000000"/>
          <w:sz w:val="30"/>
          <w:szCs w:val="30"/>
        </w:rPr>
        <w:t>签约日期：</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0D55569C">
      <w:pPr>
        <w:ind w:right="3" w:firstLine="1200" w:firstLineChars="400"/>
        <w:jc w:val="left"/>
        <w:rPr>
          <w:rFonts w:asciiTheme="minorEastAsia" w:hAnsiTheme="minorEastAsia"/>
          <w:color w:val="000000"/>
          <w:sz w:val="30"/>
          <w:szCs w:val="30"/>
        </w:rPr>
      </w:pPr>
    </w:p>
    <w:p w14:paraId="066388C2">
      <w:pPr>
        <w:ind w:right="3" w:firstLine="1200" w:firstLineChars="400"/>
        <w:jc w:val="left"/>
        <w:rPr>
          <w:rFonts w:asciiTheme="minorEastAsia" w:hAnsiTheme="minorEastAsia"/>
          <w:color w:val="000000"/>
          <w:sz w:val="30"/>
          <w:szCs w:val="30"/>
        </w:rPr>
      </w:pPr>
      <w:r>
        <w:rPr>
          <w:rFonts w:asciiTheme="minorEastAsia" w:hAnsiTheme="minorEastAsia"/>
          <w:color w:val="000000"/>
          <w:sz w:val="30"/>
          <w:szCs w:val="30"/>
        </w:rPr>
        <w:t>签约地点：</w:t>
      </w:r>
      <w:r>
        <w:rPr>
          <w:rFonts w:hint="eastAsia" w:asciiTheme="minorEastAsia" w:hAnsiTheme="minorEastAsia"/>
          <w:color w:val="000000"/>
          <w:sz w:val="30"/>
          <w:szCs w:val="30"/>
        </w:rPr>
        <w:t xml:space="preserve"> </w:t>
      </w:r>
      <w:r>
        <w:rPr>
          <w:rFonts w:hint="eastAsia" w:asciiTheme="minorEastAsia" w:hAnsiTheme="minorEastAsia"/>
          <w:color w:val="000000"/>
          <w:sz w:val="30"/>
          <w:szCs w:val="30"/>
          <w:u w:val="single"/>
        </w:rPr>
        <w:t xml:space="preserve">                            </w:t>
      </w:r>
    </w:p>
    <w:p w14:paraId="48BA3305">
      <w:pPr>
        <w:pStyle w:val="2"/>
        <w:rPr>
          <w:rFonts w:asciiTheme="minorEastAsia" w:hAnsiTheme="minorEastAsia"/>
          <w:sz w:val="30"/>
          <w:szCs w:val="30"/>
          <w:lang w:eastAsia="zh-CN"/>
        </w:rPr>
      </w:pPr>
    </w:p>
    <w:p w14:paraId="59AECB90">
      <w:pPr>
        <w:widowControl/>
        <w:jc w:val="left"/>
      </w:pPr>
      <w:r>
        <w:br w:type="page"/>
      </w:r>
    </w:p>
    <w:p w14:paraId="0EC01C8F">
      <w:pPr>
        <w:spacing w:before="156" w:after="156"/>
        <w:ind w:left="1084" w:hanging="1084"/>
        <w:rPr>
          <w:rFonts w:cs="Arial"/>
          <w:b/>
          <w:sz w:val="24"/>
        </w:rPr>
      </w:pPr>
      <w:r>
        <w:rPr>
          <w:rFonts w:cs="Arial"/>
          <w:b/>
          <w:sz w:val="24"/>
        </w:rPr>
        <w:t>甲方：</w:t>
      </w:r>
      <w:r>
        <w:rPr>
          <w:rFonts w:hint="eastAsia" w:cs="Arial"/>
          <w:b/>
          <w:sz w:val="24"/>
        </w:rPr>
        <w:t>__</w:t>
      </w:r>
      <w:r>
        <w:rPr>
          <w:rFonts w:hint="eastAsia" w:cs="Arial"/>
          <w:b/>
          <w:sz w:val="24"/>
          <w:u w:val="single"/>
        </w:rPr>
        <w:t>南京造币有限公司</w:t>
      </w:r>
      <w:r>
        <w:rPr>
          <w:rFonts w:hint="eastAsia" w:cs="Arial"/>
          <w:b/>
          <w:sz w:val="24"/>
        </w:rPr>
        <w:t>____</w:t>
      </w:r>
      <w:r>
        <w:rPr>
          <w:rFonts w:hint="eastAsia" w:cs="Arial"/>
          <w:b/>
          <w:sz w:val="24"/>
          <w:u w:val="single"/>
        </w:rPr>
        <w:t xml:space="preserve"> </w:t>
      </w:r>
      <w:r>
        <w:rPr>
          <w:rFonts w:cs="Arial"/>
          <w:b/>
          <w:sz w:val="24"/>
        </w:rPr>
        <w:t>（以下简称“甲方”）</w:t>
      </w:r>
    </w:p>
    <w:p w14:paraId="30D78A6C">
      <w:pPr>
        <w:pStyle w:val="13"/>
        <w:spacing w:line="240" w:lineRule="auto"/>
      </w:pPr>
      <w:r>
        <w:rPr>
          <w:rFonts w:hint="eastAsia"/>
        </w:rPr>
        <w:t>统一社会信用代码：</w:t>
      </w:r>
    </w:p>
    <w:p w14:paraId="3A0B23FA">
      <w:pPr>
        <w:pStyle w:val="13"/>
        <w:spacing w:line="240" w:lineRule="auto"/>
      </w:pPr>
      <w:r>
        <w:rPr>
          <w:rFonts w:hint="eastAsia"/>
        </w:rPr>
        <w:t>注册</w:t>
      </w:r>
      <w:r>
        <w:t>地址：</w:t>
      </w:r>
    </w:p>
    <w:p w14:paraId="6E2764E9">
      <w:pPr>
        <w:pStyle w:val="13"/>
        <w:spacing w:line="240" w:lineRule="auto"/>
      </w:pPr>
      <w:r>
        <w:t xml:space="preserve">法定代表人：  </w:t>
      </w:r>
    </w:p>
    <w:p w14:paraId="450B859D">
      <w:pPr>
        <w:pStyle w:val="13"/>
        <w:spacing w:line="240" w:lineRule="auto"/>
      </w:pPr>
      <w:r>
        <w:t xml:space="preserve">联系人：             </w:t>
      </w:r>
    </w:p>
    <w:p w14:paraId="2AFE9B27">
      <w:pPr>
        <w:pStyle w:val="13"/>
        <w:spacing w:line="240" w:lineRule="auto"/>
      </w:pPr>
      <w:r>
        <w:t>电话号码：</w:t>
      </w:r>
    </w:p>
    <w:p w14:paraId="2A4D8F4A">
      <w:pPr>
        <w:pStyle w:val="13"/>
        <w:spacing w:line="240" w:lineRule="auto"/>
      </w:pPr>
      <w:r>
        <w:rPr>
          <w:rFonts w:hint="eastAsia"/>
        </w:rPr>
        <w:t>联系邮箱：</w:t>
      </w:r>
    </w:p>
    <w:p w14:paraId="5613108B">
      <w:pPr>
        <w:pStyle w:val="13"/>
        <w:spacing w:line="240" w:lineRule="auto"/>
      </w:pPr>
    </w:p>
    <w:p w14:paraId="2A7A0EA9">
      <w:pPr>
        <w:spacing w:before="156" w:after="156"/>
        <w:ind w:left="1084" w:hanging="1084"/>
        <w:rPr>
          <w:rFonts w:cs="Arial"/>
          <w:b/>
          <w:sz w:val="24"/>
        </w:rPr>
      </w:pPr>
      <w:r>
        <w:rPr>
          <w:rFonts w:cs="Arial"/>
          <w:b/>
          <w:sz w:val="24"/>
        </w:rPr>
        <w:t>乙方：</w:t>
      </w:r>
      <w:r>
        <w:rPr>
          <w:rFonts w:hint="eastAsia" w:cs="Arial"/>
          <w:b/>
          <w:sz w:val="24"/>
        </w:rPr>
        <w:t>______________________</w:t>
      </w:r>
      <w:r>
        <w:rPr>
          <w:rFonts w:cs="Arial"/>
          <w:b/>
          <w:sz w:val="24"/>
        </w:rPr>
        <w:t>（以下简称“乙方”）</w:t>
      </w:r>
    </w:p>
    <w:p w14:paraId="6C635B84">
      <w:pPr>
        <w:pStyle w:val="13"/>
        <w:spacing w:line="240" w:lineRule="auto"/>
      </w:pPr>
      <w:r>
        <w:rPr>
          <w:rFonts w:hint="eastAsia"/>
        </w:rPr>
        <w:t>统一社会信用代码：</w:t>
      </w:r>
    </w:p>
    <w:p w14:paraId="2B53C928">
      <w:pPr>
        <w:pStyle w:val="13"/>
        <w:spacing w:line="240" w:lineRule="auto"/>
      </w:pPr>
      <w:r>
        <w:rPr>
          <w:rFonts w:hint="eastAsia"/>
        </w:rPr>
        <w:t>注册</w:t>
      </w:r>
      <w:r>
        <w:t>地址：</w:t>
      </w:r>
    </w:p>
    <w:p w14:paraId="3289B60B">
      <w:pPr>
        <w:pStyle w:val="13"/>
        <w:spacing w:line="240" w:lineRule="auto"/>
      </w:pPr>
      <w:r>
        <w:t xml:space="preserve">法定代表人： </w:t>
      </w:r>
    </w:p>
    <w:p w14:paraId="65C1817F">
      <w:pPr>
        <w:pStyle w:val="13"/>
        <w:spacing w:line="240" w:lineRule="auto"/>
      </w:pPr>
      <w:r>
        <w:t xml:space="preserve">联系人：              </w:t>
      </w:r>
    </w:p>
    <w:p w14:paraId="40C4B89F">
      <w:pPr>
        <w:pStyle w:val="13"/>
        <w:spacing w:line="240" w:lineRule="auto"/>
      </w:pPr>
      <w:r>
        <w:t>电话号码：</w:t>
      </w:r>
      <w:r>
        <w:rPr>
          <w:rFonts w:hint="eastAsia"/>
        </w:rPr>
        <w:t xml:space="preserve">       </w:t>
      </w:r>
    </w:p>
    <w:p w14:paraId="4D768B3A">
      <w:pPr>
        <w:pStyle w:val="13"/>
        <w:spacing w:line="240" w:lineRule="auto"/>
      </w:pPr>
      <w:r>
        <w:rPr>
          <w:rFonts w:hint="eastAsia"/>
        </w:rPr>
        <w:t>联系邮箱：</w:t>
      </w:r>
    </w:p>
    <w:p w14:paraId="7635A221">
      <w:pPr>
        <w:pStyle w:val="13"/>
        <w:spacing w:line="240" w:lineRule="auto"/>
        <w:rPr>
          <w:b/>
        </w:rPr>
      </w:pPr>
    </w:p>
    <w:p w14:paraId="548B883F">
      <w:pPr>
        <w:spacing w:beforeLines="80" w:afterLines="80"/>
        <w:ind w:firstLine="480" w:firstLineChars="200"/>
        <w:rPr>
          <w:rFonts w:cs="Arial"/>
          <w:sz w:val="24"/>
        </w:rPr>
      </w:pPr>
      <w:r>
        <w:rPr>
          <w:rFonts w:hint="eastAsia" w:cs="Arial"/>
          <w:sz w:val="24"/>
        </w:rPr>
        <w:t>本合同由甲、乙双方经过平等友好协商，在真实、充分表达各自意愿的基础上，根据现行有效的相关法律法规签订，并由双方共同恪守。</w:t>
      </w:r>
    </w:p>
    <w:p w14:paraId="5702A36E">
      <w:pPr>
        <w:pStyle w:val="14"/>
        <w:numPr>
          <w:ilvl w:val="0"/>
          <w:numId w:val="0"/>
        </w:numPr>
        <w:spacing w:before="249" w:after="249" w:line="240" w:lineRule="auto"/>
        <w:rPr>
          <w:b/>
        </w:rPr>
      </w:pPr>
      <w:r>
        <w:rPr>
          <w:rFonts w:hint="eastAsia"/>
          <w:b/>
        </w:rPr>
        <w:t>第1条 定义</w:t>
      </w:r>
    </w:p>
    <w:p w14:paraId="4147EC63">
      <w:pPr>
        <w:pStyle w:val="14"/>
        <w:numPr>
          <w:ilvl w:val="0"/>
          <w:numId w:val="0"/>
        </w:numPr>
        <w:spacing w:before="249" w:after="249" w:line="240" w:lineRule="auto"/>
      </w:pPr>
      <w:r>
        <w:t>除另有明确说明或上下文另有要求，在本合同中(包括附件</w:t>
      </w:r>
      <w:r>
        <w:rPr>
          <w:rFonts w:hint="eastAsia"/>
        </w:rPr>
        <w:t>，</w:t>
      </w:r>
      <w:r>
        <w:t>下同)，如有下列名词及术语均应具有本</w:t>
      </w:r>
      <w:r>
        <w:rPr>
          <w:rFonts w:hint="eastAsia"/>
        </w:rPr>
        <w:t>条</w:t>
      </w:r>
      <w:r>
        <w:t>所赋予的含义。</w:t>
      </w:r>
    </w:p>
    <w:p w14:paraId="534DCF2E">
      <w:pPr>
        <w:pStyle w:val="14"/>
        <w:numPr>
          <w:ilvl w:val="0"/>
          <w:numId w:val="0"/>
        </w:numPr>
        <w:spacing w:before="249" w:after="249" w:line="240" w:lineRule="auto"/>
      </w:pPr>
      <w:r>
        <w:rPr>
          <w:rFonts w:hint="eastAsia"/>
        </w:rPr>
        <w:t>1.1“合同”：系指甲、乙双方自愿签署、载明双方权利义务的协议，包括本合同、本合同所有附件、提及与本合同具有同等法律效力的所有文件以及日后对本合同做出的任何书面更改。</w:t>
      </w:r>
    </w:p>
    <w:p w14:paraId="11E41533">
      <w:pPr>
        <w:pStyle w:val="14"/>
        <w:numPr>
          <w:ilvl w:val="0"/>
          <w:numId w:val="0"/>
        </w:numPr>
        <w:spacing w:before="249" w:after="249" w:line="240" w:lineRule="auto"/>
      </w:pPr>
      <w:r>
        <w:rPr>
          <w:rFonts w:hint="eastAsia"/>
        </w:rPr>
        <w:t>1.2“货物”：系指乙方按照合同规定，应当向甲方交付的一定品种、数量、规格的产品。</w:t>
      </w:r>
    </w:p>
    <w:p w14:paraId="5489D169">
      <w:pPr>
        <w:pStyle w:val="14"/>
        <w:numPr>
          <w:ilvl w:val="0"/>
          <w:numId w:val="0"/>
        </w:numPr>
        <w:spacing w:before="249" w:after="249" w:line="240" w:lineRule="auto"/>
      </w:pPr>
      <w:r>
        <w:rPr>
          <w:rFonts w:hint="eastAsia"/>
        </w:rPr>
        <w:t>1.3</w:t>
      </w:r>
      <w:r>
        <w:t>“合同</w:t>
      </w:r>
      <w:r>
        <w:rPr>
          <w:rFonts w:hint="eastAsia"/>
        </w:rPr>
        <w:t>价款</w:t>
      </w:r>
      <w:r>
        <w:t>”</w:t>
      </w:r>
      <w:r>
        <w:rPr>
          <w:rFonts w:hint="eastAsia"/>
        </w:rPr>
        <w:t>：系</w:t>
      </w:r>
      <w:r>
        <w:t>指在乙方完全和适当地履行其合同义务后，甲方根据合同</w:t>
      </w:r>
      <w:r>
        <w:rPr>
          <w:rFonts w:hint="eastAsia"/>
        </w:rPr>
        <w:t>约</w:t>
      </w:r>
      <w:r>
        <w:t>定应支付给乙方的价款。在合同履行期间，若因国家政策或法律调整税率，导致合同</w:t>
      </w:r>
      <w:r>
        <w:rPr>
          <w:rFonts w:hint="eastAsia"/>
        </w:rPr>
        <w:t>价款</w:t>
      </w:r>
      <w:r>
        <w:t>中包含的税费调整，合同</w:t>
      </w:r>
      <w:r>
        <w:rPr>
          <w:rFonts w:hint="eastAsia"/>
        </w:rPr>
        <w:t>价款</w:t>
      </w:r>
      <w:r>
        <w:t>也随之调整。</w:t>
      </w:r>
    </w:p>
    <w:p w14:paraId="726A3196">
      <w:pPr>
        <w:pStyle w:val="14"/>
        <w:numPr>
          <w:ilvl w:val="0"/>
          <w:numId w:val="0"/>
        </w:numPr>
        <w:spacing w:before="249" w:after="249" w:line="240" w:lineRule="auto"/>
      </w:pPr>
      <w:r>
        <w:rPr>
          <w:rFonts w:hint="eastAsia"/>
        </w:rPr>
        <w:t xml:space="preserve">1.4“工作日”：系指除公休日和国家法定节假日外的日历天数，“日”是指日历天数。 </w:t>
      </w:r>
    </w:p>
    <w:p w14:paraId="1EB30D2A">
      <w:pPr>
        <w:pStyle w:val="14"/>
        <w:numPr>
          <w:ilvl w:val="0"/>
          <w:numId w:val="0"/>
        </w:numPr>
        <w:spacing w:before="249" w:after="249" w:line="240" w:lineRule="auto"/>
      </w:pPr>
      <w:r>
        <w:rPr>
          <w:rFonts w:hint="eastAsia"/>
        </w:rPr>
        <w:t>1.5“交货”：系指乙方提供的所有货物到达甲方指定交货地点后，甲方和乙方对货物进行的交接和查验。</w:t>
      </w:r>
    </w:p>
    <w:p w14:paraId="67169E0C">
      <w:pPr>
        <w:pStyle w:val="14"/>
        <w:numPr>
          <w:ilvl w:val="0"/>
          <w:numId w:val="0"/>
        </w:numPr>
        <w:spacing w:before="249" w:after="249" w:line="240" w:lineRule="auto"/>
      </w:pPr>
      <w:r>
        <w:rPr>
          <w:rFonts w:hint="eastAsia"/>
        </w:rPr>
        <w:t>1.6“质量保修期”或“质保期”：系指自货物理化指标复检验收合格之日起算，货</w:t>
      </w:r>
      <w:r>
        <w:rPr>
          <w:rFonts w:hint="eastAsia"/>
          <w:szCs w:val="21"/>
        </w:rPr>
        <w:t>物正常运行后双方约定的期限或有关标准、规定注明的期限，两者以先到期的为准。</w:t>
      </w:r>
    </w:p>
    <w:p w14:paraId="342BB85C">
      <w:pPr>
        <w:pStyle w:val="14"/>
        <w:numPr>
          <w:ilvl w:val="0"/>
          <w:numId w:val="0"/>
        </w:numPr>
        <w:spacing w:before="249" w:after="249" w:line="240" w:lineRule="auto"/>
        <w:rPr>
          <w:b/>
        </w:rPr>
      </w:pPr>
      <w:r>
        <w:rPr>
          <w:rFonts w:hint="eastAsia"/>
          <w:b/>
        </w:rPr>
        <w:t>第2条 合同标的物</w:t>
      </w:r>
    </w:p>
    <w:p w14:paraId="4E91EBC6">
      <w:pPr>
        <w:pStyle w:val="14"/>
        <w:numPr>
          <w:ilvl w:val="0"/>
          <w:numId w:val="0"/>
        </w:numPr>
        <w:spacing w:before="249" w:after="249" w:line="240" w:lineRule="auto"/>
        <w:ind w:left="964" w:hanging="964"/>
      </w:pPr>
      <w:r>
        <w:rPr>
          <w:rFonts w:hint="eastAsia"/>
          <w:szCs w:val="21"/>
        </w:rPr>
        <w:t>2.1本合同标的物情况具体见本合同</w:t>
      </w:r>
      <w:r>
        <w:rPr>
          <w:rFonts w:hint="eastAsia"/>
        </w:rPr>
        <w:t>附件</w:t>
      </w:r>
      <w:r>
        <w:rPr>
          <w:rFonts w:hint="eastAsia"/>
          <w:u w:val="single"/>
        </w:rPr>
        <w:t xml:space="preserve">  1  </w:t>
      </w:r>
      <w:r>
        <w:rPr>
          <w:rFonts w:hint="eastAsia"/>
          <w:szCs w:val="21"/>
        </w:rPr>
        <w:t>。</w:t>
      </w:r>
    </w:p>
    <w:p w14:paraId="2163BD95">
      <w:pPr>
        <w:pStyle w:val="14"/>
        <w:numPr>
          <w:ilvl w:val="0"/>
          <w:numId w:val="0"/>
        </w:numPr>
        <w:spacing w:before="249" w:after="249" w:line="240" w:lineRule="auto"/>
      </w:pPr>
      <w:r>
        <w:rPr>
          <w:rFonts w:hint="eastAsia"/>
          <w:szCs w:val="21"/>
        </w:rPr>
        <w:t>2.2乙方供货的范围包</w:t>
      </w:r>
      <w:r>
        <w:rPr>
          <w:rFonts w:hint="eastAsia"/>
        </w:rPr>
        <w:t>括了本合同所列明的货物及与货物</w:t>
      </w:r>
      <w:r>
        <w:rPr>
          <w:rFonts w:hint="eastAsia"/>
          <w:bCs/>
        </w:rPr>
        <w:t>配套的专用安装材料、工具、备品备件、图纸等配件</w:t>
      </w:r>
      <w:r>
        <w:rPr>
          <w:rFonts w:hint="eastAsia"/>
        </w:rPr>
        <w:t>。在本合同履行过程中如发现有任何漏项和短缺，乙方应自费在甲方要求的时间内补齐，因此造成甲方的损失，由乙方负责赔偿。</w:t>
      </w:r>
    </w:p>
    <w:p w14:paraId="3CF0EA7C">
      <w:pPr>
        <w:pStyle w:val="14"/>
        <w:numPr>
          <w:ilvl w:val="0"/>
          <w:numId w:val="0"/>
        </w:numPr>
        <w:spacing w:before="249" w:after="249" w:line="240" w:lineRule="auto"/>
      </w:pPr>
      <w:r>
        <w:rPr>
          <w:rFonts w:hint="eastAsia"/>
        </w:rPr>
        <w:t>2.3乙方就其向甲方提供的货物应当具有完全处分权，不存在任何抵押、质押、担保或其他第三方权益，不会有任何第三方对该等货物主张任何权利，否则乙方应赔偿因此而给甲方造成的全部损失。</w:t>
      </w:r>
    </w:p>
    <w:p w14:paraId="1A9310BC">
      <w:pPr>
        <w:pStyle w:val="14"/>
        <w:numPr>
          <w:ilvl w:val="0"/>
          <w:numId w:val="0"/>
        </w:numPr>
        <w:spacing w:before="249" w:after="249" w:line="240" w:lineRule="auto"/>
        <w:ind w:left="964" w:hanging="964"/>
      </w:pPr>
      <w:r>
        <w:rPr>
          <w:rFonts w:hint="eastAsia"/>
        </w:rPr>
        <w:t>2.4本合同的采购订货有效期：自合同签订之日起</w:t>
      </w:r>
      <w:r>
        <w:rPr>
          <w:rFonts w:hint="eastAsia"/>
          <w:u w:val="single"/>
          <w:shd w:val="clear" w:color="auto" w:fill="BFBFBF"/>
        </w:rPr>
        <w:t xml:space="preserve"> 24 </w:t>
      </w:r>
      <w:r>
        <w:rPr>
          <w:rFonts w:hint="eastAsia"/>
        </w:rPr>
        <w:t>个月。</w:t>
      </w:r>
    </w:p>
    <w:p w14:paraId="2214B091">
      <w:pPr>
        <w:pStyle w:val="14"/>
        <w:numPr>
          <w:ilvl w:val="0"/>
          <w:numId w:val="0"/>
        </w:numPr>
        <w:spacing w:before="249" w:after="249" w:line="240" w:lineRule="auto"/>
        <w:ind w:left="964" w:hanging="964"/>
        <w:rPr>
          <w:b/>
          <w:bCs/>
        </w:rPr>
      </w:pPr>
      <w:r>
        <w:rPr>
          <w:rFonts w:hint="eastAsia"/>
          <w:b/>
        </w:rPr>
        <w:t xml:space="preserve">第3条 </w:t>
      </w:r>
      <w:r>
        <w:rPr>
          <w:rFonts w:hint="eastAsia"/>
          <w:b/>
          <w:bCs/>
        </w:rPr>
        <w:t>合同价款</w:t>
      </w:r>
    </w:p>
    <w:p w14:paraId="17EC38FA">
      <w:pPr>
        <w:pStyle w:val="14"/>
        <w:numPr>
          <w:ilvl w:val="0"/>
          <w:numId w:val="0"/>
        </w:numPr>
        <w:spacing w:before="249" w:after="249" w:line="240" w:lineRule="auto"/>
        <w:ind w:left="964" w:hanging="964"/>
      </w:pPr>
      <w:r>
        <w:rPr>
          <w:rFonts w:hint="eastAsia"/>
        </w:rPr>
        <w:t>3.1本合同价款</w:t>
      </w:r>
      <w:r>
        <w:t>选择</w:t>
      </w:r>
      <w:r>
        <w:rPr>
          <w:rFonts w:hint="eastAsia"/>
        </w:rPr>
        <w:t>如下方式</w:t>
      </w:r>
      <w:r>
        <w:rPr>
          <w:rFonts w:hint="eastAsia" w:cs="宋体"/>
          <w:u w:val="single"/>
        </w:rPr>
        <w:t xml:space="preserve">  一  </w:t>
      </w:r>
      <w:r>
        <w:rPr>
          <w:rFonts w:hint="eastAsia"/>
        </w:rPr>
        <w:t>：</w:t>
      </w:r>
    </w:p>
    <w:p w14:paraId="05D836DA">
      <w:pPr>
        <w:pStyle w:val="14"/>
        <w:numPr>
          <w:ilvl w:val="0"/>
          <w:numId w:val="0"/>
        </w:numPr>
        <w:spacing w:before="249" w:after="249" w:line="240" w:lineRule="auto"/>
        <w:ind w:left="964" w:hanging="964"/>
      </w:pPr>
      <w:r>
        <w:rPr>
          <w:rFonts w:hint="eastAsia" w:cs="宋体"/>
        </w:rPr>
        <w:t>方式一：</w:t>
      </w:r>
    </w:p>
    <w:p w14:paraId="524CB53A">
      <w:pPr>
        <w:pStyle w:val="14"/>
        <w:numPr>
          <w:ilvl w:val="0"/>
          <w:numId w:val="0"/>
        </w:numPr>
        <w:spacing w:before="249" w:after="249" w:line="240" w:lineRule="auto"/>
      </w:pPr>
      <w:r>
        <w:rPr>
          <w:rFonts w:hint="eastAsia"/>
        </w:rPr>
        <w:t>（1）本合同采用综合</w:t>
      </w:r>
      <w:r>
        <w:rPr>
          <w:rFonts w:hint="eastAsia"/>
          <w:b/>
        </w:rPr>
        <w:t>单价包干</w:t>
      </w:r>
      <w:r>
        <w:rPr>
          <w:rFonts w:hint="eastAsia"/>
        </w:rPr>
        <w:t>的方式支付合同价款。合同价款暂定总金额为：</w:t>
      </w:r>
      <w:r>
        <w:rPr>
          <w:rFonts w:hint="eastAsia"/>
          <w:u w:val="single"/>
        </w:rPr>
        <w:t xml:space="preserve">              </w:t>
      </w:r>
      <w:r>
        <w:rPr>
          <w:rFonts w:hint="eastAsia"/>
        </w:rPr>
        <w:t>元（大写：</w:t>
      </w:r>
      <w:r>
        <w:rPr>
          <w:rFonts w:hint="eastAsia"/>
          <w:u w:val="single"/>
        </w:rPr>
        <w:t xml:space="preserve">               </w:t>
      </w:r>
      <w:r>
        <w:rPr>
          <w:rFonts w:hint="eastAsia"/>
        </w:rPr>
        <w:t>元;其中不含税金额为</w:t>
      </w:r>
      <w:r>
        <w:rPr>
          <w:rFonts w:hint="eastAsia"/>
          <w:u w:val="single"/>
        </w:rPr>
        <w:t xml:space="preserve">       </w:t>
      </w:r>
      <w:r>
        <w:rPr>
          <w:rFonts w:hint="eastAsia"/>
        </w:rPr>
        <w:t>元，增值税金额为</w:t>
      </w:r>
      <w:r>
        <w:rPr>
          <w:rFonts w:hint="eastAsia"/>
          <w:u w:val="single"/>
        </w:rPr>
        <w:t xml:space="preserve">     </w:t>
      </w:r>
      <w:r>
        <w:rPr>
          <w:rFonts w:hint="eastAsia"/>
        </w:rPr>
        <w:t>元，增值税税率为</w:t>
      </w:r>
      <w:r>
        <w:rPr>
          <w:rFonts w:hint="eastAsia"/>
          <w:u w:val="single"/>
        </w:rPr>
        <w:t xml:space="preserve">    </w:t>
      </w:r>
      <w:r>
        <w:rPr>
          <w:rFonts w:hint="eastAsia"/>
        </w:rPr>
        <w:t>%），具体各项目单价详见合同附件</w:t>
      </w:r>
      <w:r>
        <w:rPr>
          <w:rFonts w:hint="eastAsia"/>
          <w:u w:val="single"/>
        </w:rPr>
        <w:t xml:space="preserve">  1  </w:t>
      </w:r>
      <w:r>
        <w:rPr>
          <w:rFonts w:hint="eastAsia"/>
        </w:rPr>
        <w:t>分项报价</w:t>
      </w:r>
      <w:r>
        <w:t>明细</w:t>
      </w:r>
      <w:r>
        <w:rPr>
          <w:rFonts w:hint="eastAsia"/>
        </w:rPr>
        <w:t>表，货物单价已包含供货、运输、仓储、装卸、验收、税费等一切费用；货物数量据实结算，实际数量以甲方验收合格的货物数量为准。合同实际结算金额不得超过合同价款暂定总金额。</w:t>
      </w:r>
    </w:p>
    <w:p w14:paraId="7D73EEBE">
      <w:pPr>
        <w:pStyle w:val="14"/>
        <w:numPr>
          <w:ilvl w:val="0"/>
          <w:numId w:val="0"/>
        </w:numPr>
        <w:spacing w:before="249" w:after="249" w:line="240" w:lineRule="auto"/>
      </w:pPr>
      <w:r>
        <w:rPr>
          <w:rFonts w:hint="eastAsia"/>
        </w:rPr>
        <w:t>（2）在本合同履行期间，不含税价格不因国家税率变化而变化，如遇国家税率调整，则价税合计的价格应相应调整，以甲方要求开具发票时间为准。</w:t>
      </w:r>
    </w:p>
    <w:p w14:paraId="7D071061">
      <w:pPr>
        <w:snapToGrid w:val="0"/>
        <w:rPr>
          <w:rFonts w:cs="Arial"/>
          <w:sz w:val="24"/>
        </w:rPr>
      </w:pPr>
      <w:r>
        <w:rPr>
          <w:rFonts w:hint="eastAsia" w:cs="宋体"/>
        </w:rPr>
        <w:t>（</w:t>
      </w:r>
      <w:r>
        <w:rPr>
          <w:rFonts w:hint="eastAsia" w:cs="Arial"/>
          <w:sz w:val="24"/>
        </w:rPr>
        <w:t>3）为实现甲乙双方共担市场价格波动风险，确保公平合理，特制定如下定价规则：</w:t>
      </w:r>
    </w:p>
    <w:p w14:paraId="5978CDAB">
      <w:pPr>
        <w:rPr>
          <w:rFonts w:cs="Arial"/>
          <w:sz w:val="24"/>
        </w:rPr>
      </w:pPr>
      <w:r>
        <w:rPr>
          <w:rFonts w:hint="eastAsia" w:cs="Arial"/>
          <w:sz w:val="24"/>
        </w:rPr>
        <w:t>将2年采购周期分割为4个半年。</w:t>
      </w:r>
    </w:p>
    <w:p w14:paraId="0928A527">
      <w:pPr>
        <w:rPr>
          <w:rFonts w:cs="Arial"/>
          <w:sz w:val="24"/>
        </w:rPr>
      </w:pPr>
      <w:r>
        <w:rPr>
          <w:rFonts w:hint="eastAsia" w:cs="Arial"/>
          <w:sz w:val="24"/>
        </w:rPr>
        <w:t>第一个半年，按投标中标价执行采购单价，价格有效期6</w:t>
      </w:r>
      <w:r>
        <w:rPr>
          <w:rFonts w:cs="Arial"/>
          <w:sz w:val="24"/>
        </w:rPr>
        <w:t>个月。</w:t>
      </w:r>
    </w:p>
    <w:p w14:paraId="72603A72">
      <w:pPr>
        <w:rPr>
          <w:rFonts w:cs="Arial"/>
          <w:sz w:val="24"/>
        </w:rPr>
      </w:pPr>
      <w:r>
        <w:rPr>
          <w:rFonts w:hint="eastAsia" w:cs="Arial"/>
          <w:sz w:val="24"/>
        </w:rPr>
        <w:t>后面每个半年，根据定价机制确定的更新价格执行采购单价（不高于最高限价6500元/吨），价格有效期6</w:t>
      </w:r>
      <w:r>
        <w:rPr>
          <w:rFonts w:cs="Arial"/>
          <w:sz w:val="24"/>
        </w:rPr>
        <w:t>个月。采购单价定价机制如下：</w:t>
      </w:r>
    </w:p>
    <w:p w14:paraId="796E544F">
      <w:pPr>
        <w:rPr>
          <w:rFonts w:cs="Arial"/>
          <w:sz w:val="24"/>
        </w:rPr>
      </w:pPr>
      <w:r>
        <w:rPr>
          <w:rFonts w:hint="eastAsia" w:cs="Arial"/>
          <w:sz w:val="24"/>
        </w:rPr>
        <w:t>——选取与造币用低碳钢带主要化学成分、规格最相似的</w:t>
      </w:r>
      <w:r>
        <w:rPr>
          <w:rFonts w:cs="Arial"/>
          <w:sz w:val="24"/>
        </w:rPr>
        <w:t>DC04冷轧板卷为参照，通过上海钢联旗下“我的钢铁网”信息平台，实时跟踪江苏市场DC04冷轧板卷价格行情。</w:t>
      </w:r>
    </w:p>
    <w:p w14:paraId="56AE159E">
      <w:pPr>
        <w:rPr>
          <w:rFonts w:cs="Arial"/>
          <w:sz w:val="24"/>
        </w:rPr>
      </w:pPr>
      <w:r>
        <w:rPr>
          <w:rFonts w:hint="eastAsia" w:cs="Arial"/>
          <w:sz w:val="24"/>
        </w:rPr>
        <w:t>——以上一个半年有效期前的三个月的江苏市场</w:t>
      </w:r>
      <w:r>
        <w:rPr>
          <w:rFonts w:cs="Arial"/>
          <w:sz w:val="24"/>
        </w:rPr>
        <w:t>DC04冷轧板卷月平均价格，设定为参数A；以</w:t>
      </w:r>
      <w:r>
        <w:rPr>
          <w:rFonts w:hint="eastAsia" w:cs="Arial"/>
          <w:sz w:val="24"/>
        </w:rPr>
        <w:t>上一个半年有效</w:t>
      </w:r>
      <w:r>
        <w:rPr>
          <w:rFonts w:cs="Arial"/>
          <w:sz w:val="24"/>
        </w:rPr>
        <w:t>期内</w:t>
      </w:r>
      <w:r>
        <w:rPr>
          <w:rFonts w:hint="eastAsia" w:cs="Arial"/>
          <w:sz w:val="24"/>
        </w:rPr>
        <w:t>六个</w:t>
      </w:r>
      <w:r>
        <w:rPr>
          <w:rFonts w:cs="Arial"/>
          <w:sz w:val="24"/>
        </w:rPr>
        <w:t>月江苏市场DC04冷轧板卷平均价格（至</w:t>
      </w:r>
      <w:r>
        <w:rPr>
          <w:rFonts w:hint="eastAsia" w:cs="Arial"/>
          <w:sz w:val="24"/>
        </w:rPr>
        <w:t>下一个半年</w:t>
      </w:r>
      <w:r>
        <w:rPr>
          <w:rFonts w:cs="Arial"/>
          <w:sz w:val="24"/>
        </w:rPr>
        <w:t>前），设定为参数B；[（B-A）/A]*100%设定为参数C。</w:t>
      </w:r>
    </w:p>
    <w:p w14:paraId="29B70AC8">
      <w:pPr>
        <w:snapToGrid w:val="0"/>
        <w:rPr>
          <w:rFonts w:cs="Arial"/>
          <w:sz w:val="24"/>
        </w:rPr>
      </w:pPr>
      <w:r>
        <w:rPr>
          <w:rFonts w:hint="eastAsia" w:cs="Arial"/>
          <w:sz w:val="24"/>
        </w:rPr>
        <w:t>——当参数</w:t>
      </w:r>
      <w:r>
        <w:rPr>
          <w:rFonts w:cs="Arial"/>
          <w:sz w:val="24"/>
        </w:rPr>
        <w:t>C在±3%之内时，</w:t>
      </w:r>
      <w:r>
        <w:rPr>
          <w:rFonts w:hint="eastAsia" w:cs="Arial"/>
          <w:sz w:val="24"/>
        </w:rPr>
        <w:t>下一个半年</w:t>
      </w:r>
      <w:r>
        <w:rPr>
          <w:rFonts w:cs="Arial"/>
          <w:sz w:val="24"/>
        </w:rPr>
        <w:t>采购单价与</w:t>
      </w:r>
      <w:r>
        <w:rPr>
          <w:rFonts w:hint="eastAsia" w:cs="Arial"/>
          <w:sz w:val="24"/>
        </w:rPr>
        <w:t>上一个半年</w:t>
      </w:r>
      <w:r>
        <w:rPr>
          <w:rFonts w:cs="Arial"/>
          <w:sz w:val="24"/>
        </w:rPr>
        <w:t>采购单价保持一致；当参数C超出±3%之时，采购单价可以调整，调整公式为：</w:t>
      </w:r>
      <w:r>
        <w:rPr>
          <w:rFonts w:hint="eastAsia" w:cs="Arial"/>
          <w:sz w:val="24"/>
        </w:rPr>
        <w:t>下一个半</w:t>
      </w:r>
      <w:r>
        <w:rPr>
          <w:rFonts w:cs="Arial"/>
          <w:sz w:val="24"/>
        </w:rPr>
        <w:t>年采购单价=</w:t>
      </w:r>
      <w:r>
        <w:rPr>
          <w:rFonts w:hint="eastAsia" w:cs="Arial"/>
          <w:sz w:val="24"/>
        </w:rPr>
        <w:t>上</w:t>
      </w:r>
      <w:r>
        <w:rPr>
          <w:rFonts w:cs="Arial"/>
          <w:sz w:val="24"/>
        </w:rPr>
        <w:t>一</w:t>
      </w:r>
      <w:r>
        <w:rPr>
          <w:rFonts w:hint="eastAsia" w:cs="Arial"/>
          <w:sz w:val="24"/>
        </w:rPr>
        <w:t>个半</w:t>
      </w:r>
      <w:r>
        <w:rPr>
          <w:rFonts w:cs="Arial"/>
          <w:sz w:val="24"/>
        </w:rPr>
        <w:t>年采购单价×（1+C）。</w:t>
      </w:r>
    </w:p>
    <w:p w14:paraId="272071C8">
      <w:pPr>
        <w:pStyle w:val="14"/>
        <w:numPr>
          <w:ilvl w:val="0"/>
          <w:numId w:val="0"/>
        </w:numPr>
        <w:spacing w:before="249" w:after="249" w:line="240" w:lineRule="auto"/>
        <w:ind w:left="964" w:hanging="964"/>
        <w:rPr>
          <w:rFonts w:cs="宋体"/>
        </w:rPr>
      </w:pPr>
      <w:r>
        <w:rPr>
          <w:rFonts w:hint="eastAsia" w:cs="宋体"/>
        </w:rPr>
        <w:t>方式二：</w:t>
      </w:r>
    </w:p>
    <w:p w14:paraId="4BA7FBE4">
      <w:pPr>
        <w:pStyle w:val="14"/>
        <w:numPr>
          <w:ilvl w:val="0"/>
          <w:numId w:val="0"/>
        </w:numPr>
        <w:spacing w:before="249" w:after="249" w:line="240" w:lineRule="auto"/>
        <w:rPr>
          <w:rFonts w:cs="宋体"/>
        </w:rPr>
      </w:pPr>
      <w:r>
        <w:rPr>
          <w:rFonts w:hint="eastAsia" w:cs="宋体"/>
        </w:rPr>
        <w:t>（1）本合同采用综合</w:t>
      </w:r>
      <w:r>
        <w:rPr>
          <w:rFonts w:hint="eastAsia" w:cs="宋体"/>
          <w:b/>
        </w:rPr>
        <w:t>总价包干</w:t>
      </w:r>
      <w:r>
        <w:rPr>
          <w:rFonts w:hint="eastAsia" w:cs="宋体"/>
        </w:rPr>
        <w:t>的方式支付合同货款。合同价款总金额为：</w:t>
      </w:r>
      <w:r>
        <w:rPr>
          <w:rFonts w:hint="eastAsia" w:cs="宋体"/>
          <w:u w:val="single"/>
        </w:rPr>
        <w:t xml:space="preserve">      /        </w:t>
      </w:r>
      <w:r>
        <w:rPr>
          <w:rFonts w:hint="eastAsia" w:cs="宋体"/>
        </w:rPr>
        <w:t>元（大写：</w:t>
      </w:r>
      <w:r>
        <w:rPr>
          <w:rFonts w:hint="eastAsia" w:cs="宋体"/>
          <w:u w:val="single"/>
        </w:rPr>
        <w:t xml:space="preserve">      /        </w:t>
      </w:r>
      <w:r>
        <w:rPr>
          <w:rFonts w:hint="eastAsia" w:cs="宋体"/>
        </w:rPr>
        <w:t>元，</w:t>
      </w:r>
      <w:r>
        <w:rPr>
          <w:rFonts w:hint="eastAsia"/>
        </w:rPr>
        <w:t>其中不含税金额为</w:t>
      </w:r>
      <w:r>
        <w:rPr>
          <w:rFonts w:hint="eastAsia"/>
          <w:u w:val="single"/>
        </w:rPr>
        <w:t xml:space="preserve">     /    </w:t>
      </w:r>
      <w:r>
        <w:rPr>
          <w:rFonts w:hint="eastAsia"/>
        </w:rPr>
        <w:t>元，增值税金额为</w:t>
      </w:r>
      <w:r>
        <w:rPr>
          <w:rFonts w:hint="eastAsia"/>
          <w:u w:val="single"/>
        </w:rPr>
        <w:t xml:space="preserve">    /  </w:t>
      </w:r>
      <w:r>
        <w:rPr>
          <w:rFonts w:hint="eastAsia"/>
        </w:rPr>
        <w:t>元，增值税税率为</w:t>
      </w:r>
      <w:r>
        <w:rPr>
          <w:rFonts w:hint="eastAsia"/>
          <w:u w:val="single"/>
        </w:rPr>
        <w:t xml:space="preserve"> /  </w:t>
      </w:r>
      <w:r>
        <w:rPr>
          <w:rFonts w:hint="eastAsia"/>
        </w:rPr>
        <w:t>%</w:t>
      </w:r>
      <w:r>
        <w:rPr>
          <w:rFonts w:hint="eastAsia" w:cs="宋体"/>
        </w:rPr>
        <w:t>），并已包含供货、仓储、装卸、验收、税费等一切费用。除本合同另有约定外，不论各项费用有无涨落，合同价款总金额均不再调整。</w:t>
      </w:r>
    </w:p>
    <w:p w14:paraId="44E2087C">
      <w:pPr>
        <w:pStyle w:val="14"/>
        <w:numPr>
          <w:ilvl w:val="0"/>
          <w:numId w:val="0"/>
        </w:numPr>
        <w:spacing w:before="249" w:after="249" w:line="240" w:lineRule="auto"/>
        <w:rPr>
          <w:rFonts w:cs="宋体"/>
        </w:rPr>
      </w:pPr>
      <w:r>
        <w:rPr>
          <w:rFonts w:hint="eastAsia" w:cs="宋体"/>
        </w:rPr>
        <w:t>合同履行过程中，若有经甲方事先书面确认的合同标的数量变更，实际结算的总价应以理化验收合格的实际货物的数量和本合同约定的单价为依据进行修正。</w:t>
      </w:r>
    </w:p>
    <w:p w14:paraId="1FECC5CD">
      <w:pPr>
        <w:pStyle w:val="14"/>
        <w:numPr>
          <w:ilvl w:val="0"/>
          <w:numId w:val="0"/>
        </w:numPr>
        <w:spacing w:before="249" w:after="249" w:line="240" w:lineRule="auto"/>
      </w:pPr>
      <w:r>
        <w:rPr>
          <w:rFonts w:hint="eastAsia" w:cs="宋体"/>
        </w:rPr>
        <w:t>（2）在本合同履行期间，不含税价格不因国家税率变化而变化，如遇国家税率调整，则价税合计的价格应相应调整，以开具发票时间为准。</w:t>
      </w:r>
    </w:p>
    <w:p w14:paraId="6C80D8EE">
      <w:pPr>
        <w:pStyle w:val="14"/>
        <w:numPr>
          <w:ilvl w:val="0"/>
          <w:numId w:val="0"/>
        </w:numPr>
        <w:spacing w:before="249" w:after="249" w:line="240" w:lineRule="auto"/>
        <w:ind w:left="964" w:hanging="964"/>
        <w:rPr>
          <w:b/>
        </w:rPr>
      </w:pPr>
      <w:r>
        <w:rPr>
          <w:rFonts w:hint="eastAsia"/>
          <w:b/>
        </w:rPr>
        <w:t xml:space="preserve">第4条 </w:t>
      </w:r>
      <w:r>
        <w:rPr>
          <w:b/>
        </w:rPr>
        <w:t>付款方式及期限</w:t>
      </w:r>
    </w:p>
    <w:p w14:paraId="09EEFDA5">
      <w:pPr>
        <w:pStyle w:val="14"/>
        <w:numPr>
          <w:ilvl w:val="0"/>
          <w:numId w:val="0"/>
        </w:numPr>
        <w:spacing w:before="249" w:after="249" w:line="240" w:lineRule="auto"/>
        <w:ind w:left="964" w:hanging="964"/>
      </w:pPr>
      <w:r>
        <w:rPr>
          <w:rFonts w:hint="eastAsia"/>
        </w:rPr>
        <w:t>4.1本合同采用以下第</w:t>
      </w:r>
      <w:r>
        <w:rPr>
          <w:rFonts w:hint="eastAsia"/>
          <w:u w:val="single"/>
          <w:shd w:val="clear" w:color="auto" w:fill="BEBEBE" w:themeFill="background1" w:themeFillShade="BF"/>
        </w:rPr>
        <w:t xml:space="preserve">  二  </w:t>
      </w:r>
      <w:r>
        <w:rPr>
          <w:rFonts w:hint="eastAsia"/>
        </w:rPr>
        <w:t>种支付方式：</w:t>
      </w:r>
    </w:p>
    <w:p w14:paraId="59052804">
      <w:pPr>
        <w:pStyle w:val="14"/>
        <w:numPr>
          <w:ilvl w:val="0"/>
          <w:numId w:val="0"/>
        </w:numPr>
        <w:spacing w:before="249" w:after="249" w:line="240" w:lineRule="auto"/>
        <w:ind w:left="964" w:hanging="964"/>
      </w:pPr>
      <w:r>
        <w:rPr>
          <w:rFonts w:hint="eastAsia"/>
        </w:rPr>
        <w:t>方式一：一次性支付</w:t>
      </w:r>
    </w:p>
    <w:p w14:paraId="0D5CF0AE">
      <w:pPr>
        <w:pStyle w:val="14"/>
        <w:numPr>
          <w:ilvl w:val="0"/>
          <w:numId w:val="0"/>
        </w:numPr>
        <w:spacing w:before="249" w:after="249" w:line="240" w:lineRule="auto"/>
      </w:pPr>
      <w:r>
        <w:rPr>
          <w:rFonts w:hint="eastAsia"/>
        </w:rPr>
        <w:t>甲方对乙方交付的货物验收合格并在收到乙方开具的与合同价款总金额等额且合法有效的增值税专用发票后</w:t>
      </w:r>
      <w:r>
        <w:rPr>
          <w:rFonts w:hint="eastAsia"/>
          <w:shd w:val="clear" w:color="auto" w:fill="BFBFBF"/>
        </w:rPr>
        <w:t>__/__</w:t>
      </w:r>
      <w:r>
        <w:rPr>
          <w:rFonts w:hint="eastAsia"/>
        </w:rPr>
        <w:t>个工作日内，一次性将全部合同价款支付至乙方指定的银行账户。</w:t>
      </w:r>
    </w:p>
    <w:p w14:paraId="0C32B910">
      <w:pPr>
        <w:pStyle w:val="14"/>
        <w:numPr>
          <w:ilvl w:val="0"/>
          <w:numId w:val="0"/>
        </w:numPr>
        <w:spacing w:before="249" w:after="249" w:line="240" w:lineRule="auto"/>
        <w:ind w:left="964" w:hanging="964"/>
      </w:pPr>
      <w:r>
        <w:rPr>
          <w:rFonts w:hint="eastAsia"/>
        </w:rPr>
        <w:t>方式二：分批次支付</w:t>
      </w:r>
    </w:p>
    <w:p w14:paraId="74478A1A">
      <w:pPr>
        <w:pStyle w:val="14"/>
        <w:numPr>
          <w:ilvl w:val="0"/>
          <w:numId w:val="0"/>
        </w:numPr>
        <w:spacing w:before="249" w:after="249" w:line="240" w:lineRule="auto"/>
      </w:pPr>
      <w:r>
        <w:rPr>
          <w:rFonts w:hint="eastAsia"/>
        </w:rPr>
        <w:t>（1）本合同为分批订单采购，甲方将通过分批下达采购订单的方式执行合同。甲方每次下达采购订单后，10个工作日内支付乙方30%的订单货款，甲方</w:t>
      </w:r>
      <w:r>
        <w:rPr>
          <w:rFonts w:hint="eastAsia" w:cs="宋体"/>
        </w:rPr>
        <w:t>确认乙方加工完成订单及货物准确数量后，于10个工作日内付清70%余款，乙方收到款后5个工作日内发货并给甲方提供与该批订单金额等额的税率</w:t>
      </w:r>
      <w:r>
        <w:rPr>
          <w:rFonts w:hint="eastAsia" w:cs="宋体" w:asciiTheme="minorEastAsia" w:hAnsiTheme="minorEastAsia"/>
          <w:u w:val="single"/>
        </w:rPr>
        <w:t xml:space="preserve">  %</w:t>
      </w:r>
      <w:r>
        <w:rPr>
          <w:rFonts w:hint="eastAsia" w:cs="宋体"/>
        </w:rPr>
        <w:t>增值税专用发票。</w:t>
      </w:r>
    </w:p>
    <w:p w14:paraId="36AE3580">
      <w:pPr>
        <w:pStyle w:val="14"/>
        <w:numPr>
          <w:ilvl w:val="0"/>
          <w:numId w:val="0"/>
        </w:numPr>
        <w:spacing w:before="249" w:after="249" w:line="240" w:lineRule="auto"/>
        <w:rPr>
          <w:rFonts w:ascii="宋体" w:hAnsi="宋体" w:eastAsia="宋体" w:cs="宋体"/>
          <w:color w:val="000000" w:themeColor="text1"/>
          <w:szCs w:val="21"/>
          <w14:textFill>
            <w14:solidFill>
              <w14:schemeClr w14:val="tx1"/>
            </w14:solidFill>
          </w14:textFill>
        </w:rPr>
      </w:pPr>
      <w:r>
        <w:rPr>
          <w:rFonts w:hint="eastAsia"/>
        </w:rPr>
        <w:t>（2）</w:t>
      </w:r>
      <w:r>
        <w:rPr>
          <w:rFonts w:hint="eastAsia" w:cs="仿宋" w:asciiTheme="minorEastAsia" w:hAnsiTheme="minorEastAsia"/>
          <w:szCs w:val="21"/>
        </w:rPr>
        <w:t xml:space="preserve">甲方需要组织乙方进行带材试制和质量验证，具体低碳钢带供应商试制带材质量验证管理办法见附件 </w:t>
      </w:r>
      <w:r>
        <w:rPr>
          <w:rFonts w:hint="eastAsia" w:cs="仿宋" w:asciiTheme="minorEastAsia" w:hAnsiTheme="minorEastAsia"/>
          <w:szCs w:val="21"/>
          <w:u w:val="single"/>
        </w:rPr>
        <w:t xml:space="preserve"> 3  </w:t>
      </w:r>
      <w:r>
        <w:rPr>
          <w:rFonts w:hint="eastAsia" w:cs="仿宋" w:asciiTheme="minorEastAsia" w:hAnsiTheme="minorEastAsia"/>
          <w:szCs w:val="21"/>
        </w:rPr>
        <w:t>。如乙方通过带材试制和质量验证，则乙方具备正式供货资格，甲方可批量下达采购订单,同时甲方对试制合格的带材按合同价格进行结算, 结算支付时间由双方另行商定。乙方未通过带材试制和质量验证，甲方</w:t>
      </w:r>
      <w:r>
        <w:rPr>
          <w:rFonts w:hint="eastAsia" w:ascii="宋体" w:hAnsi="宋体" w:eastAsia="宋体" w:cs="宋体"/>
          <w:szCs w:val="21"/>
        </w:rPr>
        <w:t>对试制不合格的带材及质量验证产生的边料进行退货处理，甲方与乙方解除合同，乙方负责对边料进行熔化销毁处理，试制带材</w:t>
      </w:r>
      <w:r>
        <w:rPr>
          <w:rFonts w:hint="eastAsia" w:asciiTheme="majorEastAsia" w:hAnsiTheme="majorEastAsia" w:eastAsiaTheme="majorEastAsia" w:cstheme="majorEastAsia"/>
          <w:spacing w:val="-3"/>
          <w:szCs w:val="21"/>
        </w:rPr>
        <w:t>及其退货的</w:t>
      </w:r>
      <w:r>
        <w:rPr>
          <w:rFonts w:hint="eastAsia" w:ascii="宋体" w:hAnsi="宋体" w:eastAsia="宋体" w:cs="宋体"/>
          <w:szCs w:val="21"/>
        </w:rPr>
        <w:t>各种费</w:t>
      </w:r>
      <w:r>
        <w:rPr>
          <w:rFonts w:hint="eastAsia" w:ascii="宋体" w:hAnsi="宋体" w:eastAsia="宋体" w:cs="宋体"/>
          <w:color w:val="000000" w:themeColor="text1"/>
          <w:szCs w:val="21"/>
          <w14:textFill>
            <w14:solidFill>
              <w14:schemeClr w14:val="tx1"/>
            </w14:solidFill>
          </w14:textFill>
        </w:rPr>
        <w:t>用由乙方承担。</w:t>
      </w:r>
    </w:p>
    <w:p w14:paraId="150A10BB">
      <w:pPr>
        <w:pStyle w:val="14"/>
        <w:numPr>
          <w:ilvl w:val="0"/>
          <w:numId w:val="0"/>
        </w:numPr>
        <w:spacing w:before="249" w:after="249" w:line="240" w:lineRule="auto"/>
        <w:ind w:left="964" w:hanging="964"/>
      </w:pPr>
      <w:r>
        <w:rPr>
          <w:rFonts w:hint="eastAsia"/>
        </w:rPr>
        <w:t>4.2</w:t>
      </w:r>
      <w:r>
        <w:t>甲方向乙方支付的</w:t>
      </w:r>
      <w:r>
        <w:rPr>
          <w:rFonts w:hint="eastAsia"/>
        </w:rPr>
        <w:t>合同价款</w:t>
      </w:r>
      <w:r>
        <w:t>通过</w:t>
      </w:r>
      <w:r>
        <w:rPr>
          <w:u w:val="single"/>
        </w:rPr>
        <w:t>银行转账</w:t>
      </w:r>
      <w:r>
        <w:t>方式进行支付。</w:t>
      </w:r>
    </w:p>
    <w:p w14:paraId="0E9031E6">
      <w:pPr>
        <w:pStyle w:val="14"/>
        <w:numPr>
          <w:ilvl w:val="0"/>
          <w:numId w:val="0"/>
        </w:numPr>
        <w:spacing w:before="249" w:after="249" w:line="240" w:lineRule="auto"/>
        <w:ind w:left="964" w:hanging="964"/>
      </w:pPr>
      <w:r>
        <w:rPr>
          <w:rFonts w:hint="eastAsia"/>
        </w:rPr>
        <w:t>4.3</w:t>
      </w:r>
      <w:r>
        <w:t>乙方的银行账号</w:t>
      </w:r>
      <w:r>
        <w:rPr>
          <w:rFonts w:hint="eastAsia"/>
        </w:rPr>
        <w:t>为</w:t>
      </w:r>
      <w:r>
        <w:t>：</w:t>
      </w:r>
    </w:p>
    <w:p w14:paraId="27B2199A">
      <w:pPr>
        <w:pStyle w:val="14"/>
        <w:numPr>
          <w:ilvl w:val="0"/>
          <w:numId w:val="0"/>
        </w:numPr>
        <w:spacing w:before="249" w:after="249" w:line="240" w:lineRule="auto"/>
        <w:ind w:left="993"/>
      </w:pPr>
      <w:r>
        <w:rPr>
          <w:rFonts w:hint="eastAsia"/>
        </w:rPr>
        <w:t>名称：</w:t>
      </w:r>
      <w:r>
        <w:rPr>
          <w:rFonts w:hint="eastAsia"/>
          <w:u w:val="single"/>
        </w:rPr>
        <w:t xml:space="preserve">                       </w:t>
      </w:r>
    </w:p>
    <w:p w14:paraId="0081D54E">
      <w:pPr>
        <w:pStyle w:val="14"/>
        <w:numPr>
          <w:ilvl w:val="0"/>
          <w:numId w:val="0"/>
        </w:numPr>
        <w:spacing w:before="249" w:after="249" w:line="240" w:lineRule="auto"/>
        <w:ind w:left="993"/>
        <w:rPr>
          <w:u w:val="single"/>
        </w:rPr>
      </w:pPr>
      <w:r>
        <w:rPr>
          <w:rFonts w:hint="eastAsia"/>
        </w:rPr>
        <w:t>税号：</w:t>
      </w:r>
      <w:r>
        <w:rPr>
          <w:rFonts w:hint="eastAsia"/>
          <w:u w:val="single"/>
        </w:rPr>
        <w:t xml:space="preserve">                       </w:t>
      </w:r>
    </w:p>
    <w:p w14:paraId="03B34BC5">
      <w:pPr>
        <w:pStyle w:val="14"/>
        <w:numPr>
          <w:ilvl w:val="0"/>
          <w:numId w:val="0"/>
        </w:numPr>
        <w:spacing w:before="249" w:after="249" w:line="240" w:lineRule="auto"/>
        <w:ind w:left="993"/>
      </w:pPr>
      <w:r>
        <w:rPr>
          <w:rFonts w:hint="eastAsia"/>
        </w:rPr>
        <w:t>地址：</w:t>
      </w:r>
      <w:r>
        <w:rPr>
          <w:rFonts w:hint="eastAsia"/>
          <w:u w:val="single"/>
        </w:rPr>
        <w:t xml:space="preserve">                       </w:t>
      </w:r>
    </w:p>
    <w:p w14:paraId="69F9922E">
      <w:pPr>
        <w:pStyle w:val="14"/>
        <w:numPr>
          <w:ilvl w:val="0"/>
          <w:numId w:val="0"/>
        </w:numPr>
        <w:spacing w:before="249" w:after="249" w:line="240" w:lineRule="auto"/>
        <w:ind w:left="993"/>
      </w:pPr>
      <w:r>
        <w:rPr>
          <w:rFonts w:hint="eastAsia"/>
        </w:rPr>
        <w:t>电话：</w:t>
      </w:r>
      <w:r>
        <w:rPr>
          <w:rFonts w:hint="eastAsia"/>
          <w:u w:val="single"/>
        </w:rPr>
        <w:t xml:space="preserve">                       </w:t>
      </w:r>
    </w:p>
    <w:p w14:paraId="7BEBA7D1">
      <w:pPr>
        <w:pStyle w:val="14"/>
        <w:numPr>
          <w:ilvl w:val="0"/>
          <w:numId w:val="0"/>
        </w:numPr>
        <w:spacing w:before="249" w:after="249" w:line="240" w:lineRule="auto"/>
        <w:ind w:left="993"/>
      </w:pPr>
      <w:r>
        <w:rPr>
          <w:rFonts w:hint="eastAsia"/>
        </w:rPr>
        <w:t>开户行：</w:t>
      </w:r>
      <w:r>
        <w:rPr>
          <w:rFonts w:hint="eastAsia"/>
          <w:u w:val="single"/>
        </w:rPr>
        <w:t xml:space="preserve">                       </w:t>
      </w:r>
    </w:p>
    <w:p w14:paraId="0078C60F">
      <w:pPr>
        <w:pStyle w:val="14"/>
        <w:numPr>
          <w:ilvl w:val="0"/>
          <w:numId w:val="0"/>
        </w:numPr>
        <w:spacing w:before="249" w:after="249" w:line="240" w:lineRule="auto"/>
        <w:ind w:left="993"/>
      </w:pPr>
      <w:r>
        <w:rPr>
          <w:rFonts w:hint="eastAsia"/>
        </w:rPr>
        <w:t>账号：</w:t>
      </w:r>
      <w:r>
        <w:rPr>
          <w:rFonts w:hint="eastAsia"/>
          <w:u w:val="single"/>
        </w:rPr>
        <w:t xml:space="preserve">                       </w:t>
      </w:r>
    </w:p>
    <w:p w14:paraId="15F663AD">
      <w:pPr>
        <w:pStyle w:val="14"/>
        <w:numPr>
          <w:ilvl w:val="0"/>
          <w:numId w:val="0"/>
        </w:numPr>
        <w:spacing w:before="249" w:after="249" w:line="240" w:lineRule="auto"/>
        <w:ind w:left="964"/>
      </w:pPr>
      <w:r>
        <w:t>乙方对</w:t>
      </w:r>
      <w:r>
        <w:rPr>
          <w:rFonts w:hint="eastAsia"/>
        </w:rPr>
        <w:t>上述</w:t>
      </w:r>
      <w:r>
        <w:t>账号各项内容予以确认，若乙方账号发生变化应</w:t>
      </w:r>
      <w:r>
        <w:rPr>
          <w:rFonts w:hint="eastAsia"/>
        </w:rPr>
        <w:t>提前</w:t>
      </w:r>
      <w:r>
        <w:t>五</w:t>
      </w:r>
      <w:r>
        <w:rPr>
          <w:rFonts w:hint="eastAsia"/>
        </w:rPr>
        <w:t>（5）个工作日内书面</w:t>
      </w:r>
      <w:r>
        <w:t>通知甲方。如因乙方告知的账户内容不准确或发生变化而造成支付延迟、支付差错等情形，甲方不承担</w:t>
      </w:r>
      <w:r>
        <w:rPr>
          <w:rFonts w:hint="eastAsia"/>
        </w:rPr>
        <w:t>任何</w:t>
      </w:r>
      <w:r>
        <w:t>责任。</w:t>
      </w:r>
    </w:p>
    <w:p w14:paraId="15C3A8E1">
      <w:pPr>
        <w:pStyle w:val="14"/>
        <w:numPr>
          <w:ilvl w:val="0"/>
          <w:numId w:val="0"/>
        </w:numPr>
        <w:spacing w:before="249" w:after="249" w:line="240" w:lineRule="auto"/>
        <w:ind w:left="964" w:hanging="964"/>
        <w:rPr>
          <w:color w:val="auto"/>
          <w:highlight w:val="none"/>
        </w:rPr>
      </w:pPr>
      <w:r>
        <w:rPr>
          <w:rFonts w:cs="Arial"/>
          <w:color w:val="auto"/>
          <w:sz w:val="24"/>
          <w:szCs w:val="24"/>
          <w:highlight w:val="none"/>
        </w:rPr>
        <w:t>4.4</w:t>
      </w:r>
      <w:r>
        <w:rPr>
          <w:rFonts w:hint="eastAsia" w:cs="Arial"/>
          <w:color w:val="auto"/>
          <w:sz w:val="24"/>
          <w:szCs w:val="24"/>
          <w:highlight w:val="none"/>
        </w:rPr>
        <w:t>履约担保</w:t>
      </w:r>
    </w:p>
    <w:p w14:paraId="18054CA0">
      <w:pPr>
        <w:pStyle w:val="14"/>
        <w:numPr>
          <w:ilvl w:val="0"/>
          <w:numId w:val="0"/>
        </w:numPr>
        <w:spacing w:before="249" w:after="249" w:line="240" w:lineRule="auto"/>
        <w:ind w:left="964" w:hanging="964"/>
        <w:rPr>
          <w:color w:val="auto"/>
          <w:highlight w:val="none"/>
        </w:rPr>
      </w:pPr>
      <w:r>
        <w:rPr>
          <w:rFonts w:hint="eastAsia" w:cs="Arial"/>
          <w:color w:val="auto"/>
          <w:sz w:val="24"/>
          <w:szCs w:val="24"/>
          <w:highlight w:val="none"/>
        </w:rPr>
        <w:t>（</w:t>
      </w:r>
      <w:r>
        <w:rPr>
          <w:rFonts w:cs="Arial"/>
          <w:color w:val="auto"/>
          <w:sz w:val="24"/>
          <w:szCs w:val="24"/>
          <w:highlight w:val="none"/>
        </w:rPr>
        <w:t>1</w:t>
      </w:r>
      <w:r>
        <w:rPr>
          <w:rFonts w:hint="eastAsia" w:cs="Arial"/>
          <w:color w:val="auto"/>
          <w:sz w:val="24"/>
          <w:szCs w:val="24"/>
          <w:highlight w:val="none"/>
        </w:rPr>
        <w:t>）乙方是否提供履约担保：</w:t>
      </w:r>
      <w:r>
        <w:rPr>
          <w:rFonts w:ascii="MS Mincho" w:hAnsi="MS Mincho" w:eastAsia="MS Mincho" w:cs="MS Mincho"/>
          <w:color w:val="auto"/>
          <w:sz w:val="24"/>
          <w:szCs w:val="24"/>
          <w:highlight w:val="none"/>
          <w:shd w:val="clear" w:color="auto" w:fill="BEBEBE" w:themeFill="background1" w:themeFillShade="BF"/>
        </w:rPr>
        <w:t>☑</w:t>
      </w:r>
      <w:r>
        <w:rPr>
          <w:rFonts w:hint="eastAsia" w:cs="Arial"/>
          <w:color w:val="auto"/>
          <w:sz w:val="24"/>
          <w:szCs w:val="24"/>
          <w:highlight w:val="none"/>
          <w:shd w:val="clear" w:color="auto" w:fill="BEBEBE" w:themeFill="background1" w:themeFillShade="BF"/>
        </w:rPr>
        <w:t>是</w:t>
      </w:r>
      <w:r>
        <w:rPr>
          <w:rFonts w:cs="Arial"/>
          <w:color w:val="auto"/>
          <w:sz w:val="24"/>
          <w:szCs w:val="24"/>
          <w:highlight w:val="none"/>
          <w:shd w:val="clear" w:color="auto" w:fill="BEBEBE" w:themeFill="background1" w:themeFillShade="BF"/>
        </w:rPr>
        <w:t xml:space="preserve">   </w:t>
      </w:r>
      <w:r>
        <w:rPr>
          <w:rFonts w:cs="Arial"/>
          <w:color w:val="auto"/>
          <w:sz w:val="24"/>
          <w:szCs w:val="24"/>
          <w:highlight w:val="none"/>
          <w:shd w:val="clear" w:color="auto" w:fill="BEBEBE" w:themeFill="background1" w:themeFillShade="BF"/>
        </w:rPr>
        <w:sym w:font="Wingdings 2" w:char="00A3"/>
      </w:r>
      <w:r>
        <w:rPr>
          <w:rFonts w:hint="eastAsia" w:ascii="宋体" w:hAnsi="宋体" w:eastAsia="宋体" w:cs="宋体"/>
          <w:color w:val="auto"/>
          <w:sz w:val="24"/>
          <w:szCs w:val="24"/>
          <w:highlight w:val="none"/>
          <w:shd w:val="clear" w:color="auto" w:fill="BEBEBE" w:themeFill="background1" w:themeFillShade="BF"/>
        </w:rPr>
        <w:t>否</w:t>
      </w:r>
      <w:r>
        <w:rPr>
          <w:rFonts w:hint="eastAsia" w:cs="Arial"/>
          <w:color w:val="auto"/>
          <w:sz w:val="24"/>
          <w:szCs w:val="24"/>
          <w:highlight w:val="none"/>
        </w:rPr>
        <w:t>。</w:t>
      </w:r>
    </w:p>
    <w:p w14:paraId="05230F59">
      <w:pPr>
        <w:pStyle w:val="14"/>
        <w:numPr>
          <w:ilvl w:val="0"/>
          <w:numId w:val="0"/>
        </w:numPr>
        <w:tabs>
          <w:tab w:val="left" w:pos="0"/>
          <w:tab w:val="clear" w:pos="964"/>
          <w:tab w:val="clear" w:pos="1080"/>
        </w:tabs>
        <w:spacing w:before="249" w:after="249" w:line="240" w:lineRule="auto"/>
        <w:ind w:left="0" w:firstLine="0"/>
        <w:rPr>
          <w:color w:val="auto"/>
          <w:highlight w:val="none"/>
        </w:rPr>
      </w:pPr>
      <w:r>
        <w:rPr>
          <w:rFonts w:hint="eastAsia"/>
          <w:color w:val="auto"/>
          <w:sz w:val="24"/>
          <w:szCs w:val="24"/>
          <w:highlight w:val="none"/>
        </w:rPr>
        <w:t>（</w:t>
      </w:r>
      <w:r>
        <w:rPr>
          <w:color w:val="auto"/>
          <w:sz w:val="24"/>
          <w:szCs w:val="24"/>
          <w:highlight w:val="none"/>
        </w:rPr>
        <w:t>2</w:t>
      </w:r>
      <w:r>
        <w:rPr>
          <w:rFonts w:hint="eastAsia"/>
          <w:color w:val="auto"/>
          <w:sz w:val="24"/>
          <w:szCs w:val="24"/>
          <w:highlight w:val="none"/>
        </w:rPr>
        <w:t>）乙方必须在合同签订后申请预付款前向甲方提交履约担保。如乙方在本协议项下存在任何违约行为，则甲方有权要求其承担违约责任，并可在该履约担保金中直接扣除相应金额的违约金和甲方因此遭受的损失，如果该履约担保金不足以覆盖违约金及甲方全部损失金额的，则甲方有权要求乙方继续赔偿；该履约担保金因扣款而不足</w:t>
      </w:r>
      <w:r>
        <w:rPr>
          <w:color w:val="auto"/>
          <w:sz w:val="24"/>
          <w:szCs w:val="24"/>
          <w:highlight w:val="none"/>
        </w:rPr>
        <w:t>10</w:t>
      </w:r>
      <w:r>
        <w:rPr>
          <w:rFonts w:hint="eastAsia"/>
          <w:color w:val="auto"/>
          <w:sz w:val="24"/>
          <w:szCs w:val="24"/>
          <w:highlight w:val="none"/>
        </w:rPr>
        <w:t>万元的，乙方应在甲方要求的期限内及时补足，否则视为乙方违约。</w:t>
      </w:r>
    </w:p>
    <w:p w14:paraId="24BDE51C">
      <w:pPr>
        <w:pStyle w:val="14"/>
        <w:numPr>
          <w:ilvl w:val="0"/>
          <w:numId w:val="0"/>
        </w:numPr>
        <w:tabs>
          <w:tab w:val="left" w:pos="0"/>
          <w:tab w:val="clear" w:pos="964"/>
          <w:tab w:val="clear" w:pos="1080"/>
        </w:tabs>
        <w:spacing w:before="249" w:after="249" w:line="240" w:lineRule="auto"/>
        <w:rPr>
          <w:color w:val="auto"/>
          <w:highlight w:val="none"/>
        </w:rPr>
      </w:pPr>
      <w:r>
        <w:rPr>
          <w:rFonts w:hint="eastAsia"/>
          <w:color w:val="auto"/>
          <w:sz w:val="24"/>
          <w:szCs w:val="24"/>
          <w:highlight w:val="none"/>
        </w:rPr>
        <w:t>（</w:t>
      </w:r>
      <w:r>
        <w:rPr>
          <w:color w:val="auto"/>
          <w:sz w:val="24"/>
          <w:szCs w:val="24"/>
          <w:highlight w:val="none"/>
        </w:rPr>
        <w:t>3</w:t>
      </w:r>
      <w:r>
        <w:rPr>
          <w:rFonts w:hint="eastAsia"/>
          <w:color w:val="auto"/>
          <w:sz w:val="24"/>
          <w:szCs w:val="24"/>
          <w:highlight w:val="none"/>
        </w:rPr>
        <w:t>）乙方提供</w:t>
      </w:r>
      <w:bookmarkStart w:id="0" w:name="_Hlk40640371"/>
      <w:r>
        <w:rPr>
          <w:rFonts w:hint="eastAsia"/>
          <w:color w:val="auto"/>
          <w:sz w:val="24"/>
          <w:szCs w:val="24"/>
          <w:highlight w:val="none"/>
        </w:rPr>
        <w:t>履约担保</w:t>
      </w:r>
      <w:bookmarkEnd w:id="0"/>
      <w:r>
        <w:rPr>
          <w:rFonts w:hint="eastAsia"/>
          <w:color w:val="auto"/>
          <w:sz w:val="24"/>
          <w:szCs w:val="24"/>
          <w:highlight w:val="none"/>
        </w:rPr>
        <w:t>的金额及期限：乙方向甲方提供履约担保金额为人民币</w:t>
      </w:r>
      <w:r>
        <w:rPr>
          <w:color w:val="auto"/>
          <w:sz w:val="24"/>
          <w:szCs w:val="24"/>
          <w:highlight w:val="none"/>
        </w:rPr>
        <w:t xml:space="preserve">   </w:t>
      </w:r>
      <w:r>
        <w:rPr>
          <w:color w:val="auto"/>
          <w:sz w:val="24"/>
          <w:szCs w:val="24"/>
          <w:highlight w:val="none"/>
          <w:u w:val="single"/>
          <w:shd w:val="clear" w:color="auto" w:fill="BEBEBE" w:themeFill="background1" w:themeFillShade="BF"/>
        </w:rPr>
        <w:t xml:space="preserve">100000   </w:t>
      </w:r>
      <w:r>
        <w:rPr>
          <w:rFonts w:hint="eastAsia"/>
          <w:color w:val="auto"/>
          <w:sz w:val="24"/>
          <w:szCs w:val="24"/>
          <w:highlight w:val="none"/>
        </w:rPr>
        <w:t>元（大写</w:t>
      </w:r>
      <w:r>
        <w:rPr>
          <w:rFonts w:hint="eastAsia"/>
          <w:color w:val="auto"/>
          <w:sz w:val="24"/>
          <w:szCs w:val="24"/>
          <w:highlight w:val="none"/>
          <w:u w:val="single"/>
          <w:shd w:val="clear" w:color="auto" w:fill="BEBEBE" w:themeFill="background1" w:themeFillShade="BF"/>
        </w:rPr>
        <w:t>：拾万</w:t>
      </w:r>
      <w:r>
        <w:rPr>
          <w:color w:val="auto"/>
          <w:sz w:val="24"/>
          <w:szCs w:val="24"/>
          <w:highlight w:val="none"/>
          <w:u w:val="single"/>
          <w:shd w:val="clear" w:color="auto" w:fill="BEBEBE" w:themeFill="background1" w:themeFillShade="BF"/>
        </w:rPr>
        <w:t xml:space="preserve"> </w:t>
      </w:r>
      <w:r>
        <w:rPr>
          <w:rFonts w:hint="eastAsia"/>
          <w:color w:val="auto"/>
          <w:sz w:val="24"/>
          <w:szCs w:val="24"/>
          <w:highlight w:val="none"/>
        </w:rPr>
        <w:t>元），期限至本合同项下货物的质保期全部届满后</w:t>
      </w:r>
      <w:r>
        <w:rPr>
          <w:color w:val="auto"/>
          <w:sz w:val="24"/>
          <w:szCs w:val="24"/>
          <w:highlight w:val="none"/>
          <w:u w:val="single"/>
          <w:shd w:val="clear" w:color="auto" w:fill="BEBEBE" w:themeFill="background1" w:themeFillShade="BF"/>
        </w:rPr>
        <w:t xml:space="preserve">  /  </w:t>
      </w:r>
      <w:r>
        <w:rPr>
          <w:rFonts w:hint="eastAsia"/>
          <w:color w:val="auto"/>
          <w:sz w:val="24"/>
          <w:szCs w:val="24"/>
          <w:highlight w:val="none"/>
        </w:rPr>
        <w:t>个工作日内。</w:t>
      </w:r>
    </w:p>
    <w:p w14:paraId="2CFD8F75">
      <w:pPr>
        <w:pStyle w:val="14"/>
        <w:numPr>
          <w:ilvl w:val="0"/>
          <w:numId w:val="0"/>
        </w:numPr>
        <w:spacing w:before="249" w:after="249" w:line="240" w:lineRule="auto"/>
        <w:ind w:left="964" w:hanging="964"/>
        <w:rPr>
          <w:color w:val="auto"/>
          <w:highlight w:val="none"/>
        </w:rPr>
      </w:pPr>
      <w:r>
        <w:rPr>
          <w:rFonts w:hint="eastAsia"/>
          <w:color w:val="auto"/>
          <w:sz w:val="24"/>
          <w:szCs w:val="24"/>
          <w:highlight w:val="none"/>
        </w:rPr>
        <w:t>（</w:t>
      </w:r>
      <w:r>
        <w:rPr>
          <w:color w:val="auto"/>
          <w:sz w:val="24"/>
          <w:szCs w:val="24"/>
          <w:highlight w:val="none"/>
        </w:rPr>
        <w:t>4</w:t>
      </w:r>
      <w:r>
        <w:rPr>
          <w:rFonts w:hint="eastAsia"/>
          <w:color w:val="auto"/>
          <w:sz w:val="24"/>
          <w:szCs w:val="24"/>
          <w:highlight w:val="none"/>
        </w:rPr>
        <w:t>）乙方提供履约担保形式选用</w:t>
      </w:r>
      <w:r>
        <w:rPr>
          <w:rFonts w:ascii="MS Mincho" w:hAnsi="MS Mincho" w:eastAsia="MS Mincho" w:cs="MS Mincho"/>
          <w:color w:val="auto"/>
          <w:sz w:val="24"/>
          <w:szCs w:val="24"/>
          <w:highlight w:val="none"/>
          <w:shd w:val="clear" w:color="auto" w:fill="BEBEBE" w:themeFill="background1" w:themeFillShade="BF"/>
        </w:rPr>
        <w:t>☑</w:t>
      </w:r>
      <w:r>
        <w:rPr>
          <w:rFonts w:hint="eastAsia"/>
          <w:color w:val="auto"/>
          <w:sz w:val="24"/>
          <w:szCs w:val="24"/>
          <w:highlight w:val="none"/>
          <w:shd w:val="clear" w:color="auto" w:fill="BEBEBE" w:themeFill="background1" w:themeFillShade="BF"/>
        </w:rPr>
        <w:t>履约保证金</w:t>
      </w:r>
      <w:r>
        <w:rPr>
          <w:color w:val="auto"/>
          <w:sz w:val="24"/>
          <w:szCs w:val="24"/>
          <w:highlight w:val="none"/>
          <w:shd w:val="clear" w:color="auto" w:fill="BEBEBE" w:themeFill="background1" w:themeFillShade="BF"/>
        </w:rPr>
        <w:t xml:space="preserve">   </w:t>
      </w:r>
      <w:r>
        <w:rPr>
          <w:rFonts w:hint="eastAsia"/>
          <w:color w:val="auto"/>
          <w:sz w:val="24"/>
          <w:szCs w:val="24"/>
          <w:highlight w:val="none"/>
          <w:shd w:val="clear" w:color="auto" w:fill="BEBEBE" w:themeFill="background1" w:themeFillShade="BF"/>
        </w:rPr>
        <w:t>□银行保函</w:t>
      </w:r>
      <w:r>
        <w:rPr>
          <w:rFonts w:hint="eastAsia"/>
          <w:color w:val="auto"/>
          <w:sz w:val="24"/>
          <w:szCs w:val="24"/>
          <w:highlight w:val="none"/>
        </w:rPr>
        <w:t>。</w:t>
      </w:r>
    </w:p>
    <w:p w14:paraId="35D857C1">
      <w:pPr>
        <w:pStyle w:val="14"/>
        <w:numPr>
          <w:ilvl w:val="0"/>
          <w:numId w:val="0"/>
        </w:numPr>
        <w:tabs>
          <w:tab w:val="left" w:pos="0"/>
          <w:tab w:val="clear" w:pos="964"/>
          <w:tab w:val="clear" w:pos="1080"/>
        </w:tabs>
        <w:spacing w:before="249" w:after="249" w:line="240" w:lineRule="auto"/>
        <w:rPr>
          <w:color w:val="auto"/>
          <w:highlight w:val="none"/>
        </w:rPr>
      </w:pPr>
      <w:r>
        <w:rPr>
          <w:rFonts w:hint="eastAsia"/>
          <w:color w:val="auto"/>
          <w:sz w:val="24"/>
          <w:szCs w:val="24"/>
          <w:highlight w:val="none"/>
        </w:rPr>
        <w:t>（</w:t>
      </w:r>
      <w:r>
        <w:rPr>
          <w:color w:val="auto"/>
          <w:sz w:val="24"/>
          <w:szCs w:val="24"/>
          <w:highlight w:val="none"/>
        </w:rPr>
        <w:t>5</w:t>
      </w:r>
      <w:r>
        <w:rPr>
          <w:rFonts w:hint="eastAsia"/>
          <w:color w:val="auto"/>
          <w:sz w:val="24"/>
          <w:szCs w:val="24"/>
          <w:highlight w:val="none"/>
        </w:rPr>
        <w:t>）如采用银行保函形式递交履约担保，应全部为国内商业银行不可撤消的无条件履约保函，保函内容及出具银行需先经甲方书面确认。</w:t>
      </w:r>
      <w:bookmarkStart w:id="1" w:name="_Hlk40640576"/>
    </w:p>
    <w:p w14:paraId="4C5A9882">
      <w:pPr>
        <w:pStyle w:val="14"/>
        <w:numPr>
          <w:ilvl w:val="0"/>
          <w:numId w:val="0"/>
        </w:numPr>
        <w:tabs>
          <w:tab w:val="left" w:pos="0"/>
          <w:tab w:val="clear" w:pos="964"/>
          <w:tab w:val="clear" w:pos="1080"/>
        </w:tabs>
        <w:spacing w:before="249" w:after="249" w:line="240" w:lineRule="auto"/>
        <w:rPr>
          <w:color w:val="FF0000"/>
          <w:highlight w:val="yellow"/>
        </w:rPr>
      </w:pPr>
      <w:r>
        <w:rPr>
          <w:rFonts w:hint="eastAsia"/>
          <w:color w:val="FF0000"/>
          <w:highlight w:val="yellow"/>
        </w:rPr>
        <w:t>（6）履约保证金的退还</w:t>
      </w:r>
      <w:bookmarkEnd w:id="1"/>
      <w:r>
        <w:rPr>
          <w:rFonts w:hint="eastAsia"/>
          <w:color w:val="FF0000"/>
          <w:highlight w:val="yellow"/>
        </w:rPr>
        <w:t>：如乙方在合同履行期间未发生任何违约行为，甲方将于本合同项下货物全部投入使用并无质量问题后</w:t>
      </w:r>
      <w:r>
        <w:rPr>
          <w:rFonts w:hint="eastAsia"/>
          <w:color w:val="FF0000"/>
          <w:highlight w:val="yellow"/>
          <w:u w:val="single"/>
          <w:shd w:val="clear" w:color="auto" w:fill="BEBEBE" w:themeFill="background1" w:themeFillShade="BF"/>
        </w:rPr>
        <w:t xml:space="preserve"> 30 </w:t>
      </w:r>
      <w:r>
        <w:rPr>
          <w:rFonts w:hint="eastAsia"/>
          <w:color w:val="FF0000"/>
          <w:highlight w:val="yellow"/>
        </w:rPr>
        <w:t>个工作日内无息退还履约保证金。</w:t>
      </w:r>
    </w:p>
    <w:p w14:paraId="6CC3724C">
      <w:pPr>
        <w:pStyle w:val="14"/>
        <w:numPr>
          <w:ilvl w:val="0"/>
          <w:numId w:val="0"/>
        </w:numPr>
        <w:tabs>
          <w:tab w:val="left" w:pos="0"/>
          <w:tab w:val="clear" w:pos="964"/>
          <w:tab w:val="clear" w:pos="1080"/>
        </w:tabs>
        <w:spacing w:before="249" w:after="249" w:line="240" w:lineRule="auto"/>
        <w:rPr>
          <w:color w:val="auto"/>
        </w:rPr>
      </w:pPr>
      <w:r>
        <w:rPr>
          <w:rFonts w:hint="eastAsia"/>
          <w:color w:val="auto"/>
          <w:sz w:val="24"/>
          <w:szCs w:val="24"/>
          <w:highlight w:val="none"/>
        </w:rPr>
        <w:t>（</w:t>
      </w:r>
      <w:r>
        <w:rPr>
          <w:color w:val="auto"/>
          <w:sz w:val="24"/>
          <w:szCs w:val="24"/>
          <w:highlight w:val="none"/>
        </w:rPr>
        <w:t>7</w:t>
      </w:r>
      <w:r>
        <w:rPr>
          <w:rFonts w:hint="eastAsia"/>
          <w:color w:val="auto"/>
          <w:sz w:val="24"/>
          <w:szCs w:val="24"/>
          <w:highlight w:val="none"/>
        </w:rPr>
        <w:t>）未提供或约定履约担保的，甲方有权通过暂停支付合同价款的方式，要求乙方履行相关义务或承担责任。</w:t>
      </w:r>
    </w:p>
    <w:p w14:paraId="6D81B23B">
      <w:pPr>
        <w:pStyle w:val="14"/>
        <w:numPr>
          <w:ilvl w:val="0"/>
          <w:numId w:val="0"/>
        </w:numPr>
        <w:spacing w:before="249" w:after="249" w:line="240" w:lineRule="auto"/>
        <w:ind w:left="964" w:hanging="964"/>
        <w:rPr>
          <w:b/>
        </w:rPr>
      </w:pPr>
      <w:r>
        <w:rPr>
          <w:rFonts w:hint="eastAsia"/>
          <w:b/>
        </w:rPr>
        <w:t xml:space="preserve">第5条 </w:t>
      </w:r>
      <w:r>
        <w:rPr>
          <w:b/>
        </w:rPr>
        <w:t>交货</w:t>
      </w:r>
    </w:p>
    <w:p w14:paraId="1491E0D7">
      <w:pPr>
        <w:pStyle w:val="14"/>
        <w:numPr>
          <w:ilvl w:val="0"/>
          <w:numId w:val="0"/>
        </w:numPr>
        <w:tabs>
          <w:tab w:val="left" w:pos="4830"/>
        </w:tabs>
        <w:spacing w:before="249" w:after="249" w:line="240" w:lineRule="auto"/>
        <w:ind w:left="964" w:hanging="964"/>
      </w:pPr>
      <w:r>
        <w:rPr>
          <w:rFonts w:hint="eastAsia"/>
        </w:rPr>
        <w:t>5.1</w:t>
      </w:r>
      <w:r>
        <w:t>交货时间</w:t>
      </w:r>
    </w:p>
    <w:p w14:paraId="30611574">
      <w:pPr>
        <w:pStyle w:val="14"/>
        <w:numPr>
          <w:ilvl w:val="0"/>
          <w:numId w:val="0"/>
        </w:numPr>
        <w:tabs>
          <w:tab w:val="left" w:pos="4830"/>
        </w:tabs>
        <w:spacing w:before="249" w:after="249" w:line="240" w:lineRule="auto"/>
        <w:rPr>
          <w:color w:val="FF0000"/>
        </w:rPr>
      </w:pPr>
      <w:r>
        <w:rPr>
          <w:rFonts w:hint="eastAsia"/>
          <w:color w:val="FF0000"/>
          <w:sz w:val="24"/>
          <w:szCs w:val="24"/>
          <w:highlight w:val="yellow"/>
        </w:rPr>
        <w:t>执行首批次订单时，乙方应当在收到甲方提请发货通知之日起</w:t>
      </w:r>
      <w:r>
        <w:rPr>
          <w:color w:val="FF0000"/>
          <w:sz w:val="24"/>
          <w:szCs w:val="24"/>
          <w:highlight w:val="yellow"/>
          <w:u w:val="single"/>
        </w:rPr>
        <w:t xml:space="preserve">  45  </w:t>
      </w:r>
      <w:r>
        <w:rPr>
          <w:rFonts w:hint="eastAsia"/>
          <w:color w:val="FF0000"/>
          <w:sz w:val="24"/>
          <w:szCs w:val="24"/>
          <w:highlight w:val="yellow"/>
        </w:rPr>
        <w:t>个</w:t>
      </w:r>
      <w:r>
        <w:rPr>
          <w:rFonts w:hint="eastAsia"/>
          <w:color w:val="FF0000"/>
          <w:highlight w:val="yellow"/>
        </w:rPr>
        <w:t>日历</w:t>
      </w:r>
      <w:r>
        <w:rPr>
          <w:rFonts w:hint="eastAsia"/>
          <w:color w:val="FF0000"/>
          <w:sz w:val="24"/>
          <w:szCs w:val="24"/>
          <w:highlight w:val="yellow"/>
        </w:rPr>
        <w:t>日内发货，后续批次订单乙方应当在收到甲方提请发货通知之日起</w:t>
      </w:r>
      <w:r>
        <w:rPr>
          <w:color w:val="FF0000"/>
          <w:sz w:val="24"/>
          <w:szCs w:val="24"/>
          <w:highlight w:val="yellow"/>
          <w:u w:val="single"/>
        </w:rPr>
        <w:t xml:space="preserve">  5  </w:t>
      </w:r>
      <w:r>
        <w:rPr>
          <w:rFonts w:hint="eastAsia"/>
          <w:color w:val="FF0000"/>
          <w:sz w:val="24"/>
          <w:szCs w:val="24"/>
          <w:highlight w:val="yellow"/>
        </w:rPr>
        <w:t>个工作日内发货，具体交货时间以甲方书面通知载明的时间为准。</w:t>
      </w:r>
    </w:p>
    <w:p w14:paraId="1283F499">
      <w:pPr>
        <w:pStyle w:val="14"/>
        <w:numPr>
          <w:ilvl w:val="0"/>
          <w:numId w:val="0"/>
        </w:numPr>
        <w:spacing w:before="249" w:after="249" w:line="240" w:lineRule="auto"/>
      </w:pPr>
      <w:r>
        <w:rPr>
          <w:rFonts w:hint="eastAsia"/>
        </w:rPr>
        <w:t>如遇甲方有急用货物订单，则乙方应于当日或以最短时间将甲方所订货物交至甲方指定地点。</w:t>
      </w:r>
    </w:p>
    <w:p w14:paraId="5E54B8D6">
      <w:pPr>
        <w:pStyle w:val="14"/>
        <w:numPr>
          <w:ilvl w:val="0"/>
          <w:numId w:val="0"/>
        </w:numPr>
        <w:spacing w:before="249" w:after="249" w:line="240" w:lineRule="auto"/>
      </w:pPr>
      <w:r>
        <w:rPr>
          <w:rFonts w:hint="eastAsia"/>
        </w:rPr>
        <w:t>甲方保留随时调整交货时间的权利，如甲方要求推迟交货,则乙方应无条件同意并保管好货物；如甲方要求提前交货，应给予乙方一定的合理期限，</w:t>
      </w:r>
      <w:r>
        <w:t>乙方</w:t>
      </w:r>
      <w:r>
        <w:rPr>
          <w:rFonts w:hint="eastAsia"/>
        </w:rPr>
        <w:t>要求</w:t>
      </w:r>
      <w:r>
        <w:t>提前交货的，</w:t>
      </w:r>
      <w:r>
        <w:rPr>
          <w:rFonts w:hint="eastAsia"/>
        </w:rPr>
        <w:t>需事先取得甲方书面同意，否则甲方有权予以拒收，因此而产生的费用及损失由乙方自行承担。</w:t>
      </w:r>
    </w:p>
    <w:p w14:paraId="40549C9B">
      <w:pPr>
        <w:pStyle w:val="14"/>
        <w:numPr>
          <w:ilvl w:val="0"/>
          <w:numId w:val="0"/>
        </w:numPr>
        <w:spacing w:before="249" w:after="249" w:line="240" w:lineRule="auto"/>
      </w:pPr>
      <w:r>
        <w:rPr>
          <w:rFonts w:hint="eastAsia"/>
        </w:rPr>
        <w:t>5.2</w:t>
      </w:r>
      <w:r>
        <w:t>交货地点</w:t>
      </w:r>
      <w:r>
        <w:rPr>
          <w:rFonts w:hint="eastAsia"/>
        </w:rPr>
        <w:t>为甲方</w:t>
      </w:r>
      <w:r>
        <w:t>指定区域</w:t>
      </w:r>
      <w:r>
        <w:rPr>
          <w:rFonts w:hint="eastAsia"/>
          <w:u w:val="single"/>
        </w:rPr>
        <w:t xml:space="preserve"> 南京造币有限公司：南京市天印大道919号；上海造币有限公司：上海市普陀区光复西路17号（普陀厂区）、上海市嘉定区曹安公路3513号（嘉定厂区）</w:t>
      </w:r>
      <w:r>
        <w:rPr>
          <w:rFonts w:hint="eastAsia"/>
        </w:rPr>
        <w:t>。</w:t>
      </w:r>
      <w:r>
        <w:t xml:space="preserve"> </w:t>
      </w:r>
    </w:p>
    <w:p w14:paraId="24486EFE">
      <w:pPr>
        <w:pStyle w:val="14"/>
        <w:numPr>
          <w:ilvl w:val="0"/>
          <w:numId w:val="0"/>
        </w:numPr>
        <w:spacing w:before="249" w:after="249" w:line="240" w:lineRule="auto"/>
      </w:pPr>
      <w:r>
        <w:rPr>
          <w:rFonts w:hint="eastAsia"/>
        </w:rPr>
        <w:t>甲方变更交货地点的，应当在约定的交货之日前</w:t>
      </w:r>
      <w:r>
        <w:rPr>
          <w:rFonts w:hint="eastAsia"/>
          <w:u w:val="single"/>
        </w:rPr>
        <w:t xml:space="preserve">  5  </w:t>
      </w:r>
      <w:r>
        <w:rPr>
          <w:rFonts w:hint="eastAsia"/>
        </w:rPr>
        <w:t>个工作日书面通知乙方。非因甲方原因将货物</w:t>
      </w:r>
      <w:r>
        <w:t>错发</w:t>
      </w:r>
      <w:r>
        <w:rPr>
          <w:rFonts w:hint="eastAsia"/>
        </w:rPr>
        <w:t>交货地点</w:t>
      </w:r>
      <w:r>
        <w:t>或接货人的，乙方除应负责</w:t>
      </w:r>
      <w:r>
        <w:rPr>
          <w:rFonts w:hint="eastAsia"/>
        </w:rPr>
        <w:t>重新</w:t>
      </w:r>
      <w:r>
        <w:t>运交</w:t>
      </w:r>
      <w:r>
        <w:rPr>
          <w:rFonts w:hint="eastAsia"/>
        </w:rPr>
        <w:t>双方约</w:t>
      </w:r>
      <w:r>
        <w:t>定的</w:t>
      </w:r>
      <w:r>
        <w:rPr>
          <w:rFonts w:hint="eastAsia"/>
        </w:rPr>
        <w:t>交</w:t>
      </w:r>
      <w:r>
        <w:t>货地点</w:t>
      </w:r>
      <w:r>
        <w:rPr>
          <w:rFonts w:hint="eastAsia"/>
        </w:rPr>
        <w:t>和</w:t>
      </w:r>
      <w:r>
        <w:t>接货人外，还应承担甲方因此多支付的一切费用</w:t>
      </w:r>
      <w:r>
        <w:rPr>
          <w:rFonts w:hint="eastAsia"/>
        </w:rPr>
        <w:t>、损失</w:t>
      </w:r>
      <w:r>
        <w:t>和逾期交货的违约金。</w:t>
      </w:r>
    </w:p>
    <w:p w14:paraId="5581B3B9">
      <w:pPr>
        <w:pStyle w:val="14"/>
        <w:numPr>
          <w:ilvl w:val="0"/>
          <w:numId w:val="0"/>
        </w:numPr>
        <w:spacing w:before="249" w:after="249" w:line="240" w:lineRule="auto"/>
      </w:pPr>
      <w:r>
        <w:rPr>
          <w:rFonts w:hint="eastAsia"/>
        </w:rPr>
        <w:t>5.3如因甲方原因要求延迟交货的，甲方应在约定的交货之日前</w:t>
      </w:r>
      <w:r>
        <w:rPr>
          <w:rFonts w:hint="eastAsia"/>
          <w:u w:val="single"/>
        </w:rPr>
        <w:t xml:space="preserve">  5  </w:t>
      </w:r>
      <w:r>
        <w:rPr>
          <w:rFonts w:hint="eastAsia"/>
        </w:rPr>
        <w:t>个工作日以书面形式通知乙方。</w:t>
      </w:r>
    </w:p>
    <w:p w14:paraId="53E0DAE6">
      <w:pPr>
        <w:pStyle w:val="14"/>
        <w:numPr>
          <w:ilvl w:val="0"/>
          <w:numId w:val="0"/>
        </w:numPr>
        <w:spacing w:before="249" w:after="249" w:line="240" w:lineRule="auto"/>
      </w:pPr>
      <w:r>
        <w:rPr>
          <w:rFonts w:hint="eastAsia"/>
        </w:rPr>
        <w:t>5.4乙方（供应商）供货要求：甲方（</w:t>
      </w:r>
      <w:r>
        <w:rPr>
          <w:rFonts w:hint="eastAsia" w:cs="仿宋" w:asciiTheme="minorEastAsia" w:hAnsiTheme="minorEastAsia"/>
          <w:szCs w:val="21"/>
        </w:rPr>
        <w:t>采购人）需要组织供应商带材试制和质量验证</w:t>
      </w:r>
      <w:r>
        <w:rPr>
          <w:rFonts w:hint="eastAsia"/>
        </w:rPr>
        <w:t>，带材试制和质量验证方案由甲方提供。试制和质量验证次数不得超过2次（含2次）。</w:t>
      </w:r>
      <w:r>
        <w:rPr>
          <w:rFonts w:hint="eastAsia" w:cs="仿宋" w:asciiTheme="minorEastAsia" w:hAnsiTheme="minorEastAsia"/>
          <w:szCs w:val="21"/>
        </w:rPr>
        <w:t>供应商带材质量验证阶段分为两个阶段，第一阶段为小批量试制（验证带材数量小于10吨）。第二阶段为放量试制（验证带材数量大于10吨，小于20吨，供应商需提供不同于第一阶段的炉号的试制品）</w:t>
      </w:r>
      <w:r>
        <w:rPr>
          <w:rFonts w:hint="eastAsia"/>
        </w:rPr>
        <w:t>。如供应商均通过两个阶段带材试制和质量验证，则供应商具备正式供货资格，采购人可以批量从供应商采购带材。采购人对试制和质量验证合格的带材按合同价格进行结算，对试制不合格的带材进行退货处理；如未通过带材试制和质量验证，</w:t>
      </w:r>
      <w:r>
        <w:rPr>
          <w:rFonts w:hint="eastAsia" w:cs="仿宋" w:asciiTheme="minorEastAsia" w:hAnsiTheme="minorEastAsia"/>
        </w:rPr>
        <w:t>采购人对试制不合格的带材及质量验证产生的边料进行退货处理，要求供应商进行熔化销毁，</w:t>
      </w:r>
      <w:r>
        <w:rPr>
          <w:rFonts w:hint="eastAsia"/>
        </w:rPr>
        <w:t>采购人与供应商解除合同，试制带材</w:t>
      </w:r>
      <w:r>
        <w:rPr>
          <w:rFonts w:hint="eastAsia" w:asciiTheme="majorEastAsia" w:hAnsiTheme="majorEastAsia" w:eastAsiaTheme="majorEastAsia" w:cstheme="majorEastAsia"/>
          <w:spacing w:val="-3"/>
          <w:szCs w:val="21"/>
        </w:rPr>
        <w:t>及其退货的</w:t>
      </w:r>
      <w:r>
        <w:rPr>
          <w:rFonts w:hint="eastAsia"/>
        </w:rPr>
        <w:t>各种费用以及因此而给甲方造成的全部损失由供应商承担。</w:t>
      </w:r>
    </w:p>
    <w:p w14:paraId="0654A135">
      <w:pPr>
        <w:pStyle w:val="14"/>
        <w:numPr>
          <w:ilvl w:val="0"/>
          <w:numId w:val="0"/>
        </w:numPr>
        <w:spacing w:before="249" w:after="249" w:line="240" w:lineRule="auto"/>
        <w:ind w:left="964" w:hanging="964"/>
        <w:rPr>
          <w:b/>
        </w:rPr>
      </w:pPr>
      <w:r>
        <w:rPr>
          <w:rFonts w:hint="eastAsia"/>
          <w:b/>
        </w:rPr>
        <w:t xml:space="preserve">第6条 </w:t>
      </w:r>
      <w:r>
        <w:rPr>
          <w:b/>
        </w:rPr>
        <w:t>货物运输</w:t>
      </w:r>
      <w:r>
        <w:rPr>
          <w:rFonts w:hint="eastAsia"/>
          <w:b/>
        </w:rPr>
        <w:t>（</w:t>
      </w:r>
      <w:r>
        <w:rPr>
          <w:b/>
        </w:rPr>
        <w:t>包括装卸）</w:t>
      </w:r>
      <w:r>
        <w:rPr>
          <w:rFonts w:hint="eastAsia"/>
          <w:b/>
        </w:rPr>
        <w:t>及</w:t>
      </w:r>
      <w:r>
        <w:rPr>
          <w:b/>
        </w:rPr>
        <w:t>包装</w:t>
      </w:r>
    </w:p>
    <w:p w14:paraId="249974A5">
      <w:pPr>
        <w:pStyle w:val="14"/>
        <w:numPr>
          <w:ilvl w:val="0"/>
          <w:numId w:val="0"/>
        </w:numPr>
        <w:spacing w:before="249" w:after="249" w:line="240" w:lineRule="auto"/>
        <w:ind w:left="964" w:hanging="964"/>
      </w:pPr>
      <w:r>
        <w:rPr>
          <w:rFonts w:hint="eastAsia"/>
        </w:rPr>
        <w:t>6.1</w:t>
      </w:r>
      <w:r>
        <w:t>货物运输</w:t>
      </w:r>
      <w:r>
        <w:rPr>
          <w:rFonts w:hint="eastAsia"/>
        </w:rPr>
        <w:t>（包括装卸）</w:t>
      </w:r>
      <w:r>
        <w:t>、包装由乙方负责，费用由乙方承担。</w:t>
      </w:r>
    </w:p>
    <w:p w14:paraId="1B7DAB60">
      <w:pPr>
        <w:pStyle w:val="14"/>
        <w:numPr>
          <w:ilvl w:val="0"/>
          <w:numId w:val="0"/>
        </w:numPr>
        <w:spacing w:before="249" w:after="249" w:line="240" w:lineRule="auto"/>
      </w:pPr>
      <w:r>
        <w:rPr>
          <w:rFonts w:hint="eastAsia"/>
        </w:rPr>
        <w:t>6.2</w:t>
      </w:r>
      <w:r>
        <w:t>货物在运输</w:t>
      </w:r>
      <w:r>
        <w:rPr>
          <w:rFonts w:hint="eastAsia"/>
        </w:rPr>
        <w:t>（包括装卸）等</w:t>
      </w:r>
      <w:r>
        <w:t>在</w:t>
      </w:r>
      <w:r>
        <w:rPr>
          <w:rFonts w:hint="eastAsia"/>
        </w:rPr>
        <w:t>货物双方签署《货物到货验收合格单》前的一切程序或流程</w:t>
      </w:r>
      <w:r>
        <w:t>中出现损毁、丢失</w:t>
      </w:r>
      <w:r>
        <w:rPr>
          <w:rFonts w:hint="eastAsia"/>
        </w:rPr>
        <w:t>等的风险</w:t>
      </w:r>
      <w:r>
        <w:t>由乙方</w:t>
      </w:r>
      <w:r>
        <w:rPr>
          <w:rFonts w:hint="eastAsia"/>
        </w:rPr>
        <w:t>承担。</w:t>
      </w:r>
    </w:p>
    <w:p w14:paraId="2AE98369">
      <w:pPr>
        <w:pStyle w:val="14"/>
        <w:numPr>
          <w:ilvl w:val="0"/>
          <w:numId w:val="0"/>
        </w:numPr>
        <w:spacing w:before="249" w:after="249" w:line="240" w:lineRule="auto"/>
      </w:pPr>
      <w:r>
        <w:rPr>
          <w:rFonts w:hint="eastAsia"/>
        </w:rPr>
        <w:t>6.3对于特殊物品（易燃、易爆、有毒物品及其他危险品和运输过程中对温度等环境因素和震动有特殊要求的货物或物品）必须特别标明其品名、性质、特殊保护措施、保存方法以及处理意外情况的方法。</w:t>
      </w:r>
    </w:p>
    <w:p w14:paraId="7D106FA0">
      <w:pPr>
        <w:pStyle w:val="15"/>
        <w:spacing w:before="156" w:after="156" w:line="240" w:lineRule="auto"/>
        <w:ind w:left="0" w:firstLine="0"/>
      </w:pPr>
      <w:r>
        <w:rPr>
          <w:rFonts w:hint="eastAsia"/>
        </w:rPr>
        <w:t>6.4</w:t>
      </w:r>
      <w:r>
        <w:t>货物的包装，国家或业务主管部门有技术规定的，按照技术规定执行；国家或业务主管部门没有技术规定的，</w:t>
      </w:r>
      <w:r>
        <w:rPr>
          <w:rFonts w:hint="eastAsia"/>
        </w:rPr>
        <w:t>应当按照通用的方式包装，没有通用方式的，应当采取足以保护货物</w:t>
      </w:r>
      <w:r>
        <w:t>安全和完整</w:t>
      </w:r>
      <w:r>
        <w:rPr>
          <w:rFonts w:hint="eastAsia"/>
        </w:rPr>
        <w:t>且有利于节约资源、保护生态环境的包装方式。</w:t>
      </w:r>
      <w:r>
        <w:t xml:space="preserve"> </w:t>
      </w:r>
    </w:p>
    <w:p w14:paraId="477B1F0E">
      <w:pPr>
        <w:pStyle w:val="14"/>
        <w:numPr>
          <w:ilvl w:val="0"/>
          <w:numId w:val="0"/>
        </w:numPr>
        <w:spacing w:before="249" w:after="249" w:line="240" w:lineRule="auto"/>
        <w:ind w:left="964" w:hanging="964"/>
        <w:rPr>
          <w:b/>
        </w:rPr>
      </w:pPr>
      <w:r>
        <w:rPr>
          <w:rFonts w:hint="eastAsia"/>
          <w:b/>
        </w:rPr>
        <w:t>第7条 验收</w:t>
      </w:r>
    </w:p>
    <w:p w14:paraId="454082DA">
      <w:pPr>
        <w:pStyle w:val="14"/>
        <w:numPr>
          <w:ilvl w:val="0"/>
          <w:numId w:val="0"/>
        </w:numPr>
        <w:spacing w:before="249" w:after="249" w:line="240" w:lineRule="auto"/>
      </w:pPr>
      <w:r>
        <w:rPr>
          <w:rFonts w:hint="eastAsia"/>
        </w:rPr>
        <w:t>7.1</w:t>
      </w:r>
      <w:r>
        <w:t>甲方应在乙方将每批次的</w:t>
      </w:r>
      <w:r>
        <w:rPr>
          <w:rFonts w:hint="eastAsia"/>
        </w:rPr>
        <w:t>货物到场</w:t>
      </w:r>
      <w:r>
        <w:t>后进行验收</w:t>
      </w:r>
      <w:r>
        <w:rPr>
          <w:rFonts w:hint="eastAsia"/>
        </w:rPr>
        <w:t>，</w:t>
      </w:r>
      <w:r>
        <w:t>由甲乙双方</w:t>
      </w:r>
      <w:r>
        <w:rPr>
          <w:rFonts w:hint="eastAsia"/>
        </w:rPr>
        <w:t>相关工作人员共同</w:t>
      </w:r>
      <w:r>
        <w:t>清点</w:t>
      </w:r>
      <w:r>
        <w:rPr>
          <w:rFonts w:hint="eastAsia"/>
        </w:rPr>
        <w:t>货物并在《货物到货验收合格单》</w:t>
      </w:r>
      <w:r>
        <w:t>上分别签字</w:t>
      </w:r>
      <w:r>
        <w:rPr>
          <w:rFonts w:hint="eastAsia"/>
        </w:rPr>
        <w:t>。乙方无正当理由不参与验收的，甲方可自行验收。对甲方出具的相关验收结果，乙方不得持有任何异议。自《货物到货验收合格单》签署之日起，</w:t>
      </w:r>
      <w:r>
        <w:t>货物损毁、丢失</w:t>
      </w:r>
      <w:r>
        <w:rPr>
          <w:rFonts w:hint="eastAsia"/>
        </w:rPr>
        <w:t>等风险</w:t>
      </w:r>
      <w:r>
        <w:t>由</w:t>
      </w:r>
      <w:r>
        <w:rPr>
          <w:rFonts w:hint="eastAsia"/>
        </w:rPr>
        <w:t>甲</w:t>
      </w:r>
      <w:r>
        <w:t>方承担。</w:t>
      </w:r>
    </w:p>
    <w:p w14:paraId="136AFE3A">
      <w:pPr>
        <w:pStyle w:val="15"/>
        <w:spacing w:before="156" w:after="156" w:line="240" w:lineRule="auto"/>
        <w:ind w:left="0" w:firstLine="0"/>
      </w:pPr>
      <w:r>
        <w:rPr>
          <w:rFonts w:hint="eastAsia"/>
        </w:rPr>
        <w:t>7.2</w:t>
      </w:r>
      <w:r>
        <w:t>若</w:t>
      </w:r>
      <w:r>
        <w:rPr>
          <w:rFonts w:hint="eastAsia"/>
        </w:rPr>
        <w:t>验收（包括现场验收、理化指标复检验收和使用验收）时</w:t>
      </w:r>
      <w:r>
        <w:t>发现</w:t>
      </w:r>
      <w:r>
        <w:rPr>
          <w:rFonts w:hint="eastAsia"/>
        </w:rPr>
        <w:t>货物</w:t>
      </w:r>
      <w:r>
        <w:t>存在质量问题或其他缺陷的，</w:t>
      </w:r>
      <w:r>
        <w:rPr>
          <w:rFonts w:hint="eastAsia"/>
        </w:rPr>
        <w:t>则该货物视为不合格产品。甲方有权让步接收并按合同约定主张赔偿，或要求乙方在规定期限内进行退货、换货处理，乙方应当负责将该货物从甲方处运回并调换或者退货，并承担调换或者退货所产生的费用，赔偿甲方因此受到的全部损失。如果选择退货处理，则针对甲方已经付款的部分，乙方应在甲方要求的期限内予以退还，甲方亦有权在其他批次货物对应的应付账款及/或履约担保金中予以直接扣除。</w:t>
      </w:r>
    </w:p>
    <w:p w14:paraId="7EDD4162">
      <w:pPr>
        <w:pStyle w:val="15"/>
        <w:spacing w:before="156" w:after="156" w:line="240" w:lineRule="auto"/>
        <w:ind w:left="0" w:firstLine="0"/>
      </w:pPr>
      <w:r>
        <w:rPr>
          <w:rFonts w:hint="eastAsia"/>
        </w:rPr>
        <w:t>7.3</w:t>
      </w:r>
      <w:r>
        <w:t>若双方在验收过程中对</w:t>
      </w:r>
      <w:r>
        <w:rPr>
          <w:rFonts w:hint="eastAsia"/>
        </w:rPr>
        <w:t>货物</w:t>
      </w:r>
      <w:r>
        <w:t>质量问题发生争议的，应</w:t>
      </w:r>
      <w:r>
        <w:rPr>
          <w:rFonts w:hint="eastAsia"/>
        </w:rPr>
        <w:t>友好协商解决。协商无法达成一致的，应</w:t>
      </w:r>
      <w:r>
        <w:t>提交甲方所在地的质量监督检验机构裁决</w:t>
      </w:r>
      <w:r>
        <w:rPr>
          <w:rFonts w:hint="eastAsia"/>
        </w:rPr>
        <w:t>或委托法定鉴定机构进行鉴定，由此产生的相关费用由乙方承担</w:t>
      </w:r>
      <w:r>
        <w:t>。</w:t>
      </w:r>
      <w:r>
        <w:rPr>
          <w:rFonts w:hint="eastAsia"/>
        </w:rPr>
        <w:t>就前述专业机构出具的鉴定结论，双方均应认可。</w:t>
      </w:r>
    </w:p>
    <w:p w14:paraId="2C5DCB1A">
      <w:pPr>
        <w:pStyle w:val="15"/>
        <w:spacing w:before="156" w:after="156" w:line="240" w:lineRule="auto"/>
        <w:ind w:left="0" w:firstLine="0"/>
      </w:pPr>
      <w:r>
        <w:rPr>
          <w:rFonts w:hint="eastAsia"/>
        </w:rPr>
        <w:t>7.4低碳钢带的称差标准为千分之三，千分之三以内以发货方为准，超过千分之三以双方现场称重为准。</w:t>
      </w:r>
    </w:p>
    <w:p w14:paraId="34267B47">
      <w:pPr>
        <w:pStyle w:val="14"/>
        <w:numPr>
          <w:ilvl w:val="0"/>
          <w:numId w:val="0"/>
        </w:numPr>
        <w:spacing w:before="249" w:after="249" w:line="240" w:lineRule="auto"/>
        <w:ind w:left="964" w:hanging="964"/>
        <w:rPr>
          <w:b/>
        </w:rPr>
      </w:pPr>
      <w:r>
        <w:rPr>
          <w:rFonts w:hint="eastAsia"/>
          <w:b/>
        </w:rPr>
        <w:t xml:space="preserve">第8条 </w:t>
      </w:r>
      <w:r>
        <w:rPr>
          <w:b/>
        </w:rPr>
        <w:t>质量条款</w:t>
      </w:r>
    </w:p>
    <w:p w14:paraId="358C0638">
      <w:pPr>
        <w:pStyle w:val="15"/>
        <w:numPr>
          <w:ilvl w:val="1"/>
          <w:numId w:val="2"/>
        </w:numPr>
        <w:spacing w:before="156" w:after="156" w:line="240" w:lineRule="auto"/>
      </w:pPr>
      <w:r>
        <w:t>乙方应保证其向甲方交付</w:t>
      </w:r>
      <w:r>
        <w:rPr>
          <w:rFonts w:hint="eastAsia"/>
        </w:rPr>
        <w:t>货物</w:t>
      </w:r>
      <w:r>
        <w:t>的品种</w:t>
      </w:r>
      <w:r>
        <w:rPr>
          <w:rFonts w:hint="eastAsia"/>
        </w:rPr>
        <w:t>、</w:t>
      </w:r>
      <w:r>
        <w:t>规格</w:t>
      </w:r>
      <w:r>
        <w:rPr>
          <w:rFonts w:hint="eastAsia"/>
        </w:rPr>
        <w:t>、</w:t>
      </w:r>
      <w:r>
        <w:t>数量、</w:t>
      </w:r>
      <w:r>
        <w:rPr>
          <w:rFonts w:hint="eastAsia"/>
        </w:rPr>
        <w:t>质量等要</w:t>
      </w:r>
      <w:r>
        <w:t>符合甲方的要求。</w:t>
      </w:r>
    </w:p>
    <w:p w14:paraId="7EDEE468">
      <w:pPr>
        <w:pStyle w:val="14"/>
        <w:numPr>
          <w:ilvl w:val="0"/>
          <w:numId w:val="0"/>
        </w:numPr>
        <w:spacing w:before="249" w:after="249" w:line="240" w:lineRule="auto"/>
      </w:pPr>
      <w:r>
        <w:rPr>
          <w:rFonts w:hint="eastAsia"/>
        </w:rPr>
        <w:t>8.2货物</w:t>
      </w:r>
      <w:r>
        <w:t>及</w:t>
      </w:r>
      <w:r>
        <w:rPr>
          <w:rFonts w:hint="eastAsia"/>
        </w:rPr>
        <w:t>相关</w:t>
      </w:r>
      <w: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14:paraId="4D9ADEC0">
      <w:pPr>
        <w:pStyle w:val="14"/>
        <w:numPr>
          <w:ilvl w:val="0"/>
          <w:numId w:val="0"/>
        </w:numPr>
        <w:spacing w:before="249" w:after="249" w:line="240" w:lineRule="auto"/>
      </w:pPr>
      <w:r>
        <w:rPr>
          <w:rFonts w:hint="eastAsia"/>
        </w:rPr>
        <w:t>8.3</w:t>
      </w:r>
      <w:r>
        <w:t>若乙方交付的货物质量与本合同约定的不符，</w:t>
      </w:r>
      <w:r>
        <w:rPr>
          <w:rFonts w:hint="eastAsia"/>
        </w:rPr>
        <w:t>甲方有权要求乙方按合同约定退回、更换及/或补交货物，因此导致逾期的，乙方应按合同约定承担逾期违约责任；此外，甲方也有权直接要求解除合同，拒绝接受乙方交付，乙方除退回甲方已付合同价款外，还须按合同约定支付违约金，并按甲方要求妥善处置甲方拒绝接受的货物。违约金不足以弥补甲方损失的，乙方还应当予以赔偿。</w:t>
      </w:r>
    </w:p>
    <w:p w14:paraId="19080AB2">
      <w:pPr>
        <w:pStyle w:val="14"/>
        <w:numPr>
          <w:ilvl w:val="0"/>
          <w:numId w:val="0"/>
        </w:numPr>
        <w:spacing w:before="249" w:after="249" w:line="240" w:lineRule="auto"/>
        <w:ind w:left="964" w:hanging="964"/>
        <w:rPr>
          <w:b/>
        </w:rPr>
      </w:pPr>
      <w:r>
        <w:rPr>
          <w:rFonts w:hint="eastAsia"/>
          <w:b/>
        </w:rPr>
        <w:t xml:space="preserve">第9条 </w:t>
      </w:r>
      <w:r>
        <w:rPr>
          <w:b/>
        </w:rPr>
        <w:t>售后服务</w:t>
      </w:r>
    </w:p>
    <w:p w14:paraId="28473293">
      <w:pPr>
        <w:pStyle w:val="14"/>
        <w:numPr>
          <w:ilvl w:val="0"/>
          <w:numId w:val="0"/>
        </w:numPr>
        <w:spacing w:before="249" w:after="249" w:line="240" w:lineRule="auto"/>
      </w:pPr>
      <w:r>
        <w:rPr>
          <w:rFonts w:hint="eastAsia"/>
        </w:rPr>
        <w:t>9.1乙方提供的货物及服务须符合甲方提出的技术、服务要求，每批次货物质量保修期（质保期）为自该批次货物经甲方理化指标复检验收合格之日起算，期限为1年</w:t>
      </w:r>
      <w:r>
        <w:t>。</w:t>
      </w:r>
    </w:p>
    <w:p w14:paraId="31C81DDE">
      <w:pPr>
        <w:pStyle w:val="14"/>
        <w:numPr>
          <w:ilvl w:val="0"/>
          <w:numId w:val="0"/>
        </w:numPr>
        <w:spacing w:before="249" w:after="249" w:line="240" w:lineRule="auto"/>
      </w:pPr>
      <w:r>
        <w:rPr>
          <w:rFonts w:hint="eastAsia"/>
        </w:rPr>
        <w:t>9.2</w:t>
      </w:r>
      <w:r>
        <w:t>在质量保修期内，如</w:t>
      </w:r>
      <w:r>
        <w:rPr>
          <w:rFonts w:hint="eastAsia"/>
        </w:rPr>
        <w:t>货物在使用过程中如出现质量问题或者不能达到甲方使用要求</w:t>
      </w:r>
      <w:r>
        <w:t>，乙方应</w:t>
      </w:r>
      <w:r>
        <w:rPr>
          <w:rFonts w:hint="eastAsia"/>
        </w:rPr>
        <w:t>及时</w:t>
      </w:r>
      <w:r>
        <w:t>免费上门维修</w:t>
      </w:r>
      <w:r>
        <w:rPr>
          <w:rFonts w:hint="eastAsia"/>
        </w:rPr>
        <w:t>或更换</w:t>
      </w:r>
      <w:r>
        <w:t>，一切费用由乙方承担。</w:t>
      </w:r>
      <w:r>
        <w:rPr>
          <w:rFonts w:hint="eastAsia"/>
        </w:rPr>
        <w:t>乙方不能及时上门进行维修或更换的，甲方可自行或委托第三方进行维修或更换，由此产生的一切费用由乙方承担。</w:t>
      </w:r>
      <w:r>
        <w:rPr>
          <w:rFonts w:hint="eastAsia" w:asciiTheme="minorEastAsia" w:hAnsiTheme="minorEastAsia" w:cstheme="minorEastAsia"/>
        </w:rPr>
        <w:t>在质量保修期内，2小时内电话响应，48小时内上门服务</w:t>
      </w:r>
      <w:r>
        <w:rPr>
          <w:rFonts w:hint="eastAsia"/>
        </w:rPr>
        <w:t>。</w:t>
      </w:r>
    </w:p>
    <w:p w14:paraId="6DE38918">
      <w:pPr>
        <w:pStyle w:val="14"/>
        <w:numPr>
          <w:ilvl w:val="0"/>
          <w:numId w:val="0"/>
        </w:numPr>
        <w:spacing w:before="249" w:after="249" w:line="240" w:lineRule="auto"/>
      </w:pPr>
      <w:r>
        <w:rPr>
          <w:rFonts w:hint="eastAsia"/>
        </w:rPr>
        <w:t>9.3</w:t>
      </w:r>
      <w:r>
        <w:t>在质量保修期届满后，如货物损坏需维修，则乙方应根据市场价格中最为优惠的价格向甲方收取维修所需的材料成本费用，除此之外，不向甲方另行收取其他费用。</w:t>
      </w:r>
      <w:r>
        <w:rPr>
          <w:rFonts w:hint="eastAsia"/>
        </w:rPr>
        <w:t>该条款有效期为长期。</w:t>
      </w:r>
    </w:p>
    <w:p w14:paraId="1088C466">
      <w:pPr>
        <w:pStyle w:val="14"/>
        <w:numPr>
          <w:ilvl w:val="0"/>
          <w:numId w:val="0"/>
        </w:numPr>
        <w:spacing w:before="249" w:after="249" w:line="240" w:lineRule="auto"/>
      </w:pPr>
      <w:r>
        <w:rPr>
          <w:rFonts w:hint="eastAsia"/>
        </w:rPr>
        <w:t>9.4乙方需免费提供一定数量的随机备品、备件和工具（配备标准：至少提供</w:t>
      </w:r>
      <w:r>
        <w:rPr>
          <w:rFonts w:hint="eastAsia"/>
          <w:u w:val="single"/>
        </w:rPr>
        <w:t>1</w:t>
      </w:r>
      <w:r>
        <w:rPr>
          <w:rFonts w:hint="eastAsia"/>
        </w:rPr>
        <w:t>套备品、备件和工具）或根据损耗程度提供相应数量的备品、备件和工具。</w:t>
      </w:r>
    </w:p>
    <w:p w14:paraId="69D637CB">
      <w:pPr>
        <w:pStyle w:val="14"/>
        <w:numPr>
          <w:ilvl w:val="0"/>
          <w:numId w:val="0"/>
        </w:numPr>
        <w:spacing w:before="249" w:after="249" w:line="240" w:lineRule="auto"/>
        <w:ind w:left="964" w:hanging="964"/>
        <w:rPr>
          <w:b/>
        </w:rPr>
      </w:pPr>
      <w:r>
        <w:rPr>
          <w:rFonts w:hint="eastAsia"/>
          <w:b/>
        </w:rPr>
        <w:t xml:space="preserve">第10条 </w:t>
      </w:r>
      <w:r>
        <w:rPr>
          <w:b/>
        </w:rPr>
        <w:t>所有权与风险转移</w:t>
      </w:r>
    </w:p>
    <w:p w14:paraId="42CD3257">
      <w:pPr>
        <w:pStyle w:val="14"/>
        <w:numPr>
          <w:ilvl w:val="0"/>
          <w:numId w:val="0"/>
        </w:numPr>
        <w:spacing w:before="249" w:after="249" w:line="240" w:lineRule="auto"/>
      </w:pPr>
      <w:r>
        <w:rPr>
          <w:rFonts w:hint="eastAsia"/>
        </w:rPr>
        <w:t>10.1</w:t>
      </w:r>
      <w:r>
        <w:t>货物损坏、灭失的风险在</w:t>
      </w:r>
      <w:r>
        <w:rPr>
          <w:rFonts w:hint="eastAsia"/>
        </w:rPr>
        <w:t>货物双方签署《货物到货验收合格单》之日起</w:t>
      </w:r>
      <w:r>
        <w:t>由乙方转移至甲方。</w:t>
      </w:r>
    </w:p>
    <w:p w14:paraId="489A932B">
      <w:pPr>
        <w:pStyle w:val="14"/>
        <w:numPr>
          <w:ilvl w:val="0"/>
          <w:numId w:val="0"/>
        </w:numPr>
        <w:spacing w:before="249" w:after="249" w:line="240" w:lineRule="auto"/>
      </w:pPr>
      <w:r>
        <w:rPr>
          <w:rFonts w:hint="eastAsia"/>
        </w:rPr>
        <w:t>10.2</w:t>
      </w:r>
      <w:r>
        <w:t>因乙方货物未能达到甲方要求导致甲方拒收的或者解除合同时，货物损坏、灭失的风险由乙方承担。</w:t>
      </w:r>
    </w:p>
    <w:p w14:paraId="6EE1322E">
      <w:pPr>
        <w:pStyle w:val="14"/>
        <w:numPr>
          <w:ilvl w:val="0"/>
          <w:numId w:val="0"/>
        </w:numPr>
        <w:spacing w:before="249" w:after="249" w:line="240" w:lineRule="auto"/>
      </w:pPr>
      <w:r>
        <w:rPr>
          <w:rFonts w:hint="eastAsia"/>
        </w:rPr>
        <w:t>10.3</w:t>
      </w:r>
      <w:r>
        <w:t>所有权与风险的转移，不影响因乙方不按约定履行</w:t>
      </w:r>
      <w:r>
        <w:rPr>
          <w:rFonts w:hint="eastAsia"/>
        </w:rPr>
        <w:t>本合同项下</w:t>
      </w:r>
      <w:r>
        <w:t>义务时，甲方要求其承担违约责任的权利。</w:t>
      </w:r>
    </w:p>
    <w:p w14:paraId="6D833083">
      <w:pPr>
        <w:pStyle w:val="14"/>
        <w:numPr>
          <w:ilvl w:val="0"/>
          <w:numId w:val="0"/>
        </w:numPr>
        <w:spacing w:before="249" w:after="249" w:line="240" w:lineRule="auto"/>
        <w:ind w:left="964" w:hanging="964"/>
        <w:rPr>
          <w:b/>
        </w:rPr>
      </w:pPr>
      <w:r>
        <w:rPr>
          <w:rFonts w:hint="eastAsia"/>
          <w:b/>
        </w:rPr>
        <w:t>第11条 知识产权</w:t>
      </w:r>
    </w:p>
    <w:p w14:paraId="2FFC5F72">
      <w:pPr>
        <w:pStyle w:val="14"/>
        <w:numPr>
          <w:ilvl w:val="0"/>
          <w:numId w:val="0"/>
        </w:numPr>
        <w:spacing w:before="249" w:after="249" w:line="240" w:lineRule="auto"/>
      </w:pPr>
      <w:r>
        <w:rPr>
          <w:rFonts w:hint="eastAsia"/>
        </w:rPr>
        <w:t>11.1乙方应保证其货物及所提供技术服务不存在侵犯任何第三方权利的情况，同时应保证甲方不受由于使用乙方提供的货物（包括技术）而引起的因任何第三方的设计、工艺方案、技术资料、商标、专利等知识产权产生侵权索赔。如甲方需要，乙方应提供必要的相关证明。</w:t>
      </w:r>
    </w:p>
    <w:p w14:paraId="4B72EC0E">
      <w:pPr>
        <w:pStyle w:val="14"/>
        <w:numPr>
          <w:ilvl w:val="0"/>
          <w:numId w:val="0"/>
        </w:numPr>
        <w:spacing w:before="249" w:after="249" w:line="240" w:lineRule="auto"/>
      </w:pPr>
      <w:r>
        <w:rPr>
          <w:rFonts w:hint="eastAsia"/>
        </w:rPr>
        <w:t>11.2如果发生任何第三方的侵权指控，甲方有权通知乙方要求乙方负责与第三方交涉处理相关事宜，配合甲方的一切调查，并承担一切由此引起的法律上和经济上的责任，从而使甲方免受由于第三方索赔从法律及经济责任上所造成的损害。</w:t>
      </w:r>
    </w:p>
    <w:p w14:paraId="75A57CBE">
      <w:pPr>
        <w:pStyle w:val="14"/>
        <w:numPr>
          <w:ilvl w:val="0"/>
          <w:numId w:val="0"/>
        </w:numPr>
        <w:spacing w:before="249" w:after="249" w:line="240" w:lineRule="auto"/>
      </w:pPr>
      <w:r>
        <w:rPr>
          <w:rFonts w:hint="eastAsia"/>
        </w:rPr>
        <w:t>11.3在发生索赔期间，乙方应保证以任何合理的方式避免甲方对货物的使用受到限制或为甲方更换其他同等类型的货物供甲方使用并承担因此产生的全部费用。</w:t>
      </w:r>
    </w:p>
    <w:p w14:paraId="3F10B473">
      <w:pPr>
        <w:pStyle w:val="14"/>
        <w:numPr>
          <w:ilvl w:val="0"/>
          <w:numId w:val="0"/>
        </w:numPr>
        <w:spacing w:before="249" w:after="249" w:line="240" w:lineRule="auto"/>
      </w:pPr>
      <w:r>
        <w:rPr>
          <w:rFonts w:hint="eastAsia"/>
        </w:rPr>
        <w:t>11.4乙方应赔偿甲方因任何侵权索赔或知识产权纠纷而所遭受的一切直接及间接损失。</w:t>
      </w:r>
    </w:p>
    <w:p w14:paraId="400A8290">
      <w:pPr>
        <w:pStyle w:val="14"/>
        <w:numPr>
          <w:ilvl w:val="0"/>
          <w:numId w:val="0"/>
        </w:numPr>
        <w:spacing w:before="249" w:after="249" w:line="240" w:lineRule="auto"/>
        <w:ind w:left="964" w:hanging="964"/>
        <w:rPr>
          <w:b/>
        </w:rPr>
      </w:pPr>
      <w:r>
        <w:rPr>
          <w:rFonts w:hint="eastAsia"/>
          <w:b/>
        </w:rPr>
        <w:t xml:space="preserve">第12条 </w:t>
      </w:r>
      <w:r>
        <w:rPr>
          <w:b/>
        </w:rPr>
        <w:t>违约责任</w:t>
      </w:r>
    </w:p>
    <w:p w14:paraId="63D06810">
      <w:pPr>
        <w:pStyle w:val="14"/>
        <w:numPr>
          <w:ilvl w:val="0"/>
          <w:numId w:val="0"/>
        </w:numPr>
        <w:spacing w:before="249" w:after="249" w:line="240" w:lineRule="auto"/>
      </w:pPr>
      <w:r>
        <w:rPr>
          <w:rFonts w:hint="eastAsia"/>
        </w:rPr>
        <w:t>12.1非因甲方原因导致乙方未能按本合同约定的交货时间交付货物的</w:t>
      </w:r>
      <w:r>
        <w:t>，或者交付的</w:t>
      </w:r>
      <w:r>
        <w:rPr>
          <w:rFonts w:hint="eastAsia"/>
        </w:rPr>
        <w:t>货物</w:t>
      </w:r>
      <w:r>
        <w:t>未能通过甲方验收，</w:t>
      </w:r>
      <w:r>
        <w:rPr>
          <w:rFonts w:hint="eastAsia"/>
          <w:color w:val="FF0000"/>
          <w:sz w:val="24"/>
          <w:szCs w:val="24"/>
          <w:highlight w:val="yellow"/>
        </w:rPr>
        <w:t>乙方应从逾期之日起每日按逾期交付或通过验收的货物货值的</w:t>
      </w:r>
      <w:r>
        <w:rPr>
          <w:color w:val="FF0000"/>
          <w:sz w:val="24"/>
          <w:szCs w:val="24"/>
          <w:highlight w:val="yellow"/>
          <w:u w:val="single"/>
        </w:rPr>
        <w:t xml:space="preserve">      1</w:t>
      </w:r>
      <w:r>
        <w:rPr>
          <w:rFonts w:hint="eastAsia"/>
          <w:color w:val="FF0000"/>
          <w:sz w:val="24"/>
          <w:szCs w:val="24"/>
          <w:highlight w:val="yellow"/>
          <w:u w:val="single"/>
        </w:rPr>
        <w:t>‰</w:t>
      </w:r>
      <w:r>
        <w:rPr>
          <w:color w:val="FF0000"/>
          <w:sz w:val="24"/>
          <w:szCs w:val="24"/>
          <w:highlight w:val="yellow"/>
          <w:u w:val="single"/>
        </w:rPr>
        <w:t xml:space="preserve">  </w:t>
      </w:r>
      <w:r>
        <w:rPr>
          <w:rFonts w:hint="eastAsia"/>
          <w:color w:val="FF0000"/>
          <w:sz w:val="24"/>
          <w:szCs w:val="24"/>
          <w:highlight w:val="yellow"/>
        </w:rPr>
        <w:t>支付违约金</w:t>
      </w:r>
      <w:r>
        <w:t>，</w:t>
      </w:r>
      <w:r>
        <w:rPr>
          <w:rFonts w:hint="eastAsia"/>
        </w:rPr>
        <w:t>逾期超过</w:t>
      </w:r>
      <w:r>
        <w:rPr>
          <w:rFonts w:hint="eastAsia"/>
          <w:u w:val="single"/>
        </w:rPr>
        <w:t xml:space="preserve">  10 </w:t>
      </w:r>
      <w:r>
        <w:rPr>
          <w:rFonts w:hint="eastAsia"/>
        </w:rPr>
        <w:t>个工作日的，甲方有权解除合同，乙方除退回甲方已支付款项外，还应赔偿因乙方违约造成的甲方损失</w:t>
      </w:r>
      <w:r>
        <w:t>。</w:t>
      </w:r>
    </w:p>
    <w:p w14:paraId="3FB354B7">
      <w:pPr>
        <w:pStyle w:val="14"/>
        <w:numPr>
          <w:ilvl w:val="0"/>
          <w:numId w:val="0"/>
        </w:numPr>
        <w:spacing w:before="249" w:after="249" w:line="240" w:lineRule="auto"/>
      </w:pPr>
      <w:r>
        <w:rPr>
          <w:rFonts w:hint="eastAsia"/>
        </w:rPr>
        <w:t>12.2</w:t>
      </w:r>
      <w:r>
        <w:t>乙方交付</w:t>
      </w:r>
      <w:r>
        <w:rPr>
          <w:rFonts w:hint="eastAsia"/>
        </w:rPr>
        <w:t>货物</w:t>
      </w:r>
      <w:r>
        <w:t>不符合</w:t>
      </w:r>
      <w:r>
        <w:rPr>
          <w:rFonts w:hint="eastAsia"/>
        </w:rPr>
        <w:t>合同约定的品牌、</w:t>
      </w:r>
      <w:r>
        <w:t>质量</w:t>
      </w:r>
      <w:r>
        <w:rPr>
          <w:rFonts w:hint="eastAsia"/>
        </w:rPr>
        <w:t>缺陷、规格、数量等</w:t>
      </w:r>
      <w:r>
        <w:t>要求</w:t>
      </w:r>
      <w:r>
        <w:rPr>
          <w:rFonts w:hint="eastAsia"/>
        </w:rPr>
        <w:t>，</w:t>
      </w:r>
      <w:r>
        <w:t>甲方</w:t>
      </w:r>
      <w:r>
        <w:rPr>
          <w:rFonts w:hint="eastAsia"/>
        </w:rPr>
        <w:t>有权选择（1）要求乙方按合同约定退回、更换及/或补交货物，因此导致逾期的，乙方应按第</w:t>
      </w:r>
      <w:r>
        <w:t>1</w:t>
      </w:r>
      <w:r>
        <w:rPr>
          <w:rFonts w:hint="eastAsia"/>
        </w:rPr>
        <w:t>2</w:t>
      </w:r>
      <w:r>
        <w:t>.</w:t>
      </w:r>
      <w:r>
        <w:rPr>
          <w:rFonts w:hint="eastAsia"/>
        </w:rPr>
        <w:t>1条约定承担逾期违约责任；（2）要求</w:t>
      </w:r>
      <w:r>
        <w:t>解除合同</w:t>
      </w:r>
      <w:r>
        <w:rPr>
          <w:rFonts w:hint="eastAsia"/>
        </w:rPr>
        <w:t>，</w:t>
      </w:r>
      <w:r>
        <w:t>拒绝接受乙方交付，</w:t>
      </w:r>
      <w:r>
        <w:rPr>
          <w:rFonts w:hint="eastAsia"/>
        </w:rPr>
        <w:t>乙方除退回甲方已支付款项、按甲方要求妥善处置甲方拒绝接受的货物外，还应赔偿因乙方违约造成的甲方损失</w:t>
      </w:r>
      <w:r>
        <w:t>。</w:t>
      </w:r>
    </w:p>
    <w:p w14:paraId="2859D577">
      <w:pPr>
        <w:pStyle w:val="14"/>
        <w:numPr>
          <w:ilvl w:val="0"/>
          <w:numId w:val="0"/>
        </w:numPr>
        <w:spacing w:before="249" w:after="249" w:line="240" w:lineRule="auto"/>
      </w:pPr>
      <w:r>
        <w:rPr>
          <w:rFonts w:hint="eastAsia"/>
        </w:rPr>
        <w:t>12.3乙方如在质保期内未履行第</w:t>
      </w:r>
      <w:r>
        <w:t>9条售后服务</w:t>
      </w:r>
      <w:r>
        <w:rPr>
          <w:rFonts w:hint="eastAsia"/>
        </w:rPr>
        <w:t>的约定，每一次须向甲方支付违约金</w:t>
      </w:r>
      <w:r>
        <w:rPr>
          <w:u w:val="single"/>
        </w:rPr>
        <w:t xml:space="preserve">   </w:t>
      </w:r>
      <w:r>
        <w:rPr>
          <w:rFonts w:hint="eastAsia"/>
          <w:u w:val="single"/>
        </w:rPr>
        <w:t>5000</w:t>
      </w:r>
      <w:r>
        <w:rPr>
          <w:u w:val="single"/>
        </w:rPr>
        <w:t xml:space="preserve">   </w:t>
      </w:r>
      <w:r>
        <w:rPr>
          <w:rFonts w:hint="eastAsia"/>
        </w:rPr>
        <w:t>元，同时承担全部维修、更换费用，若不足以弥补甲方因此受到的全部损失的，乙方应继续赔偿。</w:t>
      </w:r>
    </w:p>
    <w:p w14:paraId="09979BE0">
      <w:pPr>
        <w:pStyle w:val="14"/>
        <w:numPr>
          <w:ilvl w:val="0"/>
          <w:numId w:val="0"/>
        </w:numPr>
        <w:spacing w:before="249" w:after="249" w:line="240" w:lineRule="auto"/>
      </w:pPr>
      <w:r>
        <w:rPr>
          <w:rFonts w:hint="eastAsia"/>
        </w:rPr>
        <w:t>12.4如因乙方交付的货物存在质量问题或安全隐患导致甲方或第三人人身或财产损失的，乙方应承担一切法律责任。</w:t>
      </w:r>
    </w:p>
    <w:p w14:paraId="72DDDBB7">
      <w:pPr>
        <w:pStyle w:val="14"/>
        <w:numPr>
          <w:ilvl w:val="0"/>
          <w:numId w:val="0"/>
        </w:numPr>
        <w:spacing w:before="249" w:after="249" w:line="240" w:lineRule="auto"/>
      </w:pPr>
      <w:r>
        <w:rPr>
          <w:rFonts w:hint="eastAsia"/>
        </w:rPr>
        <w:t>12.5乙方在安装过程或其他进厂作业过程（如涉及）中必须采取有效的安全措施，乙方员工必须具有相应的岗位资质和专业技术水平。由于乙方原因在安装过程中导致发生安全或其他事故，由此引发的安全责任和经济损失全部由乙方承担。</w:t>
      </w:r>
    </w:p>
    <w:p w14:paraId="706D4536">
      <w:pPr>
        <w:pStyle w:val="15"/>
        <w:spacing w:before="156" w:after="156" w:line="240" w:lineRule="auto"/>
        <w:ind w:left="0" w:firstLine="0"/>
      </w:pPr>
      <w:r>
        <w:rPr>
          <w:rFonts w:hint="eastAsia"/>
        </w:rPr>
        <w:t>12.6因乙方原因导致甲方对外承担法律责任的，甲方有权向乙方追偿，追偿范围包括但不限于甲方损失以及甲方为此而支出的调查费、鉴定费、仲裁费、诉讼费、保全费、律师费及其他合理费用等</w:t>
      </w:r>
      <w:r>
        <w:rPr>
          <w:rFonts w:hint="eastAsia" w:cs="Arial"/>
        </w:rPr>
        <w:t>。</w:t>
      </w:r>
    </w:p>
    <w:p w14:paraId="40328113">
      <w:pPr>
        <w:pStyle w:val="14"/>
        <w:numPr>
          <w:ilvl w:val="0"/>
          <w:numId w:val="0"/>
        </w:numPr>
        <w:spacing w:before="249" w:after="249" w:line="240" w:lineRule="auto"/>
      </w:pPr>
      <w:r>
        <w:rPr>
          <w:rFonts w:hint="eastAsia"/>
        </w:rPr>
        <w:t>12.7甲方未按合同约定支付货款，乙方有权延期发货，如延迟付款超过10个工作日，再每延迟1个工作日须向乙方支付违约金</w:t>
      </w:r>
      <w:r>
        <w:rPr>
          <w:u w:val="single"/>
        </w:rPr>
        <w:t xml:space="preserve">   </w:t>
      </w:r>
      <w:r>
        <w:rPr>
          <w:rFonts w:hint="eastAsia"/>
          <w:u w:val="single"/>
        </w:rPr>
        <w:t>5000</w:t>
      </w:r>
      <w:r>
        <w:rPr>
          <w:u w:val="single"/>
        </w:rPr>
        <w:t xml:space="preserve">   </w:t>
      </w:r>
      <w:r>
        <w:rPr>
          <w:rFonts w:hint="eastAsia"/>
        </w:rPr>
        <w:t>元</w:t>
      </w:r>
      <w:r>
        <w:rPr>
          <w:rFonts w:hint="eastAsia"/>
          <w:color w:val="FF0000"/>
          <w:sz w:val="24"/>
          <w:szCs w:val="24"/>
          <w:highlight w:val="yellow"/>
        </w:rPr>
        <w:t>，违约金累计计算不应超过逾期未支付货款的</w:t>
      </w:r>
      <w:r>
        <w:rPr>
          <w:color w:val="FF0000"/>
          <w:sz w:val="24"/>
          <w:szCs w:val="24"/>
          <w:highlight w:val="yellow"/>
        </w:rPr>
        <w:t>5%</w:t>
      </w:r>
      <w:r>
        <w:rPr>
          <w:rFonts w:hint="eastAsia"/>
          <w:color w:val="FF0000"/>
          <w:sz w:val="24"/>
          <w:szCs w:val="24"/>
          <w:highlight w:val="yellow"/>
        </w:rPr>
        <w:t>。</w:t>
      </w:r>
    </w:p>
    <w:p w14:paraId="73C5CDA9">
      <w:pPr>
        <w:pStyle w:val="14"/>
        <w:numPr>
          <w:ilvl w:val="0"/>
          <w:numId w:val="0"/>
        </w:numPr>
        <w:spacing w:before="249" w:after="249" w:line="240" w:lineRule="auto"/>
        <w:ind w:left="964" w:hanging="964"/>
        <w:rPr>
          <w:b/>
        </w:rPr>
      </w:pPr>
      <w:r>
        <w:rPr>
          <w:rFonts w:hint="eastAsia"/>
          <w:b/>
        </w:rPr>
        <w:t xml:space="preserve">第13条 </w:t>
      </w:r>
      <w:r>
        <w:rPr>
          <w:b/>
        </w:rPr>
        <w:t>不可抗力</w:t>
      </w:r>
    </w:p>
    <w:p w14:paraId="50D0D09C">
      <w:pPr>
        <w:pStyle w:val="14"/>
        <w:numPr>
          <w:ilvl w:val="0"/>
          <w:numId w:val="0"/>
        </w:numPr>
        <w:spacing w:before="249" w:after="249" w:line="240" w:lineRule="auto"/>
      </w:pPr>
      <w:r>
        <w:rPr>
          <w:rFonts w:hint="eastAsia"/>
        </w:rPr>
        <w:t>13.1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14:paraId="1AF97F31">
      <w:pPr>
        <w:pStyle w:val="14"/>
        <w:numPr>
          <w:ilvl w:val="0"/>
          <w:numId w:val="0"/>
        </w:numPr>
        <w:spacing w:before="249" w:after="249" w:line="240" w:lineRule="auto"/>
      </w:pPr>
      <w:r>
        <w:rPr>
          <w:rFonts w:hint="eastAsia"/>
        </w:rPr>
        <w:t>13.2受到不可抗力影响的一方应在不可抗力事故发生后，尽快将所发生的不可抗力事件的情况通知另一方，并在</w:t>
      </w:r>
      <w:r>
        <w:rPr>
          <w:u w:val="single"/>
        </w:rPr>
        <w:t xml:space="preserve">  </w:t>
      </w:r>
      <w:r>
        <w:rPr>
          <w:rFonts w:hint="eastAsia"/>
          <w:u w:val="single"/>
        </w:rPr>
        <w:t>5</w:t>
      </w:r>
      <w:r>
        <w:rPr>
          <w:u w:val="single"/>
        </w:rPr>
        <w:t xml:space="preserve">  </w:t>
      </w:r>
      <w:r>
        <w:rPr>
          <w:rFonts w:hint="eastAsia"/>
        </w:rPr>
        <w:t>个工作日内将有关当局出具的证明文件提交给另一方审阅确认，受影响的一方同时应尽量设法缩小这种影响和由此而引起的延误，一旦不可抗力的影响消除后，应将此情况立即通知对方。</w:t>
      </w:r>
    </w:p>
    <w:p w14:paraId="61D89A21">
      <w:pPr>
        <w:pStyle w:val="14"/>
        <w:numPr>
          <w:ilvl w:val="0"/>
          <w:numId w:val="0"/>
        </w:numPr>
        <w:spacing w:before="249" w:after="249" w:line="240" w:lineRule="auto"/>
        <w:rPr>
          <w:b/>
        </w:rPr>
      </w:pPr>
      <w:r>
        <w:rPr>
          <w:rFonts w:hint="eastAsia"/>
        </w:rPr>
        <w:t>13.3如双方对不可抗力事件的影响估计将延续到</w:t>
      </w:r>
      <w:r>
        <w:rPr>
          <w:u w:val="single"/>
        </w:rPr>
        <w:t xml:space="preserve">  </w:t>
      </w:r>
      <w:r>
        <w:rPr>
          <w:rFonts w:hint="eastAsia"/>
          <w:u w:val="single"/>
        </w:rPr>
        <w:t>10</w:t>
      </w:r>
      <w:r>
        <w:rPr>
          <w:u w:val="single"/>
        </w:rPr>
        <w:t xml:space="preserve">  </w:t>
      </w:r>
      <w:r>
        <w:rPr>
          <w:rFonts w:hint="eastAsia"/>
        </w:rPr>
        <w:t>个工作日以上时，双方应通过友好协商解决本合同的执行问题（包括交货、安装、试运行和验收等问题）。</w:t>
      </w:r>
    </w:p>
    <w:p w14:paraId="283213A2">
      <w:pPr>
        <w:pStyle w:val="14"/>
        <w:numPr>
          <w:ilvl w:val="0"/>
          <w:numId w:val="0"/>
        </w:numPr>
        <w:spacing w:before="249" w:after="249" w:line="240" w:lineRule="auto"/>
        <w:ind w:left="964" w:hanging="964"/>
        <w:rPr>
          <w:b/>
        </w:rPr>
      </w:pPr>
      <w:r>
        <w:rPr>
          <w:rFonts w:hint="eastAsia"/>
          <w:b/>
        </w:rPr>
        <w:t>第14条 反商业贿赂</w:t>
      </w:r>
    </w:p>
    <w:p w14:paraId="5B523CC0">
      <w:pPr>
        <w:pStyle w:val="14"/>
        <w:numPr>
          <w:ilvl w:val="0"/>
          <w:numId w:val="0"/>
        </w:numPr>
        <w:spacing w:before="249" w:after="249" w:line="240" w:lineRule="auto"/>
        <w:ind w:left="964" w:hanging="964"/>
      </w:pPr>
      <w:r>
        <w:rPr>
          <w:rFonts w:hint="eastAsia"/>
        </w:rPr>
        <w:t>14.1双方同意反对不正当竞争，拒绝商业索贿、行贿、受贿。</w:t>
      </w:r>
    </w:p>
    <w:p w14:paraId="0CBC8DCF">
      <w:pPr>
        <w:pStyle w:val="14"/>
        <w:numPr>
          <w:ilvl w:val="0"/>
          <w:numId w:val="0"/>
        </w:numPr>
        <w:spacing w:before="249" w:after="249" w:line="240" w:lineRule="auto"/>
      </w:pPr>
      <w:r>
        <w:rPr>
          <w:rFonts w:hint="eastAsia"/>
        </w:rPr>
        <w:t>14.2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总金额</w:t>
      </w:r>
      <w:r>
        <w:rPr>
          <w:rFonts w:hint="eastAsia"/>
          <w:u w:val="single"/>
        </w:rPr>
        <w:t xml:space="preserve">  1   </w:t>
      </w:r>
      <w:r>
        <w:rPr>
          <w:rFonts w:hint="eastAsia"/>
        </w:rPr>
        <w:t>%作为违约金。</w:t>
      </w:r>
    </w:p>
    <w:p w14:paraId="02611A3F">
      <w:pPr>
        <w:pStyle w:val="14"/>
        <w:numPr>
          <w:ilvl w:val="0"/>
          <w:numId w:val="0"/>
        </w:numPr>
        <w:spacing w:before="249" w:after="249" w:line="240" w:lineRule="auto"/>
      </w:pPr>
      <w:r>
        <w:rPr>
          <w:rFonts w:hint="eastAsia"/>
        </w:rPr>
        <w:t>14.3本合同无论由于何原因终止，在双方决定不再合作的情况下，乙方如存在前述商业贿赂行为，仍应当承担相应违约责任。</w:t>
      </w:r>
    </w:p>
    <w:p w14:paraId="3AB6D4ED">
      <w:pPr>
        <w:pStyle w:val="14"/>
        <w:numPr>
          <w:ilvl w:val="0"/>
          <w:numId w:val="0"/>
        </w:numPr>
        <w:spacing w:before="249" w:after="249" w:line="240" w:lineRule="auto"/>
        <w:ind w:left="964" w:hanging="964"/>
        <w:rPr>
          <w:b/>
        </w:rPr>
      </w:pPr>
      <w:r>
        <w:rPr>
          <w:rFonts w:hint="eastAsia"/>
          <w:b/>
        </w:rPr>
        <w:t>第15条 保密条款</w:t>
      </w:r>
    </w:p>
    <w:p w14:paraId="25A99C0E">
      <w:pPr>
        <w:pStyle w:val="14"/>
        <w:numPr>
          <w:ilvl w:val="0"/>
          <w:numId w:val="0"/>
        </w:numPr>
        <w:spacing w:before="249" w:after="249" w:line="240" w:lineRule="auto"/>
      </w:pPr>
      <w:r>
        <w:rPr>
          <w:rFonts w:hint="eastAsia"/>
        </w:rPr>
        <w:t>15.1甲乙双方对在履行本合同过程中知悉的对方的商业秘密负有保密义务，但非因一方原因导致的公开或因司法程序的原因公开、政府机构的要求造成商业秘密公开的除外。</w:t>
      </w:r>
    </w:p>
    <w:p w14:paraId="63DDCE16">
      <w:pPr>
        <w:pStyle w:val="14"/>
        <w:numPr>
          <w:ilvl w:val="0"/>
          <w:numId w:val="0"/>
        </w:numPr>
        <w:spacing w:before="249" w:after="249" w:line="240" w:lineRule="auto"/>
      </w:pPr>
      <w:r>
        <w:rPr>
          <w:rFonts w:hint="eastAsia"/>
        </w:rPr>
        <w:t>15.2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14:paraId="658FB7BA">
      <w:pPr>
        <w:pStyle w:val="14"/>
        <w:numPr>
          <w:ilvl w:val="0"/>
          <w:numId w:val="0"/>
        </w:numPr>
        <w:spacing w:before="249" w:after="249" w:line="240" w:lineRule="auto"/>
      </w:pPr>
      <w:r>
        <w:rPr>
          <w:rFonts w:hint="eastAsia"/>
        </w:rPr>
        <w:t>15.3本合同无论由于何原因终止，在双方决定不再合作的情况下，双方仍应对知悉的商业秘密负有保密义务。保密期限至乙方收到甲方出具的书面解密通知之日止。</w:t>
      </w:r>
    </w:p>
    <w:p w14:paraId="2D90C701">
      <w:pPr>
        <w:pStyle w:val="14"/>
        <w:numPr>
          <w:ilvl w:val="0"/>
          <w:numId w:val="0"/>
        </w:numPr>
        <w:spacing w:before="249" w:after="249" w:line="240" w:lineRule="auto"/>
      </w:pPr>
      <w:r>
        <w:rPr>
          <w:rFonts w:hint="eastAsia"/>
        </w:rPr>
        <w:t>15.4任何一方未经对方事先书面允许，不得将保密信息用于本合同之外的目的、向第三方披露、使用、许可他人使用或以其他任何方式侵犯对方的商业秘密，否则，应向对方支付本合同价款总金额的</w:t>
      </w:r>
      <w:r>
        <w:rPr>
          <w:rFonts w:hint="eastAsia"/>
          <w:u w:val="single"/>
        </w:rPr>
        <w:t xml:space="preserve">   1  </w:t>
      </w:r>
      <w:r>
        <w:rPr>
          <w:rFonts w:hint="eastAsia"/>
        </w:rPr>
        <w:t>%作为违约金，责任方同时应负责消除影响。前述违约金不足以赔偿损失的，责任方应继续承担赔偿责任。</w:t>
      </w:r>
    </w:p>
    <w:p w14:paraId="5A76E560">
      <w:pPr>
        <w:pStyle w:val="14"/>
        <w:numPr>
          <w:ilvl w:val="0"/>
          <w:numId w:val="0"/>
        </w:numPr>
        <w:spacing w:before="249" w:after="249" w:line="240" w:lineRule="auto"/>
        <w:ind w:left="964" w:hanging="964"/>
      </w:pPr>
      <w:r>
        <w:rPr>
          <w:rFonts w:hint="eastAsia"/>
        </w:rPr>
        <w:t>15.5乙方在履行本合同过程中，应保守国家秘密义务，签订保密承诺。</w:t>
      </w:r>
    </w:p>
    <w:p w14:paraId="17BC816B">
      <w:pPr>
        <w:pStyle w:val="14"/>
        <w:numPr>
          <w:ilvl w:val="0"/>
          <w:numId w:val="0"/>
        </w:numPr>
        <w:spacing w:before="249" w:after="249" w:line="240" w:lineRule="auto"/>
        <w:ind w:left="964" w:hanging="964"/>
        <w:rPr>
          <w:b/>
        </w:rPr>
      </w:pPr>
      <w:r>
        <w:rPr>
          <w:rFonts w:hint="eastAsia"/>
          <w:b/>
        </w:rPr>
        <w:t xml:space="preserve">第16条 </w:t>
      </w:r>
      <w:r>
        <w:rPr>
          <w:b/>
        </w:rPr>
        <w:t>合同的变更</w:t>
      </w:r>
      <w:r>
        <w:rPr>
          <w:rFonts w:hint="eastAsia"/>
          <w:b/>
        </w:rPr>
        <w:t>、修改和补充</w:t>
      </w:r>
    </w:p>
    <w:p w14:paraId="3EA04E8F">
      <w:pPr>
        <w:pStyle w:val="14"/>
        <w:numPr>
          <w:ilvl w:val="0"/>
          <w:numId w:val="0"/>
        </w:numPr>
        <w:spacing w:before="249" w:after="249" w:line="240" w:lineRule="auto"/>
      </w:pPr>
      <w:r>
        <w:rPr>
          <w:rFonts w:hint="eastAsia"/>
        </w:rPr>
        <w:t>16.1本合同履行期内</w:t>
      </w:r>
      <w:r>
        <w:t>，对甲方订购的货物，乙方尚未组织采购、生产前，甲方需要取消</w:t>
      </w:r>
      <w:r>
        <w:rPr>
          <w:rFonts w:hint="eastAsia"/>
        </w:rPr>
        <w:t>采购</w:t>
      </w:r>
      <w:r>
        <w:t>或对货物</w:t>
      </w:r>
      <w:r>
        <w:rPr>
          <w:rFonts w:hint="eastAsia"/>
        </w:rPr>
        <w:t>数量</w:t>
      </w:r>
      <w:r>
        <w:t>予以变更的，乙方</w:t>
      </w:r>
      <w:r>
        <w:rPr>
          <w:rFonts w:hint="eastAsia"/>
        </w:rPr>
        <w:t>无条件</w:t>
      </w:r>
      <w:r>
        <w:t>同意并予以配合</w:t>
      </w:r>
      <w:r>
        <w:rPr>
          <w:rFonts w:hint="eastAsia"/>
        </w:rPr>
        <w:t>，</w:t>
      </w:r>
      <w:r>
        <w:t>甲方不承担因此可能给乙方造成的损失</w:t>
      </w:r>
      <w:r>
        <w:rPr>
          <w:rFonts w:hint="eastAsia"/>
        </w:rPr>
        <w:t>；</w:t>
      </w:r>
      <w:r>
        <w:t>乙方已组织采购、生产的，甲方需要取消</w:t>
      </w:r>
      <w:r>
        <w:rPr>
          <w:rFonts w:hint="eastAsia"/>
        </w:rPr>
        <w:t>采购</w:t>
      </w:r>
      <w:r>
        <w:t>或对货物</w:t>
      </w:r>
      <w:r>
        <w:rPr>
          <w:rFonts w:hint="eastAsia"/>
        </w:rPr>
        <w:t>数量</w:t>
      </w:r>
      <w:r>
        <w:t>予以变更的，甲方赔偿乙方因此所产生的直接损失，但对甲方的变更乙方应予接受</w:t>
      </w:r>
      <w:r>
        <w:rPr>
          <w:rFonts w:hint="eastAsia"/>
        </w:rPr>
        <w:t>。此外，乙方主张已组织采购、生产的，应按甲方要求提供相关证明材料，否则视为未开始组织采购、生产</w:t>
      </w:r>
      <w:r>
        <w:t>。</w:t>
      </w:r>
    </w:p>
    <w:p w14:paraId="04D830BD">
      <w:pPr>
        <w:pStyle w:val="14"/>
        <w:numPr>
          <w:ilvl w:val="0"/>
          <w:numId w:val="0"/>
        </w:numPr>
        <w:spacing w:before="249" w:after="249" w:line="240" w:lineRule="auto"/>
      </w:pPr>
      <w:r>
        <w:rPr>
          <w:rFonts w:hint="eastAsia"/>
        </w:rPr>
        <w:t>16.2合同（附件）中注明的原材料、供应商、规格、产地、牌号、数量由于乙方原因发生变更的，需事先书面提交甲方确认同意，对此而引起对交货期的延迟影响，由乙方承担责任。</w:t>
      </w:r>
    </w:p>
    <w:p w14:paraId="281168D4">
      <w:pPr>
        <w:pStyle w:val="14"/>
        <w:numPr>
          <w:ilvl w:val="0"/>
          <w:numId w:val="0"/>
        </w:numPr>
        <w:spacing w:before="249" w:after="249" w:line="240" w:lineRule="auto"/>
      </w:pPr>
      <w:r>
        <w:rPr>
          <w:rFonts w:hint="eastAsia"/>
        </w:rPr>
        <w:t>16.3</w:t>
      </w:r>
      <w:r>
        <w:t>无论乙方提供的货物是按合同约定的要求或根据现场情况双方协商变更以及甲方要求变更的，乙方均不免除对货物应承担的责任。</w:t>
      </w:r>
    </w:p>
    <w:p w14:paraId="029CCD30">
      <w:pPr>
        <w:pStyle w:val="14"/>
        <w:numPr>
          <w:ilvl w:val="0"/>
          <w:numId w:val="0"/>
        </w:numPr>
        <w:spacing w:before="249" w:after="249" w:line="240" w:lineRule="auto"/>
      </w:pPr>
      <w:r>
        <w:rPr>
          <w:rFonts w:hint="eastAsia"/>
        </w:rPr>
        <w:t>16.4</w:t>
      </w:r>
      <w:r>
        <w:t>在履行本合同的过程中如有未尽事宜，双方可以书面形式对本合同进行变更。附件、补充合同为本合同不可分割的一部分，与本合同具有同等法律效力。</w:t>
      </w:r>
    </w:p>
    <w:p w14:paraId="01C0EDF4">
      <w:pPr>
        <w:pStyle w:val="14"/>
        <w:numPr>
          <w:ilvl w:val="0"/>
          <w:numId w:val="0"/>
        </w:numPr>
        <w:spacing w:before="249" w:after="249" w:line="240" w:lineRule="auto"/>
        <w:ind w:left="964" w:hanging="964"/>
        <w:rPr>
          <w:b/>
        </w:rPr>
      </w:pPr>
      <w:r>
        <w:rPr>
          <w:rFonts w:hint="eastAsia"/>
          <w:b/>
        </w:rPr>
        <w:t xml:space="preserve">第17条 </w:t>
      </w:r>
      <w:r>
        <w:rPr>
          <w:b/>
        </w:rPr>
        <w:t>通知</w:t>
      </w:r>
    </w:p>
    <w:p w14:paraId="16BFA0B5">
      <w:pPr>
        <w:pStyle w:val="14"/>
        <w:numPr>
          <w:ilvl w:val="0"/>
          <w:numId w:val="0"/>
        </w:numPr>
        <w:spacing w:before="249" w:after="249" w:line="240" w:lineRule="auto"/>
      </w:pPr>
      <w:r>
        <w:rPr>
          <w:rFonts w:hint="eastAsia"/>
        </w:rPr>
        <w:t>17.1</w:t>
      </w:r>
      <w:r>
        <w:t>本合同项下双方的任何通知均应以书面方式做出，以专人送达、邮政特快专递（EMS）或</w:t>
      </w:r>
      <w:r>
        <w:rPr>
          <w:rFonts w:hint="eastAsia"/>
        </w:rPr>
        <w:t>电子邮件</w:t>
      </w:r>
      <w:r>
        <w:t>方式送达。如果本合同另有要求，每一份通知均应抄送给其他相关方。通知在下列日期视为送达被通知方：通知方取得的被通知方签收单所标示的日期</w:t>
      </w:r>
      <w:r>
        <w:rPr>
          <w:rFonts w:hint="eastAsia"/>
        </w:rPr>
        <w:t>或通知方发送电子邮件到达被通知方指定邮箱系统的日期。</w:t>
      </w:r>
    </w:p>
    <w:p w14:paraId="62DF1C7F">
      <w:pPr>
        <w:pStyle w:val="14"/>
        <w:numPr>
          <w:ilvl w:val="0"/>
          <w:numId w:val="0"/>
        </w:numPr>
        <w:spacing w:before="249" w:after="249" w:line="240" w:lineRule="auto"/>
      </w:pPr>
      <w:r>
        <w:rPr>
          <w:rFonts w:hint="eastAsia"/>
        </w:rPr>
        <w:t>17.2</w:t>
      </w:r>
      <w:r>
        <w:t>本合同项下的任何通知、报告或其他通信以及抄送给对方的副本，均应按本合同首页载明的</w:t>
      </w:r>
      <w:r>
        <w:rPr>
          <w:rFonts w:hint="eastAsia"/>
        </w:rPr>
        <w:t>注册</w:t>
      </w:r>
      <w:r>
        <w:t>地址、邮政编码、联系人、电话号码或双方根据本合同第1</w:t>
      </w:r>
      <w:r>
        <w:rPr>
          <w:rFonts w:hint="eastAsia"/>
        </w:rPr>
        <w:t>7</w:t>
      </w:r>
      <w:r>
        <w:t>.3条书面</w:t>
      </w:r>
      <w:r>
        <w:rPr>
          <w:rFonts w:hint="eastAsia"/>
        </w:rPr>
        <w:t>形式</w:t>
      </w:r>
      <w:r>
        <w:t>通知对方的通讯地址或联络方式送达对方。</w:t>
      </w:r>
    </w:p>
    <w:p w14:paraId="4057894B">
      <w:pPr>
        <w:pStyle w:val="14"/>
        <w:numPr>
          <w:ilvl w:val="0"/>
          <w:numId w:val="0"/>
        </w:numPr>
        <w:spacing w:before="249" w:after="249" w:line="240" w:lineRule="auto"/>
      </w:pPr>
      <w:r>
        <w:rPr>
          <w:rFonts w:hint="eastAsia"/>
        </w:rPr>
        <w:t>17.3</w:t>
      </w:r>
      <w:r>
        <w:t>一方通讯地址或联络方式发生变化，应自发生变化之日起15日内以书面形式通知对方。如果通讯地址或联络方式发生变化的一方未将有关变化及时通知对方，除非法律另有规定，该通讯地址或联络方式发生变化的一方应对由此而造成的影响和损失承担责任。</w:t>
      </w:r>
    </w:p>
    <w:p w14:paraId="672BA6E8">
      <w:pPr>
        <w:pStyle w:val="14"/>
        <w:numPr>
          <w:ilvl w:val="0"/>
          <w:numId w:val="0"/>
        </w:numPr>
        <w:spacing w:before="249" w:after="249" w:line="240" w:lineRule="auto"/>
      </w:pPr>
      <w:r>
        <w:rPr>
          <w:rFonts w:hint="eastAsia"/>
        </w:rPr>
        <w:t>17.4双方确认，双方发生争议后，若不能协商达成一致意见，按第19</w:t>
      </w:r>
      <w:r>
        <w:t>条</w:t>
      </w:r>
      <w:r>
        <w:rPr>
          <w:rFonts w:hint="eastAsia"/>
        </w:rPr>
        <w:t>约定的方式解决，人民法院或仲裁委员会按照17.2条或17.3条约定的方式进行送达的，双方不得提出异议。</w:t>
      </w:r>
    </w:p>
    <w:p w14:paraId="523EB798">
      <w:pPr>
        <w:pStyle w:val="14"/>
        <w:numPr>
          <w:ilvl w:val="0"/>
          <w:numId w:val="0"/>
        </w:numPr>
        <w:spacing w:before="249" w:after="249" w:line="240" w:lineRule="auto"/>
        <w:ind w:left="964" w:hanging="964"/>
        <w:rPr>
          <w:b/>
        </w:rPr>
      </w:pPr>
      <w:r>
        <w:rPr>
          <w:rFonts w:hint="eastAsia"/>
          <w:b/>
        </w:rPr>
        <w:t xml:space="preserve">第18条 </w:t>
      </w:r>
      <w:r>
        <w:rPr>
          <w:b/>
        </w:rPr>
        <w:t>法律适用</w:t>
      </w:r>
    </w:p>
    <w:p w14:paraId="07A71B38">
      <w:pPr>
        <w:pStyle w:val="14"/>
        <w:numPr>
          <w:ilvl w:val="0"/>
          <w:numId w:val="0"/>
        </w:numPr>
        <w:spacing w:before="249" w:after="249" w:line="240" w:lineRule="auto"/>
        <w:ind w:left="481" w:leftChars="229"/>
      </w:pPr>
      <w:r>
        <w:t>本合同的成立、生效、履行、解释、变更和终止等事项适用中华人民共和国的法律。</w:t>
      </w:r>
    </w:p>
    <w:p w14:paraId="62296ECB">
      <w:pPr>
        <w:pStyle w:val="14"/>
        <w:numPr>
          <w:ilvl w:val="0"/>
          <w:numId w:val="0"/>
        </w:numPr>
        <w:spacing w:before="249" w:after="249" w:line="240" w:lineRule="auto"/>
        <w:ind w:left="964" w:hanging="964"/>
        <w:rPr>
          <w:b/>
        </w:rPr>
      </w:pPr>
      <w:r>
        <w:rPr>
          <w:rFonts w:hint="eastAsia"/>
          <w:b/>
        </w:rPr>
        <w:t xml:space="preserve">第19条 </w:t>
      </w:r>
      <w:r>
        <w:rPr>
          <w:b/>
        </w:rPr>
        <w:t>争议解决</w:t>
      </w:r>
    </w:p>
    <w:p w14:paraId="30F91C0F">
      <w:pPr>
        <w:pStyle w:val="14"/>
        <w:numPr>
          <w:ilvl w:val="0"/>
          <w:numId w:val="0"/>
        </w:numPr>
        <w:spacing w:before="249" w:after="249" w:line="240" w:lineRule="auto"/>
      </w:pPr>
      <w:r>
        <w:rPr>
          <w:rFonts w:hint="eastAsia"/>
        </w:rPr>
        <w:t>19.1</w:t>
      </w:r>
      <w:r>
        <w:t>双方在履行本合同中发生的争议，由双方协商解决。协商不成的，任何一方均有权</w:t>
      </w:r>
      <w:r>
        <w:rPr>
          <w:rFonts w:hint="eastAsia"/>
        </w:rPr>
        <w:t>按以下第</w:t>
      </w:r>
      <w:r>
        <w:rPr>
          <w:rFonts w:hint="eastAsia"/>
          <w:u w:val="single"/>
        </w:rPr>
        <w:t xml:space="preserve">   （1）   种方式解决：</w:t>
      </w:r>
    </w:p>
    <w:p w14:paraId="21618D40">
      <w:pPr>
        <w:pStyle w:val="14"/>
        <w:numPr>
          <w:ilvl w:val="0"/>
          <w:numId w:val="0"/>
        </w:numPr>
        <w:spacing w:before="249" w:after="249" w:line="240" w:lineRule="auto"/>
        <w:ind w:left="958" w:leftChars="399" w:hanging="120" w:hangingChars="50"/>
      </w:pPr>
      <w:r>
        <w:rPr>
          <w:rFonts w:hint="eastAsia"/>
        </w:rPr>
        <w:t>（1）</w:t>
      </w:r>
      <w:r>
        <w:t>向__</w:t>
      </w:r>
      <w:r>
        <w:rPr>
          <w:rFonts w:hint="eastAsia"/>
          <w:u w:val="single"/>
        </w:rPr>
        <w:t>甲方所在地</w:t>
      </w:r>
      <w:r>
        <w:t>__人民法院</w:t>
      </w:r>
      <w:r>
        <w:rPr>
          <w:rFonts w:hint="eastAsia"/>
        </w:rPr>
        <w:t>提起诉讼</w:t>
      </w:r>
      <w:r>
        <w:t>。</w:t>
      </w:r>
      <w:r>
        <w:rPr>
          <w:rFonts w:hint="eastAsia"/>
        </w:rPr>
        <w:t>诉讼费由败诉方承担。</w:t>
      </w:r>
    </w:p>
    <w:p w14:paraId="1C443797">
      <w:pPr>
        <w:pStyle w:val="14"/>
        <w:numPr>
          <w:ilvl w:val="0"/>
          <w:numId w:val="0"/>
        </w:numPr>
        <w:tabs>
          <w:tab w:val="left" w:pos="993"/>
          <w:tab w:val="clear" w:pos="1080"/>
        </w:tabs>
        <w:spacing w:before="249" w:after="249" w:line="240" w:lineRule="auto"/>
        <w:ind w:left="964"/>
      </w:pPr>
      <w:r>
        <w:rPr>
          <w:rFonts w:hint="eastAsia"/>
        </w:rPr>
        <w:t>（2）</w:t>
      </w:r>
      <w:r>
        <w:t>提交</w:t>
      </w:r>
      <w:r>
        <w:rPr>
          <w:rFonts w:hint="eastAsia"/>
          <w:u w:val="single"/>
        </w:rPr>
        <w:t xml:space="preserve">       </w:t>
      </w:r>
      <w:r>
        <w:t>仲裁委员会进行仲裁。仲裁裁决</w:t>
      </w:r>
      <w:r>
        <w:rPr>
          <w:rFonts w:hint="eastAsia"/>
        </w:rPr>
        <w:t>是</w:t>
      </w:r>
      <w:r>
        <w:t>终局的，对双方均有约束力。仲裁费用由败诉方承担</w:t>
      </w:r>
      <w:r>
        <w:rPr>
          <w:rFonts w:hint="eastAsia"/>
        </w:rPr>
        <w:t>。</w:t>
      </w:r>
    </w:p>
    <w:p w14:paraId="589BFAA6">
      <w:pPr>
        <w:pStyle w:val="14"/>
        <w:numPr>
          <w:ilvl w:val="0"/>
          <w:numId w:val="0"/>
        </w:numPr>
        <w:spacing w:before="249" w:after="249" w:line="240" w:lineRule="auto"/>
      </w:pPr>
      <w:r>
        <w:rPr>
          <w:rFonts w:hint="eastAsia"/>
        </w:rPr>
        <w:t>19.2守约方为实现本合同权利而支出的包括并不限于公告费、保全费、保函费、律师费、评估费等一切费用由违约方承担。</w:t>
      </w:r>
    </w:p>
    <w:p w14:paraId="07B9466B">
      <w:pPr>
        <w:pStyle w:val="14"/>
        <w:numPr>
          <w:ilvl w:val="0"/>
          <w:numId w:val="0"/>
        </w:numPr>
        <w:spacing w:before="249" w:after="249" w:line="240" w:lineRule="auto"/>
      </w:pPr>
      <w:r>
        <w:rPr>
          <w:rFonts w:hint="eastAsia"/>
        </w:rPr>
        <w:t>19.3除因争议事项导致本合同完全不能履行或双方协商一致同意在争议解决期间中止合同履行，在争议解决期间，除争议事项外，双方应在其他一切方面继续履行本合同。</w:t>
      </w:r>
    </w:p>
    <w:p w14:paraId="553BC40D">
      <w:pPr>
        <w:pStyle w:val="14"/>
        <w:numPr>
          <w:ilvl w:val="0"/>
          <w:numId w:val="0"/>
        </w:numPr>
        <w:spacing w:before="249" w:after="249" w:line="240" w:lineRule="auto"/>
        <w:ind w:left="964" w:hanging="964"/>
        <w:rPr>
          <w:b/>
        </w:rPr>
      </w:pPr>
      <w:r>
        <w:rPr>
          <w:rFonts w:hint="eastAsia"/>
          <w:b/>
        </w:rPr>
        <w:t xml:space="preserve">第20条  </w:t>
      </w:r>
      <w:r>
        <w:rPr>
          <w:b/>
        </w:rPr>
        <w:t>合同生效</w:t>
      </w:r>
      <w:r>
        <w:rPr>
          <w:rFonts w:hint="eastAsia"/>
          <w:b/>
        </w:rPr>
        <w:t>和终止</w:t>
      </w:r>
    </w:p>
    <w:p w14:paraId="478E4DCF">
      <w:pPr>
        <w:pStyle w:val="14"/>
        <w:numPr>
          <w:ilvl w:val="0"/>
          <w:numId w:val="0"/>
        </w:numPr>
        <w:spacing w:before="249" w:after="249" w:line="240" w:lineRule="auto"/>
      </w:pPr>
      <w:r>
        <w:rPr>
          <w:rFonts w:hint="eastAsia"/>
        </w:rPr>
        <w:t>20.1</w:t>
      </w:r>
      <w:r>
        <w:t>本合同自双方</w:t>
      </w:r>
      <w:r>
        <w:rPr>
          <w:rFonts w:hint="eastAsia"/>
        </w:rPr>
        <w:t>法定代表人/授权代表</w:t>
      </w:r>
      <w:r>
        <w:t>签字</w:t>
      </w:r>
      <w:r>
        <w:rPr>
          <w:rFonts w:hint="eastAsia"/>
        </w:rPr>
        <w:t>/盖章</w:t>
      </w:r>
      <w:r>
        <w:t>并加盖公章</w:t>
      </w:r>
      <w:r>
        <w:rPr>
          <w:rFonts w:hint="eastAsia"/>
        </w:rPr>
        <w:t>或合同专用章</w:t>
      </w:r>
      <w:r>
        <w:t>之日起生效。双方签章日期不一致的，合同自最后一方签章之日起生效。若根据有关法律、行政法规的规定，本合同需办理登记或批准等手续后生效的，本合同在双方签章后，自相关手续完成之日起生效。</w:t>
      </w:r>
    </w:p>
    <w:p w14:paraId="52ED20FC">
      <w:pPr>
        <w:pStyle w:val="15"/>
        <w:tabs>
          <w:tab w:val="left" w:pos="1106"/>
          <w:tab w:val="clear" w:pos="964"/>
        </w:tabs>
        <w:spacing w:before="156" w:after="156" w:line="240" w:lineRule="auto"/>
        <w:ind w:left="0" w:firstLine="0"/>
      </w:pPr>
      <w:r>
        <w:rPr>
          <w:rFonts w:hint="eastAsia"/>
        </w:rPr>
        <w:t>20.2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14:paraId="3B787E43">
      <w:pPr>
        <w:pStyle w:val="14"/>
        <w:numPr>
          <w:ilvl w:val="0"/>
          <w:numId w:val="0"/>
        </w:numPr>
        <w:spacing w:before="249" w:after="249" w:line="240" w:lineRule="auto"/>
      </w:pPr>
      <w:r>
        <w:rPr>
          <w:rFonts w:hint="eastAsia"/>
        </w:rPr>
        <w:t>20.3本合同有效期从合同生效之日起到质保期满并理赔（如有）完毕货款两清之日止。部分条款对有效期限存在特殊约定的，按照相关条款约定执行。</w:t>
      </w:r>
    </w:p>
    <w:p w14:paraId="133F67A4">
      <w:pPr>
        <w:pStyle w:val="14"/>
        <w:numPr>
          <w:ilvl w:val="0"/>
          <w:numId w:val="0"/>
        </w:numPr>
        <w:spacing w:before="249" w:after="249" w:line="240" w:lineRule="auto"/>
        <w:ind w:left="964" w:hanging="964"/>
        <w:rPr>
          <w:b/>
        </w:rPr>
      </w:pPr>
      <w:r>
        <w:rPr>
          <w:rFonts w:hint="eastAsia"/>
          <w:b/>
        </w:rPr>
        <w:t xml:space="preserve">第21条 </w:t>
      </w:r>
      <w:r>
        <w:rPr>
          <w:b/>
        </w:rPr>
        <w:t>合同文本</w:t>
      </w:r>
    </w:p>
    <w:p w14:paraId="504FFDAD">
      <w:pPr>
        <w:pStyle w:val="14"/>
        <w:numPr>
          <w:ilvl w:val="0"/>
          <w:numId w:val="0"/>
        </w:numPr>
        <w:spacing w:before="249" w:after="249" w:line="240" w:lineRule="auto"/>
        <w:ind w:firstLine="240" w:firstLineChars="100"/>
        <w:rPr>
          <w:b/>
        </w:rPr>
      </w:pPr>
      <w:r>
        <w:t>本合同</w:t>
      </w:r>
      <w:r>
        <w:rPr>
          <w:rFonts w:hint="eastAsia"/>
        </w:rPr>
        <w:t>一</w:t>
      </w:r>
      <w:r>
        <w:t>式_</w:t>
      </w:r>
      <w:r>
        <w:rPr>
          <w:rFonts w:hint="eastAsia"/>
        </w:rPr>
        <w:t>柒</w:t>
      </w:r>
      <w:r>
        <w:t>_</w:t>
      </w:r>
      <w:r>
        <w:rPr>
          <w:rFonts w:hint="eastAsia"/>
          <w:u w:val="single"/>
        </w:rPr>
        <w:t xml:space="preserve"> </w:t>
      </w:r>
      <w:r>
        <w:t>份，</w:t>
      </w:r>
      <w:r>
        <w:rPr>
          <w:rFonts w:hint="eastAsia"/>
        </w:rPr>
        <w:t>甲方</w:t>
      </w:r>
      <w:r>
        <w:t>持__</w:t>
      </w:r>
      <w:r>
        <w:rPr>
          <w:rFonts w:hint="eastAsia"/>
        </w:rPr>
        <w:t>肆</w:t>
      </w:r>
      <w:r>
        <w:rPr>
          <w:rFonts w:hint="eastAsia"/>
          <w:u w:val="single"/>
        </w:rPr>
        <w:t xml:space="preserve"> </w:t>
      </w:r>
      <w:r>
        <w:t>份，</w:t>
      </w:r>
      <w:r>
        <w:rPr>
          <w:rFonts w:hint="eastAsia"/>
        </w:rPr>
        <w:t>乙方</w:t>
      </w:r>
      <w:r>
        <w:t>持_</w:t>
      </w:r>
      <w:r>
        <w:rPr>
          <w:rFonts w:hint="eastAsia"/>
        </w:rPr>
        <w:t>叁</w:t>
      </w:r>
      <w:r>
        <w:t>_</w:t>
      </w:r>
      <w:r>
        <w:rPr>
          <w:rFonts w:hint="eastAsia"/>
          <w:u w:val="single"/>
        </w:rPr>
        <w:t xml:space="preserve"> </w:t>
      </w:r>
      <w:r>
        <w:t>份</w:t>
      </w:r>
      <w:r>
        <w:rPr>
          <w:rFonts w:hint="eastAsia"/>
        </w:rPr>
        <w:t>，</w:t>
      </w:r>
      <w:r>
        <w:t>各份合同均具有同等法律效力。</w:t>
      </w:r>
    </w:p>
    <w:p w14:paraId="58A3FED2">
      <w:pPr>
        <w:pStyle w:val="14"/>
        <w:numPr>
          <w:ilvl w:val="0"/>
          <w:numId w:val="0"/>
        </w:numPr>
        <w:spacing w:before="249" w:after="249" w:line="240" w:lineRule="auto"/>
        <w:ind w:left="964" w:hanging="964"/>
        <w:rPr>
          <w:b/>
        </w:rPr>
      </w:pPr>
      <w:r>
        <w:rPr>
          <w:rFonts w:hint="eastAsia"/>
          <w:b/>
        </w:rPr>
        <w:t>第22条 合同文件构成</w:t>
      </w:r>
    </w:p>
    <w:p w14:paraId="050C36F0">
      <w:pPr>
        <w:pStyle w:val="14"/>
        <w:numPr>
          <w:ilvl w:val="0"/>
          <w:numId w:val="0"/>
        </w:numPr>
        <w:spacing w:before="249" w:after="249" w:line="240" w:lineRule="auto"/>
        <w:ind w:left="964" w:hanging="964"/>
      </w:pPr>
      <w:r>
        <w:rPr>
          <w:rFonts w:hint="eastAsia"/>
        </w:rPr>
        <w:t>22.1</w:t>
      </w:r>
      <w:r>
        <w:t>除本合同另有约定外，解释合同文件的优先顺序如下：</w:t>
      </w:r>
    </w:p>
    <w:p w14:paraId="639B9181">
      <w:pPr>
        <w:numPr>
          <w:ilvl w:val="255"/>
          <w:numId w:val="0"/>
        </w:numPr>
        <w:rPr>
          <w:rFonts w:cs="Arial"/>
          <w:sz w:val="24"/>
        </w:rPr>
      </w:pPr>
      <w:r>
        <w:rPr>
          <w:rFonts w:hint="eastAsia" w:cs="Arial"/>
          <w:sz w:val="24"/>
        </w:rPr>
        <w:t>（1）</w:t>
      </w:r>
      <w:r>
        <w:rPr>
          <w:rFonts w:cs="Arial"/>
          <w:sz w:val="24"/>
        </w:rPr>
        <w:t>本合同及其附件/合同协议书；</w:t>
      </w:r>
    </w:p>
    <w:p w14:paraId="5F310FF0">
      <w:pPr>
        <w:numPr>
          <w:ilvl w:val="255"/>
          <w:numId w:val="0"/>
        </w:numPr>
        <w:rPr>
          <w:rFonts w:cs="Arial"/>
          <w:sz w:val="24"/>
        </w:rPr>
      </w:pPr>
      <w:r>
        <w:rPr>
          <w:rFonts w:cs="Arial"/>
          <w:sz w:val="24"/>
        </w:rPr>
        <w:t>（</w:t>
      </w:r>
      <w:r>
        <w:rPr>
          <w:rFonts w:hint="eastAsia" w:cs="Arial"/>
          <w:sz w:val="24"/>
        </w:rPr>
        <w:t>2</w:t>
      </w:r>
      <w:r>
        <w:rPr>
          <w:rFonts w:cs="Arial"/>
          <w:sz w:val="24"/>
        </w:rPr>
        <w:t>）中标通知书；</w:t>
      </w:r>
    </w:p>
    <w:p w14:paraId="1167B942">
      <w:pPr>
        <w:numPr>
          <w:ilvl w:val="255"/>
          <w:numId w:val="0"/>
        </w:numPr>
        <w:rPr>
          <w:rFonts w:cs="Arial"/>
          <w:sz w:val="24"/>
        </w:rPr>
      </w:pPr>
      <w:r>
        <w:rPr>
          <w:rFonts w:cs="Arial"/>
          <w:sz w:val="24"/>
        </w:rPr>
        <w:t>（</w:t>
      </w:r>
      <w:r>
        <w:rPr>
          <w:rFonts w:hint="eastAsia" w:cs="Arial"/>
          <w:sz w:val="24"/>
        </w:rPr>
        <w:t>3</w:t>
      </w:r>
      <w:r>
        <w:rPr>
          <w:rFonts w:cs="Arial"/>
          <w:sz w:val="24"/>
        </w:rPr>
        <w:t>）投标文件及其附件（含评标期间的澄清文件和补充材料等）；</w:t>
      </w:r>
    </w:p>
    <w:p w14:paraId="5CCCB249">
      <w:pPr>
        <w:numPr>
          <w:ilvl w:val="255"/>
          <w:numId w:val="0"/>
        </w:numPr>
        <w:rPr>
          <w:rFonts w:cs="Arial"/>
          <w:sz w:val="24"/>
        </w:rPr>
      </w:pPr>
      <w:r>
        <w:rPr>
          <w:rFonts w:cs="Arial"/>
          <w:sz w:val="24"/>
        </w:rPr>
        <w:t>（</w:t>
      </w:r>
      <w:r>
        <w:rPr>
          <w:rFonts w:hint="eastAsia" w:cs="Arial"/>
          <w:sz w:val="24"/>
        </w:rPr>
        <w:t>4</w:t>
      </w:r>
      <w:r>
        <w:rPr>
          <w:rFonts w:cs="Arial"/>
          <w:sz w:val="24"/>
        </w:rPr>
        <w:t>）招标文件及其附件（含招标答疑等）；</w:t>
      </w:r>
    </w:p>
    <w:p w14:paraId="121AEF68">
      <w:pPr>
        <w:numPr>
          <w:ilvl w:val="255"/>
          <w:numId w:val="0"/>
        </w:numPr>
        <w:rPr>
          <w:rFonts w:cs="Arial"/>
          <w:sz w:val="24"/>
        </w:rPr>
      </w:pPr>
      <w:r>
        <w:rPr>
          <w:rFonts w:hint="eastAsia" w:cs="Arial"/>
          <w:sz w:val="24"/>
        </w:rPr>
        <w:t>（5）质量和验收标准</w:t>
      </w:r>
      <w:r>
        <w:rPr>
          <w:rFonts w:cs="Arial"/>
          <w:sz w:val="24"/>
        </w:rPr>
        <w:t>；</w:t>
      </w:r>
    </w:p>
    <w:p w14:paraId="38312512">
      <w:pPr>
        <w:numPr>
          <w:ilvl w:val="255"/>
          <w:numId w:val="0"/>
        </w:numPr>
      </w:pPr>
      <w:r>
        <w:rPr>
          <w:rFonts w:hint="eastAsia" w:cs="Arial"/>
          <w:sz w:val="24"/>
        </w:rPr>
        <w:t>（6）第三方出具的产品检测证书；</w:t>
      </w:r>
    </w:p>
    <w:p w14:paraId="26099952">
      <w:pPr>
        <w:numPr>
          <w:ilvl w:val="255"/>
          <w:numId w:val="0"/>
        </w:numPr>
        <w:rPr>
          <w:rFonts w:cs="Arial"/>
          <w:sz w:val="24"/>
        </w:rPr>
      </w:pPr>
      <w:r>
        <w:rPr>
          <w:rFonts w:cs="Arial"/>
          <w:sz w:val="24"/>
        </w:rPr>
        <w:t>（</w:t>
      </w:r>
      <w:r>
        <w:rPr>
          <w:rFonts w:hint="eastAsia" w:cs="Arial"/>
          <w:sz w:val="24"/>
        </w:rPr>
        <w:t>7</w:t>
      </w:r>
      <w:r>
        <w:rPr>
          <w:rFonts w:cs="Arial"/>
          <w:sz w:val="24"/>
        </w:rPr>
        <w:t>）技术标准和要求</w:t>
      </w:r>
      <w:r>
        <w:rPr>
          <w:rFonts w:hint="eastAsia" w:cs="Arial"/>
          <w:sz w:val="24"/>
        </w:rPr>
        <w:t>、</w:t>
      </w:r>
      <w:r>
        <w:rPr>
          <w:rFonts w:cs="Arial"/>
          <w:sz w:val="24"/>
        </w:rPr>
        <w:t>图纸；</w:t>
      </w:r>
    </w:p>
    <w:p w14:paraId="6268D2E6">
      <w:pPr>
        <w:numPr>
          <w:ilvl w:val="255"/>
          <w:numId w:val="0"/>
        </w:numPr>
        <w:rPr>
          <w:rFonts w:cs="Arial"/>
          <w:sz w:val="24"/>
        </w:rPr>
      </w:pPr>
      <w:r>
        <w:rPr>
          <w:rFonts w:cs="Arial"/>
          <w:sz w:val="24"/>
        </w:rPr>
        <w:t>（</w:t>
      </w:r>
      <w:r>
        <w:rPr>
          <w:rFonts w:hint="eastAsia" w:cs="Arial"/>
          <w:sz w:val="24"/>
        </w:rPr>
        <w:t>8</w:t>
      </w:r>
      <w:r>
        <w:rPr>
          <w:rFonts w:cs="Arial"/>
          <w:sz w:val="24"/>
        </w:rPr>
        <w:t>）</w:t>
      </w:r>
      <w:r>
        <w:rPr>
          <w:rFonts w:hint="eastAsia" w:cs="Arial"/>
          <w:sz w:val="24"/>
        </w:rPr>
        <w:t>质量保证及售后服务承诺书</w:t>
      </w:r>
      <w:r>
        <w:rPr>
          <w:rFonts w:cs="Arial"/>
          <w:sz w:val="24"/>
        </w:rPr>
        <w:t>；</w:t>
      </w:r>
    </w:p>
    <w:p w14:paraId="486F7145">
      <w:pPr>
        <w:pStyle w:val="16"/>
        <w:numPr>
          <w:ilvl w:val="0"/>
          <w:numId w:val="3"/>
        </w:numPr>
        <w:ind w:firstLineChars="0"/>
        <w:rPr>
          <w:rFonts w:cs="Arial"/>
          <w:sz w:val="24"/>
        </w:rPr>
      </w:pPr>
      <w:r>
        <w:rPr>
          <w:rFonts w:hint="eastAsia" w:cs="Arial"/>
          <w:sz w:val="24"/>
        </w:rPr>
        <w:t>经双方确认进入本合同的</w:t>
      </w:r>
      <w:r>
        <w:rPr>
          <w:rFonts w:cs="Arial"/>
          <w:sz w:val="24"/>
        </w:rPr>
        <w:t>其他文件。</w:t>
      </w:r>
    </w:p>
    <w:p w14:paraId="35F9085D">
      <w:pPr>
        <w:pStyle w:val="14"/>
        <w:numPr>
          <w:ilvl w:val="0"/>
          <w:numId w:val="0"/>
        </w:numPr>
        <w:spacing w:before="249" w:after="249" w:line="240" w:lineRule="auto"/>
      </w:pPr>
      <w:r>
        <w:rPr>
          <w:rFonts w:hint="eastAsia"/>
        </w:rPr>
        <w:t>22.2</w:t>
      </w:r>
      <w:r>
        <w:t>上述各项合同文件包括合同当事人就该项合同文件所作出的补充和修改，属于同一类内容的文件，应以最新签署的为准。</w:t>
      </w:r>
    </w:p>
    <w:p w14:paraId="6781737A">
      <w:pPr>
        <w:pStyle w:val="14"/>
        <w:numPr>
          <w:ilvl w:val="0"/>
          <w:numId w:val="0"/>
        </w:numPr>
        <w:spacing w:before="249" w:after="249" w:line="240" w:lineRule="auto"/>
      </w:pPr>
      <w:r>
        <w:rPr>
          <w:rFonts w:hint="eastAsia"/>
        </w:rPr>
        <w:t>22.3</w:t>
      </w:r>
      <w:r>
        <w:t>在合同订立及履行过程中形成的与合同有关的文件均构成合同文件组成部分，并根据其性质确定优先解释顺序。</w:t>
      </w:r>
    </w:p>
    <w:p w14:paraId="663840EE">
      <w:pPr>
        <w:pStyle w:val="14"/>
        <w:numPr>
          <w:ilvl w:val="0"/>
          <w:numId w:val="0"/>
        </w:numPr>
        <w:spacing w:before="249" w:after="249" w:line="240" w:lineRule="auto"/>
        <w:ind w:left="964" w:hanging="964"/>
        <w:rPr>
          <w:b/>
        </w:rPr>
      </w:pPr>
      <w:r>
        <w:rPr>
          <w:rFonts w:hint="eastAsia"/>
          <w:b/>
        </w:rPr>
        <w:t xml:space="preserve">第23条 </w:t>
      </w:r>
      <w:r>
        <w:rPr>
          <w:b/>
        </w:rPr>
        <w:t>其他事项</w:t>
      </w:r>
    </w:p>
    <w:p w14:paraId="0DC0696D">
      <w:pPr>
        <w:pStyle w:val="14"/>
        <w:numPr>
          <w:ilvl w:val="0"/>
          <w:numId w:val="0"/>
        </w:numPr>
        <w:spacing w:before="249" w:after="249" w:line="240" w:lineRule="auto"/>
      </w:pPr>
      <w:r>
        <w:rPr>
          <w:rFonts w:hint="eastAsia"/>
        </w:rPr>
        <w:t>23.1</w:t>
      </w:r>
      <w:r>
        <w:t>本合同签署前形成的与本次交易相关的任何协议、合同或承诺如与本合同相冲突，均应以本合同为准。</w:t>
      </w:r>
    </w:p>
    <w:p w14:paraId="24BFB6FD">
      <w:pPr>
        <w:pStyle w:val="14"/>
        <w:numPr>
          <w:ilvl w:val="0"/>
          <w:numId w:val="0"/>
        </w:numPr>
        <w:spacing w:before="249" w:after="249" w:line="240" w:lineRule="auto"/>
      </w:pPr>
      <w:r>
        <w:rPr>
          <w:rFonts w:hint="eastAsia"/>
        </w:rPr>
        <w:t>23.2</w:t>
      </w:r>
      <w: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14:paraId="4C0F370F">
      <w:pPr>
        <w:pStyle w:val="14"/>
        <w:numPr>
          <w:ilvl w:val="0"/>
          <w:numId w:val="0"/>
        </w:numPr>
        <w:spacing w:before="249" w:after="249" w:line="240" w:lineRule="auto"/>
      </w:pPr>
      <w:r>
        <w:rPr>
          <w:rFonts w:hint="eastAsia"/>
        </w:rPr>
        <w:t>23.3</w:t>
      </w:r>
      <w:r>
        <w:t>本合同中所有条款的标题仅为查阅方便，在任何情况下均不得被解释为本合同之组成部分，或构成对其所指示之条款的限制。</w:t>
      </w:r>
    </w:p>
    <w:p w14:paraId="752C30F0">
      <w:pPr>
        <w:pStyle w:val="14"/>
        <w:numPr>
          <w:ilvl w:val="0"/>
          <w:numId w:val="0"/>
        </w:numPr>
        <w:spacing w:before="249" w:after="249" w:line="240" w:lineRule="auto"/>
        <w:ind w:left="964" w:hanging="964"/>
      </w:pPr>
      <w:r>
        <w:rPr>
          <w:rFonts w:hint="eastAsia"/>
        </w:rPr>
        <w:t>23.4</w:t>
      </w:r>
      <w:r>
        <w:t>本合同所填金额大小写不一致的，以大写金额为准。</w:t>
      </w:r>
    </w:p>
    <w:p w14:paraId="682A9171">
      <w:pPr>
        <w:pStyle w:val="14"/>
        <w:numPr>
          <w:ilvl w:val="0"/>
          <w:numId w:val="0"/>
        </w:numPr>
        <w:spacing w:before="249" w:after="249" w:line="240" w:lineRule="auto"/>
      </w:pPr>
      <w:r>
        <w:rPr>
          <w:rFonts w:hint="eastAsia"/>
        </w:rPr>
        <w:t>附件：</w:t>
      </w:r>
    </w:p>
    <w:p w14:paraId="5832AA95">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1.</w:t>
      </w:r>
      <w:r>
        <w:rPr>
          <w:rFonts w:hint="eastAsia" w:asciiTheme="minorEastAsia" w:hAnsiTheme="minorEastAsia"/>
          <w:u w:val="single"/>
        </w:rPr>
        <w:t xml:space="preserve"> 货物清单                            </w:t>
      </w:r>
    </w:p>
    <w:p w14:paraId="66C21EF3">
      <w:pPr>
        <w:pStyle w:val="14"/>
        <w:numPr>
          <w:ilvl w:val="0"/>
          <w:numId w:val="0"/>
        </w:numPr>
        <w:spacing w:before="249" w:after="249" w:line="240" w:lineRule="auto"/>
        <w:rPr>
          <w:rFonts w:asciiTheme="minorEastAsia" w:hAnsiTheme="minorEastAsia"/>
        </w:rPr>
      </w:pPr>
      <w:r>
        <w:rPr>
          <w:rFonts w:hint="eastAsia" w:asciiTheme="minorEastAsia" w:hAnsiTheme="minorEastAsia"/>
        </w:rPr>
        <w:t>2.</w:t>
      </w:r>
      <w:r>
        <w:rPr>
          <w:rFonts w:hint="eastAsia" w:asciiTheme="minorEastAsia" w:hAnsiTheme="minorEastAsia"/>
          <w:u w:val="single"/>
        </w:rPr>
        <w:t xml:space="preserve"> 技术要求                            </w:t>
      </w:r>
    </w:p>
    <w:p w14:paraId="609DB72E">
      <w:pPr>
        <w:pStyle w:val="14"/>
        <w:numPr>
          <w:ilvl w:val="0"/>
          <w:numId w:val="0"/>
        </w:numPr>
        <w:tabs>
          <w:tab w:val="left" w:pos="0"/>
          <w:tab w:val="clear" w:pos="964"/>
          <w:tab w:val="clear" w:pos="1080"/>
        </w:tabs>
        <w:spacing w:before="249" w:after="249" w:line="240" w:lineRule="auto"/>
        <w:rPr>
          <w:rFonts w:asciiTheme="minorEastAsia" w:hAnsiTheme="minorEastAsia"/>
        </w:rPr>
      </w:pPr>
      <w:r>
        <w:rPr>
          <w:rFonts w:hint="eastAsia" w:asciiTheme="minorEastAsia" w:hAnsiTheme="minorEastAsia"/>
        </w:rPr>
        <w:t>3.</w:t>
      </w:r>
      <w:r>
        <w:rPr>
          <w:rFonts w:hint="eastAsia" w:asciiTheme="minorEastAsia" w:hAnsiTheme="minorEastAsia"/>
          <w:u w:val="single"/>
        </w:rPr>
        <w:t xml:space="preserve">低碳钢带试制带材质量验证管理办法     </w:t>
      </w:r>
    </w:p>
    <w:p w14:paraId="0BE59F66">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4.</w:t>
      </w:r>
      <w:r>
        <w:rPr>
          <w:rFonts w:hint="eastAsia" w:asciiTheme="minorEastAsia" w:hAnsiTheme="minorEastAsia"/>
          <w:u w:val="single"/>
        </w:rPr>
        <w:t xml:space="preserve">履约验收方案                         </w:t>
      </w:r>
    </w:p>
    <w:p w14:paraId="0BFAA874">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5.</w:t>
      </w:r>
      <w:r>
        <w:rPr>
          <w:rFonts w:hint="eastAsia" w:asciiTheme="minorEastAsia" w:hAnsiTheme="minorEastAsia"/>
          <w:u w:val="single"/>
        </w:rPr>
        <w:t xml:space="preserve">保密承诺书                           </w:t>
      </w:r>
    </w:p>
    <w:p w14:paraId="5B7DB2BE">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6.</w:t>
      </w:r>
      <w:r>
        <w:rPr>
          <w:rFonts w:hint="eastAsia" w:asciiTheme="minorEastAsia" w:hAnsiTheme="minorEastAsia"/>
          <w:u w:val="single"/>
        </w:rPr>
        <w:t xml:space="preserve">廉洁责任保证书                       </w:t>
      </w:r>
    </w:p>
    <w:p w14:paraId="7E3148E4">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7.</w:t>
      </w:r>
      <w:r>
        <w:rPr>
          <w:rFonts w:hint="eastAsia" w:asciiTheme="minorEastAsia" w:hAnsiTheme="minorEastAsia"/>
          <w:u w:val="single"/>
        </w:rPr>
        <w:t xml:space="preserve">质量保证承诺书                       </w:t>
      </w:r>
    </w:p>
    <w:p w14:paraId="7E53425A">
      <w:pPr>
        <w:pStyle w:val="14"/>
        <w:numPr>
          <w:ilvl w:val="0"/>
          <w:numId w:val="0"/>
        </w:numPr>
        <w:spacing w:before="249" w:after="249" w:line="240" w:lineRule="auto"/>
        <w:rPr>
          <w:rFonts w:asciiTheme="minorEastAsia" w:hAnsiTheme="minorEastAsia"/>
          <w:u w:val="single"/>
        </w:rPr>
      </w:pPr>
      <w:r>
        <w:rPr>
          <w:rFonts w:hint="eastAsia" w:asciiTheme="minorEastAsia" w:hAnsiTheme="minorEastAsia"/>
        </w:rPr>
        <w:t>8.</w:t>
      </w:r>
      <w:r>
        <w:rPr>
          <w:rFonts w:hint="eastAsia" w:asciiTheme="minorEastAsia" w:hAnsiTheme="minorEastAsia"/>
          <w:u w:val="single"/>
        </w:rPr>
        <w:t xml:space="preserve">廉洁交往告知书                       </w:t>
      </w:r>
    </w:p>
    <w:p w14:paraId="14FF3AC8">
      <w:pPr>
        <w:pStyle w:val="14"/>
        <w:numPr>
          <w:ilvl w:val="0"/>
          <w:numId w:val="0"/>
        </w:numPr>
        <w:spacing w:before="249" w:after="249" w:line="240" w:lineRule="auto"/>
        <w:rPr>
          <w:u w:val="single"/>
        </w:rPr>
      </w:pPr>
    </w:p>
    <w:p w14:paraId="027A5278">
      <w:pPr>
        <w:pStyle w:val="14"/>
        <w:numPr>
          <w:ilvl w:val="0"/>
          <w:numId w:val="0"/>
        </w:numPr>
        <w:spacing w:before="249" w:after="249" w:line="240" w:lineRule="auto"/>
      </w:pPr>
      <w:r>
        <w:rPr>
          <w:rFonts w:hint="eastAsia"/>
        </w:rPr>
        <w:t>（以下无正文）</w:t>
      </w:r>
    </w:p>
    <w:p w14:paraId="0395F113">
      <w:pPr>
        <w:widowControl/>
        <w:jc w:val="left"/>
        <w:rPr>
          <w:sz w:val="24"/>
        </w:rPr>
      </w:pPr>
      <w:r>
        <w:rPr>
          <w:sz w:val="24"/>
        </w:rPr>
        <w:br w:type="page"/>
      </w:r>
    </w:p>
    <w:p w14:paraId="0716DFB4">
      <w:pPr>
        <w:pStyle w:val="2"/>
        <w:spacing w:before="156" w:after="156"/>
        <w:ind w:left="945" w:hanging="945"/>
        <w:rPr>
          <w:sz w:val="24"/>
          <w:lang w:eastAsia="zh-CN"/>
        </w:rPr>
      </w:pPr>
      <w:r>
        <w:rPr>
          <w:rFonts w:hint="eastAsia"/>
          <w:sz w:val="24"/>
          <w:lang w:eastAsia="zh-CN"/>
        </w:rPr>
        <w:t>（本页为签字页，无正文）</w:t>
      </w:r>
    </w:p>
    <w:tbl>
      <w:tblPr>
        <w:tblStyle w:val="10"/>
        <w:tblW w:w="86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2"/>
        <w:gridCol w:w="3997"/>
      </w:tblGrid>
      <w:tr w14:paraId="1D96F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4EF42DB1">
            <w:pPr>
              <w:spacing w:beforeLines="80" w:afterLines="80"/>
              <w:ind w:left="1077" w:hanging="1077"/>
              <w:rPr>
                <w:rFonts w:cs="Arial"/>
                <w:sz w:val="24"/>
              </w:rPr>
            </w:pPr>
            <w:r>
              <w:rPr>
                <w:rFonts w:cs="Arial"/>
                <w:b/>
                <w:sz w:val="24"/>
              </w:rPr>
              <w:t>甲方</w:t>
            </w:r>
            <w:r>
              <w:rPr>
                <w:rFonts w:cs="Arial"/>
                <w:sz w:val="24"/>
              </w:rPr>
              <w:t>（盖章）：</w:t>
            </w:r>
          </w:p>
        </w:tc>
        <w:tc>
          <w:tcPr>
            <w:tcW w:w="3997" w:type="dxa"/>
          </w:tcPr>
          <w:p w14:paraId="5F07C00B">
            <w:pPr>
              <w:spacing w:beforeLines="80" w:afterLines="80"/>
              <w:ind w:left="1077" w:hanging="1077"/>
              <w:rPr>
                <w:rFonts w:cs="Arial"/>
                <w:sz w:val="24"/>
              </w:rPr>
            </w:pPr>
            <w:r>
              <w:rPr>
                <w:rFonts w:hint="eastAsia" w:cs="Arial"/>
                <w:b/>
                <w:sz w:val="24"/>
              </w:rPr>
              <w:t>乙</w:t>
            </w:r>
            <w:r>
              <w:rPr>
                <w:rFonts w:cs="Arial"/>
                <w:b/>
                <w:sz w:val="24"/>
              </w:rPr>
              <w:t>方</w:t>
            </w:r>
            <w:r>
              <w:rPr>
                <w:rFonts w:cs="Arial"/>
                <w:sz w:val="24"/>
              </w:rPr>
              <w:t>（盖章）：</w:t>
            </w:r>
          </w:p>
        </w:tc>
      </w:tr>
      <w:tr w14:paraId="6E7B0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13ABE8DA">
            <w:pPr>
              <w:spacing w:beforeLines="80" w:afterLines="80"/>
              <w:ind w:left="1077" w:hanging="1077"/>
              <w:rPr>
                <w:rFonts w:cs="Arial"/>
                <w:b/>
                <w:sz w:val="24"/>
              </w:rPr>
            </w:pPr>
          </w:p>
        </w:tc>
        <w:tc>
          <w:tcPr>
            <w:tcW w:w="3997" w:type="dxa"/>
          </w:tcPr>
          <w:p w14:paraId="59C95C26">
            <w:pPr>
              <w:keepNext w:val="0"/>
              <w:keepLines w:val="0"/>
              <w:spacing w:beforeLines="80" w:afterLines="80" w:line="240" w:lineRule="auto"/>
              <w:ind w:left="1077" w:hanging="1077"/>
              <w:rPr>
                <w:rFonts w:cs="Arial"/>
                <w:b/>
                <w:bCs/>
                <w:sz w:val="24"/>
              </w:rPr>
            </w:pPr>
          </w:p>
        </w:tc>
      </w:tr>
      <w:tr w14:paraId="651FE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63CB57CF">
            <w:pPr>
              <w:spacing w:beforeLines="80" w:afterLines="80"/>
              <w:ind w:left="1077" w:hanging="1077"/>
              <w:jc w:val="left"/>
              <w:rPr>
                <w:rFonts w:cs="Arial"/>
                <w:sz w:val="24"/>
              </w:rPr>
            </w:pPr>
            <w:r>
              <w:rPr>
                <w:rFonts w:cs="Arial"/>
                <w:sz w:val="24"/>
              </w:rPr>
              <w:t>法定代表人</w:t>
            </w:r>
            <w:r>
              <w:rPr>
                <w:rFonts w:hint="eastAsia" w:cs="Arial"/>
                <w:sz w:val="24"/>
              </w:rPr>
              <w:t>/</w:t>
            </w:r>
            <w:r>
              <w:rPr>
                <w:rFonts w:cs="Arial"/>
                <w:sz w:val="24"/>
              </w:rPr>
              <w:t>授权代表</w:t>
            </w:r>
            <w:r>
              <w:rPr>
                <w:rFonts w:hint="eastAsia" w:cs="Arial"/>
                <w:sz w:val="24"/>
              </w:rPr>
              <w:t>（</w:t>
            </w:r>
            <w:r>
              <w:rPr>
                <w:rFonts w:cs="Arial"/>
                <w:sz w:val="24"/>
              </w:rPr>
              <w:t>签字</w:t>
            </w:r>
            <w:r>
              <w:rPr>
                <w:rFonts w:hint="eastAsia" w:cs="Arial"/>
                <w:sz w:val="24"/>
              </w:rPr>
              <w:t>/盖章）</w:t>
            </w:r>
            <w:r>
              <w:rPr>
                <w:rFonts w:cs="Arial"/>
                <w:sz w:val="24"/>
              </w:rPr>
              <w:t xml:space="preserve">： </w:t>
            </w:r>
          </w:p>
        </w:tc>
        <w:tc>
          <w:tcPr>
            <w:tcW w:w="3997" w:type="dxa"/>
          </w:tcPr>
          <w:p w14:paraId="1F9E54F4">
            <w:pPr>
              <w:spacing w:beforeLines="80" w:afterLines="80"/>
              <w:ind w:left="1077" w:hanging="1077"/>
              <w:jc w:val="left"/>
              <w:rPr>
                <w:rFonts w:cs="Arial"/>
                <w:sz w:val="24"/>
              </w:rPr>
            </w:pPr>
            <w:r>
              <w:rPr>
                <w:rFonts w:cs="Arial"/>
                <w:sz w:val="24"/>
              </w:rPr>
              <w:t>法定代表人</w:t>
            </w:r>
            <w:r>
              <w:rPr>
                <w:rFonts w:hint="eastAsia" w:cs="Arial"/>
                <w:sz w:val="24"/>
              </w:rPr>
              <w:t>/</w:t>
            </w:r>
            <w:r>
              <w:rPr>
                <w:rFonts w:cs="Arial"/>
                <w:sz w:val="24"/>
              </w:rPr>
              <w:t>授权代表</w:t>
            </w:r>
            <w:r>
              <w:rPr>
                <w:rFonts w:hint="eastAsia" w:cs="Arial"/>
                <w:sz w:val="24"/>
              </w:rPr>
              <w:t>（</w:t>
            </w:r>
            <w:r>
              <w:rPr>
                <w:rFonts w:cs="Arial"/>
                <w:sz w:val="24"/>
              </w:rPr>
              <w:t>签字</w:t>
            </w:r>
            <w:r>
              <w:rPr>
                <w:rFonts w:hint="eastAsia" w:cs="Arial"/>
                <w:sz w:val="24"/>
              </w:rPr>
              <w:t>/盖章）</w:t>
            </w:r>
            <w:r>
              <w:rPr>
                <w:rFonts w:cs="Arial"/>
                <w:sz w:val="24"/>
              </w:rPr>
              <w:t xml:space="preserve">： </w:t>
            </w:r>
          </w:p>
        </w:tc>
      </w:tr>
      <w:tr w14:paraId="6C44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346EE816">
            <w:pPr>
              <w:spacing w:beforeLines="80" w:afterLines="80"/>
              <w:ind w:left="1077" w:hanging="1077"/>
              <w:jc w:val="left"/>
              <w:rPr>
                <w:rFonts w:cs="Arial"/>
                <w:sz w:val="24"/>
              </w:rPr>
            </w:pPr>
          </w:p>
        </w:tc>
        <w:tc>
          <w:tcPr>
            <w:tcW w:w="3997" w:type="dxa"/>
          </w:tcPr>
          <w:p w14:paraId="31C69B2F">
            <w:pPr>
              <w:spacing w:beforeLines="80" w:afterLines="80"/>
              <w:ind w:left="1077" w:hanging="1077"/>
              <w:jc w:val="left"/>
              <w:rPr>
                <w:rFonts w:cs="Arial"/>
                <w:sz w:val="24"/>
              </w:rPr>
            </w:pPr>
          </w:p>
        </w:tc>
      </w:tr>
      <w:tr w14:paraId="0B27C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507D1FB7">
            <w:pPr>
              <w:spacing w:beforeLines="80" w:afterLines="80"/>
              <w:ind w:left="1077" w:hanging="1077"/>
              <w:rPr>
                <w:rFonts w:cs="Arial"/>
                <w:sz w:val="24"/>
              </w:rPr>
            </w:pPr>
            <w:r>
              <w:rPr>
                <w:rFonts w:cs="Arial"/>
                <w:sz w:val="24"/>
              </w:rPr>
              <w:t>签订日期：   年    月    日</w:t>
            </w:r>
          </w:p>
        </w:tc>
        <w:tc>
          <w:tcPr>
            <w:tcW w:w="3997" w:type="dxa"/>
          </w:tcPr>
          <w:p w14:paraId="3594ABE4">
            <w:pPr>
              <w:spacing w:beforeLines="80" w:afterLines="80"/>
              <w:ind w:left="1077" w:hanging="1077"/>
              <w:rPr>
                <w:rFonts w:cs="Arial"/>
                <w:sz w:val="24"/>
              </w:rPr>
            </w:pPr>
            <w:r>
              <w:rPr>
                <w:rFonts w:cs="Arial"/>
                <w:sz w:val="24"/>
              </w:rPr>
              <w:t>签订日期：   年    月    日</w:t>
            </w:r>
          </w:p>
        </w:tc>
      </w:tr>
    </w:tbl>
    <w:p w14:paraId="433152DA">
      <w:pPr>
        <w:widowControl/>
        <w:jc w:val="left"/>
        <w:rPr>
          <w:rFonts w:cs="宋体"/>
          <w:b/>
          <w:sz w:val="24"/>
        </w:rPr>
      </w:pPr>
    </w:p>
    <w:p w14:paraId="2BE5585A">
      <w:pPr>
        <w:pStyle w:val="2"/>
      </w:pPr>
      <w:r>
        <w:br w:type="page"/>
      </w:r>
    </w:p>
    <w:p w14:paraId="3BF1C94B">
      <w:pPr>
        <w:pStyle w:val="4"/>
        <w:spacing w:before="156" w:after="156"/>
        <w:rPr>
          <w:rFonts w:ascii="宋体" w:hAnsi="宋体" w:eastAsia="宋体" w:cs="宋体"/>
          <w:sz w:val="24"/>
          <w:szCs w:val="24"/>
        </w:rPr>
      </w:pPr>
      <w:r>
        <w:rPr>
          <w:rFonts w:hint="eastAsia" w:ascii="宋体" w:hAnsi="宋体" w:eastAsia="宋体" w:cs="宋体"/>
          <w:sz w:val="24"/>
          <w:szCs w:val="24"/>
        </w:rPr>
        <w:t>附件1</w:t>
      </w:r>
    </w:p>
    <w:p w14:paraId="18722D05">
      <w:pPr>
        <w:spacing w:before="156" w:after="156"/>
        <w:ind w:left="1084" w:hanging="1084"/>
        <w:jc w:val="center"/>
        <w:rPr>
          <w:b/>
          <w:sz w:val="24"/>
        </w:rPr>
      </w:pPr>
      <w:r>
        <w:rPr>
          <w:rFonts w:hint="eastAsia"/>
          <w:b/>
          <w:sz w:val="24"/>
        </w:rPr>
        <w:t>货物清单</w:t>
      </w:r>
    </w:p>
    <w:p w14:paraId="3C6434DA">
      <w:pPr>
        <w:spacing w:before="156" w:after="156"/>
        <w:ind w:left="1084" w:hanging="1084"/>
        <w:rPr>
          <w:b/>
          <w:sz w:val="24"/>
        </w:rPr>
      </w:pPr>
    </w:p>
    <w:p w14:paraId="7119C3CC">
      <w:pPr>
        <w:spacing w:before="156" w:after="156"/>
        <w:ind w:left="1080" w:hanging="1080"/>
        <w:rPr>
          <w:sz w:val="24"/>
        </w:rPr>
      </w:pPr>
      <w:r>
        <w:rPr>
          <w:rFonts w:hint="eastAsia"/>
          <w:sz w:val="24"/>
        </w:rPr>
        <w:t xml:space="preserve"> 合同编号：</w:t>
      </w:r>
    </w:p>
    <w:p w14:paraId="1A06EBFB">
      <w:pPr>
        <w:pStyle w:val="2"/>
        <w:rPr>
          <w:sz w:val="24"/>
        </w:rPr>
      </w:pPr>
      <w:r>
        <w:rPr>
          <w:rFonts w:hint="eastAsia"/>
          <w:sz w:val="24"/>
        </w:rPr>
        <w:t>合同名称：</w:t>
      </w:r>
    </w:p>
    <w:p w14:paraId="62A7F6A4"/>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1"/>
        <w:gridCol w:w="425"/>
        <w:gridCol w:w="1417"/>
        <w:gridCol w:w="709"/>
        <w:gridCol w:w="709"/>
        <w:gridCol w:w="851"/>
        <w:gridCol w:w="1276"/>
        <w:gridCol w:w="708"/>
        <w:gridCol w:w="993"/>
      </w:tblGrid>
      <w:tr w14:paraId="4DDE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68190AA5">
            <w:pPr>
              <w:spacing w:line="360" w:lineRule="auto"/>
              <w:jc w:val="center"/>
              <w:rPr>
                <w:b/>
                <w:sz w:val="24"/>
              </w:rPr>
            </w:pPr>
            <w:r>
              <w:rPr>
                <w:rFonts w:hint="eastAsia"/>
                <w:b/>
                <w:sz w:val="24"/>
              </w:rPr>
              <w:t>货物名称</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778944D0">
            <w:pPr>
              <w:spacing w:line="360" w:lineRule="auto"/>
              <w:jc w:val="center"/>
              <w:rPr>
                <w:b/>
                <w:sz w:val="24"/>
              </w:rPr>
            </w:pPr>
            <w:r>
              <w:rPr>
                <w:rFonts w:hint="eastAsia"/>
                <w:b/>
                <w:sz w:val="24"/>
              </w:rPr>
              <w:t>品牌</w:t>
            </w:r>
          </w:p>
        </w:tc>
        <w:tc>
          <w:tcPr>
            <w:tcW w:w="1417" w:type="dxa"/>
            <w:tcBorders>
              <w:top w:val="single" w:color="auto" w:sz="4" w:space="0"/>
              <w:left w:val="single" w:color="auto" w:sz="4" w:space="0"/>
              <w:bottom w:val="single" w:color="auto" w:sz="4" w:space="0"/>
              <w:right w:val="single" w:color="auto" w:sz="4" w:space="0"/>
            </w:tcBorders>
            <w:vAlign w:val="center"/>
          </w:tcPr>
          <w:p w14:paraId="4FBED06E">
            <w:pPr>
              <w:spacing w:line="360" w:lineRule="auto"/>
              <w:jc w:val="center"/>
              <w:rPr>
                <w:b/>
                <w:sz w:val="24"/>
              </w:rPr>
            </w:pPr>
            <w:r>
              <w:rPr>
                <w:rFonts w:hint="eastAsia"/>
                <w:b/>
                <w:sz w:val="24"/>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14:paraId="4C4A74E7">
            <w:pPr>
              <w:spacing w:line="360" w:lineRule="auto"/>
              <w:jc w:val="center"/>
              <w:rPr>
                <w:b/>
                <w:sz w:val="24"/>
              </w:rPr>
            </w:pPr>
            <w:r>
              <w:rPr>
                <w:rFonts w:hint="eastAsia"/>
                <w:b/>
                <w:sz w:val="24"/>
              </w:rPr>
              <w:t>计量单位</w:t>
            </w:r>
          </w:p>
        </w:tc>
        <w:tc>
          <w:tcPr>
            <w:tcW w:w="709" w:type="dxa"/>
            <w:tcBorders>
              <w:top w:val="single" w:color="auto" w:sz="4" w:space="0"/>
              <w:left w:val="single" w:color="auto" w:sz="4" w:space="0"/>
              <w:bottom w:val="single" w:color="auto" w:sz="4" w:space="0"/>
              <w:right w:val="single" w:color="auto" w:sz="4" w:space="0"/>
            </w:tcBorders>
            <w:vAlign w:val="center"/>
          </w:tcPr>
          <w:p w14:paraId="63BB0B85">
            <w:pPr>
              <w:spacing w:line="360" w:lineRule="auto"/>
              <w:jc w:val="center"/>
              <w:rPr>
                <w:b/>
                <w:sz w:val="24"/>
              </w:rPr>
            </w:pPr>
            <w:r>
              <w:rPr>
                <w:rFonts w:hint="eastAsia"/>
                <w:b/>
                <w:sz w:val="24"/>
              </w:rPr>
              <w:t>数量</w:t>
            </w:r>
          </w:p>
        </w:tc>
        <w:tc>
          <w:tcPr>
            <w:tcW w:w="851" w:type="dxa"/>
            <w:tcBorders>
              <w:top w:val="single" w:color="auto" w:sz="4" w:space="0"/>
              <w:left w:val="single" w:color="auto" w:sz="4" w:space="0"/>
              <w:bottom w:val="single" w:color="auto" w:sz="4" w:space="0"/>
              <w:right w:val="single" w:color="auto" w:sz="4" w:space="0"/>
            </w:tcBorders>
            <w:vAlign w:val="center"/>
          </w:tcPr>
          <w:p w14:paraId="63146001">
            <w:pPr>
              <w:spacing w:line="360" w:lineRule="auto"/>
              <w:jc w:val="center"/>
              <w:rPr>
                <w:b/>
                <w:sz w:val="24"/>
              </w:rPr>
            </w:pPr>
            <w:r>
              <w:rPr>
                <w:rFonts w:hint="eastAsia"/>
                <w:b/>
                <w:sz w:val="24"/>
              </w:rPr>
              <w:t>单价</w:t>
            </w:r>
          </w:p>
          <w:p w14:paraId="3299E0ED">
            <w:pPr>
              <w:spacing w:line="360" w:lineRule="auto"/>
              <w:jc w:val="center"/>
              <w:rPr>
                <w:b/>
                <w:sz w:val="24"/>
              </w:rPr>
            </w:pPr>
            <w:r>
              <w:rPr>
                <w:rFonts w:hint="eastAsia"/>
                <w:b/>
                <w:sz w:val="24"/>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6FCD4C2D">
            <w:pPr>
              <w:spacing w:line="360" w:lineRule="auto"/>
              <w:jc w:val="center"/>
              <w:rPr>
                <w:b/>
                <w:sz w:val="24"/>
              </w:rPr>
            </w:pPr>
            <w:r>
              <w:rPr>
                <w:rFonts w:hint="eastAsia"/>
                <w:b/>
                <w:sz w:val="24"/>
              </w:rPr>
              <w:t>金额</w:t>
            </w:r>
          </w:p>
          <w:p w14:paraId="2E22FB7E">
            <w:pPr>
              <w:spacing w:line="360" w:lineRule="auto"/>
              <w:jc w:val="center"/>
              <w:rPr>
                <w:b/>
                <w:sz w:val="24"/>
              </w:rPr>
            </w:pPr>
            <w:r>
              <w:rPr>
                <w:rFonts w:hint="eastAsia"/>
                <w:b/>
                <w:sz w:val="24"/>
              </w:rPr>
              <w:t>小计（元）</w:t>
            </w:r>
          </w:p>
        </w:tc>
        <w:tc>
          <w:tcPr>
            <w:tcW w:w="708" w:type="dxa"/>
            <w:tcBorders>
              <w:top w:val="single" w:color="auto" w:sz="4" w:space="0"/>
              <w:left w:val="single" w:color="auto" w:sz="4" w:space="0"/>
              <w:bottom w:val="single" w:color="auto" w:sz="4" w:space="0"/>
              <w:right w:val="single" w:color="auto" w:sz="4" w:space="0"/>
            </w:tcBorders>
            <w:vAlign w:val="center"/>
          </w:tcPr>
          <w:p w14:paraId="41F48C4E">
            <w:pPr>
              <w:spacing w:line="360" w:lineRule="auto"/>
              <w:jc w:val="center"/>
              <w:rPr>
                <w:sz w:val="24"/>
              </w:rPr>
            </w:pPr>
            <w:r>
              <w:rPr>
                <w:rFonts w:hint="eastAsia"/>
                <w:b/>
                <w:sz w:val="24"/>
              </w:rPr>
              <w:t>交货时间</w:t>
            </w:r>
          </w:p>
        </w:tc>
        <w:tc>
          <w:tcPr>
            <w:tcW w:w="993" w:type="dxa"/>
            <w:tcBorders>
              <w:top w:val="single" w:color="auto" w:sz="4" w:space="0"/>
              <w:left w:val="single" w:color="auto" w:sz="4" w:space="0"/>
              <w:bottom w:val="single" w:color="auto" w:sz="4" w:space="0"/>
              <w:right w:val="single" w:color="auto" w:sz="4" w:space="0"/>
            </w:tcBorders>
            <w:vAlign w:val="center"/>
          </w:tcPr>
          <w:p w14:paraId="18B41B86">
            <w:pPr>
              <w:spacing w:line="360" w:lineRule="auto"/>
              <w:jc w:val="center"/>
              <w:rPr>
                <w:b/>
                <w:sz w:val="24"/>
              </w:rPr>
            </w:pPr>
            <w:r>
              <w:rPr>
                <w:rFonts w:hint="eastAsia"/>
                <w:b/>
                <w:sz w:val="24"/>
              </w:rPr>
              <w:t>质保期</w:t>
            </w:r>
          </w:p>
        </w:tc>
      </w:tr>
      <w:tr w14:paraId="1BB7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70E34BD0">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6BE82672">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0F4498FD">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0F768E3">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EA2649A">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731BBBF">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9AC294A">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71FDD10">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7C787F86">
            <w:pPr>
              <w:spacing w:line="360" w:lineRule="auto"/>
              <w:jc w:val="center"/>
              <w:rPr>
                <w:sz w:val="24"/>
              </w:rPr>
            </w:pPr>
          </w:p>
        </w:tc>
      </w:tr>
      <w:tr w14:paraId="5B7F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423F5EDB">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514E6E96">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31200D31">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F55B2FC">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FA653A5">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514CE15">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C87ADDF">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3DB5B42">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75963F1C">
            <w:pPr>
              <w:spacing w:line="360" w:lineRule="auto"/>
              <w:jc w:val="center"/>
              <w:rPr>
                <w:sz w:val="24"/>
              </w:rPr>
            </w:pPr>
          </w:p>
        </w:tc>
      </w:tr>
      <w:tr w14:paraId="6153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2AC55359">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139A65FD">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F3E55E5">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D4503D9">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837078D">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EBC9F50">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51BEBDB">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33FA1D5">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40C1AC4F">
            <w:pPr>
              <w:spacing w:line="360" w:lineRule="auto"/>
              <w:jc w:val="center"/>
              <w:rPr>
                <w:sz w:val="24"/>
              </w:rPr>
            </w:pPr>
          </w:p>
        </w:tc>
      </w:tr>
      <w:tr w14:paraId="1EFD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7593BBE5">
            <w:pPr>
              <w:spacing w:line="360" w:lineRule="auto"/>
              <w:jc w:val="center"/>
              <w:rPr>
                <w:sz w:val="24"/>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4841609F">
            <w:pPr>
              <w:spacing w:line="360" w:lineRule="auto"/>
              <w:jc w:val="center"/>
              <w:rPr>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82A3671">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E90FB27">
            <w:pPr>
              <w:spacing w:line="360" w:lineRule="auto"/>
              <w:jc w:val="center"/>
              <w:rPr>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8804DD4">
            <w:pPr>
              <w:spacing w:line="360" w:lineRule="auto"/>
              <w:jc w:val="center"/>
              <w:rPr>
                <w:sz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1535D8C">
            <w:pPr>
              <w:spacing w:line="360" w:lineRule="auto"/>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B88934B">
            <w:pPr>
              <w:spacing w:line="360" w:lineRule="auto"/>
              <w:jc w:val="center"/>
              <w:rPr>
                <w:sz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0373D7B">
            <w:pPr>
              <w:spacing w:line="360" w:lineRule="auto"/>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6724F9E3">
            <w:pPr>
              <w:spacing w:line="360" w:lineRule="auto"/>
              <w:jc w:val="center"/>
              <w:rPr>
                <w:sz w:val="24"/>
              </w:rPr>
            </w:pPr>
          </w:p>
        </w:tc>
      </w:tr>
      <w:tr w14:paraId="6201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06CD70E3">
            <w:pPr>
              <w:spacing w:line="360" w:lineRule="auto"/>
              <w:jc w:val="center"/>
              <w:rPr>
                <w:b/>
                <w:sz w:val="24"/>
              </w:rPr>
            </w:pPr>
            <w:r>
              <w:rPr>
                <w:rFonts w:hint="eastAsia"/>
                <w:b/>
                <w:sz w:val="24"/>
              </w:rPr>
              <w:t>合计</w:t>
            </w:r>
          </w:p>
        </w:tc>
        <w:tc>
          <w:tcPr>
            <w:tcW w:w="3402" w:type="dxa"/>
            <w:gridSpan w:val="4"/>
            <w:tcBorders>
              <w:top w:val="single" w:color="auto" w:sz="4" w:space="0"/>
              <w:left w:val="single" w:color="auto" w:sz="4" w:space="0"/>
              <w:bottom w:val="single" w:color="auto" w:sz="4" w:space="0"/>
              <w:right w:val="single" w:color="auto" w:sz="4" w:space="0"/>
            </w:tcBorders>
            <w:vAlign w:val="center"/>
          </w:tcPr>
          <w:p w14:paraId="68D8C713">
            <w:pPr>
              <w:spacing w:line="360" w:lineRule="auto"/>
              <w:rPr>
                <w:sz w:val="24"/>
              </w:rPr>
            </w:pPr>
            <w:r>
              <w:rPr>
                <w:rFonts w:hint="eastAsia"/>
                <w:sz w:val="24"/>
              </w:rPr>
              <w:t>大写：</w:t>
            </w:r>
          </w:p>
        </w:tc>
        <w:tc>
          <w:tcPr>
            <w:tcW w:w="4537" w:type="dxa"/>
            <w:gridSpan w:val="5"/>
            <w:tcBorders>
              <w:top w:val="single" w:color="auto" w:sz="4" w:space="0"/>
              <w:left w:val="single" w:color="auto" w:sz="4" w:space="0"/>
              <w:bottom w:val="single" w:color="auto" w:sz="4" w:space="0"/>
              <w:right w:val="single" w:color="auto" w:sz="4" w:space="0"/>
            </w:tcBorders>
            <w:vAlign w:val="center"/>
          </w:tcPr>
          <w:p w14:paraId="0AB70D8A">
            <w:pPr>
              <w:spacing w:line="360" w:lineRule="auto"/>
              <w:rPr>
                <w:sz w:val="24"/>
              </w:rPr>
            </w:pPr>
            <w:r>
              <w:rPr>
                <w:rFonts w:hint="eastAsia"/>
                <w:sz w:val="24"/>
              </w:rPr>
              <w:t>小写：￥</w:t>
            </w:r>
          </w:p>
        </w:tc>
      </w:tr>
      <w:tr w14:paraId="4EFE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13580BA6">
            <w:pPr>
              <w:spacing w:line="360" w:lineRule="auto"/>
              <w:jc w:val="center"/>
              <w:rPr>
                <w:b/>
                <w:sz w:val="24"/>
              </w:rPr>
            </w:pPr>
            <w:r>
              <w:rPr>
                <w:rFonts w:hint="eastAsia"/>
                <w:b/>
                <w:sz w:val="24"/>
              </w:rPr>
              <w:t>备注</w:t>
            </w:r>
          </w:p>
        </w:tc>
        <w:tc>
          <w:tcPr>
            <w:tcW w:w="851" w:type="dxa"/>
            <w:tcBorders>
              <w:top w:val="single" w:color="auto" w:sz="4" w:space="0"/>
              <w:left w:val="single" w:color="auto" w:sz="4" w:space="0"/>
              <w:bottom w:val="single" w:color="auto" w:sz="4" w:space="0"/>
              <w:right w:val="single" w:color="auto" w:sz="4" w:space="0"/>
            </w:tcBorders>
            <w:vAlign w:val="center"/>
          </w:tcPr>
          <w:p w14:paraId="2AC46BAC">
            <w:pPr>
              <w:spacing w:line="360" w:lineRule="auto"/>
              <w:rPr>
                <w:sz w:val="24"/>
              </w:rPr>
            </w:pPr>
          </w:p>
        </w:tc>
        <w:tc>
          <w:tcPr>
            <w:tcW w:w="7088" w:type="dxa"/>
            <w:gridSpan w:val="8"/>
            <w:tcBorders>
              <w:top w:val="single" w:color="auto" w:sz="4" w:space="0"/>
              <w:left w:val="single" w:color="auto" w:sz="4" w:space="0"/>
              <w:bottom w:val="single" w:color="auto" w:sz="4" w:space="0"/>
              <w:right w:val="single" w:color="auto" w:sz="4" w:space="0"/>
            </w:tcBorders>
            <w:vAlign w:val="center"/>
          </w:tcPr>
          <w:p w14:paraId="29B47B1E">
            <w:pPr>
              <w:spacing w:line="360" w:lineRule="auto"/>
              <w:rPr>
                <w:sz w:val="24"/>
              </w:rPr>
            </w:pPr>
            <w:r>
              <w:rPr>
                <w:rFonts w:hint="eastAsia"/>
                <w:sz w:val="24"/>
              </w:rPr>
              <w:t>1、含</w:t>
            </w:r>
            <w:r>
              <w:rPr>
                <w:rFonts w:hint="eastAsia"/>
                <w:sz w:val="24"/>
                <w:u w:val="single"/>
              </w:rPr>
              <w:t xml:space="preserve">     </w:t>
            </w:r>
            <w:r>
              <w:rPr>
                <w:rFonts w:hint="eastAsia"/>
                <w:sz w:val="24"/>
              </w:rPr>
              <w:t>增值税，开具增值税专用发票。</w:t>
            </w:r>
          </w:p>
          <w:p w14:paraId="0492E66A">
            <w:pPr>
              <w:spacing w:line="360" w:lineRule="auto"/>
              <w:rPr>
                <w:color w:val="FF0000"/>
                <w:sz w:val="24"/>
              </w:rPr>
            </w:pPr>
            <w:r>
              <w:rPr>
                <w:rFonts w:hint="eastAsia"/>
                <w:sz w:val="24"/>
              </w:rPr>
              <w:t>2、合同数量为最高采购数量，根据采购人实际需求分批采购，按实际采购数量结算。</w:t>
            </w:r>
          </w:p>
        </w:tc>
      </w:tr>
    </w:tbl>
    <w:p w14:paraId="16C28948">
      <w:pPr>
        <w:pStyle w:val="2"/>
        <w:spacing w:line="360" w:lineRule="auto"/>
        <w:rPr>
          <w:rFonts w:eastAsia="宋体"/>
          <w:sz w:val="24"/>
          <w:szCs w:val="24"/>
          <w:lang w:eastAsia="zh-CN"/>
        </w:rPr>
      </w:pPr>
      <w:r>
        <w:rPr>
          <w:rFonts w:hint="eastAsia" w:eastAsia="宋体"/>
          <w:b/>
          <w:lang w:eastAsia="zh-CN"/>
        </w:rPr>
        <w:br w:type="page"/>
      </w:r>
    </w:p>
    <w:p w14:paraId="451987B2">
      <w:pPr>
        <w:pStyle w:val="4"/>
        <w:spacing w:before="156" w:after="156"/>
        <w:rPr>
          <w:rFonts w:ascii="宋体" w:hAnsi="宋体" w:eastAsia="宋体" w:cs="宋体"/>
          <w:sz w:val="24"/>
          <w:szCs w:val="24"/>
        </w:rPr>
      </w:pPr>
      <w:r>
        <w:rPr>
          <w:rFonts w:hint="eastAsia" w:ascii="宋体" w:hAnsi="宋体" w:eastAsia="宋体" w:cs="宋体"/>
          <w:sz w:val="24"/>
          <w:szCs w:val="24"/>
        </w:rPr>
        <w:t xml:space="preserve">附件2 </w:t>
      </w:r>
    </w:p>
    <w:p w14:paraId="0556B74B">
      <w:pPr>
        <w:spacing w:before="156" w:after="156"/>
        <w:ind w:left="1084" w:hanging="1084"/>
        <w:jc w:val="center"/>
        <w:rPr>
          <w:b/>
          <w:sz w:val="24"/>
        </w:rPr>
      </w:pPr>
      <w:r>
        <w:rPr>
          <w:rFonts w:hint="eastAsia"/>
          <w:b/>
          <w:sz w:val="24"/>
        </w:rPr>
        <w:t>技术要求</w:t>
      </w:r>
    </w:p>
    <w:p w14:paraId="07FF95CA">
      <w:pPr>
        <w:numPr>
          <w:ilvl w:val="0"/>
          <w:numId w:val="4"/>
        </w:num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化学成分:</w:t>
      </w:r>
    </w:p>
    <w:p w14:paraId="71D297ED">
      <w:pPr>
        <w:pStyle w:val="17"/>
        <w:tabs>
          <w:tab w:val="center" w:pos="4201"/>
          <w:tab w:val="right" w:leader="dot" w:pos="9298"/>
        </w:tabs>
        <w:spacing w:before="249" w:after="249" w:line="560" w:lineRule="exact"/>
        <w:ind w:firstLine="48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钢带主要化学分见表1：</w:t>
      </w:r>
    </w:p>
    <w:p w14:paraId="78B215B1">
      <w:pPr>
        <w:pStyle w:val="18"/>
        <w:ind w:left="420"/>
        <w:jc w:val="right"/>
        <w:rPr>
          <w:rFonts w:asciiTheme="minorEastAsia" w:hAnsiTheme="minorEastAsia" w:eastAsiaTheme="minorEastAsia" w:cstheme="minorEastAsia"/>
          <w:color w:val="auto"/>
          <w:kern w:val="2"/>
          <w:szCs w:val="24"/>
        </w:rPr>
      </w:pPr>
      <w:r>
        <w:rPr>
          <w:rFonts w:hint="eastAsia" w:asciiTheme="minorEastAsia" w:hAnsiTheme="minorEastAsia" w:eastAsiaTheme="minorEastAsia" w:cstheme="minorEastAsia"/>
          <w:color w:val="auto"/>
          <w:kern w:val="2"/>
          <w:szCs w:val="24"/>
        </w:rPr>
        <w:t>表1 化学成分             单位为质量百分比</w:t>
      </w:r>
    </w:p>
    <w:tbl>
      <w:tblPr>
        <w:tblStyle w:val="9"/>
        <w:tblW w:w="10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659"/>
        <w:gridCol w:w="1277"/>
        <w:gridCol w:w="1296"/>
        <w:gridCol w:w="1318"/>
        <w:gridCol w:w="1386"/>
        <w:gridCol w:w="1275"/>
        <w:gridCol w:w="956"/>
      </w:tblGrid>
      <w:tr w14:paraId="4A64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011" w:type="dxa"/>
            <w:tcBorders>
              <w:top w:val="single" w:color="auto" w:sz="6" w:space="0"/>
              <w:left w:val="single" w:color="auto" w:sz="6" w:space="0"/>
            </w:tcBorders>
            <w:vAlign w:val="center"/>
          </w:tcPr>
          <w:p w14:paraId="5143D375">
            <w:pPr>
              <w:pStyle w:val="17"/>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元素</w:t>
            </w:r>
          </w:p>
        </w:tc>
        <w:tc>
          <w:tcPr>
            <w:tcW w:w="1659" w:type="dxa"/>
            <w:tcBorders>
              <w:top w:val="single" w:color="auto" w:sz="6" w:space="0"/>
            </w:tcBorders>
            <w:vAlign w:val="center"/>
          </w:tcPr>
          <w:p w14:paraId="62B18B22">
            <w:pPr>
              <w:jc w:val="center"/>
              <w:rPr>
                <w:rFonts w:asciiTheme="minorEastAsia" w:hAnsiTheme="minorEastAsia" w:cstheme="minorEastAsia"/>
                <w:sz w:val="24"/>
              </w:rPr>
            </w:pPr>
            <w:r>
              <w:rPr>
                <w:rFonts w:ascii="宋体" w:hAnsi="宋体"/>
                <w:sz w:val="18"/>
                <w:szCs w:val="18"/>
              </w:rPr>
              <w:t>C</w:t>
            </w:r>
          </w:p>
        </w:tc>
        <w:tc>
          <w:tcPr>
            <w:tcW w:w="1277" w:type="dxa"/>
            <w:tcBorders>
              <w:top w:val="single" w:color="auto" w:sz="6" w:space="0"/>
            </w:tcBorders>
            <w:vAlign w:val="center"/>
          </w:tcPr>
          <w:p w14:paraId="7FE69230">
            <w:pPr>
              <w:jc w:val="center"/>
              <w:rPr>
                <w:rFonts w:asciiTheme="minorEastAsia" w:hAnsiTheme="minorEastAsia" w:cstheme="minorEastAsia"/>
                <w:sz w:val="24"/>
              </w:rPr>
            </w:pPr>
            <w:r>
              <w:rPr>
                <w:rFonts w:ascii="宋体" w:hAnsi="宋体"/>
                <w:sz w:val="18"/>
                <w:szCs w:val="18"/>
              </w:rPr>
              <w:t>Si</w:t>
            </w:r>
          </w:p>
        </w:tc>
        <w:tc>
          <w:tcPr>
            <w:tcW w:w="1296" w:type="dxa"/>
            <w:tcBorders>
              <w:top w:val="single" w:color="auto" w:sz="6" w:space="0"/>
            </w:tcBorders>
            <w:vAlign w:val="center"/>
          </w:tcPr>
          <w:p w14:paraId="14AFBC79">
            <w:pPr>
              <w:jc w:val="center"/>
              <w:rPr>
                <w:rFonts w:asciiTheme="minorEastAsia" w:hAnsiTheme="minorEastAsia" w:cstheme="minorEastAsia"/>
                <w:sz w:val="24"/>
              </w:rPr>
            </w:pPr>
            <w:r>
              <w:rPr>
                <w:rFonts w:ascii="宋体" w:hAnsi="宋体"/>
                <w:sz w:val="18"/>
                <w:szCs w:val="18"/>
              </w:rPr>
              <w:t>Mn</w:t>
            </w:r>
          </w:p>
        </w:tc>
        <w:tc>
          <w:tcPr>
            <w:tcW w:w="1318" w:type="dxa"/>
            <w:tcBorders>
              <w:top w:val="single" w:color="auto" w:sz="6" w:space="0"/>
            </w:tcBorders>
            <w:vAlign w:val="center"/>
          </w:tcPr>
          <w:p w14:paraId="42E0FF0E">
            <w:pPr>
              <w:jc w:val="center"/>
              <w:rPr>
                <w:rFonts w:asciiTheme="minorEastAsia" w:hAnsiTheme="minorEastAsia" w:cstheme="minorEastAsia"/>
                <w:sz w:val="24"/>
              </w:rPr>
            </w:pPr>
            <w:r>
              <w:rPr>
                <w:rFonts w:ascii="宋体" w:hAnsi="宋体"/>
                <w:sz w:val="18"/>
                <w:szCs w:val="18"/>
              </w:rPr>
              <w:t>P</w:t>
            </w:r>
          </w:p>
        </w:tc>
        <w:tc>
          <w:tcPr>
            <w:tcW w:w="1386" w:type="dxa"/>
            <w:tcBorders>
              <w:top w:val="single" w:color="auto" w:sz="6" w:space="0"/>
            </w:tcBorders>
            <w:vAlign w:val="center"/>
          </w:tcPr>
          <w:p w14:paraId="127A39E3">
            <w:pPr>
              <w:jc w:val="center"/>
              <w:rPr>
                <w:rFonts w:asciiTheme="minorEastAsia" w:hAnsiTheme="minorEastAsia" w:cstheme="minorEastAsia"/>
                <w:sz w:val="24"/>
              </w:rPr>
            </w:pPr>
            <w:r>
              <w:rPr>
                <w:rFonts w:ascii="宋体" w:hAnsi="宋体"/>
                <w:sz w:val="18"/>
                <w:szCs w:val="18"/>
              </w:rPr>
              <w:t>S</w:t>
            </w:r>
          </w:p>
        </w:tc>
        <w:tc>
          <w:tcPr>
            <w:tcW w:w="1275" w:type="dxa"/>
            <w:tcBorders>
              <w:top w:val="single" w:color="auto" w:sz="6" w:space="0"/>
            </w:tcBorders>
            <w:vAlign w:val="center"/>
          </w:tcPr>
          <w:p w14:paraId="6BDEAB02">
            <w:pPr>
              <w:jc w:val="center"/>
              <w:rPr>
                <w:rFonts w:asciiTheme="minorEastAsia" w:hAnsiTheme="minorEastAsia" w:cstheme="minorEastAsia"/>
                <w:sz w:val="24"/>
              </w:rPr>
            </w:pPr>
            <w:r>
              <w:rPr>
                <w:rFonts w:ascii="宋体" w:hAnsi="宋体"/>
                <w:sz w:val="18"/>
                <w:szCs w:val="18"/>
              </w:rPr>
              <w:t>Al</w:t>
            </w:r>
          </w:p>
        </w:tc>
        <w:tc>
          <w:tcPr>
            <w:tcW w:w="956" w:type="dxa"/>
            <w:tcBorders>
              <w:top w:val="single" w:color="auto" w:sz="6" w:space="0"/>
            </w:tcBorders>
            <w:vAlign w:val="center"/>
          </w:tcPr>
          <w:p w14:paraId="6F0E63B8">
            <w:pPr>
              <w:jc w:val="center"/>
              <w:rPr>
                <w:rFonts w:asciiTheme="minorEastAsia" w:hAnsiTheme="minorEastAsia" w:cstheme="minorEastAsia"/>
                <w:sz w:val="24"/>
              </w:rPr>
            </w:pPr>
            <w:r>
              <w:rPr>
                <w:rFonts w:ascii="宋体" w:hAnsi="宋体"/>
                <w:sz w:val="18"/>
                <w:szCs w:val="18"/>
              </w:rPr>
              <w:t>Fe</w:t>
            </w:r>
          </w:p>
        </w:tc>
      </w:tr>
      <w:tr w14:paraId="0981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1" w:type="dxa"/>
            <w:tcBorders>
              <w:left w:val="single" w:color="auto" w:sz="6" w:space="0"/>
              <w:bottom w:val="single" w:color="auto" w:sz="6" w:space="0"/>
            </w:tcBorders>
            <w:vAlign w:val="center"/>
          </w:tcPr>
          <w:p w14:paraId="6E5CDE55">
            <w:pPr>
              <w:pStyle w:val="17"/>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含量%</w:t>
            </w:r>
          </w:p>
        </w:tc>
        <w:tc>
          <w:tcPr>
            <w:tcW w:w="1659" w:type="dxa"/>
            <w:tcBorders>
              <w:bottom w:val="single" w:color="auto" w:sz="6" w:space="0"/>
            </w:tcBorders>
            <w:vAlign w:val="center"/>
          </w:tcPr>
          <w:p w14:paraId="02B92FFC">
            <w:pPr>
              <w:jc w:val="center"/>
              <w:rPr>
                <w:rFonts w:asciiTheme="minorEastAsia" w:hAnsiTheme="minorEastAsia" w:cstheme="minorEastAsia"/>
                <w:sz w:val="24"/>
              </w:rPr>
            </w:pPr>
            <w:r>
              <w:rPr>
                <w:rFonts w:ascii="宋体" w:hAnsi="宋体"/>
                <w:bCs/>
                <w:sz w:val="18"/>
              </w:rPr>
              <w:t>0.004～0.012</w:t>
            </w:r>
          </w:p>
        </w:tc>
        <w:tc>
          <w:tcPr>
            <w:tcW w:w="1277" w:type="dxa"/>
            <w:tcBorders>
              <w:bottom w:val="single" w:color="auto" w:sz="6" w:space="0"/>
            </w:tcBorders>
            <w:vAlign w:val="center"/>
          </w:tcPr>
          <w:p w14:paraId="2688C8D1">
            <w:pPr>
              <w:jc w:val="center"/>
              <w:rPr>
                <w:rFonts w:asciiTheme="minorEastAsia" w:hAnsiTheme="minorEastAsia" w:cstheme="minorEastAsia"/>
                <w:sz w:val="24"/>
              </w:rPr>
            </w:pPr>
            <w:r>
              <w:rPr>
                <w:rFonts w:ascii="宋体" w:hAnsi="宋体"/>
                <w:bCs/>
                <w:sz w:val="18"/>
              </w:rPr>
              <w:t>≤0.03</w:t>
            </w:r>
          </w:p>
        </w:tc>
        <w:tc>
          <w:tcPr>
            <w:tcW w:w="1296" w:type="dxa"/>
            <w:tcBorders>
              <w:bottom w:val="single" w:color="auto" w:sz="6" w:space="0"/>
            </w:tcBorders>
            <w:vAlign w:val="center"/>
          </w:tcPr>
          <w:p w14:paraId="64CA1807">
            <w:pPr>
              <w:jc w:val="center"/>
              <w:rPr>
                <w:rFonts w:asciiTheme="minorEastAsia" w:hAnsiTheme="minorEastAsia" w:cstheme="minorEastAsia"/>
                <w:sz w:val="24"/>
              </w:rPr>
            </w:pPr>
            <w:r>
              <w:rPr>
                <w:rFonts w:ascii="宋体" w:hAnsi="宋体"/>
                <w:bCs/>
                <w:sz w:val="18"/>
              </w:rPr>
              <w:t>≤0.20</w:t>
            </w:r>
          </w:p>
        </w:tc>
        <w:tc>
          <w:tcPr>
            <w:tcW w:w="1318" w:type="dxa"/>
            <w:tcBorders>
              <w:bottom w:val="single" w:color="auto" w:sz="6" w:space="0"/>
            </w:tcBorders>
            <w:vAlign w:val="center"/>
          </w:tcPr>
          <w:p w14:paraId="07D40D1B">
            <w:pPr>
              <w:jc w:val="center"/>
              <w:rPr>
                <w:rFonts w:asciiTheme="minorEastAsia" w:hAnsiTheme="minorEastAsia" w:cstheme="minorEastAsia"/>
                <w:sz w:val="24"/>
              </w:rPr>
            </w:pPr>
            <w:r>
              <w:rPr>
                <w:rFonts w:ascii="宋体" w:hAnsi="宋体"/>
                <w:bCs/>
                <w:sz w:val="18"/>
              </w:rPr>
              <w:t>≤0.030</w:t>
            </w:r>
          </w:p>
        </w:tc>
        <w:tc>
          <w:tcPr>
            <w:tcW w:w="1386" w:type="dxa"/>
            <w:tcBorders>
              <w:bottom w:val="single" w:color="auto" w:sz="6" w:space="0"/>
            </w:tcBorders>
            <w:vAlign w:val="center"/>
          </w:tcPr>
          <w:p w14:paraId="49275AAB">
            <w:pPr>
              <w:jc w:val="center"/>
              <w:rPr>
                <w:rFonts w:asciiTheme="minorEastAsia" w:hAnsiTheme="minorEastAsia" w:cstheme="minorEastAsia"/>
                <w:sz w:val="24"/>
              </w:rPr>
            </w:pPr>
            <w:r>
              <w:rPr>
                <w:rFonts w:ascii="宋体" w:hAnsi="宋体"/>
                <w:bCs/>
                <w:sz w:val="18"/>
              </w:rPr>
              <w:t>≤0.030</w:t>
            </w:r>
          </w:p>
        </w:tc>
        <w:tc>
          <w:tcPr>
            <w:tcW w:w="1275" w:type="dxa"/>
            <w:tcBorders>
              <w:bottom w:val="single" w:color="auto" w:sz="6" w:space="0"/>
            </w:tcBorders>
            <w:vAlign w:val="center"/>
          </w:tcPr>
          <w:p w14:paraId="029E11E3">
            <w:pPr>
              <w:jc w:val="center"/>
              <w:rPr>
                <w:rFonts w:asciiTheme="minorEastAsia" w:hAnsiTheme="minorEastAsia" w:cstheme="minorEastAsia"/>
                <w:sz w:val="24"/>
              </w:rPr>
            </w:pPr>
            <w:r>
              <w:rPr>
                <w:rFonts w:ascii="宋体" w:hAnsi="宋体"/>
                <w:bCs/>
                <w:sz w:val="18"/>
              </w:rPr>
              <w:t>≤0.050</w:t>
            </w:r>
          </w:p>
        </w:tc>
        <w:tc>
          <w:tcPr>
            <w:tcW w:w="956" w:type="dxa"/>
            <w:tcBorders>
              <w:bottom w:val="single" w:color="auto" w:sz="6" w:space="0"/>
            </w:tcBorders>
            <w:vAlign w:val="center"/>
          </w:tcPr>
          <w:p w14:paraId="6FD45ED4">
            <w:pPr>
              <w:jc w:val="center"/>
              <w:rPr>
                <w:rFonts w:asciiTheme="minorEastAsia" w:hAnsiTheme="minorEastAsia" w:cstheme="minorEastAsia"/>
                <w:sz w:val="24"/>
              </w:rPr>
            </w:pPr>
            <w:r>
              <w:rPr>
                <w:rFonts w:ascii="宋体" w:hAnsi="宋体"/>
                <w:sz w:val="18"/>
                <w:szCs w:val="18"/>
              </w:rPr>
              <w:t>余量</w:t>
            </w:r>
          </w:p>
        </w:tc>
      </w:tr>
    </w:tbl>
    <w:p w14:paraId="2FF34C7D">
      <w:pPr>
        <w:pStyle w:val="17"/>
        <w:tabs>
          <w:tab w:val="center" w:pos="4201"/>
          <w:tab w:val="right" w:leader="dot" w:pos="9298"/>
        </w:tabs>
        <w:spacing w:line="360" w:lineRule="auto"/>
        <w:ind w:firstLine="480"/>
        <w:rPr>
          <w:rFonts w:asciiTheme="minorEastAsia" w:hAnsiTheme="minorEastAsia" w:eastAsiaTheme="minorEastAsia" w:cstheme="minorEastAsia"/>
          <w:kern w:val="2"/>
          <w:sz w:val="24"/>
          <w:szCs w:val="24"/>
        </w:rPr>
      </w:pPr>
    </w:p>
    <w:p w14:paraId="0C1A7F63">
      <w:pPr>
        <w:pStyle w:val="17"/>
        <w:tabs>
          <w:tab w:val="center" w:pos="4201"/>
          <w:tab w:val="right" w:leader="dot" w:pos="9298"/>
        </w:tabs>
        <w:spacing w:line="560" w:lineRule="exact"/>
        <w:ind w:firstLine="48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钢带其它化学成分见表</w:t>
      </w:r>
      <w:r>
        <w:rPr>
          <w:rFonts w:hint="eastAsia" w:asciiTheme="minorEastAsia" w:hAnsiTheme="minorEastAsia" w:eastAsiaTheme="minorEastAsia" w:cstheme="minorEastAsia"/>
          <w:kern w:val="2"/>
          <w:sz w:val="24"/>
          <w:szCs w:val="24"/>
          <w:lang w:val="en-US" w:eastAsia="zh-CN"/>
        </w:rPr>
        <w:t>2</w:t>
      </w:r>
      <w:r>
        <w:rPr>
          <w:rFonts w:hint="eastAsia" w:asciiTheme="minorEastAsia" w:hAnsiTheme="minorEastAsia" w:eastAsiaTheme="minorEastAsia" w:cstheme="minorEastAsia"/>
          <w:kern w:val="2"/>
          <w:sz w:val="24"/>
          <w:szCs w:val="24"/>
        </w:rPr>
        <w:t>：</w:t>
      </w:r>
    </w:p>
    <w:p w14:paraId="6EA9E312">
      <w:pPr>
        <w:pStyle w:val="17"/>
        <w:tabs>
          <w:tab w:val="center" w:pos="4201"/>
          <w:tab w:val="right" w:leader="dot" w:pos="9298"/>
        </w:tabs>
        <w:spacing w:line="360" w:lineRule="auto"/>
        <w:ind w:firstLine="0" w:firstLineChars="0"/>
        <w:jc w:val="righ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表2 化学成分             单位为质量百分比</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324"/>
        <w:gridCol w:w="1320"/>
        <w:gridCol w:w="1275"/>
        <w:gridCol w:w="1560"/>
        <w:gridCol w:w="1592"/>
      </w:tblGrid>
      <w:tr w14:paraId="5B7E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34" w:type="dxa"/>
            <w:tcBorders>
              <w:top w:val="single" w:color="auto" w:sz="6" w:space="0"/>
              <w:left w:val="single" w:color="auto" w:sz="6" w:space="0"/>
            </w:tcBorders>
            <w:vAlign w:val="center"/>
          </w:tcPr>
          <w:p w14:paraId="6842A0AF">
            <w:pPr>
              <w:pStyle w:val="17"/>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元素</w:t>
            </w:r>
          </w:p>
        </w:tc>
        <w:tc>
          <w:tcPr>
            <w:tcW w:w="1324" w:type="dxa"/>
            <w:tcBorders>
              <w:top w:val="single" w:color="auto" w:sz="6" w:space="0"/>
            </w:tcBorders>
            <w:vAlign w:val="center"/>
          </w:tcPr>
          <w:p w14:paraId="3CBEDD74">
            <w:pPr>
              <w:jc w:val="center"/>
              <w:rPr>
                <w:rFonts w:asciiTheme="minorEastAsia" w:hAnsiTheme="minorEastAsia" w:cstheme="minorEastAsia"/>
                <w:sz w:val="24"/>
              </w:rPr>
            </w:pPr>
            <w:r>
              <w:rPr>
                <w:rFonts w:ascii="宋体" w:hAnsi="宋体"/>
                <w:sz w:val="18"/>
                <w:szCs w:val="18"/>
              </w:rPr>
              <w:t>Cu</w:t>
            </w:r>
          </w:p>
        </w:tc>
        <w:tc>
          <w:tcPr>
            <w:tcW w:w="1320" w:type="dxa"/>
            <w:tcBorders>
              <w:top w:val="single" w:color="auto" w:sz="6" w:space="0"/>
            </w:tcBorders>
            <w:vAlign w:val="center"/>
          </w:tcPr>
          <w:p w14:paraId="19ED2944">
            <w:pPr>
              <w:jc w:val="center"/>
              <w:rPr>
                <w:rFonts w:asciiTheme="minorEastAsia" w:hAnsiTheme="minorEastAsia" w:cstheme="minorEastAsia"/>
                <w:sz w:val="24"/>
              </w:rPr>
            </w:pPr>
            <w:r>
              <w:rPr>
                <w:rFonts w:ascii="宋体" w:hAnsi="宋体"/>
                <w:sz w:val="18"/>
                <w:szCs w:val="18"/>
              </w:rPr>
              <w:t>Ni</w:t>
            </w:r>
          </w:p>
        </w:tc>
        <w:tc>
          <w:tcPr>
            <w:tcW w:w="1275" w:type="dxa"/>
            <w:tcBorders>
              <w:top w:val="single" w:color="auto" w:sz="6" w:space="0"/>
            </w:tcBorders>
            <w:vAlign w:val="center"/>
          </w:tcPr>
          <w:p w14:paraId="184E1963">
            <w:pPr>
              <w:jc w:val="center"/>
              <w:rPr>
                <w:rFonts w:asciiTheme="minorEastAsia" w:hAnsiTheme="minorEastAsia" w:cstheme="minorEastAsia"/>
                <w:sz w:val="24"/>
              </w:rPr>
            </w:pPr>
            <w:r>
              <w:rPr>
                <w:rFonts w:ascii="宋体" w:hAnsi="宋体"/>
                <w:sz w:val="18"/>
                <w:szCs w:val="18"/>
              </w:rPr>
              <w:t>Cr</w:t>
            </w:r>
          </w:p>
        </w:tc>
        <w:tc>
          <w:tcPr>
            <w:tcW w:w="1560" w:type="dxa"/>
            <w:tcBorders>
              <w:top w:val="single" w:color="auto" w:sz="6" w:space="0"/>
            </w:tcBorders>
            <w:vAlign w:val="center"/>
          </w:tcPr>
          <w:p w14:paraId="7ED52600">
            <w:pPr>
              <w:jc w:val="center"/>
              <w:rPr>
                <w:rFonts w:asciiTheme="minorEastAsia" w:hAnsiTheme="minorEastAsia" w:cstheme="minorEastAsia"/>
                <w:sz w:val="24"/>
              </w:rPr>
            </w:pPr>
            <w:r>
              <w:rPr>
                <w:rFonts w:ascii="宋体" w:hAnsi="宋体"/>
                <w:sz w:val="18"/>
                <w:szCs w:val="18"/>
              </w:rPr>
              <w:t>As</w:t>
            </w:r>
          </w:p>
        </w:tc>
        <w:tc>
          <w:tcPr>
            <w:tcW w:w="1592" w:type="dxa"/>
            <w:tcBorders>
              <w:top w:val="single" w:color="auto" w:sz="6" w:space="0"/>
            </w:tcBorders>
            <w:vAlign w:val="center"/>
          </w:tcPr>
          <w:p w14:paraId="5F05F197">
            <w:pPr>
              <w:jc w:val="center"/>
              <w:rPr>
                <w:rFonts w:asciiTheme="minorEastAsia" w:hAnsiTheme="minorEastAsia" w:cstheme="minorEastAsia"/>
                <w:sz w:val="24"/>
              </w:rPr>
            </w:pPr>
            <w:r>
              <w:rPr>
                <w:rFonts w:ascii="宋体" w:hAnsi="宋体"/>
                <w:sz w:val="18"/>
                <w:szCs w:val="18"/>
              </w:rPr>
              <w:t>Sn</w:t>
            </w:r>
          </w:p>
        </w:tc>
      </w:tr>
      <w:tr w14:paraId="24E0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34" w:type="dxa"/>
            <w:tcBorders>
              <w:left w:val="single" w:color="auto" w:sz="6" w:space="0"/>
              <w:bottom w:val="single" w:color="auto" w:sz="6" w:space="0"/>
            </w:tcBorders>
            <w:vAlign w:val="center"/>
          </w:tcPr>
          <w:p w14:paraId="7B9DA7DD">
            <w:pPr>
              <w:pStyle w:val="17"/>
              <w:tabs>
                <w:tab w:val="center" w:pos="4201"/>
                <w:tab w:val="right" w:leader="dot" w:pos="9298"/>
              </w:tabs>
              <w:spacing w:line="400" w:lineRule="exact"/>
              <w:ind w:firstLine="0" w:firstLineChars="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含量%</w:t>
            </w:r>
          </w:p>
        </w:tc>
        <w:tc>
          <w:tcPr>
            <w:tcW w:w="1324" w:type="dxa"/>
            <w:tcBorders>
              <w:bottom w:val="single" w:color="auto" w:sz="6" w:space="0"/>
            </w:tcBorders>
            <w:vAlign w:val="center"/>
          </w:tcPr>
          <w:p w14:paraId="548E112A">
            <w:pPr>
              <w:jc w:val="center"/>
              <w:rPr>
                <w:rFonts w:asciiTheme="minorEastAsia" w:hAnsiTheme="minorEastAsia" w:cstheme="minorEastAsia"/>
                <w:sz w:val="24"/>
              </w:rPr>
            </w:pPr>
            <w:r>
              <w:rPr>
                <w:rFonts w:ascii="宋体" w:hAnsi="宋体"/>
                <w:sz w:val="18"/>
                <w:szCs w:val="18"/>
              </w:rPr>
              <w:t>≤0.15</w:t>
            </w:r>
          </w:p>
        </w:tc>
        <w:tc>
          <w:tcPr>
            <w:tcW w:w="1320" w:type="dxa"/>
            <w:tcBorders>
              <w:bottom w:val="single" w:color="auto" w:sz="6" w:space="0"/>
            </w:tcBorders>
            <w:vAlign w:val="center"/>
          </w:tcPr>
          <w:p w14:paraId="08A16AA5">
            <w:pPr>
              <w:jc w:val="center"/>
              <w:rPr>
                <w:rFonts w:asciiTheme="minorEastAsia" w:hAnsiTheme="minorEastAsia" w:cstheme="minorEastAsia"/>
                <w:sz w:val="24"/>
              </w:rPr>
            </w:pPr>
            <w:r>
              <w:rPr>
                <w:rFonts w:ascii="宋体" w:hAnsi="宋体"/>
                <w:sz w:val="18"/>
                <w:szCs w:val="18"/>
              </w:rPr>
              <w:t>≤0.10</w:t>
            </w:r>
          </w:p>
        </w:tc>
        <w:tc>
          <w:tcPr>
            <w:tcW w:w="1275" w:type="dxa"/>
            <w:tcBorders>
              <w:bottom w:val="single" w:color="auto" w:sz="6" w:space="0"/>
            </w:tcBorders>
            <w:vAlign w:val="center"/>
          </w:tcPr>
          <w:p w14:paraId="24E7B1B3">
            <w:pPr>
              <w:jc w:val="center"/>
              <w:rPr>
                <w:rFonts w:asciiTheme="minorEastAsia" w:hAnsiTheme="minorEastAsia" w:cstheme="minorEastAsia"/>
                <w:sz w:val="24"/>
              </w:rPr>
            </w:pPr>
            <w:r>
              <w:rPr>
                <w:rFonts w:ascii="宋体" w:hAnsi="宋体"/>
                <w:sz w:val="18"/>
                <w:szCs w:val="18"/>
              </w:rPr>
              <w:t>≤0.10</w:t>
            </w:r>
          </w:p>
        </w:tc>
        <w:tc>
          <w:tcPr>
            <w:tcW w:w="1560" w:type="dxa"/>
            <w:tcBorders>
              <w:bottom w:val="single" w:color="auto" w:sz="6" w:space="0"/>
            </w:tcBorders>
            <w:vAlign w:val="center"/>
          </w:tcPr>
          <w:p w14:paraId="2665E9D5">
            <w:pPr>
              <w:jc w:val="center"/>
              <w:rPr>
                <w:rFonts w:asciiTheme="minorEastAsia" w:hAnsiTheme="minorEastAsia" w:cstheme="minorEastAsia"/>
                <w:sz w:val="24"/>
              </w:rPr>
            </w:pPr>
            <w:r>
              <w:rPr>
                <w:rFonts w:ascii="宋体" w:hAnsi="宋体"/>
                <w:sz w:val="18"/>
                <w:szCs w:val="18"/>
              </w:rPr>
              <w:t>≤0.05</w:t>
            </w:r>
          </w:p>
        </w:tc>
        <w:tc>
          <w:tcPr>
            <w:tcW w:w="1592" w:type="dxa"/>
            <w:tcBorders>
              <w:bottom w:val="single" w:color="auto" w:sz="6" w:space="0"/>
            </w:tcBorders>
            <w:vAlign w:val="center"/>
          </w:tcPr>
          <w:p w14:paraId="1158C48C">
            <w:pPr>
              <w:jc w:val="center"/>
              <w:rPr>
                <w:rFonts w:asciiTheme="minorEastAsia" w:hAnsiTheme="minorEastAsia" w:cstheme="minorEastAsia"/>
                <w:sz w:val="24"/>
              </w:rPr>
            </w:pPr>
            <w:r>
              <w:rPr>
                <w:rFonts w:ascii="宋体" w:hAnsi="宋体"/>
                <w:sz w:val="18"/>
                <w:szCs w:val="18"/>
              </w:rPr>
              <w:t>≤0.05</w:t>
            </w:r>
          </w:p>
        </w:tc>
      </w:tr>
    </w:tbl>
    <w:p w14:paraId="41894E93">
      <w:pPr>
        <w:pStyle w:val="19"/>
        <w:spacing w:line="360" w:lineRule="auto"/>
        <w:ind w:firstLine="480" w:firstLineChars="200"/>
        <w:rPr>
          <w:rFonts w:ascii="宋体" w:hAnsi="宋体" w:eastAsia="宋体" w:cs="宋体"/>
          <w:color w:val="auto"/>
          <w:szCs w:val="24"/>
        </w:rPr>
      </w:pPr>
      <w:bookmarkStart w:id="3" w:name="_GoBack"/>
      <w:bookmarkEnd w:id="3"/>
    </w:p>
    <w:p w14:paraId="74CA6B2C">
      <w:pPr>
        <w:pStyle w:val="19"/>
        <w:spacing w:line="360" w:lineRule="auto"/>
        <w:ind w:firstLine="480" w:firstLineChars="200"/>
        <w:rPr>
          <w:rFonts w:ascii="宋体" w:hAnsi="宋体" w:eastAsia="宋体" w:cs="宋体"/>
          <w:color w:val="auto"/>
          <w:szCs w:val="24"/>
        </w:rPr>
      </w:pPr>
      <w:r>
        <w:rPr>
          <w:rFonts w:hint="eastAsia" w:ascii="宋体" w:hAnsi="宋体" w:eastAsia="宋体" w:cs="宋体"/>
          <w:color w:val="000000" w:themeColor="text1"/>
          <w14:textFill>
            <w14:solidFill>
              <w14:schemeClr w14:val="tx1"/>
            </w14:solidFill>
          </w14:textFill>
        </w:rPr>
        <w:t>2.几何参</w:t>
      </w:r>
      <w:r>
        <w:rPr>
          <w:rFonts w:hint="eastAsia" w:ascii="宋体" w:hAnsi="宋体" w:eastAsia="宋体" w:cs="宋体"/>
          <w:color w:val="auto"/>
          <w:szCs w:val="24"/>
        </w:rPr>
        <w:t>数</w:t>
      </w:r>
    </w:p>
    <w:p w14:paraId="03517A3D">
      <w:pPr>
        <w:pStyle w:val="5"/>
        <w:keepNext/>
        <w:jc w:val="center"/>
        <w:rPr>
          <w:rFonts w:cs="Times New Roman" w:asciiTheme="minorEastAsia" w:hAnsiTheme="minorEastAsia"/>
          <w:b w:val="0"/>
          <w:sz w:val="24"/>
          <w:szCs w:val="24"/>
          <w:lang w:eastAsia="zh-CN"/>
        </w:rPr>
      </w:pPr>
      <w:r>
        <w:rPr>
          <w:rFonts w:hint="eastAsia" w:cs="Times New Roman" w:asciiTheme="minorEastAsia" w:hAnsiTheme="minorEastAsia"/>
          <w:b w:val="0"/>
          <w:sz w:val="24"/>
          <w:szCs w:val="24"/>
          <w:lang w:eastAsia="zh-CN"/>
        </w:rPr>
        <w:t>表3钢带几何参数</w:t>
      </w:r>
    </w:p>
    <w:p w14:paraId="7094149E">
      <w:pPr>
        <w:wordWrap w:val="0"/>
        <w:ind w:right="1613" w:rightChars="768"/>
        <w:jc w:val="right"/>
        <w:rPr>
          <w:sz w:val="18"/>
          <w:szCs w:val="18"/>
        </w:rPr>
      </w:pPr>
      <w:r>
        <w:rPr>
          <w:rFonts w:hint="eastAsia"/>
          <w:sz w:val="18"/>
          <w:szCs w:val="18"/>
        </w:rPr>
        <w:t xml:space="preserve">  单位为毫米</w:t>
      </w:r>
    </w:p>
    <w:tbl>
      <w:tblPr>
        <w:tblStyle w:val="9"/>
        <w:tblW w:w="53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713"/>
        <w:gridCol w:w="851"/>
        <w:gridCol w:w="709"/>
        <w:gridCol w:w="850"/>
        <w:gridCol w:w="761"/>
        <w:gridCol w:w="783"/>
      </w:tblGrid>
      <w:tr w14:paraId="0C4F4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jc w:val="center"/>
        </w:trPr>
        <w:tc>
          <w:tcPr>
            <w:tcW w:w="704" w:type="dxa"/>
            <w:vAlign w:val="center"/>
          </w:tcPr>
          <w:p w14:paraId="054599E2">
            <w:pPr>
              <w:jc w:val="center"/>
              <w:rPr>
                <w:rFonts w:ascii="宋体" w:hAnsi="宋体"/>
                <w:sz w:val="18"/>
                <w:szCs w:val="18"/>
              </w:rPr>
            </w:pPr>
            <w:r>
              <w:rPr>
                <w:rFonts w:hint="eastAsia" w:ascii="宋体" w:hAnsi="宋体"/>
                <w:sz w:val="18"/>
                <w:szCs w:val="18"/>
              </w:rPr>
              <w:t>规格</w:t>
            </w:r>
          </w:p>
        </w:tc>
        <w:tc>
          <w:tcPr>
            <w:tcW w:w="713" w:type="dxa"/>
            <w:vAlign w:val="center"/>
          </w:tcPr>
          <w:p w14:paraId="10356D51">
            <w:pPr>
              <w:jc w:val="center"/>
              <w:rPr>
                <w:rFonts w:ascii="宋体" w:hAnsi="宋体"/>
                <w:sz w:val="18"/>
                <w:szCs w:val="18"/>
              </w:rPr>
            </w:pPr>
            <w:r>
              <w:rPr>
                <w:rFonts w:ascii="宋体" w:hAnsi="宋体"/>
                <w:sz w:val="18"/>
                <w:szCs w:val="18"/>
              </w:rPr>
              <w:t>公称厚度</w:t>
            </w:r>
          </w:p>
        </w:tc>
        <w:tc>
          <w:tcPr>
            <w:tcW w:w="851" w:type="dxa"/>
            <w:vAlign w:val="center"/>
          </w:tcPr>
          <w:p w14:paraId="75CC9117">
            <w:pPr>
              <w:jc w:val="center"/>
              <w:rPr>
                <w:rFonts w:ascii="宋体" w:hAnsi="宋体"/>
                <w:sz w:val="18"/>
                <w:szCs w:val="18"/>
              </w:rPr>
            </w:pPr>
            <w:r>
              <w:rPr>
                <w:rFonts w:ascii="宋体" w:hAnsi="宋体"/>
                <w:sz w:val="18"/>
                <w:szCs w:val="18"/>
              </w:rPr>
              <w:t>厚度允许偏差</w:t>
            </w:r>
          </w:p>
        </w:tc>
        <w:tc>
          <w:tcPr>
            <w:tcW w:w="709" w:type="dxa"/>
            <w:vAlign w:val="center"/>
          </w:tcPr>
          <w:p w14:paraId="2506B5D0">
            <w:pPr>
              <w:jc w:val="center"/>
              <w:rPr>
                <w:rFonts w:ascii="宋体" w:hAnsi="宋体"/>
                <w:sz w:val="18"/>
                <w:szCs w:val="18"/>
              </w:rPr>
            </w:pPr>
            <w:r>
              <w:rPr>
                <w:rFonts w:ascii="宋体" w:hAnsi="宋体"/>
                <w:sz w:val="18"/>
                <w:szCs w:val="18"/>
              </w:rPr>
              <w:t>公称宽度</w:t>
            </w:r>
          </w:p>
        </w:tc>
        <w:tc>
          <w:tcPr>
            <w:tcW w:w="850" w:type="dxa"/>
            <w:vAlign w:val="center"/>
          </w:tcPr>
          <w:p w14:paraId="1673A899">
            <w:pPr>
              <w:ind w:firstLine="32"/>
              <w:jc w:val="center"/>
              <w:rPr>
                <w:rFonts w:ascii="宋体" w:hAnsi="宋体"/>
                <w:sz w:val="18"/>
                <w:szCs w:val="18"/>
              </w:rPr>
            </w:pPr>
            <w:r>
              <w:rPr>
                <w:rFonts w:ascii="宋体" w:hAnsi="宋体"/>
                <w:sz w:val="18"/>
                <w:szCs w:val="18"/>
              </w:rPr>
              <w:t>宽度允许偏差</w:t>
            </w:r>
          </w:p>
        </w:tc>
        <w:tc>
          <w:tcPr>
            <w:tcW w:w="761" w:type="dxa"/>
            <w:vAlign w:val="center"/>
          </w:tcPr>
          <w:p w14:paraId="503012A7">
            <w:pPr>
              <w:jc w:val="center"/>
              <w:rPr>
                <w:rFonts w:ascii="宋体" w:hAnsi="宋体"/>
                <w:sz w:val="18"/>
                <w:szCs w:val="18"/>
              </w:rPr>
            </w:pPr>
            <w:r>
              <w:rPr>
                <w:rFonts w:hint="eastAsia" w:ascii="宋体" w:hAnsi="宋体"/>
                <w:sz w:val="18"/>
                <w:szCs w:val="18"/>
              </w:rPr>
              <w:t>镰刀弯</w:t>
            </w:r>
          </w:p>
        </w:tc>
        <w:tc>
          <w:tcPr>
            <w:tcW w:w="783" w:type="dxa"/>
            <w:vAlign w:val="center"/>
          </w:tcPr>
          <w:p w14:paraId="72E97BE8">
            <w:pPr>
              <w:jc w:val="center"/>
              <w:rPr>
                <w:rFonts w:ascii="宋体" w:hAnsi="宋体"/>
                <w:sz w:val="18"/>
                <w:szCs w:val="18"/>
              </w:rPr>
            </w:pPr>
            <w:r>
              <w:rPr>
                <w:rFonts w:ascii="宋体" w:hAnsi="宋体"/>
                <w:sz w:val="18"/>
                <w:szCs w:val="18"/>
              </w:rPr>
              <w:t>截面厚差</w:t>
            </w:r>
          </w:p>
        </w:tc>
      </w:tr>
      <w:tr w14:paraId="6B3E9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14:paraId="14D0C4D5">
            <w:pPr>
              <w:jc w:val="center"/>
              <w:rPr>
                <w:rFonts w:ascii="宋体" w:hAnsi="宋体"/>
                <w:sz w:val="18"/>
                <w:szCs w:val="18"/>
              </w:rPr>
            </w:pPr>
            <w:r>
              <w:rPr>
                <w:rFonts w:hint="eastAsia" w:ascii="宋体" w:hAnsi="宋体"/>
                <w:sz w:val="18"/>
                <w:szCs w:val="18"/>
              </w:rPr>
              <w:t>1</w:t>
            </w:r>
          </w:p>
        </w:tc>
        <w:tc>
          <w:tcPr>
            <w:tcW w:w="713" w:type="dxa"/>
            <w:vAlign w:val="center"/>
          </w:tcPr>
          <w:p w14:paraId="085704D5">
            <w:pPr>
              <w:jc w:val="center"/>
              <w:rPr>
                <w:rFonts w:ascii="宋体" w:hAnsi="宋体"/>
                <w:sz w:val="18"/>
                <w:szCs w:val="18"/>
              </w:rPr>
            </w:pPr>
            <w:r>
              <w:rPr>
                <w:rFonts w:ascii="宋体" w:hAnsi="宋体"/>
                <w:sz w:val="18"/>
                <w:szCs w:val="18"/>
              </w:rPr>
              <w:t>1.41</w:t>
            </w:r>
          </w:p>
        </w:tc>
        <w:tc>
          <w:tcPr>
            <w:tcW w:w="851" w:type="dxa"/>
            <w:vAlign w:val="center"/>
          </w:tcPr>
          <w:p w14:paraId="6E521CC0">
            <w:pPr>
              <w:jc w:val="center"/>
              <w:rPr>
                <w:rFonts w:ascii="宋体" w:hAnsi="宋体"/>
                <w:sz w:val="18"/>
                <w:szCs w:val="18"/>
              </w:rPr>
            </w:pPr>
            <w:r>
              <w:rPr>
                <w:rFonts w:ascii="宋体" w:hAnsi="宋体"/>
                <w:sz w:val="18"/>
                <w:szCs w:val="18"/>
              </w:rPr>
              <w:t>±0.03</w:t>
            </w:r>
          </w:p>
        </w:tc>
        <w:tc>
          <w:tcPr>
            <w:tcW w:w="709" w:type="dxa"/>
            <w:vAlign w:val="center"/>
          </w:tcPr>
          <w:p w14:paraId="2E4E8291">
            <w:pPr>
              <w:jc w:val="center"/>
              <w:rPr>
                <w:rFonts w:ascii="宋体" w:hAnsi="宋体"/>
                <w:sz w:val="18"/>
                <w:szCs w:val="18"/>
              </w:rPr>
            </w:pPr>
            <w:r>
              <w:rPr>
                <w:rFonts w:ascii="宋体" w:hAnsi="宋体"/>
                <w:sz w:val="18"/>
                <w:szCs w:val="18"/>
              </w:rPr>
              <w:t>323.0</w:t>
            </w:r>
          </w:p>
        </w:tc>
        <w:tc>
          <w:tcPr>
            <w:tcW w:w="850" w:type="dxa"/>
            <w:vAlign w:val="center"/>
          </w:tcPr>
          <w:p w14:paraId="42A2862F">
            <w:pPr>
              <w:jc w:val="center"/>
              <w:rPr>
                <w:rFonts w:ascii="宋体" w:hAnsi="宋体"/>
                <w:sz w:val="18"/>
                <w:szCs w:val="18"/>
              </w:rPr>
            </w:pPr>
            <w:r>
              <w:rPr>
                <w:rFonts w:ascii="宋体" w:hAnsi="宋体"/>
                <w:sz w:val="18"/>
                <w:szCs w:val="18"/>
              </w:rPr>
              <w:t>+</w:t>
            </w:r>
            <w:r>
              <w:rPr>
                <w:rFonts w:hint="eastAsia" w:ascii="宋体" w:hAnsi="宋体"/>
                <w:sz w:val="18"/>
                <w:szCs w:val="18"/>
              </w:rPr>
              <w:t>0.4</w:t>
            </w:r>
            <w:r>
              <w:rPr>
                <w:rFonts w:ascii="宋体" w:hAnsi="宋体"/>
                <w:sz w:val="18"/>
                <w:szCs w:val="18"/>
              </w:rPr>
              <w:t>0</w:t>
            </w:r>
          </w:p>
          <w:p w14:paraId="570A8BB2">
            <w:pPr>
              <w:jc w:val="center"/>
              <w:rPr>
                <w:rFonts w:ascii="宋体" w:hAnsi="宋体"/>
                <w:sz w:val="18"/>
                <w:szCs w:val="18"/>
              </w:rPr>
            </w:pPr>
            <w:r>
              <w:rPr>
                <w:rFonts w:ascii="宋体" w:hAnsi="宋体"/>
                <w:sz w:val="18"/>
                <w:szCs w:val="18"/>
              </w:rPr>
              <w:t>0.00</w:t>
            </w:r>
          </w:p>
        </w:tc>
        <w:tc>
          <w:tcPr>
            <w:tcW w:w="761" w:type="dxa"/>
            <w:vMerge w:val="restart"/>
            <w:vAlign w:val="center"/>
          </w:tcPr>
          <w:p w14:paraId="355F1C92">
            <w:pPr>
              <w:jc w:val="center"/>
              <w:rPr>
                <w:rFonts w:ascii="宋体" w:hAnsi="宋体"/>
                <w:sz w:val="18"/>
                <w:szCs w:val="18"/>
              </w:rPr>
            </w:pPr>
            <w:r>
              <w:rPr>
                <w:rFonts w:ascii="宋体" w:hAnsi="宋体"/>
                <w:sz w:val="18"/>
                <w:szCs w:val="18"/>
              </w:rPr>
              <w:t>每米小于等于1</w:t>
            </w:r>
          </w:p>
        </w:tc>
        <w:tc>
          <w:tcPr>
            <w:tcW w:w="783" w:type="dxa"/>
            <w:vMerge w:val="restart"/>
            <w:vAlign w:val="center"/>
          </w:tcPr>
          <w:p w14:paraId="5770D76B">
            <w:pPr>
              <w:jc w:val="center"/>
              <w:rPr>
                <w:rFonts w:ascii="宋体" w:hAnsi="宋体"/>
                <w:sz w:val="18"/>
                <w:szCs w:val="18"/>
              </w:rPr>
            </w:pPr>
            <w:r>
              <w:rPr>
                <w:rFonts w:ascii="宋体" w:hAnsi="宋体"/>
                <w:sz w:val="18"/>
                <w:szCs w:val="18"/>
              </w:rPr>
              <w:t>不大于0.03</w:t>
            </w:r>
          </w:p>
        </w:tc>
      </w:tr>
      <w:tr w14:paraId="05A85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jc w:val="center"/>
        </w:trPr>
        <w:tc>
          <w:tcPr>
            <w:tcW w:w="704" w:type="dxa"/>
            <w:vAlign w:val="center"/>
          </w:tcPr>
          <w:p w14:paraId="12E5B8A7">
            <w:pPr>
              <w:jc w:val="center"/>
              <w:rPr>
                <w:rFonts w:ascii="宋体" w:hAnsi="宋体"/>
                <w:sz w:val="18"/>
                <w:szCs w:val="18"/>
              </w:rPr>
            </w:pPr>
            <w:r>
              <w:rPr>
                <w:rFonts w:hint="eastAsia" w:ascii="宋体" w:hAnsi="宋体"/>
                <w:sz w:val="18"/>
                <w:szCs w:val="18"/>
              </w:rPr>
              <w:t>2</w:t>
            </w:r>
          </w:p>
        </w:tc>
        <w:tc>
          <w:tcPr>
            <w:tcW w:w="713" w:type="dxa"/>
            <w:vAlign w:val="center"/>
          </w:tcPr>
          <w:p w14:paraId="0985A8CB">
            <w:pPr>
              <w:jc w:val="center"/>
              <w:rPr>
                <w:rFonts w:ascii="宋体" w:hAnsi="宋体"/>
                <w:sz w:val="18"/>
                <w:szCs w:val="18"/>
              </w:rPr>
            </w:pPr>
            <w:r>
              <w:rPr>
                <w:rFonts w:ascii="宋体" w:hAnsi="宋体"/>
                <w:sz w:val="18"/>
                <w:szCs w:val="18"/>
              </w:rPr>
              <w:t>1.46</w:t>
            </w:r>
          </w:p>
        </w:tc>
        <w:tc>
          <w:tcPr>
            <w:tcW w:w="851" w:type="dxa"/>
            <w:vAlign w:val="center"/>
          </w:tcPr>
          <w:p w14:paraId="377881D5">
            <w:pPr>
              <w:jc w:val="center"/>
              <w:rPr>
                <w:rFonts w:ascii="宋体" w:hAnsi="宋体"/>
                <w:sz w:val="18"/>
                <w:szCs w:val="18"/>
              </w:rPr>
            </w:pPr>
            <w:r>
              <w:rPr>
                <w:rFonts w:ascii="宋体" w:hAnsi="宋体"/>
                <w:sz w:val="18"/>
                <w:szCs w:val="18"/>
              </w:rPr>
              <w:t>±0.02</w:t>
            </w:r>
          </w:p>
        </w:tc>
        <w:tc>
          <w:tcPr>
            <w:tcW w:w="709" w:type="dxa"/>
            <w:vAlign w:val="center"/>
          </w:tcPr>
          <w:p w14:paraId="2B295495">
            <w:pPr>
              <w:jc w:val="center"/>
              <w:rPr>
                <w:rFonts w:ascii="宋体" w:hAnsi="宋体"/>
                <w:sz w:val="18"/>
                <w:szCs w:val="18"/>
              </w:rPr>
            </w:pPr>
            <w:r>
              <w:rPr>
                <w:rFonts w:ascii="宋体" w:hAnsi="宋体"/>
                <w:sz w:val="18"/>
                <w:szCs w:val="18"/>
              </w:rPr>
              <w:t>314.0</w:t>
            </w:r>
          </w:p>
        </w:tc>
        <w:tc>
          <w:tcPr>
            <w:tcW w:w="850" w:type="dxa"/>
            <w:vAlign w:val="center"/>
          </w:tcPr>
          <w:p w14:paraId="29096E29">
            <w:pPr>
              <w:jc w:val="center"/>
              <w:rPr>
                <w:rFonts w:ascii="宋体" w:hAnsi="宋体"/>
                <w:sz w:val="18"/>
                <w:szCs w:val="18"/>
              </w:rPr>
            </w:pPr>
            <w:r>
              <w:rPr>
                <w:rFonts w:ascii="宋体" w:hAnsi="宋体"/>
                <w:sz w:val="18"/>
                <w:szCs w:val="18"/>
              </w:rPr>
              <w:t>±0.5</w:t>
            </w:r>
          </w:p>
        </w:tc>
        <w:tc>
          <w:tcPr>
            <w:tcW w:w="761" w:type="dxa"/>
            <w:vMerge w:val="continue"/>
          </w:tcPr>
          <w:p w14:paraId="05A1AFE3">
            <w:pPr>
              <w:rPr>
                <w:rFonts w:ascii="宋体" w:hAnsi="宋体"/>
                <w:szCs w:val="21"/>
              </w:rPr>
            </w:pPr>
          </w:p>
        </w:tc>
        <w:tc>
          <w:tcPr>
            <w:tcW w:w="783" w:type="dxa"/>
            <w:vMerge w:val="continue"/>
          </w:tcPr>
          <w:p w14:paraId="6D5803EC">
            <w:pPr>
              <w:rPr>
                <w:rFonts w:ascii="宋体" w:hAnsi="宋体"/>
                <w:szCs w:val="21"/>
              </w:rPr>
            </w:pPr>
          </w:p>
        </w:tc>
      </w:tr>
    </w:tbl>
    <w:p w14:paraId="0631BAAE">
      <w:pPr>
        <w:spacing w:line="360" w:lineRule="auto"/>
        <w:ind w:left="1418" w:leftChars="675"/>
        <w:jc w:val="left"/>
        <w:rPr>
          <w:rFonts w:ascii="宋体" w:hAnsi="宋体" w:eastAsia="宋体" w:cs="宋体"/>
          <w:color w:val="000000" w:themeColor="text1"/>
          <w:sz w:val="24"/>
          <w14:textFill>
            <w14:solidFill>
              <w14:schemeClr w14:val="tx1"/>
            </w14:solidFill>
          </w14:textFill>
        </w:rPr>
      </w:pPr>
    </w:p>
    <w:p w14:paraId="1BCCAABB">
      <w:pPr>
        <w:spacing w:line="360" w:lineRule="auto"/>
        <w:ind w:left="424" w:leftChars="202"/>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3．钢带卷内径</w:t>
      </w:r>
    </w:p>
    <w:p w14:paraId="1E418056">
      <w:pPr>
        <w:pStyle w:val="21"/>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钢带应成卷交货，钢卷的内径为Φ480 mm～Φ520 mm或Φ600 mm～Φ620 mm。</w:t>
      </w:r>
    </w:p>
    <w:p w14:paraId="5A04DEAB">
      <w:pPr>
        <w:pStyle w:val="21"/>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4．钢带卷重量</w:t>
      </w:r>
    </w:p>
    <w:p w14:paraId="48E5DC18">
      <w:pPr>
        <w:pStyle w:val="21"/>
        <w:spacing w:line="360" w:lineRule="auto"/>
        <w:ind w:firstLine="630"/>
        <w:jc w:val="both"/>
        <w:rPr>
          <w:rFonts w:ascii="宋体" w:hAnsi="宋体" w:eastAsia="宋体" w:cs="宋体"/>
          <w:color w:val="auto"/>
          <w:szCs w:val="24"/>
        </w:rPr>
      </w:pPr>
      <w:r>
        <w:rPr>
          <w:rFonts w:hint="eastAsia" w:ascii="宋体" w:hAnsi="宋体" w:eastAsia="宋体" w:cs="宋体"/>
          <w:color w:val="auto"/>
          <w:szCs w:val="24"/>
        </w:rPr>
        <w:t>钢带卷每卷重量为1000 kg～2500 kg</w:t>
      </w:r>
      <w:r>
        <w:rPr>
          <w:rFonts w:hint="eastAsia" w:ascii="Times New Roman" w:hAnsi="宋体" w:eastAsia="宋体"/>
          <w:color w:val="auto"/>
          <w:szCs w:val="24"/>
        </w:rPr>
        <w:t>。</w:t>
      </w:r>
    </w:p>
    <w:p w14:paraId="366B8457">
      <w:pPr>
        <w:pStyle w:val="21"/>
        <w:spacing w:line="360" w:lineRule="auto"/>
        <w:ind w:firstLine="480" w:firstLineChars="200"/>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5．钢带硬度</w:t>
      </w:r>
    </w:p>
    <w:p w14:paraId="71CF0839">
      <w:pPr>
        <w:pStyle w:val="21"/>
        <w:spacing w:line="360" w:lineRule="auto"/>
        <w:jc w:val="both"/>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kern w:val="2"/>
          <w:szCs w:val="24"/>
          <w14:textFill>
            <w14:solidFill>
              <w14:schemeClr w14:val="tx1"/>
            </w14:solidFill>
          </w14:textFill>
        </w:rPr>
        <w:t>钢带为冷轧、不退火态，钢带成卷交货，表面不涂油，规格1钢带表面硬度为</w:t>
      </w:r>
      <w:r>
        <w:rPr>
          <w:rFonts w:ascii="宋体" w:hAnsi="宋体" w:eastAsia="宋体" w:cs="宋体"/>
          <w:color w:val="000000" w:themeColor="text1"/>
          <w:kern w:val="2"/>
          <w:szCs w:val="24"/>
          <w14:textFill>
            <w14:solidFill>
              <w14:schemeClr w14:val="tx1"/>
            </w14:solidFill>
          </w14:textFill>
        </w:rPr>
        <w:t>80 HRB～95 HRB</w:t>
      </w:r>
      <w:r>
        <w:rPr>
          <w:rFonts w:hint="eastAsia" w:ascii="宋体" w:hAnsi="宋体" w:eastAsia="宋体" w:cs="宋体"/>
          <w:color w:val="000000" w:themeColor="text1"/>
          <w:kern w:val="2"/>
          <w:szCs w:val="24"/>
          <w14:textFill>
            <w14:solidFill>
              <w14:schemeClr w14:val="tx1"/>
            </w14:solidFill>
          </w14:textFill>
        </w:rPr>
        <w:t>；规格2</w:t>
      </w:r>
      <w:r>
        <w:rPr>
          <w:rFonts w:ascii="宋体" w:hAnsi="宋体" w:eastAsia="宋体" w:cs="宋体"/>
          <w:color w:val="000000" w:themeColor="text1"/>
          <w:kern w:val="2"/>
          <w:szCs w:val="24"/>
          <w14:textFill>
            <w14:solidFill>
              <w14:schemeClr w14:val="tx1"/>
            </w14:solidFill>
          </w14:textFill>
        </w:rPr>
        <w:t>钢带表面硬度为</w:t>
      </w:r>
      <w:r>
        <w:rPr>
          <w:rFonts w:hint="eastAsia" w:ascii="宋体" w:hAnsi="宋体" w:eastAsia="宋体" w:cs="宋体"/>
          <w:color w:val="000000" w:themeColor="text1"/>
          <w:kern w:val="2"/>
          <w:szCs w:val="24"/>
          <w14:textFill>
            <w14:solidFill>
              <w14:schemeClr w14:val="tx1"/>
            </w14:solidFill>
          </w14:textFill>
        </w:rPr>
        <w:t>90</w:t>
      </w:r>
      <w:r>
        <w:rPr>
          <w:rFonts w:ascii="宋体" w:hAnsi="宋体" w:eastAsia="宋体" w:cs="宋体"/>
          <w:color w:val="000000" w:themeColor="text1"/>
          <w:kern w:val="2"/>
          <w:szCs w:val="24"/>
          <w14:textFill>
            <w14:solidFill>
              <w14:schemeClr w14:val="tx1"/>
            </w14:solidFill>
          </w14:textFill>
        </w:rPr>
        <w:t>HRB～9</w:t>
      </w:r>
      <w:r>
        <w:rPr>
          <w:rFonts w:hint="eastAsia" w:ascii="宋体" w:hAnsi="宋体" w:eastAsia="宋体" w:cs="宋体"/>
          <w:color w:val="000000" w:themeColor="text1"/>
          <w:kern w:val="2"/>
          <w:szCs w:val="24"/>
          <w14:textFill>
            <w14:solidFill>
              <w14:schemeClr w14:val="tx1"/>
            </w14:solidFill>
          </w14:textFill>
        </w:rPr>
        <w:t>9</w:t>
      </w:r>
      <w:r>
        <w:rPr>
          <w:rFonts w:ascii="宋体" w:hAnsi="宋体" w:eastAsia="宋体" w:cs="宋体"/>
          <w:color w:val="000000" w:themeColor="text1"/>
          <w:kern w:val="2"/>
          <w:szCs w:val="24"/>
          <w14:textFill>
            <w14:solidFill>
              <w14:schemeClr w14:val="tx1"/>
            </w14:solidFill>
          </w14:textFill>
        </w:rPr>
        <w:t xml:space="preserve"> HRB</w:t>
      </w:r>
      <w:r>
        <w:rPr>
          <w:rFonts w:ascii="宋体" w:hAnsi="宋体" w:eastAsia="宋体" w:cs="宋体"/>
          <w:color w:val="FF0000"/>
          <w:kern w:val="2"/>
          <w:szCs w:val="24"/>
        </w:rPr>
        <w:t>。</w:t>
      </w:r>
    </w:p>
    <w:p w14:paraId="1920E083">
      <w:p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6．表面质量</w:t>
      </w:r>
    </w:p>
    <w:p w14:paraId="3192F405">
      <w:pPr>
        <w:spacing w:line="360" w:lineRule="auto"/>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钢带表面应光滑，其表面粗糙</w:t>
      </w:r>
      <w:r>
        <w:rPr>
          <w:rFonts w:hint="eastAsia" w:ascii="宋体" w:hAnsi="宋体" w:eastAsia="宋体" w:cs="宋体"/>
          <w:sz w:val="24"/>
        </w:rPr>
        <w:t>度Ra≤0.7</w:t>
      </w:r>
      <w:r>
        <w:rPr>
          <w:rFonts w:ascii="宋体" w:hAnsi="宋体" w:eastAsia="宋体" w:cs="宋体"/>
          <w:sz w:val="24"/>
        </w:rPr>
        <w:t>μm</w:t>
      </w:r>
      <w:r>
        <w:rPr>
          <w:rFonts w:hint="eastAsia" w:ascii="宋体" w:hAnsi="宋体" w:eastAsia="宋体" w:cs="宋体"/>
          <w:sz w:val="24"/>
        </w:rPr>
        <w:t>。</w:t>
      </w:r>
      <w:r>
        <w:rPr>
          <w:rFonts w:ascii="宋体" w:hAnsi="宋体" w:eastAsia="宋体" w:cs="宋体"/>
          <w:color w:val="000000" w:themeColor="text1"/>
          <w:kern w:val="0"/>
          <w:sz w:val="24"/>
          <w14:textFill>
            <w14:solidFill>
              <w14:schemeClr w14:val="tx1"/>
            </w14:solidFill>
          </w14:textFill>
        </w:rPr>
        <w:t>钢带表面</w:t>
      </w:r>
      <w:r>
        <w:rPr>
          <w:rFonts w:hint="eastAsia" w:ascii="宋体" w:hAnsi="宋体" w:eastAsia="宋体" w:cs="宋体"/>
          <w:color w:val="000000" w:themeColor="text1"/>
          <w:kern w:val="0"/>
          <w:sz w:val="24"/>
          <w14:textFill>
            <w14:solidFill>
              <w14:schemeClr w14:val="tx1"/>
            </w14:solidFill>
          </w14:textFill>
        </w:rPr>
        <w:t>应</w:t>
      </w:r>
      <w:r>
        <w:rPr>
          <w:rFonts w:ascii="宋体" w:hAnsi="宋体" w:eastAsia="宋体" w:cs="宋体"/>
          <w:color w:val="000000" w:themeColor="text1"/>
          <w:kern w:val="0"/>
          <w:sz w:val="24"/>
          <w14:textFill>
            <w14:solidFill>
              <w14:schemeClr w14:val="tx1"/>
            </w14:solidFill>
          </w14:textFill>
        </w:rPr>
        <w:t>无</w:t>
      </w:r>
      <w:r>
        <w:rPr>
          <w:rFonts w:hint="eastAsia" w:ascii="宋体" w:hAnsi="宋体" w:eastAsia="宋体" w:cs="宋体"/>
          <w:color w:val="000000" w:themeColor="text1"/>
          <w:kern w:val="0"/>
          <w:sz w:val="24"/>
          <w14:textFill>
            <w14:solidFill>
              <w14:schemeClr w14:val="tx1"/>
            </w14:solidFill>
          </w14:textFill>
        </w:rPr>
        <w:t>目视可见的分层、</w:t>
      </w:r>
      <w:r>
        <w:rPr>
          <w:rFonts w:ascii="宋体" w:hAnsi="宋体" w:eastAsia="宋体" w:cs="宋体"/>
          <w:color w:val="000000" w:themeColor="text1"/>
          <w:kern w:val="0"/>
          <w:sz w:val="24"/>
          <w14:textFill>
            <w14:solidFill>
              <w14:schemeClr w14:val="tx1"/>
            </w14:solidFill>
          </w14:textFill>
        </w:rPr>
        <w:t>气泡、</w:t>
      </w:r>
      <w:r>
        <w:rPr>
          <w:rFonts w:hint="eastAsia" w:ascii="宋体" w:hAnsi="宋体" w:eastAsia="宋体" w:cs="宋体"/>
          <w:color w:val="000000" w:themeColor="text1"/>
          <w:kern w:val="0"/>
          <w:sz w:val="24"/>
          <w14:textFill>
            <w14:solidFill>
              <w14:schemeClr w14:val="tx1"/>
            </w14:solidFill>
          </w14:textFill>
        </w:rPr>
        <w:t>结疤、</w:t>
      </w:r>
      <w:r>
        <w:rPr>
          <w:rFonts w:ascii="宋体" w:hAnsi="宋体" w:eastAsia="宋体" w:cs="宋体"/>
          <w:color w:val="000000" w:themeColor="text1"/>
          <w:kern w:val="0"/>
          <w:sz w:val="24"/>
          <w14:textFill>
            <w14:solidFill>
              <w14:schemeClr w14:val="tx1"/>
            </w14:solidFill>
          </w14:textFill>
        </w:rPr>
        <w:t>起皮、夹杂、孔洞、凹坑、裂纹、锈蚀、擦伤、轧痕和焊缝等缺陷</w:t>
      </w:r>
      <w:r>
        <w:rPr>
          <w:rFonts w:hint="eastAsia" w:ascii="宋体" w:hAnsi="宋体" w:eastAsia="宋体" w:cs="宋体"/>
          <w:color w:val="000000" w:themeColor="text1"/>
          <w:kern w:val="0"/>
          <w:sz w:val="24"/>
          <w14:textFill>
            <w14:solidFill>
              <w14:schemeClr w14:val="tx1"/>
            </w14:solidFill>
          </w14:textFill>
        </w:rPr>
        <w:t>。</w:t>
      </w:r>
    </w:p>
    <w:p w14:paraId="703B5001">
      <w:pPr>
        <w:widowControl/>
        <w:jc w:val="left"/>
        <w:rPr>
          <w:rFonts w:cs="宋体"/>
          <w:sz w:val="24"/>
        </w:rPr>
      </w:pPr>
    </w:p>
    <w:p w14:paraId="1069116F">
      <w:pPr>
        <w:widowControl/>
        <w:jc w:val="left"/>
        <w:rPr>
          <w:rFonts w:hint="eastAsia" w:asciiTheme="majorHAnsi" w:hAnsiTheme="majorHAnsi" w:eastAsiaTheme="majorEastAsia" w:cstheme="majorBidi"/>
          <w:b/>
          <w:bCs/>
          <w:sz w:val="32"/>
          <w:szCs w:val="32"/>
        </w:rPr>
      </w:pPr>
      <w:r>
        <w:br w:type="page"/>
      </w:r>
    </w:p>
    <w:p w14:paraId="77787363">
      <w:pPr>
        <w:pStyle w:val="4"/>
        <w:spacing w:before="156" w:after="156"/>
        <w:rPr>
          <w:rFonts w:ascii="宋体" w:hAnsi="宋体" w:eastAsia="宋体" w:cs="宋体"/>
          <w:sz w:val="24"/>
          <w:szCs w:val="24"/>
        </w:rPr>
      </w:pPr>
      <w:r>
        <w:rPr>
          <w:rFonts w:hint="eastAsia" w:ascii="宋体" w:hAnsi="宋体" w:eastAsia="宋体" w:cs="宋体"/>
          <w:sz w:val="24"/>
          <w:szCs w:val="24"/>
        </w:rPr>
        <w:t>附件3</w:t>
      </w:r>
    </w:p>
    <w:p w14:paraId="0716998C">
      <w:pPr>
        <w:pStyle w:val="2"/>
        <w:jc w:val="center"/>
        <w:rPr>
          <w:b/>
          <w:bCs/>
          <w:lang w:eastAsia="zh-CN"/>
        </w:rPr>
      </w:pPr>
      <w:r>
        <w:rPr>
          <w:rFonts w:hint="eastAsia"/>
          <w:b/>
          <w:bCs/>
          <w:sz w:val="24"/>
          <w:szCs w:val="24"/>
          <w:lang w:eastAsia="zh-CN"/>
        </w:rPr>
        <w:t>低碳钢带供应商试制带材质量验证管理办法</w:t>
      </w:r>
    </w:p>
    <w:p w14:paraId="60BDFF06">
      <w:pPr>
        <w:pStyle w:val="2"/>
        <w:numPr>
          <w:ilvl w:val="0"/>
          <w:numId w:val="5"/>
        </w:numPr>
        <w:rPr>
          <w:lang w:eastAsia="zh-CN"/>
        </w:rPr>
      </w:pPr>
      <w:r>
        <w:rPr>
          <w:rFonts w:hint="eastAsia"/>
          <w:lang w:eastAsia="zh-CN"/>
        </w:rPr>
        <w:t>试制数量</w:t>
      </w:r>
    </w:p>
    <w:p w14:paraId="52341E52">
      <w:pPr>
        <w:pStyle w:val="2"/>
        <w:rPr>
          <w:lang w:eastAsia="zh-CN"/>
        </w:rPr>
      </w:pPr>
      <w:r>
        <w:rPr>
          <w:rFonts w:hint="eastAsia"/>
          <w:lang w:eastAsia="zh-CN"/>
        </w:rPr>
        <w:t>1.1供应商（“</w:t>
      </w:r>
      <w:r>
        <w:rPr>
          <w:rFonts w:hint="eastAsia"/>
          <w:b/>
          <w:bCs/>
          <w:lang w:eastAsia="zh-CN"/>
        </w:rPr>
        <w:t>乙方</w:t>
      </w:r>
      <w:r>
        <w:rPr>
          <w:rFonts w:hint="eastAsia"/>
          <w:lang w:eastAsia="zh-CN"/>
        </w:rPr>
        <w:t>”）带材质量验证阶段分为两个阶段，第一阶段为小批量试制（验证带材数量小于10吨）。</w:t>
      </w:r>
    </w:p>
    <w:p w14:paraId="72D9051E">
      <w:pPr>
        <w:pStyle w:val="2"/>
        <w:rPr>
          <w:lang w:eastAsia="zh-CN"/>
        </w:rPr>
      </w:pPr>
      <w:r>
        <w:rPr>
          <w:rFonts w:hint="eastAsia"/>
          <w:lang w:eastAsia="zh-CN"/>
        </w:rPr>
        <w:t>1.2 第二阶段为放量试制（验证带材数量大于10吨，小于20吨，供应商需提供不同于第一阶段的炉号的试制品）。</w:t>
      </w:r>
    </w:p>
    <w:p w14:paraId="64C45716">
      <w:pPr>
        <w:pStyle w:val="2"/>
        <w:rPr>
          <w:lang w:eastAsia="zh-CN"/>
        </w:rPr>
      </w:pPr>
      <w:r>
        <w:rPr>
          <w:rFonts w:hint="eastAsia"/>
          <w:lang w:eastAsia="zh-CN"/>
        </w:rPr>
        <w:t>1.3配合采购人（“</w:t>
      </w:r>
      <w:r>
        <w:rPr>
          <w:rFonts w:hint="eastAsia"/>
          <w:b/>
          <w:bCs/>
          <w:lang w:eastAsia="zh-CN"/>
        </w:rPr>
        <w:t>甲方</w:t>
      </w:r>
      <w:r>
        <w:rPr>
          <w:rFonts w:hint="eastAsia"/>
          <w:lang w:eastAsia="zh-CN"/>
        </w:rPr>
        <w:t>”）调查分析质量验证阶段出现质量问题的原因及提供详实可靠的整改方案。</w:t>
      </w:r>
    </w:p>
    <w:p w14:paraId="1053169A">
      <w:pPr>
        <w:pStyle w:val="2"/>
        <w:rPr>
          <w:lang w:eastAsia="zh-CN"/>
        </w:rPr>
      </w:pPr>
      <w:r>
        <w:rPr>
          <w:rFonts w:hint="eastAsia"/>
          <w:lang w:eastAsia="zh-CN"/>
        </w:rPr>
        <w:t>2. 质量验证要求及判定规则</w:t>
      </w:r>
    </w:p>
    <w:p w14:paraId="51F7718B">
      <w:pPr>
        <w:pStyle w:val="2"/>
        <w:rPr>
          <w:lang w:eastAsia="zh-CN"/>
        </w:rPr>
      </w:pPr>
      <w:r>
        <w:rPr>
          <w:rFonts w:hint="eastAsia"/>
          <w:lang w:eastAsia="zh-CN"/>
        </w:rPr>
        <w:t>供应商试制带材在第一阶段质量验证中未出现质量问题，方可以进行第二阶段验证。第一阶段和第二阶段均未发现带材质量问题，则验证通过。每阶段的质量验证时间不超过30天，因乙方原因而导致质量验证时间超期限的情况除外</w:t>
      </w:r>
      <w:r>
        <w:rPr>
          <w:rFonts w:hint="eastAsia" w:ascii="宋体" w:hAnsi="宋体" w:cs="宋体"/>
          <w:kern w:val="0"/>
          <w:lang w:eastAsia="zh-CN"/>
        </w:rPr>
        <w:t>。</w:t>
      </w:r>
    </w:p>
    <w:p w14:paraId="0BAB9A9A">
      <w:pPr>
        <w:pStyle w:val="2"/>
        <w:rPr>
          <w:lang w:eastAsia="zh-CN"/>
        </w:rPr>
      </w:pPr>
      <w:r>
        <w:rPr>
          <w:rFonts w:hint="eastAsia"/>
          <w:lang w:eastAsia="zh-CN"/>
        </w:rPr>
        <w:t>3. 质量验证内容</w:t>
      </w:r>
    </w:p>
    <w:p w14:paraId="32A933B3">
      <w:pPr>
        <w:pStyle w:val="2"/>
        <w:rPr>
          <w:lang w:eastAsia="zh-CN"/>
        </w:rPr>
      </w:pPr>
      <w:r>
        <w:rPr>
          <w:rFonts w:hint="eastAsia"/>
          <w:lang w:eastAsia="zh-CN"/>
        </w:rPr>
        <w:t>3.1 供应商按照技术要求按批次提供包括重量、化学成分、硬度、厚度、内径、宽度、表面质量、表面粗糙度、带材不平度、侧弯及带卷塔形度等项目的检测报告。</w:t>
      </w:r>
    </w:p>
    <w:p w14:paraId="255D2477">
      <w:pPr>
        <w:pStyle w:val="2"/>
        <w:rPr>
          <w:lang w:eastAsia="zh-CN"/>
        </w:rPr>
      </w:pPr>
      <w:r>
        <w:rPr>
          <w:rFonts w:hint="eastAsia"/>
          <w:lang w:eastAsia="zh-CN"/>
        </w:rPr>
        <w:t>3.2 采购人质量部门负责按照生产检验规程进行带材入厂质量检验，检验合格后方可继续质量验证工作；入厂检验未合格，停止质量验证工作。</w:t>
      </w:r>
    </w:p>
    <w:p w14:paraId="1FE7BFFB">
      <w:pPr>
        <w:pStyle w:val="2"/>
        <w:rPr>
          <w:lang w:eastAsia="zh-CN"/>
        </w:rPr>
      </w:pPr>
      <w:r>
        <w:rPr>
          <w:rFonts w:hint="eastAsia"/>
          <w:lang w:eastAsia="zh-CN"/>
        </w:rPr>
        <w:t>3.3 采购人生产部门领入试制带材后，按照生产工艺规程进行坯饼制作工序全流程生产和质量检验。</w:t>
      </w:r>
    </w:p>
    <w:p w14:paraId="1201257F">
      <w:pPr>
        <w:pStyle w:val="2"/>
        <w:rPr>
          <w:lang w:eastAsia="zh-CN"/>
        </w:rPr>
      </w:pPr>
      <w:r>
        <w:rPr>
          <w:rFonts w:hint="eastAsia"/>
          <w:lang w:eastAsia="zh-CN"/>
        </w:rPr>
        <w:t>3.4 质量验证过程中，发现带材存在质量问题时，应立即报告质量部门进行现场确认评估。</w:t>
      </w:r>
    </w:p>
    <w:p w14:paraId="03A4BAB4">
      <w:pPr>
        <w:pStyle w:val="2"/>
        <w:rPr>
          <w:lang w:eastAsia="zh-CN"/>
        </w:rPr>
      </w:pPr>
      <w:r>
        <w:rPr>
          <w:rFonts w:hint="eastAsia"/>
          <w:lang w:eastAsia="zh-CN"/>
        </w:rPr>
        <w:t>3.5 质量验证过程中，重点检查带材规格尺寸及表面质量，发现规格尺寸（如厚度等）超差以及夹灰、锈蚀、起皮、分层、开裂等严重质量问题时需对缺陷品进行留样，对应坯饼和带材需标识、隔离待处理，同时停止质量验证工作。</w:t>
      </w:r>
    </w:p>
    <w:p w14:paraId="099701B8">
      <w:pPr>
        <w:pStyle w:val="2"/>
        <w:rPr>
          <w:b/>
          <w:lang w:eastAsia="zh-CN"/>
        </w:rPr>
      </w:pPr>
      <w:r>
        <w:rPr>
          <w:rFonts w:hint="eastAsia"/>
          <w:lang w:eastAsia="zh-CN"/>
        </w:rPr>
        <w:t>3.6 采购人物资管理部将质量验证结果通知供应商。</w:t>
      </w:r>
    </w:p>
    <w:p w14:paraId="5975DDF2">
      <w:pPr>
        <w:widowControl/>
        <w:jc w:val="left"/>
        <w:rPr>
          <w:rFonts w:ascii="宋体" w:hAnsi="宋体" w:cs="宋体"/>
          <w:kern w:val="0"/>
          <w:szCs w:val="21"/>
        </w:rPr>
      </w:pPr>
      <w:r>
        <w:br w:type="page"/>
      </w:r>
    </w:p>
    <w:p w14:paraId="77E20CF4">
      <w:pPr>
        <w:pStyle w:val="3"/>
        <w:spacing w:before="156" w:after="156"/>
        <w:rPr>
          <w:rFonts w:eastAsia="宋体"/>
          <w:sz w:val="24"/>
          <w:szCs w:val="24"/>
          <w:lang w:eastAsia="zh-CN"/>
        </w:rPr>
      </w:pPr>
      <w:r>
        <w:rPr>
          <w:rFonts w:hint="eastAsia" w:eastAsia="宋体"/>
          <w:sz w:val="24"/>
          <w:szCs w:val="24"/>
          <w:lang w:eastAsia="zh-CN"/>
        </w:rPr>
        <w:t>附件4</w:t>
      </w:r>
    </w:p>
    <w:p w14:paraId="24D03850">
      <w:pPr>
        <w:spacing w:before="156" w:after="156"/>
        <w:ind w:left="1084" w:hanging="1084"/>
        <w:jc w:val="center"/>
        <w:rPr>
          <w:b/>
          <w:sz w:val="24"/>
        </w:rPr>
      </w:pPr>
      <w:r>
        <w:rPr>
          <w:rFonts w:hint="eastAsia"/>
          <w:b/>
          <w:sz w:val="24"/>
        </w:rPr>
        <w:t>履约验收方案</w:t>
      </w:r>
    </w:p>
    <w:p w14:paraId="0FCFEF68">
      <w:pPr>
        <w:tabs>
          <w:tab w:val="left" w:pos="312"/>
        </w:tabs>
        <w:snapToGri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验收主体</w:t>
      </w:r>
    </w:p>
    <w:p w14:paraId="18062C50">
      <w:pPr>
        <w:tabs>
          <w:tab w:val="left" w:pos="312"/>
        </w:tabs>
        <w:snapToGri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采购人（需求部门）</w:t>
      </w:r>
      <w:r>
        <w:rPr>
          <w:rFonts w:hint="eastAsia" w:ascii="仿宋" w:hAnsi="仿宋" w:eastAsia="仿宋" w:cs="仿宋_GB2312"/>
          <w:kern w:val="0"/>
          <w:sz w:val="24"/>
          <w:u w:val="single"/>
        </w:rPr>
        <w:t xml:space="preserve"> 南京造币有限公司物资管理部 </w:t>
      </w:r>
    </w:p>
    <w:p w14:paraId="779DE900">
      <w:pPr>
        <w:tabs>
          <w:tab w:val="left" w:pos="312"/>
        </w:tabs>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采购人（需求部门）拟邀请（</w:t>
      </w:r>
      <w:r>
        <w:rPr>
          <w:rFonts w:hint="eastAsia" w:ascii="仿宋" w:hAnsi="仿宋" w:eastAsia="仿宋" w:cs="Times New Roman"/>
          <w:sz w:val="24"/>
        </w:rPr>
        <w:t>□</w:t>
      </w:r>
      <w:r>
        <w:rPr>
          <w:rFonts w:hint="eastAsia" w:ascii="仿宋" w:hAnsi="仿宋" w:eastAsia="仿宋" w:cs="仿宋_GB2312"/>
          <w:kern w:val="0"/>
          <w:sz w:val="24"/>
        </w:rPr>
        <w:t xml:space="preserve">本项目供应商 </w:t>
      </w:r>
      <w:r>
        <w:rPr>
          <w:rFonts w:hint="eastAsia" w:ascii="仿宋" w:hAnsi="仿宋" w:eastAsia="仿宋" w:cs="Times New Roman"/>
          <w:sz w:val="24"/>
        </w:rPr>
        <w:t>□</w:t>
      </w:r>
      <w:r>
        <w:rPr>
          <w:rFonts w:hint="eastAsia" w:ascii="仿宋" w:hAnsi="仿宋" w:eastAsia="仿宋" w:cs="仿宋_GB2312"/>
          <w:kern w:val="0"/>
          <w:sz w:val="24"/>
        </w:rPr>
        <w:t xml:space="preserve">第三方专业机构  </w:t>
      </w:r>
      <w:r>
        <w:rPr>
          <w:rFonts w:hint="eastAsia" w:ascii="仿宋" w:hAnsi="仿宋" w:eastAsia="仿宋" w:cs="Times New Roman"/>
          <w:sz w:val="24"/>
        </w:rPr>
        <w:t>□</w:t>
      </w:r>
      <w:r>
        <w:rPr>
          <w:rFonts w:hint="eastAsia" w:ascii="仿宋" w:hAnsi="仿宋" w:eastAsia="仿宋" w:cs="仿宋_GB2312"/>
          <w:kern w:val="0"/>
          <w:sz w:val="24"/>
        </w:rPr>
        <w:t xml:space="preserve">专家   </w:t>
      </w:r>
      <w:r>
        <w:rPr>
          <w:rFonts w:hint="eastAsia" w:ascii="仿宋" w:hAnsi="仿宋" w:eastAsia="仿宋" w:cs="Times New Roman"/>
          <w:sz w:val="24"/>
        </w:rPr>
        <w:t>□</w:t>
      </w:r>
      <w:r>
        <w:rPr>
          <w:rFonts w:hint="eastAsia" w:ascii="仿宋" w:hAnsi="仿宋" w:eastAsia="仿宋" w:cs="仿宋_GB2312"/>
          <w:kern w:val="0"/>
          <w:sz w:val="24"/>
        </w:rPr>
        <w:t>服务对象 ）</w:t>
      </w:r>
    </w:p>
    <w:p w14:paraId="1C86DF6B">
      <w:pPr>
        <w:widowControl/>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（2）</w:t>
      </w:r>
      <w:r>
        <w:rPr>
          <w:rFonts w:ascii="仿宋" w:hAnsi="仿宋" w:eastAsia="仿宋" w:cs="仿宋_GB2312"/>
          <w:kern w:val="0"/>
          <w:sz w:val="24"/>
        </w:rPr>
        <w:t>验收时</w:t>
      </w:r>
      <w:r>
        <w:rPr>
          <w:rFonts w:hint="eastAsia" w:ascii="仿宋" w:hAnsi="仿宋" w:eastAsia="仿宋" w:cs="仿宋_GB2312"/>
          <w:kern w:val="0"/>
          <w:sz w:val="24"/>
        </w:rPr>
        <w:t>间</w:t>
      </w:r>
    </w:p>
    <w:p w14:paraId="030D6238">
      <w:pPr>
        <w:pStyle w:val="3"/>
        <w:snapToGrid w:val="0"/>
        <w:spacing w:line="360" w:lineRule="auto"/>
        <w:ind w:left="0" w:firstLine="480" w:firstLineChars="200"/>
        <w:jc w:val="both"/>
        <w:rPr>
          <w:rFonts w:ascii="仿宋" w:hAnsi="仿宋" w:eastAsia="仿宋"/>
          <w:kern w:val="2"/>
          <w:sz w:val="24"/>
          <w:szCs w:val="24"/>
          <w:lang w:eastAsia="zh-CN"/>
        </w:rPr>
      </w:pPr>
      <w:r>
        <w:rPr>
          <w:rFonts w:hint="eastAsia" w:ascii="仿宋" w:hAnsi="仿宋" w:eastAsia="仿宋"/>
          <w:kern w:val="2"/>
          <w:sz w:val="24"/>
          <w:szCs w:val="24"/>
          <w:lang w:eastAsia="zh-CN"/>
        </w:rPr>
        <w:t>现场验收时间：自每批次货物到货后</w:t>
      </w:r>
      <w:r>
        <w:rPr>
          <w:rFonts w:ascii="仿宋" w:hAnsi="仿宋" w:eastAsia="仿宋"/>
          <w:kern w:val="2"/>
          <w:sz w:val="24"/>
          <w:szCs w:val="24"/>
          <w:lang w:eastAsia="zh-CN"/>
        </w:rPr>
        <w:t>10个日历日内完成；</w:t>
      </w:r>
    </w:p>
    <w:p w14:paraId="1DCC0EFB">
      <w:pPr>
        <w:pStyle w:val="3"/>
        <w:snapToGrid w:val="0"/>
        <w:spacing w:line="360" w:lineRule="auto"/>
        <w:ind w:left="0" w:firstLine="480" w:firstLineChars="200"/>
        <w:jc w:val="both"/>
        <w:rPr>
          <w:rFonts w:ascii="仿宋" w:hAnsi="仿宋" w:eastAsia="仿宋"/>
          <w:kern w:val="2"/>
          <w:sz w:val="24"/>
          <w:szCs w:val="24"/>
          <w:lang w:eastAsia="zh-CN"/>
        </w:rPr>
      </w:pPr>
      <w:r>
        <w:rPr>
          <w:rFonts w:hint="eastAsia" w:ascii="仿宋" w:hAnsi="仿宋" w:eastAsia="仿宋"/>
          <w:kern w:val="2"/>
          <w:sz w:val="24"/>
          <w:szCs w:val="24"/>
          <w:lang w:eastAsia="zh-CN"/>
        </w:rPr>
        <w:t>理化指标复检验收时间：自每批次货物现场验收完成后</w:t>
      </w:r>
      <w:r>
        <w:rPr>
          <w:rFonts w:ascii="仿宋" w:hAnsi="仿宋" w:eastAsia="仿宋"/>
          <w:kern w:val="2"/>
          <w:sz w:val="24"/>
          <w:szCs w:val="24"/>
          <w:lang w:eastAsia="zh-CN"/>
        </w:rPr>
        <w:t>20个日历日内完成；</w:t>
      </w:r>
    </w:p>
    <w:p w14:paraId="6C395F71">
      <w:pPr>
        <w:widowControl/>
        <w:snapToGrid w:val="0"/>
        <w:spacing w:line="360" w:lineRule="auto"/>
        <w:ind w:firstLine="480" w:firstLineChars="200"/>
        <w:jc w:val="left"/>
        <w:rPr>
          <w:rFonts w:ascii="仿宋" w:hAnsi="仿宋" w:eastAsia="仿宋" w:cs="仿宋_GB2312"/>
          <w:kern w:val="0"/>
          <w:sz w:val="24"/>
          <w:u w:val="single"/>
        </w:rPr>
      </w:pPr>
      <w:r>
        <w:rPr>
          <w:rFonts w:hint="eastAsia" w:ascii="仿宋" w:hAnsi="仿宋" w:eastAsia="仿宋" w:cs="宋体"/>
          <w:sz w:val="24"/>
        </w:rPr>
        <w:t>使用验收时间：自每批次货物使用且全部进入后续生产流程使用完后</w:t>
      </w:r>
      <w:r>
        <w:rPr>
          <w:rFonts w:ascii="仿宋" w:hAnsi="仿宋" w:eastAsia="仿宋" w:cs="宋体"/>
          <w:sz w:val="24"/>
        </w:rPr>
        <w:t>20个日历日内完成。</w:t>
      </w:r>
    </w:p>
    <w:p w14:paraId="0C5BE7BF">
      <w:pPr>
        <w:snapToGrid w:val="0"/>
        <w:spacing w:line="360" w:lineRule="auto"/>
        <w:ind w:firstLine="480" w:firstLineChars="200"/>
        <w:jc w:val="left"/>
        <w:outlineLvl w:val="0"/>
        <w:rPr>
          <w:rFonts w:ascii="仿宋" w:hAnsi="仿宋" w:eastAsia="仿宋" w:cs="仿宋_GB2312"/>
          <w:kern w:val="0"/>
          <w:sz w:val="24"/>
          <w:u w:val="single"/>
        </w:rPr>
      </w:pPr>
      <w:r>
        <w:rPr>
          <w:rFonts w:hint="eastAsia" w:ascii="仿宋" w:hAnsi="仿宋" w:eastAsia="仿宋" w:cs="仿宋_GB2312"/>
          <w:kern w:val="0"/>
          <w:sz w:val="24"/>
        </w:rPr>
        <w:t>（3）</w:t>
      </w:r>
      <w:r>
        <w:rPr>
          <w:rFonts w:ascii="仿宋" w:hAnsi="仿宋" w:eastAsia="仿宋" w:cs="仿宋_GB2312"/>
          <w:kern w:val="0"/>
          <w:sz w:val="24"/>
        </w:rPr>
        <w:t>验收</w:t>
      </w:r>
      <w:r>
        <w:rPr>
          <w:rFonts w:hint="eastAsia" w:ascii="仿宋" w:hAnsi="仿宋" w:eastAsia="仿宋" w:cs="仿宋_GB2312"/>
          <w:kern w:val="0"/>
          <w:sz w:val="24"/>
        </w:rPr>
        <w:t>方式</w:t>
      </w:r>
    </w:p>
    <w:p w14:paraId="2A98D731">
      <w:pPr>
        <w:pStyle w:val="3"/>
        <w:snapToGrid w:val="0"/>
        <w:spacing w:line="560" w:lineRule="exact"/>
        <w:ind w:left="0" w:firstLine="480" w:firstLineChars="200"/>
        <w:jc w:val="both"/>
        <w:rPr>
          <w:rFonts w:ascii="仿宋" w:hAnsi="仿宋" w:eastAsia="仿宋"/>
          <w:color w:val="000000" w:themeColor="text1"/>
          <w:sz w:val="24"/>
          <w:szCs w:val="24"/>
          <w:lang w:eastAsia="zh-CN"/>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现场验收：</w:t>
      </w:r>
      <w:r>
        <w:rPr>
          <w:rFonts w:hint="eastAsia" w:ascii="仿宋" w:hAnsi="仿宋" w:eastAsia="仿宋"/>
          <w:color w:val="000000" w:themeColor="text1"/>
          <w:kern w:val="2"/>
          <w:sz w:val="24"/>
          <w:szCs w:val="24"/>
          <w:lang w:eastAsia="zh-CN"/>
          <w14:textFill>
            <w14:solidFill>
              <w14:schemeClr w14:val="tx1"/>
            </w14:solidFill>
          </w14:textFill>
        </w:rPr>
        <w:t>交货时间的及时性和交货地点的准确性；</w:t>
      </w:r>
      <w:r>
        <w:rPr>
          <w:rFonts w:hint="eastAsia" w:ascii="仿宋" w:hAnsi="仿宋" w:eastAsia="仿宋"/>
          <w:color w:val="000000" w:themeColor="text1"/>
          <w:sz w:val="24"/>
          <w:szCs w:val="24"/>
          <w:lang w:eastAsia="zh-CN"/>
          <w14:textFill>
            <w14:solidFill>
              <w14:schemeClr w14:val="tx1"/>
            </w14:solidFill>
          </w14:textFill>
        </w:rPr>
        <w:t>品名、规格、数量、外观、包装、质保期、质检报告等客观验收。</w:t>
      </w:r>
    </w:p>
    <w:p w14:paraId="1B05A9C3">
      <w:pPr>
        <w:pStyle w:val="3"/>
        <w:snapToGrid w:val="0"/>
        <w:spacing w:line="560" w:lineRule="exact"/>
        <w:ind w:left="0" w:firstLine="480" w:firstLineChars="200"/>
        <w:jc w:val="both"/>
        <w:rPr>
          <w:rFonts w:ascii="仿宋" w:hAnsi="仿宋" w:eastAsia="仿宋"/>
          <w:color w:val="000000" w:themeColor="text1"/>
          <w:sz w:val="24"/>
          <w:szCs w:val="24"/>
          <w:lang w:eastAsia="zh-CN"/>
          <w14:textFill>
            <w14:solidFill>
              <w14:schemeClr w14:val="tx1"/>
            </w14:solidFill>
          </w14:textFill>
        </w:rPr>
      </w:pPr>
      <w:r>
        <w:rPr>
          <w:rFonts w:hint="eastAsia" w:ascii="仿宋" w:hAnsi="仿宋" w:eastAsia="仿宋"/>
          <w:color w:val="000000" w:themeColor="text1"/>
          <w:sz w:val="24"/>
          <w:szCs w:val="24"/>
          <w:lang w:eastAsia="zh-CN"/>
          <w14:textFill>
            <w14:solidFill>
              <w14:schemeClr w14:val="tx1"/>
            </w14:solidFill>
          </w14:textFill>
        </w:rPr>
        <w:t>理化指标复检验收：各项理化指标复检验收。</w:t>
      </w:r>
    </w:p>
    <w:p w14:paraId="65731E83">
      <w:pPr>
        <w:widowControl/>
        <w:snapToGrid w:val="0"/>
        <w:spacing w:line="560" w:lineRule="exact"/>
        <w:ind w:firstLine="480" w:firstLineChars="200"/>
        <w:jc w:val="left"/>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使用验收：使用过程中质量反馈。</w:t>
      </w:r>
    </w:p>
    <w:p w14:paraId="2B77907D">
      <w:pPr>
        <w:pStyle w:val="2"/>
        <w:rPr>
          <w:rFonts w:ascii="仿宋" w:hAnsi="仿宋" w:eastAsia="仿宋"/>
          <w:sz w:val="24"/>
          <w:szCs w:val="24"/>
          <w:lang w:eastAsia="zh-CN"/>
        </w:rPr>
      </w:pPr>
    </w:p>
    <w:p w14:paraId="0573F6C7">
      <w:pPr>
        <w:snapToGrid w:val="0"/>
        <w:spacing w:line="360" w:lineRule="auto"/>
        <w:ind w:firstLine="566" w:firstLineChars="236"/>
        <w:jc w:val="left"/>
        <w:outlineLvl w:val="0"/>
        <w:rPr>
          <w:rFonts w:ascii="仿宋" w:hAnsi="仿宋" w:eastAsia="仿宋" w:cs="仿宋"/>
          <w:color w:val="000000" w:themeColor="text1"/>
          <w:sz w:val="24"/>
          <w14:textFill>
            <w14:solidFill>
              <w14:schemeClr w14:val="tx1"/>
            </w14:solidFill>
          </w14:textFill>
        </w:rPr>
      </w:pPr>
      <w:r>
        <w:rPr>
          <w:rFonts w:hint="eastAsia" w:ascii="仿宋" w:hAnsi="仿宋" w:eastAsia="仿宋" w:cs="仿宋_GB2312"/>
          <w:kern w:val="0"/>
          <w:sz w:val="24"/>
        </w:rPr>
        <w:t>（4）</w:t>
      </w:r>
      <w:r>
        <w:rPr>
          <w:rFonts w:ascii="仿宋" w:hAnsi="仿宋" w:eastAsia="仿宋" w:cs="仿宋_GB2312"/>
          <w:kern w:val="0"/>
          <w:sz w:val="24"/>
        </w:rPr>
        <w:t>验收</w:t>
      </w:r>
      <w:r>
        <w:rPr>
          <w:rFonts w:hint="eastAsia" w:ascii="仿宋" w:hAnsi="仿宋" w:eastAsia="仿宋" w:cs="仿宋_GB2312"/>
          <w:kern w:val="0"/>
          <w:sz w:val="24"/>
        </w:rPr>
        <w:t>程序</w:t>
      </w:r>
    </w:p>
    <w:p w14:paraId="2A0552E0">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①组批</w:t>
      </w:r>
    </w:p>
    <w:p w14:paraId="2E060162">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每批带材应由同一炉号、规格和状态的带材组成。</w:t>
      </w:r>
    </w:p>
    <w:p w14:paraId="2A2F16AF">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②检验项目</w:t>
      </w:r>
    </w:p>
    <w:p w14:paraId="4E25DE10">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——每批带材厂家需按批提供化学成分、厚度、宽度、内径、硬度、表面粗糙度、表面质量、钢带侧弯，钢带重量等项目的检测报告，每批次一个报告。</w:t>
      </w:r>
    </w:p>
    <w:p w14:paraId="4F35C5F5">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——每批带材均进行化学成分、厚度、宽度、内径、硬度、表面粗糙度和表面质量的检验。</w:t>
      </w:r>
    </w:p>
    <w:p w14:paraId="061AB82F">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③取样</w:t>
      </w:r>
    </w:p>
    <w:p w14:paraId="650CD548">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——化学成分每炉取两个试样（不同卷）进行化学成分分析。</w:t>
      </w:r>
    </w:p>
    <w:p w14:paraId="00C8B4E9">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——硬度检验每炉取两个试样（不同卷）进行硬度检测。</w:t>
      </w:r>
    </w:p>
    <w:p w14:paraId="2269B276">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——厚度、宽度、内径、表面粗糙度和表面质量每炉抽两个试样（不同卷）进行检测，必要时逐卷检测。</w:t>
      </w:r>
    </w:p>
    <w:p w14:paraId="651BF891">
      <w:pPr>
        <w:widowControl/>
        <w:snapToGrid w:val="0"/>
        <w:spacing w:line="560" w:lineRule="exact"/>
        <w:ind w:firstLine="480" w:firstLineChars="200"/>
        <w:rPr>
          <w:sz w:val="24"/>
        </w:rPr>
      </w:pPr>
      <w:r>
        <w:rPr>
          <w:rFonts w:hint="eastAsia" w:ascii="仿宋_GB2312" w:hAnsi="仿宋" w:eastAsia="仿宋_GB2312" w:cs="仿宋"/>
          <w:color w:val="000000" w:themeColor="text1"/>
          <w:sz w:val="24"/>
          <w14:textFill>
            <w14:solidFill>
              <w14:schemeClr w14:val="tx1"/>
            </w14:solidFill>
          </w14:textFill>
        </w:rPr>
        <w:t>——表面质量每炉抽两卷检测，必要时增加卷数检测。</w:t>
      </w:r>
    </w:p>
    <w:p w14:paraId="69194142">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④判定规则</w:t>
      </w:r>
    </w:p>
    <w:p w14:paraId="55FB10B3">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——每批带材首先确认厂家质量检测报告，合格后方可进行入厂检验。</w:t>
      </w:r>
    </w:p>
    <w:p w14:paraId="1E72DFE6">
      <w:pPr>
        <w:widowControl/>
        <w:snapToGrid w:val="0"/>
        <w:spacing w:line="560" w:lineRule="exact"/>
        <w:ind w:firstLine="480" w:firstLineChars="200"/>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入厂检验各项检验结果均符合技术要求，则判定该产品合格；如果有一个试样的检验结果不合格，应从该批中再取双倍试样进行不合格项目的复检，如果复检结果仍有一个试样不合格，则判定该批带材不合格。</w:t>
      </w:r>
    </w:p>
    <w:p w14:paraId="39CA269C">
      <w:pPr>
        <w:pStyle w:val="2"/>
        <w:ind w:left="0"/>
        <w:rPr>
          <w:sz w:val="24"/>
          <w:szCs w:val="24"/>
          <w:lang w:eastAsia="zh-CN"/>
        </w:rPr>
      </w:pPr>
    </w:p>
    <w:p w14:paraId="2D5E30A4">
      <w:pPr>
        <w:snapToGrid w:val="0"/>
        <w:spacing w:line="360" w:lineRule="auto"/>
        <w:ind w:firstLine="240" w:firstLineChars="100"/>
        <w:jc w:val="left"/>
        <w:outlineLvl w:val="0"/>
        <w:rPr>
          <w:rFonts w:ascii="仿宋_GB2312" w:hAnsi="宋体" w:eastAsia="仿宋_GB2312" w:cs="仿宋_GB2312"/>
          <w:kern w:val="0"/>
          <w:sz w:val="24"/>
        </w:rPr>
      </w:pPr>
      <w:r>
        <w:rPr>
          <w:rFonts w:hint="eastAsia" w:ascii="仿宋_GB2312" w:hAnsi="宋体" w:eastAsia="仿宋_GB2312" w:cs="仿宋_GB2312"/>
          <w:kern w:val="0"/>
          <w:sz w:val="24"/>
        </w:rPr>
        <w:t>（5）</w:t>
      </w:r>
      <w:r>
        <w:rPr>
          <w:rFonts w:ascii="仿宋_GB2312" w:hAnsi="宋体" w:eastAsia="仿宋_GB2312" w:cs="仿宋_GB2312"/>
          <w:kern w:val="0"/>
          <w:sz w:val="24"/>
        </w:rPr>
        <w:t>验收</w:t>
      </w:r>
      <w:r>
        <w:rPr>
          <w:rFonts w:hint="eastAsia" w:ascii="仿宋_GB2312" w:hAnsi="宋体" w:eastAsia="仿宋_GB2312" w:cs="仿宋_GB2312"/>
          <w:kern w:val="0"/>
          <w:sz w:val="24"/>
        </w:rPr>
        <w:t>内容</w:t>
      </w:r>
    </w:p>
    <w:p w14:paraId="65191E1D">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①交货时间的及时性和交货地点的准确性</w:t>
      </w:r>
    </w:p>
    <w:p w14:paraId="5B377C86">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②交货名称、规格、数量、质保期。</w:t>
      </w:r>
    </w:p>
    <w:p w14:paraId="519D1E5F">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③包装符合要求，货物无损，标识内容完整。</w:t>
      </w:r>
    </w:p>
    <w:p w14:paraId="5BC95A46">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④厂家质检报告或合格证。</w:t>
      </w:r>
    </w:p>
    <w:p w14:paraId="60972EE3">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⑤理化指标检验报告。</w:t>
      </w:r>
    </w:p>
    <w:p w14:paraId="03C2ABD3">
      <w:pPr>
        <w:widowControl/>
        <w:snapToGrid w:val="0"/>
        <w:spacing w:line="560" w:lineRule="exact"/>
        <w:ind w:firstLine="480" w:firstLineChars="200"/>
        <w:jc w:val="left"/>
        <w:rPr>
          <w:rFonts w:ascii="仿宋_GB2312" w:hAnsi="仿宋" w:eastAsia="仿宋_GB2312" w:cs="仿宋"/>
          <w:color w:val="000000" w:themeColor="text1"/>
          <w:sz w:val="24"/>
          <w14:textFill>
            <w14:solidFill>
              <w14:schemeClr w14:val="tx1"/>
            </w14:solidFill>
          </w14:textFill>
        </w:rPr>
      </w:pPr>
      <w:r>
        <w:rPr>
          <w:rFonts w:hint="eastAsia" w:ascii="仿宋_GB2312" w:hAnsi="仿宋" w:eastAsia="仿宋_GB2312" w:cs="仿宋"/>
          <w:color w:val="000000" w:themeColor="text1"/>
          <w:sz w:val="24"/>
          <w14:textFill>
            <w14:solidFill>
              <w14:schemeClr w14:val="tx1"/>
            </w14:solidFill>
          </w14:textFill>
        </w:rPr>
        <w:t>⑥使用效果验收。</w:t>
      </w:r>
    </w:p>
    <w:p w14:paraId="64F55DBB">
      <w:pPr>
        <w:pStyle w:val="2"/>
        <w:ind w:left="451" w:leftChars="215"/>
        <w:rPr>
          <w:sz w:val="24"/>
          <w:szCs w:val="24"/>
          <w:lang w:eastAsia="zh-CN"/>
        </w:rPr>
      </w:pPr>
    </w:p>
    <w:p w14:paraId="17BA6E4B">
      <w:pPr>
        <w:snapToGrid w:val="0"/>
        <w:spacing w:line="360" w:lineRule="auto"/>
        <w:ind w:firstLine="240" w:firstLineChars="100"/>
        <w:jc w:val="left"/>
        <w:outlineLvl w:val="0"/>
        <w:rPr>
          <w:rFonts w:ascii="仿宋_GB2312" w:hAnsi="宋体" w:eastAsia="仿宋_GB2312" w:cs="仿宋_GB2312"/>
          <w:kern w:val="0"/>
          <w:sz w:val="24"/>
          <w:u w:val="single"/>
        </w:rPr>
      </w:pPr>
      <w:r>
        <w:rPr>
          <w:rFonts w:hint="eastAsia" w:ascii="仿宋_GB2312" w:hAnsi="宋体" w:eastAsia="仿宋_GB2312" w:cs="仿宋_GB2312"/>
          <w:kern w:val="0"/>
          <w:sz w:val="24"/>
        </w:rPr>
        <w:t>（6）验收标准</w:t>
      </w:r>
    </w:p>
    <w:p w14:paraId="5BFAD8C8">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交货时间：</w:t>
      </w:r>
      <w:r>
        <w:rPr>
          <w:rFonts w:hint="eastAsia" w:ascii="仿宋" w:hAnsi="仿宋" w:eastAsia="仿宋"/>
          <w:color w:val="FF0000"/>
          <w:kern w:val="2"/>
          <w:sz w:val="24"/>
          <w:szCs w:val="24"/>
          <w:highlight w:val="yellow"/>
          <w:lang w:eastAsia="zh-CN"/>
        </w:rPr>
        <w:t>执行首批次订单时，乙方应当在收到甲方提请发货通知之日起</w:t>
      </w:r>
      <w:r>
        <w:rPr>
          <w:rFonts w:ascii="仿宋" w:hAnsi="仿宋" w:eastAsia="仿宋"/>
          <w:color w:val="FF0000"/>
          <w:kern w:val="2"/>
          <w:sz w:val="24"/>
          <w:szCs w:val="24"/>
          <w:highlight w:val="yellow"/>
          <w:lang w:eastAsia="zh-CN"/>
        </w:rPr>
        <w:t>45</w:t>
      </w:r>
      <w:r>
        <w:rPr>
          <w:rFonts w:hint="eastAsia" w:ascii="仿宋" w:hAnsi="仿宋" w:eastAsia="仿宋"/>
          <w:color w:val="FF0000"/>
          <w:kern w:val="2"/>
          <w:sz w:val="24"/>
          <w:szCs w:val="24"/>
          <w:highlight w:val="yellow"/>
          <w:lang w:eastAsia="zh-CN"/>
        </w:rPr>
        <w:t>个日历日内发货，后续批次订单乙方应当在收到甲方提请发货通知之日起</w:t>
      </w:r>
      <w:r>
        <w:rPr>
          <w:rFonts w:ascii="仿宋" w:hAnsi="仿宋" w:eastAsia="仿宋"/>
          <w:color w:val="FF0000"/>
          <w:kern w:val="2"/>
          <w:sz w:val="24"/>
          <w:szCs w:val="24"/>
          <w:highlight w:val="yellow"/>
          <w:lang w:eastAsia="zh-CN"/>
        </w:rPr>
        <w:t>5</w:t>
      </w:r>
      <w:r>
        <w:rPr>
          <w:rFonts w:hint="eastAsia" w:ascii="仿宋" w:hAnsi="仿宋" w:eastAsia="仿宋"/>
          <w:color w:val="FF0000"/>
          <w:kern w:val="2"/>
          <w:sz w:val="24"/>
          <w:szCs w:val="24"/>
          <w:highlight w:val="yellow"/>
          <w:lang w:eastAsia="zh-CN"/>
        </w:rPr>
        <w:t>个工作日内发货。</w:t>
      </w:r>
    </w:p>
    <w:p w14:paraId="566E9B29">
      <w:pPr>
        <w:pStyle w:val="3"/>
        <w:snapToGrid w:val="0"/>
        <w:spacing w:line="560" w:lineRule="exact"/>
        <w:ind w:left="0" w:firstLine="480" w:firstLineChars="200"/>
        <w:jc w:val="both"/>
        <w:rPr>
          <w:rFonts w:ascii="仿宋" w:hAnsi="仿宋" w:eastAsia="仿宋"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交货地点</w:t>
      </w:r>
      <w:r>
        <w:rPr>
          <w:rFonts w:ascii="仿宋" w:hAnsi="仿宋" w:eastAsia="仿宋" w:cs="仿宋"/>
          <w:color w:val="000000" w:themeColor="text1"/>
          <w:kern w:val="2"/>
          <w:sz w:val="24"/>
          <w:szCs w:val="24"/>
          <w:lang w:eastAsia="zh-CN"/>
          <w14:textFill>
            <w14:solidFill>
              <w14:schemeClr w14:val="tx1"/>
            </w14:solidFill>
          </w14:textFill>
        </w:rPr>
        <w:t>:</w:t>
      </w:r>
      <w:r>
        <w:rPr>
          <w:rFonts w:hint="eastAsia" w:ascii="仿宋" w:hAnsi="仿宋" w:eastAsia="仿宋"/>
          <w:color w:val="000000" w:themeColor="text1"/>
          <w:kern w:val="2"/>
          <w:sz w:val="24"/>
          <w:szCs w:val="24"/>
          <w:lang w:eastAsia="zh-CN"/>
          <w14:textFill>
            <w14:solidFill>
              <w14:schemeClr w14:val="tx1"/>
            </w14:solidFill>
          </w14:textFill>
        </w:rPr>
        <w:t xml:space="preserve"> 南京造币有限公司：南京市天印大道919号南京造币有限公司仓库；上海造币有限公司：上海市普陀区光复西路17号（普陀厂区）、上海市嘉定区曹安公路3513号（嘉定厂区）。</w:t>
      </w:r>
    </w:p>
    <w:p w14:paraId="5A70FC3C">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 w:hAnsi="仿宋" w:eastAsia="仿宋" w:cs="仿宋"/>
          <w:color w:val="000000" w:themeColor="text1"/>
          <w:kern w:val="2"/>
          <w:sz w:val="24"/>
          <w:szCs w:val="24"/>
          <w:lang w:eastAsia="zh-CN"/>
          <w14:textFill>
            <w14:solidFill>
              <w14:schemeClr w14:val="tx1"/>
            </w14:solidFill>
          </w14:textFill>
        </w:rPr>
        <w:t>现场验收：</w:t>
      </w:r>
      <w:r>
        <w:rPr>
          <w:rFonts w:hint="eastAsia" w:ascii="仿宋" w:hAnsi="仿宋" w:eastAsia="仿宋"/>
          <w:color w:val="000000" w:themeColor="text1"/>
          <w:kern w:val="2"/>
          <w:sz w:val="24"/>
          <w:szCs w:val="24"/>
          <w:lang w:eastAsia="zh-CN"/>
          <w14:textFill>
            <w14:solidFill>
              <w14:schemeClr w14:val="tx1"/>
            </w14:solidFill>
          </w14:textFill>
        </w:rPr>
        <w:t>交货时间的及时性和交货地点的准确性；</w:t>
      </w:r>
      <w:r>
        <w:rPr>
          <w:rFonts w:hint="eastAsia" w:ascii="仿宋" w:hAnsi="仿宋" w:eastAsia="仿宋" w:cs="仿宋"/>
          <w:color w:val="000000" w:themeColor="text1"/>
          <w:kern w:val="2"/>
          <w:sz w:val="24"/>
          <w:szCs w:val="24"/>
          <w:lang w:eastAsia="zh-CN"/>
          <w14:textFill>
            <w14:solidFill>
              <w14:schemeClr w14:val="tx1"/>
            </w14:solidFill>
          </w14:textFill>
        </w:rPr>
        <w:t>品名、</w:t>
      </w:r>
      <w:r>
        <w:rPr>
          <w:rFonts w:hint="eastAsia" w:ascii="仿宋_GB2312" w:hAnsi="仿宋" w:eastAsia="仿宋_GB2312" w:cs="仿宋"/>
          <w:color w:val="000000" w:themeColor="text1"/>
          <w:kern w:val="2"/>
          <w:sz w:val="24"/>
          <w:szCs w:val="24"/>
          <w:lang w:eastAsia="zh-CN"/>
          <w14:textFill>
            <w14:solidFill>
              <w14:schemeClr w14:val="tx1"/>
            </w14:solidFill>
          </w14:textFill>
        </w:rPr>
        <w:t>规格、数量是否与订单要求相符，货物是否完好，包装方式是否符合要求，质保期是否在规定期限内，厂方质检报告是否与合同约定一致。</w:t>
      </w:r>
    </w:p>
    <w:p w14:paraId="5C3ACCED">
      <w:pPr>
        <w:pStyle w:val="3"/>
        <w:snapToGrid w:val="0"/>
        <w:spacing w:line="560" w:lineRule="exact"/>
        <w:ind w:left="0" w:firstLine="480" w:firstLineChars="200"/>
        <w:jc w:val="both"/>
        <w:rPr>
          <w:rFonts w:ascii="仿宋_GB2312" w:hAnsi="仿宋" w:eastAsia="仿宋_GB2312" w:cs="仿宋"/>
          <w:color w:val="000000" w:themeColor="text1"/>
          <w:kern w:val="2"/>
          <w:sz w:val="24"/>
          <w:szCs w:val="24"/>
          <w:lang w:eastAsia="zh-CN"/>
          <w14:textFill>
            <w14:solidFill>
              <w14:schemeClr w14:val="tx1"/>
            </w14:solidFill>
          </w14:textFill>
        </w:rPr>
      </w:pPr>
      <w:r>
        <w:rPr>
          <w:rFonts w:hint="eastAsia" w:ascii="仿宋_GB2312" w:hAnsi="仿宋" w:eastAsia="仿宋_GB2312" w:cs="仿宋"/>
          <w:color w:val="000000" w:themeColor="text1"/>
          <w:kern w:val="2"/>
          <w:sz w:val="24"/>
          <w:szCs w:val="24"/>
          <w:lang w:eastAsia="zh-CN"/>
          <w14:textFill>
            <w14:solidFill>
              <w14:schemeClr w14:val="tx1"/>
            </w14:solidFill>
          </w14:textFill>
        </w:rPr>
        <w:t>理化指标复检验收：理化指标复检是否与合同约定一致。</w:t>
      </w:r>
    </w:p>
    <w:p w14:paraId="73AAA9A4">
      <w:pPr>
        <w:ind w:firstLine="480" w:firstLineChars="200"/>
      </w:pPr>
      <w:r>
        <w:rPr>
          <w:rFonts w:hint="eastAsia" w:ascii="仿宋_GB2312" w:hAnsi="仿宋" w:eastAsia="仿宋_GB2312" w:cs="仿宋"/>
          <w:color w:val="000000" w:themeColor="text1"/>
          <w:sz w:val="24"/>
          <w14:textFill>
            <w14:solidFill>
              <w14:schemeClr w14:val="tx1"/>
            </w14:solidFill>
          </w14:textFill>
        </w:rPr>
        <w:t>使用验收：使用过程中是否有质量问题反馈。</w:t>
      </w:r>
    </w:p>
    <w:p w14:paraId="183B0AB7">
      <w:pPr>
        <w:widowControl/>
        <w:snapToGrid w:val="0"/>
        <w:spacing w:line="560" w:lineRule="exact"/>
        <w:ind w:firstLine="480" w:firstLineChars="200"/>
        <w:jc w:val="left"/>
        <w:rPr>
          <w:rFonts w:ascii="仿宋_GB2312" w:hAnsi="仿宋" w:eastAsia="仿宋_GB2312" w:cs="仿宋"/>
          <w:color w:val="000000" w:themeColor="text1"/>
          <w:sz w:val="24"/>
          <w14:textFill>
            <w14:solidFill>
              <w14:schemeClr w14:val="tx1"/>
            </w14:solidFill>
          </w14:textFill>
        </w:rPr>
      </w:pPr>
    </w:p>
    <w:p w14:paraId="647E2679">
      <w:pPr>
        <w:widowControl/>
        <w:jc w:val="left"/>
        <w:rPr>
          <w:rFonts w:ascii="宋体" w:hAnsi="宋体" w:eastAsia="宋体" w:cs="宋体"/>
          <w:b/>
          <w:bCs/>
          <w:sz w:val="24"/>
        </w:rPr>
      </w:pPr>
      <w:r>
        <w:rPr>
          <w:rFonts w:ascii="宋体" w:hAnsi="宋体" w:eastAsia="宋体" w:cs="宋体"/>
          <w:sz w:val="24"/>
        </w:rPr>
        <w:br w:type="page"/>
      </w:r>
    </w:p>
    <w:p w14:paraId="4A73D6A9">
      <w:pPr>
        <w:pStyle w:val="4"/>
        <w:spacing w:before="156" w:after="156"/>
        <w:rPr>
          <w:rFonts w:ascii="宋体" w:hAnsi="宋体" w:eastAsia="宋体" w:cs="宋体"/>
          <w:sz w:val="24"/>
          <w:szCs w:val="24"/>
        </w:rPr>
      </w:pPr>
      <w:r>
        <w:rPr>
          <w:rFonts w:hint="eastAsia" w:ascii="宋体" w:hAnsi="宋体" w:eastAsia="宋体" w:cs="宋体"/>
          <w:sz w:val="24"/>
          <w:szCs w:val="24"/>
        </w:rPr>
        <w:t>附件5</w:t>
      </w:r>
    </w:p>
    <w:p w14:paraId="63D421FC">
      <w:pPr>
        <w:widowControl/>
        <w:spacing w:beforeAutospacing="1" w:afterAutospacing="1" w:line="384" w:lineRule="auto"/>
        <w:jc w:val="center"/>
        <w:rPr>
          <w:b/>
          <w:sz w:val="32"/>
          <w:szCs w:val="32"/>
        </w:rPr>
      </w:pPr>
      <w:r>
        <w:rPr>
          <w:rFonts w:hint="eastAsia"/>
          <w:b/>
          <w:smallCaps/>
          <w:sz w:val="32"/>
          <w:szCs w:val="32"/>
        </w:rPr>
        <w:t>保密承诺书</w:t>
      </w:r>
    </w:p>
    <w:p w14:paraId="191AA692">
      <w:pPr>
        <w:spacing w:line="360" w:lineRule="auto"/>
        <w:ind w:firstLine="482" w:firstLineChars="200"/>
        <w:rPr>
          <w:b/>
          <w:sz w:val="24"/>
        </w:rPr>
      </w:pPr>
      <w:r>
        <w:rPr>
          <w:rFonts w:hint="eastAsia"/>
          <w:b/>
          <w:sz w:val="24"/>
        </w:rPr>
        <w:t xml:space="preserve">承诺方：      </w:t>
      </w:r>
    </w:p>
    <w:p w14:paraId="3674FD12">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注册地址：    </w:t>
      </w:r>
    </w:p>
    <w:p w14:paraId="571E9A4A">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法定代表人：  </w:t>
      </w:r>
    </w:p>
    <w:p w14:paraId="204F0C62">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联系人：      </w:t>
      </w:r>
    </w:p>
    <w:p w14:paraId="16929D36">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电话号码：    </w:t>
      </w:r>
    </w:p>
    <w:p w14:paraId="5715EB9A">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 xml:space="preserve">联系邮箱：    </w:t>
      </w:r>
    </w:p>
    <w:p w14:paraId="1300B0C6">
      <w:pPr>
        <w:pStyle w:val="22"/>
        <w:spacing w:before="20" w:after="20" w:line="360" w:lineRule="auto"/>
        <w:ind w:left="0" w:right="23" w:firstLine="480" w:firstLineChars="200"/>
        <w:rPr>
          <w:rFonts w:ascii="宋体" w:hAnsi="宋体" w:cs="宋体"/>
          <w:szCs w:val="24"/>
        </w:rPr>
      </w:pPr>
    </w:p>
    <w:p w14:paraId="66824305">
      <w:pPr>
        <w:spacing w:line="360" w:lineRule="auto"/>
        <w:ind w:firstLine="446" w:firstLineChars="185"/>
        <w:rPr>
          <w:b/>
          <w:sz w:val="24"/>
        </w:rPr>
      </w:pPr>
      <w:r>
        <w:rPr>
          <w:rFonts w:hint="eastAsia"/>
          <w:b/>
          <w:sz w:val="24"/>
        </w:rPr>
        <w:t>鉴于：</w:t>
      </w:r>
    </w:p>
    <w:p w14:paraId="4E06F19D">
      <w:pPr>
        <w:pStyle w:val="22"/>
        <w:spacing w:before="20" w:after="20" w:line="360" w:lineRule="auto"/>
        <w:ind w:left="0" w:right="23" w:firstLine="480" w:firstLineChars="200"/>
        <w:rPr>
          <w:rFonts w:ascii="宋体" w:hAnsi="宋体" w:cs="宋体"/>
          <w:szCs w:val="24"/>
        </w:rPr>
      </w:pPr>
      <w:r>
        <w:rPr>
          <w:rFonts w:hint="eastAsia" w:ascii="宋体" w:hAnsi="宋体" w:cs="宋体"/>
          <w:szCs w:val="24"/>
        </w:rPr>
        <w:t>1、南京造币有限公司（以下简称“被承诺方”）与承诺方拟就</w:t>
      </w:r>
      <w:r>
        <w:rPr>
          <w:rFonts w:hint="eastAsia" w:ascii="宋体" w:hAnsi="宋体" w:cs="宋体"/>
          <w:szCs w:val="24"/>
          <w:u w:val="single"/>
        </w:rPr>
        <w:t xml:space="preserve">    </w:t>
      </w:r>
      <w:r>
        <w:rPr>
          <w:rFonts w:hint="eastAsia" w:ascii="宋体" w:hAnsi="宋体" w:cs="宋体"/>
          <w:szCs w:val="24"/>
        </w:rPr>
        <w:t>项目签订采购/服务合同（以下简称“采购/服务合同”）。</w:t>
      </w:r>
    </w:p>
    <w:p w14:paraId="54C883F3">
      <w:pPr>
        <w:spacing w:line="360" w:lineRule="auto"/>
        <w:ind w:firstLine="444" w:firstLineChars="185"/>
        <w:rPr>
          <w:sz w:val="24"/>
        </w:rPr>
      </w:pPr>
      <w:r>
        <w:rPr>
          <w:rFonts w:hint="eastAsia"/>
          <w:sz w:val="24"/>
        </w:rPr>
        <w:t>2、被承诺方业务涉及国家秘密，具有特殊保密要求及相关规章制度。</w:t>
      </w:r>
    </w:p>
    <w:p w14:paraId="134ACC20">
      <w:pPr>
        <w:spacing w:line="360" w:lineRule="auto"/>
        <w:ind w:firstLine="444" w:firstLineChars="185"/>
        <w:rPr>
          <w:sz w:val="24"/>
        </w:rPr>
      </w:pPr>
      <w:r>
        <w:rPr>
          <w:rFonts w:hint="eastAsia"/>
          <w:sz w:val="24"/>
        </w:rPr>
        <w:t>为了积极促进双方的合作，确保国家秘密、工作秘密和被承诺方商业秘密不受侵犯，经友好协商，承诺方特签订本保密承诺书，同意并承诺采取一切合理措施保证履行本承诺书项下的各项保密义务。</w:t>
      </w:r>
    </w:p>
    <w:p w14:paraId="0F5F1E1D">
      <w:pPr>
        <w:spacing w:line="360" w:lineRule="auto"/>
        <w:ind w:firstLine="482" w:firstLineChars="200"/>
        <w:rPr>
          <w:b/>
          <w:sz w:val="24"/>
        </w:rPr>
      </w:pPr>
      <w:r>
        <w:rPr>
          <w:rFonts w:hint="eastAsia"/>
          <w:b/>
          <w:sz w:val="24"/>
        </w:rPr>
        <w:t>一、定义</w:t>
      </w:r>
    </w:p>
    <w:p w14:paraId="0EEFE066">
      <w:pPr>
        <w:spacing w:line="360" w:lineRule="auto"/>
        <w:ind w:firstLine="446" w:firstLineChars="185"/>
        <w:rPr>
          <w:b/>
          <w:sz w:val="24"/>
        </w:rPr>
      </w:pPr>
      <w:r>
        <w:rPr>
          <w:rFonts w:hint="eastAsia"/>
          <w:b/>
          <w:sz w:val="24"/>
        </w:rPr>
        <w:t>涉密资料及信息：</w:t>
      </w:r>
    </w:p>
    <w:p w14:paraId="3CE867DD">
      <w:pPr>
        <w:spacing w:line="360" w:lineRule="auto"/>
        <w:ind w:firstLine="444" w:firstLineChars="185"/>
        <w:rPr>
          <w:sz w:val="24"/>
        </w:rPr>
      </w:pPr>
      <w:r>
        <w:rPr>
          <w:rFonts w:hint="eastAsia"/>
          <w:sz w:val="24"/>
        </w:rPr>
        <w:t>（一）指与本采购/服务项目直接相关的全部形式资料（包括但不限于文件、信函、视频、通话聊天记录等），以及一切与本采购/服务项目或被承诺方有关的，由被承诺方或被承诺方的代表人向承诺方或承诺方的代表人等有关人员以书面、口头或任何其他形式提供或披露的资料及信息。</w:t>
      </w:r>
    </w:p>
    <w:p w14:paraId="4B746AE0">
      <w:pPr>
        <w:spacing w:line="360" w:lineRule="auto"/>
        <w:ind w:firstLine="555"/>
        <w:rPr>
          <w:sz w:val="24"/>
        </w:rPr>
      </w:pPr>
      <w:r>
        <w:rPr>
          <w:rFonts w:hint="eastAsia"/>
          <w:sz w:val="24"/>
        </w:rPr>
        <w:t>（二）在本采购/服务项目进行前已经公开或以其他形式已为公众所知晓的资料及信息不属于前项所述涉密资料及信息。</w:t>
      </w:r>
    </w:p>
    <w:p w14:paraId="141EBACE">
      <w:pPr>
        <w:spacing w:line="360" w:lineRule="auto"/>
        <w:ind w:firstLine="555"/>
        <w:rPr>
          <w:sz w:val="24"/>
        </w:rPr>
      </w:pPr>
      <w:r>
        <w:rPr>
          <w:rFonts w:hint="eastAsia"/>
          <w:b/>
          <w:sz w:val="24"/>
        </w:rPr>
        <w:t>相关人员：</w:t>
      </w:r>
      <w:r>
        <w:rPr>
          <w:rFonts w:hint="eastAsia"/>
          <w:sz w:val="24"/>
        </w:rPr>
        <w:t>指承诺方的下列人员：</w:t>
      </w:r>
    </w:p>
    <w:p w14:paraId="7FEA3AC1">
      <w:pPr>
        <w:spacing w:line="360" w:lineRule="auto"/>
        <w:ind w:firstLine="555"/>
        <w:rPr>
          <w:sz w:val="24"/>
        </w:rPr>
      </w:pPr>
      <w:r>
        <w:rPr>
          <w:rFonts w:hint="eastAsia"/>
          <w:sz w:val="24"/>
        </w:rPr>
        <w:t>（一）参与人员，实际参与采购/服务项目商洽的人员；</w:t>
      </w:r>
    </w:p>
    <w:p w14:paraId="6AB087A2">
      <w:pPr>
        <w:spacing w:line="360" w:lineRule="auto"/>
        <w:ind w:firstLine="555"/>
        <w:rPr>
          <w:sz w:val="24"/>
        </w:rPr>
      </w:pPr>
      <w:r>
        <w:rPr>
          <w:rFonts w:hint="eastAsia"/>
          <w:sz w:val="24"/>
        </w:rPr>
        <w:t>（二）代表承诺方参加本采购/服务项目的代表人；</w:t>
      </w:r>
    </w:p>
    <w:p w14:paraId="748BD1AC">
      <w:pPr>
        <w:spacing w:line="360" w:lineRule="auto"/>
        <w:ind w:firstLine="555"/>
        <w:rPr>
          <w:sz w:val="24"/>
        </w:rPr>
      </w:pPr>
      <w:r>
        <w:rPr>
          <w:rFonts w:hint="eastAsia"/>
          <w:sz w:val="24"/>
        </w:rPr>
        <w:t>（三）其他因职务或业务等原因而可能直接或间接获得涉密资料及信息的有关人员。</w:t>
      </w:r>
    </w:p>
    <w:p w14:paraId="2923D4A2">
      <w:pPr>
        <w:spacing w:line="360" w:lineRule="auto"/>
        <w:ind w:firstLine="723" w:firstLineChars="300"/>
        <w:rPr>
          <w:b/>
          <w:sz w:val="24"/>
        </w:rPr>
      </w:pPr>
      <w:r>
        <w:rPr>
          <w:rFonts w:hint="eastAsia"/>
          <w:b/>
          <w:sz w:val="24"/>
        </w:rPr>
        <w:t>二、保密义务</w:t>
      </w:r>
    </w:p>
    <w:p w14:paraId="20179EA0">
      <w:pPr>
        <w:spacing w:line="360" w:lineRule="auto"/>
        <w:ind w:firstLine="555"/>
        <w:rPr>
          <w:sz w:val="24"/>
        </w:rPr>
      </w:pPr>
      <w:r>
        <w:rPr>
          <w:rFonts w:hint="eastAsia"/>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14:paraId="5DFFFA02">
      <w:pPr>
        <w:spacing w:line="360" w:lineRule="auto"/>
        <w:ind w:firstLine="555"/>
        <w:rPr>
          <w:sz w:val="24"/>
        </w:rPr>
      </w:pPr>
      <w:r>
        <w:rPr>
          <w:rFonts w:hint="eastAsia"/>
          <w:sz w:val="24"/>
        </w:rPr>
        <w:t>（二）承诺方保证严格按照国家秘密载体保密管理的有关规定对被承诺方提供的所有涉密资料和信息进行妥善保管和使用。承诺方保证涉密资料及信息仅用于本采购/服务项目合作的目的，仅供其相关人员为本采购/服务项目合作之目的查阅和使用。</w:t>
      </w:r>
    </w:p>
    <w:p w14:paraId="0971BF45">
      <w:pPr>
        <w:spacing w:line="360" w:lineRule="auto"/>
        <w:ind w:firstLine="555"/>
        <w:rPr>
          <w:sz w:val="24"/>
        </w:rPr>
      </w:pPr>
      <w:r>
        <w:rPr>
          <w:rFonts w:hint="eastAsia"/>
          <w:sz w:val="24"/>
        </w:rPr>
        <w:t>（三）承诺方应当控制涉密资料和信息知悉人员的范围，对相关人员进行严格审查，并对其进行保密教育，保证其相关人员履行其个人在本承诺书项下的保密义务。</w:t>
      </w:r>
    </w:p>
    <w:p w14:paraId="138DF4CC">
      <w:pPr>
        <w:spacing w:line="360" w:lineRule="auto"/>
        <w:ind w:firstLine="555"/>
        <w:rPr>
          <w:sz w:val="24"/>
        </w:rPr>
      </w:pPr>
      <w:r>
        <w:rPr>
          <w:rFonts w:hint="eastAsia"/>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服务项目合作目的确实需要向第三方披露被承诺方的涉密资料和信息，须事先通知被承诺方且得到被承诺方的书面许可，并要求该第三方签订保密承诺书。</w:t>
      </w:r>
    </w:p>
    <w:p w14:paraId="7A3FD809">
      <w:pPr>
        <w:spacing w:line="360" w:lineRule="auto"/>
        <w:ind w:firstLine="555"/>
        <w:rPr>
          <w:color w:val="000000"/>
          <w:sz w:val="24"/>
        </w:rPr>
      </w:pPr>
      <w:r>
        <w:rPr>
          <w:rFonts w:hint="eastAsia"/>
          <w:color w:val="000000"/>
          <w:sz w:val="24"/>
        </w:rPr>
        <w:t>（五）承诺方不得</w:t>
      </w:r>
      <w:r>
        <w:rPr>
          <w:rFonts w:hint="eastAsia"/>
          <w:color w:val="000000"/>
          <w:sz w:val="24"/>
          <w:lang w:val="zh-CN"/>
        </w:rPr>
        <w:t>在未改变边废料成分情况下直接对外销售边废料或试验废料。</w:t>
      </w:r>
      <w:r>
        <w:rPr>
          <w:rFonts w:hint="eastAsia"/>
          <w:sz w:val="24"/>
          <w:lang w:val="zh-CN"/>
        </w:rPr>
        <w:t>承诺方通过熔化销毁改变材料的化学成分，被承诺方将安排人员负责现场监销。</w:t>
      </w:r>
      <w:r>
        <w:rPr>
          <w:rFonts w:hint="eastAsia"/>
          <w:color w:val="000000"/>
          <w:sz w:val="24"/>
        </w:rPr>
        <w:t>若承诺方未遵守</w:t>
      </w:r>
      <w:r>
        <w:rPr>
          <w:rFonts w:hint="eastAsia"/>
          <w:color w:val="000000"/>
          <w:sz w:val="24"/>
          <w:lang w:val="zh-CN"/>
        </w:rPr>
        <w:t>承诺函及</w:t>
      </w:r>
      <w:r>
        <w:rPr>
          <w:rFonts w:hint="eastAsia"/>
          <w:color w:val="000000"/>
          <w:sz w:val="24"/>
        </w:rPr>
        <w:t>相关保密、安全要求，造成信息泄漏和其他不良社会影响，承诺方应承担一切责任，并视造成的后果及影响向被承诺方赔偿该批边废料回收合同总额度的不低于100%的赔偿金；同时，被承诺方有权视情节轻重程度提出终止合同执行，依法追究承诺方法律责任。</w:t>
      </w:r>
    </w:p>
    <w:p w14:paraId="48902146">
      <w:pPr>
        <w:spacing w:line="360" w:lineRule="auto"/>
        <w:ind w:firstLine="602" w:firstLineChars="250"/>
        <w:rPr>
          <w:b/>
          <w:sz w:val="24"/>
        </w:rPr>
      </w:pPr>
      <w:r>
        <w:rPr>
          <w:rFonts w:hint="eastAsia"/>
          <w:b/>
          <w:sz w:val="24"/>
        </w:rPr>
        <w:t>三、除外条款</w:t>
      </w:r>
    </w:p>
    <w:p w14:paraId="5DD30563">
      <w:pPr>
        <w:spacing w:line="360" w:lineRule="auto"/>
        <w:ind w:firstLine="555"/>
        <w:rPr>
          <w:sz w:val="24"/>
        </w:rPr>
      </w:pPr>
      <w:r>
        <w:rPr>
          <w:rFonts w:hint="eastAsia"/>
          <w:sz w:val="24"/>
        </w:rPr>
        <w:t>如果承诺方能够确定以下信息符合下列情形，则该信息不视为保密信息：</w:t>
      </w:r>
    </w:p>
    <w:p w14:paraId="7F951B64">
      <w:pPr>
        <w:spacing w:line="360" w:lineRule="auto"/>
        <w:ind w:firstLine="555"/>
        <w:rPr>
          <w:sz w:val="24"/>
        </w:rPr>
      </w:pPr>
      <w:r>
        <w:rPr>
          <w:rFonts w:hint="eastAsia"/>
          <w:sz w:val="24"/>
        </w:rPr>
        <w:t>（一）该信息在本承诺书签订之前，已经为承诺方合法拥有，或者已经为承诺方所知悉（如书面记录所证明）；</w:t>
      </w:r>
    </w:p>
    <w:p w14:paraId="478CFB52">
      <w:pPr>
        <w:spacing w:line="360" w:lineRule="auto"/>
        <w:ind w:firstLine="555"/>
        <w:rPr>
          <w:sz w:val="24"/>
        </w:rPr>
      </w:pPr>
      <w:r>
        <w:rPr>
          <w:rFonts w:hint="eastAsia"/>
          <w:sz w:val="24"/>
        </w:rPr>
        <w:t>（二）该信息通过产品发布、检查或者其他非接受方过错的方式为公众知悉；</w:t>
      </w:r>
    </w:p>
    <w:p w14:paraId="5F21CEF9">
      <w:pPr>
        <w:spacing w:line="360" w:lineRule="auto"/>
        <w:ind w:firstLine="555"/>
        <w:rPr>
          <w:sz w:val="24"/>
        </w:rPr>
      </w:pPr>
      <w:r>
        <w:rPr>
          <w:rFonts w:hint="eastAsia"/>
          <w:sz w:val="24"/>
        </w:rPr>
        <w:t>（三）该信息通过对被承诺方或任何其他不负有保密义务的第三方合法披露给承诺方；</w:t>
      </w:r>
    </w:p>
    <w:p w14:paraId="30F79F7D">
      <w:pPr>
        <w:spacing w:line="360" w:lineRule="auto"/>
        <w:ind w:firstLine="555"/>
        <w:rPr>
          <w:sz w:val="24"/>
        </w:rPr>
      </w:pPr>
      <w:r>
        <w:rPr>
          <w:rFonts w:hint="eastAsia"/>
          <w:sz w:val="24"/>
        </w:rPr>
        <w:t>（四）该信息由承诺方不使用或参考任何保密信息而独立获得或开发；</w:t>
      </w:r>
    </w:p>
    <w:p w14:paraId="1AD3FA96">
      <w:pPr>
        <w:spacing w:line="360" w:lineRule="auto"/>
        <w:ind w:firstLine="555"/>
        <w:rPr>
          <w:sz w:val="24"/>
        </w:rPr>
      </w:pPr>
      <w:r>
        <w:rPr>
          <w:rFonts w:hint="eastAsia"/>
          <w:sz w:val="24"/>
        </w:rPr>
        <w:t>（五）该信息由被承诺方以不加以限制的书面授权准许披露。</w:t>
      </w:r>
    </w:p>
    <w:p w14:paraId="0AE46F6E">
      <w:pPr>
        <w:spacing w:line="360" w:lineRule="auto"/>
        <w:ind w:firstLine="602" w:firstLineChars="250"/>
        <w:rPr>
          <w:b/>
          <w:sz w:val="24"/>
        </w:rPr>
      </w:pPr>
      <w:r>
        <w:rPr>
          <w:rFonts w:hint="eastAsia"/>
          <w:b/>
          <w:sz w:val="24"/>
        </w:rPr>
        <w:t>四、保密期限</w:t>
      </w:r>
    </w:p>
    <w:p w14:paraId="796527DB">
      <w:pPr>
        <w:spacing w:line="360" w:lineRule="auto"/>
        <w:ind w:firstLine="555"/>
        <w:rPr>
          <w:sz w:val="24"/>
        </w:rPr>
      </w:pPr>
      <w:r>
        <w:rPr>
          <w:rFonts w:hint="eastAsia"/>
          <w:sz w:val="24"/>
        </w:rPr>
        <w:t xml:space="preserve">涉密资料及信息的保密期限为自本承诺书签署之日起，至承诺方收到被承诺方书面解密通知之日止。 </w:t>
      </w:r>
    </w:p>
    <w:p w14:paraId="0CC89EAF">
      <w:pPr>
        <w:spacing w:line="360" w:lineRule="auto"/>
        <w:ind w:firstLine="602" w:firstLineChars="250"/>
        <w:rPr>
          <w:b/>
          <w:sz w:val="24"/>
        </w:rPr>
      </w:pPr>
      <w:r>
        <w:rPr>
          <w:rFonts w:hint="eastAsia"/>
          <w:b/>
          <w:sz w:val="24"/>
        </w:rPr>
        <w:t>五、法律责任</w:t>
      </w:r>
    </w:p>
    <w:p w14:paraId="0475DBA4">
      <w:pPr>
        <w:spacing w:line="360" w:lineRule="auto"/>
        <w:ind w:firstLine="555"/>
        <w:rPr>
          <w:sz w:val="24"/>
        </w:rPr>
      </w:pPr>
      <w:r>
        <w:rPr>
          <w:rFonts w:hint="eastAsia"/>
          <w:sz w:val="24"/>
        </w:rPr>
        <w:t>（一）承诺方及其相关人员应当对其违反本承诺书的行为承担法律责任，包括但不限于对由此给被承诺方造成的一切经济损失承担赔偿责任。</w:t>
      </w:r>
    </w:p>
    <w:p w14:paraId="6DD9F109">
      <w:pPr>
        <w:spacing w:line="360" w:lineRule="auto"/>
        <w:ind w:firstLine="555"/>
        <w:rPr>
          <w:sz w:val="24"/>
        </w:rPr>
      </w:pPr>
      <w:r>
        <w:rPr>
          <w:rFonts w:hint="eastAsia"/>
          <w:sz w:val="24"/>
        </w:rPr>
        <w:t>（二）承诺方对其相关人员违反其个人在本承诺书项下保密义务的行为承担连带法律责任，包括可能的刑事责任及民事责任（包括但不限于对由此给被承诺方造成的一切经济损失承担赔偿责任）。</w:t>
      </w:r>
    </w:p>
    <w:p w14:paraId="64B038BE">
      <w:pPr>
        <w:spacing w:line="360" w:lineRule="auto"/>
        <w:ind w:firstLine="555"/>
        <w:rPr>
          <w:sz w:val="24"/>
        </w:rPr>
      </w:pPr>
      <w:r>
        <w:rPr>
          <w:rFonts w:hint="eastAsia"/>
          <w:sz w:val="24"/>
        </w:rPr>
        <w:t>（三）承诺方确认已清楚知晓其在本承诺书项下的全部义务，所有承诺均为其真实意思表示，为不可撤销承诺。</w:t>
      </w:r>
    </w:p>
    <w:p w14:paraId="298E72D4">
      <w:pPr>
        <w:spacing w:line="360" w:lineRule="auto"/>
        <w:ind w:firstLine="602" w:firstLineChars="250"/>
        <w:rPr>
          <w:b/>
          <w:sz w:val="24"/>
        </w:rPr>
      </w:pPr>
      <w:r>
        <w:rPr>
          <w:rFonts w:hint="eastAsia"/>
          <w:b/>
          <w:sz w:val="24"/>
        </w:rPr>
        <w:t>六、适用法律</w:t>
      </w:r>
    </w:p>
    <w:p w14:paraId="48FDD015">
      <w:pPr>
        <w:spacing w:line="360" w:lineRule="auto"/>
        <w:ind w:firstLine="555"/>
        <w:rPr>
          <w:sz w:val="24"/>
        </w:rPr>
      </w:pPr>
      <w:r>
        <w:rPr>
          <w:rFonts w:hint="eastAsia"/>
          <w:sz w:val="24"/>
        </w:rPr>
        <w:t>本承诺书的订立、解释和履行均适用中华人民共和国法律。</w:t>
      </w:r>
    </w:p>
    <w:p w14:paraId="1F1C505B">
      <w:pPr>
        <w:spacing w:line="360" w:lineRule="auto"/>
        <w:ind w:firstLine="602" w:firstLineChars="250"/>
        <w:rPr>
          <w:b/>
          <w:sz w:val="24"/>
        </w:rPr>
      </w:pPr>
      <w:r>
        <w:rPr>
          <w:rFonts w:hint="eastAsia"/>
          <w:b/>
          <w:sz w:val="24"/>
        </w:rPr>
        <w:t>七、争议解决</w:t>
      </w:r>
    </w:p>
    <w:p w14:paraId="17ECA291">
      <w:pPr>
        <w:spacing w:line="360" w:lineRule="auto"/>
        <w:ind w:firstLine="555"/>
        <w:rPr>
          <w:sz w:val="24"/>
        </w:rPr>
      </w:pPr>
      <w:r>
        <w:rPr>
          <w:rFonts w:hint="eastAsia"/>
          <w:sz w:val="24"/>
        </w:rPr>
        <w:t>被承诺方与承诺方就本承诺书的履行发生争议的，应友好协商解决。协商无法达成一致的，应按照以下</w:t>
      </w:r>
      <w:r>
        <w:rPr>
          <w:rFonts w:hint="eastAsia"/>
          <w:sz w:val="24"/>
          <w:u w:val="single"/>
        </w:rPr>
        <w:t xml:space="preserve">  2 </w:t>
      </w:r>
      <w:r>
        <w:rPr>
          <w:rFonts w:hint="eastAsia"/>
          <w:sz w:val="24"/>
        </w:rPr>
        <w:t>方式处理：</w:t>
      </w:r>
    </w:p>
    <w:p w14:paraId="554FBB7C">
      <w:pPr>
        <w:spacing w:line="360" w:lineRule="auto"/>
        <w:ind w:firstLine="480" w:firstLineChars="200"/>
        <w:rPr>
          <w:sz w:val="24"/>
        </w:rPr>
      </w:pPr>
      <w:r>
        <w:rPr>
          <w:rFonts w:hint="eastAsia"/>
          <w:sz w:val="24"/>
        </w:rPr>
        <w:t>（1）提交</w:t>
      </w:r>
      <w:r>
        <w:rPr>
          <w:rFonts w:hint="eastAsia"/>
          <w:sz w:val="24"/>
          <w:u w:val="single"/>
        </w:rPr>
        <w:t xml:space="preserve">    </w:t>
      </w:r>
      <w:r>
        <w:rPr>
          <w:rFonts w:hint="eastAsia"/>
          <w:sz w:val="24"/>
        </w:rPr>
        <w:t>仲裁委员会进行仲裁。仲裁裁决是终局的，对双方都具有约束力；</w:t>
      </w:r>
    </w:p>
    <w:p w14:paraId="12C3FC39">
      <w:pPr>
        <w:spacing w:line="360" w:lineRule="auto"/>
        <w:rPr>
          <w:sz w:val="24"/>
        </w:rPr>
      </w:pPr>
      <w:r>
        <w:rPr>
          <w:rFonts w:hint="eastAsia"/>
          <w:sz w:val="24"/>
        </w:rPr>
        <w:t xml:space="preserve">    （2）向</w:t>
      </w:r>
      <w:r>
        <w:rPr>
          <w:rFonts w:hint="eastAsia"/>
          <w:sz w:val="24"/>
          <w:u w:val="single"/>
        </w:rPr>
        <w:t xml:space="preserve">被承诺方所在地 </w:t>
      </w:r>
      <w:r>
        <w:rPr>
          <w:rFonts w:hint="eastAsia"/>
          <w:sz w:val="24"/>
        </w:rPr>
        <w:t>人民法院提起诉讼。</w:t>
      </w:r>
    </w:p>
    <w:p w14:paraId="1AFEB528">
      <w:pPr>
        <w:spacing w:line="360" w:lineRule="auto"/>
        <w:ind w:firstLine="602" w:firstLineChars="250"/>
        <w:rPr>
          <w:b/>
          <w:sz w:val="24"/>
        </w:rPr>
      </w:pPr>
      <w:r>
        <w:rPr>
          <w:rFonts w:hint="eastAsia"/>
          <w:b/>
          <w:sz w:val="24"/>
        </w:rPr>
        <w:t>八、法律效力</w:t>
      </w:r>
    </w:p>
    <w:p w14:paraId="11C8FFEE">
      <w:pPr>
        <w:spacing w:line="360" w:lineRule="auto"/>
        <w:ind w:firstLine="555"/>
        <w:rPr>
          <w:sz w:val="24"/>
        </w:rPr>
      </w:pPr>
      <w:r>
        <w:rPr>
          <w:rFonts w:hint="eastAsia"/>
          <w:sz w:val="24"/>
        </w:rPr>
        <w:t>（一）本承诺书为被承诺方和承诺方签订的采购/服务合同不可分割的一部分，与采购/服务合同具有同等的法律效力。</w:t>
      </w:r>
    </w:p>
    <w:p w14:paraId="2D8752B7">
      <w:pPr>
        <w:spacing w:line="360" w:lineRule="auto"/>
        <w:ind w:firstLine="555"/>
        <w:rPr>
          <w:sz w:val="24"/>
        </w:rPr>
      </w:pPr>
      <w:r>
        <w:rPr>
          <w:rFonts w:hint="eastAsia"/>
          <w:sz w:val="24"/>
        </w:rPr>
        <w:t>（二）本承诺书在自承诺方法定代表人或授权代表签字并加盖公章/合同专用章之日起生效，至承诺方收到被承诺方书面解密通知之日效力终止。</w:t>
      </w:r>
    </w:p>
    <w:p w14:paraId="16AC1B02">
      <w:pPr>
        <w:spacing w:line="360" w:lineRule="auto"/>
        <w:ind w:firstLine="555"/>
        <w:rPr>
          <w:sz w:val="24"/>
        </w:rPr>
      </w:pPr>
      <w:r>
        <w:rPr>
          <w:rFonts w:hint="eastAsia"/>
          <w:sz w:val="24"/>
        </w:rPr>
        <w:t>（三）本承诺书的效力不因采购/服务合同的中断、解除或终止而终止。</w:t>
      </w:r>
    </w:p>
    <w:p w14:paraId="48D451EB">
      <w:pPr>
        <w:spacing w:line="360" w:lineRule="auto"/>
        <w:ind w:firstLine="602" w:firstLineChars="250"/>
        <w:rPr>
          <w:b/>
          <w:sz w:val="24"/>
        </w:rPr>
      </w:pPr>
      <w:r>
        <w:rPr>
          <w:rFonts w:hint="eastAsia"/>
          <w:b/>
          <w:sz w:val="24"/>
        </w:rPr>
        <w:t>九、其他</w:t>
      </w:r>
    </w:p>
    <w:p w14:paraId="5D522443">
      <w:pPr>
        <w:spacing w:line="360" w:lineRule="auto"/>
        <w:ind w:firstLine="555"/>
        <w:rPr>
          <w:sz w:val="24"/>
        </w:rPr>
      </w:pPr>
      <w:r>
        <w:rPr>
          <w:rFonts w:hint="eastAsia"/>
          <w:sz w:val="24"/>
        </w:rPr>
        <w:t>（一）在不违反本承诺书基本保密原则的前提下，被承诺方和承诺方可在协商后就其中的某些条款进行修订、补充或删除。</w:t>
      </w:r>
    </w:p>
    <w:p w14:paraId="72048C5C">
      <w:pPr>
        <w:spacing w:line="360" w:lineRule="auto"/>
        <w:ind w:firstLine="555"/>
        <w:rPr>
          <w:sz w:val="24"/>
        </w:rPr>
      </w:pPr>
      <w:r>
        <w:rPr>
          <w:rFonts w:hint="eastAsia"/>
          <w:sz w:val="24"/>
        </w:rPr>
        <w:t>（二）本承诺书一式</w:t>
      </w:r>
      <w:r>
        <w:rPr>
          <w:rFonts w:hint="eastAsia"/>
          <w:sz w:val="24"/>
          <w:u w:val="single"/>
        </w:rPr>
        <w:t xml:space="preserve">  柒 </w:t>
      </w:r>
      <w:r>
        <w:rPr>
          <w:rFonts w:hint="eastAsia"/>
          <w:sz w:val="24"/>
        </w:rPr>
        <w:t>份，被承诺方</w:t>
      </w:r>
      <w:r>
        <w:rPr>
          <w:rFonts w:hint="eastAsia"/>
          <w:sz w:val="24"/>
          <w:u w:val="single"/>
        </w:rPr>
        <w:t xml:space="preserve">  肆  </w:t>
      </w:r>
      <w:r>
        <w:rPr>
          <w:rFonts w:hint="eastAsia"/>
          <w:sz w:val="24"/>
        </w:rPr>
        <w:t>份、承诺方</w:t>
      </w:r>
      <w:r>
        <w:rPr>
          <w:rFonts w:hint="eastAsia"/>
          <w:sz w:val="24"/>
          <w:u w:val="single"/>
        </w:rPr>
        <w:t xml:space="preserve"> 叁 </w:t>
      </w:r>
      <w:r>
        <w:rPr>
          <w:rFonts w:hint="eastAsia"/>
          <w:sz w:val="24"/>
        </w:rPr>
        <w:t>份，具有同等法律效力。</w:t>
      </w:r>
    </w:p>
    <w:p w14:paraId="62BD6CF3">
      <w:pPr>
        <w:spacing w:line="360" w:lineRule="auto"/>
        <w:rPr>
          <w:sz w:val="24"/>
        </w:rPr>
      </w:pPr>
      <w:r>
        <w:rPr>
          <w:rFonts w:hint="eastAsia"/>
          <w:sz w:val="24"/>
        </w:rPr>
        <w:t>（以下无正文）</w:t>
      </w:r>
    </w:p>
    <w:p w14:paraId="782F32C2">
      <w:pPr>
        <w:spacing w:line="360" w:lineRule="auto"/>
        <w:rPr>
          <w:sz w:val="24"/>
        </w:rPr>
      </w:pPr>
    </w:p>
    <w:p w14:paraId="799F2E05">
      <w:pPr>
        <w:spacing w:line="360" w:lineRule="auto"/>
        <w:rPr>
          <w:sz w:val="24"/>
        </w:rPr>
      </w:pPr>
      <w:r>
        <w:rPr>
          <w:rFonts w:hint="eastAsia"/>
          <w:sz w:val="24"/>
        </w:rPr>
        <w:t>（本页无正文，为签署页）</w:t>
      </w:r>
    </w:p>
    <w:p w14:paraId="507E746A">
      <w:pPr>
        <w:spacing w:line="360" w:lineRule="auto"/>
        <w:rPr>
          <w:sz w:val="24"/>
        </w:rPr>
      </w:pPr>
    </w:p>
    <w:p w14:paraId="5B746B64">
      <w:pPr>
        <w:spacing w:line="360" w:lineRule="auto"/>
        <w:ind w:firstLine="555"/>
        <w:rPr>
          <w:sz w:val="24"/>
        </w:rPr>
      </w:pPr>
      <w:r>
        <w:rPr>
          <w:rFonts w:hint="eastAsia"/>
          <w:b/>
          <w:sz w:val="24"/>
        </w:rPr>
        <w:t>承诺方</w:t>
      </w:r>
      <w:r>
        <w:rPr>
          <w:rFonts w:hint="eastAsia"/>
          <w:sz w:val="24"/>
        </w:rPr>
        <w:t>（公章/合同专用章）：</w:t>
      </w:r>
      <w:r>
        <w:rPr>
          <w:rFonts w:hint="eastAsia"/>
          <w:b/>
          <w:sz w:val="24"/>
        </w:rPr>
        <w:t xml:space="preserve">  </w:t>
      </w:r>
      <w:r>
        <w:rPr>
          <w:rFonts w:hint="eastAsia"/>
          <w:sz w:val="24"/>
        </w:rPr>
        <w:t xml:space="preserve">             </w:t>
      </w:r>
    </w:p>
    <w:p w14:paraId="6946841D">
      <w:pPr>
        <w:spacing w:line="360" w:lineRule="auto"/>
        <w:ind w:firstLine="555"/>
        <w:rPr>
          <w:sz w:val="24"/>
        </w:rPr>
      </w:pPr>
    </w:p>
    <w:p w14:paraId="321D4922">
      <w:pPr>
        <w:spacing w:line="360" w:lineRule="auto"/>
        <w:ind w:firstLine="555"/>
        <w:rPr>
          <w:sz w:val="24"/>
        </w:rPr>
      </w:pPr>
      <w:r>
        <w:rPr>
          <w:rFonts w:hint="eastAsia"/>
          <w:sz w:val="24"/>
        </w:rPr>
        <w:t xml:space="preserve">法定代表人/授权代表（签字）：        </w:t>
      </w:r>
    </w:p>
    <w:p w14:paraId="4270FE34">
      <w:pPr>
        <w:spacing w:line="360" w:lineRule="auto"/>
        <w:ind w:firstLine="555"/>
        <w:rPr>
          <w:sz w:val="24"/>
        </w:rPr>
      </w:pPr>
    </w:p>
    <w:p w14:paraId="0C93F05C">
      <w:pPr>
        <w:ind w:firstLine="600" w:firstLineChars="250"/>
      </w:pPr>
      <w:r>
        <w:rPr>
          <w:rFonts w:hint="eastAsia"/>
          <w:sz w:val="24"/>
        </w:rPr>
        <w:t xml:space="preserve">日期：    </w:t>
      </w:r>
    </w:p>
    <w:p w14:paraId="4FE0167F">
      <w:pPr>
        <w:pStyle w:val="2"/>
        <w:rPr>
          <w:lang w:eastAsia="zh-CN"/>
        </w:rPr>
      </w:pPr>
    </w:p>
    <w:p w14:paraId="43F3CB42">
      <w:pPr>
        <w:widowControl/>
        <w:jc w:val="left"/>
        <w:rPr>
          <w:rFonts w:hint="eastAsia" w:asciiTheme="majorHAnsi" w:hAnsiTheme="majorHAnsi" w:eastAsiaTheme="majorEastAsia" w:cstheme="majorBidi"/>
          <w:b/>
          <w:bCs/>
          <w:sz w:val="32"/>
          <w:szCs w:val="32"/>
        </w:rPr>
      </w:pPr>
      <w:r>
        <w:br w:type="page"/>
      </w:r>
    </w:p>
    <w:p w14:paraId="0452DDCA">
      <w:pPr>
        <w:jc w:val="center"/>
        <w:rPr>
          <w:sz w:val="32"/>
          <w:szCs w:val="32"/>
        </w:rPr>
      </w:pPr>
    </w:p>
    <w:p w14:paraId="1A3AF353">
      <w:pPr>
        <w:pStyle w:val="4"/>
        <w:spacing w:before="156" w:after="156"/>
        <w:rPr>
          <w:rFonts w:ascii="宋体" w:hAnsi="宋体" w:eastAsia="宋体" w:cs="宋体"/>
          <w:sz w:val="24"/>
          <w:szCs w:val="24"/>
        </w:rPr>
      </w:pPr>
      <w:r>
        <w:rPr>
          <w:rFonts w:hint="eastAsia" w:ascii="宋体" w:hAnsi="宋体" w:eastAsia="宋体" w:cs="宋体"/>
          <w:sz w:val="24"/>
          <w:szCs w:val="24"/>
        </w:rPr>
        <w:t>附件6</w:t>
      </w:r>
    </w:p>
    <w:p w14:paraId="6B70BA65">
      <w:pPr>
        <w:jc w:val="center"/>
        <w:rPr>
          <w:sz w:val="32"/>
          <w:szCs w:val="32"/>
        </w:rPr>
      </w:pPr>
      <w:r>
        <w:rPr>
          <w:rFonts w:hint="eastAsia"/>
          <w:sz w:val="32"/>
          <w:szCs w:val="32"/>
        </w:rPr>
        <w:t>廉洁责任保证书</w:t>
      </w:r>
    </w:p>
    <w:p w14:paraId="5F301DD6">
      <w:pPr>
        <w:ind w:firstLine="482" w:firstLineChars="200"/>
        <w:rPr>
          <w:b/>
          <w:sz w:val="24"/>
        </w:rPr>
      </w:pPr>
    </w:p>
    <w:p w14:paraId="1DEBB2ED">
      <w:pPr>
        <w:spacing w:line="560" w:lineRule="atLeast"/>
        <w:ind w:firstLine="482" w:firstLineChars="200"/>
        <w:contextualSpacing/>
        <w:rPr>
          <w:b/>
          <w:sz w:val="24"/>
        </w:rPr>
      </w:pPr>
      <w:r>
        <w:rPr>
          <w:rFonts w:hint="eastAsia"/>
          <w:b/>
          <w:sz w:val="24"/>
        </w:rPr>
        <w:t>保证方：</w:t>
      </w:r>
    </w:p>
    <w:p w14:paraId="0A3048EC">
      <w:pPr>
        <w:spacing w:line="560" w:lineRule="atLeast"/>
        <w:ind w:firstLine="480" w:firstLineChars="200"/>
        <w:contextualSpacing/>
        <w:rPr>
          <w:sz w:val="24"/>
        </w:rPr>
      </w:pPr>
      <w:r>
        <w:rPr>
          <w:rFonts w:hint="eastAsia"/>
          <w:sz w:val="24"/>
        </w:rPr>
        <w:t>注册地址：</w:t>
      </w:r>
    </w:p>
    <w:p w14:paraId="0711FA73">
      <w:pPr>
        <w:spacing w:line="560" w:lineRule="atLeast"/>
        <w:ind w:firstLine="480" w:firstLineChars="200"/>
        <w:contextualSpacing/>
        <w:rPr>
          <w:sz w:val="24"/>
        </w:rPr>
      </w:pPr>
      <w:r>
        <w:rPr>
          <w:rFonts w:hint="eastAsia"/>
          <w:sz w:val="24"/>
        </w:rPr>
        <w:t xml:space="preserve">法定代表人：  </w:t>
      </w:r>
    </w:p>
    <w:p w14:paraId="6C3A852F">
      <w:pPr>
        <w:spacing w:line="560" w:lineRule="atLeast"/>
        <w:ind w:firstLine="480" w:firstLineChars="200"/>
        <w:contextualSpacing/>
        <w:rPr>
          <w:sz w:val="24"/>
        </w:rPr>
      </w:pPr>
      <w:r>
        <w:rPr>
          <w:rFonts w:hint="eastAsia"/>
          <w:sz w:val="24"/>
        </w:rPr>
        <w:t xml:space="preserve">联系人：             </w:t>
      </w:r>
    </w:p>
    <w:p w14:paraId="7060CD76">
      <w:pPr>
        <w:spacing w:line="560" w:lineRule="atLeast"/>
        <w:ind w:firstLine="480" w:firstLineChars="200"/>
        <w:contextualSpacing/>
        <w:rPr>
          <w:sz w:val="24"/>
        </w:rPr>
      </w:pPr>
      <w:r>
        <w:rPr>
          <w:rFonts w:hint="eastAsia"/>
          <w:sz w:val="24"/>
        </w:rPr>
        <w:t>电话号码：</w:t>
      </w:r>
    </w:p>
    <w:p w14:paraId="3408C51D">
      <w:pPr>
        <w:spacing w:line="560" w:lineRule="atLeast"/>
        <w:ind w:firstLine="480" w:firstLineChars="200"/>
        <w:contextualSpacing/>
        <w:rPr>
          <w:sz w:val="24"/>
        </w:rPr>
      </w:pPr>
      <w:r>
        <w:rPr>
          <w:rFonts w:hint="eastAsia"/>
          <w:sz w:val="24"/>
        </w:rPr>
        <w:t>联系邮箱：</w:t>
      </w:r>
    </w:p>
    <w:p w14:paraId="26B7A04D">
      <w:pPr>
        <w:spacing w:line="560" w:lineRule="atLeast"/>
        <w:ind w:firstLine="480" w:firstLineChars="200"/>
        <w:contextualSpacing/>
        <w:rPr>
          <w:sz w:val="24"/>
        </w:rPr>
      </w:pPr>
    </w:p>
    <w:p w14:paraId="7C47A3EA">
      <w:pPr>
        <w:spacing w:line="560" w:lineRule="atLeast"/>
        <w:ind w:firstLine="480" w:firstLineChars="200"/>
        <w:contextualSpacing/>
        <w:rPr>
          <w:sz w:val="24"/>
        </w:rPr>
      </w:pPr>
      <w:r>
        <w:rPr>
          <w:rFonts w:hint="eastAsia"/>
          <w:sz w:val="24"/>
        </w:rPr>
        <w:t>为规范工程建设、物资采购、技术服务等商务活动，自觉遵守国家有关法律、法规，贯彻落实党中央、国务院、中央纪委、国家监委关于正风肃纪反腐的各项规定，防止各种不廉洁行为的发生，根据</w:t>
      </w:r>
      <w:r>
        <w:rPr>
          <w:rFonts w:hint="eastAsia"/>
          <w:sz w:val="24"/>
          <w:u w:val="single"/>
        </w:rPr>
        <w:t xml:space="preserve">             </w:t>
      </w:r>
      <w:r>
        <w:rPr>
          <w:rFonts w:hint="eastAsia"/>
          <w:sz w:val="24"/>
        </w:rPr>
        <w:t>公司（以下简称公司）加强党风廉政建设、预防商业贿赂的有关要求，本单位自愿签署本保证书，向贵公司不可撤销地保证做到如下事项：</w:t>
      </w:r>
    </w:p>
    <w:p w14:paraId="39DB4875">
      <w:pPr>
        <w:spacing w:line="560" w:lineRule="atLeast"/>
        <w:ind w:firstLine="480" w:firstLineChars="200"/>
        <w:contextualSpacing/>
        <w:rPr>
          <w:sz w:val="24"/>
        </w:rPr>
      </w:pPr>
      <w:r>
        <w:rPr>
          <w:rFonts w:hint="eastAsia"/>
          <w:sz w:val="24"/>
        </w:rPr>
        <w:t>一、主动学习和遵守公司党风廉政建设的各项制度和规定，积极主动对本单位参加公司（包括公司下属企业，下同）工程建设、物资采购、技术服务等商务活动的人员进行反腐倡廉教育。</w:t>
      </w:r>
    </w:p>
    <w:p w14:paraId="3DBFE860">
      <w:pPr>
        <w:spacing w:line="560" w:lineRule="atLeast"/>
        <w:ind w:firstLine="480" w:firstLineChars="200"/>
        <w:contextualSpacing/>
        <w:rPr>
          <w:sz w:val="24"/>
        </w:rPr>
      </w:pPr>
      <w:r>
        <w:rPr>
          <w:rFonts w:hint="eastAsia"/>
          <w:sz w:val="24"/>
        </w:rPr>
        <w:t>二、通过正常途径开展相关业务，保证本单位及本单位工作人员不采取任何不正当手段利用公司工作人员在工程建设、物资采购、技术服务等交易中弄虚作假损害公司的合法利益。</w:t>
      </w:r>
    </w:p>
    <w:p w14:paraId="4A5A7940">
      <w:pPr>
        <w:spacing w:line="560" w:lineRule="atLeast"/>
        <w:ind w:firstLine="480" w:firstLineChars="200"/>
        <w:contextualSpacing/>
        <w:rPr>
          <w:sz w:val="24"/>
        </w:rPr>
      </w:pPr>
      <w:r>
        <w:rPr>
          <w:rFonts w:hint="eastAsia"/>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14:paraId="215E4669">
      <w:pPr>
        <w:spacing w:line="560" w:lineRule="atLeast"/>
        <w:ind w:firstLine="480" w:firstLineChars="200"/>
        <w:contextualSpacing/>
        <w:rPr>
          <w:sz w:val="24"/>
        </w:rPr>
      </w:pPr>
      <w:r>
        <w:rPr>
          <w:rFonts w:hint="eastAsia"/>
          <w:sz w:val="24"/>
        </w:rPr>
        <w:t>四、确需邀请公司工作人员参加本单位举办的会议或活动时，主动向公司相关主管领导汇报并事先取得公司同意。如会议涉及发放贵重礼品的，将严格遵守公司相关党风廉政建设规定。</w:t>
      </w:r>
    </w:p>
    <w:p w14:paraId="705E8059">
      <w:pPr>
        <w:spacing w:line="560" w:lineRule="atLeast"/>
        <w:ind w:firstLine="480" w:firstLineChars="200"/>
        <w:contextualSpacing/>
        <w:rPr>
          <w:sz w:val="24"/>
        </w:rPr>
      </w:pPr>
      <w:r>
        <w:rPr>
          <w:rFonts w:hint="eastAsia"/>
          <w:sz w:val="24"/>
        </w:rPr>
        <w:t>五、在工程建设、物资采购、技术服务等商务活动中，如发现公司工作人员有不廉洁行为的，将立即采取制止措施，并及时告知公司主管领导和纪检部门。</w:t>
      </w:r>
    </w:p>
    <w:p w14:paraId="387F3C30">
      <w:pPr>
        <w:spacing w:line="560" w:lineRule="atLeast"/>
        <w:ind w:firstLine="480" w:firstLineChars="200"/>
        <w:contextualSpacing/>
        <w:rPr>
          <w:sz w:val="24"/>
        </w:rPr>
      </w:pPr>
      <w:r>
        <w:rPr>
          <w:rFonts w:hint="eastAsia"/>
          <w:sz w:val="24"/>
        </w:rPr>
        <w:t>六、本单位或本单位工作人员违反廉洁义务，经调查属实的，如公司及其招标代理机构退回本单位投标（采购申请）；或撤销本单位中标通知（成交决定），或根据情节轻重一次性扣减项目相关合同总价款的1—10%的，本单位均无条件接受并承诺放弃以投诉、举报、诉讼、仲裁等一切救济方式追究公司和/或其招标代理机构任何责任的权利。</w:t>
      </w:r>
    </w:p>
    <w:p w14:paraId="1293A02E">
      <w:pPr>
        <w:spacing w:line="560" w:lineRule="atLeast"/>
        <w:ind w:firstLine="480" w:firstLineChars="200"/>
        <w:contextualSpacing/>
        <w:rPr>
          <w:sz w:val="24"/>
        </w:rPr>
      </w:pPr>
      <w:r>
        <w:rPr>
          <w:rFonts w:hint="eastAsia"/>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14:paraId="09B30BF6">
      <w:pPr>
        <w:spacing w:line="360" w:lineRule="auto"/>
        <w:ind w:firstLine="555"/>
        <w:rPr>
          <w:sz w:val="24"/>
          <w:u w:val="single"/>
        </w:rPr>
      </w:pPr>
      <w:r>
        <w:rPr>
          <w:rFonts w:hint="eastAsia"/>
          <w:sz w:val="24"/>
        </w:rPr>
        <w:t>八、本保证书一式</w:t>
      </w:r>
      <w:r>
        <w:rPr>
          <w:rFonts w:hint="eastAsia"/>
          <w:sz w:val="24"/>
          <w:u w:val="single"/>
        </w:rPr>
        <w:t xml:space="preserve">  柒 </w:t>
      </w:r>
      <w:r>
        <w:rPr>
          <w:rFonts w:hint="eastAsia"/>
          <w:sz w:val="24"/>
        </w:rPr>
        <w:t>份，被保证方</w:t>
      </w:r>
      <w:r>
        <w:rPr>
          <w:rFonts w:hint="eastAsia"/>
          <w:sz w:val="24"/>
          <w:u w:val="single"/>
        </w:rPr>
        <w:t xml:space="preserve">  肆  </w:t>
      </w:r>
      <w:r>
        <w:rPr>
          <w:rFonts w:hint="eastAsia"/>
          <w:sz w:val="24"/>
        </w:rPr>
        <w:t>份、保证方</w:t>
      </w:r>
      <w:r>
        <w:rPr>
          <w:rFonts w:hint="eastAsia"/>
          <w:sz w:val="24"/>
          <w:u w:val="single"/>
        </w:rPr>
        <w:t xml:space="preserve"> 叁 </w:t>
      </w:r>
      <w:r>
        <w:rPr>
          <w:rFonts w:hint="eastAsia"/>
          <w:sz w:val="24"/>
        </w:rPr>
        <w:t>份，具有同等法律效力。</w:t>
      </w:r>
      <w:r>
        <w:rPr>
          <w:rFonts w:hint="eastAsia"/>
          <w:sz w:val="24"/>
          <w:u w:val="single"/>
        </w:rPr>
        <w:t>本保证书在自保证方法定代表人或授权代表签字并加盖公章/合同专用章之日起生效。</w:t>
      </w:r>
    </w:p>
    <w:p w14:paraId="32901AD3">
      <w:pPr>
        <w:rPr>
          <w:sz w:val="24"/>
        </w:rPr>
      </w:pPr>
    </w:p>
    <w:p w14:paraId="78020019">
      <w:pPr>
        <w:pStyle w:val="16"/>
        <w:ind w:left="16" w:firstLine="480"/>
        <w:rPr>
          <w:rFonts w:cs="宋体"/>
          <w:sz w:val="24"/>
        </w:rPr>
      </w:pPr>
      <w:r>
        <w:rPr>
          <w:rFonts w:hint="eastAsia" w:cs="宋体"/>
          <w:sz w:val="24"/>
        </w:rPr>
        <w:t>（以下无正文）</w:t>
      </w:r>
    </w:p>
    <w:p w14:paraId="7965EB24">
      <w:pPr>
        <w:overflowPunct w:val="0"/>
        <w:autoSpaceDE w:val="0"/>
        <w:autoSpaceDN w:val="0"/>
        <w:ind w:firstLine="480" w:firstLineChars="200"/>
        <w:textAlignment w:val="baseline"/>
        <w:rPr>
          <w:sz w:val="24"/>
        </w:rPr>
      </w:pPr>
    </w:p>
    <w:p w14:paraId="07AB138B">
      <w:pPr>
        <w:overflowPunct w:val="0"/>
        <w:autoSpaceDE w:val="0"/>
        <w:autoSpaceDN w:val="0"/>
        <w:ind w:firstLine="480" w:firstLineChars="200"/>
        <w:textAlignment w:val="baseline"/>
        <w:rPr>
          <w:sz w:val="24"/>
        </w:rPr>
      </w:pPr>
    </w:p>
    <w:p w14:paraId="69749D6B">
      <w:pPr>
        <w:rPr>
          <w:sz w:val="24"/>
        </w:rPr>
      </w:pPr>
      <w:r>
        <w:rPr>
          <w:rFonts w:hint="eastAsia"/>
          <w:b/>
          <w:sz w:val="24"/>
        </w:rPr>
        <w:t>保证方</w:t>
      </w:r>
      <w:r>
        <w:rPr>
          <w:rFonts w:hint="eastAsia"/>
          <w:sz w:val="24"/>
        </w:rPr>
        <w:t>（公章/合同专用章）</w:t>
      </w:r>
      <w:r>
        <w:rPr>
          <w:rFonts w:hint="eastAsia"/>
          <w:b/>
          <w:sz w:val="24"/>
        </w:rPr>
        <w:t xml:space="preserve">：   </w:t>
      </w:r>
      <w:r>
        <w:rPr>
          <w:rFonts w:hint="eastAsia"/>
          <w:sz w:val="24"/>
        </w:rPr>
        <w:t xml:space="preserve">       </w:t>
      </w:r>
    </w:p>
    <w:p w14:paraId="7A821001">
      <w:pPr>
        <w:rPr>
          <w:sz w:val="24"/>
        </w:rPr>
      </w:pPr>
    </w:p>
    <w:p w14:paraId="187922CD">
      <w:pPr>
        <w:rPr>
          <w:sz w:val="24"/>
        </w:rPr>
      </w:pPr>
      <w:r>
        <w:rPr>
          <w:rFonts w:hint="eastAsia"/>
          <w:sz w:val="24"/>
        </w:rPr>
        <w:t>授权代表（签字）：</w:t>
      </w:r>
    </w:p>
    <w:p w14:paraId="409AEBF6">
      <w:pPr>
        <w:rPr>
          <w:sz w:val="24"/>
        </w:rPr>
      </w:pPr>
      <w:r>
        <w:rPr>
          <w:rFonts w:hint="eastAsia"/>
          <w:sz w:val="24"/>
        </w:rPr>
        <w:t xml:space="preserve">        </w:t>
      </w:r>
    </w:p>
    <w:p w14:paraId="63B67271">
      <w:pPr>
        <w:spacing w:line="560" w:lineRule="atLeast"/>
        <w:ind w:firstLine="480" w:firstLineChars="200"/>
        <w:rPr>
          <w:bCs/>
          <w:position w:val="-24"/>
          <w:sz w:val="24"/>
        </w:rPr>
      </w:pPr>
      <w:r>
        <w:rPr>
          <w:rFonts w:hint="eastAsia"/>
          <w:sz w:val="24"/>
        </w:rPr>
        <w:t>日期：</w:t>
      </w:r>
    </w:p>
    <w:p w14:paraId="1F5D8E37">
      <w:pPr>
        <w:pStyle w:val="2"/>
        <w:rPr>
          <w:b/>
          <w:bCs/>
          <w:smallCaps/>
          <w:sz w:val="24"/>
          <w:szCs w:val="24"/>
          <w:lang w:eastAsia="zh-CN"/>
        </w:rPr>
      </w:pPr>
    </w:p>
    <w:p w14:paraId="162AE55E">
      <w:pPr>
        <w:widowControl/>
        <w:jc w:val="left"/>
        <w:rPr>
          <w:b/>
          <w:smallCaps/>
          <w:sz w:val="32"/>
          <w:szCs w:val="32"/>
        </w:rPr>
      </w:pPr>
    </w:p>
    <w:p w14:paraId="6151DDAD">
      <w:pPr>
        <w:widowControl/>
        <w:jc w:val="left"/>
        <w:rPr>
          <w:b/>
          <w:smallCaps/>
          <w:sz w:val="32"/>
          <w:szCs w:val="32"/>
        </w:rPr>
      </w:pPr>
      <w:r>
        <w:rPr>
          <w:b/>
          <w:smallCaps/>
          <w:sz w:val="32"/>
          <w:szCs w:val="32"/>
        </w:rPr>
        <w:br w:type="page"/>
      </w:r>
    </w:p>
    <w:p w14:paraId="49724D95">
      <w:pPr>
        <w:widowControl/>
        <w:jc w:val="left"/>
        <w:rPr>
          <w:b/>
          <w:bCs/>
          <w:smallCaps/>
          <w:sz w:val="24"/>
        </w:rPr>
      </w:pPr>
      <w:r>
        <w:rPr>
          <w:rFonts w:hint="eastAsia"/>
          <w:b/>
          <w:bCs/>
          <w:smallCaps/>
          <w:sz w:val="24"/>
        </w:rPr>
        <w:t>附件7</w:t>
      </w:r>
    </w:p>
    <w:p w14:paraId="58802A0F">
      <w:pPr>
        <w:widowControl/>
        <w:spacing w:beforeAutospacing="1" w:afterAutospacing="1" w:line="360" w:lineRule="auto"/>
        <w:ind w:firstLine="3200" w:firstLineChars="1000"/>
        <w:rPr>
          <w:b/>
          <w:bCs/>
          <w:sz w:val="32"/>
          <w:szCs w:val="32"/>
        </w:rPr>
      </w:pPr>
      <w:r>
        <w:rPr>
          <w:rFonts w:hint="eastAsia"/>
          <w:smallCaps/>
          <w:sz w:val="32"/>
          <w:szCs w:val="32"/>
        </w:rPr>
        <w:t>质量保证承诺书</w:t>
      </w:r>
    </w:p>
    <w:p w14:paraId="4D90179A">
      <w:pPr>
        <w:spacing w:line="360" w:lineRule="auto"/>
        <w:ind w:firstLine="480" w:firstLineChars="200"/>
        <w:rPr>
          <w:sz w:val="24"/>
        </w:rPr>
      </w:pPr>
      <w:r>
        <w:rPr>
          <w:rFonts w:hint="eastAsia"/>
          <w:sz w:val="24"/>
        </w:rPr>
        <w:t>为确保产品质量合格，保证产品安全，本公司特作以下承诺：</w:t>
      </w:r>
    </w:p>
    <w:p w14:paraId="268929F5">
      <w:pPr>
        <w:spacing w:line="360" w:lineRule="auto"/>
        <w:ind w:firstLine="480" w:firstLineChars="200"/>
        <w:rPr>
          <w:sz w:val="24"/>
        </w:rPr>
      </w:pPr>
      <w:r>
        <w:rPr>
          <w:rFonts w:hint="eastAsia"/>
          <w:sz w:val="24"/>
        </w:rPr>
        <w:t>1、本公司提供的产品包装、注册商标等符合国家有关规定，并保证不侵犯任何第三方权益。</w:t>
      </w:r>
    </w:p>
    <w:p w14:paraId="7AC1E05B">
      <w:pPr>
        <w:spacing w:line="360" w:lineRule="auto"/>
        <w:ind w:firstLine="480" w:firstLineChars="200"/>
        <w:rPr>
          <w:sz w:val="24"/>
        </w:rPr>
      </w:pPr>
      <w:r>
        <w:rPr>
          <w:rFonts w:hint="eastAsia"/>
          <w:sz w:val="24"/>
        </w:rPr>
        <w:t>2、本公司提供的产品在质量体系严格控制下运行，制作过程严格依据相关标准制作。原则上按购货方规定的技术标准执行，在购货方没有规定的技术标准时，我公司将按照国家现行标准执行。</w:t>
      </w:r>
    </w:p>
    <w:p w14:paraId="58CE0EAD">
      <w:pPr>
        <w:spacing w:line="360" w:lineRule="auto"/>
        <w:ind w:firstLine="480" w:firstLineChars="200"/>
        <w:rPr>
          <w:sz w:val="24"/>
        </w:rPr>
      </w:pPr>
      <w:r>
        <w:rPr>
          <w:rFonts w:hint="eastAsia"/>
          <w:sz w:val="24"/>
        </w:rPr>
        <w:t>3、本公司保证所供产品符合法定的质量标准，并对产品质量负责，提供必要的质量资料，诸如产品检验报告书/合格证等相关资料。</w:t>
      </w:r>
    </w:p>
    <w:p w14:paraId="138CACD2">
      <w:pPr>
        <w:spacing w:line="360" w:lineRule="auto"/>
        <w:ind w:firstLine="480" w:firstLineChars="200"/>
        <w:rPr>
          <w:sz w:val="24"/>
        </w:rPr>
      </w:pPr>
      <w:r>
        <w:rPr>
          <w:rFonts w:hint="eastAsia"/>
          <w:sz w:val="24"/>
        </w:rPr>
        <w:t>4、本公司所提供的货物是全新的、未使用过的，完全符合合同质量、规格和性能的要求。保证所提供的货物在正确安装、合理操作和保养条件下，在其使用寿命期内具有满意性能。</w:t>
      </w:r>
    </w:p>
    <w:p w14:paraId="79188BD5">
      <w:pPr>
        <w:spacing w:line="360" w:lineRule="auto"/>
        <w:ind w:firstLine="480" w:firstLineChars="200"/>
        <w:rPr>
          <w:sz w:val="24"/>
        </w:rPr>
      </w:pPr>
      <w:r>
        <w:rPr>
          <w:rFonts w:hint="eastAsia"/>
          <w:sz w:val="24"/>
        </w:rPr>
        <w:t>5、本公司随时接受贵方及质检部门依据标准对产品的检查。</w:t>
      </w:r>
    </w:p>
    <w:p w14:paraId="1AAE4F1B">
      <w:pPr>
        <w:spacing w:line="360" w:lineRule="auto"/>
        <w:ind w:firstLine="480" w:firstLineChars="200"/>
        <w:rPr>
          <w:sz w:val="24"/>
        </w:rPr>
      </w:pPr>
      <w:r>
        <w:rPr>
          <w:rFonts w:hint="eastAsia"/>
          <w:sz w:val="24"/>
        </w:rPr>
        <w:t>6、本公司产品在交付使用后的质保期内发生因质量原因问题时，由我方无偿提供维修或更换，因质量不合格或交货不及时影响工程进度的，我方承担一切经济责任。</w:t>
      </w:r>
    </w:p>
    <w:p w14:paraId="57FC748A">
      <w:pPr>
        <w:spacing w:line="360" w:lineRule="auto"/>
        <w:ind w:firstLine="480" w:firstLineChars="200"/>
        <w:rPr>
          <w:iCs/>
          <w:sz w:val="24"/>
          <w:lang w:val="zh-CN"/>
        </w:rPr>
      </w:pPr>
      <w:r>
        <w:rPr>
          <w:rFonts w:hint="eastAsia"/>
          <w:sz w:val="24"/>
        </w:rPr>
        <w:t>7、在质保期之内，如发现货物有缺陷，我方在收到贵方书面通知后，</w:t>
      </w:r>
      <w:r>
        <w:rPr>
          <w:color w:val="FF0000"/>
          <w:sz w:val="24"/>
          <w:szCs w:val="24"/>
          <w:highlight w:val="yellow"/>
        </w:rPr>
        <w:t>2</w:t>
      </w:r>
      <w:r>
        <w:rPr>
          <w:rFonts w:hint="eastAsia"/>
          <w:color w:val="FF0000"/>
          <w:sz w:val="24"/>
          <w:szCs w:val="24"/>
          <w:highlight w:val="yellow"/>
        </w:rPr>
        <w:t>小时内</w:t>
      </w:r>
      <w:r>
        <w:rPr>
          <w:rFonts w:hint="eastAsia"/>
          <w:iCs/>
          <w:color w:val="FF0000"/>
          <w:sz w:val="24"/>
          <w:szCs w:val="24"/>
          <w:highlight w:val="yellow"/>
          <w:lang w:val="zh-CN"/>
        </w:rPr>
        <w:t>电话响应，</w:t>
      </w:r>
      <w:r>
        <w:rPr>
          <w:iCs/>
          <w:color w:val="FF0000"/>
          <w:sz w:val="24"/>
          <w:szCs w:val="24"/>
          <w:highlight w:val="yellow"/>
        </w:rPr>
        <w:t>48</w:t>
      </w:r>
      <w:r>
        <w:rPr>
          <w:rFonts w:hint="eastAsia"/>
          <w:iCs/>
          <w:color w:val="FF0000"/>
          <w:sz w:val="24"/>
          <w:szCs w:val="24"/>
          <w:highlight w:val="yellow"/>
          <w:lang w:val="zh-CN"/>
        </w:rPr>
        <w:t>小时内上门服务。</w:t>
      </w:r>
    </w:p>
    <w:p w14:paraId="0489E784">
      <w:pPr>
        <w:spacing w:line="360" w:lineRule="auto"/>
        <w:ind w:firstLine="480" w:firstLineChars="200"/>
        <w:rPr>
          <w:sz w:val="24"/>
        </w:rPr>
      </w:pPr>
      <w:r>
        <w:rPr>
          <w:rFonts w:hint="eastAsia"/>
          <w:sz w:val="24"/>
        </w:rPr>
        <w:t>8、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14:paraId="13A47256">
      <w:pPr>
        <w:spacing w:line="360" w:lineRule="auto"/>
        <w:ind w:firstLine="480" w:firstLineChars="200"/>
        <w:rPr>
          <w:sz w:val="24"/>
        </w:rPr>
      </w:pPr>
    </w:p>
    <w:p w14:paraId="41CF7BE3">
      <w:pPr>
        <w:spacing w:line="360" w:lineRule="auto"/>
        <w:ind w:firstLine="480" w:firstLineChars="200"/>
        <w:rPr>
          <w:sz w:val="24"/>
        </w:rPr>
      </w:pPr>
      <w:r>
        <w:rPr>
          <w:rFonts w:hint="eastAsia"/>
          <w:sz w:val="24"/>
        </w:rPr>
        <w:t>响应单位名称（盖章）</w:t>
      </w:r>
    </w:p>
    <w:p w14:paraId="77C93CF2">
      <w:pPr>
        <w:spacing w:line="360" w:lineRule="auto"/>
        <w:ind w:firstLine="480" w:firstLineChars="200"/>
        <w:rPr>
          <w:sz w:val="24"/>
        </w:rPr>
      </w:pPr>
      <w:r>
        <w:rPr>
          <w:rFonts w:hint="eastAsia"/>
          <w:sz w:val="24"/>
        </w:rPr>
        <w:t>日期：</w:t>
      </w:r>
    </w:p>
    <w:p w14:paraId="6A62F975">
      <w:pPr>
        <w:pStyle w:val="2"/>
        <w:rPr>
          <w:lang w:eastAsia="zh-CN"/>
        </w:rPr>
      </w:pPr>
      <w:bookmarkStart w:id="2" w:name="_bookmark146"/>
      <w:bookmarkEnd w:id="2"/>
    </w:p>
    <w:p w14:paraId="1749FA38">
      <w:pPr>
        <w:widowControl/>
        <w:jc w:val="left"/>
        <w:rPr>
          <w:rFonts w:ascii="宋体" w:hAnsi="宋体" w:eastAsia="宋体" w:cs="宋体"/>
          <w:b/>
          <w:bCs/>
          <w:sz w:val="24"/>
        </w:rPr>
      </w:pPr>
      <w:r>
        <w:rPr>
          <w:rFonts w:ascii="宋体" w:hAnsi="宋体" w:eastAsia="宋体" w:cs="宋体"/>
          <w:b/>
          <w:bCs/>
          <w:sz w:val="24"/>
        </w:rPr>
        <w:br w:type="page"/>
      </w:r>
    </w:p>
    <w:p w14:paraId="50071FB9">
      <w:pPr>
        <w:widowControl/>
        <w:rPr>
          <w:rFonts w:ascii="宋体" w:hAnsi="宋体" w:eastAsia="宋体" w:cs="宋体"/>
          <w:b/>
          <w:bCs/>
          <w:sz w:val="24"/>
        </w:rPr>
      </w:pPr>
      <w:r>
        <w:rPr>
          <w:rFonts w:hint="eastAsia" w:ascii="宋体" w:hAnsi="宋体" w:eastAsia="宋体" w:cs="宋体"/>
          <w:b/>
          <w:bCs/>
          <w:sz w:val="24"/>
        </w:rPr>
        <w:t>附件8</w:t>
      </w:r>
    </w:p>
    <w:p w14:paraId="12CF9ADE">
      <w:pPr>
        <w:widowControl/>
        <w:jc w:val="center"/>
        <w:rPr>
          <w:rFonts w:ascii="Arial" w:hAnsi="Arial" w:eastAsia="黑体" w:cs="Arial"/>
          <w:sz w:val="32"/>
          <w:szCs w:val="32"/>
        </w:rPr>
      </w:pPr>
      <w:r>
        <w:rPr>
          <w:rFonts w:ascii="Arial" w:hAnsi="Arial" w:eastAsia="黑体" w:cs="Arial"/>
          <w:sz w:val="32"/>
          <w:szCs w:val="32"/>
        </w:rPr>
        <w:t>廉洁交往告知书</w:t>
      </w:r>
    </w:p>
    <w:p w14:paraId="4762347A">
      <w:pPr>
        <w:spacing w:line="360" w:lineRule="auto"/>
        <w:ind w:firstLine="420" w:firstLineChars="200"/>
        <w:contextualSpacing/>
        <w:rPr>
          <w:rFonts w:ascii="Arial" w:hAnsi="Arial" w:cs="Arial"/>
          <w:szCs w:val="21"/>
        </w:rPr>
      </w:pPr>
    </w:p>
    <w:p w14:paraId="2D2EFF55">
      <w:pPr>
        <w:spacing w:line="560" w:lineRule="atLeast"/>
        <w:ind w:firstLine="480" w:firstLineChars="200"/>
        <w:contextualSpacing/>
        <w:rPr>
          <w:sz w:val="24"/>
        </w:rPr>
      </w:pPr>
      <w:r>
        <w:rPr>
          <w:rFonts w:hint="eastAsia"/>
          <w:sz w:val="24"/>
        </w:rPr>
        <w:t xml:space="preserve">为规范经济活动，自觉遵守国家有关法律法规，维护双方合法权益，现将我公司关于廉洁交往禁止事项告知如下： </w:t>
      </w:r>
    </w:p>
    <w:p w14:paraId="10BDA78E">
      <w:pPr>
        <w:spacing w:line="560" w:lineRule="atLeast"/>
        <w:ind w:firstLine="480" w:firstLineChars="200"/>
        <w:contextualSpacing/>
        <w:rPr>
          <w:sz w:val="24"/>
        </w:rPr>
      </w:pPr>
      <w:r>
        <w:rPr>
          <w:rFonts w:hint="eastAsia"/>
          <w:sz w:val="24"/>
        </w:rPr>
        <w:t>一、向我司工作人员及其家属等特定关系人：</w:t>
      </w:r>
    </w:p>
    <w:p w14:paraId="29169F8E">
      <w:pPr>
        <w:spacing w:line="560" w:lineRule="atLeast"/>
        <w:ind w:firstLine="480" w:firstLineChars="200"/>
        <w:contextualSpacing/>
        <w:rPr>
          <w:sz w:val="24"/>
        </w:rPr>
      </w:pPr>
      <w:r>
        <w:rPr>
          <w:rFonts w:hint="eastAsia"/>
          <w:sz w:val="24"/>
        </w:rPr>
        <w:t>（一）行贿、提供回扣；</w:t>
      </w:r>
    </w:p>
    <w:p w14:paraId="38C35B72">
      <w:pPr>
        <w:spacing w:line="560" w:lineRule="atLeast"/>
        <w:ind w:firstLine="480" w:firstLineChars="200"/>
        <w:contextualSpacing/>
        <w:rPr>
          <w:sz w:val="24"/>
        </w:rPr>
      </w:pPr>
      <w:r>
        <w:rPr>
          <w:rFonts w:hint="eastAsia"/>
          <w:sz w:val="24"/>
        </w:rPr>
        <w:t>（二）安排宴请、住宿、旅游、健身、文体娱乐等活动；</w:t>
      </w:r>
    </w:p>
    <w:p w14:paraId="1F9D546A">
      <w:pPr>
        <w:spacing w:line="560" w:lineRule="atLeast"/>
        <w:ind w:firstLine="480" w:firstLineChars="200"/>
        <w:contextualSpacing/>
        <w:rPr>
          <w:sz w:val="24"/>
        </w:rPr>
      </w:pPr>
      <w:r>
        <w:rPr>
          <w:rFonts w:hint="eastAsia"/>
          <w:sz w:val="24"/>
        </w:rPr>
        <w:t>（三）赠送礼品、礼金、购物卡、预付卡、会员卡、提货券、电子红包、有价证券、股权（份）、土特产、金融产品、消费卡（券）等超出正常礼尚往来的财物；</w:t>
      </w:r>
    </w:p>
    <w:p w14:paraId="62D78AE9">
      <w:pPr>
        <w:spacing w:line="560" w:lineRule="atLeast"/>
        <w:ind w:firstLine="480" w:firstLineChars="200"/>
        <w:contextualSpacing/>
        <w:rPr>
          <w:sz w:val="24"/>
        </w:rPr>
      </w:pPr>
      <w:r>
        <w:rPr>
          <w:rFonts w:hint="eastAsia"/>
          <w:sz w:val="24"/>
        </w:rPr>
        <w:t>（四）出借钱款、房屋、车辆等，或以明显优于正常市场交易价格进行交易和提供服务；</w:t>
      </w:r>
    </w:p>
    <w:p w14:paraId="5024D7E6">
      <w:pPr>
        <w:spacing w:line="560" w:lineRule="atLeast"/>
        <w:ind w:firstLine="480" w:firstLineChars="200"/>
        <w:contextualSpacing/>
        <w:rPr>
          <w:sz w:val="24"/>
        </w:rPr>
      </w:pPr>
      <w:r>
        <w:rPr>
          <w:rFonts w:hint="eastAsia"/>
          <w:sz w:val="24"/>
        </w:rPr>
        <w:t>（五）报销或支付（代垫）应由个人承担的费用；</w:t>
      </w:r>
    </w:p>
    <w:p w14:paraId="2637A6A2">
      <w:pPr>
        <w:spacing w:line="560" w:lineRule="atLeast"/>
        <w:ind w:firstLine="480" w:firstLineChars="200"/>
        <w:contextualSpacing/>
        <w:rPr>
          <w:sz w:val="24"/>
        </w:rPr>
      </w:pPr>
      <w:r>
        <w:rPr>
          <w:rFonts w:hint="eastAsia"/>
          <w:sz w:val="24"/>
        </w:rPr>
        <w:t>二、让我司工作人员及其家属等特定关系人持有或变相持有股权（份）；</w:t>
      </w:r>
    </w:p>
    <w:p w14:paraId="442204CA">
      <w:pPr>
        <w:spacing w:line="560" w:lineRule="atLeast"/>
        <w:ind w:firstLine="480" w:firstLineChars="200"/>
        <w:contextualSpacing/>
        <w:rPr>
          <w:sz w:val="24"/>
        </w:rPr>
      </w:pPr>
      <w:r>
        <w:rPr>
          <w:rFonts w:hint="eastAsia"/>
          <w:sz w:val="24"/>
        </w:rPr>
        <w:t>三、与我司工作人员及其家属介绍的特定关系人从事招标采购、产品销售、管理咨询等经济活动；</w:t>
      </w:r>
    </w:p>
    <w:p w14:paraId="6F9227E2">
      <w:pPr>
        <w:spacing w:line="560" w:lineRule="atLeast"/>
        <w:ind w:firstLine="480" w:firstLineChars="200"/>
        <w:contextualSpacing/>
        <w:rPr>
          <w:sz w:val="24"/>
        </w:rPr>
      </w:pPr>
      <w:r>
        <w:rPr>
          <w:rFonts w:hint="eastAsia"/>
          <w:sz w:val="24"/>
        </w:rPr>
        <w:t>四、其他可能导致我司工作人员违反廉洁纪律、廉洁交往有关规定的行为；</w:t>
      </w:r>
    </w:p>
    <w:p w14:paraId="47F2A799">
      <w:pPr>
        <w:spacing w:line="560" w:lineRule="atLeast"/>
        <w:ind w:firstLine="480" w:firstLineChars="200"/>
        <w:contextualSpacing/>
        <w:rPr>
          <w:sz w:val="24"/>
        </w:rPr>
      </w:pPr>
      <w:r>
        <w:rPr>
          <w:rFonts w:hint="eastAsia"/>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14:paraId="1E93435F">
      <w:pPr>
        <w:spacing w:line="560" w:lineRule="atLeast"/>
        <w:ind w:firstLine="480" w:firstLineChars="200"/>
        <w:contextualSpacing/>
        <w:rPr>
          <w:sz w:val="24"/>
        </w:rPr>
      </w:pPr>
      <w:r>
        <w:rPr>
          <w:rFonts w:hint="eastAsia"/>
          <w:sz w:val="24"/>
        </w:rPr>
        <w:t>特此告知。</w:t>
      </w:r>
    </w:p>
    <w:p w14:paraId="75DE3F50">
      <w:pPr>
        <w:spacing w:line="560" w:lineRule="atLeast"/>
        <w:ind w:firstLine="5760" w:firstLineChars="2400"/>
        <w:contextualSpacing/>
        <w:rPr>
          <w:sz w:val="24"/>
        </w:rPr>
      </w:pPr>
      <w:r>
        <w:rPr>
          <w:rFonts w:hint="eastAsia"/>
          <w:sz w:val="24"/>
        </w:rPr>
        <w:t xml:space="preserve">        南京造币有限公司</w:t>
      </w:r>
    </w:p>
    <w:p w14:paraId="79F5C128">
      <w:pPr>
        <w:spacing w:line="560" w:lineRule="atLeast"/>
        <w:ind w:firstLine="6720" w:firstLineChars="2800"/>
        <w:contextualSpacing/>
        <w:rPr>
          <w:sz w:val="24"/>
        </w:rPr>
      </w:pPr>
      <w:r>
        <w:rPr>
          <w:rFonts w:hint="eastAsia"/>
          <w:sz w:val="24"/>
        </w:rPr>
        <w:t>XXXX年XX月XX日</w:t>
      </w:r>
    </w:p>
    <w:p w14:paraId="1D53208D">
      <w:pPr>
        <w:spacing w:line="560" w:lineRule="atLeast"/>
        <w:ind w:firstLine="480" w:firstLineChars="200"/>
        <w:contextualSpacing/>
        <w:rPr>
          <w:sz w:val="24"/>
        </w:rPr>
      </w:pPr>
      <w:r>
        <w:rPr>
          <w:rFonts w:hint="eastAsia"/>
          <w:sz w:val="24"/>
        </w:rPr>
        <w:t>签收：</w:t>
      </w:r>
    </w:p>
    <w:p w14:paraId="15C61B61">
      <w:pPr>
        <w:widowControl/>
        <w:jc w:val="left"/>
        <w:rPr>
          <w:rFonts w:ascii="楷体" w:hAnsi="楷体" w:eastAsia="楷体" w:cs="Times New Roman"/>
          <w:bCs/>
          <w:sz w:val="32"/>
          <w:szCs w:val="32"/>
        </w:rPr>
      </w:pPr>
      <w:r>
        <w:rPr>
          <w:rFonts w:ascii="楷体" w:hAnsi="楷体" w:eastAsia="楷体" w:cs="Times New Roman"/>
          <w:bCs/>
          <w:sz w:val="32"/>
          <w:szCs w:val="32"/>
        </w:rPr>
        <w:br w:type="page"/>
      </w:r>
    </w:p>
    <w:p w14:paraId="17DE3B67">
      <w:pPr>
        <w:snapToGrid w:val="0"/>
        <w:spacing w:line="360" w:lineRule="auto"/>
        <w:ind w:firstLine="640" w:firstLineChars="200"/>
        <w:jc w:val="left"/>
        <w:rPr>
          <w:rFonts w:ascii="楷体" w:hAnsi="楷体" w:eastAsia="楷体" w:cs="Times New Roman"/>
          <w:bCs/>
          <w:sz w:val="32"/>
          <w:szCs w:val="32"/>
        </w:rPr>
      </w:pPr>
      <w:r>
        <w:rPr>
          <w:rFonts w:hint="eastAsia" w:ascii="楷体" w:hAnsi="楷体" w:eastAsia="楷体" w:cs="Times New Roman"/>
          <w:bCs/>
          <w:sz w:val="32"/>
          <w:szCs w:val="32"/>
        </w:rPr>
        <w:t>（四）履约验收方案</w:t>
      </w:r>
    </w:p>
    <w:p w14:paraId="047832E7">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1）验收主体</w:t>
      </w:r>
    </w:p>
    <w:p w14:paraId="279EE676">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采购人（需求部门）：</w:t>
      </w:r>
      <w:r>
        <w:rPr>
          <w:rFonts w:ascii="仿宋_GB2312" w:hAnsi="仿宋" w:eastAsia="仿宋_GB2312" w:cs="仿宋_GB2312"/>
          <w:kern w:val="0"/>
          <w:sz w:val="32"/>
          <w:szCs w:val="32"/>
        </w:rPr>
        <w:t xml:space="preserve"> 南京造币有限公司物资管理部 </w:t>
      </w:r>
    </w:p>
    <w:p w14:paraId="7FDB2CF1">
      <w:pPr>
        <w:tabs>
          <w:tab w:val="left" w:pos="312"/>
        </w:tabs>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采购人（需求部门）拟邀请（</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本项目供应商</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第三方专业机构</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专家</w:t>
      </w:r>
      <w:r>
        <w:rPr>
          <w:rFonts w:ascii="仿宋_GB2312" w:hAnsi="仿宋" w:eastAsia="仿宋_GB2312" w:cs="仿宋_GB2312"/>
          <w:kern w:val="0"/>
          <w:sz w:val="32"/>
          <w:szCs w:val="32"/>
        </w:rPr>
        <w:t xml:space="preserve">   </w:t>
      </w:r>
      <w:r>
        <w:rPr>
          <w:rFonts w:hint="eastAsia" w:ascii="仿宋_GB2312" w:hAnsi="仿宋" w:eastAsia="仿宋_GB2312" w:cs="Times New Roman"/>
          <w:sz w:val="32"/>
          <w:szCs w:val="32"/>
        </w:rPr>
        <w:t>□</w:t>
      </w:r>
      <w:r>
        <w:rPr>
          <w:rFonts w:hint="eastAsia" w:ascii="仿宋_GB2312" w:hAnsi="仿宋" w:eastAsia="仿宋_GB2312" w:cs="仿宋_GB2312"/>
          <w:kern w:val="0"/>
          <w:sz w:val="32"/>
          <w:szCs w:val="32"/>
        </w:rPr>
        <w:t>服务对象</w:t>
      </w:r>
      <w:r>
        <w:rPr>
          <w:rFonts w:ascii="仿宋_GB2312" w:hAnsi="仿宋" w:eastAsia="仿宋_GB2312" w:cs="仿宋_GB2312"/>
          <w:kern w:val="0"/>
          <w:sz w:val="32"/>
          <w:szCs w:val="32"/>
        </w:rPr>
        <w:t xml:space="preserve"> </w:t>
      </w:r>
      <w:r>
        <w:rPr>
          <w:rFonts w:hint="eastAsia" w:ascii="仿宋_GB2312" w:hAnsi="仿宋" w:eastAsia="仿宋_GB2312" w:cs="仿宋_GB2312"/>
          <w:kern w:val="0"/>
          <w:sz w:val="32"/>
          <w:szCs w:val="32"/>
        </w:rPr>
        <w:t>）</w:t>
      </w:r>
    </w:p>
    <w:p w14:paraId="715D256F">
      <w:pPr>
        <w:widowControl/>
        <w:snapToGrid w:val="0"/>
        <w:spacing w:line="360" w:lineRule="auto"/>
        <w:ind w:firstLine="640" w:firstLineChars="200"/>
        <w:jc w:val="left"/>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2）验收时间</w:t>
      </w:r>
      <w:r>
        <w:rPr>
          <w:rFonts w:hint="eastAsia" w:ascii="仿宋_GB2312" w:hAnsi="仿宋" w:eastAsia="仿宋_GB2312" w:cs="仿宋_GB2312"/>
          <w:kern w:val="0"/>
          <w:sz w:val="32"/>
          <w:szCs w:val="32"/>
        </w:rPr>
        <w:t>：</w:t>
      </w:r>
      <w:r>
        <w:rPr>
          <w:rFonts w:hint="eastAsia" w:ascii="仿宋_GB2312" w:hAnsi="仿宋" w:eastAsia="仿宋_GB2312"/>
          <w:color w:val="000000" w:themeColor="text1"/>
          <w:sz w:val="32"/>
          <w:szCs w:val="32"/>
          <w14:textFill>
            <w14:solidFill>
              <w14:schemeClr w14:val="tx1"/>
            </w14:solidFill>
          </w14:textFill>
        </w:rPr>
        <w:t>现场验收时间：自每批次货物到货后10个日历日内完成；理化指标复检验收时间：自每批次货物现场验收完成后20个日历日内完成；使用验收</w:t>
      </w:r>
      <w:r>
        <w:rPr>
          <w:rFonts w:hint="eastAsia" w:ascii="仿宋_GB2312" w:hAnsi="仿宋" w:eastAsia="仿宋_GB2312"/>
          <w:sz w:val="32"/>
          <w:szCs w:val="32"/>
        </w:rPr>
        <w:t>时间：自每批次货物使用且全部进入后续生产流程使用完后20个日历日内完成。</w:t>
      </w:r>
      <w:r>
        <w:rPr>
          <w:rFonts w:ascii="仿宋_GB2312" w:hAnsi="仿宋" w:eastAsia="仿宋_GB2312" w:cs="仿宋_GB2312"/>
          <w:kern w:val="0"/>
          <w:sz w:val="32"/>
          <w:szCs w:val="32"/>
        </w:rPr>
        <w:t xml:space="preserve"> </w:t>
      </w:r>
    </w:p>
    <w:p w14:paraId="09A296F3">
      <w:pPr>
        <w:snapToGrid w:val="0"/>
        <w:spacing w:line="360" w:lineRule="auto"/>
        <w:ind w:firstLine="640" w:firstLineChars="200"/>
        <w:jc w:val="left"/>
        <w:outlineLvl w:val="0"/>
        <w:rPr>
          <w:rFonts w:ascii="仿宋_GB2312" w:hAnsi="仿宋" w:eastAsia="仿宋_GB2312" w:cs="仿宋_GB2312"/>
          <w:kern w:val="0"/>
          <w:sz w:val="32"/>
          <w:szCs w:val="32"/>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3）验收方式</w:t>
      </w:r>
    </w:p>
    <w:p w14:paraId="7E809AE4">
      <w:pPr>
        <w:pStyle w:val="3"/>
        <w:snapToGrid w:val="0"/>
        <w:spacing w:line="560" w:lineRule="exact"/>
        <w:ind w:left="0" w:firstLine="640" w:firstLineChars="200"/>
        <w:jc w:val="both"/>
        <w:rPr>
          <w:rFonts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现场验收：</w:t>
      </w:r>
      <w:r>
        <w:rPr>
          <w:rFonts w:hint="eastAsia" w:ascii="仿宋_GB2312" w:hAnsi="仿宋" w:eastAsia="仿宋_GB2312" w:cs="仿宋"/>
          <w:color w:val="000000" w:themeColor="text1"/>
          <w:kern w:val="2"/>
          <w:sz w:val="32"/>
          <w:szCs w:val="32"/>
          <w:lang w:eastAsia="zh-CN"/>
          <w14:textFill>
            <w14:solidFill>
              <w14:schemeClr w14:val="tx1"/>
            </w14:solidFill>
          </w14:textFill>
        </w:rPr>
        <w:t>交货时间的及时性和交货地点的准确性；</w:t>
      </w:r>
      <w:r>
        <w:rPr>
          <w:rFonts w:hint="eastAsia" w:ascii="仿宋_GB2312" w:hAnsi="仿宋" w:eastAsia="仿宋_GB2312"/>
          <w:color w:val="000000" w:themeColor="text1"/>
          <w:sz w:val="32"/>
          <w:szCs w:val="32"/>
          <w:lang w:eastAsia="zh-CN"/>
          <w14:textFill>
            <w14:solidFill>
              <w14:schemeClr w14:val="tx1"/>
            </w14:solidFill>
          </w14:textFill>
        </w:rPr>
        <w:t>品名、规格、数量、外观、包装、质保期、质检报告等客观验收。</w:t>
      </w:r>
    </w:p>
    <w:p w14:paraId="71887AC7">
      <w:pPr>
        <w:pStyle w:val="3"/>
        <w:snapToGrid w:val="0"/>
        <w:spacing w:line="560" w:lineRule="exact"/>
        <w:ind w:left="0" w:firstLine="640" w:firstLineChars="200"/>
        <w:jc w:val="both"/>
        <w:rPr>
          <w:rFonts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理化指标复检验收：各项理化指标复检验收。</w:t>
      </w:r>
    </w:p>
    <w:p w14:paraId="1E01FB08">
      <w:pPr>
        <w:widowControl/>
        <w:snapToGrid w:val="0"/>
        <w:spacing w:line="560" w:lineRule="exact"/>
        <w:ind w:firstLine="640" w:firstLineChars="200"/>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使用验收：使用过程中质量反馈。</w:t>
      </w:r>
    </w:p>
    <w:p w14:paraId="39DD8BFE">
      <w:pPr>
        <w:pStyle w:val="2"/>
        <w:rPr>
          <w:rFonts w:ascii="仿宋_GB2312" w:hAnsi="仿宋" w:eastAsia="仿宋_GB2312"/>
          <w:sz w:val="32"/>
          <w:szCs w:val="32"/>
          <w:lang w:eastAsia="zh-CN"/>
        </w:rPr>
      </w:pPr>
    </w:p>
    <w:p w14:paraId="5981BC9A">
      <w:pPr>
        <w:snapToGrid w:val="0"/>
        <w:spacing w:line="360" w:lineRule="auto"/>
        <w:ind w:firstLine="755" w:firstLineChars="236"/>
        <w:jc w:val="left"/>
        <w:outlineLvl w:val="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_GB2312"/>
          <w:kern w:val="0"/>
          <w:sz w:val="32"/>
          <w:szCs w:val="32"/>
        </w:rPr>
        <w:t>（</w:t>
      </w:r>
      <w:r>
        <w:rPr>
          <w:rFonts w:ascii="仿宋_GB2312" w:hAnsi="仿宋" w:eastAsia="仿宋_GB2312" w:cs="仿宋_GB2312"/>
          <w:kern w:val="0"/>
          <w:sz w:val="32"/>
          <w:szCs w:val="32"/>
        </w:rPr>
        <w:t>4）验收程序</w:t>
      </w:r>
    </w:p>
    <w:p w14:paraId="026442FB">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1.组批</w:t>
      </w:r>
    </w:p>
    <w:p w14:paraId="100CDC34">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每批带材应由同一炉号、规格和状态的带材组成。</w:t>
      </w:r>
    </w:p>
    <w:p w14:paraId="1E40AA73">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2.检验项目</w:t>
      </w:r>
    </w:p>
    <w:p w14:paraId="7A4C93C3">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——每批带材厂家需按批提供化学成分、厚度、宽度、内径、硬度、表面粗糙度、表面质量、钢带侧弯，钢带重量等项目的检测报告，每批次一个报告。</w:t>
      </w:r>
    </w:p>
    <w:p w14:paraId="04EF8045">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——每批带材均进行化学成分、厚度、宽度、内径、硬度、表面粗糙度和表面质量的检验。</w:t>
      </w:r>
    </w:p>
    <w:p w14:paraId="133A9C4D">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3.取样</w:t>
      </w:r>
    </w:p>
    <w:p w14:paraId="42C4FD49">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——化学成分每炉取两个试样（不同卷）进行化学成分分析。</w:t>
      </w:r>
    </w:p>
    <w:p w14:paraId="670093A7">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——硬度检验每炉取两个试样（不同卷）进行硬度检测。</w:t>
      </w:r>
    </w:p>
    <w:p w14:paraId="146AE6B6">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——厚度、宽度、内径、表面粗糙度和表面质量每炉抽两个试样（不同卷）进行检测，必要时逐卷检测。</w:t>
      </w:r>
    </w:p>
    <w:p w14:paraId="02683B93">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——表面质量每炉抽两卷检测，必要时增加卷数检测。</w:t>
      </w:r>
    </w:p>
    <w:p w14:paraId="3A59FE6E">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4.判定规则</w:t>
      </w:r>
    </w:p>
    <w:p w14:paraId="74036725">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——每批带材首先确认厂家质量检测报告，合格后方可进行入厂检验。</w:t>
      </w:r>
    </w:p>
    <w:p w14:paraId="464C3BE6">
      <w:pPr>
        <w:widowControl/>
        <w:snapToGrid w:val="0"/>
        <w:spacing w:line="560" w:lineRule="exact"/>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入厂检验各项检验结果均符合技术要求，则判定该产品合格；如果有一个试样的检验结果不合格，应从该批中再取双倍试样进行不合格项目的复检，如果复检结果仍有一个试样不合格，则判定该批带材不合格。</w:t>
      </w:r>
    </w:p>
    <w:p w14:paraId="7F7F0531">
      <w:pPr>
        <w:pStyle w:val="2"/>
        <w:ind w:left="0"/>
        <w:rPr>
          <w:rFonts w:ascii="仿宋_GB2312" w:eastAsia="仿宋_GB2312"/>
          <w:sz w:val="32"/>
          <w:szCs w:val="32"/>
          <w:lang w:eastAsia="zh-CN"/>
        </w:rPr>
      </w:pPr>
    </w:p>
    <w:p w14:paraId="71732FC7">
      <w:pPr>
        <w:snapToGrid w:val="0"/>
        <w:spacing w:line="360" w:lineRule="auto"/>
        <w:ind w:firstLine="320" w:firstLineChars="100"/>
        <w:jc w:val="left"/>
        <w:outlineLvl w:val="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5）验收内容</w:t>
      </w:r>
    </w:p>
    <w:p w14:paraId="5B6D0171">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1.交货时间的及时性和交货地点的准确性。</w:t>
      </w:r>
    </w:p>
    <w:p w14:paraId="34D25EAF">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2.交货名称、规格、数量、质保期。</w:t>
      </w:r>
    </w:p>
    <w:p w14:paraId="46B2EF13">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3.包装符合要求，货物无损，标识内容完整。</w:t>
      </w:r>
    </w:p>
    <w:p w14:paraId="6AF28C1F">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4.厂家质检报告或合格证。</w:t>
      </w:r>
    </w:p>
    <w:p w14:paraId="078B14DA">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5.理化指标检验报告。</w:t>
      </w:r>
    </w:p>
    <w:p w14:paraId="31AA3665">
      <w:pPr>
        <w:widowControl/>
        <w:snapToGrid w:val="0"/>
        <w:spacing w:line="560" w:lineRule="exact"/>
        <w:ind w:firstLine="640" w:firstLineChars="200"/>
        <w:jc w:val="left"/>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6.使用效果验收。</w:t>
      </w:r>
    </w:p>
    <w:p w14:paraId="0974DF85">
      <w:pPr>
        <w:pStyle w:val="2"/>
        <w:ind w:left="451" w:leftChars="215"/>
        <w:rPr>
          <w:rFonts w:ascii="仿宋_GB2312" w:eastAsia="仿宋_GB2312"/>
          <w:sz w:val="32"/>
          <w:szCs w:val="32"/>
          <w:lang w:eastAsia="zh-CN"/>
        </w:rPr>
      </w:pPr>
    </w:p>
    <w:p w14:paraId="01AF907C">
      <w:pPr>
        <w:snapToGrid w:val="0"/>
        <w:spacing w:line="360" w:lineRule="auto"/>
        <w:ind w:firstLine="320" w:firstLineChars="100"/>
        <w:jc w:val="left"/>
        <w:outlineLvl w:val="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6）验收标准</w:t>
      </w:r>
    </w:p>
    <w:p w14:paraId="315C58D5">
      <w:pPr>
        <w:pStyle w:val="3"/>
        <w:snapToGrid w:val="0"/>
        <w:spacing w:line="560" w:lineRule="exact"/>
        <w:ind w:left="0" w:firstLine="640" w:firstLineChars="200"/>
        <w:jc w:val="both"/>
        <w:rPr>
          <w:rFonts w:ascii="仿宋_GB2312" w:hAnsi="仿宋" w:eastAsia="仿宋_GB2312" w:cs="仿宋"/>
          <w:color w:val="000000" w:themeColor="text1"/>
          <w:kern w:val="2"/>
          <w:sz w:val="32"/>
          <w:szCs w:val="32"/>
          <w:lang w:eastAsia="zh-CN"/>
          <w14:textFill>
            <w14:solidFill>
              <w14:schemeClr w14:val="tx1"/>
            </w14:solidFill>
          </w14:textFill>
        </w:rPr>
      </w:pPr>
      <w:r>
        <w:rPr>
          <w:rFonts w:hint="eastAsia" w:ascii="仿宋_GB2312" w:hAnsi="仿宋" w:eastAsia="仿宋_GB2312" w:cs="仿宋"/>
          <w:color w:val="000000" w:themeColor="text1"/>
          <w:kern w:val="2"/>
          <w:sz w:val="32"/>
          <w:szCs w:val="32"/>
          <w:lang w:eastAsia="zh-CN"/>
          <w14:textFill>
            <w14:solidFill>
              <w14:schemeClr w14:val="tx1"/>
            </w14:solidFill>
          </w14:textFill>
        </w:rPr>
        <w:t>交货时间：</w:t>
      </w:r>
      <w:r>
        <w:rPr>
          <w:rFonts w:hint="eastAsia" w:ascii="仿宋_GB2312" w:hAnsi="仿宋" w:eastAsia="仿宋_GB2312" w:cs="仿宋"/>
          <w:color w:val="FF0000"/>
          <w:kern w:val="2"/>
          <w:sz w:val="32"/>
          <w:szCs w:val="32"/>
          <w:highlight w:val="yellow"/>
          <w:lang w:eastAsia="zh-CN"/>
        </w:rPr>
        <w:t>执行首批次订单时，乙方应当在收到甲方提请发货通知之日起</w:t>
      </w:r>
      <w:r>
        <w:rPr>
          <w:rFonts w:ascii="仿宋_GB2312" w:hAnsi="仿宋" w:eastAsia="仿宋_GB2312" w:cs="仿宋"/>
          <w:color w:val="FF0000"/>
          <w:kern w:val="2"/>
          <w:sz w:val="32"/>
          <w:szCs w:val="32"/>
          <w:highlight w:val="yellow"/>
          <w:lang w:eastAsia="zh-CN"/>
        </w:rPr>
        <w:t>45</w:t>
      </w:r>
      <w:r>
        <w:rPr>
          <w:rFonts w:hint="eastAsia" w:ascii="仿宋_GB2312" w:hAnsi="仿宋" w:eastAsia="仿宋_GB2312" w:cs="仿宋"/>
          <w:color w:val="FF0000"/>
          <w:kern w:val="2"/>
          <w:sz w:val="32"/>
          <w:szCs w:val="32"/>
          <w:highlight w:val="yellow"/>
          <w:lang w:eastAsia="zh-CN"/>
        </w:rPr>
        <w:t>个日历日内发货，后续批次订单乙方应当在收到甲方提请发货通知之日起</w:t>
      </w:r>
      <w:r>
        <w:rPr>
          <w:rFonts w:ascii="仿宋_GB2312" w:hAnsi="仿宋" w:eastAsia="仿宋_GB2312" w:cs="仿宋"/>
          <w:color w:val="FF0000"/>
          <w:kern w:val="2"/>
          <w:sz w:val="32"/>
          <w:szCs w:val="32"/>
          <w:highlight w:val="yellow"/>
          <w:lang w:eastAsia="zh-CN"/>
        </w:rPr>
        <w:t>5</w:t>
      </w:r>
      <w:r>
        <w:rPr>
          <w:rFonts w:hint="eastAsia" w:ascii="仿宋_GB2312" w:hAnsi="仿宋" w:eastAsia="仿宋_GB2312" w:cs="仿宋"/>
          <w:color w:val="FF0000"/>
          <w:kern w:val="2"/>
          <w:sz w:val="32"/>
          <w:szCs w:val="32"/>
          <w:highlight w:val="yellow"/>
          <w:lang w:eastAsia="zh-CN"/>
        </w:rPr>
        <w:t>个工作日内发货。</w:t>
      </w:r>
    </w:p>
    <w:p w14:paraId="0A8CF14F">
      <w:pPr>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交货地点：南京造币有限公司：南京市天印大道919号南京造币有限公司仓库；上海造币有限公司：上海市普陀区光复西路17号（普陀厂区）、上海市嘉定区曹安公路3513号（嘉定厂区）。</w:t>
      </w:r>
    </w:p>
    <w:p w14:paraId="304B416E">
      <w:pPr>
        <w:pStyle w:val="3"/>
        <w:snapToGrid w:val="0"/>
        <w:spacing w:line="560" w:lineRule="exact"/>
        <w:ind w:left="0" w:firstLine="640" w:firstLineChars="200"/>
        <w:jc w:val="both"/>
        <w:rPr>
          <w:rFonts w:ascii="仿宋_GB2312" w:hAnsi="仿宋" w:eastAsia="仿宋_GB2312" w:cs="仿宋"/>
          <w:kern w:val="2"/>
          <w:sz w:val="32"/>
          <w:szCs w:val="32"/>
          <w:lang w:eastAsia="zh-CN"/>
        </w:rPr>
      </w:pPr>
      <w:r>
        <w:rPr>
          <w:rFonts w:hint="eastAsia" w:ascii="仿宋_GB2312" w:hAnsi="仿宋" w:eastAsia="仿宋_GB2312" w:cs="仿宋"/>
          <w:color w:val="000000" w:themeColor="text1"/>
          <w:kern w:val="2"/>
          <w:sz w:val="32"/>
          <w:szCs w:val="32"/>
          <w:lang w:eastAsia="zh-CN"/>
          <w14:textFill>
            <w14:solidFill>
              <w14:schemeClr w14:val="tx1"/>
            </w14:solidFill>
          </w14:textFill>
        </w:rPr>
        <w:t>现场验收：交货时间的及时性和交货地点的准确性；品名、规格、数量是否与订单要求相符，货物是否完好，包装方式是否符合要求，质保期是否在规定期限内，厂方质检报告是否与合同约定一致</w:t>
      </w:r>
      <w:r>
        <w:rPr>
          <w:rFonts w:hint="eastAsia" w:ascii="仿宋_GB2312" w:hAnsi="仿宋" w:eastAsia="仿宋_GB2312" w:cs="仿宋"/>
          <w:kern w:val="2"/>
          <w:sz w:val="32"/>
          <w:szCs w:val="32"/>
          <w:lang w:eastAsia="zh-CN"/>
        </w:rPr>
        <w:t>。</w:t>
      </w:r>
    </w:p>
    <w:p w14:paraId="24A4E714">
      <w:pPr>
        <w:pStyle w:val="3"/>
        <w:snapToGrid w:val="0"/>
        <w:spacing w:line="560" w:lineRule="exact"/>
        <w:ind w:left="0" w:firstLine="640" w:firstLineChars="200"/>
        <w:jc w:val="both"/>
        <w:rPr>
          <w:rFonts w:ascii="仿宋_GB2312" w:hAnsi="仿宋" w:eastAsia="仿宋_GB2312" w:cs="仿宋"/>
          <w:kern w:val="2"/>
          <w:sz w:val="32"/>
          <w:szCs w:val="32"/>
          <w:lang w:eastAsia="zh-CN"/>
        </w:rPr>
      </w:pPr>
      <w:r>
        <w:rPr>
          <w:rFonts w:hint="eastAsia" w:ascii="仿宋_GB2312" w:hAnsi="仿宋" w:eastAsia="仿宋_GB2312" w:cs="仿宋"/>
          <w:kern w:val="2"/>
          <w:sz w:val="32"/>
          <w:szCs w:val="32"/>
          <w:lang w:eastAsia="zh-CN"/>
        </w:rPr>
        <w:t>理化指标复检验收：理化指标复检是否与合同约定一致。</w:t>
      </w:r>
    </w:p>
    <w:p w14:paraId="778F3D39">
      <w:pPr>
        <w:tabs>
          <w:tab w:val="left" w:pos="312"/>
        </w:tabs>
        <w:snapToGrid w:val="0"/>
        <w:spacing w:line="360" w:lineRule="auto"/>
        <w:ind w:firstLine="640" w:firstLineChars="200"/>
        <w:jc w:val="left"/>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sz w:val="32"/>
          <w:szCs w:val="32"/>
        </w:rPr>
        <w:t>使用验收：</w:t>
      </w:r>
      <w:r>
        <w:rPr>
          <w:rFonts w:hint="eastAsia" w:ascii="仿宋_GB2312" w:hAnsi="仿宋" w:eastAsia="仿宋_GB2312" w:cs="仿宋"/>
          <w:color w:val="000000" w:themeColor="text1"/>
          <w:sz w:val="32"/>
          <w:szCs w:val="32"/>
          <w14:textFill>
            <w14:solidFill>
              <w14:schemeClr w14:val="tx1"/>
            </w14:solidFill>
          </w14:textFill>
        </w:rPr>
        <w:t>使用过程中是否有质量问题反馈。</w:t>
      </w:r>
    </w:p>
    <w:p w14:paraId="6DF9878B">
      <w:pPr>
        <w:tabs>
          <w:tab w:val="left" w:pos="312"/>
        </w:tabs>
        <w:snapToGrid w:val="0"/>
        <w:spacing w:line="360" w:lineRule="auto"/>
        <w:ind w:firstLine="640" w:firstLineChars="200"/>
        <w:jc w:val="left"/>
        <w:rPr>
          <w:rFonts w:ascii="仿宋_GB2312" w:hAnsi="宋体" w:eastAsia="仿宋_GB2312" w:cs="仿宋_GB2312"/>
          <w:kern w:val="0"/>
          <w:sz w:val="31"/>
          <w:szCs w:val="31"/>
          <w:u w:val="single"/>
        </w:rPr>
      </w:pPr>
      <w:r>
        <w:rPr>
          <w:rFonts w:hint="eastAsia" w:ascii="仿宋" w:hAnsi="仿宋" w:eastAsia="仿宋" w:cs="仿宋_GB2312"/>
          <w:kern w:val="0"/>
          <w:sz w:val="32"/>
          <w:szCs w:val="32"/>
        </w:rPr>
        <w:t>（7）其他</w:t>
      </w:r>
      <w:r>
        <w:rPr>
          <w:rFonts w:hint="eastAsia" w:ascii="仿宋_GB2312" w:hAnsi="宋体" w:eastAsia="仿宋_GB2312" w:cs="仿宋_GB2312"/>
          <w:kern w:val="0"/>
          <w:sz w:val="31"/>
          <w:szCs w:val="31"/>
        </w:rPr>
        <w:t>事项（如有）</w:t>
      </w:r>
      <w:r>
        <w:rPr>
          <w:rFonts w:hint="eastAsia" w:ascii="仿宋_GB2312" w:hAnsi="宋体" w:eastAsia="仿宋_GB2312" w:cs="仿宋_GB2312"/>
          <w:kern w:val="0"/>
          <w:sz w:val="31"/>
          <w:szCs w:val="31"/>
          <w:u w:val="single"/>
        </w:rPr>
        <w:t xml:space="preserve">     </w:t>
      </w:r>
      <w:r>
        <w:rPr>
          <w:rFonts w:ascii="仿宋_GB2312" w:hAnsi="宋体" w:eastAsia="仿宋_GB2312" w:cs="仿宋_GB2312"/>
          <w:kern w:val="0"/>
          <w:sz w:val="31"/>
          <w:szCs w:val="31"/>
          <w:u w:val="single"/>
        </w:rPr>
        <w:t>/</w:t>
      </w:r>
      <w:r>
        <w:rPr>
          <w:rFonts w:hint="eastAsia" w:ascii="仿宋_GB2312" w:hAnsi="宋体" w:eastAsia="仿宋_GB2312" w:cs="仿宋_GB2312"/>
          <w:kern w:val="0"/>
          <w:sz w:val="31"/>
          <w:szCs w:val="31"/>
          <w:u w:val="single"/>
        </w:rPr>
        <w:t xml:space="preserve">       </w:t>
      </w:r>
    </w:p>
    <w:p w14:paraId="3D462C22">
      <w:pPr>
        <w:widowControl/>
        <w:jc w:val="left"/>
        <w:rPr>
          <w:rFonts w:ascii="楷体" w:hAnsi="楷体" w:eastAsia="楷体" w:cs="Times New Roman"/>
          <w:bCs/>
          <w:sz w:val="32"/>
          <w:szCs w:val="32"/>
        </w:rPr>
      </w:pPr>
      <w:r>
        <w:rPr>
          <w:rFonts w:ascii="楷体" w:hAnsi="楷体" w:eastAsia="楷体" w:cs="Times New Roman"/>
          <w:bCs/>
          <w:sz w:val="32"/>
          <w:szCs w:val="32"/>
        </w:rPr>
        <w:br w:type="page"/>
      </w:r>
    </w:p>
    <w:p w14:paraId="55696F49">
      <w:pPr>
        <w:snapToGrid w:val="0"/>
        <w:spacing w:line="360" w:lineRule="auto"/>
        <w:ind w:firstLine="640" w:firstLineChars="200"/>
        <w:rPr>
          <w:rFonts w:ascii="楷体" w:hAnsi="楷体" w:eastAsia="楷体" w:cs="Times New Roman"/>
          <w:bCs/>
          <w:sz w:val="32"/>
          <w:szCs w:val="32"/>
        </w:rPr>
      </w:pPr>
      <w:r>
        <w:rPr>
          <w:rFonts w:hint="eastAsia" w:ascii="楷体" w:hAnsi="楷体" w:eastAsia="楷体" w:cs="Times New Roman"/>
          <w:bCs/>
          <w:sz w:val="32"/>
          <w:szCs w:val="32"/>
        </w:rPr>
        <w:t>（五）风险管理控制</w:t>
      </w:r>
    </w:p>
    <w:p w14:paraId="48FDB883">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1.合同当事人恶意欺诈包括（故意延迟交货、虚假应标后无能力履约等情况）应对措施：</w:t>
      </w:r>
      <w:r>
        <w:rPr>
          <w:rFonts w:hint="eastAsia" w:ascii="仿宋_GB2312" w:hAnsi="仿宋" w:eastAsia="仿宋_GB2312"/>
          <w:sz w:val="32"/>
          <w:szCs w:val="32"/>
          <w:u w:val="single"/>
        </w:rPr>
        <w:t>按合同约定及相关法律规定执行</w:t>
      </w:r>
      <w:r>
        <w:rPr>
          <w:rFonts w:ascii="仿宋_GB2312" w:hAnsi="仿宋" w:eastAsia="仿宋_GB2312"/>
          <w:sz w:val="32"/>
          <w:szCs w:val="32"/>
          <w:u w:val="single"/>
        </w:rPr>
        <w:t xml:space="preserve">                                           </w:t>
      </w:r>
    </w:p>
    <w:p w14:paraId="71227DFD">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2.合同当事人因故不履行或无法完全履行合同应对措施，包括：</w:t>
      </w:r>
    </w:p>
    <w:p w14:paraId="61802692">
      <w:pPr>
        <w:spacing w:line="560" w:lineRule="exact"/>
        <w:ind w:firstLine="640" w:firstLineChars="200"/>
        <w:jc w:val="left"/>
        <w:rPr>
          <w:rFonts w:ascii="仿宋_GB2312" w:hAnsi="仿宋" w:eastAsia="仿宋_GB2312"/>
          <w:sz w:val="32"/>
          <w:szCs w:val="32"/>
          <w:u w:val="single"/>
        </w:rPr>
      </w:pPr>
      <w:r>
        <w:rPr>
          <w:rFonts w:ascii="仿宋_GB2312" w:hAnsi="仿宋" w:eastAsia="仿宋_GB2312"/>
          <w:sz w:val="32"/>
          <w:szCs w:val="32"/>
        </w:rPr>
        <w:t>A</w:t>
      </w:r>
      <w:r>
        <w:rPr>
          <w:rFonts w:hint="eastAsia" w:ascii="仿宋_GB2312" w:hAnsi="仿宋" w:eastAsia="仿宋_GB2312"/>
          <w:sz w:val="32"/>
          <w:szCs w:val="32"/>
        </w:rPr>
        <w:t>项目实施环境发生重大变化或无法提供履约应有环境导致无法履约，应对措施：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21498CFD">
      <w:pPr>
        <w:spacing w:line="560" w:lineRule="exact"/>
        <w:ind w:firstLine="800" w:firstLineChars="250"/>
        <w:jc w:val="left"/>
        <w:rPr>
          <w:rFonts w:ascii="仿宋_GB2312" w:hAnsi="仿宋" w:eastAsia="仿宋_GB2312"/>
          <w:sz w:val="32"/>
          <w:szCs w:val="32"/>
          <w:u w:val="single"/>
        </w:rPr>
      </w:pPr>
      <w:r>
        <w:rPr>
          <w:rFonts w:ascii="仿宋_GB2312" w:hAnsi="仿宋" w:eastAsia="仿宋_GB2312"/>
          <w:sz w:val="32"/>
          <w:szCs w:val="32"/>
        </w:rPr>
        <w:t>B</w:t>
      </w:r>
      <w:r>
        <w:rPr>
          <w:rFonts w:hint="eastAsia" w:ascii="仿宋_GB2312" w:hAnsi="仿宋" w:eastAsia="仿宋_GB2312"/>
          <w:sz w:val="32"/>
          <w:szCs w:val="32"/>
        </w:rPr>
        <w:t>重大技术变化或重大需求变化导致无法履约，应对措施：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4539E9AC">
      <w:pPr>
        <w:ind w:left="420" w:firstLine="420"/>
        <w:rPr>
          <w:rFonts w:ascii="黑体" w:hAnsi="黑体" w:eastAsia="黑体" w:cs="宋体"/>
          <w:sz w:val="28"/>
          <w:szCs w:val="28"/>
        </w:rPr>
      </w:pPr>
      <w:r>
        <w:rPr>
          <w:rFonts w:ascii="仿宋_GB2312" w:hAnsi="仿宋" w:eastAsia="仿宋_GB2312"/>
          <w:sz w:val="32"/>
          <w:szCs w:val="32"/>
        </w:rPr>
        <w:t>C</w:t>
      </w:r>
      <w:r>
        <w:rPr>
          <w:rFonts w:hint="eastAsia" w:ascii="仿宋_GB2312" w:hAnsi="仿宋" w:eastAsia="仿宋_GB2312"/>
          <w:sz w:val="32"/>
          <w:szCs w:val="32"/>
        </w:rPr>
        <w:t>预算项目调整应对措施：</w:t>
      </w:r>
      <w:r>
        <w:rPr>
          <w:rFonts w:hint="eastAsia" w:ascii="仿宋_GB2312" w:hAnsi="仿宋" w:eastAsia="仿宋_GB2312"/>
          <w:sz w:val="32"/>
          <w:szCs w:val="32"/>
          <w:u w:val="single"/>
        </w:rPr>
        <w:t>与合同乙方协商达成一致解决方案</w:t>
      </w:r>
      <w:r>
        <w:rPr>
          <w:rFonts w:ascii="仿宋_GB2312" w:hAnsi="仿宋" w:eastAsia="仿宋_GB2312"/>
          <w:sz w:val="32"/>
          <w:szCs w:val="32"/>
          <w:u w:val="single"/>
        </w:rPr>
        <w:t xml:space="preserve">                       </w:t>
      </w:r>
    </w:p>
    <w:p w14:paraId="4821B41B">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3.合同当事人履行不当</w:t>
      </w:r>
      <w:r>
        <w:rPr>
          <w:rFonts w:ascii="仿宋_GB2312" w:hAnsi="仿宋" w:eastAsia="仿宋_GB2312"/>
          <w:sz w:val="32"/>
          <w:szCs w:val="32"/>
        </w:rPr>
        <w:t>,</w:t>
      </w:r>
      <w:r>
        <w:rPr>
          <w:rFonts w:hint="eastAsia" w:ascii="仿宋_GB2312" w:hAnsi="仿宋" w:eastAsia="仿宋_GB2312"/>
          <w:sz w:val="32"/>
          <w:szCs w:val="32"/>
        </w:rPr>
        <w:t>包括：</w:t>
      </w:r>
    </w:p>
    <w:p w14:paraId="026BDB6D">
      <w:pPr>
        <w:spacing w:line="560" w:lineRule="exact"/>
        <w:ind w:firstLine="800" w:firstLineChars="250"/>
        <w:jc w:val="left"/>
        <w:rPr>
          <w:rFonts w:ascii="仿宋_GB2312" w:hAnsi="仿宋" w:eastAsia="仿宋_GB2312"/>
          <w:sz w:val="32"/>
          <w:szCs w:val="32"/>
        </w:rPr>
      </w:pPr>
      <w:r>
        <w:rPr>
          <w:rFonts w:ascii="仿宋_GB2312" w:hAnsi="仿宋" w:eastAsia="仿宋_GB2312"/>
          <w:sz w:val="32"/>
          <w:szCs w:val="32"/>
        </w:rPr>
        <w:t>A</w:t>
      </w:r>
      <w:r>
        <w:rPr>
          <w:rFonts w:hint="eastAsia" w:ascii="仿宋_GB2312" w:hAnsi="仿宋" w:eastAsia="仿宋_GB2312"/>
          <w:sz w:val="32"/>
          <w:szCs w:val="32"/>
        </w:rPr>
        <w:t>出售或处理无权处分的财产行为：</w:t>
      </w:r>
      <w:r>
        <w:rPr>
          <w:rFonts w:ascii="仿宋_GB2312" w:hAnsi="仿宋" w:eastAsia="仿宋_GB2312"/>
          <w:sz w:val="32"/>
          <w:szCs w:val="32"/>
          <w:u w:val="single"/>
        </w:rPr>
        <w:t xml:space="preserve"> </w:t>
      </w:r>
      <w:r>
        <w:rPr>
          <w:rFonts w:hint="eastAsia" w:ascii="仿宋_GB2312" w:hAnsi="仿宋" w:eastAsia="仿宋_GB2312"/>
          <w:sz w:val="32"/>
          <w:szCs w:val="32"/>
          <w:u w:val="single"/>
        </w:rPr>
        <w:t>无</w:t>
      </w:r>
      <w:r>
        <w:rPr>
          <w:rFonts w:ascii="仿宋_GB2312" w:hAnsi="仿宋" w:eastAsia="仿宋_GB2312"/>
          <w:sz w:val="32"/>
          <w:szCs w:val="32"/>
          <w:u w:val="single"/>
        </w:rPr>
        <w:t xml:space="preserve">                </w:t>
      </w:r>
    </w:p>
    <w:p w14:paraId="6C78DC2D">
      <w:pPr>
        <w:spacing w:line="560" w:lineRule="exact"/>
        <w:ind w:firstLine="800" w:firstLineChars="250"/>
        <w:jc w:val="left"/>
        <w:rPr>
          <w:rFonts w:ascii="仿宋_GB2312" w:hAnsi="仿宋" w:eastAsia="仿宋_GB2312"/>
          <w:sz w:val="32"/>
          <w:szCs w:val="32"/>
        </w:rPr>
      </w:pPr>
      <w:r>
        <w:rPr>
          <w:rFonts w:ascii="仿宋_GB2312" w:hAnsi="仿宋" w:eastAsia="仿宋_GB2312"/>
          <w:sz w:val="32"/>
          <w:szCs w:val="32"/>
        </w:rPr>
        <w:t>B</w:t>
      </w:r>
      <w:r>
        <w:rPr>
          <w:rFonts w:hint="eastAsia" w:ascii="仿宋_GB2312" w:hAnsi="仿宋" w:eastAsia="仿宋_GB2312"/>
          <w:sz w:val="32"/>
          <w:szCs w:val="32"/>
        </w:rPr>
        <w:t>履约中侵害其他当事人知识产权</w:t>
      </w:r>
      <w:r>
        <w:rPr>
          <w:rFonts w:ascii="仿宋_GB2312" w:hAnsi="仿宋" w:eastAsia="仿宋_GB2312"/>
          <w:sz w:val="32"/>
          <w:szCs w:val="32"/>
          <w:u w:val="single"/>
        </w:rPr>
        <w:t xml:space="preserve">  </w:t>
      </w:r>
      <w:r>
        <w:rPr>
          <w:rFonts w:hint="eastAsia" w:ascii="仿宋_GB2312" w:hAnsi="仿宋" w:eastAsia="仿宋_GB2312"/>
          <w:sz w:val="32"/>
          <w:szCs w:val="32"/>
          <w:u w:val="single"/>
        </w:rPr>
        <w:t>按合同约定执行</w:t>
      </w:r>
      <w:r>
        <w:rPr>
          <w:rFonts w:ascii="仿宋_GB2312" w:hAnsi="仿宋" w:eastAsia="仿宋_GB2312"/>
          <w:sz w:val="32"/>
          <w:szCs w:val="32"/>
          <w:u w:val="single"/>
        </w:rPr>
        <w:t xml:space="preserve">    </w:t>
      </w:r>
    </w:p>
    <w:p w14:paraId="436E9E95">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4.国家政策变化应对措施：</w:t>
      </w:r>
      <w:r>
        <w:rPr>
          <w:rFonts w:hint="eastAsia" w:ascii="仿宋_GB2312" w:hAnsi="仿宋" w:eastAsia="仿宋_GB2312"/>
          <w:sz w:val="32"/>
          <w:szCs w:val="32"/>
          <w:u w:val="single"/>
        </w:rPr>
        <w:t>先与合同乙方协商达成一致解决方案。若不无法达成一致，取消项目，终止合同。</w:t>
      </w:r>
      <w:r>
        <w:rPr>
          <w:rFonts w:ascii="仿宋_GB2312" w:hAnsi="仿宋" w:eastAsia="仿宋_GB2312"/>
          <w:sz w:val="32"/>
          <w:szCs w:val="32"/>
          <w:u w:val="single"/>
        </w:rPr>
        <w:t xml:space="preserve">                      </w:t>
      </w:r>
    </w:p>
    <w:p w14:paraId="18D1941E">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5.因质疑投诉等采购实施中不可预见因素可能导致项目进度无法满足实际需求的应对措施：</w:t>
      </w:r>
      <w:r>
        <w:rPr>
          <w:rFonts w:hint="eastAsia" w:ascii="仿宋_GB2312" w:hAnsi="仿宋" w:eastAsia="仿宋_GB2312"/>
          <w:sz w:val="32"/>
          <w:szCs w:val="32"/>
          <w:u w:val="single"/>
        </w:rPr>
        <w:t>按合同规定执行。</w:t>
      </w:r>
      <w:r>
        <w:rPr>
          <w:rFonts w:ascii="仿宋_GB2312" w:hAnsi="仿宋" w:eastAsia="仿宋_GB2312"/>
          <w:sz w:val="32"/>
          <w:szCs w:val="32"/>
          <w:u w:val="single"/>
        </w:rPr>
        <w:t xml:space="preserve">                </w:t>
      </w:r>
    </w:p>
    <w:p w14:paraId="6CCADDDF">
      <w:pPr>
        <w:spacing w:line="560" w:lineRule="exact"/>
        <w:ind w:firstLine="640" w:firstLineChars="200"/>
        <w:jc w:val="left"/>
        <w:rPr>
          <w:rFonts w:ascii="仿宋_GB2312" w:hAnsi="仿宋" w:eastAsia="仿宋_GB2312"/>
          <w:sz w:val="32"/>
          <w:szCs w:val="32"/>
          <w:u w:val="single"/>
        </w:rPr>
      </w:pPr>
      <w:r>
        <w:rPr>
          <w:rFonts w:hint="eastAsia" w:ascii="仿宋_GB2312" w:hAnsi="仿宋" w:eastAsia="仿宋_GB2312"/>
          <w:sz w:val="32"/>
          <w:szCs w:val="32"/>
        </w:rPr>
        <w:t>6.采购失败应对措施：</w:t>
      </w:r>
      <w:r>
        <w:rPr>
          <w:rFonts w:hint="eastAsia" w:ascii="仿宋_GB2312" w:hAnsi="仿宋" w:eastAsia="仿宋_GB2312"/>
          <w:sz w:val="32"/>
          <w:szCs w:val="32"/>
          <w:u w:val="single"/>
        </w:rPr>
        <w:t>调整需求按照原采购方式重新开始采购活动或申请变更采购方式后重新开始采购活动。</w:t>
      </w:r>
      <w:r>
        <w:rPr>
          <w:rFonts w:ascii="仿宋_GB2312" w:hAnsi="仿宋" w:eastAsia="仿宋_GB2312"/>
          <w:sz w:val="32"/>
          <w:szCs w:val="32"/>
          <w:u w:val="single"/>
        </w:rPr>
        <w:t xml:space="preserve">                          </w:t>
      </w:r>
    </w:p>
    <w:p w14:paraId="0E592AEA">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7.不按规定签订合同应对措施：</w:t>
      </w:r>
      <w:r>
        <w:rPr>
          <w:rFonts w:hint="eastAsia" w:ascii="仿宋_GB2312" w:hAnsi="仿宋" w:eastAsia="仿宋_GB2312"/>
          <w:sz w:val="32"/>
          <w:szCs w:val="32"/>
          <w:u w:val="single"/>
        </w:rPr>
        <w:t>重新开始采购活动。</w:t>
      </w:r>
      <w:r>
        <w:rPr>
          <w:rFonts w:ascii="仿宋_GB2312" w:hAnsi="仿宋" w:eastAsia="仿宋_GB2312"/>
          <w:sz w:val="32"/>
          <w:szCs w:val="32"/>
          <w:u w:val="single"/>
        </w:rPr>
        <w:t xml:space="preserve">                 </w:t>
      </w:r>
      <w:r>
        <w:rPr>
          <w:rFonts w:ascii="仿宋_GB2312" w:hAnsi="仿宋" w:eastAsia="仿宋_GB2312"/>
          <w:sz w:val="32"/>
          <w:szCs w:val="32"/>
        </w:rPr>
        <w:t xml:space="preserve"> </w:t>
      </w:r>
    </w:p>
    <w:p w14:paraId="3E517309">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8.出现损害国家利益和社会公共利益情形应对措施：</w:t>
      </w:r>
      <w:r>
        <w:rPr>
          <w:rFonts w:ascii="仿宋_GB2312" w:hAnsi="仿宋" w:eastAsia="仿宋_GB2312"/>
          <w:sz w:val="32"/>
          <w:szCs w:val="32"/>
          <w:u w:val="single"/>
        </w:rPr>
        <w:t xml:space="preserve">  </w:t>
      </w:r>
      <w:r>
        <w:rPr>
          <w:rFonts w:hint="eastAsia" w:ascii="仿宋_GB2312" w:hAnsi="仿宋" w:eastAsia="仿宋_GB2312"/>
          <w:sz w:val="32"/>
          <w:szCs w:val="32"/>
          <w:u w:val="single"/>
        </w:rPr>
        <w:t>取消项目，终止合同。</w:t>
      </w:r>
      <w:r>
        <w:rPr>
          <w:rFonts w:ascii="仿宋_GB2312" w:hAnsi="仿宋" w:eastAsia="仿宋_GB2312"/>
          <w:sz w:val="32"/>
          <w:szCs w:val="32"/>
          <w:u w:val="single"/>
        </w:rPr>
        <w:t xml:space="preserve">                                              </w:t>
      </w:r>
      <w:r>
        <w:rPr>
          <w:rFonts w:ascii="仿宋_GB2312" w:hAnsi="仿宋" w:eastAsia="仿宋_GB2312"/>
          <w:sz w:val="32"/>
          <w:szCs w:val="32"/>
        </w:rPr>
        <w:t xml:space="preserve"> </w:t>
      </w:r>
    </w:p>
    <w:p w14:paraId="4BE33518">
      <w:pPr>
        <w:tabs>
          <w:tab w:val="left" w:pos="312"/>
        </w:tabs>
        <w:snapToGrid w:val="0"/>
        <w:spacing w:line="360" w:lineRule="auto"/>
        <w:ind w:firstLine="640" w:firstLineChars="200"/>
        <w:jc w:val="left"/>
      </w:pPr>
      <w:r>
        <w:rPr>
          <w:rFonts w:hint="eastAsia" w:ascii="仿宋_GB2312" w:hAnsi="仿宋" w:eastAsia="仿宋_GB2312"/>
          <w:sz w:val="32"/>
          <w:szCs w:val="32"/>
        </w:rPr>
        <w:t>9.其他：</w:t>
      </w:r>
      <w:r>
        <w:rPr>
          <w:rFonts w:ascii="仿宋_GB2312" w:hAnsi="仿宋" w:eastAsia="仿宋_GB2312"/>
          <w:sz w:val="32"/>
          <w:szCs w:val="32"/>
          <w:u w:val="single"/>
        </w:rPr>
        <w:t xml:space="preserve"> </w:t>
      </w:r>
      <w:r>
        <w:rPr>
          <w:rFonts w:hint="eastAsia" w:ascii="仿宋_GB2312" w:hAnsi="仿宋" w:eastAsia="仿宋_GB2312"/>
          <w:sz w:val="32"/>
          <w:szCs w:val="32"/>
          <w:u w:val="single"/>
        </w:rPr>
        <w:t>无</w:t>
      </w:r>
      <w:r>
        <w:rPr>
          <w:rFonts w:ascii="仿宋_GB2312" w:hAnsi="仿宋" w:eastAsia="仿宋_GB2312"/>
          <w:sz w:val="32"/>
          <w:szCs w:val="32"/>
          <w:u w:val="single"/>
        </w:rPr>
        <w:t xml:space="preserve">                                     </w:t>
      </w:r>
    </w:p>
    <w:sectPr>
      <w:headerReference r:id="rId4" w:type="first"/>
      <w:headerReference r:id="rId3" w:type="default"/>
      <w:footerReference r:id="rId5" w:type="default"/>
      <w:pgSz w:w="11906" w:h="16838"/>
      <w:pgMar w:top="1440" w:right="1531" w:bottom="1440" w:left="1531"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A01F7">
    <w:pPr>
      <w:snapToGrid w:val="0"/>
      <w:jc w:val="right"/>
      <w:rPr>
        <w:rFonts w:ascii="宋体" w:hAnsi="宋体" w:eastAsia="宋体" w:cs="Times New Roman"/>
        <w:sz w:val="28"/>
        <w:szCs w:val="28"/>
        <w:lang w:val="zh-CN"/>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3699088">
                          <w:pPr>
                            <w:pStyle w:val="7"/>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3699088">
                    <w:pPr>
                      <w:pStyle w:val="7"/>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BBA9E">
    <w:pPr>
      <w:pStyle w:val="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42859">
    <w:pPr>
      <w:pStyle w:val="8"/>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49663"/>
    <w:multiLevelType w:val="singleLevel"/>
    <w:tmpl w:val="D9F49663"/>
    <w:lvl w:ilvl="0" w:tentative="0">
      <w:start w:val="1"/>
      <w:numFmt w:val="decimal"/>
      <w:suff w:val="nothing"/>
      <w:lvlText w:val="%1．"/>
      <w:lvlJc w:val="left"/>
      <w:pPr>
        <w:ind w:left="480" w:firstLine="0"/>
      </w:pPr>
      <w:rPr>
        <w:rFonts w:hint="eastAsia"/>
      </w:rPr>
    </w:lvl>
  </w:abstractNum>
  <w:abstractNum w:abstractNumId="1">
    <w:nsid w:val="EB033032"/>
    <w:multiLevelType w:val="singleLevel"/>
    <w:tmpl w:val="EB033032"/>
    <w:lvl w:ilvl="0" w:tentative="0">
      <w:start w:val="1"/>
      <w:numFmt w:val="decimal"/>
      <w:suff w:val="space"/>
      <w:lvlText w:val="%1."/>
      <w:lvlJc w:val="left"/>
    </w:lvl>
  </w:abstractNum>
  <w:abstractNum w:abstractNumId="2">
    <w:nsid w:val="22DA4216"/>
    <w:multiLevelType w:val="multilevel"/>
    <w:tmpl w:val="22DA4216"/>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06B483A"/>
    <w:multiLevelType w:val="multilevel"/>
    <w:tmpl w:val="306B483A"/>
    <w:lvl w:ilvl="0" w:tentative="0">
      <w:start w:val="9"/>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BB47DE"/>
    <w:multiLevelType w:val="multilevel"/>
    <w:tmpl w:val="46BB47DE"/>
    <w:lvl w:ilvl="0" w:tentative="0">
      <w:start w:val="1"/>
      <w:numFmt w:val="decimal"/>
      <w:lvlText w:val="第%1条"/>
      <w:lvlJc w:val="left"/>
      <w:pPr>
        <w:tabs>
          <w:tab w:val="left" w:pos="964"/>
        </w:tabs>
        <w:ind w:left="964" w:hanging="964"/>
      </w:pPr>
      <w:rPr>
        <w:rFonts w:hint="eastAsia"/>
        <w:b/>
      </w:rPr>
    </w:lvl>
    <w:lvl w:ilvl="1" w:tentative="0">
      <w:start w:val="1"/>
      <w:numFmt w:val="decimal"/>
      <w:pStyle w:val="14"/>
      <w:isLgl/>
      <w:lvlText w:val="%1.%2"/>
      <w:lvlJc w:val="left"/>
      <w:pPr>
        <w:tabs>
          <w:tab w:val="left" w:pos="964"/>
        </w:tabs>
        <w:ind w:left="964" w:hanging="964"/>
      </w:pPr>
      <w:rPr>
        <w:rFonts w:hint="eastAsia"/>
      </w:rPr>
    </w:lvl>
    <w:lvl w:ilvl="2" w:tentative="0">
      <w:start w:val="1"/>
      <w:numFmt w:val="decimal"/>
      <w:isLgl/>
      <w:lvlText w:val="%1.%2.%3"/>
      <w:lvlJc w:val="left"/>
      <w:pPr>
        <w:tabs>
          <w:tab w:val="left" w:pos="964"/>
        </w:tabs>
        <w:ind w:left="1304" w:hanging="1304"/>
      </w:pPr>
      <w:rPr>
        <w:rFonts w:hint="eastAsia"/>
        <w:b w:val="0"/>
        <w:i w:val="0"/>
      </w:rPr>
    </w:lvl>
    <w:lvl w:ilvl="3" w:tentative="0">
      <w:start w:val="1"/>
      <w:numFmt w:val="lowerLetter"/>
      <w:lvlRestart w:val="0"/>
      <w:lvlText w:val="（%4）"/>
      <w:lvlJc w:val="left"/>
      <w:pPr>
        <w:tabs>
          <w:tab w:val="left" w:pos="851"/>
        </w:tabs>
        <w:ind w:left="851" w:hanging="851"/>
      </w:pPr>
      <w:rPr>
        <w:rFonts w:hint="eastAsia"/>
      </w:rPr>
    </w:lvl>
    <w:lvl w:ilvl="4" w:tentative="0">
      <w:start w:val="1"/>
      <w:numFmt w:val="none"/>
      <w:lvlText w:val=""/>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B18B4"/>
    <w:rsid w:val="43531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after="120"/>
    </w:pPr>
  </w:style>
  <w:style w:type="paragraph" w:styleId="3">
    <w:name w:val="Body Text"/>
    <w:basedOn w:val="1"/>
    <w:next w:val="1"/>
    <w:qFormat/>
    <w:uiPriority w:val="99"/>
    <w:pPr>
      <w:ind w:left="100"/>
      <w:jc w:val="left"/>
    </w:pPr>
    <w:rPr>
      <w:rFonts w:ascii="宋体" w:hAnsi="宋体" w:cs="宋体"/>
      <w:kern w:val="0"/>
      <w:szCs w:val="21"/>
      <w:lang w:eastAsia="en-US"/>
    </w:rPr>
  </w:style>
  <w:style w:type="paragraph" w:styleId="5">
    <w:name w:val="caption"/>
    <w:basedOn w:val="1"/>
    <w:next w:val="1"/>
    <w:semiHidden/>
    <w:unhideWhenUsed/>
    <w:qFormat/>
    <w:uiPriority w:val="35"/>
    <w:pPr>
      <w:widowControl/>
      <w:ind w:firstLine="360"/>
      <w:jc w:val="left"/>
    </w:pPr>
    <w:rPr>
      <w:b/>
      <w:bCs/>
      <w:kern w:val="0"/>
      <w:sz w:val="18"/>
      <w:szCs w:val="18"/>
      <w:lang w:eastAsia="en-US" w:bidi="en-US"/>
    </w:rPr>
  </w:style>
  <w:style w:type="paragraph" w:styleId="6">
    <w:name w:val="annotation text"/>
    <w:unhideWhenUsed/>
    <w:qFormat/>
    <w:uiPriority w:val="99"/>
    <w:pPr>
      <w:widowControl w:val="0"/>
    </w:pPr>
    <w:rPr>
      <w:rFonts w:ascii="Times New Roman" w:hAnsi="Times New Roman" w:eastAsia="宋体" w:cs="Times New Roman"/>
      <w:kern w:val="2"/>
      <w:sz w:val="21"/>
      <w:szCs w:val="24"/>
      <w:lang w:val="en-US" w:eastAsia="zh-CN" w:bidi="ar-SA"/>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table" w:styleId="10">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qFormat/>
    <w:uiPriority w:val="0"/>
    <w:rPr>
      <w:sz w:val="21"/>
      <w:szCs w:val="21"/>
    </w:rPr>
  </w:style>
  <w:style w:type="paragraph" w:customStyle="1" w:styleId="13">
    <w:name w:val="正文格式"/>
    <w:basedOn w:val="1"/>
    <w:qFormat/>
    <w:uiPriority w:val="0"/>
    <w:pPr>
      <w:spacing w:line="440" w:lineRule="exact"/>
      <w:ind w:firstLine="480"/>
    </w:pPr>
    <w:rPr>
      <w:rFonts w:cs="Arial"/>
      <w:sz w:val="24"/>
    </w:rPr>
  </w:style>
  <w:style w:type="paragraph" w:customStyle="1" w:styleId="14">
    <w:name w:val="正文样式2"/>
    <w:basedOn w:val="1"/>
    <w:qFormat/>
    <w:uiPriority w:val="0"/>
    <w:pPr>
      <w:numPr>
        <w:ilvl w:val="1"/>
        <w:numId w:val="1"/>
      </w:numPr>
      <w:tabs>
        <w:tab w:val="left" w:pos="1080"/>
      </w:tabs>
      <w:spacing w:beforeLines="80" w:afterLines="80" w:line="360" w:lineRule="auto"/>
    </w:pPr>
    <w:rPr>
      <w:rFonts w:cs="Arial"/>
      <w:sz w:val="24"/>
    </w:rPr>
  </w:style>
  <w:style w:type="paragraph" w:customStyle="1" w:styleId="15">
    <w:name w:val="1.5倍行距"/>
    <w:basedOn w:val="1"/>
    <w:qFormat/>
    <w:uiPriority w:val="0"/>
    <w:pPr>
      <w:tabs>
        <w:tab w:val="left" w:pos="964"/>
        <w:tab w:val="left" w:pos="1080"/>
      </w:tabs>
      <w:snapToGrid w:val="0"/>
      <w:spacing w:beforeLines="50" w:afterLines="50" w:line="360" w:lineRule="auto"/>
      <w:ind w:left="964" w:hanging="964"/>
    </w:pPr>
    <w:rPr>
      <w:sz w:val="24"/>
    </w:rPr>
  </w:style>
  <w:style w:type="paragraph" w:styleId="16">
    <w:name w:val="List Paragraph"/>
    <w:basedOn w:val="1"/>
    <w:qFormat/>
    <w:uiPriority w:val="99"/>
    <w:pPr>
      <w:ind w:firstLine="420" w:firstLineChars="200"/>
    </w:pPr>
  </w:style>
  <w:style w:type="paragraph" w:customStyle="1" w:styleId="17">
    <w:name w:val="段"/>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8">
    <w:name w:val="CM4"/>
    <w:basedOn w:val="1"/>
    <w:next w:val="1"/>
    <w:unhideWhenUsed/>
    <w:qFormat/>
    <w:uiPriority w:val="99"/>
    <w:pPr>
      <w:autoSpaceDE w:val="0"/>
      <w:autoSpaceDN w:val="0"/>
      <w:adjustRightInd w:val="0"/>
      <w:spacing w:line="313" w:lineRule="atLeast"/>
      <w:jc w:val="left"/>
    </w:pPr>
    <w:rPr>
      <w:rFonts w:ascii="黑体" w:hAnsi="黑体" w:eastAsia="黑体" w:cs="Times New Roman"/>
      <w:color w:val="000000"/>
      <w:kern w:val="0"/>
      <w:sz w:val="24"/>
      <w:szCs w:val="20"/>
    </w:rPr>
  </w:style>
  <w:style w:type="paragraph" w:customStyle="1" w:styleId="19">
    <w:name w:val="CM3"/>
    <w:basedOn w:val="20"/>
    <w:next w:val="20"/>
    <w:unhideWhenUsed/>
    <w:qFormat/>
    <w:uiPriority w:val="99"/>
    <w:pPr>
      <w:spacing w:line="313" w:lineRule="atLeast"/>
    </w:pPr>
    <w:rPr>
      <w:rFonts w:hint="default"/>
    </w:rPr>
  </w:style>
  <w:style w:type="paragraph" w:customStyle="1" w:styleId="20">
    <w:name w:val="Default"/>
    <w:unhideWhenUsed/>
    <w:qFormat/>
    <w:uiPriority w:val="99"/>
    <w:pPr>
      <w:widowControl w:val="0"/>
      <w:autoSpaceDE w:val="0"/>
      <w:autoSpaceDN w:val="0"/>
      <w:adjustRightInd w:val="0"/>
    </w:pPr>
    <w:rPr>
      <w:rFonts w:hint="eastAsia" w:ascii="黑体" w:hAnsi="黑体" w:eastAsia="黑体" w:cs="Times New Roman"/>
      <w:color w:val="000000"/>
      <w:sz w:val="24"/>
      <w:lang w:val="en-US" w:eastAsia="zh-CN" w:bidi="ar-SA"/>
    </w:rPr>
  </w:style>
  <w:style w:type="paragraph" w:customStyle="1" w:styleId="21">
    <w:name w:val="CM18"/>
    <w:basedOn w:val="20"/>
    <w:next w:val="20"/>
    <w:unhideWhenUsed/>
    <w:qFormat/>
    <w:uiPriority w:val="99"/>
    <w:rPr>
      <w:rFonts w:hint="default"/>
    </w:rPr>
  </w:style>
  <w:style w:type="paragraph" w:customStyle="1" w:styleId="22">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5132</Words>
  <Characters>5279</Characters>
  <Lines>0</Lines>
  <Paragraphs>0</Paragraphs>
  <TotalTime>4</TotalTime>
  <ScaleCrop>false</ScaleCrop>
  <LinksUpToDate>false</LinksUpToDate>
  <CharactersWithSpaces>5757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2026-04-30T09:04:00Z</dcterms:created>
  <dc:creator>user1</dc:creator>
  <cp:lastModifiedBy>鱼松</cp:lastModifiedBy>
  <dcterms:modified xsi:type="dcterms:W3CDTF">2026-05-06T06:28:01Z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eyJoZGlkIjoiNDcxNGE5MjIwMzJlMzgyYzY5YTE5Y2NhMjBhMWEyMDciLCJ1c2VySWQiOiIzNTU3MjQ4NzAifQ==</vt:lpwstr>
  </property>
  <property fmtid="{D5CDD505-2E9C-101B-9397-08002B2CF9AE}" pid="4" name="ICV">
    <vt:lpwstr>504EF0E2106D4C918EF7C6D489156D74_12</vt:lpwstr>
  </property>
</Properties>
</file>