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2026年终端采购项目</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064GSH2026050</w:t>
      </w:r>
      <w:r>
        <w:br/>
      </w:r>
      <w:r>
        <w:br/>
      </w:r>
      <w:r>
        <w:br/>
      </w:r>
    </w:p>
    <w:p>
      <w:pPr>
        <w:pStyle w:val="null3"/>
        <w:jc w:val="center"/>
      </w:pPr>
      <w:r>
        <w:rPr/>
        <w:t>中国人民银行集中采购中心</w:t>
      </w:r>
    </w:p>
    <w:p>
      <w:pPr>
        <w:pStyle w:val="null3"/>
        <w:jc w:val="center"/>
      </w:pPr>
      <w:r>
        <w:rPr/>
        <w:t>2026年06月10日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2026年终端采购项目</w:t>
      </w:r>
      <w:r>
        <w:rPr/>
        <w:t xml:space="preserve"> ”（项目编号： </w:t>
      </w:r>
      <w:r>
        <w:rPr/>
        <w:t>064GSH2026050</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4,962,000.00</w:t>
      </w:r>
    </w:p>
    <w:p>
      <w:pPr>
        <w:pStyle w:val="null3"/>
        <w:jc w:val="left"/>
      </w:pPr>
      <w:r>
        <w:rPr/>
        <w:t>采购包最高限价（元）: 4,962,000.00</w:t>
      </w: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t>序号</w:t>
            </w:r>
          </w:p>
        </w:tc>
        <w:tc>
          <w:tcPr>
            <w:tcW w:type="dxa" w:w="593"/>
          </w:tcPr>
          <w:p>
            <w:pPr>
              <w:pStyle w:val="null3"/>
              <w:jc w:val="left"/>
            </w:pPr>
            <w:r>
              <w:rPr/>
              <w:t>标的名称</w:t>
            </w:r>
          </w:p>
        </w:tc>
        <w:tc>
          <w:tcPr>
            <w:tcW w:type="dxa" w:w="593"/>
          </w:tcPr>
          <w:p>
            <w:pPr>
              <w:pStyle w:val="null3"/>
              <w:jc w:val="left"/>
            </w:pPr>
            <w:r>
              <w:rPr/>
              <w:t>品目名称</w:t>
            </w:r>
          </w:p>
        </w:tc>
        <w:tc>
          <w:tcPr>
            <w:tcW w:type="dxa" w:w="593"/>
          </w:tcPr>
          <w:p>
            <w:pPr>
              <w:pStyle w:val="null3"/>
              <w:jc w:val="left"/>
            </w:pPr>
            <w:r>
              <w:rPr/>
              <w:t>品目分类编码</w:t>
            </w:r>
          </w:p>
        </w:tc>
        <w:tc>
          <w:tcPr>
            <w:tcW w:type="dxa" w:w="593"/>
          </w:tcPr>
          <w:p>
            <w:pPr>
              <w:pStyle w:val="null3"/>
              <w:jc w:val="left"/>
            </w:pPr>
            <w:r>
              <w:rPr/>
              <w:t>标的类别</w:t>
            </w:r>
          </w:p>
        </w:tc>
        <w:tc>
          <w:tcPr>
            <w:tcW w:type="dxa" w:w="593"/>
          </w:tcPr>
          <w:p>
            <w:pPr>
              <w:pStyle w:val="null3"/>
              <w:jc w:val="left"/>
            </w:pPr>
            <w:r>
              <w:rPr/>
              <w:t>计量单位</w:t>
            </w:r>
          </w:p>
        </w:tc>
        <w:tc>
          <w:tcPr>
            <w:tcW w:type="dxa" w:w="593"/>
          </w:tcPr>
          <w:p>
            <w:pPr>
              <w:pStyle w:val="null3"/>
              <w:jc w:val="left"/>
            </w:pPr>
            <w:r>
              <w:rPr/>
              <w:t>数量</w:t>
            </w:r>
          </w:p>
        </w:tc>
        <w:tc>
          <w:tcPr>
            <w:tcW w:type="dxa" w:w="593"/>
          </w:tcPr>
          <w:p>
            <w:pPr>
              <w:pStyle w:val="null3"/>
              <w:jc w:val="left"/>
            </w:pPr>
            <w:r>
              <w:rPr/>
              <w:t>中小企业划分标准所属行业</w:t>
            </w:r>
          </w:p>
        </w:tc>
        <w:tc>
          <w:tcPr>
            <w:tcW w:type="dxa" w:w="593"/>
          </w:tcPr>
          <w:p>
            <w:pPr>
              <w:pStyle w:val="null3"/>
              <w:jc w:val="left"/>
            </w:pPr>
            <w:r>
              <w:rPr/>
              <w:t>是否核心产品</w:t>
            </w:r>
          </w:p>
        </w:tc>
        <w:tc>
          <w:tcPr>
            <w:tcW w:type="dxa" w:w="593"/>
          </w:tcPr>
          <w:p>
            <w:pPr>
              <w:pStyle w:val="null3"/>
              <w:jc w:val="left"/>
            </w:pPr>
            <w:r>
              <w:rPr/>
              <w:t>是否允许进口产品</w:t>
            </w:r>
          </w:p>
        </w:tc>
        <w:tc>
          <w:tcPr>
            <w:tcW w:type="dxa" w:w="593"/>
          </w:tcPr>
          <w:p>
            <w:pPr>
              <w:pStyle w:val="null3"/>
              <w:jc w:val="left"/>
            </w:pPr>
            <w:r>
              <w:rPr/>
              <w:t>是否属于节能产品</w:t>
            </w:r>
          </w:p>
        </w:tc>
        <w:tc>
          <w:tcPr>
            <w:tcW w:type="dxa" w:w="593"/>
          </w:tcPr>
          <w:p>
            <w:pPr>
              <w:pStyle w:val="null3"/>
              <w:jc w:val="left"/>
            </w:pPr>
            <w:r>
              <w:rPr/>
              <w:t>是否属于环境标志产品</w:t>
            </w:r>
          </w:p>
        </w:tc>
        <w:tc>
          <w:tcPr>
            <w:tcW w:type="dxa" w:w="593"/>
          </w:tcPr>
          <w:p>
            <w:pPr>
              <w:pStyle w:val="null3"/>
              <w:jc w:val="left"/>
            </w:pPr>
            <w:r>
              <w:rPr/>
              <w:t>最高限价</w:t>
            </w:r>
          </w:p>
        </w:tc>
        <w:tc>
          <w:tcPr>
            <w:tcW w:type="dxa" w:w="593"/>
          </w:tcPr>
          <w:p>
            <w:pPr>
              <w:pStyle w:val="null3"/>
              <w:jc w:val="left"/>
            </w:pPr>
            <w:r>
              <w:rPr/>
              <w:t>备注</w:t>
            </w:r>
          </w:p>
        </w:tc>
      </w:tr>
      <w:tr>
        <w:tc>
          <w:tcPr>
            <w:tcW w:type="dxa" w:w="593"/>
          </w:tcPr>
          <w:p>
            <w:pPr>
              <w:pStyle w:val="null3"/>
              <w:jc w:val="left"/>
            </w:pPr>
            <w:r>
              <w:rPr/>
              <w:t>1</w:t>
            </w:r>
          </w:p>
        </w:tc>
        <w:tc>
          <w:tcPr>
            <w:tcW w:type="dxa" w:w="593"/>
          </w:tcPr>
          <w:p>
            <w:pPr>
              <w:pStyle w:val="null3"/>
              <w:jc w:val="left"/>
            </w:pPr>
            <w:r>
              <w:rPr/>
              <w:t>便携式计算机</w:t>
            </w:r>
          </w:p>
        </w:tc>
        <w:tc>
          <w:tcPr>
            <w:tcW w:type="dxa" w:w="593"/>
          </w:tcPr>
          <w:p>
            <w:pPr>
              <w:pStyle w:val="null3"/>
              <w:jc w:val="left"/>
            </w:pPr>
            <w:r>
              <w:rPr/>
              <w:t>A02010108 便携式计算机</w:t>
            </w:r>
          </w:p>
        </w:tc>
        <w:tc>
          <w:tcPr>
            <w:tcW w:type="dxa" w:w="593"/>
          </w:tcPr>
          <w:p>
            <w:pPr>
              <w:pStyle w:val="null3"/>
              <w:jc w:val="left"/>
            </w:pPr>
            <w:r>
              <w:rPr/>
              <w:t>A02010108</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500.00</w:t>
            </w:r>
          </w:p>
        </w:tc>
        <w:tc>
          <w:tcPr>
            <w:tcW w:type="dxa" w:w="593"/>
          </w:tcPr>
          <w:p>
            <w:pPr>
              <w:pStyle w:val="null3"/>
              <w:jc w:val="left"/>
            </w:pPr>
            <w:r>
              <w:rPr/>
              <w:t>软件和信息技术服务业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left"/>
            </w:pPr>
            <w:r>
              <w:rPr/>
              <w:t>是</w:t>
            </w:r>
          </w:p>
        </w:tc>
        <w:tc>
          <w:tcPr>
            <w:tcW w:type="dxa" w:w="593"/>
          </w:tcPr>
          <w:p>
            <w:pPr>
              <w:pStyle w:val="null3"/>
              <w:jc w:val="right"/>
            </w:pPr>
            <w:r>
              <w:rPr/>
              <w:t>4,950,000.00</w:t>
            </w:r>
          </w:p>
        </w:tc>
        <w:tc>
          <w:tcPr>
            <w:tcW w:type="dxa" w:w="593"/>
          </w:tcPr>
          <w:p/>
        </w:tc>
      </w:tr>
      <w:tr>
        <w:tc>
          <w:tcPr>
            <w:tcW w:type="dxa" w:w="593"/>
          </w:tcPr>
          <w:p>
            <w:pPr>
              <w:pStyle w:val="null3"/>
              <w:jc w:val="left"/>
            </w:pPr>
            <w:r>
              <w:rPr/>
              <w:t>2</w:t>
            </w:r>
          </w:p>
        </w:tc>
        <w:tc>
          <w:tcPr>
            <w:tcW w:type="dxa" w:w="593"/>
          </w:tcPr>
          <w:p>
            <w:pPr>
              <w:pStyle w:val="null3"/>
              <w:jc w:val="left"/>
            </w:pPr>
            <w:r>
              <w:rPr/>
              <w:t>台式计算机</w:t>
            </w:r>
          </w:p>
        </w:tc>
        <w:tc>
          <w:tcPr>
            <w:tcW w:type="dxa" w:w="593"/>
          </w:tcPr>
          <w:p>
            <w:pPr>
              <w:pStyle w:val="null3"/>
              <w:jc w:val="left"/>
            </w:pPr>
            <w:r>
              <w:rPr/>
              <w:t>A02010105 台式计算机</w:t>
            </w:r>
          </w:p>
        </w:tc>
        <w:tc>
          <w:tcPr>
            <w:tcW w:type="dxa" w:w="593"/>
          </w:tcPr>
          <w:p>
            <w:pPr>
              <w:pStyle w:val="null3"/>
              <w:jc w:val="left"/>
            </w:pPr>
            <w:r>
              <w:rPr/>
              <w:t>A02010105</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2.00</w:t>
            </w:r>
          </w:p>
        </w:tc>
        <w:tc>
          <w:tcPr>
            <w:tcW w:type="dxa" w:w="593"/>
          </w:tcPr>
          <w:p>
            <w:pPr>
              <w:pStyle w:val="null3"/>
              <w:jc w:val="left"/>
            </w:pPr>
            <w:r>
              <w:rPr/>
              <w:t>软件和信息技术服务业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left"/>
            </w:pPr>
            <w:r>
              <w:rPr/>
              <w:t>是</w:t>
            </w:r>
          </w:p>
        </w:tc>
        <w:tc>
          <w:tcPr>
            <w:tcW w:type="dxa" w:w="593"/>
          </w:tcPr>
          <w:p>
            <w:pPr>
              <w:pStyle w:val="null3"/>
              <w:jc w:val="right"/>
            </w:pPr>
            <w:r>
              <w:rPr/>
              <w:t>12,000.00</w:t>
            </w:r>
          </w:p>
        </w:tc>
        <w:tc>
          <w:tcPr>
            <w:tcW w:type="dxa" w:w="593"/>
          </w:tcP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 根据《国务院办公厅关于在政府采购中实施本国产品标准及相关政策的通知》实施本国产品标准： </w:t>
      </w:r>
      <w:r>
        <w:rPr/>
        <w:t>是</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网联清算有限公司</w:t>
      </w:r>
    </w:p>
    <w:p>
      <w:pPr>
        <w:pStyle w:val="null3"/>
        <w:jc w:val="left"/>
      </w:pPr>
      <w:r>
        <w:rPr/>
        <w:t xml:space="preserve"> 地址： </w:t>
      </w:r>
      <w:r>
        <w:rPr/>
        <w:t>北京市西城区月坛南街1号院7号楼</w:t>
      </w:r>
    </w:p>
    <w:p>
      <w:pPr>
        <w:pStyle w:val="null3"/>
        <w:jc w:val="left"/>
      </w:pPr>
      <w:r>
        <w:rPr/>
        <w:t xml:space="preserve"> 邮编： </w:t>
      </w:r>
      <w:r>
        <w:rPr/>
        <w:t>100045</w:t>
      </w:r>
    </w:p>
    <w:p>
      <w:pPr>
        <w:pStyle w:val="null3"/>
        <w:jc w:val="left"/>
      </w:pPr>
      <w:r>
        <w:rPr/>
        <w:t xml:space="preserve"> 联系人： </w:t>
      </w:r>
      <w:r>
        <w:rPr/>
        <w:t>丛日权</w:t>
      </w:r>
    </w:p>
    <w:p>
      <w:pPr>
        <w:pStyle w:val="null3"/>
        <w:jc w:val="left"/>
      </w:pPr>
      <w:r>
        <w:rPr/>
        <w:t xml:space="preserve"> 联系电话： </w:t>
      </w:r>
      <w:r>
        <w:rPr/>
        <w:t>68148726</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北京市西城区成方街32号</w:t>
      </w:r>
    </w:p>
    <w:p>
      <w:pPr>
        <w:pStyle w:val="null3"/>
        <w:jc w:val="left"/>
      </w:pPr>
      <w:r>
        <w:rPr/>
        <w:t xml:space="preserve"> 邮编： </w:t>
      </w:r>
      <w:r>
        <w:rPr/>
        <w:t>100032</w:t>
      </w:r>
    </w:p>
    <w:p>
      <w:pPr>
        <w:pStyle w:val="null3"/>
        <w:jc w:val="left"/>
      </w:pPr>
      <w:r>
        <w:rPr/>
        <w:t xml:space="preserve"> 联系人（文件发放、开标前咨询）： </w:t>
      </w:r>
      <w:r>
        <w:rPr/>
        <w:t>郭先生</w:t>
      </w:r>
    </w:p>
    <w:p>
      <w:pPr>
        <w:pStyle w:val="null3"/>
        <w:jc w:val="left"/>
      </w:pPr>
      <w:r>
        <w:rPr/>
        <w:t xml:space="preserve"> 联系电话（文件发放、开标前咨询）： </w:t>
      </w:r>
      <w:r>
        <w:rPr/>
        <w:t>010-66195911</w:t>
      </w:r>
    </w:p>
    <w:p>
      <w:pPr>
        <w:pStyle w:val="null3"/>
        <w:jc w:val="left"/>
      </w:pPr>
      <w:r>
        <w:rPr/>
        <w:t xml:space="preserve"> 联系人（开、评标咨询）： </w:t>
      </w:r>
      <w:r>
        <w:rPr/>
        <w:t>赵女士</w:t>
      </w:r>
    </w:p>
    <w:p>
      <w:pPr>
        <w:pStyle w:val="null3"/>
        <w:jc w:val="left"/>
      </w:pPr>
      <w:r>
        <w:rPr/>
        <w:t xml:space="preserve"> 联系电话（开、评标咨询）： </w:t>
      </w:r>
      <w:r>
        <w:rPr/>
        <w:t>010-66195465</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共5人，</w:t>
            </w:r>
            <w:r>
              <w:rPr/>
              <w:t>其中评审专家4人，</w:t>
            </w:r>
            <w:r>
              <w:rPr/>
              <w:t>采购人代表1人。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中国人民银行集中采购中心互联网采购交易系统</w:t>
            </w:r>
            <w:r>
              <w:rPr/>
              <w:t>、</w:t>
            </w: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w:t>
            </w:r>
          </w:p>
          <w:p>
            <w:pPr>
              <w:pStyle w:val="null3"/>
            </w:pPr>
            <w:r>
              <w:rPr/>
              <w:t>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随着信息技术的快速发展，计算机终端作为日常办公的重要工具，其性能和安全性已逐渐成为影响工作效率的关键因素。因此，公司需根据外部技术发展情况以及日常工作实际需要，对新增的计算机终端需求进行科学、合理规划，确保员工日常工作顺利开展。 目前，随着计算机终端使用年限到期、未来公司人员增长情况以及计算机终端信创替代计划，需对计算机终端采购进行规划。</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本项目采购预算已在2026年度采购预算中进行申报并已审批通过，预算编号为：YSXM20260013。</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满足公司信创工作要求</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便携式计算机500台（含6年维保）、台式计算机2台（含6年维保）。</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便携式计算机用于日常工作，部署地点涉及北京办公区、上海办公区和6IDC。</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合理保障公司办公业务连续性以及兼顾公司计算机终端设备的国产化比率符合上级管理要求，需要采购信创便携式计算机和台式计算机。</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与2025年便携式计算机采购项目采购内容类似。</w:t>
            </w:r>
          </w:p>
        </w:tc>
      </w:tr>
    </w:tbl>
    <w:p>
      <w:pPr>
        <w:pStyle w:val="null3"/>
        <w:jc w:val="left"/>
        <w:outlineLvl w:val="2"/>
      </w:pPr>
      <w:r>
        <w:rPr>
          <w:sz w:val="28"/>
          <w:b/>
        </w:rPr>
        <w:t>3.2 技术及商务要求</w:t>
      </w:r>
    </w:p>
    <w:p>
      <w:pPr>
        <w:pStyle w:val="null3"/>
        <w:jc w:val="both"/>
      </w:pPr>
      <w:r>
        <w:rPr/>
        <w:t>本技术要求共有“★”指标241个，”#”指标22个，“▲”指标7个。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X86架构，物理核心数≥8核，主频≥3.5GHz，二级缓存≥4MB，三级缓存≥32MB，线程数量≥8</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内存配置容量</w:t>
            </w:r>
          </w:p>
        </w:tc>
        <w:tc>
          <w:tcPr>
            <w:tcW w:type="dxa" w:w="1038"/>
          </w:tcPr>
          <w:p>
            <w:pPr>
              <w:pStyle w:val="null3"/>
            </w:pPr>
            <w:r>
              <w:rPr/>
              <w:t>≥16GB</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内存类型</w:t>
            </w:r>
          </w:p>
        </w:tc>
        <w:tc>
          <w:tcPr>
            <w:tcW w:type="dxa" w:w="1038"/>
          </w:tcPr>
          <w:p>
            <w:pPr>
              <w:pStyle w:val="null3"/>
            </w:pPr>
            <w:r>
              <w:rPr/>
              <w:t>支持DDR5及以上内存类型</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内存条配置数量（板载内存不涉及）</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主板集成模块</w:t>
            </w:r>
          </w:p>
        </w:tc>
        <w:tc>
          <w:tcPr>
            <w:tcW w:type="dxa" w:w="1038"/>
          </w:tcPr>
          <w:p>
            <w:pPr>
              <w:pStyle w:val="null3"/>
            </w:pPr>
            <w:r>
              <w:rPr/>
              <w:t>集成资源扩展模块、计算处理模块、音频扩展模块等，主板的互联拓扑可通过处理器或交换电路实现</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主板支持的CPU和内存情况</w:t>
            </w:r>
          </w:p>
        </w:tc>
        <w:tc>
          <w:tcPr>
            <w:tcW w:type="dxa" w:w="1038"/>
          </w:tcPr>
          <w:p>
            <w:pPr>
              <w:pStyle w:val="null3"/>
            </w:pPr>
            <w:r>
              <w:rPr/>
              <w:t>X86架构CPU；内存支持DDR5</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便携式计算机-产品规格</w:t>
            </w:r>
          </w:p>
        </w:tc>
        <w:tc>
          <w:tcPr>
            <w:tcW w:type="dxa" w:w="1038"/>
          </w:tcPr>
          <w:p/>
        </w:tc>
        <w:tc>
          <w:tcPr>
            <w:tcW w:type="dxa" w:w="1038"/>
          </w:tcPr>
          <w:p>
            <w:pPr>
              <w:pStyle w:val="null3"/>
            </w:pPr>
            <w:r>
              <w:rPr/>
              <w:t>主板规格</w:t>
            </w:r>
          </w:p>
        </w:tc>
        <w:tc>
          <w:tcPr>
            <w:tcW w:type="dxa" w:w="1038"/>
          </w:tcPr>
          <w:p>
            <w:pPr>
              <w:pStyle w:val="null3"/>
            </w:pPr>
            <w:r>
              <w:rPr/>
              <w:t>主板内置PCIe插槽数量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便携式计算机-产品规格</w:t>
            </w:r>
          </w:p>
        </w:tc>
        <w:tc>
          <w:tcPr>
            <w:tcW w:type="dxa" w:w="1038"/>
          </w:tcP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单内存插槽最大可支持容量（板载内存不涉及）</w:t>
            </w:r>
          </w:p>
        </w:tc>
        <w:tc>
          <w:tcPr>
            <w:tcW w:type="dxa" w:w="1038"/>
          </w:tcPr>
          <w:p>
            <w:pPr>
              <w:pStyle w:val="null3"/>
            </w:pPr>
            <w:r>
              <w:rPr/>
              <w:t>≥8GB</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内存插槽满配时提供的最高内存总容量</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固态盘数量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固态存储容量</w:t>
            </w:r>
          </w:p>
        </w:tc>
        <w:tc>
          <w:tcPr>
            <w:tcW w:type="dxa" w:w="1038"/>
          </w:tcPr>
          <w:p>
            <w:pPr>
              <w:pStyle w:val="null3"/>
            </w:pPr>
            <w:r>
              <w:rPr/>
              <w:t>≥512GB</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固态盘数量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便携式计算机-产品规格</w:t>
            </w:r>
          </w:p>
        </w:tc>
        <w:tc>
          <w:tcPr>
            <w:tcW w:type="dxa" w:w="1038"/>
          </w:tcPr>
          <w:p/>
        </w:tc>
        <w:tc>
          <w:tcPr>
            <w:tcW w:type="dxa" w:w="1038"/>
          </w:tcPr>
          <w:p>
            <w:pPr>
              <w:pStyle w:val="null3"/>
            </w:pPr>
            <w:r>
              <w:rPr/>
              <w:t>存储设备规格</w:t>
            </w:r>
          </w:p>
        </w:tc>
        <w:tc>
          <w:tcPr>
            <w:tcW w:type="dxa" w:w="1038"/>
          </w:tcPr>
          <w:p>
            <w:pPr>
              <w:pStyle w:val="null3"/>
            </w:pPr>
            <w:r>
              <w:rPr/>
              <w:t>机械硬盘数量</w:t>
            </w:r>
          </w:p>
        </w:tc>
        <w:tc>
          <w:tcPr>
            <w:tcW w:type="dxa" w:w="1038"/>
          </w:tcPr>
          <w:p>
            <w:pPr>
              <w:pStyle w:val="null3"/>
            </w:pPr>
            <w:r>
              <w:rPr/>
              <w:t>≥0个</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便携式计算机-产品规格</w:t>
            </w:r>
          </w:p>
        </w:tc>
        <w:tc>
          <w:tcPr>
            <w:tcW w:type="dxa" w:w="1038"/>
          </w:tcPr>
          <w:p/>
        </w:tc>
        <w:tc>
          <w:tcPr>
            <w:tcW w:type="dxa" w:w="1038"/>
          </w:tcPr>
          <w:p>
            <w:pPr>
              <w:pStyle w:val="null3"/>
            </w:pPr>
            <w:r>
              <w:rPr/>
              <w:t>存储设备规格</w:t>
            </w:r>
          </w:p>
        </w:tc>
        <w:tc>
          <w:tcPr>
            <w:tcW w:type="dxa" w:w="1038"/>
          </w:tcPr>
          <w:p>
            <w:pPr>
              <w:pStyle w:val="null3"/>
            </w:pPr>
            <w:r>
              <w:rPr/>
              <w:t>机械硬盘总容量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便携式计算机-产品规格</w:t>
            </w:r>
          </w:p>
        </w:tc>
        <w:tc>
          <w:tcPr>
            <w:tcW w:type="dxa" w:w="1038"/>
          </w:tcPr>
          <w:p/>
        </w:tc>
        <w:tc>
          <w:tcPr>
            <w:tcW w:type="dxa" w:w="1038"/>
          </w:tcPr>
          <w:p>
            <w:pPr>
              <w:pStyle w:val="null3"/>
            </w:pPr>
            <w:r>
              <w:rPr/>
              <w:t>存储设备规格</w:t>
            </w:r>
          </w:p>
        </w:tc>
        <w:tc>
          <w:tcPr>
            <w:tcW w:type="dxa" w:w="1038"/>
          </w:tcPr>
          <w:p>
            <w:pPr>
              <w:pStyle w:val="null3"/>
            </w:pPr>
            <w:r>
              <w:rPr/>
              <w:t>机械硬盘转速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便携式计算机-产品规格</w:t>
            </w:r>
          </w:p>
        </w:tc>
        <w:tc>
          <w:tcPr>
            <w:tcW w:type="dxa" w:w="1038"/>
          </w:tcPr>
          <w:p/>
        </w:tc>
        <w:tc>
          <w:tcPr>
            <w:tcW w:type="dxa" w:w="1038"/>
          </w:tcPr>
          <w:p>
            <w:pPr>
              <w:pStyle w:val="null3"/>
            </w:pPr>
            <w:r>
              <w:rPr/>
              <w:t>存储设备规格</w:t>
            </w:r>
          </w:p>
        </w:tc>
        <w:tc>
          <w:tcPr>
            <w:tcW w:type="dxa" w:w="1038"/>
          </w:tcPr>
          <w:p>
            <w:pPr>
              <w:pStyle w:val="null3"/>
            </w:pPr>
            <w:r>
              <w:rPr/>
              <w:t>机械硬盘接口协议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便携式计算机-产品规格</w:t>
            </w:r>
          </w:p>
        </w:tc>
        <w:tc>
          <w:tcPr>
            <w:tcW w:type="dxa" w:w="1038"/>
          </w:tcPr>
          <w:p/>
        </w:tc>
        <w:tc>
          <w:tcPr>
            <w:tcW w:type="dxa" w:w="1038"/>
          </w:tcPr>
          <w:p>
            <w:pPr>
              <w:pStyle w:val="null3"/>
            </w:pPr>
            <w:r>
              <w:rPr/>
              <w:t>存储设备规格</w:t>
            </w:r>
          </w:p>
        </w:tc>
        <w:tc>
          <w:tcPr>
            <w:tcW w:type="dxa" w:w="1038"/>
          </w:tcPr>
          <w:p>
            <w:pPr>
              <w:pStyle w:val="null3"/>
            </w:pPr>
            <w:r>
              <w:rPr/>
              <w:t>机械硬盘形态</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固态存储接口协议</w:t>
            </w:r>
          </w:p>
        </w:tc>
        <w:tc>
          <w:tcPr>
            <w:tcW w:type="dxa" w:w="1038"/>
          </w:tcPr>
          <w:p>
            <w:pPr>
              <w:pStyle w:val="null3"/>
            </w:pPr>
            <w:r>
              <w:rPr/>
              <w:t>支持UFS/NVMe等类型接口协议</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便携式计算机-产品规格</w:t>
            </w:r>
          </w:p>
        </w:tc>
        <w:tc>
          <w:tcPr>
            <w:tcW w:type="dxa" w:w="1038"/>
          </w:tcPr>
          <w:p/>
        </w:tc>
        <w:tc>
          <w:tcPr>
            <w:tcW w:type="dxa" w:w="1038"/>
          </w:tcPr>
          <w:p>
            <w:pPr>
              <w:pStyle w:val="null3"/>
            </w:pPr>
            <w:r>
              <w:rPr/>
              <w:t>存储设备规格</w:t>
            </w:r>
          </w:p>
        </w:tc>
        <w:tc>
          <w:tcPr>
            <w:tcW w:type="dxa" w:w="1038"/>
          </w:tcPr>
          <w:p>
            <w:pPr>
              <w:pStyle w:val="null3"/>
            </w:pPr>
            <w:r>
              <w:rPr/>
              <w:t>固态存储形态</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存储设备扩展盘位</w:t>
            </w:r>
          </w:p>
        </w:tc>
        <w:tc>
          <w:tcPr>
            <w:tcW w:type="dxa" w:w="1038"/>
          </w:tcPr>
          <w:p>
            <w:pPr>
              <w:pStyle w:val="null3"/>
            </w:pPr>
            <w:r>
              <w:rPr/>
              <w:t>≥0</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存储设备其他参与要求</w:t>
            </w:r>
          </w:p>
        </w:tc>
        <w:tc>
          <w:tcPr>
            <w:tcW w:type="dxa" w:w="1038"/>
          </w:tcPr>
          <w:p>
            <w:pPr>
              <w:pStyle w:val="null3"/>
            </w:pPr>
            <w:r>
              <w:rPr/>
              <w:t>固态盘应符合SJ/T11654 相关规定</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显卡类型</w:t>
            </w:r>
          </w:p>
        </w:tc>
        <w:tc>
          <w:tcPr>
            <w:tcW w:type="dxa" w:w="1038"/>
          </w:tcPr>
          <w:p>
            <w:pPr>
              <w:pStyle w:val="null3"/>
            </w:pPr>
            <w:r>
              <w:rPr/>
              <w:t>集成显卡</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便携式计算机-产品规格</w:t>
            </w:r>
          </w:p>
        </w:tc>
        <w:tc>
          <w:tcPr>
            <w:tcW w:type="dxa" w:w="1038"/>
          </w:tcPr>
          <w:p/>
        </w:tc>
        <w:tc>
          <w:tcPr>
            <w:tcW w:type="dxa" w:w="1038"/>
          </w:tcPr>
          <w:p>
            <w:pPr>
              <w:pStyle w:val="null3"/>
            </w:pPr>
            <w:r>
              <w:rPr/>
              <w:t>显卡规格</w:t>
            </w:r>
          </w:p>
        </w:tc>
        <w:tc>
          <w:tcPr>
            <w:tcW w:type="dxa" w:w="1038"/>
          </w:tcPr>
          <w:p>
            <w:pPr>
              <w:pStyle w:val="null3"/>
            </w:pPr>
            <w:r>
              <w:rPr/>
              <w:t>独立显卡显存类型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便携式计算机-产品规格</w:t>
            </w:r>
          </w:p>
        </w:tc>
        <w:tc>
          <w:tcPr>
            <w:tcW w:type="dxa" w:w="1038"/>
          </w:tcPr>
          <w:p/>
        </w:tc>
        <w:tc>
          <w:tcPr>
            <w:tcW w:type="dxa" w:w="1038"/>
          </w:tcPr>
          <w:p>
            <w:pPr>
              <w:pStyle w:val="null3"/>
            </w:pPr>
            <w:r>
              <w:rPr/>
              <w:t>显卡规格</w:t>
            </w:r>
          </w:p>
        </w:tc>
        <w:tc>
          <w:tcPr>
            <w:tcW w:type="dxa" w:w="1038"/>
          </w:tcPr>
          <w:p>
            <w:pPr>
              <w:pStyle w:val="null3"/>
            </w:pPr>
            <w:r>
              <w:rPr/>
              <w:t>独立显卡显存位宽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26</w:t>
            </w:r>
          </w:p>
        </w:tc>
        <w:tc>
          <w:tcPr>
            <w:tcW w:type="dxa" w:w="1038"/>
          </w:tcPr>
          <w:p>
            <w:pPr>
              <w:pStyle w:val="null3"/>
            </w:pPr>
            <w:r>
              <w:rPr/>
              <w:t>便携式计算机-产品规格</w:t>
            </w:r>
          </w:p>
        </w:tc>
        <w:tc>
          <w:tcPr>
            <w:tcW w:type="dxa" w:w="1038"/>
          </w:tcPr>
          <w:p/>
        </w:tc>
        <w:tc>
          <w:tcPr>
            <w:tcW w:type="dxa" w:w="1038"/>
          </w:tcPr>
          <w:p>
            <w:pPr>
              <w:pStyle w:val="null3"/>
            </w:pPr>
            <w:r>
              <w:rPr/>
              <w:t>显卡规格</w:t>
            </w:r>
          </w:p>
        </w:tc>
        <w:tc>
          <w:tcPr>
            <w:tcW w:type="dxa" w:w="1038"/>
          </w:tcPr>
          <w:p>
            <w:pPr>
              <w:pStyle w:val="null3"/>
            </w:pPr>
            <w:r>
              <w:rPr/>
              <w:t>独立显卡显存容量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便携式计算机-产品规格</w:t>
            </w:r>
          </w:p>
        </w:tc>
        <w:tc>
          <w:tcPr>
            <w:tcW w:type="dxa" w:w="1038"/>
          </w:tcPr>
          <w:p/>
        </w:tc>
        <w:tc>
          <w:tcPr>
            <w:tcW w:type="dxa" w:w="1038"/>
          </w:tcPr>
          <w:p>
            <w:pPr>
              <w:pStyle w:val="null3"/>
            </w:pPr>
            <w:r>
              <w:rPr/>
              <w:t>显卡规格</w:t>
            </w:r>
          </w:p>
        </w:tc>
        <w:tc>
          <w:tcPr>
            <w:tcW w:type="dxa" w:w="1038"/>
          </w:tcPr>
          <w:p>
            <w:pPr>
              <w:pStyle w:val="null3"/>
            </w:pPr>
            <w:r>
              <w:rPr/>
              <w:t>独立显卡接口协议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显示屏屏占比</w:t>
            </w:r>
          </w:p>
        </w:tc>
        <w:tc>
          <w:tcPr>
            <w:tcW w:type="dxa" w:w="1038"/>
          </w:tcPr>
          <w:p>
            <w:pPr>
              <w:pStyle w:val="null3"/>
            </w:pPr>
            <w:r>
              <w:rPr/>
              <w:t>≥87%</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显示屏分辨率</w:t>
            </w:r>
          </w:p>
        </w:tc>
        <w:tc>
          <w:tcPr>
            <w:tcW w:type="dxa" w:w="1038"/>
          </w:tcPr>
          <w:p>
            <w:pPr>
              <w:pStyle w:val="null3"/>
            </w:pPr>
            <w:r>
              <w:rPr/>
              <w:t>≥1920x1200</w:t>
            </w:r>
          </w:p>
        </w:tc>
        <w:tc>
          <w:tcPr>
            <w:tcW w:type="dxa" w:w="1038"/>
          </w:tcPr>
          <w:p>
            <w:pPr>
              <w:pStyle w:val="null3"/>
            </w:pPr>
            <w:r>
              <w:rPr/>
              <w:t>否</w:t>
            </w:r>
          </w:p>
        </w:tc>
        <w:tc>
          <w:tcPr>
            <w:tcW w:type="dxa" w:w="1038"/>
          </w:tcPr>
          <w:p/>
        </w:tc>
      </w:tr>
      <w:tr>
        <w:tc>
          <w:tcPr>
            <w:tcW w:type="dxa" w:w="1038"/>
          </w:tcPr>
          <w:p>
            <w:pPr>
              <w:pStyle w:val="null3"/>
            </w:pPr>
            <w:r>
              <w:rPr/>
              <w:t>30</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显示屏像素密度</w:t>
            </w:r>
          </w:p>
        </w:tc>
        <w:tc>
          <w:tcPr>
            <w:tcW w:type="dxa" w:w="1038"/>
          </w:tcPr>
          <w:p>
            <w:pPr>
              <w:pStyle w:val="null3"/>
            </w:pPr>
            <w:r>
              <w:rPr/>
              <w:t>≥150像素/英寸</w:t>
            </w:r>
          </w:p>
        </w:tc>
        <w:tc>
          <w:tcPr>
            <w:tcW w:type="dxa" w:w="1038"/>
          </w:tcPr>
          <w:p>
            <w:pPr>
              <w:pStyle w:val="null3"/>
            </w:pPr>
            <w:r>
              <w:rPr/>
              <w:t>否</w:t>
            </w:r>
          </w:p>
        </w:tc>
        <w:tc>
          <w:tcPr>
            <w:tcW w:type="dxa" w:w="1038"/>
          </w:tcPr>
          <w:p/>
        </w:tc>
      </w:tr>
      <w:tr>
        <w:tc>
          <w:tcPr>
            <w:tcW w:type="dxa" w:w="1038"/>
          </w:tcPr>
          <w:p>
            <w:pPr>
              <w:pStyle w:val="null3"/>
            </w:pPr>
            <w:r>
              <w:rPr/>
              <w:t>31</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显示屏可视角度</w:t>
            </w:r>
          </w:p>
        </w:tc>
        <w:tc>
          <w:tcPr>
            <w:tcW w:type="dxa" w:w="1038"/>
          </w:tcPr>
          <w:p>
            <w:pPr>
              <w:pStyle w:val="null3"/>
            </w:pPr>
            <w:r>
              <w:rPr/>
              <w:t>水平≥170°</w:t>
            </w:r>
          </w:p>
        </w:tc>
        <w:tc>
          <w:tcPr>
            <w:tcW w:type="dxa" w:w="1038"/>
          </w:tcPr>
          <w:p>
            <w:pPr>
              <w:pStyle w:val="null3"/>
            </w:pPr>
            <w:r>
              <w:rPr/>
              <w:t>否</w:t>
            </w:r>
          </w:p>
        </w:tc>
        <w:tc>
          <w:tcPr>
            <w:tcW w:type="dxa" w:w="1038"/>
          </w:tcPr>
          <w:p/>
        </w:tc>
      </w:tr>
      <w:tr>
        <w:tc>
          <w:tcPr>
            <w:tcW w:type="dxa" w:w="1038"/>
          </w:tcPr>
          <w:p>
            <w:pPr>
              <w:pStyle w:val="null3"/>
            </w:pPr>
            <w:r>
              <w:rPr/>
              <w:t>32</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显示屏尺寸</w:t>
            </w:r>
          </w:p>
        </w:tc>
        <w:tc>
          <w:tcPr>
            <w:tcW w:type="dxa" w:w="1038"/>
          </w:tcPr>
          <w:p>
            <w:pPr>
              <w:pStyle w:val="null3"/>
            </w:pPr>
            <w:r>
              <w:rPr/>
              <w:t>≥14英寸</w:t>
            </w:r>
          </w:p>
        </w:tc>
        <w:tc>
          <w:tcPr>
            <w:tcW w:type="dxa" w:w="1038"/>
          </w:tcPr>
          <w:p>
            <w:pPr>
              <w:pStyle w:val="null3"/>
            </w:pPr>
            <w:r>
              <w:rPr/>
              <w:t>否</w:t>
            </w:r>
          </w:p>
        </w:tc>
        <w:tc>
          <w:tcPr>
            <w:tcW w:type="dxa" w:w="1038"/>
          </w:tcPr>
          <w:p/>
        </w:tc>
      </w:tr>
      <w:tr>
        <w:tc>
          <w:tcPr>
            <w:tcW w:type="dxa" w:w="1038"/>
          </w:tcPr>
          <w:p>
            <w:pPr>
              <w:pStyle w:val="null3"/>
            </w:pPr>
            <w:r>
              <w:rPr/>
              <w:t>33</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显示屏屏幕比例</w:t>
            </w:r>
          </w:p>
        </w:tc>
        <w:tc>
          <w:tcPr>
            <w:tcW w:type="dxa" w:w="1038"/>
          </w:tcPr>
          <w:p>
            <w:pPr>
              <w:pStyle w:val="null3"/>
            </w:pPr>
            <w:r>
              <w:rPr/>
              <w:t>16:9或16:10</w:t>
            </w:r>
          </w:p>
        </w:tc>
        <w:tc>
          <w:tcPr>
            <w:tcW w:type="dxa" w:w="1038"/>
          </w:tcPr>
          <w:p>
            <w:pPr>
              <w:pStyle w:val="null3"/>
            </w:pPr>
            <w:r>
              <w:rPr/>
              <w:t>否</w:t>
            </w:r>
          </w:p>
        </w:tc>
        <w:tc>
          <w:tcPr>
            <w:tcW w:type="dxa" w:w="1038"/>
          </w:tcPr>
          <w:p/>
        </w:tc>
      </w:tr>
      <w:tr>
        <w:tc>
          <w:tcPr>
            <w:tcW w:type="dxa" w:w="1038"/>
          </w:tcPr>
          <w:p>
            <w:pPr>
              <w:pStyle w:val="null3"/>
            </w:pPr>
            <w:r>
              <w:rPr/>
              <w:t>34</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显示屏防蓝光</w:t>
            </w:r>
          </w:p>
        </w:tc>
        <w:tc>
          <w:tcPr>
            <w:tcW w:type="dxa" w:w="1038"/>
          </w:tcPr>
          <w:p>
            <w:pPr>
              <w:pStyle w:val="null3"/>
            </w:pPr>
            <w:r>
              <w:rPr/>
              <w:t>支持防蓝光模式，蓝光加权辐射亮度比应≤0.0012W/(·cd·sr)（瓦每坎特拉每球面度）</w:t>
            </w:r>
          </w:p>
        </w:tc>
        <w:tc>
          <w:tcPr>
            <w:tcW w:type="dxa" w:w="1038"/>
          </w:tcPr>
          <w:p>
            <w:pPr>
              <w:pStyle w:val="null3"/>
            </w:pPr>
            <w:r>
              <w:rPr/>
              <w:t>否</w:t>
            </w:r>
          </w:p>
        </w:tc>
        <w:tc>
          <w:tcPr>
            <w:tcW w:type="dxa" w:w="1038"/>
          </w:tcPr>
          <w:p/>
        </w:tc>
      </w:tr>
      <w:tr>
        <w:tc>
          <w:tcPr>
            <w:tcW w:type="dxa" w:w="1038"/>
          </w:tcPr>
          <w:p>
            <w:pPr>
              <w:pStyle w:val="null3"/>
            </w:pPr>
            <w:r>
              <w:rPr/>
              <w:t>35</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显示屏低频闪</w:t>
            </w:r>
          </w:p>
        </w:tc>
        <w:tc>
          <w:tcPr>
            <w:tcW w:type="dxa" w:w="1038"/>
          </w:tcPr>
          <w:p>
            <w:pPr>
              <w:pStyle w:val="null3"/>
            </w:pPr>
            <w:r>
              <w:rPr/>
              <w:t>显示屏应支持低频闪≤-35dB</w:t>
            </w:r>
          </w:p>
        </w:tc>
        <w:tc>
          <w:tcPr>
            <w:tcW w:type="dxa" w:w="1038"/>
          </w:tcPr>
          <w:p>
            <w:pPr>
              <w:pStyle w:val="null3"/>
            </w:pPr>
            <w:r>
              <w:rPr/>
              <w:t>否</w:t>
            </w:r>
          </w:p>
        </w:tc>
        <w:tc>
          <w:tcPr>
            <w:tcW w:type="dxa" w:w="1038"/>
          </w:tcPr>
          <w:p/>
        </w:tc>
      </w:tr>
      <w:tr>
        <w:tc>
          <w:tcPr>
            <w:tcW w:type="dxa" w:w="1038"/>
          </w:tcPr>
          <w:p>
            <w:pPr>
              <w:pStyle w:val="null3"/>
            </w:pPr>
            <w:r>
              <w:rPr/>
              <w:t>36</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显示屏防炫目</w:t>
            </w:r>
          </w:p>
        </w:tc>
        <w:tc>
          <w:tcPr>
            <w:tcW w:type="dxa" w:w="1038"/>
          </w:tcPr>
          <w:p>
            <w:pPr>
              <w:pStyle w:val="null3"/>
            </w:pPr>
            <w:r>
              <w:rPr/>
              <w:t>显示器镜面反射率≤10%</w:t>
            </w:r>
          </w:p>
        </w:tc>
        <w:tc>
          <w:tcPr>
            <w:tcW w:type="dxa" w:w="1038"/>
          </w:tcPr>
          <w:p>
            <w:pPr>
              <w:pStyle w:val="null3"/>
            </w:pPr>
            <w:r>
              <w:rPr/>
              <w:t>否</w:t>
            </w:r>
          </w:p>
        </w:tc>
        <w:tc>
          <w:tcPr>
            <w:tcW w:type="dxa" w:w="1038"/>
          </w:tcPr>
          <w:p/>
        </w:tc>
      </w:tr>
      <w:tr>
        <w:tc>
          <w:tcPr>
            <w:tcW w:type="dxa" w:w="1038"/>
          </w:tcPr>
          <w:p>
            <w:pPr>
              <w:pStyle w:val="null3"/>
            </w:pPr>
            <w:r>
              <w:rPr/>
              <w:t>37</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传声器数量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38</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扬声器数量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39</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40</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41</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触控板数量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42</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摄像头数量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43</w:t>
            </w:r>
          </w:p>
        </w:tc>
        <w:tc>
          <w:tcPr>
            <w:tcW w:type="dxa" w:w="1038"/>
          </w:tcPr>
          <w:p>
            <w:pPr>
              <w:pStyle w:val="null3"/>
            </w:pPr>
            <w:r>
              <w:rPr/>
              <w:t>便携式计算机-产品规格</w:t>
            </w:r>
          </w:p>
        </w:tc>
        <w:tc>
          <w:tcPr>
            <w:tcW w:type="dxa" w:w="1038"/>
          </w:tcPr>
          <w:p/>
        </w:tc>
        <w:tc>
          <w:tcPr>
            <w:tcW w:type="dxa" w:w="1038"/>
          </w:tcPr>
          <w:p>
            <w:pPr>
              <w:pStyle w:val="null3"/>
            </w:pPr>
            <w:r>
              <w:rPr/>
              <w:t>外设规格</w:t>
            </w:r>
          </w:p>
        </w:tc>
        <w:tc>
          <w:tcPr>
            <w:tcW w:type="dxa" w:w="1038"/>
          </w:tcPr>
          <w:p>
            <w:pPr>
              <w:pStyle w:val="null3"/>
            </w:pPr>
            <w:r>
              <w:rPr/>
              <w:t>光驱数量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44</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键盘按键数目</w:t>
            </w:r>
          </w:p>
        </w:tc>
        <w:tc>
          <w:tcPr>
            <w:tcW w:type="dxa" w:w="1038"/>
          </w:tcPr>
          <w:p>
            <w:pPr>
              <w:pStyle w:val="null3"/>
            </w:pPr>
            <w:r>
              <w:rPr/>
              <w:t>≥76键</w:t>
            </w:r>
          </w:p>
        </w:tc>
        <w:tc>
          <w:tcPr>
            <w:tcW w:type="dxa" w:w="1038"/>
          </w:tcPr>
          <w:p>
            <w:pPr>
              <w:pStyle w:val="null3"/>
            </w:pPr>
            <w:r>
              <w:rPr/>
              <w:t>否</w:t>
            </w:r>
          </w:p>
        </w:tc>
        <w:tc>
          <w:tcPr>
            <w:tcW w:type="dxa" w:w="1038"/>
          </w:tcPr>
          <w:p/>
        </w:tc>
      </w:tr>
      <w:tr>
        <w:tc>
          <w:tcPr>
            <w:tcW w:type="dxa" w:w="1038"/>
          </w:tcPr>
          <w:p>
            <w:pPr>
              <w:pStyle w:val="null3"/>
            </w:pPr>
            <w:r>
              <w:rPr/>
              <w:t>45</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摄像头像素</w:t>
            </w:r>
          </w:p>
        </w:tc>
        <w:tc>
          <w:tcPr>
            <w:tcW w:type="dxa" w:w="1038"/>
          </w:tcPr>
          <w:p>
            <w:pPr>
              <w:pStyle w:val="null3"/>
            </w:pPr>
            <w:r>
              <w:rPr/>
              <w:t>≥100万</w:t>
            </w:r>
          </w:p>
        </w:tc>
        <w:tc>
          <w:tcPr>
            <w:tcW w:type="dxa" w:w="1038"/>
          </w:tcPr>
          <w:p>
            <w:pPr>
              <w:pStyle w:val="null3"/>
            </w:pPr>
            <w:r>
              <w:rPr/>
              <w:t>否</w:t>
            </w:r>
          </w:p>
        </w:tc>
        <w:tc>
          <w:tcPr>
            <w:tcW w:type="dxa" w:w="1038"/>
          </w:tcPr>
          <w:p/>
        </w:tc>
      </w:tr>
      <w:tr>
        <w:tc>
          <w:tcPr>
            <w:tcW w:type="dxa" w:w="1038"/>
          </w:tcPr>
          <w:p>
            <w:pPr>
              <w:pStyle w:val="null3"/>
            </w:pPr>
            <w:r>
              <w:rPr/>
              <w:t>46</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摄像头分辨率</w:t>
            </w:r>
          </w:p>
        </w:tc>
        <w:tc>
          <w:tcPr>
            <w:tcW w:type="dxa" w:w="1038"/>
          </w:tcPr>
          <w:p>
            <w:pPr>
              <w:pStyle w:val="null3"/>
            </w:pPr>
            <w:r>
              <w:rPr/>
              <w:t>≥1280x720</w:t>
            </w:r>
          </w:p>
        </w:tc>
        <w:tc>
          <w:tcPr>
            <w:tcW w:type="dxa" w:w="1038"/>
          </w:tcPr>
          <w:p>
            <w:pPr>
              <w:pStyle w:val="null3"/>
            </w:pPr>
            <w:r>
              <w:rPr/>
              <w:t>否</w:t>
            </w:r>
          </w:p>
        </w:tc>
        <w:tc>
          <w:tcPr>
            <w:tcW w:type="dxa" w:w="1038"/>
          </w:tcPr>
          <w:p/>
        </w:tc>
      </w:tr>
      <w:tr>
        <w:tc>
          <w:tcPr>
            <w:tcW w:type="dxa" w:w="1038"/>
          </w:tcPr>
          <w:p>
            <w:pPr>
              <w:pStyle w:val="null3"/>
            </w:pPr>
            <w:r>
              <w:rPr/>
              <w:t>47</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内置扬声器功率</w:t>
            </w:r>
          </w:p>
        </w:tc>
        <w:tc>
          <w:tcPr>
            <w:tcW w:type="dxa" w:w="1038"/>
          </w:tcPr>
          <w:p>
            <w:pPr>
              <w:pStyle w:val="null3"/>
            </w:pPr>
            <w:r>
              <w:rPr/>
              <w:t>≥1瓦/个</w:t>
            </w:r>
          </w:p>
        </w:tc>
        <w:tc>
          <w:tcPr>
            <w:tcW w:type="dxa" w:w="1038"/>
          </w:tcPr>
          <w:p>
            <w:pPr>
              <w:pStyle w:val="null3"/>
            </w:pPr>
            <w:r>
              <w:rPr/>
              <w:t>否</w:t>
            </w:r>
          </w:p>
        </w:tc>
        <w:tc>
          <w:tcPr>
            <w:tcW w:type="dxa" w:w="1038"/>
          </w:tcPr>
          <w:p/>
        </w:tc>
      </w:tr>
      <w:tr>
        <w:tc>
          <w:tcPr>
            <w:tcW w:type="dxa" w:w="1038"/>
          </w:tcPr>
          <w:p>
            <w:pPr>
              <w:pStyle w:val="null3"/>
            </w:pPr>
            <w:r>
              <w:rPr/>
              <w:t>48</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内置扬声器频率范围</w:t>
            </w:r>
          </w:p>
        </w:tc>
        <w:tc>
          <w:tcPr>
            <w:tcW w:type="dxa" w:w="1038"/>
          </w:tcPr>
          <w:p>
            <w:pPr>
              <w:pStyle w:val="null3"/>
            </w:pPr>
            <w:r>
              <w:rPr/>
              <w:t>100Hz-20kHz，其中100Hz-200Hz：35dB 及以上；200Hz-12kHz：55dB及以上，12kHz-18kHz：35dB 及以上</w:t>
            </w:r>
          </w:p>
        </w:tc>
        <w:tc>
          <w:tcPr>
            <w:tcW w:type="dxa" w:w="1038"/>
          </w:tcPr>
          <w:p>
            <w:pPr>
              <w:pStyle w:val="null3"/>
            </w:pPr>
            <w:r>
              <w:rPr/>
              <w:t>否</w:t>
            </w:r>
          </w:p>
        </w:tc>
        <w:tc>
          <w:tcPr>
            <w:tcW w:type="dxa" w:w="1038"/>
          </w:tcPr>
          <w:p/>
        </w:tc>
      </w:tr>
      <w:tr>
        <w:tc>
          <w:tcPr>
            <w:tcW w:type="dxa" w:w="1038"/>
          </w:tcPr>
          <w:p>
            <w:pPr>
              <w:pStyle w:val="null3"/>
            </w:pPr>
            <w:r>
              <w:rPr/>
              <w:t>49</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内置扬声器总谐波失真</w:t>
            </w:r>
          </w:p>
        </w:tc>
        <w:tc>
          <w:tcPr>
            <w:tcW w:type="dxa" w:w="1038"/>
          </w:tcPr>
          <w:p>
            <w:pPr>
              <w:pStyle w:val="null3"/>
            </w:pPr>
            <w:r>
              <w:rPr/>
              <w:t>总谐波失真在300Hz-7kHz频率范围内宜不高于 5%</w:t>
            </w:r>
          </w:p>
        </w:tc>
        <w:tc>
          <w:tcPr>
            <w:tcW w:type="dxa" w:w="1038"/>
          </w:tcPr>
          <w:p>
            <w:pPr>
              <w:pStyle w:val="null3"/>
            </w:pPr>
            <w:r>
              <w:rPr/>
              <w:t>否</w:t>
            </w:r>
          </w:p>
        </w:tc>
        <w:tc>
          <w:tcPr>
            <w:tcW w:type="dxa" w:w="1038"/>
          </w:tcPr>
          <w:p/>
        </w:tc>
      </w:tr>
      <w:tr>
        <w:tc>
          <w:tcPr>
            <w:tcW w:type="dxa" w:w="1038"/>
          </w:tcPr>
          <w:p>
            <w:pPr>
              <w:pStyle w:val="null3"/>
            </w:pPr>
            <w:r>
              <w:rPr/>
              <w:t>50</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内置扬声器最大声压级</w:t>
            </w:r>
          </w:p>
        </w:tc>
        <w:tc>
          <w:tcPr>
            <w:tcW w:type="dxa" w:w="1038"/>
          </w:tcPr>
          <w:p>
            <w:pPr>
              <w:pStyle w:val="null3"/>
            </w:pPr>
            <w:r>
              <w:rPr/>
              <w:t>最大声压级在粉红噪声播放场景下，工作距离处声压级宜不低于70dB</w:t>
            </w:r>
          </w:p>
        </w:tc>
        <w:tc>
          <w:tcPr>
            <w:tcW w:type="dxa" w:w="1038"/>
          </w:tcPr>
          <w:p>
            <w:pPr>
              <w:pStyle w:val="null3"/>
            </w:pPr>
            <w:r>
              <w:rPr/>
              <w:t>否</w:t>
            </w:r>
          </w:p>
        </w:tc>
        <w:tc>
          <w:tcPr>
            <w:tcW w:type="dxa" w:w="1038"/>
          </w:tcPr>
          <w:p/>
        </w:tc>
      </w:tr>
      <w:tr>
        <w:tc>
          <w:tcPr>
            <w:tcW w:type="dxa" w:w="1038"/>
          </w:tcPr>
          <w:p>
            <w:pPr>
              <w:pStyle w:val="null3"/>
            </w:pPr>
            <w:r>
              <w:rPr/>
              <w:t>51</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键盘键程</w:t>
            </w:r>
          </w:p>
        </w:tc>
        <w:tc>
          <w:tcPr>
            <w:tcW w:type="dxa" w:w="1038"/>
          </w:tcPr>
          <w:p>
            <w:pPr>
              <w:pStyle w:val="null3"/>
            </w:pPr>
            <w:r>
              <w:rPr/>
              <w:t>0.9mm～2.3 mm</w:t>
            </w:r>
          </w:p>
        </w:tc>
        <w:tc>
          <w:tcPr>
            <w:tcW w:type="dxa" w:w="1038"/>
          </w:tcPr>
          <w:p>
            <w:pPr>
              <w:pStyle w:val="null3"/>
            </w:pPr>
            <w:r>
              <w:rPr/>
              <w:t>否</w:t>
            </w:r>
          </w:p>
        </w:tc>
        <w:tc>
          <w:tcPr>
            <w:tcW w:type="dxa" w:w="1038"/>
          </w:tcPr>
          <w:p/>
        </w:tc>
      </w:tr>
      <w:tr>
        <w:tc>
          <w:tcPr>
            <w:tcW w:type="dxa" w:w="1038"/>
          </w:tcPr>
          <w:p>
            <w:pPr>
              <w:pStyle w:val="null3"/>
            </w:pPr>
            <w:r>
              <w:rPr/>
              <w:t>52</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键盘按键压力</w:t>
            </w:r>
          </w:p>
        </w:tc>
        <w:tc>
          <w:tcPr>
            <w:tcW w:type="dxa" w:w="1038"/>
          </w:tcPr>
          <w:p>
            <w:pPr>
              <w:pStyle w:val="null3"/>
            </w:pPr>
            <w:r>
              <w:rPr/>
              <w:t>按键压力宜在0.3～0.8N之间</w:t>
            </w:r>
          </w:p>
        </w:tc>
        <w:tc>
          <w:tcPr>
            <w:tcW w:type="dxa" w:w="1038"/>
          </w:tcPr>
          <w:p>
            <w:pPr>
              <w:pStyle w:val="null3"/>
            </w:pPr>
            <w:r>
              <w:rPr/>
              <w:t>否</w:t>
            </w:r>
          </w:p>
        </w:tc>
        <w:tc>
          <w:tcPr>
            <w:tcW w:type="dxa" w:w="1038"/>
          </w:tcPr>
          <w:p/>
        </w:tc>
      </w:tr>
      <w:tr>
        <w:tc>
          <w:tcPr>
            <w:tcW w:type="dxa" w:w="1038"/>
          </w:tcPr>
          <w:p>
            <w:pPr>
              <w:pStyle w:val="null3"/>
            </w:pPr>
            <w:r>
              <w:rPr/>
              <w:t>53</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键盘颜色</w:t>
            </w:r>
          </w:p>
        </w:tc>
        <w:tc>
          <w:tcPr>
            <w:tcW w:type="dxa" w:w="1038"/>
          </w:tcPr>
          <w:p>
            <w:pPr>
              <w:pStyle w:val="null3"/>
            </w:pPr>
            <w:r>
              <w:rPr/>
              <w:t>黑色\灰色\银色等商务金属色系</w:t>
            </w:r>
          </w:p>
        </w:tc>
        <w:tc>
          <w:tcPr>
            <w:tcW w:type="dxa" w:w="1038"/>
          </w:tcPr>
          <w:p>
            <w:pPr>
              <w:pStyle w:val="null3"/>
            </w:pPr>
            <w:r>
              <w:rPr/>
              <w:t>否</w:t>
            </w:r>
          </w:p>
        </w:tc>
        <w:tc>
          <w:tcPr>
            <w:tcW w:type="dxa" w:w="1038"/>
          </w:tcPr>
          <w:p/>
        </w:tc>
      </w:tr>
      <w:tr>
        <w:tc>
          <w:tcPr>
            <w:tcW w:type="dxa" w:w="1038"/>
          </w:tcPr>
          <w:p>
            <w:pPr>
              <w:pStyle w:val="null3"/>
            </w:pPr>
            <w:r>
              <w:rPr/>
              <w:t>54</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鼠标连接方式</w:t>
            </w:r>
          </w:p>
        </w:tc>
        <w:tc>
          <w:tcPr>
            <w:tcW w:type="dxa" w:w="1038"/>
          </w:tcPr>
          <w:p>
            <w:pPr>
              <w:pStyle w:val="null3"/>
            </w:pPr>
            <w:r>
              <w:rPr/>
              <w:t>无线</w:t>
            </w:r>
          </w:p>
        </w:tc>
        <w:tc>
          <w:tcPr>
            <w:tcW w:type="dxa" w:w="1038"/>
          </w:tcPr>
          <w:p>
            <w:pPr>
              <w:pStyle w:val="null3"/>
            </w:pPr>
            <w:r>
              <w:rPr/>
              <w:t>否</w:t>
            </w:r>
          </w:p>
        </w:tc>
        <w:tc>
          <w:tcPr>
            <w:tcW w:type="dxa" w:w="1038"/>
          </w:tcPr>
          <w:p/>
        </w:tc>
      </w:tr>
      <w:tr>
        <w:tc>
          <w:tcPr>
            <w:tcW w:type="dxa" w:w="1038"/>
          </w:tcPr>
          <w:p>
            <w:pPr>
              <w:pStyle w:val="null3"/>
            </w:pPr>
            <w:r>
              <w:rPr/>
              <w:t>55</w:t>
            </w:r>
          </w:p>
        </w:tc>
        <w:tc>
          <w:tcPr>
            <w:tcW w:type="dxa" w:w="1038"/>
          </w:tcPr>
          <w:p>
            <w:pPr>
              <w:pStyle w:val="null3"/>
            </w:pPr>
            <w:r>
              <w:rPr/>
              <w:t>便携式计算机-产品规格</w:t>
            </w:r>
          </w:p>
        </w:tc>
        <w:tc>
          <w:tcPr>
            <w:tcW w:type="dxa" w:w="1038"/>
          </w:tcPr>
          <w:p/>
        </w:tc>
        <w:tc>
          <w:tcPr>
            <w:tcW w:type="dxa" w:w="1038"/>
          </w:tcPr>
          <w:p>
            <w:pPr>
              <w:pStyle w:val="null3"/>
            </w:pPr>
            <w:r>
              <w:rPr/>
              <w:t>外设规格</w:t>
            </w:r>
          </w:p>
        </w:tc>
        <w:tc>
          <w:tcPr>
            <w:tcW w:type="dxa" w:w="1038"/>
          </w:tcPr>
          <w:p>
            <w:pPr>
              <w:pStyle w:val="null3"/>
            </w:pPr>
            <w:r>
              <w:rPr/>
              <w:t>有线鼠标连接线</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56</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鼠标DPI分辨率</w:t>
            </w:r>
          </w:p>
        </w:tc>
        <w:tc>
          <w:tcPr>
            <w:tcW w:type="dxa" w:w="1038"/>
          </w:tcPr>
          <w:p>
            <w:pPr>
              <w:pStyle w:val="null3"/>
            </w:pPr>
            <w:r>
              <w:rPr/>
              <w:t>800～1600</w:t>
            </w:r>
          </w:p>
        </w:tc>
        <w:tc>
          <w:tcPr>
            <w:tcW w:type="dxa" w:w="1038"/>
          </w:tcPr>
          <w:p>
            <w:pPr>
              <w:pStyle w:val="null3"/>
            </w:pPr>
            <w:r>
              <w:rPr/>
              <w:t>否</w:t>
            </w:r>
          </w:p>
        </w:tc>
        <w:tc>
          <w:tcPr>
            <w:tcW w:type="dxa" w:w="1038"/>
          </w:tcPr>
          <w:p/>
        </w:tc>
      </w:tr>
      <w:tr>
        <w:tc>
          <w:tcPr>
            <w:tcW w:type="dxa" w:w="1038"/>
          </w:tcPr>
          <w:p>
            <w:pPr>
              <w:pStyle w:val="null3"/>
            </w:pPr>
            <w:r>
              <w:rPr/>
              <w:t>57</w:t>
            </w:r>
          </w:p>
        </w:tc>
        <w:tc>
          <w:tcPr>
            <w:tcW w:type="dxa" w:w="1038"/>
          </w:tcPr>
          <w:p>
            <w:pPr>
              <w:pStyle w:val="null3"/>
            </w:pPr>
            <w:r>
              <w:rPr/>
              <w:t>便携式计算机-产品规格</w:t>
            </w:r>
          </w:p>
        </w:tc>
        <w:tc>
          <w:tcPr>
            <w:tcW w:type="dxa" w:w="1038"/>
          </w:tcPr>
          <w:p/>
        </w:tc>
        <w:tc>
          <w:tcPr>
            <w:tcW w:type="dxa" w:w="1038"/>
          </w:tcPr>
          <w:p>
            <w:pPr>
              <w:pStyle w:val="null3"/>
            </w:pPr>
            <w:r>
              <w:rPr/>
              <w:t>外设规格</w:t>
            </w:r>
          </w:p>
        </w:tc>
        <w:tc>
          <w:tcPr>
            <w:tcW w:type="dxa" w:w="1038"/>
          </w:tcPr>
          <w:p>
            <w:pPr>
              <w:pStyle w:val="null3"/>
            </w:pPr>
            <w:r>
              <w:rPr/>
              <w:t>鼠标颜色</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58</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鼠标其他要求</w:t>
            </w:r>
          </w:p>
        </w:tc>
        <w:tc>
          <w:tcPr>
            <w:tcW w:type="dxa" w:w="1038"/>
          </w:tcPr>
          <w:p>
            <w:pPr>
              <w:pStyle w:val="null3"/>
            </w:pPr>
            <w:r>
              <w:rPr/>
              <w:t>其它参数应符合GB/T26245的相关规定</w:t>
            </w:r>
          </w:p>
        </w:tc>
        <w:tc>
          <w:tcPr>
            <w:tcW w:type="dxa" w:w="1038"/>
          </w:tcPr>
          <w:p>
            <w:pPr>
              <w:pStyle w:val="null3"/>
            </w:pPr>
            <w:r>
              <w:rPr/>
              <w:t>否</w:t>
            </w:r>
          </w:p>
        </w:tc>
        <w:tc>
          <w:tcPr>
            <w:tcW w:type="dxa" w:w="1038"/>
          </w:tcPr>
          <w:p/>
        </w:tc>
      </w:tr>
      <w:tr>
        <w:tc>
          <w:tcPr>
            <w:tcW w:type="dxa" w:w="1038"/>
          </w:tcPr>
          <w:p>
            <w:pPr>
              <w:pStyle w:val="null3"/>
            </w:pPr>
            <w:r>
              <w:rPr/>
              <w:t>59</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触控板尺寸</w:t>
            </w:r>
          </w:p>
        </w:tc>
        <w:tc>
          <w:tcPr>
            <w:tcW w:type="dxa" w:w="1038"/>
          </w:tcPr>
          <w:p>
            <w:pPr>
              <w:pStyle w:val="null3"/>
            </w:pPr>
            <w:r>
              <w:rPr/>
              <w:t>≥70mm×50mm</w:t>
            </w:r>
          </w:p>
        </w:tc>
        <w:tc>
          <w:tcPr>
            <w:tcW w:type="dxa" w:w="1038"/>
          </w:tcPr>
          <w:p>
            <w:pPr>
              <w:pStyle w:val="null3"/>
            </w:pPr>
            <w:r>
              <w:rPr/>
              <w:t>否</w:t>
            </w:r>
          </w:p>
        </w:tc>
        <w:tc>
          <w:tcPr>
            <w:tcW w:type="dxa" w:w="1038"/>
          </w:tcPr>
          <w:p/>
        </w:tc>
      </w:tr>
      <w:tr>
        <w:tc>
          <w:tcPr>
            <w:tcW w:type="dxa" w:w="1038"/>
          </w:tcPr>
          <w:p>
            <w:pPr>
              <w:pStyle w:val="null3"/>
            </w:pPr>
            <w:r>
              <w:rPr/>
              <w:t>60</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触控板材质</w:t>
            </w:r>
          </w:p>
        </w:tc>
        <w:tc>
          <w:tcPr>
            <w:tcW w:type="dxa" w:w="1038"/>
          </w:tcPr>
          <w:p>
            <w:pPr>
              <w:pStyle w:val="null3"/>
            </w:pPr>
            <w:r>
              <w:rPr/>
              <w:t>采用麦拉片或玻璃等材质</w:t>
            </w:r>
          </w:p>
        </w:tc>
        <w:tc>
          <w:tcPr>
            <w:tcW w:type="dxa" w:w="1038"/>
          </w:tcPr>
          <w:p>
            <w:pPr>
              <w:pStyle w:val="null3"/>
            </w:pPr>
            <w:r>
              <w:rPr/>
              <w:t>否</w:t>
            </w:r>
          </w:p>
        </w:tc>
        <w:tc>
          <w:tcPr>
            <w:tcW w:type="dxa" w:w="1038"/>
          </w:tcPr>
          <w:p/>
        </w:tc>
      </w:tr>
      <w:tr>
        <w:tc>
          <w:tcPr>
            <w:tcW w:type="dxa" w:w="1038"/>
          </w:tcPr>
          <w:p>
            <w:pPr>
              <w:pStyle w:val="null3"/>
            </w:pPr>
            <w:r>
              <w:rPr/>
              <w:t>61</w:t>
            </w:r>
          </w:p>
        </w:tc>
        <w:tc>
          <w:tcPr>
            <w:tcW w:type="dxa" w:w="1038"/>
          </w:tcPr>
          <w:p>
            <w:pPr>
              <w:pStyle w:val="null3"/>
            </w:pPr>
            <w:r>
              <w:rPr/>
              <w:t>便携式计算机-产品规格</w:t>
            </w:r>
          </w:p>
        </w:tc>
        <w:tc>
          <w:tcPr>
            <w:tcW w:type="dxa" w:w="1038"/>
          </w:tcPr>
          <w:p/>
        </w:tc>
        <w:tc>
          <w:tcPr>
            <w:tcW w:type="dxa" w:w="1038"/>
          </w:tcPr>
          <w:p>
            <w:pPr>
              <w:pStyle w:val="null3"/>
            </w:pPr>
            <w:r>
              <w:rPr/>
              <w:t>外设规格</w:t>
            </w:r>
          </w:p>
        </w:tc>
        <w:tc>
          <w:tcPr>
            <w:tcW w:type="dxa" w:w="1038"/>
          </w:tcPr>
          <w:p>
            <w:pPr>
              <w:pStyle w:val="null3"/>
            </w:pPr>
            <w:r>
              <w:rPr/>
              <w:t>光驱规格</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62</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网络设备规格</w:t>
            </w:r>
          </w:p>
        </w:tc>
        <w:tc>
          <w:tcPr>
            <w:tcW w:type="dxa" w:w="1038"/>
          </w:tcPr>
          <w:p>
            <w:pPr>
              <w:pStyle w:val="null3"/>
            </w:pPr>
            <w:r>
              <w:rPr/>
              <w:t>有线网卡数量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63</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网络设备规格</w:t>
            </w:r>
          </w:p>
        </w:tc>
        <w:tc>
          <w:tcPr>
            <w:tcW w:type="dxa" w:w="1038"/>
          </w:tcPr>
          <w:p>
            <w:pPr>
              <w:pStyle w:val="null3"/>
            </w:pPr>
            <w:r>
              <w:rPr/>
              <w:t>无线网卡及天线数量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64</w:t>
            </w:r>
          </w:p>
        </w:tc>
        <w:tc>
          <w:tcPr>
            <w:tcW w:type="dxa" w:w="1038"/>
          </w:tcPr>
          <w:p>
            <w:pPr>
              <w:pStyle w:val="null3"/>
            </w:pPr>
            <w:r>
              <w:rPr/>
              <w:t>便携式计算机-产品规格</w:t>
            </w:r>
          </w:p>
        </w:tc>
        <w:tc>
          <w:tcPr>
            <w:tcW w:type="dxa" w:w="1038"/>
          </w:tcPr>
          <w:p/>
        </w:tc>
        <w:tc>
          <w:tcPr>
            <w:tcW w:type="dxa" w:w="1038"/>
          </w:tcPr>
          <w:p>
            <w:pPr>
              <w:pStyle w:val="null3"/>
            </w:pPr>
            <w:r>
              <w:rPr/>
              <w:t>网络设备规格</w:t>
            </w:r>
          </w:p>
        </w:tc>
        <w:tc>
          <w:tcPr>
            <w:tcW w:type="dxa" w:w="1038"/>
          </w:tcPr>
          <w:p>
            <w:pPr>
              <w:pStyle w:val="null3"/>
            </w:pPr>
            <w:r>
              <w:rPr/>
              <w:t>单无线网卡天线数量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65</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USB接口数量</w:t>
            </w:r>
          </w:p>
        </w:tc>
        <w:tc>
          <w:tcPr>
            <w:tcW w:type="dxa" w:w="1038"/>
          </w:tcPr>
          <w:p>
            <w:pPr>
              <w:pStyle w:val="null3"/>
            </w:pPr>
            <w:r>
              <w:rPr/>
              <w:t>USB接口数量应不少于3个，至少包含1个USB3.0及以上标准接口（可通过提供拓展坞实现）</w:t>
            </w:r>
          </w:p>
        </w:tc>
        <w:tc>
          <w:tcPr>
            <w:tcW w:type="dxa" w:w="1038"/>
          </w:tcPr>
          <w:p>
            <w:pPr>
              <w:pStyle w:val="null3"/>
            </w:pPr>
            <w:r>
              <w:rPr/>
              <w:t>否</w:t>
            </w:r>
          </w:p>
        </w:tc>
        <w:tc>
          <w:tcPr>
            <w:tcW w:type="dxa" w:w="1038"/>
          </w:tcPr>
          <w:p/>
        </w:tc>
      </w:tr>
      <w:tr>
        <w:tc>
          <w:tcPr>
            <w:tcW w:type="dxa" w:w="1038"/>
          </w:tcPr>
          <w:p>
            <w:pPr>
              <w:pStyle w:val="null3"/>
            </w:pPr>
            <w:r>
              <w:rPr/>
              <w:t>66</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视频接口数量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67</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输入充电接口数量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68</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音频接口数量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69</w:t>
            </w:r>
          </w:p>
        </w:tc>
        <w:tc>
          <w:tcPr>
            <w:tcW w:type="dxa" w:w="1038"/>
          </w:tcPr>
          <w:p>
            <w:pPr>
              <w:pStyle w:val="null3"/>
            </w:pPr>
            <w:r>
              <w:rPr/>
              <w:t>便携式计算机-产品规格</w:t>
            </w:r>
          </w:p>
        </w:tc>
        <w:tc>
          <w:tcPr>
            <w:tcW w:type="dxa" w:w="1038"/>
          </w:tcPr>
          <w:p/>
        </w:tc>
        <w:tc>
          <w:tcPr>
            <w:tcW w:type="dxa" w:w="1038"/>
          </w:tcPr>
          <w:p>
            <w:pPr>
              <w:pStyle w:val="null3"/>
            </w:pPr>
            <w:r>
              <w:rPr/>
              <w:t>外部接口规格</w:t>
            </w:r>
          </w:p>
        </w:tc>
        <w:tc>
          <w:tcPr>
            <w:tcW w:type="dxa" w:w="1038"/>
          </w:tcPr>
          <w:p>
            <w:pPr>
              <w:pStyle w:val="null3"/>
            </w:pPr>
            <w:r>
              <w:rPr/>
              <w:t>存储卡接口数量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70</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电池规格</w:t>
            </w:r>
          </w:p>
        </w:tc>
        <w:tc>
          <w:tcPr>
            <w:tcW w:type="dxa" w:w="1038"/>
          </w:tcPr>
          <w:p>
            <w:pPr>
              <w:pStyle w:val="null3"/>
            </w:pPr>
            <w:r>
              <w:rPr/>
              <w:t>电池额定能量</w:t>
            </w:r>
          </w:p>
        </w:tc>
        <w:tc>
          <w:tcPr>
            <w:tcW w:type="dxa" w:w="1038"/>
          </w:tcPr>
          <w:p>
            <w:pPr>
              <w:pStyle w:val="null3"/>
            </w:pPr>
            <w:r>
              <w:rPr/>
              <w:t>≥65Wh</w:t>
            </w:r>
          </w:p>
        </w:tc>
        <w:tc>
          <w:tcPr>
            <w:tcW w:type="dxa" w:w="1038"/>
          </w:tcPr>
          <w:p>
            <w:pPr>
              <w:pStyle w:val="null3"/>
            </w:pPr>
            <w:r>
              <w:rPr/>
              <w:t>否</w:t>
            </w:r>
          </w:p>
        </w:tc>
        <w:tc>
          <w:tcPr>
            <w:tcW w:type="dxa" w:w="1038"/>
          </w:tcPr>
          <w:p/>
        </w:tc>
      </w:tr>
      <w:tr>
        <w:tc>
          <w:tcPr>
            <w:tcW w:type="dxa" w:w="1038"/>
          </w:tcPr>
          <w:p>
            <w:pPr>
              <w:pStyle w:val="null3"/>
            </w:pPr>
            <w:r>
              <w:rPr/>
              <w:t>71</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电池规格</w:t>
            </w:r>
          </w:p>
        </w:tc>
        <w:tc>
          <w:tcPr>
            <w:tcW w:type="dxa" w:w="1038"/>
          </w:tcPr>
          <w:p>
            <w:pPr>
              <w:pStyle w:val="null3"/>
            </w:pPr>
            <w:r>
              <w:rPr/>
              <w:t>电池充放电次数</w:t>
            </w:r>
          </w:p>
        </w:tc>
        <w:tc>
          <w:tcPr>
            <w:tcW w:type="dxa" w:w="1038"/>
          </w:tcPr>
          <w:p>
            <w:pPr>
              <w:pStyle w:val="null3"/>
            </w:pPr>
            <w:r>
              <w:rPr/>
              <w:t>≥500次（常温下500次充放电后电池容量应不低于原始容量的80%）</w:t>
            </w:r>
          </w:p>
        </w:tc>
        <w:tc>
          <w:tcPr>
            <w:tcW w:type="dxa" w:w="1038"/>
          </w:tcPr>
          <w:p>
            <w:pPr>
              <w:pStyle w:val="null3"/>
            </w:pPr>
            <w:r>
              <w:rPr/>
              <w:t>否</w:t>
            </w:r>
          </w:p>
        </w:tc>
        <w:tc>
          <w:tcPr>
            <w:tcW w:type="dxa" w:w="1038"/>
          </w:tcPr>
          <w:p/>
        </w:tc>
      </w:tr>
      <w:tr>
        <w:tc>
          <w:tcPr>
            <w:tcW w:type="dxa" w:w="1038"/>
          </w:tcPr>
          <w:p>
            <w:pPr>
              <w:pStyle w:val="null3"/>
            </w:pPr>
            <w:r>
              <w:rPr/>
              <w:t>72</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电池规格</w:t>
            </w:r>
          </w:p>
        </w:tc>
        <w:tc>
          <w:tcPr>
            <w:tcW w:type="dxa" w:w="1038"/>
          </w:tcPr>
          <w:p>
            <w:pPr>
              <w:pStyle w:val="null3"/>
            </w:pPr>
            <w:r>
              <w:rPr/>
              <w:t>快速充电功能</w:t>
            </w:r>
          </w:p>
        </w:tc>
        <w:tc>
          <w:tcPr>
            <w:tcW w:type="dxa" w:w="1038"/>
          </w:tcPr>
          <w:p>
            <w:pPr>
              <w:pStyle w:val="null3"/>
            </w:pPr>
            <w:r>
              <w:rPr/>
              <w:t>支持快速充电功能</w:t>
            </w:r>
          </w:p>
        </w:tc>
        <w:tc>
          <w:tcPr>
            <w:tcW w:type="dxa" w:w="1038"/>
          </w:tcPr>
          <w:p>
            <w:pPr>
              <w:pStyle w:val="null3"/>
            </w:pPr>
            <w:r>
              <w:rPr/>
              <w:t>否</w:t>
            </w:r>
          </w:p>
        </w:tc>
        <w:tc>
          <w:tcPr>
            <w:tcW w:type="dxa" w:w="1038"/>
          </w:tcPr>
          <w:p/>
        </w:tc>
      </w:tr>
      <w:tr>
        <w:tc>
          <w:tcPr>
            <w:tcW w:type="dxa" w:w="1038"/>
          </w:tcPr>
          <w:p>
            <w:pPr>
              <w:pStyle w:val="null3"/>
            </w:pPr>
            <w:r>
              <w:rPr/>
              <w:t>73</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电池规格</w:t>
            </w:r>
          </w:p>
        </w:tc>
        <w:tc>
          <w:tcPr>
            <w:tcW w:type="dxa" w:w="1038"/>
          </w:tcPr>
          <w:p>
            <w:pPr>
              <w:pStyle w:val="null3"/>
            </w:pPr>
            <w:r>
              <w:rPr/>
              <w:t>电池安全要求</w:t>
            </w:r>
          </w:p>
        </w:tc>
        <w:tc>
          <w:tcPr>
            <w:tcW w:type="dxa" w:w="1038"/>
          </w:tcPr>
          <w:p>
            <w:pPr>
              <w:pStyle w:val="null3"/>
            </w:pPr>
            <w:r>
              <w:rPr/>
              <w:t>符合GB31241的规定</w:t>
            </w:r>
          </w:p>
        </w:tc>
        <w:tc>
          <w:tcPr>
            <w:tcW w:type="dxa" w:w="1038"/>
          </w:tcPr>
          <w:p>
            <w:pPr>
              <w:pStyle w:val="null3"/>
            </w:pPr>
            <w:r>
              <w:rPr/>
              <w:t>否</w:t>
            </w:r>
          </w:p>
        </w:tc>
        <w:tc>
          <w:tcPr>
            <w:tcW w:type="dxa" w:w="1038"/>
          </w:tcPr>
          <w:p/>
        </w:tc>
      </w:tr>
      <w:tr>
        <w:tc>
          <w:tcPr>
            <w:tcW w:type="dxa" w:w="1038"/>
          </w:tcPr>
          <w:p>
            <w:pPr>
              <w:pStyle w:val="null3"/>
            </w:pPr>
            <w:r>
              <w:rPr/>
              <w:t>74</w:t>
            </w:r>
          </w:p>
        </w:tc>
        <w:tc>
          <w:tcPr>
            <w:tcW w:type="dxa" w:w="1038"/>
          </w:tcPr>
          <w:p>
            <w:pPr>
              <w:pStyle w:val="null3"/>
            </w:pPr>
            <w:r>
              <w:rPr/>
              <w:t>便携式计算机-产品规格</w:t>
            </w:r>
          </w:p>
        </w:tc>
        <w:tc>
          <w:tcPr>
            <w:tcW w:type="dxa" w:w="1038"/>
          </w:tcPr>
          <w:p/>
        </w:tc>
        <w:tc>
          <w:tcPr>
            <w:tcW w:type="dxa" w:w="1038"/>
          </w:tcPr>
          <w:p>
            <w:pPr>
              <w:pStyle w:val="null3"/>
            </w:pPr>
            <w:r>
              <w:rPr/>
              <w:t>电池规格</w:t>
            </w:r>
          </w:p>
        </w:tc>
        <w:tc>
          <w:tcPr>
            <w:tcW w:type="dxa" w:w="1038"/>
          </w:tcPr>
          <w:p>
            <w:pPr>
              <w:pStyle w:val="null3"/>
            </w:pPr>
            <w:r>
              <w:rPr/>
              <w:t>电池电芯材质</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75</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整机外观</w:t>
            </w:r>
          </w:p>
        </w:tc>
        <w:tc>
          <w:tcPr>
            <w:tcW w:type="dxa" w:w="1038"/>
          </w:tcPr>
          <w:p>
            <w:pPr>
              <w:pStyle w:val="null3"/>
            </w:pPr>
            <w:r>
              <w:rPr/>
              <w:t>a)产品表面不应有凹痕、划伤、裂缝、变形和污染等。表面涂层均匀，不应起泡、龟裂、脱落和磨损，金属零部件无锈蚀及其它机械损伤； b)产品表面说明功能的文字、符号、标志，应清晰、端正、牢固； c) 宜在产品显著位置提供运行状态指示功能，并由生产厂商提供详细参数</w:t>
            </w:r>
          </w:p>
        </w:tc>
        <w:tc>
          <w:tcPr>
            <w:tcW w:type="dxa" w:w="1038"/>
          </w:tcPr>
          <w:p>
            <w:pPr>
              <w:pStyle w:val="null3"/>
            </w:pPr>
            <w:r>
              <w:rPr/>
              <w:t>否</w:t>
            </w:r>
          </w:p>
        </w:tc>
        <w:tc>
          <w:tcPr>
            <w:tcW w:type="dxa" w:w="1038"/>
          </w:tcPr>
          <w:p/>
        </w:tc>
      </w:tr>
      <w:tr>
        <w:tc>
          <w:tcPr>
            <w:tcW w:type="dxa" w:w="1038"/>
          </w:tcPr>
          <w:p>
            <w:pPr>
              <w:pStyle w:val="null3"/>
            </w:pPr>
            <w:r>
              <w:rPr/>
              <w:t>76</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整机结构</w:t>
            </w:r>
          </w:p>
        </w:tc>
        <w:tc>
          <w:tcPr>
            <w:tcW w:type="dxa" w:w="1038"/>
          </w:tcPr>
          <w:p>
            <w:pPr>
              <w:pStyle w:val="null3"/>
            </w:pPr>
            <w:r>
              <w:rPr/>
              <w:t>a)产品应符合 GB/T 4208 的相关规定； b)产品内部结构应符合通用部件的安装需要； c)所有输入输出接口应符合相关国家或行业标准； d)产品零部件应紧固无松动，可插拔部件应可靠连接，开关、按钮和其它控制部件应灵活可靠，布局应方便使用； e)所有I/O 连接器及需插接线缆的部位应预留用户操作空间，方便插拔解锁与插拔线缆； f)可插拔板卡插槽部位应预留安装、拆卸或更换板卡空间； g)拆装可能接触到的金属剪口或金属尖角部位应做防划伤处理，以保证安全； h)整机内部走线应规整，固线结构和位置要合理可靠并做防割线处 理，需便于理线和插拔操作，走线应不影响系统各主要部件组装和拆卸； i)如需通过孔走线，过线孔应做防割线处理； j)各插头位置和插拔方向应合理，应做到插拔无障碍设计，具备防呆设计，有效避免误操作； k)各主要部件拆装无障碍，使用常规工具拆装，无特殊拆装工具需求； l)各主要部件拆装步骤要少，各自拆装需避免相互干扰； m)对于整机或零部件外表面为高亮面的，应粘贴保护膜，保护膜需粘贴牢固，运输、组装等过程不易脱落，撕下无残留； n)显示屏的开合机械寿命应能承受至少 15000 次的显示屏开合，显示屏机械转轴的扭力应保持初始状态下扭力的 75%以上； o)其它要求应符合 GB/T 9813.2 的相关规定</w:t>
            </w:r>
          </w:p>
        </w:tc>
        <w:tc>
          <w:tcPr>
            <w:tcW w:type="dxa" w:w="1038"/>
          </w:tcPr>
          <w:p>
            <w:pPr>
              <w:pStyle w:val="null3"/>
            </w:pPr>
            <w:r>
              <w:rPr/>
              <w:t>否</w:t>
            </w:r>
          </w:p>
        </w:tc>
        <w:tc>
          <w:tcPr>
            <w:tcW w:type="dxa" w:w="1038"/>
          </w:tcPr>
          <w:p/>
        </w:tc>
      </w:tr>
      <w:tr>
        <w:tc>
          <w:tcPr>
            <w:tcW w:type="dxa" w:w="1038"/>
          </w:tcPr>
          <w:p>
            <w:pPr>
              <w:pStyle w:val="null3"/>
            </w:pPr>
            <w:r>
              <w:rPr/>
              <w:t>77</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整机噪音</w:t>
            </w:r>
          </w:p>
        </w:tc>
        <w:tc>
          <w:tcPr>
            <w:tcW w:type="dxa" w:w="1038"/>
          </w:tcPr>
          <w:p>
            <w:pPr>
              <w:pStyle w:val="null3"/>
            </w:pPr>
            <w:r>
              <w:rPr/>
              <w:t>25摄氏度环温条件；空闲小于等于38dBA；满载小于等于45dBA</w:t>
            </w:r>
          </w:p>
        </w:tc>
        <w:tc>
          <w:tcPr>
            <w:tcW w:type="dxa" w:w="1038"/>
          </w:tcPr>
          <w:p>
            <w:pPr>
              <w:pStyle w:val="null3"/>
            </w:pPr>
            <w:r>
              <w:rPr/>
              <w:t>否</w:t>
            </w:r>
          </w:p>
        </w:tc>
        <w:tc>
          <w:tcPr>
            <w:tcW w:type="dxa" w:w="1038"/>
          </w:tcPr>
          <w:p/>
        </w:tc>
      </w:tr>
      <w:tr>
        <w:tc>
          <w:tcPr>
            <w:tcW w:type="dxa" w:w="1038"/>
          </w:tcPr>
          <w:p>
            <w:pPr>
              <w:pStyle w:val="null3"/>
            </w:pPr>
            <w:r>
              <w:rPr/>
              <w:t>78</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整机散热</w:t>
            </w:r>
          </w:p>
        </w:tc>
        <w:tc>
          <w:tcPr>
            <w:tcW w:type="dxa" w:w="1038"/>
          </w:tcPr>
          <w:p>
            <w:pPr>
              <w:pStyle w:val="null3"/>
            </w:pPr>
            <w:r>
              <w:rPr/>
              <w:t>产品在环境温度25℃且运行在满载的状态下，可触及面温度范围内应不高于45℃，各表面温度应符合以下要求： a)键帽温度不高于38℃； b)键盘间隙温度不高于40℃； c)掌托温度不高于38℃； d)触控板温度不高于38℃； e)底壳温度不高于45℃</w:t>
            </w:r>
          </w:p>
        </w:tc>
        <w:tc>
          <w:tcPr>
            <w:tcW w:type="dxa" w:w="1038"/>
          </w:tcPr>
          <w:p>
            <w:pPr>
              <w:pStyle w:val="null3"/>
            </w:pPr>
            <w:r>
              <w:rPr/>
              <w:t>否</w:t>
            </w:r>
          </w:p>
        </w:tc>
        <w:tc>
          <w:tcPr>
            <w:tcW w:type="dxa" w:w="1038"/>
          </w:tcPr>
          <w:p/>
        </w:tc>
      </w:tr>
      <w:tr>
        <w:tc>
          <w:tcPr>
            <w:tcW w:type="dxa" w:w="1038"/>
          </w:tcPr>
          <w:p>
            <w:pPr>
              <w:pStyle w:val="null3"/>
            </w:pPr>
            <w:r>
              <w:rPr/>
              <w:t>79</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整机能效限定值</w:t>
            </w:r>
          </w:p>
        </w:tc>
        <w:tc>
          <w:tcPr>
            <w:tcW w:type="dxa" w:w="1038"/>
          </w:tcPr>
          <w:p>
            <w:pPr>
              <w:pStyle w:val="null3"/>
            </w:pPr>
            <w:r>
              <w:rPr/>
              <w:t>产品能效限定值应达到GB28380-2012标准中能效等级2级及以上</w:t>
            </w:r>
          </w:p>
        </w:tc>
        <w:tc>
          <w:tcPr>
            <w:tcW w:type="dxa" w:w="1038"/>
          </w:tcPr>
          <w:p>
            <w:pPr>
              <w:pStyle w:val="null3"/>
            </w:pPr>
            <w:r>
              <w:rPr/>
              <w:t>否</w:t>
            </w:r>
          </w:p>
        </w:tc>
        <w:tc>
          <w:tcPr>
            <w:tcW w:type="dxa" w:w="1038"/>
          </w:tcPr>
          <w:p/>
        </w:tc>
      </w:tr>
      <w:tr>
        <w:tc>
          <w:tcPr>
            <w:tcW w:type="dxa" w:w="1038"/>
          </w:tcPr>
          <w:p>
            <w:pPr>
              <w:pStyle w:val="null3"/>
            </w:pPr>
            <w:r>
              <w:rPr/>
              <w:t>80</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整机重量</w:t>
            </w:r>
          </w:p>
        </w:tc>
        <w:tc>
          <w:tcPr>
            <w:tcW w:type="dxa" w:w="1038"/>
          </w:tcPr>
          <w:p>
            <w:pPr>
              <w:pStyle w:val="null3"/>
            </w:pPr>
            <w:r>
              <w:rPr/>
              <w:t>≤1.5kg</w:t>
            </w:r>
          </w:p>
        </w:tc>
        <w:tc>
          <w:tcPr>
            <w:tcW w:type="dxa" w:w="1038"/>
          </w:tcPr>
          <w:p>
            <w:pPr>
              <w:pStyle w:val="null3"/>
            </w:pPr>
            <w:r>
              <w:rPr/>
              <w:t>否</w:t>
            </w:r>
          </w:p>
        </w:tc>
        <w:tc>
          <w:tcPr>
            <w:tcW w:type="dxa" w:w="1038"/>
          </w:tcPr>
          <w:p/>
        </w:tc>
      </w:tr>
      <w:tr>
        <w:tc>
          <w:tcPr>
            <w:tcW w:type="dxa" w:w="1038"/>
          </w:tcPr>
          <w:p>
            <w:pPr>
              <w:pStyle w:val="null3"/>
            </w:pPr>
            <w:r>
              <w:rPr/>
              <w:t>81</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整机厚度</w:t>
            </w:r>
          </w:p>
        </w:tc>
        <w:tc>
          <w:tcPr>
            <w:tcW w:type="dxa" w:w="1038"/>
          </w:tcPr>
          <w:p>
            <w:pPr>
              <w:pStyle w:val="null3"/>
            </w:pPr>
            <w:r>
              <w:rPr/>
              <w:t>≤18mm（不含脚垫）</w:t>
            </w:r>
          </w:p>
        </w:tc>
        <w:tc>
          <w:tcPr>
            <w:tcW w:type="dxa" w:w="1038"/>
          </w:tcPr>
          <w:p>
            <w:pPr>
              <w:pStyle w:val="null3"/>
            </w:pPr>
            <w:r>
              <w:rPr/>
              <w:t>否</w:t>
            </w:r>
          </w:p>
        </w:tc>
        <w:tc>
          <w:tcPr>
            <w:tcW w:type="dxa" w:w="1038"/>
          </w:tcPr>
          <w:p/>
        </w:tc>
      </w:tr>
      <w:tr>
        <w:tc>
          <w:tcPr>
            <w:tcW w:type="dxa" w:w="1038"/>
          </w:tcPr>
          <w:p>
            <w:pPr>
              <w:pStyle w:val="null3"/>
            </w:pPr>
            <w:r>
              <w:rPr/>
              <w:t>82</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机身材质</w:t>
            </w:r>
          </w:p>
        </w:tc>
        <w:tc>
          <w:tcPr>
            <w:tcW w:type="dxa" w:w="1038"/>
          </w:tcPr>
          <w:p>
            <w:pPr>
              <w:pStyle w:val="null3"/>
            </w:pPr>
            <w:r>
              <w:rPr/>
              <w:t>金属</w:t>
            </w:r>
          </w:p>
        </w:tc>
        <w:tc>
          <w:tcPr>
            <w:tcW w:type="dxa" w:w="1038"/>
          </w:tcPr>
          <w:p>
            <w:pPr>
              <w:pStyle w:val="null3"/>
            </w:pPr>
            <w:r>
              <w:rPr/>
              <w:t>否</w:t>
            </w:r>
          </w:p>
        </w:tc>
        <w:tc>
          <w:tcPr>
            <w:tcW w:type="dxa" w:w="1038"/>
          </w:tcPr>
          <w:p/>
        </w:tc>
      </w:tr>
      <w:tr>
        <w:tc>
          <w:tcPr>
            <w:tcW w:type="dxa" w:w="1038"/>
          </w:tcPr>
          <w:p>
            <w:pPr>
              <w:pStyle w:val="null3"/>
            </w:pPr>
            <w:r>
              <w:rPr/>
              <w:t>83</w:t>
            </w:r>
          </w:p>
        </w:tc>
        <w:tc>
          <w:tcPr>
            <w:tcW w:type="dxa" w:w="1038"/>
          </w:tcPr>
          <w:p>
            <w:pPr>
              <w:pStyle w:val="null3"/>
            </w:pPr>
            <w:r>
              <w:rPr/>
              <w:t>便携式计算机-产品规格</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机身颜色</w:t>
            </w:r>
          </w:p>
        </w:tc>
        <w:tc>
          <w:tcPr>
            <w:tcW w:type="dxa" w:w="1038"/>
          </w:tcPr>
          <w:p>
            <w:pPr>
              <w:pStyle w:val="null3"/>
            </w:pPr>
            <w:r>
              <w:rPr/>
              <w:t>黑色\灰色\银色等商务色系</w:t>
            </w:r>
          </w:p>
        </w:tc>
        <w:tc>
          <w:tcPr>
            <w:tcW w:type="dxa" w:w="1038"/>
          </w:tcPr>
          <w:p>
            <w:pPr>
              <w:pStyle w:val="null3"/>
            </w:pPr>
            <w:r>
              <w:rPr/>
              <w:t>否</w:t>
            </w:r>
          </w:p>
        </w:tc>
        <w:tc>
          <w:tcPr>
            <w:tcW w:type="dxa" w:w="1038"/>
          </w:tcPr>
          <w:p/>
        </w:tc>
      </w:tr>
      <w:tr>
        <w:tc>
          <w:tcPr>
            <w:tcW w:type="dxa" w:w="1038"/>
          </w:tcPr>
          <w:p>
            <w:pPr>
              <w:pStyle w:val="null3"/>
            </w:pPr>
            <w:r>
              <w:rPr/>
              <w:t>84</w:t>
            </w:r>
          </w:p>
        </w:tc>
        <w:tc>
          <w:tcPr>
            <w:tcW w:type="dxa" w:w="1038"/>
          </w:tcPr>
          <w:p>
            <w:pPr>
              <w:pStyle w:val="null3"/>
            </w:pPr>
            <w:r>
              <w:rPr/>
              <w:t>便携式计算机-性能要求</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CPU物理核数</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85</w:t>
            </w:r>
          </w:p>
        </w:tc>
        <w:tc>
          <w:tcPr>
            <w:tcW w:type="dxa" w:w="1038"/>
          </w:tcPr>
          <w:p>
            <w:pPr>
              <w:pStyle w:val="null3"/>
            </w:pPr>
            <w:r>
              <w:rPr/>
              <w:t>便携式计算机-性能要求</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CPU主频</w:t>
            </w:r>
          </w:p>
        </w:tc>
        <w:tc>
          <w:tcPr>
            <w:tcW w:type="dxa" w:w="1038"/>
          </w:tcPr>
          <w:p>
            <w:pPr>
              <w:pStyle w:val="null3"/>
            </w:pPr>
            <w:r>
              <w:rPr/>
              <w:t>≥3.5GHz</w:t>
            </w:r>
          </w:p>
        </w:tc>
        <w:tc>
          <w:tcPr>
            <w:tcW w:type="dxa" w:w="1038"/>
          </w:tcPr>
          <w:p>
            <w:pPr>
              <w:pStyle w:val="null3"/>
            </w:pPr>
            <w:r>
              <w:rPr/>
              <w:t>否</w:t>
            </w:r>
          </w:p>
        </w:tc>
        <w:tc>
          <w:tcPr>
            <w:tcW w:type="dxa" w:w="1038"/>
          </w:tcPr>
          <w:p/>
        </w:tc>
      </w:tr>
      <w:tr>
        <w:tc>
          <w:tcPr>
            <w:tcW w:type="dxa" w:w="1038"/>
          </w:tcPr>
          <w:p>
            <w:pPr>
              <w:pStyle w:val="null3"/>
            </w:pPr>
            <w:r>
              <w:rPr/>
              <w:t>86</w:t>
            </w:r>
          </w:p>
        </w:tc>
        <w:tc>
          <w:tcPr>
            <w:tcW w:type="dxa" w:w="1038"/>
          </w:tcPr>
          <w:p>
            <w:pPr>
              <w:pStyle w:val="null3"/>
            </w:pPr>
            <w:r>
              <w:rPr/>
              <w:t>便携式计算机-性能要求</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CPU末级缓存容量</w:t>
            </w:r>
          </w:p>
        </w:tc>
        <w:tc>
          <w:tcPr>
            <w:tcW w:type="dxa" w:w="1038"/>
          </w:tcPr>
          <w:p>
            <w:pPr>
              <w:pStyle w:val="null3"/>
            </w:pPr>
            <w:r>
              <w:rPr/>
              <w:t>≥32MB</w:t>
            </w:r>
          </w:p>
        </w:tc>
        <w:tc>
          <w:tcPr>
            <w:tcW w:type="dxa" w:w="1038"/>
          </w:tcPr>
          <w:p>
            <w:pPr>
              <w:pStyle w:val="null3"/>
            </w:pPr>
            <w:r>
              <w:rPr/>
              <w:t>否</w:t>
            </w:r>
          </w:p>
        </w:tc>
        <w:tc>
          <w:tcPr>
            <w:tcW w:type="dxa" w:w="1038"/>
          </w:tcPr>
          <w:p/>
        </w:tc>
      </w:tr>
      <w:tr>
        <w:tc>
          <w:tcPr>
            <w:tcW w:type="dxa" w:w="1038"/>
          </w:tcPr>
          <w:p>
            <w:pPr>
              <w:pStyle w:val="null3"/>
            </w:pPr>
            <w:r>
              <w:rPr/>
              <w:t>87</w:t>
            </w:r>
          </w:p>
        </w:tc>
        <w:tc>
          <w:tcPr>
            <w:tcW w:type="dxa" w:w="1038"/>
          </w:tcPr>
          <w:p>
            <w:pPr>
              <w:pStyle w:val="null3"/>
            </w:pPr>
            <w:r>
              <w:rPr/>
              <w:t>便携式计算机-性能要求</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CPU支持的内存最高速率</w:t>
            </w:r>
          </w:p>
        </w:tc>
        <w:tc>
          <w:tcPr>
            <w:tcW w:type="dxa" w:w="1038"/>
          </w:tcPr>
          <w:p>
            <w:pPr>
              <w:pStyle w:val="null3"/>
            </w:pPr>
            <w:r>
              <w:rPr/>
              <w:t>≥4800MT/s</w:t>
            </w:r>
          </w:p>
        </w:tc>
        <w:tc>
          <w:tcPr>
            <w:tcW w:type="dxa" w:w="1038"/>
          </w:tcPr>
          <w:p>
            <w:pPr>
              <w:pStyle w:val="null3"/>
            </w:pPr>
            <w:r>
              <w:rPr/>
              <w:t>否</w:t>
            </w:r>
          </w:p>
        </w:tc>
        <w:tc>
          <w:tcPr>
            <w:tcW w:type="dxa" w:w="1038"/>
          </w:tcPr>
          <w:p/>
        </w:tc>
      </w:tr>
      <w:tr>
        <w:tc>
          <w:tcPr>
            <w:tcW w:type="dxa" w:w="1038"/>
          </w:tcPr>
          <w:p>
            <w:pPr>
              <w:pStyle w:val="null3"/>
            </w:pPr>
            <w:r>
              <w:rPr/>
              <w:t>88</w:t>
            </w:r>
          </w:p>
        </w:tc>
        <w:tc>
          <w:tcPr>
            <w:tcW w:type="dxa" w:w="1038"/>
          </w:tcPr>
          <w:p>
            <w:pPr>
              <w:pStyle w:val="null3"/>
            </w:pPr>
            <w:r>
              <w:rPr/>
              <w:t>便携式计算机-性能要求</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内存读写速率</w:t>
            </w:r>
          </w:p>
        </w:tc>
        <w:tc>
          <w:tcPr>
            <w:tcW w:type="dxa" w:w="1038"/>
          </w:tcPr>
          <w:p>
            <w:pPr>
              <w:pStyle w:val="null3"/>
            </w:pPr>
            <w:r>
              <w:rPr/>
              <w:t>≥4800MT/s</w:t>
            </w:r>
          </w:p>
        </w:tc>
        <w:tc>
          <w:tcPr>
            <w:tcW w:type="dxa" w:w="1038"/>
          </w:tcPr>
          <w:p>
            <w:pPr>
              <w:pStyle w:val="null3"/>
            </w:pPr>
            <w:r>
              <w:rPr/>
              <w:t>否</w:t>
            </w:r>
          </w:p>
        </w:tc>
        <w:tc>
          <w:tcPr>
            <w:tcW w:type="dxa" w:w="1038"/>
          </w:tcPr>
          <w:p/>
        </w:tc>
      </w:tr>
      <w:tr>
        <w:tc>
          <w:tcPr>
            <w:tcW w:type="dxa" w:w="1038"/>
          </w:tcPr>
          <w:p>
            <w:pPr>
              <w:pStyle w:val="null3"/>
            </w:pPr>
            <w:r>
              <w:rPr/>
              <w:t>89</w:t>
            </w:r>
          </w:p>
        </w:tc>
        <w:tc>
          <w:tcPr>
            <w:tcW w:type="dxa" w:w="1038"/>
          </w:tcPr>
          <w:p>
            <w:pPr>
              <w:pStyle w:val="null3"/>
            </w:pPr>
            <w:r>
              <w:rPr/>
              <w:t>便携式计算机-性能要求</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显示分辨率</w:t>
            </w:r>
          </w:p>
        </w:tc>
        <w:tc>
          <w:tcPr>
            <w:tcW w:type="dxa" w:w="1038"/>
          </w:tcPr>
          <w:p>
            <w:pPr>
              <w:pStyle w:val="null3"/>
            </w:pPr>
            <w:r>
              <w:rPr/>
              <w:t>≥1920*1200</w:t>
            </w:r>
          </w:p>
        </w:tc>
        <w:tc>
          <w:tcPr>
            <w:tcW w:type="dxa" w:w="1038"/>
          </w:tcPr>
          <w:p>
            <w:pPr>
              <w:pStyle w:val="null3"/>
            </w:pPr>
            <w:r>
              <w:rPr/>
              <w:t>否</w:t>
            </w:r>
          </w:p>
        </w:tc>
        <w:tc>
          <w:tcPr>
            <w:tcW w:type="dxa" w:w="1038"/>
          </w:tcPr>
          <w:p/>
        </w:tc>
      </w:tr>
      <w:tr>
        <w:tc>
          <w:tcPr>
            <w:tcW w:type="dxa" w:w="1038"/>
          </w:tcPr>
          <w:p>
            <w:pPr>
              <w:pStyle w:val="null3"/>
            </w:pPr>
            <w:r>
              <w:rPr/>
              <w:t>90</w:t>
            </w:r>
          </w:p>
        </w:tc>
        <w:tc>
          <w:tcPr>
            <w:tcW w:type="dxa" w:w="1038"/>
          </w:tcPr>
          <w:p>
            <w:pPr>
              <w:pStyle w:val="null3"/>
            </w:pPr>
            <w:r>
              <w:rPr/>
              <w:t>便携式计算机-性能要求</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显卡显示芯片核心频率</w:t>
            </w:r>
          </w:p>
        </w:tc>
        <w:tc>
          <w:tcPr>
            <w:tcW w:type="dxa" w:w="1038"/>
          </w:tcPr>
          <w:p>
            <w:pPr>
              <w:pStyle w:val="null3"/>
            </w:pPr>
            <w:r>
              <w:rPr/>
              <w:t>≥300MHz</w:t>
            </w:r>
          </w:p>
        </w:tc>
        <w:tc>
          <w:tcPr>
            <w:tcW w:type="dxa" w:w="1038"/>
          </w:tcPr>
          <w:p>
            <w:pPr>
              <w:pStyle w:val="null3"/>
            </w:pPr>
            <w:r>
              <w:rPr/>
              <w:t>否</w:t>
            </w:r>
          </w:p>
        </w:tc>
        <w:tc>
          <w:tcPr>
            <w:tcW w:type="dxa" w:w="1038"/>
          </w:tcPr>
          <w:p/>
        </w:tc>
      </w:tr>
      <w:tr>
        <w:tc>
          <w:tcPr>
            <w:tcW w:type="dxa" w:w="1038"/>
          </w:tcPr>
          <w:p>
            <w:pPr>
              <w:pStyle w:val="null3"/>
            </w:pPr>
            <w:r>
              <w:rPr/>
              <w:t>91</w:t>
            </w:r>
          </w:p>
        </w:tc>
        <w:tc>
          <w:tcPr>
            <w:tcW w:type="dxa" w:w="1038"/>
          </w:tcPr>
          <w:p>
            <w:pPr>
              <w:pStyle w:val="null3"/>
            </w:pPr>
            <w:r>
              <w:rPr/>
              <w:t>便携式计算机-性能要求</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显存等效频率</w:t>
            </w:r>
          </w:p>
        </w:tc>
        <w:tc>
          <w:tcPr>
            <w:tcW w:type="dxa" w:w="1038"/>
          </w:tcPr>
          <w:p>
            <w:pPr>
              <w:pStyle w:val="null3"/>
            </w:pPr>
            <w:r>
              <w:rPr/>
              <w:t>≥1000MT/s</w:t>
            </w:r>
          </w:p>
        </w:tc>
        <w:tc>
          <w:tcPr>
            <w:tcW w:type="dxa" w:w="1038"/>
          </w:tcPr>
          <w:p>
            <w:pPr>
              <w:pStyle w:val="null3"/>
            </w:pPr>
            <w:r>
              <w:rPr/>
              <w:t>否</w:t>
            </w:r>
          </w:p>
        </w:tc>
        <w:tc>
          <w:tcPr>
            <w:tcW w:type="dxa" w:w="1038"/>
          </w:tcPr>
          <w:p/>
        </w:tc>
      </w:tr>
      <w:tr>
        <w:tc>
          <w:tcPr>
            <w:tcW w:type="dxa" w:w="1038"/>
          </w:tcPr>
          <w:p>
            <w:pPr>
              <w:pStyle w:val="null3"/>
            </w:pPr>
            <w:r>
              <w:rPr/>
              <w:t>92</w:t>
            </w:r>
          </w:p>
        </w:tc>
        <w:tc>
          <w:tcPr>
            <w:tcW w:type="dxa" w:w="1038"/>
          </w:tcPr>
          <w:p>
            <w:pPr>
              <w:pStyle w:val="null3"/>
            </w:pPr>
            <w:r>
              <w:rPr/>
              <w:t>便携式计算机-性能要求</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显卡可支持多屏同时显示数量</w:t>
            </w:r>
          </w:p>
        </w:tc>
        <w:tc>
          <w:tcPr>
            <w:tcW w:type="dxa" w:w="1038"/>
          </w:tcPr>
          <w:p>
            <w:pPr>
              <w:pStyle w:val="null3"/>
            </w:pPr>
            <w:r>
              <w:rPr/>
              <w:t>显卡应至少支持2块屏幕同时显示，分辨率应不低于1920×1080</w:t>
            </w:r>
          </w:p>
        </w:tc>
        <w:tc>
          <w:tcPr>
            <w:tcW w:type="dxa" w:w="1038"/>
          </w:tcPr>
          <w:p>
            <w:pPr>
              <w:pStyle w:val="null3"/>
            </w:pPr>
            <w:r>
              <w:rPr/>
              <w:t>否</w:t>
            </w:r>
          </w:p>
        </w:tc>
        <w:tc>
          <w:tcPr>
            <w:tcW w:type="dxa" w:w="1038"/>
          </w:tcPr>
          <w:p/>
        </w:tc>
      </w:tr>
      <w:tr>
        <w:tc>
          <w:tcPr>
            <w:tcW w:type="dxa" w:w="1038"/>
          </w:tcPr>
          <w:p>
            <w:pPr>
              <w:pStyle w:val="null3"/>
            </w:pPr>
            <w:r>
              <w:rPr/>
              <w:t>93</w:t>
            </w:r>
          </w:p>
        </w:tc>
        <w:tc>
          <w:tcPr>
            <w:tcW w:type="dxa" w:w="1038"/>
          </w:tcPr>
          <w:p>
            <w:pPr>
              <w:pStyle w:val="null3"/>
            </w:pPr>
            <w:r>
              <w:rPr/>
              <w:t>便携式计算机-性能要求</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显示屏刷新率</w:t>
            </w:r>
          </w:p>
        </w:tc>
        <w:tc>
          <w:tcPr>
            <w:tcW w:type="dxa" w:w="1038"/>
          </w:tcPr>
          <w:p>
            <w:pPr>
              <w:pStyle w:val="null3"/>
            </w:pPr>
            <w:r>
              <w:rPr/>
              <w:t>≥60Hz</w:t>
            </w:r>
          </w:p>
        </w:tc>
        <w:tc>
          <w:tcPr>
            <w:tcW w:type="dxa" w:w="1038"/>
          </w:tcPr>
          <w:p>
            <w:pPr>
              <w:pStyle w:val="null3"/>
            </w:pPr>
            <w:r>
              <w:rPr/>
              <w:t>否</w:t>
            </w:r>
          </w:p>
        </w:tc>
        <w:tc>
          <w:tcPr>
            <w:tcW w:type="dxa" w:w="1038"/>
          </w:tcPr>
          <w:p/>
        </w:tc>
      </w:tr>
      <w:tr>
        <w:tc>
          <w:tcPr>
            <w:tcW w:type="dxa" w:w="1038"/>
          </w:tcPr>
          <w:p>
            <w:pPr>
              <w:pStyle w:val="null3"/>
            </w:pPr>
            <w:r>
              <w:rPr/>
              <w:t>94</w:t>
            </w:r>
          </w:p>
        </w:tc>
        <w:tc>
          <w:tcPr>
            <w:tcW w:type="dxa" w:w="1038"/>
          </w:tcPr>
          <w:p>
            <w:pPr>
              <w:pStyle w:val="null3"/>
            </w:pPr>
            <w:r>
              <w:rPr/>
              <w:t>便携式计算机-性能要求</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显示屏位深</w:t>
            </w:r>
          </w:p>
        </w:tc>
        <w:tc>
          <w:tcPr>
            <w:tcW w:type="dxa" w:w="1038"/>
          </w:tcPr>
          <w:p>
            <w:pPr>
              <w:pStyle w:val="null3"/>
            </w:pPr>
            <w:r>
              <w:rPr/>
              <w:t>≥8位</w:t>
            </w:r>
          </w:p>
        </w:tc>
        <w:tc>
          <w:tcPr>
            <w:tcW w:type="dxa" w:w="1038"/>
          </w:tcPr>
          <w:p>
            <w:pPr>
              <w:pStyle w:val="null3"/>
            </w:pPr>
            <w:r>
              <w:rPr/>
              <w:t>否</w:t>
            </w:r>
          </w:p>
        </w:tc>
        <w:tc>
          <w:tcPr>
            <w:tcW w:type="dxa" w:w="1038"/>
          </w:tcPr>
          <w:p/>
        </w:tc>
      </w:tr>
      <w:tr>
        <w:tc>
          <w:tcPr>
            <w:tcW w:type="dxa" w:w="1038"/>
          </w:tcPr>
          <w:p>
            <w:pPr>
              <w:pStyle w:val="null3"/>
            </w:pPr>
            <w:r>
              <w:rPr/>
              <w:t>95</w:t>
            </w:r>
          </w:p>
        </w:tc>
        <w:tc>
          <w:tcPr>
            <w:tcW w:type="dxa" w:w="1038"/>
          </w:tcPr>
          <w:p>
            <w:pPr>
              <w:pStyle w:val="null3"/>
            </w:pPr>
            <w:r>
              <w:rPr/>
              <w:t>便携式计算机-性能要求</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显示屏色域</w:t>
            </w:r>
          </w:p>
        </w:tc>
        <w:tc>
          <w:tcPr>
            <w:tcW w:type="dxa" w:w="1038"/>
          </w:tcPr>
          <w:p>
            <w:pPr>
              <w:pStyle w:val="null3"/>
            </w:pPr>
            <w:r>
              <w:rPr/>
              <w:t>≥100%sRGB</w:t>
            </w:r>
          </w:p>
        </w:tc>
        <w:tc>
          <w:tcPr>
            <w:tcW w:type="dxa" w:w="1038"/>
          </w:tcPr>
          <w:p>
            <w:pPr>
              <w:pStyle w:val="null3"/>
            </w:pPr>
            <w:r>
              <w:rPr/>
              <w:t>否</w:t>
            </w:r>
          </w:p>
        </w:tc>
        <w:tc>
          <w:tcPr>
            <w:tcW w:type="dxa" w:w="1038"/>
          </w:tcPr>
          <w:p/>
        </w:tc>
      </w:tr>
      <w:tr>
        <w:tc>
          <w:tcPr>
            <w:tcW w:type="dxa" w:w="1038"/>
          </w:tcPr>
          <w:p>
            <w:pPr>
              <w:pStyle w:val="null3"/>
            </w:pPr>
            <w:r>
              <w:rPr/>
              <w:t>96</w:t>
            </w:r>
          </w:p>
        </w:tc>
        <w:tc>
          <w:tcPr>
            <w:tcW w:type="dxa" w:w="1038"/>
          </w:tcPr>
          <w:p>
            <w:pPr>
              <w:pStyle w:val="null3"/>
            </w:pPr>
            <w:r>
              <w:rPr/>
              <w:t>便携式计算机-性能要求</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显示屏色准</w:t>
            </w:r>
          </w:p>
        </w:tc>
        <w:tc>
          <w:tcPr>
            <w:tcW w:type="dxa" w:w="1038"/>
          </w:tcPr>
          <w:p>
            <w:pPr>
              <w:pStyle w:val="null3"/>
            </w:pPr>
            <w:r>
              <w:rPr/>
              <w:t>△E≤4</w:t>
            </w:r>
          </w:p>
        </w:tc>
        <w:tc>
          <w:tcPr>
            <w:tcW w:type="dxa" w:w="1038"/>
          </w:tcPr>
          <w:p>
            <w:pPr>
              <w:pStyle w:val="null3"/>
            </w:pPr>
            <w:r>
              <w:rPr/>
              <w:t>否</w:t>
            </w:r>
          </w:p>
        </w:tc>
        <w:tc>
          <w:tcPr>
            <w:tcW w:type="dxa" w:w="1038"/>
          </w:tcPr>
          <w:p/>
        </w:tc>
      </w:tr>
      <w:tr>
        <w:tc>
          <w:tcPr>
            <w:tcW w:type="dxa" w:w="1038"/>
          </w:tcPr>
          <w:p>
            <w:pPr>
              <w:pStyle w:val="null3"/>
            </w:pPr>
            <w:r>
              <w:rPr/>
              <w:t>97</w:t>
            </w:r>
          </w:p>
        </w:tc>
        <w:tc>
          <w:tcPr>
            <w:tcW w:type="dxa" w:w="1038"/>
          </w:tcPr>
          <w:p>
            <w:pPr>
              <w:pStyle w:val="null3"/>
            </w:pPr>
            <w:r>
              <w:rPr/>
              <w:t>便携式计算机-性能要求</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显示屏响应时间</w:t>
            </w:r>
          </w:p>
        </w:tc>
        <w:tc>
          <w:tcPr>
            <w:tcW w:type="dxa" w:w="1038"/>
          </w:tcPr>
          <w:p>
            <w:pPr>
              <w:pStyle w:val="null3"/>
            </w:pPr>
            <w:r>
              <w:rPr/>
              <w:t>≤30ms</w:t>
            </w:r>
          </w:p>
        </w:tc>
        <w:tc>
          <w:tcPr>
            <w:tcW w:type="dxa" w:w="1038"/>
          </w:tcPr>
          <w:p>
            <w:pPr>
              <w:pStyle w:val="null3"/>
            </w:pPr>
            <w:r>
              <w:rPr/>
              <w:t>否</w:t>
            </w:r>
          </w:p>
        </w:tc>
        <w:tc>
          <w:tcPr>
            <w:tcW w:type="dxa" w:w="1038"/>
          </w:tcPr>
          <w:p/>
        </w:tc>
      </w:tr>
      <w:tr>
        <w:tc>
          <w:tcPr>
            <w:tcW w:type="dxa" w:w="1038"/>
          </w:tcPr>
          <w:p>
            <w:pPr>
              <w:pStyle w:val="null3"/>
            </w:pPr>
            <w:r>
              <w:rPr/>
              <w:t>98</w:t>
            </w:r>
          </w:p>
        </w:tc>
        <w:tc>
          <w:tcPr>
            <w:tcW w:type="dxa" w:w="1038"/>
          </w:tcPr>
          <w:p>
            <w:pPr>
              <w:pStyle w:val="null3"/>
            </w:pPr>
            <w:r>
              <w:rPr/>
              <w:t>便携式计算机-性能要求</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显示屏亮度</w:t>
            </w:r>
          </w:p>
        </w:tc>
        <w:tc>
          <w:tcPr>
            <w:tcW w:type="dxa" w:w="1038"/>
          </w:tcPr>
          <w:p>
            <w:pPr>
              <w:pStyle w:val="null3"/>
            </w:pPr>
            <w:r>
              <w:rPr/>
              <w:t>≥300尼特</w:t>
            </w:r>
          </w:p>
        </w:tc>
        <w:tc>
          <w:tcPr>
            <w:tcW w:type="dxa" w:w="1038"/>
          </w:tcPr>
          <w:p>
            <w:pPr>
              <w:pStyle w:val="null3"/>
            </w:pPr>
            <w:r>
              <w:rPr/>
              <w:t>否</w:t>
            </w:r>
          </w:p>
        </w:tc>
        <w:tc>
          <w:tcPr>
            <w:tcW w:type="dxa" w:w="1038"/>
          </w:tcPr>
          <w:p/>
        </w:tc>
      </w:tr>
      <w:tr>
        <w:tc>
          <w:tcPr>
            <w:tcW w:type="dxa" w:w="1038"/>
          </w:tcPr>
          <w:p>
            <w:pPr>
              <w:pStyle w:val="null3"/>
            </w:pPr>
            <w:r>
              <w:rPr/>
              <w:t>99</w:t>
            </w:r>
          </w:p>
        </w:tc>
        <w:tc>
          <w:tcPr>
            <w:tcW w:type="dxa" w:w="1038"/>
          </w:tcPr>
          <w:p>
            <w:pPr>
              <w:pStyle w:val="null3"/>
            </w:pPr>
            <w:r>
              <w:rPr/>
              <w:t>便携式计算机-性能要求</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显示屏亮度一致性</w:t>
            </w:r>
          </w:p>
        </w:tc>
        <w:tc>
          <w:tcPr>
            <w:tcW w:type="dxa" w:w="1038"/>
          </w:tcPr>
          <w:p>
            <w:pPr>
              <w:pStyle w:val="null3"/>
            </w:pPr>
            <w:r>
              <w:rPr/>
              <w:t>≥70%</w:t>
            </w:r>
          </w:p>
        </w:tc>
        <w:tc>
          <w:tcPr>
            <w:tcW w:type="dxa" w:w="1038"/>
          </w:tcPr>
          <w:p>
            <w:pPr>
              <w:pStyle w:val="null3"/>
            </w:pPr>
            <w:r>
              <w:rPr/>
              <w:t>否</w:t>
            </w:r>
          </w:p>
        </w:tc>
        <w:tc>
          <w:tcPr>
            <w:tcW w:type="dxa" w:w="1038"/>
          </w:tcPr>
          <w:p/>
        </w:tc>
      </w:tr>
      <w:tr>
        <w:tc>
          <w:tcPr>
            <w:tcW w:type="dxa" w:w="1038"/>
          </w:tcPr>
          <w:p>
            <w:pPr>
              <w:pStyle w:val="null3"/>
            </w:pPr>
            <w:r>
              <w:rPr/>
              <w:t>100</w:t>
            </w:r>
          </w:p>
        </w:tc>
        <w:tc>
          <w:tcPr>
            <w:tcW w:type="dxa" w:w="1038"/>
          </w:tcPr>
          <w:p>
            <w:pPr>
              <w:pStyle w:val="null3"/>
            </w:pPr>
            <w:r>
              <w:rPr/>
              <w:t>便携式计算机-性能要求</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显示屏对比度</w:t>
            </w:r>
          </w:p>
        </w:tc>
        <w:tc>
          <w:tcPr>
            <w:tcW w:type="dxa" w:w="1038"/>
          </w:tcPr>
          <w:p>
            <w:pPr>
              <w:pStyle w:val="null3"/>
            </w:pPr>
            <w:r>
              <w:rPr/>
              <w:t>≥500：1</w:t>
            </w:r>
          </w:p>
        </w:tc>
        <w:tc>
          <w:tcPr>
            <w:tcW w:type="dxa" w:w="1038"/>
          </w:tcPr>
          <w:p>
            <w:pPr>
              <w:pStyle w:val="null3"/>
            </w:pPr>
            <w:r>
              <w:rPr/>
              <w:t>否</w:t>
            </w:r>
          </w:p>
        </w:tc>
        <w:tc>
          <w:tcPr>
            <w:tcW w:type="dxa" w:w="1038"/>
          </w:tcPr>
          <w:p/>
        </w:tc>
      </w:tr>
      <w:tr>
        <w:tc>
          <w:tcPr>
            <w:tcW w:type="dxa" w:w="1038"/>
          </w:tcPr>
          <w:p>
            <w:pPr>
              <w:pStyle w:val="null3"/>
            </w:pPr>
            <w:r>
              <w:rPr/>
              <w:t>101</w:t>
            </w:r>
          </w:p>
        </w:tc>
        <w:tc>
          <w:tcPr>
            <w:tcW w:type="dxa" w:w="1038"/>
          </w:tcPr>
          <w:p>
            <w:pPr>
              <w:pStyle w:val="null3"/>
            </w:pPr>
            <w:r>
              <w:rPr/>
              <w:t>便携式计算机-性能要求</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显示屏其他参数</w:t>
            </w:r>
          </w:p>
        </w:tc>
        <w:tc>
          <w:tcPr>
            <w:tcW w:type="dxa" w:w="1038"/>
          </w:tcPr>
          <w:p>
            <w:pPr>
              <w:pStyle w:val="null3"/>
            </w:pPr>
            <w:r>
              <w:rPr/>
              <w:t>其它参数应符合SJ/T11292的相关规定</w:t>
            </w:r>
          </w:p>
        </w:tc>
        <w:tc>
          <w:tcPr>
            <w:tcW w:type="dxa" w:w="1038"/>
          </w:tcPr>
          <w:p>
            <w:pPr>
              <w:pStyle w:val="null3"/>
            </w:pPr>
            <w:r>
              <w:rPr/>
              <w:t>否</w:t>
            </w:r>
          </w:p>
        </w:tc>
        <w:tc>
          <w:tcPr>
            <w:tcW w:type="dxa" w:w="1038"/>
          </w:tcPr>
          <w:p/>
        </w:tc>
      </w:tr>
      <w:tr>
        <w:tc>
          <w:tcPr>
            <w:tcW w:type="dxa" w:w="1038"/>
          </w:tcPr>
          <w:p>
            <w:pPr>
              <w:pStyle w:val="null3"/>
            </w:pPr>
            <w:r>
              <w:rPr/>
              <w:t>102</w:t>
            </w:r>
          </w:p>
        </w:tc>
        <w:tc>
          <w:tcPr>
            <w:tcW w:type="dxa" w:w="1038"/>
          </w:tcPr>
          <w:p>
            <w:pPr>
              <w:pStyle w:val="null3"/>
            </w:pPr>
            <w:r>
              <w:rPr/>
              <w:t>便携式计算机-性能要求</w:t>
            </w:r>
          </w:p>
        </w:tc>
        <w:tc>
          <w:tcPr>
            <w:tcW w:type="dxa" w:w="1038"/>
          </w:tcPr>
          <w:p>
            <w:pPr>
              <w:pStyle w:val="null3"/>
            </w:pPr>
            <w:r>
              <w:rPr/>
              <w:t>★</w:t>
            </w:r>
          </w:p>
        </w:tc>
        <w:tc>
          <w:tcPr>
            <w:tcW w:type="dxa" w:w="1038"/>
          </w:tcPr>
          <w:p>
            <w:pPr>
              <w:pStyle w:val="null3"/>
            </w:pPr>
            <w:r>
              <w:rPr/>
              <w:t>网络设备性能</w:t>
            </w:r>
          </w:p>
        </w:tc>
        <w:tc>
          <w:tcPr>
            <w:tcW w:type="dxa" w:w="1038"/>
          </w:tcPr>
          <w:p>
            <w:pPr>
              <w:pStyle w:val="null3"/>
            </w:pPr>
            <w:r>
              <w:rPr/>
              <w:t>有线网卡速率</w:t>
            </w:r>
          </w:p>
        </w:tc>
        <w:tc>
          <w:tcPr>
            <w:tcW w:type="dxa" w:w="1038"/>
          </w:tcPr>
          <w:p>
            <w:pPr>
              <w:pStyle w:val="null3"/>
            </w:pPr>
            <w:r>
              <w:rPr/>
              <w:t>最高速率不低于1000Mbps，支持10Mbps、100Mbps、1000Mbps速率自适应</w:t>
            </w:r>
          </w:p>
        </w:tc>
        <w:tc>
          <w:tcPr>
            <w:tcW w:type="dxa" w:w="1038"/>
          </w:tcPr>
          <w:p>
            <w:pPr>
              <w:pStyle w:val="null3"/>
            </w:pPr>
            <w:r>
              <w:rPr/>
              <w:t>否</w:t>
            </w:r>
          </w:p>
        </w:tc>
        <w:tc>
          <w:tcPr>
            <w:tcW w:type="dxa" w:w="1038"/>
          </w:tcPr>
          <w:p/>
        </w:tc>
      </w:tr>
      <w:tr>
        <w:tc>
          <w:tcPr>
            <w:tcW w:type="dxa" w:w="1038"/>
          </w:tcPr>
          <w:p>
            <w:pPr>
              <w:pStyle w:val="null3"/>
            </w:pPr>
            <w:r>
              <w:rPr/>
              <w:t>103</w:t>
            </w:r>
          </w:p>
        </w:tc>
        <w:tc>
          <w:tcPr>
            <w:tcW w:type="dxa" w:w="1038"/>
          </w:tcPr>
          <w:p>
            <w:pPr>
              <w:pStyle w:val="null3"/>
            </w:pPr>
            <w:r>
              <w:rPr/>
              <w:t>便携式计算机-性能要求</w:t>
            </w:r>
          </w:p>
        </w:tc>
        <w:tc>
          <w:tcPr>
            <w:tcW w:type="dxa" w:w="1038"/>
          </w:tcPr>
          <w:p>
            <w:pPr>
              <w:pStyle w:val="null3"/>
            </w:pPr>
            <w:r>
              <w:rPr/>
              <w:t>★</w:t>
            </w:r>
          </w:p>
        </w:tc>
        <w:tc>
          <w:tcPr>
            <w:tcW w:type="dxa" w:w="1038"/>
          </w:tcPr>
          <w:p>
            <w:pPr>
              <w:pStyle w:val="null3"/>
            </w:pPr>
            <w:r>
              <w:rPr/>
              <w:t>网络设备性能</w:t>
            </w:r>
          </w:p>
        </w:tc>
        <w:tc>
          <w:tcPr>
            <w:tcW w:type="dxa" w:w="1038"/>
          </w:tcPr>
          <w:p>
            <w:pPr>
              <w:pStyle w:val="null3"/>
            </w:pPr>
            <w:r>
              <w:rPr/>
              <w:t>支持无线网络通信技术协议</w:t>
            </w:r>
          </w:p>
        </w:tc>
        <w:tc>
          <w:tcPr>
            <w:tcW w:type="dxa" w:w="1038"/>
          </w:tcPr>
          <w:p>
            <w:pPr>
              <w:pStyle w:val="null3"/>
            </w:pPr>
            <w:r>
              <w:rPr/>
              <w:t>支持WAPI或WiFi6.0及以上协议</w:t>
            </w:r>
          </w:p>
        </w:tc>
        <w:tc>
          <w:tcPr>
            <w:tcW w:type="dxa" w:w="1038"/>
          </w:tcPr>
          <w:p>
            <w:pPr>
              <w:pStyle w:val="null3"/>
            </w:pPr>
            <w:r>
              <w:rPr/>
              <w:t>否</w:t>
            </w:r>
          </w:p>
        </w:tc>
        <w:tc>
          <w:tcPr>
            <w:tcW w:type="dxa" w:w="1038"/>
          </w:tcPr>
          <w:p/>
        </w:tc>
      </w:tr>
      <w:tr>
        <w:tc>
          <w:tcPr>
            <w:tcW w:type="dxa" w:w="1038"/>
          </w:tcPr>
          <w:p>
            <w:pPr>
              <w:pStyle w:val="null3"/>
            </w:pPr>
            <w:r>
              <w:rPr/>
              <w:t>104</w:t>
            </w:r>
          </w:p>
        </w:tc>
        <w:tc>
          <w:tcPr>
            <w:tcW w:type="dxa" w:w="1038"/>
          </w:tcPr>
          <w:p>
            <w:pPr>
              <w:pStyle w:val="null3"/>
            </w:pPr>
            <w:r>
              <w:rPr/>
              <w:t>便携式计算机-性能要求</w:t>
            </w:r>
          </w:p>
        </w:tc>
        <w:tc>
          <w:tcPr>
            <w:tcW w:type="dxa" w:w="1038"/>
          </w:tcPr>
          <w:p>
            <w:pPr>
              <w:pStyle w:val="null3"/>
            </w:pPr>
            <w:r>
              <w:rPr/>
              <w:t>★</w:t>
            </w:r>
          </w:p>
        </w:tc>
        <w:tc>
          <w:tcPr>
            <w:tcW w:type="dxa" w:w="1038"/>
          </w:tcPr>
          <w:p>
            <w:pPr>
              <w:pStyle w:val="null3"/>
            </w:pPr>
            <w:r>
              <w:rPr/>
              <w:t>网络设备性能</w:t>
            </w:r>
          </w:p>
        </w:tc>
        <w:tc>
          <w:tcPr>
            <w:tcW w:type="dxa" w:w="1038"/>
          </w:tcPr>
          <w:p>
            <w:pPr>
              <w:pStyle w:val="null3"/>
            </w:pPr>
            <w:r>
              <w:rPr/>
              <w:t>无线网卡频宽</w:t>
            </w:r>
          </w:p>
        </w:tc>
        <w:tc>
          <w:tcPr>
            <w:tcW w:type="dxa" w:w="1038"/>
          </w:tcPr>
          <w:p>
            <w:pPr>
              <w:pStyle w:val="null3"/>
            </w:pPr>
            <w:r>
              <w:rPr/>
              <w:t>≥20MHz</w:t>
            </w:r>
          </w:p>
        </w:tc>
        <w:tc>
          <w:tcPr>
            <w:tcW w:type="dxa" w:w="1038"/>
          </w:tcPr>
          <w:p>
            <w:pPr>
              <w:pStyle w:val="null3"/>
            </w:pPr>
            <w:r>
              <w:rPr/>
              <w:t>否</w:t>
            </w:r>
          </w:p>
        </w:tc>
        <w:tc>
          <w:tcPr>
            <w:tcW w:type="dxa" w:w="1038"/>
          </w:tcPr>
          <w:p/>
        </w:tc>
      </w:tr>
      <w:tr>
        <w:tc>
          <w:tcPr>
            <w:tcW w:type="dxa" w:w="1038"/>
          </w:tcPr>
          <w:p>
            <w:pPr>
              <w:pStyle w:val="null3"/>
            </w:pPr>
            <w:r>
              <w:rPr/>
              <w:t>105</w:t>
            </w:r>
          </w:p>
        </w:tc>
        <w:tc>
          <w:tcPr>
            <w:tcW w:type="dxa" w:w="1038"/>
          </w:tcPr>
          <w:p>
            <w:pPr>
              <w:pStyle w:val="null3"/>
            </w:pPr>
            <w:r>
              <w:rPr/>
              <w:t>便携式计算机-性能要求</w:t>
            </w:r>
          </w:p>
        </w:tc>
        <w:tc>
          <w:tcPr>
            <w:tcW w:type="dxa" w:w="1038"/>
          </w:tcPr>
          <w:p>
            <w:pPr>
              <w:pStyle w:val="null3"/>
            </w:pPr>
            <w:r>
              <w:rPr/>
              <w:t>★</w:t>
            </w:r>
          </w:p>
        </w:tc>
        <w:tc>
          <w:tcPr>
            <w:tcW w:type="dxa" w:w="1038"/>
          </w:tcPr>
          <w:p>
            <w:pPr>
              <w:pStyle w:val="null3"/>
            </w:pPr>
            <w:r>
              <w:rPr/>
              <w:t>电源适配器性能</w:t>
            </w:r>
          </w:p>
        </w:tc>
        <w:tc>
          <w:tcPr>
            <w:tcW w:type="dxa" w:w="1038"/>
          </w:tcPr>
          <w:p>
            <w:pPr>
              <w:pStyle w:val="null3"/>
            </w:pPr>
            <w:r>
              <w:rPr/>
              <w:t>电源适配器电源效率</w:t>
            </w:r>
          </w:p>
        </w:tc>
        <w:tc>
          <w:tcPr>
            <w:tcW w:type="dxa" w:w="1038"/>
          </w:tcPr>
          <w:p>
            <w:pPr>
              <w:pStyle w:val="null3"/>
            </w:pPr>
            <w:r>
              <w:rPr/>
              <w:t>在20%/50%/100%负载下效率均应不低于87%</w:t>
            </w:r>
          </w:p>
        </w:tc>
        <w:tc>
          <w:tcPr>
            <w:tcW w:type="dxa" w:w="1038"/>
          </w:tcPr>
          <w:p>
            <w:pPr>
              <w:pStyle w:val="null3"/>
            </w:pPr>
            <w:r>
              <w:rPr/>
              <w:t>否</w:t>
            </w:r>
          </w:p>
        </w:tc>
        <w:tc>
          <w:tcPr>
            <w:tcW w:type="dxa" w:w="1038"/>
          </w:tcPr>
          <w:p/>
        </w:tc>
      </w:tr>
      <w:tr>
        <w:tc>
          <w:tcPr>
            <w:tcW w:type="dxa" w:w="1038"/>
          </w:tcPr>
          <w:p>
            <w:pPr>
              <w:pStyle w:val="null3"/>
            </w:pPr>
            <w:r>
              <w:rPr/>
              <w:t>106</w:t>
            </w:r>
          </w:p>
        </w:tc>
        <w:tc>
          <w:tcPr>
            <w:tcW w:type="dxa" w:w="1038"/>
          </w:tcPr>
          <w:p>
            <w:pPr>
              <w:pStyle w:val="null3"/>
            </w:pPr>
            <w:r>
              <w:rPr/>
              <w:t>便携式计算机-性能要求</w:t>
            </w:r>
          </w:p>
        </w:tc>
        <w:tc>
          <w:tcPr>
            <w:tcW w:type="dxa" w:w="1038"/>
          </w:tcPr>
          <w:p>
            <w:pPr>
              <w:pStyle w:val="null3"/>
            </w:pPr>
            <w:r>
              <w:rPr/>
              <w:t>★</w:t>
            </w:r>
          </w:p>
        </w:tc>
        <w:tc>
          <w:tcPr>
            <w:tcW w:type="dxa" w:w="1038"/>
          </w:tcPr>
          <w:p>
            <w:pPr>
              <w:pStyle w:val="null3"/>
            </w:pPr>
            <w:r>
              <w:rPr/>
              <w:t>待机性能</w:t>
            </w:r>
          </w:p>
        </w:tc>
        <w:tc>
          <w:tcPr>
            <w:tcW w:type="dxa" w:w="1038"/>
          </w:tcPr>
          <w:p>
            <w:pPr>
              <w:pStyle w:val="null3"/>
            </w:pPr>
            <w:r>
              <w:rPr/>
              <w:t>满载待机性能（LTP）</w:t>
            </w:r>
          </w:p>
        </w:tc>
        <w:tc>
          <w:tcPr>
            <w:tcW w:type="dxa" w:w="1038"/>
          </w:tcPr>
          <w:p>
            <w:pPr>
              <w:pStyle w:val="null3"/>
            </w:pPr>
            <w:r>
              <w:rPr/>
              <w:t>≥3小时</w:t>
            </w:r>
          </w:p>
        </w:tc>
        <w:tc>
          <w:tcPr>
            <w:tcW w:type="dxa" w:w="1038"/>
          </w:tcPr>
          <w:p>
            <w:pPr>
              <w:pStyle w:val="null3"/>
            </w:pPr>
            <w:r>
              <w:rPr/>
              <w:t>否</w:t>
            </w:r>
          </w:p>
        </w:tc>
        <w:tc>
          <w:tcPr>
            <w:tcW w:type="dxa" w:w="1038"/>
          </w:tcPr>
          <w:p/>
        </w:tc>
      </w:tr>
      <w:tr>
        <w:tc>
          <w:tcPr>
            <w:tcW w:type="dxa" w:w="1038"/>
          </w:tcPr>
          <w:p>
            <w:pPr>
              <w:pStyle w:val="null3"/>
            </w:pPr>
            <w:r>
              <w:rPr/>
              <w:t>107</w:t>
            </w:r>
          </w:p>
        </w:tc>
        <w:tc>
          <w:tcPr>
            <w:tcW w:type="dxa" w:w="1038"/>
          </w:tcPr>
          <w:p>
            <w:pPr>
              <w:pStyle w:val="null3"/>
            </w:pPr>
            <w:r>
              <w:rPr/>
              <w:t>便携式计算机-功能要求</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内存扩展接口(板载内存不涉及)</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108</w:t>
            </w:r>
          </w:p>
        </w:tc>
        <w:tc>
          <w:tcPr>
            <w:tcW w:type="dxa" w:w="1038"/>
          </w:tcPr>
          <w:p>
            <w:pPr>
              <w:pStyle w:val="null3"/>
            </w:pPr>
            <w:r>
              <w:rPr/>
              <w:t>便携式计算机-功能要求</w:t>
            </w:r>
          </w:p>
        </w:tc>
        <w:tc>
          <w:tcPr>
            <w:tcW w:type="dxa" w:w="1038"/>
          </w:tcPr>
          <w:p/>
        </w:tc>
        <w:tc>
          <w:tcPr>
            <w:tcW w:type="dxa" w:w="1038"/>
          </w:tcPr>
          <w:p>
            <w:pPr>
              <w:pStyle w:val="null3"/>
            </w:pPr>
            <w:r>
              <w:rPr/>
              <w:t>主板功能</w:t>
            </w:r>
          </w:p>
        </w:tc>
        <w:tc>
          <w:tcPr>
            <w:tcW w:type="dxa" w:w="1038"/>
          </w:tcPr>
          <w:p>
            <w:pPr>
              <w:pStyle w:val="null3"/>
            </w:pPr>
            <w:r>
              <w:rPr/>
              <w:t>存储扩展接口(板载存储不涉及)</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109</w:t>
            </w:r>
          </w:p>
        </w:tc>
        <w:tc>
          <w:tcPr>
            <w:tcW w:type="dxa" w:w="1038"/>
          </w:tcPr>
          <w:p>
            <w:pPr>
              <w:pStyle w:val="null3"/>
            </w:pPr>
            <w:r>
              <w:rPr/>
              <w:t>便携式计算机-功能要求</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主板USB瞬间过流保护</w:t>
            </w:r>
          </w:p>
        </w:tc>
        <w:tc>
          <w:tcPr>
            <w:tcW w:type="dxa" w:w="1038"/>
          </w:tcPr>
          <w:p>
            <w:pPr>
              <w:pStyle w:val="null3"/>
            </w:pPr>
            <w:r>
              <w:rPr/>
              <w:t>支持瞬间过流保护功能</w:t>
            </w:r>
          </w:p>
        </w:tc>
        <w:tc>
          <w:tcPr>
            <w:tcW w:type="dxa" w:w="1038"/>
          </w:tcPr>
          <w:p>
            <w:pPr>
              <w:pStyle w:val="null3"/>
            </w:pPr>
            <w:r>
              <w:rPr/>
              <w:t>否</w:t>
            </w:r>
          </w:p>
        </w:tc>
        <w:tc>
          <w:tcPr>
            <w:tcW w:type="dxa" w:w="1038"/>
          </w:tcPr>
          <w:p/>
        </w:tc>
      </w:tr>
      <w:tr>
        <w:tc>
          <w:tcPr>
            <w:tcW w:type="dxa" w:w="1038"/>
          </w:tcPr>
          <w:p>
            <w:pPr>
              <w:pStyle w:val="null3"/>
            </w:pPr>
            <w:r>
              <w:rPr/>
              <w:t>110</w:t>
            </w:r>
          </w:p>
        </w:tc>
        <w:tc>
          <w:tcPr>
            <w:tcW w:type="dxa" w:w="1038"/>
          </w:tcPr>
          <w:p>
            <w:pPr>
              <w:pStyle w:val="null3"/>
            </w:pPr>
            <w:r>
              <w:rPr/>
              <w:t>便携式计算机-功能要求</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主板防静电保护</w:t>
            </w:r>
          </w:p>
        </w:tc>
        <w:tc>
          <w:tcPr>
            <w:tcW w:type="dxa" w:w="1038"/>
          </w:tcPr>
          <w:p>
            <w:pPr>
              <w:pStyle w:val="null3"/>
            </w:pPr>
            <w:r>
              <w:rPr/>
              <w:t>支持防静电保护功能</w:t>
            </w:r>
          </w:p>
        </w:tc>
        <w:tc>
          <w:tcPr>
            <w:tcW w:type="dxa" w:w="1038"/>
          </w:tcPr>
          <w:p>
            <w:pPr>
              <w:pStyle w:val="null3"/>
            </w:pPr>
            <w:r>
              <w:rPr/>
              <w:t>否</w:t>
            </w:r>
          </w:p>
        </w:tc>
        <w:tc>
          <w:tcPr>
            <w:tcW w:type="dxa" w:w="1038"/>
          </w:tcPr>
          <w:p/>
        </w:tc>
      </w:tr>
      <w:tr>
        <w:tc>
          <w:tcPr>
            <w:tcW w:type="dxa" w:w="1038"/>
          </w:tcPr>
          <w:p>
            <w:pPr>
              <w:pStyle w:val="null3"/>
            </w:pPr>
            <w:r>
              <w:rPr/>
              <w:t>111</w:t>
            </w:r>
          </w:p>
        </w:tc>
        <w:tc>
          <w:tcPr>
            <w:tcW w:type="dxa" w:w="1038"/>
          </w:tcPr>
          <w:p>
            <w:pPr>
              <w:pStyle w:val="null3"/>
            </w:pPr>
            <w:r>
              <w:rPr/>
              <w:t>便携式计算机-功能要求</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I/O接口功能</w:t>
            </w:r>
          </w:p>
        </w:tc>
        <w:tc>
          <w:tcPr>
            <w:tcW w:type="dxa" w:w="1038"/>
          </w:tcPr>
          <w:p>
            <w:pPr>
              <w:pStyle w:val="null3"/>
            </w:pPr>
            <w:r>
              <w:rPr/>
              <w:t>内置或通过扩展坞支持数据传输接口、视频接口、音频接口、网络接口、电源接口等各类标准接口 产品应集成键盘、触控板输入部件，同时应具备接入键盘、鼠标、写字板等外设的能力，宜支持触摸屏、语音交互、手写笔等人机交互功能</w:t>
            </w:r>
          </w:p>
        </w:tc>
        <w:tc>
          <w:tcPr>
            <w:tcW w:type="dxa" w:w="1038"/>
          </w:tcPr>
          <w:p>
            <w:pPr>
              <w:pStyle w:val="null3"/>
            </w:pPr>
            <w:r>
              <w:rPr/>
              <w:t>否</w:t>
            </w:r>
          </w:p>
        </w:tc>
        <w:tc>
          <w:tcPr>
            <w:tcW w:type="dxa" w:w="1038"/>
          </w:tcPr>
          <w:p/>
        </w:tc>
      </w:tr>
      <w:tr>
        <w:tc>
          <w:tcPr>
            <w:tcW w:type="dxa" w:w="1038"/>
          </w:tcPr>
          <w:p>
            <w:pPr>
              <w:pStyle w:val="null3"/>
            </w:pPr>
            <w:r>
              <w:rPr/>
              <w:t>112</w:t>
            </w:r>
          </w:p>
        </w:tc>
        <w:tc>
          <w:tcPr>
            <w:tcW w:type="dxa" w:w="1038"/>
          </w:tcPr>
          <w:p>
            <w:pPr>
              <w:pStyle w:val="null3"/>
            </w:pPr>
            <w:r>
              <w:rPr/>
              <w:t>便携式计算机-功能要求</w:t>
            </w:r>
          </w:p>
        </w:tc>
        <w:tc>
          <w:tcPr>
            <w:tcW w:type="dxa" w:w="1038"/>
          </w:tcPr>
          <w:p>
            <w:pPr>
              <w:pStyle w:val="null3"/>
            </w:pPr>
            <w:r>
              <w:rPr/>
              <w:t>★</w:t>
            </w:r>
          </w:p>
        </w:tc>
        <w:tc>
          <w:tcPr>
            <w:tcW w:type="dxa" w:w="1038"/>
          </w:tcPr>
          <w:p>
            <w:pPr>
              <w:pStyle w:val="null3"/>
            </w:pPr>
            <w:r>
              <w:rPr/>
              <w:t>显卡功能</w:t>
            </w:r>
          </w:p>
        </w:tc>
        <w:tc>
          <w:tcPr>
            <w:tcW w:type="dxa" w:w="1038"/>
          </w:tcPr>
          <w:p>
            <w:pPr>
              <w:pStyle w:val="null3"/>
            </w:pPr>
            <w:r>
              <w:rPr/>
              <w:t>显卡外接显示接口</w:t>
            </w:r>
          </w:p>
        </w:tc>
        <w:tc>
          <w:tcPr>
            <w:tcW w:type="dxa" w:w="1038"/>
          </w:tcPr>
          <w:p>
            <w:pPr>
              <w:pStyle w:val="null3"/>
            </w:pPr>
            <w:r>
              <w:rPr/>
              <w:t>HDMI</w:t>
            </w:r>
          </w:p>
        </w:tc>
        <w:tc>
          <w:tcPr>
            <w:tcW w:type="dxa" w:w="1038"/>
          </w:tcPr>
          <w:p>
            <w:pPr>
              <w:pStyle w:val="null3"/>
            </w:pPr>
            <w:r>
              <w:rPr/>
              <w:t>否</w:t>
            </w:r>
          </w:p>
        </w:tc>
        <w:tc>
          <w:tcPr>
            <w:tcW w:type="dxa" w:w="1038"/>
          </w:tcPr>
          <w:p/>
        </w:tc>
      </w:tr>
      <w:tr>
        <w:tc>
          <w:tcPr>
            <w:tcW w:type="dxa" w:w="1038"/>
          </w:tcPr>
          <w:p>
            <w:pPr>
              <w:pStyle w:val="null3"/>
            </w:pPr>
            <w:r>
              <w:rPr/>
              <w:t>113</w:t>
            </w:r>
          </w:p>
        </w:tc>
        <w:tc>
          <w:tcPr>
            <w:tcW w:type="dxa" w:w="1038"/>
          </w:tcPr>
          <w:p>
            <w:pPr>
              <w:pStyle w:val="null3"/>
            </w:pPr>
            <w:r>
              <w:rPr/>
              <w:t>便携式计算机-功能要求</w:t>
            </w:r>
          </w:p>
        </w:tc>
        <w:tc>
          <w:tcPr>
            <w:tcW w:type="dxa" w:w="1038"/>
          </w:tcPr>
          <w:p>
            <w:pPr>
              <w:pStyle w:val="null3"/>
            </w:pPr>
            <w:r>
              <w:rPr/>
              <w:t>★</w:t>
            </w:r>
          </w:p>
        </w:tc>
        <w:tc>
          <w:tcPr>
            <w:tcW w:type="dxa" w:w="1038"/>
          </w:tcPr>
          <w:p>
            <w:pPr>
              <w:pStyle w:val="null3"/>
            </w:pPr>
            <w:r>
              <w:rPr/>
              <w:t>显卡功能</w:t>
            </w:r>
          </w:p>
        </w:tc>
        <w:tc>
          <w:tcPr>
            <w:tcW w:type="dxa" w:w="1038"/>
          </w:tcPr>
          <w:p>
            <w:pPr>
              <w:pStyle w:val="null3"/>
            </w:pPr>
            <w:r>
              <w:rPr/>
              <w:t>显示功能</w:t>
            </w:r>
          </w:p>
        </w:tc>
        <w:tc>
          <w:tcPr>
            <w:tcW w:type="dxa" w:w="1038"/>
          </w:tcPr>
          <w:p>
            <w:pPr>
              <w:pStyle w:val="null3"/>
            </w:pPr>
            <w:r>
              <w:rPr/>
              <w:t>支持显示屏，同时应支持外接显示器。显示屏和外接显示器应支持多屏同时显示，显示模式应支持复制模式和扩展模式</w:t>
            </w:r>
          </w:p>
        </w:tc>
        <w:tc>
          <w:tcPr>
            <w:tcW w:type="dxa" w:w="1038"/>
          </w:tcPr>
          <w:p>
            <w:pPr>
              <w:pStyle w:val="null3"/>
            </w:pPr>
            <w:r>
              <w:rPr/>
              <w:t>否</w:t>
            </w:r>
          </w:p>
        </w:tc>
        <w:tc>
          <w:tcPr>
            <w:tcW w:type="dxa" w:w="1038"/>
          </w:tcPr>
          <w:p/>
        </w:tc>
      </w:tr>
      <w:tr>
        <w:tc>
          <w:tcPr>
            <w:tcW w:type="dxa" w:w="1038"/>
          </w:tcPr>
          <w:p>
            <w:pPr>
              <w:pStyle w:val="null3"/>
            </w:pPr>
            <w:r>
              <w:rPr/>
              <w:t>114</w:t>
            </w:r>
          </w:p>
        </w:tc>
        <w:tc>
          <w:tcPr>
            <w:tcW w:type="dxa" w:w="1038"/>
          </w:tcPr>
          <w:p>
            <w:pPr>
              <w:pStyle w:val="null3"/>
            </w:pPr>
            <w:r>
              <w:rPr/>
              <w:t>便携式计算机-功能要求</w:t>
            </w:r>
          </w:p>
        </w:tc>
        <w:tc>
          <w:tcPr>
            <w:tcW w:type="dxa" w:w="1038"/>
          </w:tcPr>
          <w:p>
            <w:pPr>
              <w:pStyle w:val="null3"/>
            </w:pPr>
            <w:r>
              <w:rPr/>
              <w:t>★</w:t>
            </w:r>
          </w:p>
        </w:tc>
        <w:tc>
          <w:tcPr>
            <w:tcW w:type="dxa" w:w="1038"/>
          </w:tcPr>
          <w:p>
            <w:pPr>
              <w:pStyle w:val="null3"/>
            </w:pPr>
            <w:r>
              <w:rPr/>
              <w:t>外设功能</w:t>
            </w:r>
          </w:p>
        </w:tc>
        <w:tc>
          <w:tcPr>
            <w:tcW w:type="dxa" w:w="1038"/>
          </w:tcPr>
          <w:p>
            <w:pPr>
              <w:pStyle w:val="null3"/>
            </w:pPr>
            <w:r>
              <w:rPr/>
              <w:t>摄像头物理隐私保护开关</w:t>
            </w:r>
          </w:p>
        </w:tc>
        <w:tc>
          <w:tcPr>
            <w:tcW w:type="dxa" w:w="1038"/>
          </w:tcPr>
          <w:p>
            <w:pPr>
              <w:pStyle w:val="null3"/>
            </w:pPr>
            <w:r>
              <w:rPr/>
              <w:t>支持物理隐私保护开关</w:t>
            </w:r>
          </w:p>
        </w:tc>
        <w:tc>
          <w:tcPr>
            <w:tcW w:type="dxa" w:w="1038"/>
          </w:tcPr>
          <w:p>
            <w:pPr>
              <w:pStyle w:val="null3"/>
            </w:pPr>
            <w:r>
              <w:rPr/>
              <w:t>否</w:t>
            </w:r>
          </w:p>
        </w:tc>
        <w:tc>
          <w:tcPr>
            <w:tcW w:type="dxa" w:w="1038"/>
          </w:tcPr>
          <w:p/>
        </w:tc>
      </w:tr>
      <w:tr>
        <w:tc>
          <w:tcPr>
            <w:tcW w:type="dxa" w:w="1038"/>
          </w:tcPr>
          <w:p>
            <w:pPr>
              <w:pStyle w:val="null3"/>
            </w:pPr>
            <w:r>
              <w:rPr/>
              <w:t>115</w:t>
            </w:r>
          </w:p>
        </w:tc>
        <w:tc>
          <w:tcPr>
            <w:tcW w:type="dxa" w:w="1038"/>
          </w:tcPr>
          <w:p>
            <w:pPr>
              <w:pStyle w:val="null3"/>
            </w:pPr>
            <w:r>
              <w:rPr/>
              <w:t>便携式计算机-功能要求</w:t>
            </w:r>
          </w:p>
        </w:tc>
        <w:tc>
          <w:tcPr>
            <w:tcW w:type="dxa" w:w="1038"/>
          </w:tcPr>
          <w:p/>
        </w:tc>
        <w:tc>
          <w:tcPr>
            <w:tcW w:type="dxa" w:w="1038"/>
          </w:tcPr>
          <w:p>
            <w:pPr>
              <w:pStyle w:val="null3"/>
            </w:pPr>
            <w:r>
              <w:rPr/>
              <w:t>外设功能</w:t>
            </w:r>
          </w:p>
        </w:tc>
        <w:tc>
          <w:tcPr>
            <w:tcW w:type="dxa" w:w="1038"/>
          </w:tcPr>
          <w:p>
            <w:pPr>
              <w:pStyle w:val="null3"/>
            </w:pPr>
            <w:r>
              <w:rPr/>
              <w:t>传声器降噪</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116</w:t>
            </w:r>
          </w:p>
        </w:tc>
        <w:tc>
          <w:tcPr>
            <w:tcW w:type="dxa" w:w="1038"/>
          </w:tcPr>
          <w:p>
            <w:pPr>
              <w:pStyle w:val="null3"/>
            </w:pPr>
            <w:r>
              <w:rPr/>
              <w:t>便携式计算机-功能要求</w:t>
            </w:r>
          </w:p>
        </w:tc>
        <w:tc>
          <w:tcPr>
            <w:tcW w:type="dxa" w:w="1038"/>
          </w:tcPr>
          <w:p/>
        </w:tc>
        <w:tc>
          <w:tcPr>
            <w:tcW w:type="dxa" w:w="1038"/>
          </w:tcPr>
          <w:p>
            <w:pPr>
              <w:pStyle w:val="null3"/>
            </w:pPr>
            <w:r>
              <w:rPr/>
              <w:t>外设功能</w:t>
            </w:r>
          </w:p>
        </w:tc>
        <w:tc>
          <w:tcPr>
            <w:tcW w:type="dxa" w:w="1038"/>
          </w:tcPr>
          <w:p>
            <w:pPr>
              <w:pStyle w:val="null3"/>
            </w:pPr>
            <w:r>
              <w:rPr/>
              <w:t>音频处理功能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117</w:t>
            </w:r>
          </w:p>
        </w:tc>
        <w:tc>
          <w:tcPr>
            <w:tcW w:type="dxa" w:w="1038"/>
          </w:tcPr>
          <w:p>
            <w:pPr>
              <w:pStyle w:val="null3"/>
            </w:pPr>
            <w:r>
              <w:rPr/>
              <w:t>便携式计算机-功能要求</w:t>
            </w:r>
          </w:p>
        </w:tc>
        <w:tc>
          <w:tcPr>
            <w:tcW w:type="dxa" w:w="1038"/>
          </w:tcPr>
          <w:p/>
        </w:tc>
        <w:tc>
          <w:tcPr>
            <w:tcW w:type="dxa" w:w="1038"/>
          </w:tcPr>
          <w:p>
            <w:pPr>
              <w:pStyle w:val="null3"/>
            </w:pPr>
            <w:r>
              <w:rPr/>
              <w:t>外设功能</w:t>
            </w:r>
          </w:p>
        </w:tc>
        <w:tc>
          <w:tcPr>
            <w:tcW w:type="dxa" w:w="1038"/>
          </w:tcPr>
          <w:p>
            <w:pPr>
              <w:pStyle w:val="null3"/>
            </w:pPr>
            <w:r>
              <w:rPr/>
              <w:t>键盘背光</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118</w:t>
            </w:r>
          </w:p>
        </w:tc>
        <w:tc>
          <w:tcPr>
            <w:tcW w:type="dxa" w:w="1038"/>
          </w:tcPr>
          <w:p>
            <w:pPr>
              <w:pStyle w:val="null3"/>
            </w:pPr>
            <w:r>
              <w:rPr/>
              <w:t>便携式计算机-功能要求</w:t>
            </w:r>
          </w:p>
        </w:tc>
        <w:tc>
          <w:tcPr>
            <w:tcW w:type="dxa" w:w="1038"/>
          </w:tcPr>
          <w:p/>
        </w:tc>
        <w:tc>
          <w:tcPr>
            <w:tcW w:type="dxa" w:w="1038"/>
          </w:tcPr>
          <w:p>
            <w:pPr>
              <w:pStyle w:val="null3"/>
            </w:pPr>
            <w:r>
              <w:rPr/>
              <w:t>外设功能</w:t>
            </w:r>
          </w:p>
        </w:tc>
        <w:tc>
          <w:tcPr>
            <w:tcW w:type="dxa" w:w="1038"/>
          </w:tcPr>
          <w:p>
            <w:pPr>
              <w:pStyle w:val="null3"/>
            </w:pPr>
            <w:r>
              <w:rPr/>
              <w:t>触控板多点触控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119</w:t>
            </w:r>
          </w:p>
        </w:tc>
        <w:tc>
          <w:tcPr>
            <w:tcW w:type="dxa" w:w="1038"/>
          </w:tcPr>
          <w:p>
            <w:pPr>
              <w:pStyle w:val="null3"/>
            </w:pPr>
            <w:r>
              <w:rPr/>
              <w:t>便携式计算机-功能要求</w:t>
            </w:r>
          </w:p>
        </w:tc>
        <w:tc>
          <w:tcPr>
            <w:tcW w:type="dxa" w:w="1038"/>
          </w:tcPr>
          <w:p/>
        </w:tc>
        <w:tc>
          <w:tcPr>
            <w:tcW w:type="dxa" w:w="1038"/>
          </w:tcPr>
          <w:p>
            <w:pPr>
              <w:pStyle w:val="null3"/>
            </w:pPr>
            <w:r>
              <w:rPr/>
              <w:t>外设功能</w:t>
            </w:r>
          </w:p>
        </w:tc>
        <w:tc>
          <w:tcPr>
            <w:tcW w:type="dxa" w:w="1038"/>
          </w:tcPr>
          <w:p>
            <w:pPr>
              <w:pStyle w:val="null3"/>
            </w:pPr>
            <w:r>
              <w:rPr/>
              <w:t>光驱功能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120</w:t>
            </w:r>
          </w:p>
        </w:tc>
        <w:tc>
          <w:tcPr>
            <w:tcW w:type="dxa" w:w="1038"/>
          </w:tcPr>
          <w:p>
            <w:pPr>
              <w:pStyle w:val="null3"/>
            </w:pPr>
            <w:r>
              <w:rPr/>
              <w:t>便携式计算机-功能要求</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存储功能</w:t>
            </w:r>
          </w:p>
        </w:tc>
        <w:tc>
          <w:tcPr>
            <w:tcW w:type="dxa" w:w="1038"/>
          </w:tcPr>
          <w:p>
            <w:pPr>
              <w:pStyle w:val="null3"/>
            </w:pPr>
            <w:r>
              <w:rPr/>
              <w:t>支持信息存储功能，包括支持易失性存储功能和非易失性存储功能。为提升存储性能和降低存储功耗，非易失性存储宜支持固态存储设 备，如 SSD/UFS。 产品应支持外出接口可以与独立的存储设备进行数据交互</w:t>
            </w:r>
          </w:p>
        </w:tc>
        <w:tc>
          <w:tcPr>
            <w:tcW w:type="dxa" w:w="1038"/>
          </w:tcPr>
          <w:p>
            <w:pPr>
              <w:pStyle w:val="null3"/>
            </w:pPr>
            <w:r>
              <w:rPr/>
              <w:t>否</w:t>
            </w:r>
          </w:p>
        </w:tc>
        <w:tc>
          <w:tcPr>
            <w:tcW w:type="dxa" w:w="1038"/>
          </w:tcPr>
          <w:p/>
        </w:tc>
      </w:tr>
      <w:tr>
        <w:tc>
          <w:tcPr>
            <w:tcW w:type="dxa" w:w="1038"/>
          </w:tcPr>
          <w:p>
            <w:pPr>
              <w:pStyle w:val="null3"/>
            </w:pPr>
            <w:r>
              <w:rPr/>
              <w:t>121</w:t>
            </w:r>
          </w:p>
        </w:tc>
        <w:tc>
          <w:tcPr>
            <w:tcW w:type="dxa" w:w="1038"/>
          </w:tcPr>
          <w:p>
            <w:pPr>
              <w:pStyle w:val="null3"/>
            </w:pPr>
            <w:r>
              <w:rPr/>
              <w:t>便携式计算机-功能要求</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网络功能</w:t>
            </w:r>
          </w:p>
        </w:tc>
        <w:tc>
          <w:tcPr>
            <w:tcW w:type="dxa" w:w="1038"/>
          </w:tcPr>
          <w:p>
            <w:pPr>
              <w:pStyle w:val="null3"/>
            </w:pPr>
            <w:r>
              <w:rPr/>
              <w:t>a)支持网络连接、网络开启/关闭功能； b)支持访问网络和数据交换功能</w:t>
            </w:r>
          </w:p>
        </w:tc>
        <w:tc>
          <w:tcPr>
            <w:tcW w:type="dxa" w:w="1038"/>
          </w:tcPr>
          <w:p>
            <w:pPr>
              <w:pStyle w:val="null3"/>
            </w:pPr>
            <w:r>
              <w:rPr/>
              <w:t>否</w:t>
            </w:r>
          </w:p>
        </w:tc>
        <w:tc>
          <w:tcPr>
            <w:tcW w:type="dxa" w:w="1038"/>
          </w:tcPr>
          <w:p/>
        </w:tc>
      </w:tr>
      <w:tr>
        <w:tc>
          <w:tcPr>
            <w:tcW w:type="dxa" w:w="1038"/>
          </w:tcPr>
          <w:p>
            <w:pPr>
              <w:pStyle w:val="null3"/>
            </w:pPr>
            <w:r>
              <w:rPr/>
              <w:t>122</w:t>
            </w:r>
          </w:p>
        </w:tc>
        <w:tc>
          <w:tcPr>
            <w:tcW w:type="dxa" w:w="1038"/>
          </w:tcPr>
          <w:p>
            <w:pPr>
              <w:pStyle w:val="null3"/>
            </w:pPr>
            <w:r>
              <w:rPr/>
              <w:t>便携式计算机-功能要求</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无线网卡频段</w:t>
            </w:r>
          </w:p>
        </w:tc>
        <w:tc>
          <w:tcPr>
            <w:tcW w:type="dxa" w:w="1038"/>
          </w:tcPr>
          <w:p>
            <w:pPr>
              <w:pStyle w:val="null3"/>
            </w:pPr>
            <w:r>
              <w:rPr/>
              <w:t>支持双频段（2.4GHz、5GHz）</w:t>
            </w:r>
          </w:p>
        </w:tc>
        <w:tc>
          <w:tcPr>
            <w:tcW w:type="dxa" w:w="1038"/>
          </w:tcPr>
          <w:p>
            <w:pPr>
              <w:pStyle w:val="null3"/>
            </w:pPr>
            <w:r>
              <w:rPr/>
              <w:t>否</w:t>
            </w:r>
          </w:p>
        </w:tc>
        <w:tc>
          <w:tcPr>
            <w:tcW w:type="dxa" w:w="1038"/>
          </w:tcPr>
          <w:p/>
        </w:tc>
      </w:tr>
      <w:tr>
        <w:tc>
          <w:tcPr>
            <w:tcW w:type="dxa" w:w="1038"/>
          </w:tcPr>
          <w:p>
            <w:pPr>
              <w:pStyle w:val="null3"/>
            </w:pPr>
            <w:r>
              <w:rPr/>
              <w:t>123</w:t>
            </w:r>
          </w:p>
        </w:tc>
        <w:tc>
          <w:tcPr>
            <w:tcW w:type="dxa" w:w="1038"/>
          </w:tcPr>
          <w:p>
            <w:pPr>
              <w:pStyle w:val="null3"/>
            </w:pPr>
            <w:r>
              <w:rPr/>
              <w:t>便携式计算机-功能要求</w:t>
            </w:r>
          </w:p>
        </w:tc>
        <w:tc>
          <w:tcPr>
            <w:tcW w:type="dxa" w:w="1038"/>
          </w:tcPr>
          <w:p/>
        </w:tc>
        <w:tc>
          <w:tcPr>
            <w:tcW w:type="dxa" w:w="1038"/>
          </w:tcPr>
          <w:p>
            <w:pPr>
              <w:pStyle w:val="null3"/>
            </w:pPr>
            <w:r>
              <w:rPr/>
              <w:t>网络设备功能</w:t>
            </w:r>
          </w:p>
        </w:tc>
        <w:tc>
          <w:tcPr>
            <w:tcW w:type="dxa" w:w="1038"/>
          </w:tcPr>
          <w:p>
            <w:pPr>
              <w:pStyle w:val="null3"/>
            </w:pPr>
            <w:r>
              <w:rPr/>
              <w:t>物理开关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124</w:t>
            </w:r>
          </w:p>
        </w:tc>
        <w:tc>
          <w:tcPr>
            <w:tcW w:type="dxa" w:w="1038"/>
          </w:tcPr>
          <w:p>
            <w:pPr>
              <w:pStyle w:val="null3"/>
            </w:pPr>
            <w:r>
              <w:rPr/>
              <w:t>便携式计算机-功能要求</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数据传输</w:t>
            </w:r>
          </w:p>
        </w:tc>
        <w:tc>
          <w:tcPr>
            <w:tcW w:type="dxa" w:w="1038"/>
          </w:tcPr>
          <w:p>
            <w:pPr>
              <w:pStyle w:val="null3"/>
            </w:pPr>
            <w:r>
              <w:rPr/>
              <w:t>支持数据传输能力，并提供数据流量和异常日志记录功能</w:t>
            </w:r>
          </w:p>
        </w:tc>
        <w:tc>
          <w:tcPr>
            <w:tcW w:type="dxa" w:w="1038"/>
          </w:tcPr>
          <w:p>
            <w:pPr>
              <w:pStyle w:val="null3"/>
            </w:pPr>
            <w:r>
              <w:rPr/>
              <w:t>否</w:t>
            </w:r>
          </w:p>
        </w:tc>
        <w:tc>
          <w:tcPr>
            <w:tcW w:type="dxa" w:w="1038"/>
          </w:tcPr>
          <w:p/>
        </w:tc>
      </w:tr>
      <w:tr>
        <w:tc>
          <w:tcPr>
            <w:tcW w:type="dxa" w:w="1038"/>
          </w:tcPr>
          <w:p>
            <w:pPr>
              <w:pStyle w:val="null3"/>
            </w:pPr>
            <w:r>
              <w:rPr/>
              <w:t>125</w:t>
            </w:r>
          </w:p>
        </w:tc>
        <w:tc>
          <w:tcPr>
            <w:tcW w:type="dxa" w:w="1038"/>
          </w:tcPr>
          <w:p>
            <w:pPr>
              <w:pStyle w:val="null3"/>
            </w:pPr>
            <w:r>
              <w:rPr/>
              <w:t>便携式计算机-功能要求</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蓝牙协议</w:t>
            </w:r>
          </w:p>
        </w:tc>
        <w:tc>
          <w:tcPr>
            <w:tcW w:type="dxa" w:w="1038"/>
          </w:tcPr>
          <w:p>
            <w:pPr>
              <w:pStyle w:val="null3"/>
            </w:pPr>
            <w:r>
              <w:rPr/>
              <w:t>支持蓝牙模块，蓝牙协议不低于5.0版本</w:t>
            </w:r>
          </w:p>
        </w:tc>
        <w:tc>
          <w:tcPr>
            <w:tcW w:type="dxa" w:w="1038"/>
          </w:tcPr>
          <w:p>
            <w:pPr>
              <w:pStyle w:val="null3"/>
            </w:pPr>
            <w:r>
              <w:rPr/>
              <w:t>否</w:t>
            </w:r>
          </w:p>
        </w:tc>
        <w:tc>
          <w:tcPr>
            <w:tcW w:type="dxa" w:w="1038"/>
          </w:tcPr>
          <w:p/>
        </w:tc>
      </w:tr>
      <w:tr>
        <w:tc>
          <w:tcPr>
            <w:tcW w:type="dxa" w:w="1038"/>
          </w:tcPr>
          <w:p>
            <w:pPr>
              <w:pStyle w:val="null3"/>
            </w:pPr>
            <w:r>
              <w:rPr/>
              <w:t>126</w:t>
            </w:r>
          </w:p>
        </w:tc>
        <w:tc>
          <w:tcPr>
            <w:tcW w:type="dxa" w:w="1038"/>
          </w:tcPr>
          <w:p>
            <w:pPr>
              <w:pStyle w:val="null3"/>
            </w:pPr>
            <w:r>
              <w:rPr/>
              <w:t>便携式计算机-功能要求</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有线网卡接口类型</w:t>
            </w:r>
          </w:p>
        </w:tc>
        <w:tc>
          <w:tcPr>
            <w:tcW w:type="dxa" w:w="1038"/>
          </w:tcPr>
          <w:p>
            <w:pPr>
              <w:pStyle w:val="null3"/>
            </w:pPr>
            <w:r>
              <w:rPr/>
              <w:t>支持RJ-45接口（可通过提供扩展坞支持）</w:t>
            </w:r>
          </w:p>
        </w:tc>
        <w:tc>
          <w:tcPr>
            <w:tcW w:type="dxa" w:w="1038"/>
          </w:tcPr>
          <w:p>
            <w:pPr>
              <w:pStyle w:val="null3"/>
            </w:pPr>
            <w:r>
              <w:rPr/>
              <w:t>否</w:t>
            </w:r>
          </w:p>
        </w:tc>
        <w:tc>
          <w:tcPr>
            <w:tcW w:type="dxa" w:w="1038"/>
          </w:tcPr>
          <w:p/>
        </w:tc>
      </w:tr>
      <w:tr>
        <w:tc>
          <w:tcPr>
            <w:tcW w:type="dxa" w:w="1038"/>
          </w:tcPr>
          <w:p>
            <w:pPr>
              <w:pStyle w:val="null3"/>
            </w:pPr>
            <w:r>
              <w:rPr/>
              <w:t>127</w:t>
            </w:r>
          </w:p>
        </w:tc>
        <w:tc>
          <w:tcPr>
            <w:tcW w:type="dxa" w:w="1038"/>
          </w:tcPr>
          <w:p>
            <w:pPr>
              <w:pStyle w:val="null3"/>
            </w:pPr>
            <w:r>
              <w:rPr/>
              <w:t>便携式计算机-功能要求</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无线网卡标准</w:t>
            </w:r>
          </w:p>
        </w:tc>
        <w:tc>
          <w:tcPr>
            <w:tcW w:type="dxa" w:w="1038"/>
          </w:tcPr>
          <w:p>
            <w:pPr>
              <w:pStyle w:val="null3"/>
            </w:pPr>
            <w:r>
              <w:rPr/>
              <w:t>符合GB15629.11所有部分</w:t>
            </w:r>
          </w:p>
        </w:tc>
        <w:tc>
          <w:tcPr>
            <w:tcW w:type="dxa" w:w="1038"/>
          </w:tcPr>
          <w:p>
            <w:pPr>
              <w:pStyle w:val="null3"/>
            </w:pPr>
            <w:r>
              <w:rPr/>
              <w:t>否</w:t>
            </w:r>
          </w:p>
        </w:tc>
        <w:tc>
          <w:tcPr>
            <w:tcW w:type="dxa" w:w="1038"/>
          </w:tcPr>
          <w:p/>
        </w:tc>
      </w:tr>
      <w:tr>
        <w:tc>
          <w:tcPr>
            <w:tcW w:type="dxa" w:w="1038"/>
          </w:tcPr>
          <w:p>
            <w:pPr>
              <w:pStyle w:val="null3"/>
            </w:pPr>
            <w:r>
              <w:rPr/>
              <w:t>128</w:t>
            </w:r>
          </w:p>
        </w:tc>
        <w:tc>
          <w:tcPr>
            <w:tcW w:type="dxa" w:w="1038"/>
          </w:tcPr>
          <w:p>
            <w:pPr>
              <w:pStyle w:val="null3"/>
            </w:pPr>
            <w:r>
              <w:rPr/>
              <w:t>便携式计算机-功能要求</w:t>
            </w:r>
          </w:p>
        </w:tc>
        <w:tc>
          <w:tcPr>
            <w:tcW w:type="dxa" w:w="1038"/>
          </w:tcPr>
          <w:p/>
        </w:tc>
        <w:tc>
          <w:tcPr>
            <w:tcW w:type="dxa" w:w="1038"/>
          </w:tcPr>
          <w:p>
            <w:pPr>
              <w:pStyle w:val="null3"/>
            </w:pPr>
            <w:r>
              <w:rPr/>
              <w:t>网络设备功能</w:t>
            </w:r>
          </w:p>
        </w:tc>
        <w:tc>
          <w:tcPr>
            <w:tcW w:type="dxa" w:w="1038"/>
          </w:tcPr>
          <w:p>
            <w:pPr>
              <w:pStyle w:val="null3"/>
            </w:pPr>
            <w:r>
              <w:rPr/>
              <w:t>网络设备拆装</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129</w:t>
            </w:r>
          </w:p>
        </w:tc>
        <w:tc>
          <w:tcPr>
            <w:tcW w:type="dxa" w:w="1038"/>
          </w:tcPr>
          <w:p>
            <w:pPr>
              <w:pStyle w:val="null3"/>
            </w:pPr>
            <w:r>
              <w:rPr/>
              <w:t>便携式计算机-功能要求</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音频接口类型</w:t>
            </w:r>
          </w:p>
        </w:tc>
        <w:tc>
          <w:tcPr>
            <w:tcW w:type="dxa" w:w="1038"/>
          </w:tcPr>
          <w:p>
            <w:pPr>
              <w:pStyle w:val="null3"/>
            </w:pPr>
            <w:r>
              <w:rPr/>
              <w:t>不少于1个，宜支持3.5mm孔径的3段式接口。</w:t>
            </w:r>
          </w:p>
        </w:tc>
        <w:tc>
          <w:tcPr>
            <w:tcW w:type="dxa" w:w="1038"/>
          </w:tcPr>
          <w:p>
            <w:pPr>
              <w:pStyle w:val="null3"/>
            </w:pPr>
            <w:r>
              <w:rPr/>
              <w:t>否</w:t>
            </w:r>
          </w:p>
        </w:tc>
        <w:tc>
          <w:tcPr>
            <w:tcW w:type="dxa" w:w="1038"/>
          </w:tcPr>
          <w:p/>
        </w:tc>
      </w:tr>
      <w:tr>
        <w:tc>
          <w:tcPr>
            <w:tcW w:type="dxa" w:w="1038"/>
          </w:tcPr>
          <w:p>
            <w:pPr>
              <w:pStyle w:val="null3"/>
            </w:pPr>
            <w:r>
              <w:rPr/>
              <w:t>130</w:t>
            </w:r>
          </w:p>
        </w:tc>
        <w:tc>
          <w:tcPr>
            <w:tcW w:type="dxa" w:w="1038"/>
          </w:tcPr>
          <w:p>
            <w:pPr>
              <w:pStyle w:val="null3"/>
            </w:pPr>
            <w:r>
              <w:rPr/>
              <w:t>便携式计算机-功能要求</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视频接口类型</w:t>
            </w:r>
          </w:p>
        </w:tc>
        <w:tc>
          <w:tcPr>
            <w:tcW w:type="dxa" w:w="1038"/>
          </w:tcPr>
          <w:p>
            <w:pPr>
              <w:pStyle w:val="null3"/>
            </w:pPr>
            <w:r>
              <w:rPr/>
              <w:t>HDMI</w:t>
            </w:r>
          </w:p>
        </w:tc>
        <w:tc>
          <w:tcPr>
            <w:tcW w:type="dxa" w:w="1038"/>
          </w:tcPr>
          <w:p>
            <w:pPr>
              <w:pStyle w:val="null3"/>
            </w:pPr>
            <w:r>
              <w:rPr/>
              <w:t>否</w:t>
            </w:r>
          </w:p>
        </w:tc>
        <w:tc>
          <w:tcPr>
            <w:tcW w:type="dxa" w:w="1038"/>
          </w:tcPr>
          <w:p/>
        </w:tc>
      </w:tr>
      <w:tr>
        <w:tc>
          <w:tcPr>
            <w:tcW w:type="dxa" w:w="1038"/>
          </w:tcPr>
          <w:p>
            <w:pPr>
              <w:pStyle w:val="null3"/>
            </w:pPr>
            <w:r>
              <w:rPr/>
              <w:t>131</w:t>
            </w:r>
          </w:p>
        </w:tc>
        <w:tc>
          <w:tcPr>
            <w:tcW w:type="dxa" w:w="1038"/>
          </w:tcPr>
          <w:p>
            <w:pPr>
              <w:pStyle w:val="null3"/>
            </w:pPr>
            <w:r>
              <w:rPr/>
              <w:t>便携式计算机-功能要求</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HDMI、DP、 Type-C 显示接口要求</w:t>
            </w:r>
          </w:p>
        </w:tc>
        <w:tc>
          <w:tcPr>
            <w:tcW w:type="dxa" w:w="1038"/>
          </w:tcPr>
          <w:p>
            <w:pPr>
              <w:pStyle w:val="null3"/>
            </w:pPr>
            <w:r>
              <w:rPr/>
              <w:t>HDMI接口须支持音视频须同步输出</w:t>
            </w:r>
          </w:p>
        </w:tc>
        <w:tc>
          <w:tcPr>
            <w:tcW w:type="dxa" w:w="1038"/>
          </w:tcPr>
          <w:p>
            <w:pPr>
              <w:pStyle w:val="null3"/>
            </w:pPr>
            <w:r>
              <w:rPr/>
              <w:t>否</w:t>
            </w:r>
          </w:p>
        </w:tc>
        <w:tc>
          <w:tcPr>
            <w:tcW w:type="dxa" w:w="1038"/>
          </w:tcPr>
          <w:p/>
        </w:tc>
      </w:tr>
      <w:tr>
        <w:tc>
          <w:tcPr>
            <w:tcW w:type="dxa" w:w="1038"/>
          </w:tcPr>
          <w:p>
            <w:pPr>
              <w:pStyle w:val="null3"/>
            </w:pPr>
            <w:r>
              <w:rPr/>
              <w:t>132</w:t>
            </w:r>
          </w:p>
        </w:tc>
        <w:tc>
          <w:tcPr>
            <w:tcW w:type="dxa" w:w="1038"/>
          </w:tcPr>
          <w:p>
            <w:pPr>
              <w:pStyle w:val="null3"/>
            </w:pPr>
            <w:r>
              <w:rPr/>
              <w:t>便携式计算机-功能要求</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输入充电接口类型</w:t>
            </w:r>
          </w:p>
        </w:tc>
        <w:tc>
          <w:tcPr>
            <w:tcW w:type="dxa" w:w="1038"/>
          </w:tcPr>
          <w:p>
            <w:pPr>
              <w:pStyle w:val="null3"/>
            </w:pPr>
            <w:r>
              <w:rPr/>
              <w:t>Type-C接口</w:t>
            </w:r>
          </w:p>
        </w:tc>
        <w:tc>
          <w:tcPr>
            <w:tcW w:type="dxa" w:w="1038"/>
          </w:tcPr>
          <w:p>
            <w:pPr>
              <w:pStyle w:val="null3"/>
            </w:pPr>
            <w:r>
              <w:rPr/>
              <w:t>否</w:t>
            </w:r>
          </w:p>
        </w:tc>
        <w:tc>
          <w:tcPr>
            <w:tcW w:type="dxa" w:w="1038"/>
          </w:tcPr>
          <w:p/>
        </w:tc>
      </w:tr>
      <w:tr>
        <w:tc>
          <w:tcPr>
            <w:tcW w:type="dxa" w:w="1038"/>
          </w:tcPr>
          <w:p>
            <w:pPr>
              <w:pStyle w:val="null3"/>
            </w:pPr>
            <w:r>
              <w:rPr/>
              <w:t>133</w:t>
            </w:r>
          </w:p>
        </w:tc>
        <w:tc>
          <w:tcPr>
            <w:tcW w:type="dxa" w:w="1038"/>
          </w:tcPr>
          <w:p>
            <w:pPr>
              <w:pStyle w:val="null3"/>
            </w:pPr>
            <w:r>
              <w:rPr/>
              <w:t>便携式计算机-功能要求</w:t>
            </w:r>
          </w:p>
        </w:tc>
        <w:tc>
          <w:tcPr>
            <w:tcW w:type="dxa" w:w="1038"/>
          </w:tcPr>
          <w:p/>
        </w:tc>
        <w:tc>
          <w:tcPr>
            <w:tcW w:type="dxa" w:w="1038"/>
          </w:tcPr>
          <w:p>
            <w:pPr>
              <w:pStyle w:val="null3"/>
            </w:pPr>
            <w:r>
              <w:rPr/>
              <w:t>外部接口功能</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134</w:t>
            </w:r>
          </w:p>
        </w:tc>
        <w:tc>
          <w:tcPr>
            <w:tcW w:type="dxa" w:w="1038"/>
          </w:tcPr>
          <w:p>
            <w:pPr>
              <w:pStyle w:val="null3"/>
            </w:pPr>
            <w:r>
              <w:rPr/>
              <w:t>便携式计算机-功能要求</w:t>
            </w:r>
          </w:p>
        </w:tc>
        <w:tc>
          <w:tcPr>
            <w:tcW w:type="dxa" w:w="1038"/>
          </w:tcPr>
          <w:p/>
        </w:tc>
        <w:tc>
          <w:tcPr>
            <w:tcW w:type="dxa" w:w="1038"/>
          </w:tcPr>
          <w:p>
            <w:pPr>
              <w:pStyle w:val="null3"/>
            </w:pPr>
            <w:r>
              <w:rPr/>
              <w:t>外部接口功能</w:t>
            </w:r>
          </w:p>
        </w:tc>
        <w:tc>
          <w:tcPr>
            <w:tcW w:type="dxa" w:w="1038"/>
          </w:tcPr>
          <w:p>
            <w:pPr>
              <w:pStyle w:val="null3"/>
            </w:pPr>
            <w:r>
              <w:rPr/>
              <w:t>存储卡接口类型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135</w:t>
            </w:r>
          </w:p>
        </w:tc>
        <w:tc>
          <w:tcPr>
            <w:tcW w:type="dxa" w:w="1038"/>
          </w:tcPr>
          <w:p>
            <w:pPr>
              <w:pStyle w:val="null3"/>
            </w:pPr>
            <w:r>
              <w:rPr/>
              <w:t>便携式计算机-功能要求</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电池快充</w:t>
            </w:r>
          </w:p>
        </w:tc>
        <w:tc>
          <w:tcPr>
            <w:tcW w:type="dxa" w:w="1038"/>
          </w:tcPr>
          <w:p>
            <w:pPr>
              <w:pStyle w:val="null3"/>
            </w:pPr>
            <w:r>
              <w:rPr/>
              <w:t>支持快速充电功能</w:t>
            </w:r>
          </w:p>
        </w:tc>
        <w:tc>
          <w:tcPr>
            <w:tcW w:type="dxa" w:w="1038"/>
          </w:tcPr>
          <w:p>
            <w:pPr>
              <w:pStyle w:val="null3"/>
            </w:pPr>
            <w:r>
              <w:rPr/>
              <w:t>否</w:t>
            </w:r>
          </w:p>
        </w:tc>
        <w:tc>
          <w:tcPr>
            <w:tcW w:type="dxa" w:w="1038"/>
          </w:tcPr>
          <w:p/>
        </w:tc>
      </w:tr>
      <w:tr>
        <w:tc>
          <w:tcPr>
            <w:tcW w:type="dxa" w:w="1038"/>
          </w:tcPr>
          <w:p>
            <w:pPr>
              <w:pStyle w:val="null3"/>
            </w:pPr>
            <w:r>
              <w:rPr/>
              <w:t>136</w:t>
            </w:r>
          </w:p>
        </w:tc>
        <w:tc>
          <w:tcPr>
            <w:tcW w:type="dxa" w:w="1038"/>
          </w:tcPr>
          <w:p>
            <w:pPr>
              <w:pStyle w:val="null3"/>
            </w:pPr>
            <w:r>
              <w:rPr/>
              <w:t>便携式计算机-功能要求</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电源线适配能力</w:t>
            </w:r>
          </w:p>
        </w:tc>
        <w:tc>
          <w:tcPr>
            <w:tcW w:type="dxa" w:w="1038"/>
          </w:tcPr>
          <w:p>
            <w:pPr>
              <w:pStyle w:val="null3"/>
            </w:pPr>
            <w:r>
              <w:rPr/>
              <w:t>符合GB15934-2008，对于可拆线插头GB15934不做要求</w:t>
            </w:r>
          </w:p>
        </w:tc>
        <w:tc>
          <w:tcPr>
            <w:tcW w:type="dxa" w:w="1038"/>
          </w:tcPr>
          <w:p>
            <w:pPr>
              <w:pStyle w:val="null3"/>
            </w:pPr>
            <w:r>
              <w:rPr/>
              <w:t>否</w:t>
            </w:r>
          </w:p>
        </w:tc>
        <w:tc>
          <w:tcPr>
            <w:tcW w:type="dxa" w:w="1038"/>
          </w:tcPr>
          <w:p/>
        </w:tc>
      </w:tr>
      <w:tr>
        <w:tc>
          <w:tcPr>
            <w:tcW w:type="dxa" w:w="1038"/>
          </w:tcPr>
          <w:p>
            <w:pPr>
              <w:pStyle w:val="null3"/>
            </w:pPr>
            <w:r>
              <w:rPr/>
              <w:t>137</w:t>
            </w:r>
          </w:p>
        </w:tc>
        <w:tc>
          <w:tcPr>
            <w:tcW w:type="dxa" w:w="1038"/>
          </w:tcPr>
          <w:p>
            <w:pPr>
              <w:pStyle w:val="null3"/>
            </w:pPr>
            <w:r>
              <w:rPr/>
              <w:t>便携式计算机-功能要求</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中文信息处理要求</w:t>
            </w:r>
          </w:p>
        </w:tc>
        <w:tc>
          <w:tcPr>
            <w:tcW w:type="dxa" w:w="1038"/>
          </w:tcPr>
          <w:p>
            <w:pPr>
              <w:pStyle w:val="null3"/>
            </w:pPr>
            <w:r>
              <w:rPr/>
              <w:t>符合GB18030的相关规定</w:t>
            </w:r>
          </w:p>
        </w:tc>
        <w:tc>
          <w:tcPr>
            <w:tcW w:type="dxa" w:w="1038"/>
          </w:tcPr>
          <w:p>
            <w:pPr>
              <w:pStyle w:val="null3"/>
            </w:pPr>
            <w:r>
              <w:rPr/>
              <w:t>否</w:t>
            </w:r>
          </w:p>
        </w:tc>
        <w:tc>
          <w:tcPr>
            <w:tcW w:type="dxa" w:w="1038"/>
          </w:tcPr>
          <w:p/>
        </w:tc>
      </w:tr>
      <w:tr>
        <w:tc>
          <w:tcPr>
            <w:tcW w:type="dxa" w:w="1038"/>
          </w:tcPr>
          <w:p>
            <w:pPr>
              <w:pStyle w:val="null3"/>
            </w:pPr>
            <w:r>
              <w:rPr/>
              <w:t>138</w:t>
            </w:r>
          </w:p>
        </w:tc>
        <w:tc>
          <w:tcPr>
            <w:tcW w:type="dxa" w:w="1038"/>
          </w:tcPr>
          <w:p>
            <w:pPr>
              <w:pStyle w:val="null3"/>
            </w:pPr>
            <w:r>
              <w:rPr/>
              <w:t>便携式计算机-功能要求</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操作系统备份及还原功能</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139</w:t>
            </w:r>
          </w:p>
        </w:tc>
        <w:tc>
          <w:tcPr>
            <w:tcW w:type="dxa" w:w="1038"/>
          </w:tcPr>
          <w:p>
            <w:pPr>
              <w:pStyle w:val="null3"/>
            </w:pPr>
            <w:r>
              <w:rPr/>
              <w:t>便携式计算机-功能要求</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固件备份还原能力</w:t>
            </w:r>
          </w:p>
        </w:tc>
        <w:tc>
          <w:tcPr>
            <w:tcW w:type="dxa" w:w="1038"/>
          </w:tcPr>
          <w:p>
            <w:pPr>
              <w:pStyle w:val="null3"/>
            </w:pPr>
            <w:r>
              <w:rPr/>
              <w:t>支持备份及还原固件的功能</w:t>
            </w:r>
          </w:p>
        </w:tc>
        <w:tc>
          <w:tcPr>
            <w:tcW w:type="dxa" w:w="1038"/>
          </w:tcPr>
          <w:p>
            <w:pPr>
              <w:pStyle w:val="null3"/>
            </w:pPr>
            <w:r>
              <w:rPr/>
              <w:t>否</w:t>
            </w:r>
          </w:p>
        </w:tc>
        <w:tc>
          <w:tcPr>
            <w:tcW w:type="dxa" w:w="1038"/>
          </w:tcPr>
          <w:p/>
        </w:tc>
      </w:tr>
      <w:tr>
        <w:tc>
          <w:tcPr>
            <w:tcW w:type="dxa" w:w="1038"/>
          </w:tcPr>
          <w:p>
            <w:pPr>
              <w:pStyle w:val="null3"/>
            </w:pPr>
            <w:r>
              <w:rPr/>
              <w:t>140</w:t>
            </w:r>
          </w:p>
        </w:tc>
        <w:tc>
          <w:tcPr>
            <w:tcW w:type="dxa" w:w="1038"/>
          </w:tcPr>
          <w:p>
            <w:pPr>
              <w:pStyle w:val="null3"/>
            </w:pPr>
            <w:r>
              <w:rPr/>
              <w:t>便携式计算机-功能要求</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操作系统及驱动升级</w:t>
            </w:r>
          </w:p>
        </w:tc>
        <w:tc>
          <w:tcPr>
            <w:tcW w:type="dxa" w:w="1038"/>
          </w:tcPr>
          <w:p>
            <w:pPr>
              <w:pStyle w:val="null3"/>
            </w:pPr>
            <w:r>
              <w:rPr/>
              <w:t>支持通过网络、闪存盘等方式对操作系统、驱动进行升级</w:t>
            </w:r>
          </w:p>
        </w:tc>
        <w:tc>
          <w:tcPr>
            <w:tcW w:type="dxa" w:w="1038"/>
          </w:tcPr>
          <w:p>
            <w:pPr>
              <w:pStyle w:val="null3"/>
            </w:pPr>
            <w:r>
              <w:rPr/>
              <w:t>否</w:t>
            </w:r>
          </w:p>
        </w:tc>
        <w:tc>
          <w:tcPr>
            <w:tcW w:type="dxa" w:w="1038"/>
          </w:tcPr>
          <w:p/>
        </w:tc>
      </w:tr>
      <w:tr>
        <w:tc>
          <w:tcPr>
            <w:tcW w:type="dxa" w:w="1038"/>
          </w:tcPr>
          <w:p>
            <w:pPr>
              <w:pStyle w:val="null3"/>
            </w:pPr>
            <w:r>
              <w:rPr/>
              <w:t>141</w:t>
            </w:r>
          </w:p>
        </w:tc>
        <w:tc>
          <w:tcPr>
            <w:tcW w:type="dxa" w:w="1038"/>
          </w:tcPr>
          <w:p>
            <w:pPr>
              <w:pStyle w:val="null3"/>
            </w:pPr>
            <w:r>
              <w:rPr/>
              <w:t>便携式计算机-功能要求</w:t>
            </w:r>
          </w:p>
        </w:tc>
        <w:tc>
          <w:tcPr>
            <w:tcW w:type="dxa" w:w="1038"/>
          </w:tcPr>
          <w:p/>
        </w:tc>
        <w:tc>
          <w:tcPr>
            <w:tcW w:type="dxa" w:w="1038"/>
          </w:tcPr>
          <w:p>
            <w:pPr>
              <w:pStyle w:val="null3"/>
            </w:pPr>
            <w:r>
              <w:rPr/>
              <w:t>操作系统及软件功能</w:t>
            </w:r>
          </w:p>
        </w:tc>
        <w:tc>
          <w:tcPr>
            <w:tcW w:type="dxa" w:w="1038"/>
          </w:tcPr>
          <w:p>
            <w:pPr>
              <w:pStyle w:val="null3"/>
            </w:pPr>
            <w:r>
              <w:rPr/>
              <w:t>固件升级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142</w:t>
            </w:r>
          </w:p>
        </w:tc>
        <w:tc>
          <w:tcPr>
            <w:tcW w:type="dxa" w:w="1038"/>
          </w:tcPr>
          <w:p>
            <w:pPr>
              <w:pStyle w:val="null3"/>
            </w:pPr>
            <w:r>
              <w:rPr/>
              <w:t>便携式计算机-功能要求</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BIOS支持关闭通讯接口</w:t>
            </w:r>
          </w:p>
        </w:tc>
        <w:tc>
          <w:tcPr>
            <w:tcW w:type="dxa" w:w="1038"/>
          </w:tcPr>
          <w:p>
            <w:pPr>
              <w:pStyle w:val="null3"/>
            </w:pPr>
            <w:r>
              <w:rPr/>
              <w:t>支持BIOS 关闭以太网及USB接口功能</w:t>
            </w:r>
          </w:p>
        </w:tc>
        <w:tc>
          <w:tcPr>
            <w:tcW w:type="dxa" w:w="1038"/>
          </w:tcPr>
          <w:p>
            <w:pPr>
              <w:pStyle w:val="null3"/>
            </w:pPr>
            <w:r>
              <w:rPr/>
              <w:t>否</w:t>
            </w:r>
          </w:p>
        </w:tc>
        <w:tc>
          <w:tcPr>
            <w:tcW w:type="dxa" w:w="1038"/>
          </w:tcPr>
          <w:p/>
        </w:tc>
      </w:tr>
      <w:tr>
        <w:tc>
          <w:tcPr>
            <w:tcW w:type="dxa" w:w="1038"/>
          </w:tcPr>
          <w:p>
            <w:pPr>
              <w:pStyle w:val="null3"/>
            </w:pPr>
            <w:r>
              <w:rPr/>
              <w:t>143</w:t>
            </w:r>
          </w:p>
        </w:tc>
        <w:tc>
          <w:tcPr>
            <w:tcW w:type="dxa" w:w="1038"/>
          </w:tcPr>
          <w:p>
            <w:pPr>
              <w:pStyle w:val="null3"/>
            </w:pPr>
            <w:r>
              <w:rPr/>
              <w:t>便携式计算机-功能要求</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固件查看信息</w:t>
            </w:r>
          </w:p>
        </w:tc>
        <w:tc>
          <w:tcPr>
            <w:tcW w:type="dxa" w:w="1038"/>
          </w:tcPr>
          <w:p>
            <w:pPr>
              <w:pStyle w:val="null3"/>
            </w:pPr>
            <w:r>
              <w:rPr/>
              <w:t>支持查看固件版本、内存信息、主板信息、处理器信息和系统时间信息等功能</w:t>
            </w:r>
          </w:p>
        </w:tc>
        <w:tc>
          <w:tcPr>
            <w:tcW w:type="dxa" w:w="1038"/>
          </w:tcPr>
          <w:p>
            <w:pPr>
              <w:pStyle w:val="null3"/>
            </w:pPr>
            <w:r>
              <w:rPr/>
              <w:t>否</w:t>
            </w:r>
          </w:p>
        </w:tc>
        <w:tc>
          <w:tcPr>
            <w:tcW w:type="dxa" w:w="1038"/>
          </w:tcPr>
          <w:p/>
        </w:tc>
      </w:tr>
      <w:tr>
        <w:tc>
          <w:tcPr>
            <w:tcW w:type="dxa" w:w="1038"/>
          </w:tcPr>
          <w:p>
            <w:pPr>
              <w:pStyle w:val="null3"/>
            </w:pPr>
            <w:r>
              <w:rPr/>
              <w:t>144</w:t>
            </w:r>
          </w:p>
        </w:tc>
        <w:tc>
          <w:tcPr>
            <w:tcW w:type="dxa" w:w="1038"/>
          </w:tcPr>
          <w:p>
            <w:pPr>
              <w:pStyle w:val="null3"/>
            </w:pPr>
            <w:r>
              <w:rPr/>
              <w:t>便携式计算机-功能要求</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固件设置启动顺序</w:t>
            </w:r>
          </w:p>
        </w:tc>
        <w:tc>
          <w:tcPr>
            <w:tcW w:type="dxa" w:w="1038"/>
          </w:tcPr>
          <w:p>
            <w:pPr>
              <w:pStyle w:val="null3"/>
            </w:pPr>
            <w:r>
              <w:rPr/>
              <w:t>支持设置启动顺序功能，并按照设置的启动顺序启动</w:t>
            </w:r>
          </w:p>
        </w:tc>
        <w:tc>
          <w:tcPr>
            <w:tcW w:type="dxa" w:w="1038"/>
          </w:tcPr>
          <w:p>
            <w:pPr>
              <w:pStyle w:val="null3"/>
            </w:pPr>
            <w:r>
              <w:rPr/>
              <w:t>否</w:t>
            </w:r>
          </w:p>
        </w:tc>
        <w:tc>
          <w:tcPr>
            <w:tcW w:type="dxa" w:w="1038"/>
          </w:tcPr>
          <w:p/>
        </w:tc>
      </w:tr>
      <w:tr>
        <w:tc>
          <w:tcPr>
            <w:tcW w:type="dxa" w:w="1038"/>
          </w:tcPr>
          <w:p>
            <w:pPr>
              <w:pStyle w:val="null3"/>
            </w:pPr>
            <w:r>
              <w:rPr/>
              <w:t>145</w:t>
            </w:r>
          </w:p>
        </w:tc>
        <w:tc>
          <w:tcPr>
            <w:tcW w:type="dxa" w:w="1038"/>
          </w:tcPr>
          <w:p>
            <w:pPr>
              <w:pStyle w:val="null3"/>
            </w:pPr>
            <w:r>
              <w:rPr/>
              <w:t>便携式计算机-功能要求</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固件设置口令</w:t>
            </w:r>
          </w:p>
        </w:tc>
        <w:tc>
          <w:tcPr>
            <w:tcW w:type="dxa" w:w="1038"/>
          </w:tcPr>
          <w:p>
            <w:pPr>
              <w:pStyle w:val="null3"/>
            </w:pPr>
            <w:r>
              <w:rPr/>
              <w:t>支持设置口令、修改口令、验证口令功能</w:t>
            </w:r>
          </w:p>
        </w:tc>
        <w:tc>
          <w:tcPr>
            <w:tcW w:type="dxa" w:w="1038"/>
          </w:tcPr>
          <w:p>
            <w:pPr>
              <w:pStyle w:val="null3"/>
            </w:pPr>
            <w:r>
              <w:rPr/>
              <w:t>否</w:t>
            </w:r>
          </w:p>
        </w:tc>
        <w:tc>
          <w:tcPr>
            <w:tcW w:type="dxa" w:w="1038"/>
          </w:tcPr>
          <w:p/>
        </w:tc>
      </w:tr>
      <w:tr>
        <w:tc>
          <w:tcPr>
            <w:tcW w:type="dxa" w:w="1038"/>
          </w:tcPr>
          <w:p>
            <w:pPr>
              <w:pStyle w:val="null3"/>
            </w:pPr>
            <w:r>
              <w:rPr/>
              <w:t>146</w:t>
            </w:r>
          </w:p>
        </w:tc>
        <w:tc>
          <w:tcPr>
            <w:tcW w:type="dxa" w:w="1038"/>
          </w:tcPr>
          <w:p>
            <w:pPr>
              <w:pStyle w:val="null3"/>
            </w:pPr>
            <w:r>
              <w:rPr/>
              <w:t>便携式计算机-功能要求</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固件设置网络引导</w:t>
            </w:r>
          </w:p>
        </w:tc>
        <w:tc>
          <w:tcPr>
            <w:tcW w:type="dxa" w:w="1038"/>
          </w:tcPr>
          <w:p>
            <w:pPr>
              <w:pStyle w:val="null3"/>
            </w:pPr>
            <w:r>
              <w:rPr/>
              <w:t>支持网络引导启动和关闭功能</w:t>
            </w:r>
          </w:p>
        </w:tc>
        <w:tc>
          <w:tcPr>
            <w:tcW w:type="dxa" w:w="1038"/>
          </w:tcPr>
          <w:p>
            <w:pPr>
              <w:pStyle w:val="null3"/>
            </w:pPr>
            <w:r>
              <w:rPr/>
              <w:t>否</w:t>
            </w:r>
          </w:p>
        </w:tc>
        <w:tc>
          <w:tcPr>
            <w:tcW w:type="dxa" w:w="1038"/>
          </w:tcPr>
          <w:p/>
        </w:tc>
      </w:tr>
      <w:tr>
        <w:tc>
          <w:tcPr>
            <w:tcW w:type="dxa" w:w="1038"/>
          </w:tcPr>
          <w:p>
            <w:pPr>
              <w:pStyle w:val="null3"/>
            </w:pPr>
            <w:r>
              <w:rPr/>
              <w:t>147</w:t>
            </w:r>
          </w:p>
        </w:tc>
        <w:tc>
          <w:tcPr>
            <w:tcW w:type="dxa" w:w="1038"/>
          </w:tcPr>
          <w:p>
            <w:pPr>
              <w:pStyle w:val="null3"/>
            </w:pPr>
            <w:r>
              <w:rPr/>
              <w:t>便携式计算机-功能要求</w:t>
            </w:r>
          </w:p>
        </w:tc>
        <w:tc>
          <w:tcPr>
            <w:tcW w:type="dxa" w:w="1038"/>
          </w:tcPr>
          <w:p/>
        </w:tc>
        <w:tc>
          <w:tcPr>
            <w:tcW w:type="dxa" w:w="1038"/>
          </w:tcPr>
          <w:p>
            <w:pPr>
              <w:pStyle w:val="null3"/>
            </w:pPr>
            <w:r>
              <w:rPr/>
              <w:t>生物识别功能</w:t>
            </w:r>
          </w:p>
        </w:tc>
        <w:tc>
          <w:tcPr>
            <w:tcW w:type="dxa" w:w="1038"/>
          </w:tcPr>
          <w:p>
            <w:pPr>
              <w:pStyle w:val="null3"/>
            </w:pPr>
            <w:r>
              <w:rPr/>
              <w:t>指纹识别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148</w:t>
            </w:r>
          </w:p>
        </w:tc>
        <w:tc>
          <w:tcPr>
            <w:tcW w:type="dxa" w:w="1038"/>
          </w:tcPr>
          <w:p>
            <w:pPr>
              <w:pStyle w:val="null3"/>
            </w:pPr>
            <w:r>
              <w:rPr/>
              <w:t>便携式计算机-功能要求</w:t>
            </w:r>
          </w:p>
        </w:tc>
        <w:tc>
          <w:tcPr>
            <w:tcW w:type="dxa" w:w="1038"/>
          </w:tcPr>
          <w:p/>
        </w:tc>
        <w:tc>
          <w:tcPr>
            <w:tcW w:type="dxa" w:w="1038"/>
          </w:tcPr>
          <w:p>
            <w:pPr>
              <w:pStyle w:val="null3"/>
            </w:pPr>
            <w:r>
              <w:rPr/>
              <w:t>生物识别功能</w:t>
            </w:r>
          </w:p>
        </w:tc>
        <w:tc>
          <w:tcPr>
            <w:tcW w:type="dxa" w:w="1038"/>
          </w:tcPr>
          <w:p>
            <w:pPr>
              <w:pStyle w:val="null3"/>
            </w:pPr>
            <w:r>
              <w:rPr/>
              <w:t>人脸识别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149</w:t>
            </w:r>
          </w:p>
        </w:tc>
        <w:tc>
          <w:tcPr>
            <w:tcW w:type="dxa" w:w="1038"/>
          </w:tcPr>
          <w:p>
            <w:pPr>
              <w:pStyle w:val="null3"/>
            </w:pPr>
            <w:r>
              <w:rPr/>
              <w:t>便携式计算机-功能要求</w:t>
            </w:r>
          </w:p>
        </w:tc>
        <w:tc>
          <w:tcPr>
            <w:tcW w:type="dxa" w:w="1038"/>
          </w:tcPr>
          <w:p/>
        </w:tc>
        <w:tc>
          <w:tcPr>
            <w:tcW w:type="dxa" w:w="1038"/>
          </w:tcPr>
          <w:p>
            <w:pPr>
              <w:pStyle w:val="null3"/>
            </w:pPr>
            <w:r>
              <w:rPr/>
              <w:t>生物识别功能</w:t>
            </w:r>
          </w:p>
        </w:tc>
        <w:tc>
          <w:tcPr>
            <w:tcW w:type="dxa" w:w="1038"/>
          </w:tcPr>
          <w:p>
            <w:pPr>
              <w:pStyle w:val="null3"/>
            </w:pPr>
            <w:r>
              <w:rPr/>
              <w:t>静脉识别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150</w:t>
            </w:r>
          </w:p>
        </w:tc>
        <w:tc>
          <w:tcPr>
            <w:tcW w:type="dxa" w:w="1038"/>
          </w:tcPr>
          <w:p>
            <w:pPr>
              <w:pStyle w:val="null3"/>
            </w:pPr>
            <w:r>
              <w:rPr/>
              <w:t>便携式计算机-功能要求</w:t>
            </w:r>
          </w:p>
        </w:tc>
        <w:tc>
          <w:tcPr>
            <w:tcW w:type="dxa" w:w="1038"/>
          </w:tcPr>
          <w:p/>
        </w:tc>
        <w:tc>
          <w:tcPr>
            <w:tcW w:type="dxa" w:w="1038"/>
          </w:tcPr>
          <w:p>
            <w:pPr>
              <w:pStyle w:val="null3"/>
            </w:pPr>
            <w:r>
              <w:rPr/>
              <w:t>硬件加速功能</w:t>
            </w:r>
          </w:p>
        </w:tc>
        <w:tc>
          <w:tcPr>
            <w:tcW w:type="dxa" w:w="1038"/>
          </w:tcPr>
          <w:p>
            <w:pPr>
              <w:pStyle w:val="null3"/>
            </w:pPr>
            <w:r>
              <w:rPr/>
              <w:t>NPU/GPU等AI加速模块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151</w:t>
            </w:r>
          </w:p>
        </w:tc>
        <w:tc>
          <w:tcPr>
            <w:tcW w:type="dxa" w:w="1038"/>
          </w:tcPr>
          <w:p>
            <w:pPr>
              <w:pStyle w:val="null3"/>
            </w:pPr>
            <w:r>
              <w:rPr/>
              <w:t>便携式计算机-功能要求</w:t>
            </w:r>
          </w:p>
        </w:tc>
        <w:tc>
          <w:tcPr>
            <w:tcW w:type="dxa" w:w="1038"/>
          </w:tcPr>
          <w:p/>
        </w:tc>
        <w:tc>
          <w:tcPr>
            <w:tcW w:type="dxa" w:w="1038"/>
          </w:tcPr>
          <w:p>
            <w:pPr>
              <w:pStyle w:val="null3"/>
            </w:pPr>
            <w:r>
              <w:rPr/>
              <w:t>硬件加速功能</w:t>
            </w:r>
          </w:p>
        </w:tc>
        <w:tc>
          <w:tcPr>
            <w:tcW w:type="dxa" w:w="1038"/>
          </w:tcPr>
          <w:p>
            <w:pPr>
              <w:pStyle w:val="null3"/>
            </w:pPr>
            <w:r>
              <w:rPr/>
              <w:t>视频编解码加速模块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152</w:t>
            </w:r>
          </w:p>
        </w:tc>
        <w:tc>
          <w:tcPr>
            <w:tcW w:type="dxa" w:w="1038"/>
          </w:tcPr>
          <w:p>
            <w:pPr>
              <w:pStyle w:val="null3"/>
            </w:pPr>
            <w:r>
              <w:rPr/>
              <w:t>便携式计算机-功能要求</w:t>
            </w:r>
          </w:p>
        </w:tc>
        <w:tc>
          <w:tcPr>
            <w:tcW w:type="dxa" w:w="1038"/>
          </w:tcPr>
          <w:p/>
        </w:tc>
        <w:tc>
          <w:tcPr>
            <w:tcW w:type="dxa" w:w="1038"/>
          </w:tcPr>
          <w:p>
            <w:pPr>
              <w:pStyle w:val="null3"/>
            </w:pPr>
            <w:r>
              <w:rPr/>
              <w:t>硬件加速功能</w:t>
            </w:r>
          </w:p>
        </w:tc>
        <w:tc>
          <w:tcPr>
            <w:tcW w:type="dxa" w:w="1038"/>
          </w:tcPr>
          <w:p>
            <w:pPr>
              <w:pStyle w:val="null3"/>
            </w:pPr>
            <w:r>
              <w:rPr/>
              <w:t>影像处理加速模块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153</w:t>
            </w:r>
          </w:p>
        </w:tc>
        <w:tc>
          <w:tcPr>
            <w:tcW w:type="dxa" w:w="1038"/>
          </w:tcPr>
          <w:p>
            <w:pPr>
              <w:pStyle w:val="null3"/>
            </w:pPr>
            <w:r>
              <w:rPr/>
              <w:t>便携式计算机-可靠性要求</w:t>
            </w:r>
          </w:p>
        </w:tc>
        <w:tc>
          <w:tcPr>
            <w:tcW w:type="dxa" w:w="1038"/>
          </w:tcPr>
          <w:p>
            <w:pPr>
              <w:pStyle w:val="null3"/>
            </w:pPr>
            <w:r>
              <w:rPr/>
              <w:t>★</w:t>
            </w:r>
          </w:p>
        </w:tc>
        <w:tc>
          <w:tcPr>
            <w:tcW w:type="dxa" w:w="1038"/>
          </w:tcPr>
          <w:p>
            <w:pPr>
              <w:pStyle w:val="null3"/>
            </w:pPr>
            <w:r>
              <w:rPr/>
              <w:t>存储设备可靠性</w:t>
            </w:r>
          </w:p>
        </w:tc>
        <w:tc>
          <w:tcPr>
            <w:tcW w:type="dxa" w:w="1038"/>
          </w:tcPr>
          <w:p>
            <w:pPr>
              <w:pStyle w:val="null3"/>
            </w:pPr>
            <w:r>
              <w:rPr/>
              <w:t>固态存储寿命</w:t>
            </w:r>
          </w:p>
        </w:tc>
        <w:tc>
          <w:tcPr>
            <w:tcW w:type="dxa" w:w="1038"/>
          </w:tcPr>
          <w:p>
            <w:pPr>
              <w:pStyle w:val="null3"/>
            </w:pPr>
            <w:r>
              <w:rPr/>
              <w:t>TBW≥80TB（条件：256GB 硬盘容量）</w:t>
            </w:r>
          </w:p>
        </w:tc>
        <w:tc>
          <w:tcPr>
            <w:tcW w:type="dxa" w:w="1038"/>
          </w:tcPr>
          <w:p>
            <w:pPr>
              <w:pStyle w:val="null3"/>
            </w:pPr>
            <w:r>
              <w:rPr/>
              <w:t>否</w:t>
            </w:r>
          </w:p>
        </w:tc>
        <w:tc>
          <w:tcPr>
            <w:tcW w:type="dxa" w:w="1038"/>
          </w:tcPr>
          <w:p/>
        </w:tc>
      </w:tr>
      <w:tr>
        <w:tc>
          <w:tcPr>
            <w:tcW w:type="dxa" w:w="1038"/>
          </w:tcPr>
          <w:p>
            <w:pPr>
              <w:pStyle w:val="null3"/>
            </w:pPr>
            <w:r>
              <w:rPr/>
              <w:t>154</w:t>
            </w:r>
          </w:p>
        </w:tc>
        <w:tc>
          <w:tcPr>
            <w:tcW w:type="dxa" w:w="1038"/>
          </w:tcPr>
          <w:p>
            <w:pPr>
              <w:pStyle w:val="null3"/>
            </w:pPr>
            <w:r>
              <w:rPr/>
              <w:t>便携式计算机-可靠性要求</w:t>
            </w:r>
          </w:p>
        </w:tc>
        <w:tc>
          <w:tcPr>
            <w:tcW w:type="dxa" w:w="1038"/>
          </w:tcPr>
          <w:p/>
        </w:tc>
        <w:tc>
          <w:tcPr>
            <w:tcW w:type="dxa" w:w="1038"/>
          </w:tcPr>
          <w:p>
            <w:pPr>
              <w:pStyle w:val="null3"/>
            </w:pPr>
            <w:r>
              <w:rPr/>
              <w:t>存储设备可靠性</w:t>
            </w:r>
          </w:p>
        </w:tc>
        <w:tc>
          <w:tcPr>
            <w:tcW w:type="dxa" w:w="1038"/>
          </w:tcPr>
          <w:p>
            <w:pPr>
              <w:pStyle w:val="null3"/>
            </w:pPr>
            <w:r>
              <w:rPr/>
              <w:t>机械硬盘寿命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155</w:t>
            </w:r>
          </w:p>
        </w:tc>
        <w:tc>
          <w:tcPr>
            <w:tcW w:type="dxa" w:w="1038"/>
          </w:tcPr>
          <w:p>
            <w:pPr>
              <w:pStyle w:val="null3"/>
            </w:pPr>
            <w:r>
              <w:rPr/>
              <w:t>便携式计算机-可靠性要求</w:t>
            </w:r>
          </w:p>
        </w:tc>
        <w:tc>
          <w:tcPr>
            <w:tcW w:type="dxa" w:w="1038"/>
          </w:tcPr>
          <w:p>
            <w:pPr>
              <w:pStyle w:val="null3"/>
            </w:pPr>
            <w:r>
              <w:rPr/>
              <w:t>★</w:t>
            </w:r>
          </w:p>
        </w:tc>
        <w:tc>
          <w:tcPr>
            <w:tcW w:type="dxa" w:w="1038"/>
          </w:tcPr>
          <w:p>
            <w:pPr>
              <w:pStyle w:val="null3"/>
            </w:pPr>
            <w:r>
              <w:rPr/>
              <w:t>显示设备可靠性</w:t>
            </w:r>
          </w:p>
        </w:tc>
        <w:tc>
          <w:tcPr>
            <w:tcW w:type="dxa" w:w="1038"/>
          </w:tcPr>
          <w:p>
            <w:pPr>
              <w:pStyle w:val="null3"/>
            </w:pPr>
            <w:r>
              <w:rPr/>
              <w:t>显示屏屏幕失效点</w:t>
            </w:r>
          </w:p>
        </w:tc>
        <w:tc>
          <w:tcPr>
            <w:tcW w:type="dxa" w:w="1038"/>
          </w:tcPr>
          <w:p>
            <w:pPr>
              <w:pStyle w:val="null3"/>
            </w:pPr>
            <w:r>
              <w:rPr/>
              <w:t>不存在失效点</w:t>
            </w:r>
          </w:p>
        </w:tc>
        <w:tc>
          <w:tcPr>
            <w:tcW w:type="dxa" w:w="1038"/>
          </w:tcPr>
          <w:p>
            <w:pPr>
              <w:pStyle w:val="null3"/>
            </w:pPr>
            <w:r>
              <w:rPr/>
              <w:t>否</w:t>
            </w:r>
          </w:p>
        </w:tc>
        <w:tc>
          <w:tcPr>
            <w:tcW w:type="dxa" w:w="1038"/>
          </w:tcPr>
          <w:p/>
        </w:tc>
      </w:tr>
      <w:tr>
        <w:tc>
          <w:tcPr>
            <w:tcW w:type="dxa" w:w="1038"/>
          </w:tcPr>
          <w:p>
            <w:pPr>
              <w:pStyle w:val="null3"/>
            </w:pPr>
            <w:r>
              <w:rPr/>
              <w:t>156</w:t>
            </w:r>
          </w:p>
        </w:tc>
        <w:tc>
          <w:tcPr>
            <w:tcW w:type="dxa" w:w="1038"/>
          </w:tcPr>
          <w:p>
            <w:pPr>
              <w:pStyle w:val="null3"/>
            </w:pPr>
            <w:r>
              <w:rPr/>
              <w:t>便携式计算机-可靠性要求</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键盘按键寿命</w:t>
            </w:r>
          </w:p>
        </w:tc>
        <w:tc>
          <w:tcPr>
            <w:tcW w:type="dxa" w:w="1038"/>
          </w:tcPr>
          <w:p>
            <w:pPr>
              <w:pStyle w:val="null3"/>
            </w:pPr>
            <w:r>
              <w:rPr/>
              <w:t>≥1000万次</w:t>
            </w:r>
          </w:p>
        </w:tc>
        <w:tc>
          <w:tcPr>
            <w:tcW w:type="dxa" w:w="1038"/>
          </w:tcPr>
          <w:p>
            <w:pPr>
              <w:pStyle w:val="null3"/>
            </w:pPr>
            <w:r>
              <w:rPr/>
              <w:t>否</w:t>
            </w:r>
          </w:p>
        </w:tc>
        <w:tc>
          <w:tcPr>
            <w:tcW w:type="dxa" w:w="1038"/>
          </w:tcPr>
          <w:p/>
        </w:tc>
      </w:tr>
      <w:tr>
        <w:tc>
          <w:tcPr>
            <w:tcW w:type="dxa" w:w="1038"/>
          </w:tcPr>
          <w:p>
            <w:pPr>
              <w:pStyle w:val="null3"/>
            </w:pPr>
            <w:r>
              <w:rPr/>
              <w:t>157</w:t>
            </w:r>
          </w:p>
        </w:tc>
        <w:tc>
          <w:tcPr>
            <w:tcW w:type="dxa" w:w="1038"/>
          </w:tcPr>
          <w:p>
            <w:pPr>
              <w:pStyle w:val="null3"/>
            </w:pPr>
            <w:r>
              <w:rPr/>
              <w:t>便携式计算机-可靠性要求</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鼠标按键寿命</w:t>
            </w:r>
          </w:p>
        </w:tc>
        <w:tc>
          <w:tcPr>
            <w:tcW w:type="dxa" w:w="1038"/>
          </w:tcPr>
          <w:p>
            <w:pPr>
              <w:pStyle w:val="null3"/>
            </w:pPr>
            <w:r>
              <w:rPr/>
              <w:t>≥500万次</w:t>
            </w:r>
          </w:p>
        </w:tc>
        <w:tc>
          <w:tcPr>
            <w:tcW w:type="dxa" w:w="1038"/>
          </w:tcPr>
          <w:p>
            <w:pPr>
              <w:pStyle w:val="null3"/>
            </w:pPr>
            <w:r>
              <w:rPr/>
              <w:t>否</w:t>
            </w:r>
          </w:p>
        </w:tc>
        <w:tc>
          <w:tcPr>
            <w:tcW w:type="dxa" w:w="1038"/>
          </w:tcPr>
          <w:p/>
        </w:tc>
      </w:tr>
      <w:tr>
        <w:tc>
          <w:tcPr>
            <w:tcW w:type="dxa" w:w="1038"/>
          </w:tcPr>
          <w:p>
            <w:pPr>
              <w:pStyle w:val="null3"/>
            </w:pPr>
            <w:r>
              <w:rPr/>
              <w:t>158</w:t>
            </w:r>
          </w:p>
        </w:tc>
        <w:tc>
          <w:tcPr>
            <w:tcW w:type="dxa" w:w="1038"/>
          </w:tcPr>
          <w:p>
            <w:pPr>
              <w:pStyle w:val="null3"/>
            </w:pPr>
            <w:r>
              <w:rPr/>
              <w:t>便携式计算机-可靠性要求</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键盘鼠标线材寿命</w:t>
            </w:r>
          </w:p>
        </w:tc>
        <w:tc>
          <w:tcPr>
            <w:tcW w:type="dxa" w:w="1038"/>
          </w:tcPr>
          <w:p>
            <w:pPr>
              <w:pStyle w:val="null3"/>
            </w:pPr>
            <w:r>
              <w:rPr/>
              <w:t>键盘鼠标所用线材经±60°弯折不低于3000 次，功能、外观完好</w:t>
            </w:r>
          </w:p>
        </w:tc>
        <w:tc>
          <w:tcPr>
            <w:tcW w:type="dxa" w:w="1038"/>
          </w:tcPr>
          <w:p>
            <w:pPr>
              <w:pStyle w:val="null3"/>
            </w:pPr>
            <w:r>
              <w:rPr/>
              <w:t>否</w:t>
            </w:r>
          </w:p>
        </w:tc>
        <w:tc>
          <w:tcPr>
            <w:tcW w:type="dxa" w:w="1038"/>
          </w:tcPr>
          <w:p/>
        </w:tc>
      </w:tr>
      <w:tr>
        <w:tc>
          <w:tcPr>
            <w:tcW w:type="dxa" w:w="1038"/>
          </w:tcPr>
          <w:p>
            <w:pPr>
              <w:pStyle w:val="null3"/>
            </w:pPr>
            <w:r>
              <w:rPr/>
              <w:t>159</w:t>
            </w:r>
          </w:p>
        </w:tc>
        <w:tc>
          <w:tcPr>
            <w:tcW w:type="dxa" w:w="1038"/>
          </w:tcPr>
          <w:p>
            <w:pPr>
              <w:pStyle w:val="null3"/>
            </w:pPr>
            <w:r>
              <w:rPr/>
              <w:t>便携式计算机-可靠性要求</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风扇寿命</w:t>
            </w:r>
          </w:p>
        </w:tc>
        <w:tc>
          <w:tcPr>
            <w:tcW w:type="dxa" w:w="1038"/>
          </w:tcPr>
          <w:p>
            <w:pPr>
              <w:pStyle w:val="null3"/>
            </w:pPr>
            <w:r>
              <w:rPr/>
              <w:t>≥4万小时</w:t>
            </w:r>
          </w:p>
        </w:tc>
        <w:tc>
          <w:tcPr>
            <w:tcW w:type="dxa" w:w="1038"/>
          </w:tcPr>
          <w:p>
            <w:pPr>
              <w:pStyle w:val="null3"/>
            </w:pPr>
            <w:r>
              <w:rPr/>
              <w:t>否</w:t>
            </w:r>
          </w:p>
        </w:tc>
        <w:tc>
          <w:tcPr>
            <w:tcW w:type="dxa" w:w="1038"/>
          </w:tcPr>
          <w:p/>
        </w:tc>
      </w:tr>
      <w:tr>
        <w:tc>
          <w:tcPr>
            <w:tcW w:type="dxa" w:w="1038"/>
          </w:tcPr>
          <w:p>
            <w:pPr>
              <w:pStyle w:val="null3"/>
            </w:pPr>
            <w:r>
              <w:rPr/>
              <w:t>160</w:t>
            </w:r>
          </w:p>
        </w:tc>
        <w:tc>
          <w:tcPr>
            <w:tcW w:type="dxa" w:w="1038"/>
          </w:tcPr>
          <w:p>
            <w:pPr>
              <w:pStyle w:val="null3"/>
            </w:pPr>
            <w:r>
              <w:rPr/>
              <w:t>便携式计算机-可靠性要求</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电磁兼容性要求的抗扰度</w:t>
            </w:r>
          </w:p>
        </w:tc>
        <w:tc>
          <w:tcPr>
            <w:tcW w:type="dxa" w:w="1038"/>
          </w:tcPr>
          <w:p>
            <w:pPr>
              <w:pStyle w:val="null3"/>
            </w:pPr>
            <w:r>
              <w:rPr/>
              <w:t>符合GB/T9254.2的规定</w:t>
            </w:r>
          </w:p>
        </w:tc>
        <w:tc>
          <w:tcPr>
            <w:tcW w:type="dxa" w:w="1038"/>
          </w:tcPr>
          <w:p>
            <w:pPr>
              <w:pStyle w:val="null3"/>
            </w:pPr>
            <w:r>
              <w:rPr/>
              <w:t>否</w:t>
            </w:r>
          </w:p>
        </w:tc>
        <w:tc>
          <w:tcPr>
            <w:tcW w:type="dxa" w:w="1038"/>
          </w:tcPr>
          <w:p/>
        </w:tc>
      </w:tr>
      <w:tr>
        <w:tc>
          <w:tcPr>
            <w:tcW w:type="dxa" w:w="1038"/>
          </w:tcPr>
          <w:p>
            <w:pPr>
              <w:pStyle w:val="null3"/>
            </w:pPr>
            <w:r>
              <w:rPr/>
              <w:t>161</w:t>
            </w:r>
          </w:p>
        </w:tc>
        <w:tc>
          <w:tcPr>
            <w:tcW w:type="dxa" w:w="1038"/>
          </w:tcPr>
          <w:p>
            <w:pPr>
              <w:pStyle w:val="null3"/>
            </w:pPr>
            <w:r>
              <w:rPr/>
              <w:t>便携式计算机-可靠性要求</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环境条件要求的气候环境适应性</w:t>
            </w:r>
          </w:p>
        </w:tc>
        <w:tc>
          <w:tcPr>
            <w:tcW w:type="dxa" w:w="1038"/>
          </w:tcPr>
          <w:p>
            <w:pPr>
              <w:pStyle w:val="null3"/>
            </w:pPr>
            <w:r>
              <w:rPr/>
              <w:t>符合GB/T9813.2中规定</w:t>
            </w:r>
          </w:p>
        </w:tc>
        <w:tc>
          <w:tcPr>
            <w:tcW w:type="dxa" w:w="1038"/>
          </w:tcPr>
          <w:p>
            <w:pPr>
              <w:pStyle w:val="null3"/>
            </w:pPr>
            <w:r>
              <w:rPr/>
              <w:t>否</w:t>
            </w:r>
          </w:p>
        </w:tc>
        <w:tc>
          <w:tcPr>
            <w:tcW w:type="dxa" w:w="1038"/>
          </w:tcPr>
          <w:p/>
        </w:tc>
      </w:tr>
      <w:tr>
        <w:tc>
          <w:tcPr>
            <w:tcW w:type="dxa" w:w="1038"/>
          </w:tcPr>
          <w:p>
            <w:pPr>
              <w:pStyle w:val="null3"/>
            </w:pPr>
            <w:r>
              <w:rPr/>
              <w:t>162</w:t>
            </w:r>
          </w:p>
        </w:tc>
        <w:tc>
          <w:tcPr>
            <w:tcW w:type="dxa" w:w="1038"/>
          </w:tcPr>
          <w:p>
            <w:pPr>
              <w:pStyle w:val="null3"/>
            </w:pPr>
            <w:r>
              <w:rPr/>
              <w:t>便携式计算机-可靠性要求</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环境条件要求的振动适应性</w:t>
            </w:r>
          </w:p>
        </w:tc>
        <w:tc>
          <w:tcPr>
            <w:tcW w:type="dxa" w:w="1038"/>
          </w:tcPr>
          <w:p>
            <w:pPr>
              <w:pStyle w:val="null3"/>
            </w:pPr>
            <w:r>
              <w:rPr/>
              <w:t>符合GB/T9813.2中规定</w:t>
            </w:r>
          </w:p>
        </w:tc>
        <w:tc>
          <w:tcPr>
            <w:tcW w:type="dxa" w:w="1038"/>
          </w:tcPr>
          <w:p>
            <w:pPr>
              <w:pStyle w:val="null3"/>
            </w:pPr>
            <w:r>
              <w:rPr/>
              <w:t>否</w:t>
            </w:r>
          </w:p>
        </w:tc>
        <w:tc>
          <w:tcPr>
            <w:tcW w:type="dxa" w:w="1038"/>
          </w:tcPr>
          <w:p/>
        </w:tc>
      </w:tr>
      <w:tr>
        <w:tc>
          <w:tcPr>
            <w:tcW w:type="dxa" w:w="1038"/>
          </w:tcPr>
          <w:p>
            <w:pPr>
              <w:pStyle w:val="null3"/>
            </w:pPr>
            <w:r>
              <w:rPr/>
              <w:t>163</w:t>
            </w:r>
          </w:p>
        </w:tc>
        <w:tc>
          <w:tcPr>
            <w:tcW w:type="dxa" w:w="1038"/>
          </w:tcPr>
          <w:p>
            <w:pPr>
              <w:pStyle w:val="null3"/>
            </w:pPr>
            <w:r>
              <w:rPr/>
              <w:t>便携式计算机-可靠性要求</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环境条件要求的冲击适应性</w:t>
            </w:r>
          </w:p>
        </w:tc>
        <w:tc>
          <w:tcPr>
            <w:tcW w:type="dxa" w:w="1038"/>
          </w:tcPr>
          <w:p>
            <w:pPr>
              <w:pStyle w:val="null3"/>
            </w:pPr>
            <w:r>
              <w:rPr/>
              <w:t>符合GB/T9813.2中规定</w:t>
            </w:r>
          </w:p>
        </w:tc>
        <w:tc>
          <w:tcPr>
            <w:tcW w:type="dxa" w:w="1038"/>
          </w:tcPr>
          <w:p>
            <w:pPr>
              <w:pStyle w:val="null3"/>
            </w:pPr>
            <w:r>
              <w:rPr/>
              <w:t>否</w:t>
            </w:r>
          </w:p>
        </w:tc>
        <w:tc>
          <w:tcPr>
            <w:tcW w:type="dxa" w:w="1038"/>
          </w:tcPr>
          <w:p/>
        </w:tc>
      </w:tr>
      <w:tr>
        <w:tc>
          <w:tcPr>
            <w:tcW w:type="dxa" w:w="1038"/>
          </w:tcPr>
          <w:p>
            <w:pPr>
              <w:pStyle w:val="null3"/>
            </w:pPr>
            <w:r>
              <w:rPr/>
              <w:t>164</w:t>
            </w:r>
          </w:p>
        </w:tc>
        <w:tc>
          <w:tcPr>
            <w:tcW w:type="dxa" w:w="1038"/>
          </w:tcPr>
          <w:p>
            <w:pPr>
              <w:pStyle w:val="null3"/>
            </w:pPr>
            <w:r>
              <w:rPr/>
              <w:t>便携式计算机-可靠性要求</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环境条件要求的碰撞适应性</w:t>
            </w:r>
          </w:p>
        </w:tc>
        <w:tc>
          <w:tcPr>
            <w:tcW w:type="dxa" w:w="1038"/>
          </w:tcPr>
          <w:p>
            <w:pPr>
              <w:pStyle w:val="null3"/>
            </w:pPr>
            <w:r>
              <w:rPr/>
              <w:t>符合GB/T9813.2中规定</w:t>
            </w:r>
          </w:p>
        </w:tc>
        <w:tc>
          <w:tcPr>
            <w:tcW w:type="dxa" w:w="1038"/>
          </w:tcPr>
          <w:p>
            <w:pPr>
              <w:pStyle w:val="null3"/>
            </w:pPr>
            <w:r>
              <w:rPr/>
              <w:t>否</w:t>
            </w:r>
          </w:p>
        </w:tc>
        <w:tc>
          <w:tcPr>
            <w:tcW w:type="dxa" w:w="1038"/>
          </w:tcPr>
          <w:p/>
        </w:tc>
      </w:tr>
      <w:tr>
        <w:tc>
          <w:tcPr>
            <w:tcW w:type="dxa" w:w="1038"/>
          </w:tcPr>
          <w:p>
            <w:pPr>
              <w:pStyle w:val="null3"/>
            </w:pPr>
            <w:r>
              <w:rPr/>
              <w:t>165</w:t>
            </w:r>
          </w:p>
        </w:tc>
        <w:tc>
          <w:tcPr>
            <w:tcW w:type="dxa" w:w="1038"/>
          </w:tcPr>
          <w:p>
            <w:pPr>
              <w:pStyle w:val="null3"/>
            </w:pPr>
            <w:r>
              <w:rPr/>
              <w:t>便携式计算机-可靠性要求</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环境条件要求的自由跌落适应性</w:t>
            </w:r>
          </w:p>
        </w:tc>
        <w:tc>
          <w:tcPr>
            <w:tcW w:type="dxa" w:w="1038"/>
          </w:tcPr>
          <w:p>
            <w:pPr>
              <w:pStyle w:val="null3"/>
            </w:pPr>
            <w:r>
              <w:rPr/>
              <w:t>符合GB/T9813.2中规定</w:t>
            </w:r>
          </w:p>
        </w:tc>
        <w:tc>
          <w:tcPr>
            <w:tcW w:type="dxa" w:w="1038"/>
          </w:tcPr>
          <w:p>
            <w:pPr>
              <w:pStyle w:val="null3"/>
            </w:pPr>
            <w:r>
              <w:rPr/>
              <w:t>否</w:t>
            </w:r>
          </w:p>
        </w:tc>
        <w:tc>
          <w:tcPr>
            <w:tcW w:type="dxa" w:w="1038"/>
          </w:tcPr>
          <w:p/>
        </w:tc>
      </w:tr>
      <w:tr>
        <w:tc>
          <w:tcPr>
            <w:tcW w:type="dxa" w:w="1038"/>
          </w:tcPr>
          <w:p>
            <w:pPr>
              <w:pStyle w:val="null3"/>
            </w:pPr>
            <w:r>
              <w:rPr/>
              <w:t>166</w:t>
            </w:r>
          </w:p>
        </w:tc>
        <w:tc>
          <w:tcPr>
            <w:tcW w:type="dxa" w:w="1038"/>
          </w:tcPr>
          <w:p>
            <w:pPr>
              <w:pStyle w:val="null3"/>
            </w:pPr>
            <w:r>
              <w:rPr/>
              <w:t>便携式计算机-可靠性要求</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环境条件要求的运输包装件跌落适应性</w:t>
            </w:r>
          </w:p>
        </w:tc>
        <w:tc>
          <w:tcPr>
            <w:tcW w:type="dxa" w:w="1038"/>
          </w:tcPr>
          <w:p>
            <w:pPr>
              <w:pStyle w:val="null3"/>
            </w:pPr>
            <w:r>
              <w:rPr/>
              <w:t>符合GB/T9813.2中规定</w:t>
            </w:r>
          </w:p>
        </w:tc>
        <w:tc>
          <w:tcPr>
            <w:tcW w:type="dxa" w:w="1038"/>
          </w:tcPr>
          <w:p>
            <w:pPr>
              <w:pStyle w:val="null3"/>
            </w:pPr>
            <w:r>
              <w:rPr/>
              <w:t>否</w:t>
            </w:r>
          </w:p>
        </w:tc>
        <w:tc>
          <w:tcPr>
            <w:tcW w:type="dxa" w:w="1038"/>
          </w:tcPr>
          <w:p/>
        </w:tc>
      </w:tr>
      <w:tr>
        <w:tc>
          <w:tcPr>
            <w:tcW w:type="dxa" w:w="1038"/>
          </w:tcPr>
          <w:p>
            <w:pPr>
              <w:pStyle w:val="null3"/>
            </w:pPr>
            <w:r>
              <w:rPr/>
              <w:t>167</w:t>
            </w:r>
          </w:p>
        </w:tc>
        <w:tc>
          <w:tcPr>
            <w:tcW w:type="dxa" w:w="1038"/>
          </w:tcPr>
          <w:p>
            <w:pPr>
              <w:pStyle w:val="null3"/>
            </w:pPr>
            <w:r>
              <w:rPr/>
              <w:t>便携式计算机-可靠性要求</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MTBF测试</w:t>
            </w:r>
          </w:p>
        </w:tc>
        <w:tc>
          <w:tcPr>
            <w:tcW w:type="dxa" w:w="1038"/>
          </w:tcPr>
          <w:p>
            <w:pPr>
              <w:pStyle w:val="null3"/>
            </w:pPr>
            <w:r>
              <w:rPr/>
              <w:t>MTBF(m1)≥10 万小时</w:t>
            </w:r>
          </w:p>
        </w:tc>
        <w:tc>
          <w:tcPr>
            <w:tcW w:type="dxa" w:w="1038"/>
          </w:tcPr>
          <w:p>
            <w:pPr>
              <w:pStyle w:val="null3"/>
            </w:pPr>
            <w:r>
              <w:rPr/>
              <w:t>否</w:t>
            </w:r>
          </w:p>
        </w:tc>
        <w:tc>
          <w:tcPr>
            <w:tcW w:type="dxa" w:w="1038"/>
          </w:tcPr>
          <w:p/>
        </w:tc>
      </w:tr>
      <w:tr>
        <w:tc>
          <w:tcPr>
            <w:tcW w:type="dxa" w:w="1038"/>
          </w:tcPr>
          <w:p>
            <w:pPr>
              <w:pStyle w:val="null3"/>
            </w:pPr>
            <w:r>
              <w:rPr/>
              <w:t>168</w:t>
            </w:r>
          </w:p>
        </w:tc>
        <w:tc>
          <w:tcPr>
            <w:tcW w:type="dxa" w:w="1038"/>
          </w:tcPr>
          <w:p>
            <w:pPr>
              <w:pStyle w:val="null3"/>
            </w:pPr>
            <w:r>
              <w:rPr/>
              <w:t>便携式计算机-兼容要求</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常用软件兼容</w:t>
            </w:r>
          </w:p>
        </w:tc>
        <w:tc>
          <w:tcPr>
            <w:tcW w:type="dxa" w:w="1038"/>
          </w:tcPr>
          <w:p>
            <w:pPr>
              <w:pStyle w:val="null3"/>
            </w:pPr>
            <w:r>
              <w:rPr/>
              <w:t>1.支持流式软件、版式软件、浏览器、邮件客户端、解压软件、多媒体、图形图像处理等常用软件。 2.适配桌面操作系统域控客户端、内网软件应用商店客户端、防病毒软件客户端、桌管及网络准入软件客户端等管控及安全软件 3.适配视频会议客户端、云桌面软终端客户端，远程接入客户端</w:t>
            </w:r>
          </w:p>
        </w:tc>
        <w:tc>
          <w:tcPr>
            <w:tcW w:type="dxa" w:w="1038"/>
          </w:tcPr>
          <w:p>
            <w:pPr>
              <w:pStyle w:val="null3"/>
            </w:pPr>
            <w:r>
              <w:rPr/>
              <w:t>否</w:t>
            </w:r>
          </w:p>
        </w:tc>
        <w:tc>
          <w:tcPr>
            <w:tcW w:type="dxa" w:w="1038"/>
          </w:tcPr>
          <w:p/>
        </w:tc>
      </w:tr>
      <w:tr>
        <w:tc>
          <w:tcPr>
            <w:tcW w:type="dxa" w:w="1038"/>
          </w:tcPr>
          <w:p>
            <w:pPr>
              <w:pStyle w:val="null3"/>
            </w:pPr>
            <w:r>
              <w:rPr/>
              <w:t>169</w:t>
            </w:r>
          </w:p>
        </w:tc>
        <w:tc>
          <w:tcPr>
            <w:tcW w:type="dxa" w:w="1038"/>
          </w:tcPr>
          <w:p>
            <w:pPr>
              <w:pStyle w:val="null3"/>
            </w:pPr>
            <w:r>
              <w:rPr/>
              <w:t>便携式计算机-兼容要求</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170</w:t>
            </w:r>
          </w:p>
        </w:tc>
        <w:tc>
          <w:tcPr>
            <w:tcW w:type="dxa" w:w="1038"/>
          </w:tcPr>
          <w:p>
            <w:pPr>
              <w:pStyle w:val="null3"/>
            </w:pPr>
            <w:r>
              <w:rPr/>
              <w:t>便携式计算机-兼容要求</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中间件兼容</w:t>
            </w:r>
          </w:p>
        </w:tc>
        <w:tc>
          <w:tcPr>
            <w:tcW w:type="dxa" w:w="1038"/>
          </w:tcPr>
          <w:p>
            <w:pPr>
              <w:pStyle w:val="null3"/>
            </w:pPr>
            <w:r>
              <w:rPr/>
              <w:t>兼容 3 个及以上厂商中间件产品</w:t>
            </w:r>
          </w:p>
        </w:tc>
        <w:tc>
          <w:tcPr>
            <w:tcW w:type="dxa" w:w="1038"/>
          </w:tcPr>
          <w:p>
            <w:pPr>
              <w:pStyle w:val="null3"/>
            </w:pPr>
            <w:r>
              <w:rPr/>
              <w:t>否</w:t>
            </w:r>
          </w:p>
        </w:tc>
        <w:tc>
          <w:tcPr>
            <w:tcW w:type="dxa" w:w="1038"/>
          </w:tcPr>
          <w:p/>
        </w:tc>
      </w:tr>
      <w:tr>
        <w:tc>
          <w:tcPr>
            <w:tcW w:type="dxa" w:w="1038"/>
          </w:tcPr>
          <w:p>
            <w:pPr>
              <w:pStyle w:val="null3"/>
            </w:pPr>
            <w:r>
              <w:rPr/>
              <w:t>171</w:t>
            </w:r>
          </w:p>
        </w:tc>
        <w:tc>
          <w:tcPr>
            <w:tcW w:type="dxa" w:w="1038"/>
          </w:tcPr>
          <w:p>
            <w:pPr>
              <w:pStyle w:val="null3"/>
            </w:pPr>
            <w:r>
              <w:rPr/>
              <w:t>便携式计算机-兼容要求</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平台软件兼容</w:t>
            </w:r>
          </w:p>
        </w:tc>
        <w:tc>
          <w:tcPr>
            <w:tcW w:type="dxa" w:w="1038"/>
          </w:tcPr>
          <w:p>
            <w:pPr>
              <w:pStyle w:val="null3"/>
            </w:pPr>
            <w:r>
              <w:rPr/>
              <w:t>兼容 3 个及以上厂商云计算及大数据平台</w:t>
            </w:r>
          </w:p>
        </w:tc>
        <w:tc>
          <w:tcPr>
            <w:tcW w:type="dxa" w:w="1038"/>
          </w:tcPr>
          <w:p>
            <w:pPr>
              <w:pStyle w:val="null3"/>
            </w:pPr>
            <w:r>
              <w:rPr/>
              <w:t>否</w:t>
            </w:r>
          </w:p>
        </w:tc>
        <w:tc>
          <w:tcPr>
            <w:tcW w:type="dxa" w:w="1038"/>
          </w:tcPr>
          <w:p/>
        </w:tc>
      </w:tr>
      <w:tr>
        <w:tc>
          <w:tcPr>
            <w:tcW w:type="dxa" w:w="1038"/>
          </w:tcPr>
          <w:p>
            <w:pPr>
              <w:pStyle w:val="null3"/>
            </w:pPr>
            <w:r>
              <w:rPr/>
              <w:t>172</w:t>
            </w:r>
          </w:p>
        </w:tc>
        <w:tc>
          <w:tcPr>
            <w:tcW w:type="dxa" w:w="1038"/>
          </w:tcPr>
          <w:p>
            <w:pPr>
              <w:pStyle w:val="null3"/>
            </w:pPr>
            <w:r>
              <w:rPr/>
              <w:t>便携式计算机-包装及运输要求</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 GB/T 9813.2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173</w:t>
            </w:r>
          </w:p>
        </w:tc>
        <w:tc>
          <w:tcPr>
            <w:tcW w:type="dxa" w:w="1038"/>
          </w:tcPr>
          <w:p>
            <w:pPr>
              <w:pStyle w:val="null3"/>
            </w:pPr>
            <w:r>
              <w:rPr/>
              <w:t>便携式计算机-服务要求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配置检查工具</w:t>
            </w:r>
          </w:p>
        </w:tc>
        <w:tc>
          <w:tcPr>
            <w:tcW w:type="dxa" w:w="1038"/>
          </w:tcPr>
          <w:p>
            <w:pPr>
              <w:pStyle w:val="null3"/>
            </w:pPr>
            <w:r>
              <w:rPr/>
              <w:t>提供自检测试工具</w:t>
            </w:r>
          </w:p>
        </w:tc>
        <w:tc>
          <w:tcPr>
            <w:tcW w:type="dxa" w:w="1038"/>
          </w:tcPr>
          <w:p>
            <w:pPr>
              <w:pStyle w:val="null3"/>
            </w:pPr>
            <w:r>
              <w:rPr/>
              <w:t>否</w:t>
            </w:r>
          </w:p>
        </w:tc>
        <w:tc>
          <w:tcPr>
            <w:tcW w:type="dxa" w:w="1038"/>
          </w:tcPr>
          <w:p/>
        </w:tc>
      </w:tr>
      <w:tr>
        <w:tc>
          <w:tcPr>
            <w:tcW w:type="dxa" w:w="1038"/>
          </w:tcPr>
          <w:p>
            <w:pPr>
              <w:pStyle w:val="null3"/>
            </w:pPr>
            <w:r>
              <w:rPr/>
              <w:t>174</w:t>
            </w:r>
          </w:p>
        </w:tc>
        <w:tc>
          <w:tcPr>
            <w:tcW w:type="dxa" w:w="1038"/>
          </w:tcPr>
          <w:p>
            <w:pPr>
              <w:pStyle w:val="null3"/>
            </w:pPr>
            <w:r>
              <w:rPr/>
              <w:t>便携式计算机-服务要求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服务响应</w:t>
            </w:r>
          </w:p>
        </w:tc>
        <w:tc>
          <w:tcPr>
            <w:tcW w:type="dxa" w:w="1038"/>
          </w:tcPr>
          <w:p>
            <w:pPr>
              <w:pStyle w:val="null3"/>
            </w:pPr>
            <w:r>
              <w:rPr/>
              <w:t>a)提供产品6 年维保及上门服务（满足同城 4 小时、异地 12 小时响应要求）； b)提供政企专线 7*24 在线服务； c)现场保障技术服务团队员，国内上门服务城市覆盖北京、上海、深圳。</w:t>
            </w:r>
          </w:p>
        </w:tc>
        <w:tc>
          <w:tcPr>
            <w:tcW w:type="dxa" w:w="1038"/>
          </w:tcPr>
          <w:p>
            <w:pPr>
              <w:pStyle w:val="null3"/>
            </w:pPr>
            <w:r>
              <w:rPr/>
              <w:t>否</w:t>
            </w:r>
          </w:p>
        </w:tc>
        <w:tc>
          <w:tcPr>
            <w:tcW w:type="dxa" w:w="1038"/>
          </w:tcPr>
          <w:p/>
        </w:tc>
      </w:tr>
      <w:tr>
        <w:tc>
          <w:tcPr>
            <w:tcW w:type="dxa" w:w="1038"/>
          </w:tcPr>
          <w:p>
            <w:pPr>
              <w:pStyle w:val="null3"/>
            </w:pPr>
            <w:r>
              <w:rPr/>
              <w:t>175</w:t>
            </w:r>
          </w:p>
        </w:tc>
        <w:tc>
          <w:tcPr>
            <w:tcW w:type="dxa" w:w="1038"/>
          </w:tcPr>
          <w:p>
            <w:pPr>
              <w:pStyle w:val="null3"/>
            </w:pPr>
            <w:r>
              <w:rPr/>
              <w:t>便携式计算机-服务要求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服务周期</w:t>
            </w:r>
          </w:p>
        </w:tc>
        <w:tc>
          <w:tcPr>
            <w:tcW w:type="dxa" w:w="1038"/>
          </w:tcPr>
          <w:p>
            <w:pPr>
              <w:pStyle w:val="null3"/>
            </w:pPr>
            <w:r>
              <w:rPr/>
              <w:t>a)设备停产后应继续提供质量保障服务（含备品备件），服务终止时间与最后一批设备交付时间间隔不低于6年 b)产品停止服务时间应提前1年告知</w:t>
            </w:r>
          </w:p>
        </w:tc>
        <w:tc>
          <w:tcPr>
            <w:tcW w:type="dxa" w:w="1038"/>
          </w:tcPr>
          <w:p>
            <w:pPr>
              <w:pStyle w:val="null3"/>
            </w:pPr>
            <w:r>
              <w:rPr/>
              <w:t>否</w:t>
            </w:r>
          </w:p>
        </w:tc>
        <w:tc>
          <w:tcPr>
            <w:tcW w:type="dxa" w:w="1038"/>
          </w:tcPr>
          <w:p/>
        </w:tc>
      </w:tr>
      <w:tr>
        <w:tc>
          <w:tcPr>
            <w:tcW w:type="dxa" w:w="1038"/>
          </w:tcPr>
          <w:p>
            <w:pPr>
              <w:pStyle w:val="null3"/>
            </w:pPr>
            <w:r>
              <w:rPr/>
              <w:t>176</w:t>
            </w:r>
          </w:p>
        </w:tc>
        <w:tc>
          <w:tcPr>
            <w:tcW w:type="dxa" w:w="1038"/>
          </w:tcPr>
          <w:p>
            <w:pPr>
              <w:pStyle w:val="null3"/>
            </w:pPr>
            <w:r>
              <w:rPr/>
              <w:t>便携式计算机-服务要求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预装操作系统</w:t>
            </w:r>
          </w:p>
        </w:tc>
        <w:tc>
          <w:tcPr>
            <w:tcW w:type="dxa" w:w="1038"/>
          </w:tcPr>
          <w:p>
            <w:pPr>
              <w:pStyle w:val="null3"/>
            </w:pPr>
            <w:r>
              <w:rPr/>
              <w:t>a)预装符合桌面操作系统政府采购需求标准的正版操作系统 b)操作系统可以使用公版系统或定制版进行预装，且授权为标准的正式永久授权版本（操作系统不得采用专用机版本，授权单位须明确为使用单位且可查可显示） c)操作系统授权具有统一内网激活模式（KMS）或离线激活，可解绑复用。 d)桌面操作系统须包含预装对应版本的域控客户端，能实现被统一且已部署的国产域控系统所集中管控的功能，并能直接对接内部身份账户系统实现操作系统登录。 e)桌面操作系统支持按需进行功能订制和软件增删（如删减游戏组件、屏蔽公网账户、云备份及软件商店模块等）</w:t>
            </w:r>
          </w:p>
        </w:tc>
        <w:tc>
          <w:tcPr>
            <w:tcW w:type="dxa" w:w="1038"/>
          </w:tcPr>
          <w:p>
            <w:pPr>
              <w:pStyle w:val="null3"/>
            </w:pPr>
            <w:r>
              <w:rPr/>
              <w:t>否</w:t>
            </w:r>
          </w:p>
        </w:tc>
        <w:tc>
          <w:tcPr>
            <w:tcW w:type="dxa" w:w="1038"/>
          </w:tcPr>
          <w:p/>
        </w:tc>
      </w:tr>
      <w:tr>
        <w:tc>
          <w:tcPr>
            <w:tcW w:type="dxa" w:w="1038"/>
          </w:tcPr>
          <w:p>
            <w:pPr>
              <w:pStyle w:val="null3"/>
            </w:pPr>
            <w:r>
              <w:rPr/>
              <w:t>177</w:t>
            </w:r>
          </w:p>
        </w:tc>
        <w:tc>
          <w:tcPr>
            <w:tcW w:type="dxa" w:w="1038"/>
          </w:tcPr>
          <w:p>
            <w:pPr>
              <w:pStyle w:val="null3"/>
            </w:pPr>
            <w:r>
              <w:rPr/>
              <w:t>便携式计算机-服务要求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培训服务</w:t>
            </w:r>
          </w:p>
        </w:tc>
        <w:tc>
          <w:tcPr>
            <w:tcW w:type="dxa" w:w="1038"/>
          </w:tcPr>
          <w:p>
            <w:pPr>
              <w:pStyle w:val="null3"/>
            </w:pPr>
            <w:r>
              <w:rPr/>
              <w:t>供应商提供培训材料、产品手册、培训视频等培训相关内容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178</w:t>
            </w:r>
          </w:p>
        </w:tc>
        <w:tc>
          <w:tcPr>
            <w:tcW w:type="dxa" w:w="1038"/>
          </w:tcPr>
          <w:p>
            <w:pPr>
              <w:pStyle w:val="null3"/>
            </w:pPr>
            <w:r>
              <w:rPr/>
              <w:t>便携式计算机-服务要求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典型问题解决手册</w:t>
            </w:r>
          </w:p>
        </w:tc>
        <w:tc>
          <w:tcPr>
            <w:tcW w:type="dxa" w:w="1038"/>
          </w:tcPr>
          <w:p>
            <w:pPr>
              <w:pStyle w:val="null3"/>
            </w:pPr>
            <w:r>
              <w:rPr/>
              <w:t>供应商提供典型问题解决说明文档或视频</w:t>
            </w:r>
          </w:p>
        </w:tc>
        <w:tc>
          <w:tcPr>
            <w:tcW w:type="dxa" w:w="1038"/>
          </w:tcPr>
          <w:p>
            <w:pPr>
              <w:pStyle w:val="null3"/>
            </w:pPr>
            <w:r>
              <w:rPr/>
              <w:t>否</w:t>
            </w:r>
          </w:p>
        </w:tc>
        <w:tc>
          <w:tcPr>
            <w:tcW w:type="dxa" w:w="1038"/>
          </w:tcPr>
          <w:p/>
        </w:tc>
      </w:tr>
      <w:tr>
        <w:tc>
          <w:tcPr>
            <w:tcW w:type="dxa" w:w="1038"/>
          </w:tcPr>
          <w:p>
            <w:pPr>
              <w:pStyle w:val="null3"/>
            </w:pPr>
            <w:r>
              <w:rPr/>
              <w:t>179</w:t>
            </w:r>
          </w:p>
        </w:tc>
        <w:tc>
          <w:tcPr>
            <w:tcW w:type="dxa" w:w="1038"/>
          </w:tcPr>
          <w:p>
            <w:pPr>
              <w:pStyle w:val="null3"/>
            </w:pPr>
            <w:r>
              <w:rPr/>
              <w:t>便携式计算机-服务要求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厂家升级软件与扩容服务</w:t>
            </w:r>
          </w:p>
        </w:tc>
        <w:tc>
          <w:tcPr>
            <w:tcW w:type="dxa" w:w="1038"/>
          </w:tcPr>
          <w:p>
            <w:pPr>
              <w:pStyle w:val="null3"/>
            </w:pPr>
            <w:r>
              <w:rPr/>
              <w:t>提供应商供上门升级部件/软件的增值服务</w:t>
            </w:r>
          </w:p>
        </w:tc>
        <w:tc>
          <w:tcPr>
            <w:tcW w:type="dxa" w:w="1038"/>
          </w:tcPr>
          <w:p>
            <w:pPr>
              <w:pStyle w:val="null3"/>
            </w:pPr>
            <w:r>
              <w:rPr/>
              <w:t>否</w:t>
            </w:r>
          </w:p>
        </w:tc>
        <w:tc>
          <w:tcPr>
            <w:tcW w:type="dxa" w:w="1038"/>
          </w:tcPr>
          <w:p/>
        </w:tc>
      </w:tr>
      <w:tr>
        <w:tc>
          <w:tcPr>
            <w:tcW w:type="dxa" w:w="1038"/>
          </w:tcPr>
          <w:p>
            <w:pPr>
              <w:pStyle w:val="null3"/>
            </w:pPr>
            <w:r>
              <w:rPr/>
              <w:t>180</w:t>
            </w:r>
          </w:p>
        </w:tc>
        <w:tc>
          <w:tcPr>
            <w:tcW w:type="dxa" w:w="1038"/>
          </w:tcPr>
          <w:p>
            <w:pPr>
              <w:pStyle w:val="null3"/>
            </w:pPr>
            <w:r>
              <w:rPr/>
              <w:t>便携式计算机-服务要求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整机质量服务要求</w:t>
            </w:r>
          </w:p>
        </w:tc>
        <w:tc>
          <w:tcPr>
            <w:tcW w:type="dxa" w:w="1038"/>
          </w:tcPr>
          <w:p>
            <w:pPr>
              <w:pStyle w:val="null3"/>
            </w:pPr>
            <w:r>
              <w:rPr/>
              <w:t>a)免费服务周期（含换件和维修）为6年，免费服务周期到期后可延长的有偿服务周期为2年。 b)整机包含电池，当电池续航时间不足30分钟、外观出现膨胀或其他故障应进行更换。 c)故障硬盘不返还</w:t>
            </w:r>
          </w:p>
        </w:tc>
        <w:tc>
          <w:tcPr>
            <w:tcW w:type="dxa" w:w="1038"/>
          </w:tcPr>
          <w:p>
            <w:pPr>
              <w:pStyle w:val="null3"/>
            </w:pPr>
            <w:r>
              <w:rPr/>
              <w:t>否</w:t>
            </w:r>
          </w:p>
        </w:tc>
        <w:tc>
          <w:tcPr>
            <w:tcW w:type="dxa" w:w="1038"/>
          </w:tcPr>
          <w:p/>
        </w:tc>
      </w:tr>
      <w:tr>
        <w:tc>
          <w:tcPr>
            <w:tcW w:type="dxa" w:w="1038"/>
          </w:tcPr>
          <w:p>
            <w:pPr>
              <w:pStyle w:val="null3"/>
            </w:pPr>
            <w:r>
              <w:rPr/>
              <w:t>181</w:t>
            </w:r>
          </w:p>
        </w:tc>
        <w:tc>
          <w:tcPr>
            <w:tcW w:type="dxa" w:w="1038"/>
          </w:tcPr>
          <w:p>
            <w:pPr>
              <w:pStyle w:val="null3"/>
            </w:pPr>
            <w:r>
              <w:rPr/>
              <w:t>便携式计算机-服务要求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合格证书要求</w:t>
            </w:r>
          </w:p>
        </w:tc>
        <w:tc>
          <w:tcPr>
            <w:tcW w:type="dxa" w:w="1038"/>
          </w:tcPr>
          <w:p>
            <w:pPr>
              <w:pStyle w:val="null3"/>
            </w:pPr>
            <w:r>
              <w:rPr/>
              <w:t>供应商提供产品合格证</w:t>
            </w:r>
          </w:p>
        </w:tc>
        <w:tc>
          <w:tcPr>
            <w:tcW w:type="dxa" w:w="1038"/>
          </w:tcPr>
          <w:p>
            <w:pPr>
              <w:pStyle w:val="null3"/>
            </w:pPr>
            <w:r>
              <w:rPr/>
              <w:t>否</w:t>
            </w:r>
          </w:p>
        </w:tc>
        <w:tc>
          <w:tcPr>
            <w:tcW w:type="dxa" w:w="1038"/>
          </w:tcPr>
          <w:p/>
        </w:tc>
      </w:tr>
      <w:tr>
        <w:tc>
          <w:tcPr>
            <w:tcW w:type="dxa" w:w="1038"/>
          </w:tcPr>
          <w:p>
            <w:pPr>
              <w:pStyle w:val="null3"/>
            </w:pPr>
            <w:r>
              <w:rPr/>
              <w:t>182</w:t>
            </w:r>
          </w:p>
        </w:tc>
        <w:tc>
          <w:tcPr>
            <w:tcW w:type="dxa" w:w="1038"/>
          </w:tcPr>
          <w:p>
            <w:pPr>
              <w:pStyle w:val="null3"/>
            </w:pPr>
            <w:r>
              <w:rPr/>
              <w:t>便携式计算机-服务要求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开箱组装/使用指导要求</w:t>
            </w:r>
          </w:p>
        </w:tc>
        <w:tc>
          <w:tcPr>
            <w:tcW w:type="dxa" w:w="1038"/>
          </w:tcPr>
          <w:p>
            <w:pPr>
              <w:pStyle w:val="null3"/>
            </w:pPr>
            <w:r>
              <w:rPr/>
              <w:t>供应商提供开箱组装/使用指导</w:t>
            </w:r>
          </w:p>
        </w:tc>
        <w:tc>
          <w:tcPr>
            <w:tcW w:type="dxa" w:w="1038"/>
          </w:tcPr>
          <w:p>
            <w:pPr>
              <w:pStyle w:val="null3"/>
            </w:pPr>
            <w:r>
              <w:rPr/>
              <w:t>否</w:t>
            </w:r>
          </w:p>
        </w:tc>
        <w:tc>
          <w:tcPr>
            <w:tcW w:type="dxa" w:w="1038"/>
          </w:tcPr>
          <w:p/>
        </w:tc>
      </w:tr>
      <w:tr>
        <w:tc>
          <w:tcPr>
            <w:tcW w:type="dxa" w:w="1038"/>
          </w:tcPr>
          <w:p>
            <w:pPr>
              <w:pStyle w:val="null3"/>
            </w:pPr>
            <w:r>
              <w:rPr/>
              <w:t>183</w:t>
            </w:r>
          </w:p>
        </w:tc>
        <w:tc>
          <w:tcPr>
            <w:tcW w:type="dxa" w:w="1038"/>
          </w:tcPr>
          <w:p>
            <w:pPr>
              <w:pStyle w:val="null3"/>
            </w:pPr>
            <w:r>
              <w:rPr/>
              <w:t>便携式计算机-服务要求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驱动下载服务要求</w:t>
            </w:r>
          </w:p>
        </w:tc>
        <w:tc>
          <w:tcPr>
            <w:tcW w:type="dxa" w:w="1038"/>
          </w:tcPr>
          <w:p>
            <w:pPr>
              <w:pStyle w:val="null3"/>
            </w:pPr>
            <w:r>
              <w:rPr/>
              <w:t>供应商提供驱动光盘或其他下载方式</w:t>
            </w:r>
          </w:p>
        </w:tc>
        <w:tc>
          <w:tcPr>
            <w:tcW w:type="dxa" w:w="1038"/>
          </w:tcPr>
          <w:p>
            <w:pPr>
              <w:pStyle w:val="null3"/>
            </w:pPr>
            <w:r>
              <w:rPr/>
              <w:t>否</w:t>
            </w:r>
          </w:p>
        </w:tc>
        <w:tc>
          <w:tcPr>
            <w:tcW w:type="dxa" w:w="1038"/>
          </w:tcPr>
          <w:p/>
        </w:tc>
      </w:tr>
      <w:tr>
        <w:tc>
          <w:tcPr>
            <w:tcW w:type="dxa" w:w="1038"/>
          </w:tcPr>
          <w:p>
            <w:pPr>
              <w:pStyle w:val="null3"/>
            </w:pPr>
            <w:r>
              <w:rPr/>
              <w:t>184</w:t>
            </w:r>
          </w:p>
        </w:tc>
        <w:tc>
          <w:tcPr>
            <w:tcW w:type="dxa" w:w="1038"/>
          </w:tcPr>
          <w:p>
            <w:pPr>
              <w:pStyle w:val="null3"/>
            </w:pPr>
            <w:r>
              <w:rPr/>
              <w:t>便携式计算机-服务要求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兼容适配软件下载服务要求</w:t>
            </w:r>
          </w:p>
        </w:tc>
        <w:tc>
          <w:tcPr>
            <w:tcW w:type="dxa" w:w="1038"/>
          </w:tcPr>
          <w:p>
            <w:pPr>
              <w:pStyle w:val="null3"/>
            </w:pPr>
            <w:r>
              <w:rPr/>
              <w:t>供应商提供兼容适配软件下载渠道（光盘、网站）</w:t>
            </w:r>
          </w:p>
        </w:tc>
        <w:tc>
          <w:tcPr>
            <w:tcW w:type="dxa" w:w="1038"/>
          </w:tcPr>
          <w:p>
            <w:pPr>
              <w:pStyle w:val="null3"/>
            </w:pPr>
            <w:r>
              <w:rPr/>
              <w:t>否</w:t>
            </w:r>
          </w:p>
        </w:tc>
        <w:tc>
          <w:tcPr>
            <w:tcW w:type="dxa" w:w="1038"/>
          </w:tcPr>
          <w:p/>
        </w:tc>
      </w:tr>
      <w:tr>
        <w:tc>
          <w:tcPr>
            <w:tcW w:type="dxa" w:w="1038"/>
          </w:tcPr>
          <w:p>
            <w:pPr>
              <w:pStyle w:val="null3"/>
            </w:pPr>
            <w:r>
              <w:rPr/>
              <w:t>185</w:t>
            </w:r>
          </w:p>
        </w:tc>
        <w:tc>
          <w:tcPr>
            <w:tcW w:type="dxa" w:w="1038"/>
          </w:tcPr>
          <w:p>
            <w:pPr>
              <w:pStyle w:val="null3"/>
            </w:pPr>
            <w:r>
              <w:rPr/>
              <w:t>便携式计算机-服务要求</w:t>
            </w:r>
          </w:p>
        </w:tc>
        <w:tc>
          <w:tcPr>
            <w:tcW w:type="dxa" w:w="1038"/>
          </w:tcPr>
          <w:p/>
        </w:tc>
        <w:tc>
          <w:tcPr>
            <w:tcW w:type="dxa" w:w="1038"/>
          </w:tcPr>
          <w:p>
            <w:pPr>
              <w:pStyle w:val="null3"/>
            </w:pPr>
            <w:r>
              <w:rPr/>
              <w:t>服务要求</w:t>
            </w:r>
          </w:p>
        </w:tc>
        <w:tc>
          <w:tcPr>
            <w:tcW w:type="dxa" w:w="1038"/>
          </w:tcPr>
          <w:p>
            <w:pPr>
              <w:pStyle w:val="null3"/>
            </w:pPr>
            <w:r>
              <w:rPr/>
              <w:t>跨架构平台应用兼容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186</w:t>
            </w:r>
          </w:p>
        </w:tc>
        <w:tc>
          <w:tcPr>
            <w:tcW w:type="dxa" w:w="1038"/>
          </w:tcPr>
          <w:p>
            <w:pPr>
              <w:pStyle w:val="null3"/>
            </w:pPr>
            <w:r>
              <w:rPr/>
              <w:t>便携式计算机-供应保障要求</w:t>
            </w:r>
          </w:p>
        </w:tc>
        <w:tc>
          <w:tcPr>
            <w:tcW w:type="dxa" w:w="1038"/>
          </w:tcPr>
          <w:p>
            <w:pPr>
              <w:pStyle w:val="null3"/>
            </w:pPr>
            <w:r>
              <w:rPr/>
              <w:t>#</w:t>
            </w:r>
          </w:p>
        </w:tc>
        <w:tc>
          <w:tcPr>
            <w:tcW w:type="dxa" w:w="1038"/>
          </w:tcPr>
          <w:p>
            <w:pPr>
              <w:pStyle w:val="null3"/>
            </w:pPr>
            <w:r>
              <w:rPr/>
              <w:t>供应链合规性</w:t>
            </w:r>
          </w:p>
        </w:tc>
        <w:tc>
          <w:tcPr>
            <w:tcW w:type="dxa" w:w="1038"/>
          </w:tcPr>
          <w:p>
            <w:pPr>
              <w:pStyle w:val="null3"/>
            </w:pPr>
            <w:r>
              <w:rPr/>
              <w:t>产品部件保障</w:t>
            </w:r>
          </w:p>
        </w:tc>
        <w:tc>
          <w:tcPr>
            <w:tcW w:type="dxa" w:w="1038"/>
          </w:tcPr>
          <w:p>
            <w:pPr>
              <w:pStyle w:val="null3"/>
            </w:pPr>
            <w:r>
              <w:rPr/>
              <w:t>保障产品主要部件，应提供6年的备件服务能力(自购买之日起)，或提供可兼容原设备的升级换代产品</w:t>
            </w:r>
          </w:p>
        </w:tc>
        <w:tc>
          <w:tcPr>
            <w:tcW w:type="dxa" w:w="1038"/>
          </w:tcPr>
          <w:p>
            <w:pPr>
              <w:pStyle w:val="null3"/>
            </w:pPr>
            <w:r>
              <w:rPr/>
              <w:t>否</w:t>
            </w:r>
          </w:p>
        </w:tc>
        <w:tc>
          <w:tcPr>
            <w:tcW w:type="dxa" w:w="1038"/>
          </w:tcPr>
          <w:p/>
        </w:tc>
      </w:tr>
      <w:tr>
        <w:tc>
          <w:tcPr>
            <w:tcW w:type="dxa" w:w="1038"/>
          </w:tcPr>
          <w:p>
            <w:pPr>
              <w:pStyle w:val="null3"/>
            </w:pPr>
            <w:r>
              <w:rPr/>
              <w:t>187</w:t>
            </w:r>
          </w:p>
        </w:tc>
        <w:tc>
          <w:tcPr>
            <w:tcW w:type="dxa" w:w="1038"/>
          </w:tcPr>
          <w:p>
            <w:pPr>
              <w:pStyle w:val="null3"/>
            </w:pPr>
            <w:r>
              <w:rPr/>
              <w:t>便携式计算机-供应保障要求</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当产品部件出现供应风险时，供应商应通知采购人并提供风险应对方案确保产品的服务保障</w:t>
            </w:r>
          </w:p>
        </w:tc>
        <w:tc>
          <w:tcPr>
            <w:tcW w:type="dxa" w:w="1038"/>
          </w:tcPr>
          <w:p>
            <w:pPr>
              <w:pStyle w:val="null3"/>
            </w:pPr>
            <w:r>
              <w:rPr/>
              <w:t>否</w:t>
            </w:r>
          </w:p>
        </w:tc>
        <w:tc>
          <w:tcPr>
            <w:tcW w:type="dxa" w:w="1038"/>
          </w:tcPr>
          <w:p/>
        </w:tc>
      </w:tr>
      <w:tr>
        <w:tc>
          <w:tcPr>
            <w:tcW w:type="dxa" w:w="1038"/>
          </w:tcPr>
          <w:p>
            <w:pPr>
              <w:pStyle w:val="null3"/>
            </w:pPr>
            <w:r>
              <w:rPr/>
              <w:t>188</w:t>
            </w:r>
          </w:p>
        </w:tc>
        <w:tc>
          <w:tcPr>
            <w:tcW w:type="dxa" w:w="1038"/>
          </w:tcPr>
          <w:p>
            <w:pPr>
              <w:pStyle w:val="null3"/>
            </w:pPr>
            <w:r>
              <w:rPr/>
              <w:t>便携式计算机-供应保障要求</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投标人应提供供应链稳定承诺书，确保产品的部件在产品服务周期内稳定供货</w:t>
            </w:r>
          </w:p>
        </w:tc>
        <w:tc>
          <w:tcPr>
            <w:tcW w:type="dxa" w:w="1038"/>
          </w:tcPr>
          <w:p>
            <w:pPr>
              <w:pStyle w:val="null3"/>
            </w:pPr>
            <w:r>
              <w:rPr/>
              <w:t>是</w:t>
            </w:r>
          </w:p>
        </w:tc>
        <w:tc>
          <w:tcPr>
            <w:tcW w:type="dxa" w:w="1038"/>
          </w:tcPr>
          <w:p>
            <w:pPr>
              <w:pStyle w:val="null3"/>
            </w:pPr>
            <w:r>
              <w:rPr/>
              <w:t>提供便携式计算机供应链稳定承诺书</w:t>
            </w:r>
          </w:p>
        </w:tc>
      </w:tr>
      <w:tr>
        <w:tc>
          <w:tcPr>
            <w:tcW w:type="dxa" w:w="1038"/>
          </w:tcPr>
          <w:p>
            <w:pPr>
              <w:pStyle w:val="null3"/>
            </w:pPr>
            <w:r>
              <w:rPr/>
              <w:t>189</w:t>
            </w:r>
          </w:p>
        </w:tc>
        <w:tc>
          <w:tcPr>
            <w:tcW w:type="dxa" w:w="1038"/>
          </w:tcPr>
          <w:p>
            <w:pPr>
              <w:pStyle w:val="null3"/>
            </w:pPr>
            <w:r>
              <w:rPr/>
              <w:t>便携式计算机-安全要求</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190</w:t>
            </w:r>
          </w:p>
        </w:tc>
        <w:tc>
          <w:tcPr>
            <w:tcW w:type="dxa" w:w="1038"/>
          </w:tcPr>
          <w:p>
            <w:pPr>
              <w:pStyle w:val="null3"/>
            </w:pPr>
            <w:r>
              <w:rPr/>
              <w:t>便携式计算机-安全要求</w:t>
            </w:r>
          </w:p>
        </w:tc>
        <w:tc>
          <w:tcPr>
            <w:tcW w:type="dxa" w:w="1038"/>
          </w:tcPr>
          <w:p/>
        </w:tc>
        <w:tc>
          <w:tcPr>
            <w:tcW w:type="dxa" w:w="1038"/>
          </w:tcPr>
          <w:p>
            <w:pPr>
              <w:pStyle w:val="null3"/>
            </w:pPr>
            <w:r>
              <w:rPr/>
              <w:t>整机安全性要求</w:t>
            </w:r>
          </w:p>
        </w:tc>
        <w:tc>
          <w:tcPr>
            <w:tcW w:type="dxa" w:w="1038"/>
          </w:tcPr>
          <w:p>
            <w:pPr>
              <w:pStyle w:val="null3"/>
            </w:pPr>
            <w:r>
              <w:rPr/>
              <w:t>USB端口管控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191</w:t>
            </w:r>
          </w:p>
        </w:tc>
        <w:tc>
          <w:tcPr>
            <w:tcW w:type="dxa" w:w="1038"/>
          </w:tcPr>
          <w:p>
            <w:pPr>
              <w:pStyle w:val="null3"/>
            </w:pPr>
            <w:r>
              <w:rPr/>
              <w:t>便携式计算机-安全要求</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密码算法实现</w:t>
            </w:r>
          </w:p>
        </w:tc>
        <w:tc>
          <w:tcPr>
            <w:tcW w:type="dxa" w:w="1038"/>
          </w:tcPr>
          <w:p>
            <w:pPr>
              <w:pStyle w:val="null3"/>
            </w:pPr>
            <w:r>
              <w:rPr/>
              <w:t>CPU芯片应符合GM/T0008的相关规定，或芯片密码模块应符合GB/T37092或GM/T0028的相关规定</w:t>
            </w:r>
          </w:p>
        </w:tc>
        <w:tc>
          <w:tcPr>
            <w:tcW w:type="dxa" w:w="1038"/>
          </w:tcPr>
          <w:p>
            <w:pPr>
              <w:pStyle w:val="null3"/>
            </w:pPr>
            <w:r>
              <w:rPr/>
              <w:t>否</w:t>
            </w:r>
          </w:p>
        </w:tc>
        <w:tc>
          <w:tcPr>
            <w:tcW w:type="dxa" w:w="1038"/>
          </w:tcPr>
          <w:p/>
        </w:tc>
      </w:tr>
      <w:tr>
        <w:tc>
          <w:tcPr>
            <w:tcW w:type="dxa" w:w="1038"/>
          </w:tcPr>
          <w:p>
            <w:pPr>
              <w:pStyle w:val="null3"/>
            </w:pPr>
            <w:r>
              <w:rPr/>
              <w:t>192</w:t>
            </w:r>
          </w:p>
        </w:tc>
        <w:tc>
          <w:tcPr>
            <w:tcW w:type="dxa" w:w="1038"/>
          </w:tcPr>
          <w:p>
            <w:pPr>
              <w:pStyle w:val="null3"/>
            </w:pPr>
            <w:r>
              <w:rPr/>
              <w:t>便携式计算机-安全要求</w:t>
            </w:r>
          </w:p>
        </w:tc>
        <w:tc>
          <w:tcPr>
            <w:tcW w:type="dxa" w:w="1038"/>
          </w:tcPr>
          <w:p/>
        </w:tc>
        <w:tc>
          <w:tcPr>
            <w:tcW w:type="dxa" w:w="1038"/>
          </w:tcPr>
          <w:p>
            <w:pPr>
              <w:pStyle w:val="null3"/>
            </w:pPr>
            <w:r>
              <w:rPr/>
              <w:t>整机安全性要求</w:t>
            </w:r>
          </w:p>
        </w:tc>
        <w:tc>
          <w:tcPr>
            <w:tcW w:type="dxa" w:w="1038"/>
          </w:tcPr>
          <w:p>
            <w:pPr>
              <w:pStyle w:val="null3"/>
            </w:pPr>
            <w:r>
              <w:rPr/>
              <w:t>安全物理锁</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193</w:t>
            </w:r>
          </w:p>
        </w:tc>
        <w:tc>
          <w:tcPr>
            <w:tcW w:type="dxa" w:w="1038"/>
          </w:tcPr>
          <w:p>
            <w:pPr>
              <w:pStyle w:val="null3"/>
            </w:pPr>
            <w:r>
              <w:rPr/>
              <w:t>便携式计算机-安全要求</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信息安全基本要求</w:t>
            </w:r>
          </w:p>
        </w:tc>
        <w:tc>
          <w:tcPr>
            <w:tcW w:type="dxa" w:w="1038"/>
          </w:tcPr>
          <w:p>
            <w:pPr>
              <w:pStyle w:val="null3"/>
            </w:pPr>
            <w:r>
              <w:rPr/>
              <w:t>a)应符合GB/T39276的5.2的规定； b)生产厂商应建立漏洞跟踪表，保证产品版本涉及到的漏洞(如驱动程序等)可查看； c)不得包含已知的恶意代码或漏洞，不存在未声明的指令、功能、接口</w:t>
            </w:r>
          </w:p>
        </w:tc>
        <w:tc>
          <w:tcPr>
            <w:tcW w:type="dxa" w:w="1038"/>
          </w:tcPr>
          <w:p>
            <w:pPr>
              <w:pStyle w:val="null3"/>
            </w:pPr>
            <w:r>
              <w:rPr/>
              <w:t>否</w:t>
            </w:r>
          </w:p>
        </w:tc>
        <w:tc>
          <w:tcPr>
            <w:tcW w:type="dxa" w:w="1038"/>
          </w:tcPr>
          <w:p/>
        </w:tc>
      </w:tr>
      <w:tr>
        <w:tc>
          <w:tcPr>
            <w:tcW w:type="dxa" w:w="1038"/>
          </w:tcPr>
          <w:p>
            <w:pPr>
              <w:pStyle w:val="null3"/>
            </w:pPr>
            <w:r>
              <w:rPr/>
              <w:t>194</w:t>
            </w:r>
          </w:p>
        </w:tc>
        <w:tc>
          <w:tcPr>
            <w:tcW w:type="dxa" w:w="1038"/>
          </w:tcPr>
          <w:p>
            <w:pPr>
              <w:pStyle w:val="null3"/>
            </w:pPr>
            <w:r>
              <w:rPr/>
              <w:t>便携式计算机-安全要求</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固件安全启动</w:t>
            </w:r>
          </w:p>
        </w:tc>
        <w:tc>
          <w:tcPr>
            <w:tcW w:type="dxa" w:w="1038"/>
          </w:tcPr>
          <w:p>
            <w:pPr>
              <w:pStyle w:val="null3"/>
            </w:pPr>
            <w:r>
              <w:rPr/>
              <w:t>支持固件安全启动功能，固件启动过程中只有通过启动校验才能正常启动</w:t>
            </w:r>
          </w:p>
        </w:tc>
        <w:tc>
          <w:tcPr>
            <w:tcW w:type="dxa" w:w="1038"/>
          </w:tcPr>
          <w:p>
            <w:pPr>
              <w:pStyle w:val="null3"/>
            </w:pPr>
            <w:r>
              <w:rPr/>
              <w:t>否</w:t>
            </w:r>
          </w:p>
        </w:tc>
        <w:tc>
          <w:tcPr>
            <w:tcW w:type="dxa" w:w="1038"/>
          </w:tcPr>
          <w:p/>
        </w:tc>
      </w:tr>
      <w:tr>
        <w:tc>
          <w:tcPr>
            <w:tcW w:type="dxa" w:w="1038"/>
          </w:tcPr>
          <w:p>
            <w:pPr>
              <w:pStyle w:val="null3"/>
            </w:pPr>
            <w:r>
              <w:rPr/>
              <w:t>195</w:t>
            </w:r>
          </w:p>
        </w:tc>
        <w:tc>
          <w:tcPr>
            <w:tcW w:type="dxa" w:w="1038"/>
          </w:tcPr>
          <w:p>
            <w:pPr>
              <w:pStyle w:val="null3"/>
            </w:pPr>
            <w:r>
              <w:rPr/>
              <w:t>便携式计算机-安全要求</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限用物质的限量要求</w:t>
            </w:r>
          </w:p>
        </w:tc>
        <w:tc>
          <w:tcPr>
            <w:tcW w:type="dxa" w:w="1038"/>
          </w:tcPr>
          <w:p>
            <w:pPr>
              <w:pStyle w:val="null3"/>
            </w:pPr>
            <w:r>
              <w:rPr/>
              <w:t>符合GB/T26572中规定</w:t>
            </w:r>
          </w:p>
        </w:tc>
        <w:tc>
          <w:tcPr>
            <w:tcW w:type="dxa" w:w="1038"/>
          </w:tcPr>
          <w:p>
            <w:pPr>
              <w:pStyle w:val="null3"/>
            </w:pPr>
            <w:r>
              <w:rPr/>
              <w:t>否</w:t>
            </w:r>
          </w:p>
        </w:tc>
        <w:tc>
          <w:tcPr>
            <w:tcW w:type="dxa" w:w="1038"/>
          </w:tcPr>
          <w:p/>
        </w:tc>
      </w:tr>
      <w:tr>
        <w:tc>
          <w:tcPr>
            <w:tcW w:type="dxa" w:w="1038"/>
          </w:tcPr>
          <w:p>
            <w:pPr>
              <w:pStyle w:val="null3"/>
            </w:pPr>
            <w:r>
              <w:rPr/>
              <w:t>196</w:t>
            </w:r>
          </w:p>
        </w:tc>
        <w:tc>
          <w:tcPr>
            <w:tcW w:type="dxa" w:w="1038"/>
          </w:tcPr>
          <w:p>
            <w:pPr>
              <w:pStyle w:val="null3"/>
            </w:pPr>
            <w:r>
              <w:rPr/>
              <w:t>便携式计算机-安全要求</w:t>
            </w:r>
          </w:p>
        </w:tc>
        <w:tc>
          <w:tcPr>
            <w:tcW w:type="dxa" w:w="1038"/>
          </w:tcPr>
          <w:p>
            <w:pPr>
              <w:pStyle w:val="null3"/>
            </w:pPr>
            <w:r>
              <w:rPr/>
              <w:t>★</w:t>
            </w:r>
          </w:p>
        </w:tc>
        <w:tc>
          <w:tcPr>
            <w:tcW w:type="dxa" w:w="1038"/>
          </w:tcPr>
          <w:p>
            <w:pPr>
              <w:pStyle w:val="null3"/>
            </w:pPr>
            <w:r>
              <w:rPr/>
              <w:t>域控系统</w:t>
            </w:r>
          </w:p>
        </w:tc>
        <w:tc>
          <w:tcPr>
            <w:tcW w:type="dxa" w:w="1038"/>
          </w:tcPr>
          <w:p>
            <w:pPr>
              <w:pStyle w:val="null3"/>
            </w:pPr>
            <w:r>
              <w:rPr/>
              <w:t>域控系统</w:t>
            </w:r>
          </w:p>
        </w:tc>
        <w:tc>
          <w:tcPr>
            <w:tcW w:type="dxa" w:w="1038"/>
          </w:tcPr>
          <w:p>
            <w:pPr>
              <w:pStyle w:val="null3"/>
            </w:pPr>
            <w:r>
              <w:rPr/>
              <w:t>1.提供与操作系统匹配的域控系统。（可通过升级现有域控或新部署） 2.提供不低于采购便携式计算机数量的域控系统授权数量。 3.提供的域控系统应兼容采购人现有的操作系统。</w:t>
            </w:r>
          </w:p>
        </w:tc>
        <w:tc>
          <w:tcPr>
            <w:tcW w:type="dxa" w:w="1038"/>
          </w:tcPr>
          <w:p>
            <w:pPr>
              <w:pStyle w:val="null3"/>
            </w:pPr>
            <w:r>
              <w:rPr/>
              <w:t>否</w:t>
            </w:r>
          </w:p>
        </w:tc>
        <w:tc>
          <w:tcPr>
            <w:tcW w:type="dxa" w:w="1038"/>
          </w:tcPr>
          <w:p/>
        </w:tc>
      </w:tr>
      <w:tr>
        <w:tc>
          <w:tcPr>
            <w:tcW w:type="dxa" w:w="1038"/>
          </w:tcPr>
          <w:p>
            <w:pPr>
              <w:pStyle w:val="null3"/>
            </w:pPr>
            <w:r>
              <w:rPr/>
              <w:t>197</w:t>
            </w:r>
          </w:p>
        </w:tc>
        <w:tc>
          <w:tcPr>
            <w:tcW w:type="dxa" w:w="1038"/>
          </w:tcPr>
          <w:p>
            <w:pPr>
              <w:pStyle w:val="null3"/>
            </w:pPr>
            <w:r>
              <w:rPr/>
              <w:t>便携式计算机-随机配件要求</w:t>
            </w:r>
          </w:p>
        </w:tc>
        <w:tc>
          <w:tcPr>
            <w:tcW w:type="dxa" w:w="1038"/>
          </w:tcPr>
          <w:p>
            <w:pPr>
              <w:pStyle w:val="null3"/>
            </w:pPr>
            <w:r>
              <w:rPr/>
              <w:t>★</w:t>
            </w:r>
          </w:p>
        </w:tc>
        <w:tc>
          <w:tcPr>
            <w:tcW w:type="dxa" w:w="1038"/>
          </w:tcPr>
          <w:p>
            <w:pPr>
              <w:pStyle w:val="null3"/>
            </w:pPr>
            <w:r>
              <w:rPr/>
              <w:t>随机配件要求</w:t>
            </w:r>
          </w:p>
        </w:tc>
        <w:tc>
          <w:tcPr>
            <w:tcW w:type="dxa" w:w="1038"/>
          </w:tcPr>
          <w:p>
            <w:pPr>
              <w:pStyle w:val="null3"/>
            </w:pPr>
            <w:r>
              <w:rPr/>
              <w:t>鼠标</w:t>
            </w:r>
          </w:p>
        </w:tc>
        <w:tc>
          <w:tcPr>
            <w:tcW w:type="dxa" w:w="1038"/>
          </w:tcPr>
          <w:p>
            <w:pPr>
              <w:pStyle w:val="null3"/>
            </w:pPr>
            <w:r>
              <w:rPr/>
              <w:t>提供无线鼠标</w:t>
            </w:r>
          </w:p>
        </w:tc>
        <w:tc>
          <w:tcPr>
            <w:tcW w:type="dxa" w:w="1038"/>
          </w:tcPr>
          <w:p>
            <w:pPr>
              <w:pStyle w:val="null3"/>
            </w:pPr>
            <w:r>
              <w:rPr/>
              <w:t>否</w:t>
            </w:r>
          </w:p>
        </w:tc>
        <w:tc>
          <w:tcPr>
            <w:tcW w:type="dxa" w:w="1038"/>
          </w:tcPr>
          <w:p/>
        </w:tc>
      </w:tr>
      <w:tr>
        <w:tc>
          <w:tcPr>
            <w:tcW w:type="dxa" w:w="1038"/>
          </w:tcPr>
          <w:p>
            <w:pPr>
              <w:pStyle w:val="null3"/>
            </w:pPr>
            <w:r>
              <w:rPr/>
              <w:t>198</w:t>
            </w:r>
          </w:p>
        </w:tc>
        <w:tc>
          <w:tcPr>
            <w:tcW w:type="dxa" w:w="1038"/>
          </w:tcPr>
          <w:p>
            <w:pPr>
              <w:pStyle w:val="null3"/>
            </w:pPr>
            <w:r>
              <w:rPr/>
              <w:t>便携式计算机-随机配件要求</w:t>
            </w:r>
          </w:p>
        </w:tc>
        <w:tc>
          <w:tcPr>
            <w:tcW w:type="dxa" w:w="1038"/>
          </w:tcPr>
          <w:p>
            <w:pPr>
              <w:pStyle w:val="null3"/>
            </w:pPr>
            <w:r>
              <w:rPr/>
              <w:t>★</w:t>
            </w:r>
          </w:p>
        </w:tc>
        <w:tc>
          <w:tcPr>
            <w:tcW w:type="dxa" w:w="1038"/>
          </w:tcPr>
          <w:p>
            <w:pPr>
              <w:pStyle w:val="null3"/>
            </w:pPr>
            <w:r>
              <w:rPr/>
              <w:t>随机配件要求</w:t>
            </w:r>
          </w:p>
        </w:tc>
        <w:tc>
          <w:tcPr>
            <w:tcW w:type="dxa" w:w="1038"/>
          </w:tcPr>
          <w:p>
            <w:pPr>
              <w:pStyle w:val="null3"/>
            </w:pPr>
            <w:r>
              <w:rPr/>
              <w:t>背包</w:t>
            </w:r>
          </w:p>
        </w:tc>
        <w:tc>
          <w:tcPr>
            <w:tcW w:type="dxa" w:w="1038"/>
          </w:tcPr>
          <w:p>
            <w:pPr>
              <w:pStyle w:val="null3"/>
            </w:pPr>
            <w:r>
              <w:rPr/>
              <w:t>提供双肩电脑背包</w:t>
            </w:r>
          </w:p>
        </w:tc>
        <w:tc>
          <w:tcPr>
            <w:tcW w:type="dxa" w:w="1038"/>
          </w:tcPr>
          <w:p>
            <w:pPr>
              <w:pStyle w:val="null3"/>
            </w:pPr>
            <w:r>
              <w:rPr/>
              <w:t>否</w:t>
            </w:r>
          </w:p>
        </w:tc>
        <w:tc>
          <w:tcPr>
            <w:tcW w:type="dxa" w:w="1038"/>
          </w:tcPr>
          <w:p/>
        </w:tc>
      </w:tr>
      <w:tr>
        <w:tc>
          <w:tcPr>
            <w:tcW w:type="dxa" w:w="1038"/>
          </w:tcPr>
          <w:p>
            <w:pPr>
              <w:pStyle w:val="null3"/>
            </w:pPr>
            <w:r>
              <w:rPr/>
              <w:t>199</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X86架构，物理核心数≥8核，主频≥2.7GHz，二级缓存≥4MB，线程数量≥8</w:t>
            </w:r>
          </w:p>
        </w:tc>
        <w:tc>
          <w:tcPr>
            <w:tcW w:type="dxa" w:w="1038"/>
          </w:tcPr>
          <w:p>
            <w:pPr>
              <w:pStyle w:val="null3"/>
            </w:pPr>
            <w:r>
              <w:rPr/>
              <w:t>否</w:t>
            </w:r>
          </w:p>
        </w:tc>
        <w:tc>
          <w:tcPr>
            <w:tcW w:type="dxa" w:w="1038"/>
          </w:tcPr>
          <w:p/>
        </w:tc>
      </w:tr>
      <w:tr>
        <w:tc>
          <w:tcPr>
            <w:tcW w:type="dxa" w:w="1038"/>
          </w:tcPr>
          <w:p>
            <w:pPr>
              <w:pStyle w:val="null3"/>
            </w:pPr>
            <w:r>
              <w:rPr/>
              <w:t>200</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内存配置容量</w:t>
            </w:r>
          </w:p>
        </w:tc>
        <w:tc>
          <w:tcPr>
            <w:tcW w:type="dxa" w:w="1038"/>
          </w:tcPr>
          <w:p>
            <w:pPr>
              <w:pStyle w:val="null3"/>
            </w:pPr>
            <w:r>
              <w:rPr/>
              <w:t>≥8GB</w:t>
            </w:r>
          </w:p>
        </w:tc>
        <w:tc>
          <w:tcPr>
            <w:tcW w:type="dxa" w:w="1038"/>
          </w:tcPr>
          <w:p>
            <w:pPr>
              <w:pStyle w:val="null3"/>
            </w:pPr>
            <w:r>
              <w:rPr/>
              <w:t>否</w:t>
            </w:r>
          </w:p>
        </w:tc>
        <w:tc>
          <w:tcPr>
            <w:tcW w:type="dxa" w:w="1038"/>
          </w:tcPr>
          <w:p/>
        </w:tc>
      </w:tr>
      <w:tr>
        <w:tc>
          <w:tcPr>
            <w:tcW w:type="dxa" w:w="1038"/>
          </w:tcPr>
          <w:p>
            <w:pPr>
              <w:pStyle w:val="null3"/>
            </w:pPr>
            <w:r>
              <w:rPr/>
              <w:t>201</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内存类型</w:t>
            </w:r>
          </w:p>
        </w:tc>
        <w:tc>
          <w:tcPr>
            <w:tcW w:type="dxa" w:w="1038"/>
          </w:tcPr>
          <w:p>
            <w:pPr>
              <w:pStyle w:val="null3"/>
            </w:pPr>
            <w:r>
              <w:rPr/>
              <w:t>支持 DDR4/LPDDR4/LPDDR4X 及以上内存类型</w:t>
            </w:r>
          </w:p>
        </w:tc>
        <w:tc>
          <w:tcPr>
            <w:tcW w:type="dxa" w:w="1038"/>
          </w:tcPr>
          <w:p>
            <w:pPr>
              <w:pStyle w:val="null3"/>
            </w:pPr>
            <w:r>
              <w:rPr/>
              <w:t>否</w:t>
            </w:r>
          </w:p>
        </w:tc>
        <w:tc>
          <w:tcPr>
            <w:tcW w:type="dxa" w:w="1038"/>
          </w:tcPr>
          <w:p/>
        </w:tc>
      </w:tr>
      <w:tr>
        <w:tc>
          <w:tcPr>
            <w:tcW w:type="dxa" w:w="1038"/>
          </w:tcPr>
          <w:p>
            <w:pPr>
              <w:pStyle w:val="null3"/>
            </w:pPr>
            <w:r>
              <w:rPr/>
              <w:t>202</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内存条配置数量（板载内存不涉及）</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203</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主板集成模块</w:t>
            </w:r>
          </w:p>
        </w:tc>
        <w:tc>
          <w:tcPr>
            <w:tcW w:type="dxa" w:w="1038"/>
          </w:tcPr>
          <w:p>
            <w:pPr>
              <w:pStyle w:val="null3"/>
            </w:pPr>
            <w:r>
              <w:rPr/>
              <w:t>集成资源扩展模块、计算处理模块、音频扩展模块等，主板的互联拓扑可通过处理器或交换电路实现</w:t>
            </w:r>
          </w:p>
        </w:tc>
        <w:tc>
          <w:tcPr>
            <w:tcW w:type="dxa" w:w="1038"/>
          </w:tcPr>
          <w:p>
            <w:pPr>
              <w:pStyle w:val="null3"/>
            </w:pPr>
            <w:r>
              <w:rPr/>
              <w:t>否</w:t>
            </w:r>
          </w:p>
        </w:tc>
        <w:tc>
          <w:tcPr>
            <w:tcW w:type="dxa" w:w="1038"/>
          </w:tcPr>
          <w:p/>
        </w:tc>
      </w:tr>
      <w:tr>
        <w:tc>
          <w:tcPr>
            <w:tcW w:type="dxa" w:w="1038"/>
          </w:tcPr>
          <w:p>
            <w:pPr>
              <w:pStyle w:val="null3"/>
            </w:pPr>
            <w:r>
              <w:rPr/>
              <w:t>204</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 CPU和内存情况</w:t>
            </w:r>
          </w:p>
        </w:tc>
        <w:tc>
          <w:tcPr>
            <w:tcW w:type="dxa" w:w="1038"/>
          </w:tcPr>
          <w:p>
            <w:pPr>
              <w:pStyle w:val="null3"/>
            </w:pPr>
            <w:r>
              <w:rPr/>
              <w:t>支持X86架构CPU，内存支持DDR4/LPDDR4/LPDDR4X或DDR5</w:t>
            </w:r>
          </w:p>
        </w:tc>
        <w:tc>
          <w:tcPr>
            <w:tcW w:type="dxa" w:w="1038"/>
          </w:tcPr>
          <w:p>
            <w:pPr>
              <w:pStyle w:val="null3"/>
            </w:pPr>
            <w:r>
              <w:rPr/>
              <w:t>否</w:t>
            </w:r>
          </w:p>
        </w:tc>
        <w:tc>
          <w:tcPr>
            <w:tcW w:type="dxa" w:w="1038"/>
          </w:tcPr>
          <w:p/>
        </w:tc>
      </w:tr>
      <w:tr>
        <w:tc>
          <w:tcPr>
            <w:tcW w:type="dxa" w:w="1038"/>
          </w:tcPr>
          <w:p>
            <w:pPr>
              <w:pStyle w:val="null3"/>
            </w:pPr>
            <w:r>
              <w:rPr/>
              <w:t>205</w:t>
            </w:r>
          </w:p>
        </w:tc>
        <w:tc>
          <w:tcPr>
            <w:tcW w:type="dxa" w:w="1038"/>
          </w:tcPr>
          <w:p>
            <w:pPr>
              <w:pStyle w:val="null3"/>
            </w:pPr>
            <w:r>
              <w:rPr/>
              <w:t>台式计算机-产品规格</w:t>
            </w:r>
          </w:p>
        </w:tc>
        <w:tc>
          <w:tcPr>
            <w:tcW w:type="dxa" w:w="1038"/>
          </w:tcPr>
          <w:p/>
        </w:tc>
        <w:tc>
          <w:tcPr>
            <w:tcW w:type="dxa" w:w="1038"/>
          </w:tcPr>
          <w:p>
            <w:pPr>
              <w:pStyle w:val="null3"/>
            </w:pPr>
            <w:r>
              <w:rPr/>
              <w:t>主板规格</w:t>
            </w:r>
          </w:p>
        </w:tc>
        <w:tc>
          <w:tcPr>
            <w:tcW w:type="dxa" w:w="1038"/>
          </w:tcPr>
          <w:p>
            <w:pPr>
              <w:pStyle w:val="null3"/>
            </w:pPr>
            <w:r>
              <w:rPr/>
              <w:t>主板内置 PCIe 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206</w:t>
            </w:r>
          </w:p>
        </w:tc>
        <w:tc>
          <w:tcPr>
            <w:tcW w:type="dxa" w:w="1038"/>
          </w:tcPr>
          <w:p>
            <w:pPr>
              <w:pStyle w:val="null3"/>
            </w:pPr>
            <w:r>
              <w:rPr/>
              <w:t>台式计算机-产品规格</w:t>
            </w:r>
          </w:p>
        </w:tc>
        <w:tc>
          <w:tcPr>
            <w:tcW w:type="dxa" w:w="1038"/>
          </w:tcP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207</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主板其他内置接口</w:t>
            </w:r>
          </w:p>
        </w:tc>
        <w:tc>
          <w:tcPr>
            <w:tcW w:type="dxa" w:w="1038"/>
          </w:tcPr>
          <w:p>
            <w:pPr>
              <w:pStyle w:val="null3"/>
            </w:pPr>
            <w:r>
              <w:rPr/>
              <w:t>支持 SATA、 M.2，带 USB2.0、USB3.0</w:t>
            </w:r>
          </w:p>
        </w:tc>
        <w:tc>
          <w:tcPr>
            <w:tcW w:type="dxa" w:w="1038"/>
          </w:tcPr>
          <w:p>
            <w:pPr>
              <w:pStyle w:val="null3"/>
            </w:pPr>
            <w:r>
              <w:rPr/>
              <w:t>否</w:t>
            </w:r>
          </w:p>
        </w:tc>
        <w:tc>
          <w:tcPr>
            <w:tcW w:type="dxa" w:w="1038"/>
          </w:tcPr>
          <w:p/>
        </w:tc>
      </w:tr>
      <w:tr>
        <w:tc>
          <w:tcPr>
            <w:tcW w:type="dxa" w:w="1038"/>
          </w:tcPr>
          <w:p>
            <w:pPr>
              <w:pStyle w:val="null3"/>
            </w:pPr>
            <w:r>
              <w:rPr/>
              <w:t>208</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单内存插槽最大可支持容量（板载内存不涉及）</w:t>
            </w:r>
          </w:p>
        </w:tc>
        <w:tc>
          <w:tcPr>
            <w:tcW w:type="dxa" w:w="1038"/>
          </w:tcPr>
          <w:p>
            <w:pPr>
              <w:pStyle w:val="null3"/>
            </w:pPr>
            <w:r>
              <w:rPr/>
              <w:t>≥4GB</w:t>
            </w:r>
          </w:p>
        </w:tc>
        <w:tc>
          <w:tcPr>
            <w:tcW w:type="dxa" w:w="1038"/>
          </w:tcPr>
          <w:p>
            <w:pPr>
              <w:pStyle w:val="null3"/>
            </w:pPr>
            <w:r>
              <w:rPr/>
              <w:t>否</w:t>
            </w:r>
          </w:p>
        </w:tc>
        <w:tc>
          <w:tcPr>
            <w:tcW w:type="dxa" w:w="1038"/>
          </w:tcPr>
          <w:p/>
        </w:tc>
      </w:tr>
      <w:tr>
        <w:tc>
          <w:tcPr>
            <w:tcW w:type="dxa" w:w="1038"/>
          </w:tcPr>
          <w:p>
            <w:pPr>
              <w:pStyle w:val="null3"/>
            </w:pPr>
            <w:r>
              <w:rPr/>
              <w:t>209</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内存插槽满配时提供的最高内存总容量</w:t>
            </w:r>
          </w:p>
        </w:tc>
        <w:tc>
          <w:tcPr>
            <w:tcW w:type="dxa" w:w="1038"/>
          </w:tcPr>
          <w:p>
            <w:pPr>
              <w:pStyle w:val="null3"/>
            </w:pPr>
            <w:r>
              <w:rPr/>
              <w:t>≥16GB</w:t>
            </w:r>
          </w:p>
        </w:tc>
        <w:tc>
          <w:tcPr>
            <w:tcW w:type="dxa" w:w="1038"/>
          </w:tcPr>
          <w:p>
            <w:pPr>
              <w:pStyle w:val="null3"/>
            </w:pPr>
            <w:r>
              <w:rPr/>
              <w:t>否</w:t>
            </w:r>
          </w:p>
        </w:tc>
        <w:tc>
          <w:tcPr>
            <w:tcW w:type="dxa" w:w="1038"/>
          </w:tcPr>
          <w:p/>
        </w:tc>
      </w:tr>
      <w:tr>
        <w:tc>
          <w:tcPr>
            <w:tcW w:type="dxa" w:w="1038"/>
          </w:tcPr>
          <w:p>
            <w:pPr>
              <w:pStyle w:val="null3"/>
            </w:pPr>
            <w:r>
              <w:rPr/>
              <w:t>210</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固态盘数量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211</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固态存储容量</w:t>
            </w:r>
          </w:p>
        </w:tc>
        <w:tc>
          <w:tcPr>
            <w:tcW w:type="dxa" w:w="1038"/>
          </w:tcPr>
          <w:p>
            <w:pPr>
              <w:pStyle w:val="null3"/>
            </w:pPr>
            <w:r>
              <w:rPr/>
              <w:t>≥256GB</w:t>
            </w:r>
          </w:p>
        </w:tc>
        <w:tc>
          <w:tcPr>
            <w:tcW w:type="dxa" w:w="1038"/>
          </w:tcPr>
          <w:p>
            <w:pPr>
              <w:pStyle w:val="null3"/>
            </w:pPr>
            <w:r>
              <w:rPr/>
              <w:t>否</w:t>
            </w:r>
          </w:p>
        </w:tc>
        <w:tc>
          <w:tcPr>
            <w:tcW w:type="dxa" w:w="1038"/>
          </w:tcPr>
          <w:p/>
        </w:tc>
      </w:tr>
      <w:tr>
        <w:tc>
          <w:tcPr>
            <w:tcW w:type="dxa" w:w="1038"/>
          </w:tcPr>
          <w:p>
            <w:pPr>
              <w:pStyle w:val="null3"/>
            </w:pPr>
            <w:r>
              <w:rPr/>
              <w:t>212</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213</w:t>
            </w:r>
          </w:p>
        </w:tc>
        <w:tc>
          <w:tcPr>
            <w:tcW w:type="dxa" w:w="1038"/>
          </w:tcPr>
          <w:p>
            <w:pPr>
              <w:pStyle w:val="null3"/>
            </w:pPr>
            <w:r>
              <w:rPr/>
              <w:t>台式计算机-产品规格</w:t>
            </w:r>
          </w:p>
        </w:tc>
        <w:tc>
          <w:tcPr>
            <w:tcW w:type="dxa" w:w="1038"/>
          </w:tcPr>
          <w:p/>
        </w:tc>
        <w:tc>
          <w:tcPr>
            <w:tcW w:type="dxa" w:w="1038"/>
          </w:tcPr>
          <w:p>
            <w:pPr>
              <w:pStyle w:val="null3"/>
            </w:pPr>
            <w:r>
              <w:rPr/>
              <w:t>存储设备规格</w:t>
            </w:r>
          </w:p>
        </w:tc>
        <w:tc>
          <w:tcPr>
            <w:tcW w:type="dxa" w:w="1038"/>
          </w:tcPr>
          <w:p>
            <w:pPr>
              <w:pStyle w:val="null3"/>
            </w:pPr>
            <w:r>
              <w:rPr/>
              <w:t>机械硬盘总容量</w:t>
            </w:r>
          </w:p>
        </w:tc>
        <w:tc>
          <w:tcPr>
            <w:tcW w:type="dxa" w:w="1038"/>
          </w:tcPr>
          <w:p>
            <w:pPr>
              <w:pStyle w:val="null3"/>
            </w:pPr>
            <w:r>
              <w:rPr/>
              <w:t>≥500G</w:t>
            </w:r>
          </w:p>
        </w:tc>
        <w:tc>
          <w:tcPr>
            <w:tcW w:type="dxa" w:w="1038"/>
          </w:tcPr>
          <w:p>
            <w:pPr>
              <w:pStyle w:val="null3"/>
            </w:pPr>
            <w:r>
              <w:rPr/>
              <w:t>否</w:t>
            </w:r>
          </w:p>
        </w:tc>
        <w:tc>
          <w:tcPr>
            <w:tcW w:type="dxa" w:w="1038"/>
          </w:tcPr>
          <w:p/>
        </w:tc>
      </w:tr>
      <w:tr>
        <w:tc>
          <w:tcPr>
            <w:tcW w:type="dxa" w:w="1038"/>
          </w:tcPr>
          <w:p>
            <w:pPr>
              <w:pStyle w:val="null3"/>
            </w:pPr>
            <w:r>
              <w:rPr/>
              <w:t>214</w:t>
            </w:r>
          </w:p>
        </w:tc>
        <w:tc>
          <w:tcPr>
            <w:tcW w:type="dxa" w:w="1038"/>
          </w:tcPr>
          <w:p>
            <w:pPr>
              <w:pStyle w:val="null3"/>
            </w:pPr>
            <w:r>
              <w:rPr/>
              <w:t>台式计算机-产品规格</w:t>
            </w:r>
          </w:p>
        </w:tc>
        <w:tc>
          <w:tcPr>
            <w:tcW w:type="dxa" w:w="1038"/>
          </w:tcPr>
          <w:p/>
        </w:tc>
        <w:tc>
          <w:tcPr>
            <w:tcW w:type="dxa" w:w="1038"/>
          </w:tcPr>
          <w:p>
            <w:pPr>
              <w:pStyle w:val="null3"/>
            </w:pPr>
            <w:r>
              <w:rPr/>
              <w:t>存储设备规格</w:t>
            </w:r>
          </w:p>
        </w:tc>
        <w:tc>
          <w:tcPr>
            <w:tcW w:type="dxa" w:w="1038"/>
          </w:tcPr>
          <w:p>
            <w:pPr>
              <w:pStyle w:val="null3"/>
            </w:pPr>
            <w:r>
              <w:rPr/>
              <w:t>机械硬盘转速</w:t>
            </w:r>
          </w:p>
        </w:tc>
        <w:tc>
          <w:tcPr>
            <w:tcW w:type="dxa" w:w="1038"/>
          </w:tcPr>
          <w:p>
            <w:pPr>
              <w:pStyle w:val="null3"/>
            </w:pPr>
            <w:r>
              <w:rPr/>
              <w:t>≥5400rpm</w:t>
            </w:r>
          </w:p>
        </w:tc>
        <w:tc>
          <w:tcPr>
            <w:tcW w:type="dxa" w:w="1038"/>
          </w:tcPr>
          <w:p>
            <w:pPr>
              <w:pStyle w:val="null3"/>
            </w:pPr>
            <w:r>
              <w:rPr/>
              <w:t>否</w:t>
            </w:r>
          </w:p>
        </w:tc>
        <w:tc>
          <w:tcPr>
            <w:tcW w:type="dxa" w:w="1038"/>
          </w:tcPr>
          <w:p/>
        </w:tc>
      </w:tr>
      <w:tr>
        <w:tc>
          <w:tcPr>
            <w:tcW w:type="dxa" w:w="1038"/>
          </w:tcPr>
          <w:p>
            <w:pPr>
              <w:pStyle w:val="null3"/>
            </w:pPr>
            <w:r>
              <w:rPr/>
              <w:t>215</w:t>
            </w:r>
          </w:p>
        </w:tc>
        <w:tc>
          <w:tcPr>
            <w:tcW w:type="dxa" w:w="1038"/>
          </w:tcPr>
          <w:p>
            <w:pPr>
              <w:pStyle w:val="null3"/>
            </w:pPr>
            <w:r>
              <w:rPr/>
              <w:t>台式计算机-产品规格</w:t>
            </w:r>
          </w:p>
        </w:tc>
        <w:tc>
          <w:tcPr>
            <w:tcW w:type="dxa" w:w="1038"/>
          </w:tcPr>
          <w:p/>
        </w:tc>
        <w:tc>
          <w:tcPr>
            <w:tcW w:type="dxa" w:w="1038"/>
          </w:tcPr>
          <w:p>
            <w:pPr>
              <w:pStyle w:val="null3"/>
            </w:pPr>
            <w:r>
              <w:rPr/>
              <w:t>存储设备规格</w:t>
            </w:r>
          </w:p>
        </w:tc>
        <w:tc>
          <w:tcPr>
            <w:tcW w:type="dxa" w:w="1038"/>
          </w:tcPr>
          <w:p>
            <w:pPr>
              <w:pStyle w:val="null3"/>
            </w:pPr>
            <w:r>
              <w:rPr/>
              <w:t>机械硬盘接口协议</w:t>
            </w:r>
          </w:p>
        </w:tc>
        <w:tc>
          <w:tcPr>
            <w:tcW w:type="dxa" w:w="1038"/>
          </w:tcPr>
          <w:p>
            <w:pPr>
              <w:pStyle w:val="null3"/>
            </w:pPr>
            <w:r>
              <w:rPr/>
              <w:t>支持SATA3.0 及以上或SAS3.0 及以上接口</w:t>
            </w:r>
          </w:p>
        </w:tc>
        <w:tc>
          <w:tcPr>
            <w:tcW w:type="dxa" w:w="1038"/>
          </w:tcPr>
          <w:p>
            <w:pPr>
              <w:pStyle w:val="null3"/>
            </w:pPr>
            <w:r>
              <w:rPr/>
              <w:t>否</w:t>
            </w:r>
          </w:p>
        </w:tc>
        <w:tc>
          <w:tcPr>
            <w:tcW w:type="dxa" w:w="1038"/>
          </w:tcPr>
          <w:p/>
        </w:tc>
      </w:tr>
      <w:tr>
        <w:tc>
          <w:tcPr>
            <w:tcW w:type="dxa" w:w="1038"/>
          </w:tcPr>
          <w:p>
            <w:pPr>
              <w:pStyle w:val="null3"/>
            </w:pPr>
            <w:r>
              <w:rPr/>
              <w:t>216</w:t>
            </w:r>
          </w:p>
        </w:tc>
        <w:tc>
          <w:tcPr>
            <w:tcW w:type="dxa" w:w="1038"/>
          </w:tcPr>
          <w:p>
            <w:pPr>
              <w:pStyle w:val="null3"/>
            </w:pPr>
            <w:r>
              <w:rPr/>
              <w:t>台式计算机-产品规格</w:t>
            </w:r>
          </w:p>
        </w:tc>
        <w:tc>
          <w:tcPr>
            <w:tcW w:type="dxa" w:w="1038"/>
          </w:tcPr>
          <w:p/>
        </w:tc>
        <w:tc>
          <w:tcPr>
            <w:tcW w:type="dxa" w:w="1038"/>
          </w:tcPr>
          <w:p>
            <w:pPr>
              <w:pStyle w:val="null3"/>
            </w:pPr>
            <w:r>
              <w:rPr/>
              <w:t>存储设备规格</w:t>
            </w:r>
          </w:p>
        </w:tc>
        <w:tc>
          <w:tcPr>
            <w:tcW w:type="dxa" w:w="1038"/>
          </w:tcPr>
          <w:p>
            <w:pPr>
              <w:pStyle w:val="null3"/>
            </w:pPr>
            <w:r>
              <w:rPr/>
              <w:t>机械硬盘形态</w:t>
            </w:r>
          </w:p>
        </w:tc>
        <w:tc>
          <w:tcPr>
            <w:tcW w:type="dxa" w:w="1038"/>
          </w:tcPr>
          <w:p>
            <w:pPr>
              <w:pStyle w:val="null3"/>
            </w:pPr>
            <w:r>
              <w:rPr/>
              <w:t>2.5 英寸或 3.5 英寸等</w:t>
            </w:r>
          </w:p>
        </w:tc>
        <w:tc>
          <w:tcPr>
            <w:tcW w:type="dxa" w:w="1038"/>
          </w:tcPr>
          <w:p>
            <w:pPr>
              <w:pStyle w:val="null3"/>
            </w:pPr>
            <w:r>
              <w:rPr/>
              <w:t>否</w:t>
            </w:r>
          </w:p>
        </w:tc>
        <w:tc>
          <w:tcPr>
            <w:tcW w:type="dxa" w:w="1038"/>
          </w:tcPr>
          <w:p/>
        </w:tc>
      </w:tr>
      <w:tr>
        <w:tc>
          <w:tcPr>
            <w:tcW w:type="dxa" w:w="1038"/>
          </w:tcPr>
          <w:p>
            <w:pPr>
              <w:pStyle w:val="null3"/>
            </w:pPr>
            <w:r>
              <w:rPr/>
              <w:t>217</w:t>
            </w:r>
          </w:p>
        </w:tc>
        <w:tc>
          <w:tcPr>
            <w:tcW w:type="dxa" w:w="1038"/>
          </w:tcPr>
          <w:p>
            <w:pPr>
              <w:pStyle w:val="null3"/>
            </w:pPr>
            <w:r>
              <w:rPr/>
              <w:t>台式计算机-产品规格</w:t>
            </w:r>
          </w:p>
        </w:tc>
        <w:tc>
          <w:tcPr>
            <w:tcW w:type="dxa" w:w="1038"/>
          </w:tcPr>
          <w:p/>
        </w:tc>
        <w:tc>
          <w:tcPr>
            <w:tcW w:type="dxa" w:w="1038"/>
          </w:tcPr>
          <w:p>
            <w:pPr>
              <w:pStyle w:val="null3"/>
            </w:pPr>
            <w:r>
              <w:rPr/>
              <w:t>存储设备规格</w:t>
            </w:r>
          </w:p>
        </w:tc>
        <w:tc>
          <w:tcPr>
            <w:tcW w:type="dxa" w:w="1038"/>
          </w:tcPr>
          <w:p>
            <w:pPr>
              <w:pStyle w:val="null3"/>
            </w:pPr>
            <w:r>
              <w:rPr/>
              <w:t>固态存储接口协议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218</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固态存储形态</w:t>
            </w:r>
          </w:p>
        </w:tc>
        <w:tc>
          <w:tcPr>
            <w:tcW w:type="dxa" w:w="1038"/>
          </w:tcPr>
          <w:p>
            <w:pPr>
              <w:pStyle w:val="null3"/>
            </w:pPr>
            <w:r>
              <w:rPr/>
              <w:t>采用插卡或板载等形态，可选用符合M.2 或 2.5 寸 SATA 或mSATA 等标准的插卡形态</w:t>
            </w:r>
          </w:p>
        </w:tc>
        <w:tc>
          <w:tcPr>
            <w:tcW w:type="dxa" w:w="1038"/>
          </w:tcPr>
          <w:p>
            <w:pPr>
              <w:pStyle w:val="null3"/>
            </w:pPr>
            <w:r>
              <w:rPr/>
              <w:t>否</w:t>
            </w:r>
          </w:p>
        </w:tc>
        <w:tc>
          <w:tcPr>
            <w:tcW w:type="dxa" w:w="1038"/>
          </w:tcPr>
          <w:p/>
        </w:tc>
      </w:tr>
      <w:tr>
        <w:tc>
          <w:tcPr>
            <w:tcW w:type="dxa" w:w="1038"/>
          </w:tcPr>
          <w:p>
            <w:pPr>
              <w:pStyle w:val="null3"/>
            </w:pPr>
            <w:r>
              <w:rPr/>
              <w:t>219</w:t>
            </w:r>
          </w:p>
        </w:tc>
        <w:tc>
          <w:tcPr>
            <w:tcW w:type="dxa" w:w="1038"/>
          </w:tcPr>
          <w:p>
            <w:pPr>
              <w:pStyle w:val="null3"/>
            </w:pPr>
            <w:r>
              <w:rPr/>
              <w:t>台式计算机-产品规格</w:t>
            </w:r>
          </w:p>
        </w:tc>
        <w:tc>
          <w:tcPr>
            <w:tcW w:type="dxa" w:w="1038"/>
          </w:tcPr>
          <w:p/>
        </w:tc>
        <w:tc>
          <w:tcPr>
            <w:tcW w:type="dxa" w:w="1038"/>
          </w:tcPr>
          <w:p>
            <w:pPr>
              <w:pStyle w:val="null3"/>
            </w:pPr>
            <w:r>
              <w:rPr/>
              <w:t>存储设备规格</w:t>
            </w:r>
          </w:p>
        </w:tc>
        <w:tc>
          <w:tcPr>
            <w:tcW w:type="dxa" w:w="1038"/>
          </w:tcPr>
          <w:p>
            <w:pPr>
              <w:pStyle w:val="null3"/>
            </w:pPr>
            <w:r>
              <w:rPr/>
              <w:t>存储设备扩展盘位</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220</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存储设备其他参数要求</w:t>
            </w:r>
          </w:p>
        </w:tc>
        <w:tc>
          <w:tcPr>
            <w:tcW w:type="dxa" w:w="1038"/>
          </w:tcPr>
          <w:p>
            <w:pPr>
              <w:pStyle w:val="null3"/>
            </w:pPr>
            <w:r>
              <w:rPr/>
              <w:t>固态盘应符合 SJ/T 11654 相关规定；</w:t>
            </w:r>
          </w:p>
        </w:tc>
        <w:tc>
          <w:tcPr>
            <w:tcW w:type="dxa" w:w="1038"/>
          </w:tcPr>
          <w:p>
            <w:pPr>
              <w:pStyle w:val="null3"/>
            </w:pPr>
            <w:r>
              <w:rPr/>
              <w:t>否</w:t>
            </w:r>
          </w:p>
        </w:tc>
        <w:tc>
          <w:tcPr>
            <w:tcW w:type="dxa" w:w="1038"/>
          </w:tcPr>
          <w:p/>
        </w:tc>
      </w:tr>
      <w:tr>
        <w:tc>
          <w:tcPr>
            <w:tcW w:type="dxa" w:w="1038"/>
          </w:tcPr>
          <w:p>
            <w:pPr>
              <w:pStyle w:val="null3"/>
            </w:pPr>
            <w:r>
              <w:rPr/>
              <w:t>221</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显卡类型</w:t>
            </w:r>
          </w:p>
        </w:tc>
        <w:tc>
          <w:tcPr>
            <w:tcW w:type="dxa" w:w="1038"/>
          </w:tcPr>
          <w:p>
            <w:pPr>
              <w:pStyle w:val="null3"/>
            </w:pPr>
            <w:r>
              <w:rPr/>
              <w:t>集成显卡</w:t>
            </w:r>
          </w:p>
        </w:tc>
        <w:tc>
          <w:tcPr>
            <w:tcW w:type="dxa" w:w="1038"/>
          </w:tcPr>
          <w:p>
            <w:pPr>
              <w:pStyle w:val="null3"/>
            </w:pPr>
            <w:r>
              <w:rPr/>
              <w:t>否</w:t>
            </w:r>
          </w:p>
        </w:tc>
        <w:tc>
          <w:tcPr>
            <w:tcW w:type="dxa" w:w="1038"/>
          </w:tcPr>
          <w:p/>
        </w:tc>
      </w:tr>
      <w:tr>
        <w:tc>
          <w:tcPr>
            <w:tcW w:type="dxa" w:w="1038"/>
          </w:tcPr>
          <w:p>
            <w:pPr>
              <w:pStyle w:val="null3"/>
            </w:pPr>
            <w:r>
              <w:rPr/>
              <w:t>222</w:t>
            </w:r>
          </w:p>
        </w:tc>
        <w:tc>
          <w:tcPr>
            <w:tcW w:type="dxa" w:w="1038"/>
          </w:tcPr>
          <w:p>
            <w:pPr>
              <w:pStyle w:val="null3"/>
            </w:pPr>
            <w:r>
              <w:rPr/>
              <w:t>台式计算机-产品规格</w:t>
            </w:r>
          </w:p>
        </w:tc>
        <w:tc>
          <w:tcPr>
            <w:tcW w:type="dxa" w:w="1038"/>
          </w:tcPr>
          <w:p/>
        </w:tc>
        <w:tc>
          <w:tcPr>
            <w:tcW w:type="dxa" w:w="1038"/>
          </w:tcPr>
          <w:p>
            <w:pPr>
              <w:pStyle w:val="null3"/>
            </w:pPr>
            <w:r>
              <w:rPr/>
              <w:t>显卡规格</w:t>
            </w:r>
          </w:p>
        </w:tc>
        <w:tc>
          <w:tcPr>
            <w:tcW w:type="dxa" w:w="1038"/>
          </w:tcPr>
          <w:p>
            <w:pPr>
              <w:pStyle w:val="null3"/>
            </w:pPr>
            <w:r>
              <w:rPr/>
              <w:t>独立显卡显存类型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223</w:t>
            </w:r>
          </w:p>
        </w:tc>
        <w:tc>
          <w:tcPr>
            <w:tcW w:type="dxa" w:w="1038"/>
          </w:tcPr>
          <w:p>
            <w:pPr>
              <w:pStyle w:val="null3"/>
            </w:pPr>
            <w:r>
              <w:rPr/>
              <w:t>台式计算机-产品规格</w:t>
            </w:r>
          </w:p>
        </w:tc>
        <w:tc>
          <w:tcPr>
            <w:tcW w:type="dxa" w:w="1038"/>
          </w:tcPr>
          <w:p/>
        </w:tc>
        <w:tc>
          <w:tcPr>
            <w:tcW w:type="dxa" w:w="1038"/>
          </w:tcPr>
          <w:p>
            <w:pPr>
              <w:pStyle w:val="null3"/>
            </w:pPr>
            <w:r>
              <w:rPr/>
              <w:t>显卡规格</w:t>
            </w:r>
          </w:p>
        </w:tc>
        <w:tc>
          <w:tcPr>
            <w:tcW w:type="dxa" w:w="1038"/>
          </w:tcPr>
          <w:p>
            <w:pPr>
              <w:pStyle w:val="null3"/>
            </w:pPr>
            <w:r>
              <w:rPr/>
              <w:t>独立显卡显存位宽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224</w:t>
            </w:r>
          </w:p>
        </w:tc>
        <w:tc>
          <w:tcPr>
            <w:tcW w:type="dxa" w:w="1038"/>
          </w:tcPr>
          <w:p>
            <w:pPr>
              <w:pStyle w:val="null3"/>
            </w:pPr>
            <w:r>
              <w:rPr/>
              <w:t>台式计算机-产品规格</w:t>
            </w:r>
          </w:p>
        </w:tc>
        <w:tc>
          <w:tcPr>
            <w:tcW w:type="dxa" w:w="1038"/>
          </w:tcPr>
          <w:p/>
        </w:tc>
        <w:tc>
          <w:tcPr>
            <w:tcW w:type="dxa" w:w="1038"/>
          </w:tcPr>
          <w:p>
            <w:pPr>
              <w:pStyle w:val="null3"/>
            </w:pPr>
            <w:r>
              <w:rPr/>
              <w:t>显卡规格</w:t>
            </w:r>
          </w:p>
        </w:tc>
        <w:tc>
          <w:tcPr>
            <w:tcW w:type="dxa" w:w="1038"/>
          </w:tcPr>
          <w:p>
            <w:pPr>
              <w:pStyle w:val="null3"/>
            </w:pPr>
            <w:r>
              <w:rPr/>
              <w:t>独立显卡显存容量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225</w:t>
            </w:r>
          </w:p>
        </w:tc>
        <w:tc>
          <w:tcPr>
            <w:tcW w:type="dxa" w:w="1038"/>
          </w:tcPr>
          <w:p>
            <w:pPr>
              <w:pStyle w:val="null3"/>
            </w:pPr>
            <w:r>
              <w:rPr/>
              <w:t>台式计算机-产品规格</w:t>
            </w:r>
          </w:p>
        </w:tc>
        <w:tc>
          <w:tcPr>
            <w:tcW w:type="dxa" w:w="1038"/>
          </w:tcPr>
          <w:p/>
        </w:tc>
        <w:tc>
          <w:tcPr>
            <w:tcW w:type="dxa" w:w="1038"/>
          </w:tcPr>
          <w:p>
            <w:pPr>
              <w:pStyle w:val="null3"/>
            </w:pPr>
            <w:r>
              <w:rPr/>
              <w:t>显卡规格</w:t>
            </w:r>
          </w:p>
        </w:tc>
        <w:tc>
          <w:tcPr>
            <w:tcW w:type="dxa" w:w="1038"/>
          </w:tcPr>
          <w:p>
            <w:pPr>
              <w:pStyle w:val="null3"/>
            </w:pPr>
            <w:r>
              <w:rPr/>
              <w:t>独立显卡接口协议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226</w:t>
            </w:r>
          </w:p>
        </w:tc>
        <w:tc>
          <w:tcPr>
            <w:tcW w:type="dxa" w:w="1038"/>
          </w:tcPr>
          <w:p>
            <w:pPr>
              <w:pStyle w:val="null3"/>
            </w:pPr>
            <w:r>
              <w:rPr/>
              <w:t>台式计算机-产品规格</w:t>
            </w:r>
          </w:p>
        </w:tc>
        <w:tc>
          <w:tcPr>
            <w:tcW w:type="dxa" w:w="1038"/>
          </w:tcPr>
          <w:p/>
        </w:tc>
        <w:tc>
          <w:tcPr>
            <w:tcW w:type="dxa" w:w="1038"/>
          </w:tcPr>
          <w:p>
            <w:pPr>
              <w:pStyle w:val="null3"/>
            </w:pPr>
            <w:r>
              <w:rPr/>
              <w:t>显示设备规格</w:t>
            </w:r>
          </w:p>
        </w:tc>
        <w:tc>
          <w:tcPr>
            <w:tcW w:type="dxa" w:w="1038"/>
          </w:tcPr>
          <w:p>
            <w:pPr>
              <w:pStyle w:val="null3"/>
            </w:pPr>
            <w:r>
              <w:rPr/>
              <w:t>显示屏屏占比</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227</w:t>
            </w:r>
          </w:p>
        </w:tc>
        <w:tc>
          <w:tcPr>
            <w:tcW w:type="dxa" w:w="1038"/>
          </w:tcPr>
          <w:p>
            <w:pPr>
              <w:pStyle w:val="null3"/>
            </w:pPr>
            <w:r>
              <w:rPr/>
              <w:t>台式计算机-产品规格</w:t>
            </w:r>
          </w:p>
        </w:tc>
        <w:tc>
          <w:tcPr>
            <w:tcW w:type="dxa" w:w="1038"/>
          </w:tcPr>
          <w:p/>
        </w:tc>
        <w:tc>
          <w:tcPr>
            <w:tcW w:type="dxa" w:w="1038"/>
          </w:tcPr>
          <w:p>
            <w:pPr>
              <w:pStyle w:val="null3"/>
            </w:pPr>
            <w:r>
              <w:rPr/>
              <w:t>显示设备规格</w:t>
            </w:r>
          </w:p>
        </w:tc>
        <w:tc>
          <w:tcPr>
            <w:tcW w:type="dxa" w:w="1038"/>
          </w:tcPr>
          <w:p>
            <w:pPr>
              <w:pStyle w:val="null3"/>
            </w:pPr>
            <w:r>
              <w:rPr/>
              <w:t>显示屏分辨率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228</w:t>
            </w:r>
          </w:p>
        </w:tc>
        <w:tc>
          <w:tcPr>
            <w:tcW w:type="dxa" w:w="1038"/>
          </w:tcPr>
          <w:p>
            <w:pPr>
              <w:pStyle w:val="null3"/>
            </w:pPr>
            <w:r>
              <w:rPr/>
              <w:t>台式计算机-产品规格</w:t>
            </w:r>
          </w:p>
        </w:tc>
        <w:tc>
          <w:tcPr>
            <w:tcW w:type="dxa" w:w="1038"/>
          </w:tcPr>
          <w:p/>
        </w:tc>
        <w:tc>
          <w:tcPr>
            <w:tcW w:type="dxa" w:w="1038"/>
          </w:tcPr>
          <w:p>
            <w:pPr>
              <w:pStyle w:val="null3"/>
            </w:pPr>
            <w:r>
              <w:rPr/>
              <w:t>显示设备规格</w:t>
            </w:r>
          </w:p>
        </w:tc>
        <w:tc>
          <w:tcPr>
            <w:tcW w:type="dxa" w:w="1038"/>
          </w:tcPr>
          <w:p>
            <w:pPr>
              <w:pStyle w:val="null3"/>
            </w:pPr>
            <w:r>
              <w:rPr/>
              <w:t>显示屏像素密度</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229</w:t>
            </w:r>
          </w:p>
        </w:tc>
        <w:tc>
          <w:tcPr>
            <w:tcW w:type="dxa" w:w="1038"/>
          </w:tcPr>
          <w:p>
            <w:pPr>
              <w:pStyle w:val="null3"/>
            </w:pPr>
            <w:r>
              <w:rPr/>
              <w:t>台式计算机-产品规格</w:t>
            </w:r>
          </w:p>
        </w:tc>
        <w:tc>
          <w:tcPr>
            <w:tcW w:type="dxa" w:w="1038"/>
          </w:tcPr>
          <w:p/>
        </w:tc>
        <w:tc>
          <w:tcPr>
            <w:tcW w:type="dxa" w:w="1038"/>
          </w:tcPr>
          <w:p>
            <w:pPr>
              <w:pStyle w:val="null3"/>
            </w:pPr>
            <w:r>
              <w:rPr/>
              <w:t>显示设备规格</w:t>
            </w:r>
          </w:p>
        </w:tc>
        <w:tc>
          <w:tcPr>
            <w:tcW w:type="dxa" w:w="1038"/>
          </w:tcPr>
          <w:p>
            <w:pPr>
              <w:pStyle w:val="null3"/>
            </w:pPr>
            <w:r>
              <w:rPr/>
              <w:t>显示屏可视角度</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230</w:t>
            </w:r>
          </w:p>
        </w:tc>
        <w:tc>
          <w:tcPr>
            <w:tcW w:type="dxa" w:w="1038"/>
          </w:tcPr>
          <w:p>
            <w:pPr>
              <w:pStyle w:val="null3"/>
            </w:pPr>
            <w:r>
              <w:rPr/>
              <w:t>台式计算机-产品规格</w:t>
            </w:r>
          </w:p>
        </w:tc>
        <w:tc>
          <w:tcPr>
            <w:tcW w:type="dxa" w:w="1038"/>
          </w:tcPr>
          <w:p/>
        </w:tc>
        <w:tc>
          <w:tcPr>
            <w:tcW w:type="dxa" w:w="1038"/>
          </w:tcPr>
          <w:p>
            <w:pPr>
              <w:pStyle w:val="null3"/>
            </w:pPr>
            <w:r>
              <w:rPr/>
              <w:t>显示设备规格</w:t>
            </w:r>
          </w:p>
        </w:tc>
        <w:tc>
          <w:tcPr>
            <w:tcW w:type="dxa" w:w="1038"/>
          </w:tcPr>
          <w:p>
            <w:pPr>
              <w:pStyle w:val="null3"/>
            </w:pPr>
            <w:r>
              <w:rPr/>
              <w:t>显示屏尺寸</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231</w:t>
            </w:r>
          </w:p>
        </w:tc>
        <w:tc>
          <w:tcPr>
            <w:tcW w:type="dxa" w:w="1038"/>
          </w:tcPr>
          <w:p>
            <w:pPr>
              <w:pStyle w:val="null3"/>
            </w:pPr>
            <w:r>
              <w:rPr/>
              <w:t>台式计算机-产品规格</w:t>
            </w:r>
          </w:p>
        </w:tc>
        <w:tc>
          <w:tcPr>
            <w:tcW w:type="dxa" w:w="1038"/>
          </w:tcPr>
          <w:p/>
        </w:tc>
        <w:tc>
          <w:tcPr>
            <w:tcW w:type="dxa" w:w="1038"/>
          </w:tcPr>
          <w:p>
            <w:pPr>
              <w:pStyle w:val="null3"/>
            </w:pPr>
            <w:r>
              <w:rPr/>
              <w:t>显示设备规格</w:t>
            </w:r>
          </w:p>
        </w:tc>
        <w:tc>
          <w:tcPr>
            <w:tcW w:type="dxa" w:w="1038"/>
          </w:tcPr>
          <w:p>
            <w:pPr>
              <w:pStyle w:val="null3"/>
            </w:pPr>
            <w:r>
              <w:rPr/>
              <w:t>显示屏屏幕比例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232</w:t>
            </w:r>
          </w:p>
        </w:tc>
        <w:tc>
          <w:tcPr>
            <w:tcW w:type="dxa" w:w="1038"/>
          </w:tcPr>
          <w:p>
            <w:pPr>
              <w:pStyle w:val="null3"/>
            </w:pPr>
            <w:r>
              <w:rPr/>
              <w:t>台式计算机-产品规格</w:t>
            </w:r>
          </w:p>
        </w:tc>
        <w:tc>
          <w:tcPr>
            <w:tcW w:type="dxa" w:w="1038"/>
          </w:tcPr>
          <w:p/>
        </w:tc>
        <w:tc>
          <w:tcPr>
            <w:tcW w:type="dxa" w:w="1038"/>
          </w:tcPr>
          <w:p>
            <w:pPr>
              <w:pStyle w:val="null3"/>
            </w:pPr>
            <w:r>
              <w:rPr/>
              <w:t>显示设备规格</w:t>
            </w:r>
          </w:p>
        </w:tc>
        <w:tc>
          <w:tcPr>
            <w:tcW w:type="dxa" w:w="1038"/>
          </w:tcPr>
          <w:p>
            <w:pPr>
              <w:pStyle w:val="null3"/>
            </w:pPr>
            <w:r>
              <w:rPr/>
              <w:t>显示器外观颜色</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233</w:t>
            </w:r>
          </w:p>
        </w:tc>
        <w:tc>
          <w:tcPr>
            <w:tcW w:type="dxa" w:w="1038"/>
          </w:tcPr>
          <w:p>
            <w:pPr>
              <w:pStyle w:val="null3"/>
            </w:pPr>
            <w:r>
              <w:rPr/>
              <w:t>台式计算机-产品规格</w:t>
            </w:r>
          </w:p>
        </w:tc>
        <w:tc>
          <w:tcPr>
            <w:tcW w:type="dxa" w:w="1038"/>
          </w:tcPr>
          <w:p/>
        </w:tc>
        <w:tc>
          <w:tcPr>
            <w:tcW w:type="dxa" w:w="1038"/>
          </w:tcPr>
          <w:p>
            <w:pPr>
              <w:pStyle w:val="null3"/>
            </w:pPr>
            <w:r>
              <w:rPr/>
              <w:t>显示设备规格</w:t>
            </w:r>
          </w:p>
        </w:tc>
        <w:tc>
          <w:tcPr>
            <w:tcW w:type="dxa" w:w="1038"/>
          </w:tcPr>
          <w:p>
            <w:pPr>
              <w:pStyle w:val="null3"/>
            </w:pPr>
            <w:r>
              <w:rPr/>
              <w:t>显示屏防蓝光</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234</w:t>
            </w:r>
          </w:p>
        </w:tc>
        <w:tc>
          <w:tcPr>
            <w:tcW w:type="dxa" w:w="1038"/>
          </w:tcPr>
          <w:p>
            <w:pPr>
              <w:pStyle w:val="null3"/>
            </w:pPr>
            <w:r>
              <w:rPr/>
              <w:t>台式计算机-产品规格</w:t>
            </w:r>
          </w:p>
        </w:tc>
        <w:tc>
          <w:tcPr>
            <w:tcW w:type="dxa" w:w="1038"/>
          </w:tcPr>
          <w:p/>
        </w:tc>
        <w:tc>
          <w:tcPr>
            <w:tcW w:type="dxa" w:w="1038"/>
          </w:tcPr>
          <w:p>
            <w:pPr>
              <w:pStyle w:val="null3"/>
            </w:pPr>
            <w:r>
              <w:rPr/>
              <w:t>显示设备规格</w:t>
            </w:r>
          </w:p>
        </w:tc>
        <w:tc>
          <w:tcPr>
            <w:tcW w:type="dxa" w:w="1038"/>
          </w:tcPr>
          <w:p>
            <w:pPr>
              <w:pStyle w:val="null3"/>
            </w:pPr>
            <w:r>
              <w:rPr/>
              <w:t>显示屏低频闪</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235</w:t>
            </w:r>
          </w:p>
        </w:tc>
        <w:tc>
          <w:tcPr>
            <w:tcW w:type="dxa" w:w="1038"/>
          </w:tcPr>
          <w:p>
            <w:pPr>
              <w:pStyle w:val="null3"/>
            </w:pPr>
            <w:r>
              <w:rPr/>
              <w:t>台式计算机-产品规格</w:t>
            </w:r>
          </w:p>
        </w:tc>
        <w:tc>
          <w:tcPr>
            <w:tcW w:type="dxa" w:w="1038"/>
          </w:tcPr>
          <w:p/>
        </w:tc>
        <w:tc>
          <w:tcPr>
            <w:tcW w:type="dxa" w:w="1038"/>
          </w:tcPr>
          <w:p>
            <w:pPr>
              <w:pStyle w:val="null3"/>
            </w:pPr>
            <w:r>
              <w:rPr/>
              <w:t>显示设备规格</w:t>
            </w:r>
          </w:p>
        </w:tc>
        <w:tc>
          <w:tcPr>
            <w:tcW w:type="dxa" w:w="1038"/>
          </w:tcPr>
          <w:p>
            <w:pPr>
              <w:pStyle w:val="null3"/>
            </w:pPr>
            <w:r>
              <w:rPr/>
              <w:t>显示屏防炫目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236</w:t>
            </w:r>
          </w:p>
        </w:tc>
        <w:tc>
          <w:tcPr>
            <w:tcW w:type="dxa" w:w="1038"/>
          </w:tcPr>
          <w:p>
            <w:pPr>
              <w:pStyle w:val="null3"/>
            </w:pPr>
            <w:r>
              <w:rPr/>
              <w:t>台式计算机-产品规格</w:t>
            </w:r>
          </w:p>
        </w:tc>
        <w:tc>
          <w:tcPr>
            <w:tcW w:type="dxa" w:w="1038"/>
          </w:tcPr>
          <w:p/>
        </w:tc>
        <w:tc>
          <w:tcPr>
            <w:tcW w:type="dxa" w:w="1038"/>
          </w:tcPr>
          <w:p>
            <w:pPr>
              <w:pStyle w:val="null3"/>
            </w:pPr>
            <w:r>
              <w:rPr/>
              <w:t>外设规格</w:t>
            </w:r>
          </w:p>
        </w:tc>
        <w:tc>
          <w:tcPr>
            <w:tcW w:type="dxa" w:w="1038"/>
          </w:tcPr>
          <w:p>
            <w:pPr>
              <w:pStyle w:val="null3"/>
            </w:pPr>
            <w:r>
              <w:rPr/>
              <w:t>传声器数量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237</w:t>
            </w:r>
          </w:p>
        </w:tc>
        <w:tc>
          <w:tcPr>
            <w:tcW w:type="dxa" w:w="1038"/>
          </w:tcPr>
          <w:p>
            <w:pPr>
              <w:pStyle w:val="null3"/>
            </w:pPr>
            <w:r>
              <w:rPr/>
              <w:t>台式计算机-产品规格</w:t>
            </w:r>
          </w:p>
        </w:tc>
        <w:tc>
          <w:tcPr>
            <w:tcW w:type="dxa" w:w="1038"/>
          </w:tcPr>
          <w:p/>
        </w:tc>
        <w:tc>
          <w:tcPr>
            <w:tcW w:type="dxa" w:w="1038"/>
          </w:tcPr>
          <w:p>
            <w:pPr>
              <w:pStyle w:val="null3"/>
            </w:pPr>
            <w:r>
              <w:rPr/>
              <w:t>外设规格</w:t>
            </w:r>
          </w:p>
        </w:tc>
        <w:tc>
          <w:tcPr>
            <w:tcW w:type="dxa" w:w="1038"/>
          </w:tcPr>
          <w:p>
            <w:pPr>
              <w:pStyle w:val="null3"/>
            </w:pPr>
            <w:r>
              <w:rPr/>
              <w:t>扬声器数量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238</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239</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240</w:t>
            </w:r>
          </w:p>
        </w:tc>
        <w:tc>
          <w:tcPr>
            <w:tcW w:type="dxa" w:w="1038"/>
          </w:tcPr>
          <w:p>
            <w:pPr>
              <w:pStyle w:val="null3"/>
            </w:pPr>
            <w:r>
              <w:rPr/>
              <w:t>台式计算机-产品规格</w:t>
            </w:r>
          </w:p>
        </w:tc>
        <w:tc>
          <w:tcPr>
            <w:tcW w:type="dxa" w:w="1038"/>
          </w:tcPr>
          <w:p/>
        </w:tc>
        <w:tc>
          <w:tcPr>
            <w:tcW w:type="dxa" w:w="1038"/>
          </w:tcPr>
          <w:p>
            <w:pPr>
              <w:pStyle w:val="null3"/>
            </w:pPr>
            <w:r>
              <w:rPr/>
              <w:t>外设规格</w:t>
            </w:r>
          </w:p>
        </w:tc>
        <w:tc>
          <w:tcPr>
            <w:tcW w:type="dxa" w:w="1038"/>
          </w:tcPr>
          <w:p>
            <w:pPr>
              <w:pStyle w:val="null3"/>
            </w:pPr>
            <w:r>
              <w:rPr/>
              <w:t>摄像头数量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241</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光驱数量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242</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键盘按键数目</w:t>
            </w:r>
          </w:p>
        </w:tc>
        <w:tc>
          <w:tcPr>
            <w:tcW w:type="dxa" w:w="1038"/>
          </w:tcPr>
          <w:p>
            <w:pPr>
              <w:pStyle w:val="null3"/>
            </w:pPr>
            <w:r>
              <w:rPr/>
              <w:t>≥86 键</w:t>
            </w:r>
          </w:p>
        </w:tc>
        <w:tc>
          <w:tcPr>
            <w:tcW w:type="dxa" w:w="1038"/>
          </w:tcPr>
          <w:p>
            <w:pPr>
              <w:pStyle w:val="null3"/>
            </w:pPr>
            <w:r>
              <w:rPr/>
              <w:t>否</w:t>
            </w:r>
          </w:p>
        </w:tc>
        <w:tc>
          <w:tcPr>
            <w:tcW w:type="dxa" w:w="1038"/>
          </w:tcPr>
          <w:p/>
        </w:tc>
      </w:tr>
      <w:tr>
        <w:tc>
          <w:tcPr>
            <w:tcW w:type="dxa" w:w="1038"/>
          </w:tcPr>
          <w:p>
            <w:pPr>
              <w:pStyle w:val="null3"/>
            </w:pPr>
            <w:r>
              <w:rPr/>
              <w:t>243</w:t>
            </w:r>
          </w:p>
        </w:tc>
        <w:tc>
          <w:tcPr>
            <w:tcW w:type="dxa" w:w="1038"/>
          </w:tcPr>
          <w:p>
            <w:pPr>
              <w:pStyle w:val="null3"/>
            </w:pPr>
            <w:r>
              <w:rPr/>
              <w:t>台式计算机-产品规格</w:t>
            </w:r>
          </w:p>
        </w:tc>
        <w:tc>
          <w:tcPr>
            <w:tcW w:type="dxa" w:w="1038"/>
          </w:tcPr>
          <w:p/>
        </w:tc>
        <w:tc>
          <w:tcPr>
            <w:tcW w:type="dxa" w:w="1038"/>
          </w:tcPr>
          <w:p>
            <w:pPr>
              <w:pStyle w:val="null3"/>
            </w:pPr>
            <w:r>
              <w:rPr/>
              <w:t>外设规格</w:t>
            </w:r>
          </w:p>
        </w:tc>
        <w:tc>
          <w:tcPr>
            <w:tcW w:type="dxa" w:w="1038"/>
          </w:tcPr>
          <w:p>
            <w:pPr>
              <w:pStyle w:val="null3"/>
            </w:pPr>
            <w:r>
              <w:rPr/>
              <w:t>摄像头像素</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244</w:t>
            </w:r>
          </w:p>
        </w:tc>
        <w:tc>
          <w:tcPr>
            <w:tcW w:type="dxa" w:w="1038"/>
          </w:tcPr>
          <w:p>
            <w:pPr>
              <w:pStyle w:val="null3"/>
            </w:pPr>
            <w:r>
              <w:rPr/>
              <w:t>台式计算机-产品规格</w:t>
            </w:r>
          </w:p>
        </w:tc>
        <w:tc>
          <w:tcPr>
            <w:tcW w:type="dxa" w:w="1038"/>
          </w:tcPr>
          <w:p/>
        </w:tc>
        <w:tc>
          <w:tcPr>
            <w:tcW w:type="dxa" w:w="1038"/>
          </w:tcPr>
          <w:p>
            <w:pPr>
              <w:pStyle w:val="null3"/>
            </w:pPr>
            <w:r>
              <w:rPr/>
              <w:t>外设规格</w:t>
            </w:r>
          </w:p>
        </w:tc>
        <w:tc>
          <w:tcPr>
            <w:tcW w:type="dxa" w:w="1038"/>
          </w:tcPr>
          <w:p>
            <w:pPr>
              <w:pStyle w:val="null3"/>
            </w:pPr>
            <w:r>
              <w:rPr/>
              <w:t>摄像头分辨率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245</w:t>
            </w:r>
          </w:p>
        </w:tc>
        <w:tc>
          <w:tcPr>
            <w:tcW w:type="dxa" w:w="1038"/>
          </w:tcPr>
          <w:p>
            <w:pPr>
              <w:pStyle w:val="null3"/>
            </w:pPr>
            <w:r>
              <w:rPr/>
              <w:t>台式计算机-产品规格</w:t>
            </w:r>
          </w:p>
        </w:tc>
        <w:tc>
          <w:tcPr>
            <w:tcW w:type="dxa" w:w="1038"/>
          </w:tcPr>
          <w:p/>
        </w:tc>
        <w:tc>
          <w:tcPr>
            <w:tcW w:type="dxa" w:w="1038"/>
          </w:tcPr>
          <w:p>
            <w:pPr>
              <w:pStyle w:val="null3"/>
            </w:pPr>
            <w:r>
              <w:rPr/>
              <w:t>外设规格</w:t>
            </w:r>
          </w:p>
        </w:tc>
        <w:tc>
          <w:tcPr>
            <w:tcW w:type="dxa" w:w="1038"/>
          </w:tcPr>
          <w:p>
            <w:pPr>
              <w:pStyle w:val="null3"/>
            </w:pPr>
            <w:r>
              <w:rPr/>
              <w:t>扬声器功率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246</w:t>
            </w:r>
          </w:p>
        </w:tc>
        <w:tc>
          <w:tcPr>
            <w:tcW w:type="dxa" w:w="1038"/>
          </w:tcPr>
          <w:p>
            <w:pPr>
              <w:pStyle w:val="null3"/>
            </w:pPr>
            <w:r>
              <w:rPr/>
              <w:t>台式计算机-产品规格</w:t>
            </w:r>
          </w:p>
        </w:tc>
        <w:tc>
          <w:tcPr>
            <w:tcW w:type="dxa" w:w="1038"/>
          </w:tcPr>
          <w:p/>
        </w:tc>
        <w:tc>
          <w:tcPr>
            <w:tcW w:type="dxa" w:w="1038"/>
          </w:tcPr>
          <w:p>
            <w:pPr>
              <w:pStyle w:val="null3"/>
            </w:pPr>
            <w:r>
              <w:rPr/>
              <w:t>外设规格</w:t>
            </w:r>
          </w:p>
        </w:tc>
        <w:tc>
          <w:tcPr>
            <w:tcW w:type="dxa" w:w="1038"/>
          </w:tcPr>
          <w:p>
            <w:pPr>
              <w:pStyle w:val="null3"/>
            </w:pPr>
            <w:r>
              <w:rPr/>
              <w:t>扬声器频率范围</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247</w:t>
            </w:r>
          </w:p>
        </w:tc>
        <w:tc>
          <w:tcPr>
            <w:tcW w:type="dxa" w:w="1038"/>
          </w:tcPr>
          <w:p>
            <w:pPr>
              <w:pStyle w:val="null3"/>
            </w:pPr>
            <w:r>
              <w:rPr/>
              <w:t>台式计算机-产品规格</w:t>
            </w:r>
          </w:p>
        </w:tc>
        <w:tc>
          <w:tcPr>
            <w:tcW w:type="dxa" w:w="1038"/>
          </w:tcPr>
          <w:p/>
        </w:tc>
        <w:tc>
          <w:tcPr>
            <w:tcW w:type="dxa" w:w="1038"/>
          </w:tcPr>
          <w:p>
            <w:pPr>
              <w:pStyle w:val="null3"/>
            </w:pPr>
            <w:r>
              <w:rPr/>
              <w:t>外设规格</w:t>
            </w:r>
          </w:p>
        </w:tc>
        <w:tc>
          <w:tcPr>
            <w:tcW w:type="dxa" w:w="1038"/>
          </w:tcPr>
          <w:p>
            <w:pPr>
              <w:pStyle w:val="null3"/>
            </w:pPr>
            <w:r>
              <w:rPr/>
              <w:t>扬声器总谐波失真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248</w:t>
            </w:r>
          </w:p>
        </w:tc>
        <w:tc>
          <w:tcPr>
            <w:tcW w:type="dxa" w:w="1038"/>
          </w:tcPr>
          <w:p>
            <w:pPr>
              <w:pStyle w:val="null3"/>
            </w:pPr>
            <w:r>
              <w:rPr/>
              <w:t>台式计算机-产品规格</w:t>
            </w:r>
          </w:p>
        </w:tc>
        <w:tc>
          <w:tcPr>
            <w:tcW w:type="dxa" w:w="1038"/>
          </w:tcPr>
          <w:p/>
        </w:tc>
        <w:tc>
          <w:tcPr>
            <w:tcW w:type="dxa" w:w="1038"/>
          </w:tcPr>
          <w:p>
            <w:pPr>
              <w:pStyle w:val="null3"/>
            </w:pPr>
            <w:r>
              <w:rPr/>
              <w:t>外设规格</w:t>
            </w:r>
          </w:p>
        </w:tc>
        <w:tc>
          <w:tcPr>
            <w:tcW w:type="dxa" w:w="1038"/>
          </w:tcPr>
          <w:p>
            <w:pPr>
              <w:pStyle w:val="null3"/>
            </w:pPr>
            <w:r>
              <w:rPr/>
              <w:t>扬声器最大声压级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249</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键盘连接方式</w:t>
            </w:r>
          </w:p>
        </w:tc>
        <w:tc>
          <w:tcPr>
            <w:tcW w:type="dxa" w:w="1038"/>
          </w:tcPr>
          <w:p>
            <w:pPr>
              <w:pStyle w:val="null3"/>
            </w:pPr>
            <w:r>
              <w:rPr/>
              <w:t>有线</w:t>
            </w:r>
          </w:p>
        </w:tc>
        <w:tc>
          <w:tcPr>
            <w:tcW w:type="dxa" w:w="1038"/>
          </w:tcPr>
          <w:p>
            <w:pPr>
              <w:pStyle w:val="null3"/>
            </w:pPr>
            <w:r>
              <w:rPr/>
              <w:t>否</w:t>
            </w:r>
          </w:p>
        </w:tc>
        <w:tc>
          <w:tcPr>
            <w:tcW w:type="dxa" w:w="1038"/>
          </w:tcPr>
          <w:p/>
        </w:tc>
      </w:tr>
      <w:tr>
        <w:tc>
          <w:tcPr>
            <w:tcW w:type="dxa" w:w="1038"/>
          </w:tcPr>
          <w:p>
            <w:pPr>
              <w:pStyle w:val="null3"/>
            </w:pPr>
            <w:r>
              <w:rPr/>
              <w:t>250</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键盘键程</w:t>
            </w:r>
          </w:p>
        </w:tc>
        <w:tc>
          <w:tcPr>
            <w:tcW w:type="dxa" w:w="1038"/>
          </w:tcPr>
          <w:p>
            <w:pPr>
              <w:pStyle w:val="null3"/>
            </w:pPr>
            <w:r>
              <w:rPr/>
              <w:t>2.3mm ~ 4.0mm</w:t>
            </w:r>
          </w:p>
        </w:tc>
        <w:tc>
          <w:tcPr>
            <w:tcW w:type="dxa" w:w="1038"/>
          </w:tcPr>
          <w:p>
            <w:pPr>
              <w:pStyle w:val="null3"/>
            </w:pPr>
            <w:r>
              <w:rPr/>
              <w:t>否</w:t>
            </w:r>
          </w:p>
        </w:tc>
        <w:tc>
          <w:tcPr>
            <w:tcW w:type="dxa" w:w="1038"/>
          </w:tcPr>
          <w:p/>
        </w:tc>
      </w:tr>
      <w:tr>
        <w:tc>
          <w:tcPr>
            <w:tcW w:type="dxa" w:w="1038"/>
          </w:tcPr>
          <w:p>
            <w:pPr>
              <w:pStyle w:val="null3"/>
            </w:pPr>
            <w:r>
              <w:rPr/>
              <w:t>251</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键盘按键压力</w:t>
            </w:r>
          </w:p>
        </w:tc>
        <w:tc>
          <w:tcPr>
            <w:tcW w:type="dxa" w:w="1038"/>
          </w:tcPr>
          <w:p>
            <w:pPr>
              <w:pStyle w:val="null3"/>
            </w:pPr>
            <w:r>
              <w:rPr/>
              <w:t>按键压力应在0.54 N±0.14N</w:t>
            </w:r>
          </w:p>
        </w:tc>
        <w:tc>
          <w:tcPr>
            <w:tcW w:type="dxa" w:w="1038"/>
          </w:tcPr>
          <w:p>
            <w:pPr>
              <w:pStyle w:val="null3"/>
            </w:pPr>
            <w:r>
              <w:rPr/>
              <w:t>否</w:t>
            </w:r>
          </w:p>
        </w:tc>
        <w:tc>
          <w:tcPr>
            <w:tcW w:type="dxa" w:w="1038"/>
          </w:tcPr>
          <w:p/>
        </w:tc>
      </w:tr>
      <w:tr>
        <w:tc>
          <w:tcPr>
            <w:tcW w:type="dxa" w:w="1038"/>
          </w:tcPr>
          <w:p>
            <w:pPr>
              <w:pStyle w:val="null3"/>
            </w:pPr>
            <w:r>
              <w:rPr/>
              <w:t>252</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有线键盘连接线</w:t>
            </w:r>
          </w:p>
        </w:tc>
        <w:tc>
          <w:tcPr>
            <w:tcW w:type="dxa" w:w="1038"/>
          </w:tcPr>
          <w:p>
            <w:pPr>
              <w:pStyle w:val="null3"/>
            </w:pPr>
            <w:r>
              <w:rPr/>
              <w:t>≥1.5 米</w:t>
            </w:r>
          </w:p>
        </w:tc>
        <w:tc>
          <w:tcPr>
            <w:tcW w:type="dxa" w:w="1038"/>
          </w:tcPr>
          <w:p>
            <w:pPr>
              <w:pStyle w:val="null3"/>
            </w:pPr>
            <w:r>
              <w:rPr/>
              <w:t>否</w:t>
            </w:r>
          </w:p>
        </w:tc>
        <w:tc>
          <w:tcPr>
            <w:tcW w:type="dxa" w:w="1038"/>
          </w:tcPr>
          <w:p/>
        </w:tc>
      </w:tr>
      <w:tr>
        <w:tc>
          <w:tcPr>
            <w:tcW w:type="dxa" w:w="1038"/>
          </w:tcPr>
          <w:p>
            <w:pPr>
              <w:pStyle w:val="null3"/>
            </w:pPr>
            <w:r>
              <w:rPr/>
              <w:t>253</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键盘颜色</w:t>
            </w:r>
          </w:p>
        </w:tc>
        <w:tc>
          <w:tcPr>
            <w:tcW w:type="dxa" w:w="1038"/>
          </w:tcPr>
          <w:p>
            <w:pPr>
              <w:pStyle w:val="null3"/>
            </w:pPr>
            <w:r>
              <w:rPr/>
              <w:t>黑色/灰色等商务色系</w:t>
            </w:r>
          </w:p>
        </w:tc>
        <w:tc>
          <w:tcPr>
            <w:tcW w:type="dxa" w:w="1038"/>
          </w:tcPr>
          <w:p>
            <w:pPr>
              <w:pStyle w:val="null3"/>
            </w:pPr>
            <w:r>
              <w:rPr/>
              <w:t>否</w:t>
            </w:r>
          </w:p>
        </w:tc>
        <w:tc>
          <w:tcPr>
            <w:tcW w:type="dxa" w:w="1038"/>
          </w:tcPr>
          <w:p/>
        </w:tc>
      </w:tr>
      <w:tr>
        <w:tc>
          <w:tcPr>
            <w:tcW w:type="dxa" w:w="1038"/>
          </w:tcPr>
          <w:p>
            <w:pPr>
              <w:pStyle w:val="null3"/>
            </w:pPr>
            <w:r>
              <w:rPr/>
              <w:t>254</w:t>
            </w:r>
          </w:p>
        </w:tc>
        <w:tc>
          <w:tcPr>
            <w:tcW w:type="dxa" w:w="1038"/>
          </w:tcPr>
          <w:p>
            <w:pPr>
              <w:pStyle w:val="null3"/>
            </w:pPr>
            <w:r>
              <w:rPr/>
              <w:t>台式计算机-产品规格</w:t>
            </w:r>
          </w:p>
        </w:tc>
        <w:tc>
          <w:tcPr>
            <w:tcW w:type="dxa" w:w="1038"/>
          </w:tcPr>
          <w:p/>
        </w:tc>
        <w:tc>
          <w:tcPr>
            <w:tcW w:type="dxa" w:w="1038"/>
          </w:tcPr>
          <w:p>
            <w:pPr>
              <w:pStyle w:val="null3"/>
            </w:pPr>
            <w:r>
              <w:rPr/>
              <w:t>外设规格</w:t>
            </w:r>
          </w:p>
        </w:tc>
        <w:tc>
          <w:tcPr>
            <w:tcW w:type="dxa" w:w="1038"/>
          </w:tcPr>
          <w:p>
            <w:pPr>
              <w:pStyle w:val="null3"/>
            </w:pPr>
            <w:r>
              <w:rPr/>
              <w:t>键盘其他要求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255</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鼠标连接方式</w:t>
            </w:r>
          </w:p>
        </w:tc>
        <w:tc>
          <w:tcPr>
            <w:tcW w:type="dxa" w:w="1038"/>
          </w:tcPr>
          <w:p>
            <w:pPr>
              <w:pStyle w:val="null3"/>
            </w:pPr>
            <w:r>
              <w:rPr/>
              <w:t>有线</w:t>
            </w:r>
          </w:p>
        </w:tc>
        <w:tc>
          <w:tcPr>
            <w:tcW w:type="dxa" w:w="1038"/>
          </w:tcPr>
          <w:p>
            <w:pPr>
              <w:pStyle w:val="null3"/>
            </w:pPr>
            <w:r>
              <w:rPr/>
              <w:t>否</w:t>
            </w:r>
          </w:p>
        </w:tc>
        <w:tc>
          <w:tcPr>
            <w:tcW w:type="dxa" w:w="1038"/>
          </w:tcPr>
          <w:p/>
        </w:tc>
      </w:tr>
      <w:tr>
        <w:tc>
          <w:tcPr>
            <w:tcW w:type="dxa" w:w="1038"/>
          </w:tcPr>
          <w:p>
            <w:pPr>
              <w:pStyle w:val="null3"/>
            </w:pPr>
            <w:r>
              <w:rPr/>
              <w:t>256</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有线鼠标连接线</w:t>
            </w:r>
          </w:p>
        </w:tc>
        <w:tc>
          <w:tcPr>
            <w:tcW w:type="dxa" w:w="1038"/>
          </w:tcPr>
          <w:p>
            <w:pPr>
              <w:pStyle w:val="null3"/>
            </w:pPr>
            <w:r>
              <w:rPr/>
              <w:t>≥1.5 米</w:t>
            </w:r>
          </w:p>
        </w:tc>
        <w:tc>
          <w:tcPr>
            <w:tcW w:type="dxa" w:w="1038"/>
          </w:tcPr>
          <w:p>
            <w:pPr>
              <w:pStyle w:val="null3"/>
            </w:pPr>
            <w:r>
              <w:rPr/>
              <w:t>否</w:t>
            </w:r>
          </w:p>
        </w:tc>
        <w:tc>
          <w:tcPr>
            <w:tcW w:type="dxa" w:w="1038"/>
          </w:tcPr>
          <w:p/>
        </w:tc>
      </w:tr>
      <w:tr>
        <w:tc>
          <w:tcPr>
            <w:tcW w:type="dxa" w:w="1038"/>
          </w:tcPr>
          <w:p>
            <w:pPr>
              <w:pStyle w:val="null3"/>
            </w:pPr>
            <w:r>
              <w:rPr/>
              <w:t>257</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鼠标DPI分辨率</w:t>
            </w:r>
          </w:p>
        </w:tc>
        <w:tc>
          <w:tcPr>
            <w:tcW w:type="dxa" w:w="1038"/>
          </w:tcPr>
          <w:p>
            <w:pPr>
              <w:pStyle w:val="null3"/>
            </w:pPr>
            <w:r>
              <w:rPr/>
              <w:t>800~1600</w:t>
            </w:r>
          </w:p>
        </w:tc>
        <w:tc>
          <w:tcPr>
            <w:tcW w:type="dxa" w:w="1038"/>
          </w:tcPr>
          <w:p>
            <w:pPr>
              <w:pStyle w:val="null3"/>
            </w:pPr>
            <w:r>
              <w:rPr/>
              <w:t>否</w:t>
            </w:r>
          </w:p>
        </w:tc>
        <w:tc>
          <w:tcPr>
            <w:tcW w:type="dxa" w:w="1038"/>
          </w:tcPr>
          <w:p/>
        </w:tc>
      </w:tr>
      <w:tr>
        <w:tc>
          <w:tcPr>
            <w:tcW w:type="dxa" w:w="1038"/>
          </w:tcPr>
          <w:p>
            <w:pPr>
              <w:pStyle w:val="null3"/>
            </w:pPr>
            <w:r>
              <w:rPr/>
              <w:t>258</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鼠标颜色</w:t>
            </w:r>
          </w:p>
        </w:tc>
        <w:tc>
          <w:tcPr>
            <w:tcW w:type="dxa" w:w="1038"/>
          </w:tcPr>
          <w:p>
            <w:pPr>
              <w:pStyle w:val="null3"/>
            </w:pPr>
            <w:r>
              <w:rPr/>
              <w:t>黑色/灰色等商务色系</w:t>
            </w:r>
          </w:p>
        </w:tc>
        <w:tc>
          <w:tcPr>
            <w:tcW w:type="dxa" w:w="1038"/>
          </w:tcPr>
          <w:p>
            <w:pPr>
              <w:pStyle w:val="null3"/>
            </w:pPr>
            <w:r>
              <w:rPr/>
              <w:t>否</w:t>
            </w:r>
          </w:p>
        </w:tc>
        <w:tc>
          <w:tcPr>
            <w:tcW w:type="dxa" w:w="1038"/>
          </w:tcPr>
          <w:p/>
        </w:tc>
      </w:tr>
      <w:tr>
        <w:tc>
          <w:tcPr>
            <w:tcW w:type="dxa" w:w="1038"/>
          </w:tcPr>
          <w:p>
            <w:pPr>
              <w:pStyle w:val="null3"/>
            </w:pPr>
            <w:r>
              <w:rPr/>
              <w:t>259</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鼠标其他要求</w:t>
            </w:r>
          </w:p>
        </w:tc>
        <w:tc>
          <w:tcPr>
            <w:tcW w:type="dxa" w:w="1038"/>
          </w:tcPr>
          <w:p>
            <w:pPr>
              <w:pStyle w:val="null3"/>
            </w:pPr>
            <w:r>
              <w:rPr/>
              <w:t>其它参数应符合 GB/T 26245 的相关规定</w:t>
            </w:r>
          </w:p>
        </w:tc>
        <w:tc>
          <w:tcPr>
            <w:tcW w:type="dxa" w:w="1038"/>
          </w:tcPr>
          <w:p>
            <w:pPr>
              <w:pStyle w:val="null3"/>
            </w:pPr>
            <w:r>
              <w:rPr/>
              <w:t>否</w:t>
            </w:r>
          </w:p>
        </w:tc>
        <w:tc>
          <w:tcPr>
            <w:tcW w:type="dxa" w:w="1038"/>
          </w:tcPr>
          <w:p/>
        </w:tc>
      </w:tr>
      <w:tr>
        <w:tc>
          <w:tcPr>
            <w:tcW w:type="dxa" w:w="1038"/>
          </w:tcPr>
          <w:p>
            <w:pPr>
              <w:pStyle w:val="null3"/>
            </w:pPr>
            <w:r>
              <w:rPr/>
              <w:t>260</w:t>
            </w:r>
          </w:p>
        </w:tc>
        <w:tc>
          <w:tcPr>
            <w:tcW w:type="dxa" w:w="1038"/>
          </w:tcPr>
          <w:p>
            <w:pPr>
              <w:pStyle w:val="null3"/>
            </w:pPr>
            <w:r>
              <w:rPr/>
              <w:t>台式计算机-产品规格</w:t>
            </w:r>
          </w:p>
        </w:tc>
        <w:tc>
          <w:tcPr>
            <w:tcW w:type="dxa" w:w="1038"/>
          </w:tcPr>
          <w:p/>
        </w:tc>
        <w:tc>
          <w:tcPr>
            <w:tcW w:type="dxa" w:w="1038"/>
          </w:tcPr>
          <w:p>
            <w:pPr>
              <w:pStyle w:val="null3"/>
            </w:pPr>
            <w:r>
              <w:rPr/>
              <w:t>外设规格</w:t>
            </w:r>
          </w:p>
        </w:tc>
        <w:tc>
          <w:tcPr>
            <w:tcW w:type="dxa" w:w="1038"/>
          </w:tcPr>
          <w:p>
            <w:pPr>
              <w:pStyle w:val="null3"/>
            </w:pPr>
            <w:r>
              <w:rPr/>
              <w:t>内置光驱</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261</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网络设备规格</w:t>
            </w:r>
          </w:p>
        </w:tc>
        <w:tc>
          <w:tcPr>
            <w:tcW w:type="dxa" w:w="1038"/>
          </w:tcPr>
          <w:p>
            <w:pPr>
              <w:pStyle w:val="null3"/>
            </w:pPr>
            <w:r>
              <w:rPr/>
              <w:t>有线网卡数量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262</w:t>
            </w:r>
          </w:p>
        </w:tc>
        <w:tc>
          <w:tcPr>
            <w:tcW w:type="dxa" w:w="1038"/>
          </w:tcPr>
          <w:p>
            <w:pPr>
              <w:pStyle w:val="null3"/>
            </w:pPr>
            <w:r>
              <w:rPr/>
              <w:t>台式计算机-产品规格</w:t>
            </w:r>
          </w:p>
        </w:tc>
        <w:tc>
          <w:tcPr>
            <w:tcW w:type="dxa" w:w="1038"/>
          </w:tcPr>
          <w:p/>
        </w:tc>
        <w:tc>
          <w:tcPr>
            <w:tcW w:type="dxa" w:w="1038"/>
          </w:tcPr>
          <w:p>
            <w:pPr>
              <w:pStyle w:val="null3"/>
            </w:pPr>
            <w:r>
              <w:rPr/>
              <w:t>网络设备规格</w:t>
            </w:r>
          </w:p>
        </w:tc>
        <w:tc>
          <w:tcPr>
            <w:tcW w:type="dxa" w:w="1038"/>
          </w:tcPr>
          <w:p>
            <w:pPr>
              <w:pStyle w:val="null3"/>
            </w:pPr>
            <w:r>
              <w:rPr/>
              <w:t>无线网卡及天线数量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263</w:t>
            </w:r>
          </w:p>
        </w:tc>
        <w:tc>
          <w:tcPr>
            <w:tcW w:type="dxa" w:w="1038"/>
          </w:tcPr>
          <w:p>
            <w:pPr>
              <w:pStyle w:val="null3"/>
            </w:pPr>
            <w:r>
              <w:rPr/>
              <w:t>台式计算机-产品规格</w:t>
            </w:r>
          </w:p>
        </w:tc>
        <w:tc>
          <w:tcPr>
            <w:tcW w:type="dxa" w:w="1038"/>
          </w:tcPr>
          <w:p/>
        </w:tc>
        <w:tc>
          <w:tcPr>
            <w:tcW w:type="dxa" w:w="1038"/>
          </w:tcPr>
          <w:p>
            <w:pPr>
              <w:pStyle w:val="null3"/>
            </w:pPr>
            <w:r>
              <w:rPr/>
              <w:t>网络设备规格</w:t>
            </w:r>
          </w:p>
        </w:tc>
        <w:tc>
          <w:tcPr>
            <w:tcW w:type="dxa" w:w="1038"/>
          </w:tcPr>
          <w:p>
            <w:pPr>
              <w:pStyle w:val="null3"/>
            </w:pPr>
            <w:r>
              <w:rPr/>
              <w:t>单无线网卡天线数量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264</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USB接口数量</w:t>
            </w:r>
          </w:p>
        </w:tc>
        <w:tc>
          <w:tcPr>
            <w:tcW w:type="dxa" w:w="1038"/>
          </w:tcPr>
          <w:p>
            <w:pPr>
              <w:pStyle w:val="null3"/>
            </w:pPr>
            <w:r>
              <w:rPr/>
              <w:t>≥4，其中至少 2 个 USB 3.0</w:t>
            </w:r>
          </w:p>
        </w:tc>
        <w:tc>
          <w:tcPr>
            <w:tcW w:type="dxa" w:w="1038"/>
          </w:tcPr>
          <w:p>
            <w:pPr>
              <w:pStyle w:val="null3"/>
            </w:pPr>
            <w:r>
              <w:rPr/>
              <w:t>否</w:t>
            </w:r>
          </w:p>
        </w:tc>
        <w:tc>
          <w:tcPr>
            <w:tcW w:type="dxa" w:w="1038"/>
          </w:tcPr>
          <w:p/>
        </w:tc>
      </w:tr>
      <w:tr>
        <w:tc>
          <w:tcPr>
            <w:tcW w:type="dxa" w:w="1038"/>
          </w:tcPr>
          <w:p>
            <w:pPr>
              <w:pStyle w:val="null3"/>
            </w:pPr>
            <w:r>
              <w:rPr/>
              <w:t>265</w:t>
            </w:r>
          </w:p>
        </w:tc>
        <w:tc>
          <w:tcPr>
            <w:tcW w:type="dxa" w:w="1038"/>
          </w:tcPr>
          <w:p>
            <w:pPr>
              <w:pStyle w:val="null3"/>
            </w:pPr>
            <w:r>
              <w:rPr/>
              <w:t>台式计算机-产品规格</w:t>
            </w:r>
          </w:p>
        </w:tc>
        <w:tc>
          <w:tcPr>
            <w:tcW w:type="dxa" w:w="1038"/>
          </w:tcPr>
          <w:p/>
        </w:tc>
        <w:tc>
          <w:tcPr>
            <w:tcW w:type="dxa" w:w="1038"/>
          </w:tcPr>
          <w:p>
            <w:pPr>
              <w:pStyle w:val="null3"/>
            </w:pPr>
            <w:r>
              <w:rPr/>
              <w:t>外部接口规格</w:t>
            </w:r>
          </w:p>
        </w:tc>
        <w:tc>
          <w:tcPr>
            <w:tcW w:type="dxa" w:w="1038"/>
          </w:tcPr>
          <w:p>
            <w:pPr>
              <w:pStyle w:val="null3"/>
            </w:pPr>
            <w:r>
              <w:rPr/>
              <w:t>USB母座接口要求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266</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视频接口数量</w:t>
            </w:r>
          </w:p>
        </w:tc>
        <w:tc>
          <w:tcPr>
            <w:tcW w:type="dxa" w:w="1038"/>
          </w:tcPr>
          <w:p>
            <w:pPr>
              <w:pStyle w:val="null3"/>
            </w:pPr>
            <w:r>
              <w:rPr/>
              <w:t>至少1个VGA接口和1个HDMI接口</w:t>
            </w:r>
          </w:p>
        </w:tc>
        <w:tc>
          <w:tcPr>
            <w:tcW w:type="dxa" w:w="1038"/>
          </w:tcPr>
          <w:p>
            <w:pPr>
              <w:pStyle w:val="null3"/>
            </w:pPr>
            <w:r>
              <w:rPr/>
              <w:t>否</w:t>
            </w:r>
          </w:p>
        </w:tc>
        <w:tc>
          <w:tcPr>
            <w:tcW w:type="dxa" w:w="1038"/>
          </w:tcPr>
          <w:p/>
        </w:tc>
      </w:tr>
      <w:tr>
        <w:tc>
          <w:tcPr>
            <w:tcW w:type="dxa" w:w="1038"/>
          </w:tcPr>
          <w:p>
            <w:pPr>
              <w:pStyle w:val="null3"/>
            </w:pPr>
            <w:r>
              <w:rPr/>
              <w:t>267</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音频接口数量</w:t>
            </w:r>
          </w:p>
        </w:tc>
        <w:tc>
          <w:tcPr>
            <w:tcW w:type="dxa" w:w="1038"/>
          </w:tcPr>
          <w:p>
            <w:pPr>
              <w:pStyle w:val="null3"/>
            </w:pPr>
            <w:r>
              <w:rPr/>
              <w:t>至少1个3.5mm耳机、麦克风、音频输入插孔</w:t>
            </w:r>
          </w:p>
        </w:tc>
        <w:tc>
          <w:tcPr>
            <w:tcW w:type="dxa" w:w="1038"/>
          </w:tcPr>
          <w:p>
            <w:pPr>
              <w:pStyle w:val="null3"/>
            </w:pPr>
            <w:r>
              <w:rPr/>
              <w:t>否</w:t>
            </w:r>
          </w:p>
        </w:tc>
        <w:tc>
          <w:tcPr>
            <w:tcW w:type="dxa" w:w="1038"/>
          </w:tcPr>
          <w:p/>
        </w:tc>
      </w:tr>
      <w:tr>
        <w:tc>
          <w:tcPr>
            <w:tcW w:type="dxa" w:w="1038"/>
          </w:tcPr>
          <w:p>
            <w:pPr>
              <w:pStyle w:val="null3"/>
            </w:pPr>
            <w:r>
              <w:rPr/>
              <w:t>268</w:t>
            </w:r>
          </w:p>
        </w:tc>
        <w:tc>
          <w:tcPr>
            <w:tcW w:type="dxa" w:w="1038"/>
          </w:tcPr>
          <w:p>
            <w:pPr>
              <w:pStyle w:val="null3"/>
            </w:pPr>
            <w:r>
              <w:rPr/>
              <w:t>台式计算机-产品规格</w:t>
            </w:r>
          </w:p>
        </w:tc>
        <w:tc>
          <w:tcPr>
            <w:tcW w:type="dxa" w:w="1038"/>
          </w:tcPr>
          <w:p/>
        </w:tc>
        <w:tc>
          <w:tcPr>
            <w:tcW w:type="dxa" w:w="1038"/>
          </w:tcPr>
          <w:p>
            <w:pPr>
              <w:pStyle w:val="null3"/>
            </w:pPr>
            <w:r>
              <w:rPr/>
              <w:t>外部接口规格</w:t>
            </w:r>
          </w:p>
        </w:tc>
        <w:tc>
          <w:tcPr>
            <w:tcW w:type="dxa" w:w="1038"/>
          </w:tcPr>
          <w:p>
            <w:pPr>
              <w:pStyle w:val="null3"/>
            </w:pPr>
            <w:r>
              <w:rPr/>
              <w:t>存储卡接口数量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269</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整机外观</w:t>
            </w:r>
          </w:p>
        </w:tc>
        <w:tc>
          <w:tcPr>
            <w:tcW w:type="dxa" w:w="1038"/>
          </w:tcPr>
          <w:p>
            <w:pPr>
              <w:pStyle w:val="null3"/>
            </w:pPr>
            <w:r>
              <w:rPr/>
              <w:t>a)产品表面不应有凹痕、划 伤、裂缝、变形和污染等。表面涂层均匀，不应起泡、龟裂、脱落和磨损，金属零部件无锈蚀及其它机械损伤； b)产品表面说明功能的文字、符号、标志，应清晰、端正、牢固</w:t>
            </w:r>
          </w:p>
        </w:tc>
        <w:tc>
          <w:tcPr>
            <w:tcW w:type="dxa" w:w="1038"/>
          </w:tcPr>
          <w:p>
            <w:pPr>
              <w:pStyle w:val="null3"/>
            </w:pPr>
            <w:r>
              <w:rPr/>
              <w:t>否</w:t>
            </w:r>
          </w:p>
        </w:tc>
        <w:tc>
          <w:tcPr>
            <w:tcW w:type="dxa" w:w="1038"/>
          </w:tcPr>
          <w:p/>
        </w:tc>
      </w:tr>
      <w:tr>
        <w:tc>
          <w:tcPr>
            <w:tcW w:type="dxa" w:w="1038"/>
          </w:tcPr>
          <w:p>
            <w:pPr>
              <w:pStyle w:val="null3"/>
            </w:pPr>
            <w:r>
              <w:rPr/>
              <w:t>270</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状态指示灯</w:t>
            </w:r>
          </w:p>
        </w:tc>
        <w:tc>
          <w:tcPr>
            <w:tcW w:type="dxa" w:w="1038"/>
          </w:tcPr>
          <w:p>
            <w:pPr>
              <w:pStyle w:val="null3"/>
            </w:pPr>
            <w:r>
              <w:rPr/>
              <w:t>在产品显著位置提供状态指示功能，如运行状态，并由供应商提供详细参数</w:t>
            </w:r>
          </w:p>
        </w:tc>
        <w:tc>
          <w:tcPr>
            <w:tcW w:type="dxa" w:w="1038"/>
          </w:tcPr>
          <w:p>
            <w:pPr>
              <w:pStyle w:val="null3"/>
            </w:pPr>
            <w:r>
              <w:rPr/>
              <w:t>否</w:t>
            </w:r>
          </w:p>
        </w:tc>
        <w:tc>
          <w:tcPr>
            <w:tcW w:type="dxa" w:w="1038"/>
          </w:tcPr>
          <w:p/>
        </w:tc>
      </w:tr>
      <w:tr>
        <w:tc>
          <w:tcPr>
            <w:tcW w:type="dxa" w:w="1038"/>
          </w:tcPr>
          <w:p>
            <w:pPr>
              <w:pStyle w:val="null3"/>
            </w:pPr>
            <w:r>
              <w:rPr/>
              <w:t>271</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整机结构</w:t>
            </w:r>
          </w:p>
        </w:tc>
        <w:tc>
          <w:tcPr>
            <w:tcW w:type="dxa" w:w="1038"/>
          </w:tcPr>
          <w:p>
            <w:pPr>
              <w:pStyle w:val="null3"/>
            </w:pPr>
            <w:r>
              <w:rPr/>
              <w:t>a)机箱应符合 GB/T 4208、GB/T 26246的相关规定； b)产品内部结构应符合通用部件的安装需求； c)所有输入输出接口应符合相关国家或行业标准； d)产品零部件应紧固无松动，可插拔部件应可靠连接，开关、按钮和其它控制部件应灵活可靠，布局应方便使用； e)所有I/O 连接器及需插接线缆的部位应预留采购人操作空间，方便插拔解锁与插拔线缆； f)可插拔板卡插槽部位应预留安装、拆卸或更换板卡空间； g)拆装可能接触到的金属剪口或金属尖角部位应做防划伤处理，以保证安全； h)整机内部走线应规整，固线结构和位置要合理可靠并做防割线处理，需便于理线和插拔操作，走线应不影响系统各主要部件组装和拆卸； i)如需通过孔走线，过线孔应做防割线处理； j)各插头位置和插拔方向应合理，应做到插拔无障碍设计，具备防呆设计，有效避免误操作； k)各主要部件拆装无障碍，使用常规工具拆装，无特殊拆装工具需求； l)各主要部件拆装步骤要少，各自拆装需避免相互干扰； m)对于整机或零部件外表面为高亮面的，应粘贴保护膜，保护膜需粘贴牢固，运输、组装等过程不易脱落， 撕下无残留； n) 其它要求应符合 GB/T 9813.1 的相关规定</w:t>
            </w:r>
          </w:p>
        </w:tc>
        <w:tc>
          <w:tcPr>
            <w:tcW w:type="dxa" w:w="1038"/>
          </w:tcPr>
          <w:p>
            <w:pPr>
              <w:pStyle w:val="null3"/>
            </w:pPr>
            <w:r>
              <w:rPr/>
              <w:t>否</w:t>
            </w:r>
          </w:p>
        </w:tc>
        <w:tc>
          <w:tcPr>
            <w:tcW w:type="dxa" w:w="1038"/>
          </w:tcPr>
          <w:p/>
        </w:tc>
      </w:tr>
      <w:tr>
        <w:tc>
          <w:tcPr>
            <w:tcW w:type="dxa" w:w="1038"/>
          </w:tcPr>
          <w:p>
            <w:pPr>
              <w:pStyle w:val="null3"/>
            </w:pPr>
            <w:r>
              <w:rPr/>
              <w:t>272</w:t>
            </w:r>
          </w:p>
        </w:tc>
        <w:tc>
          <w:tcPr>
            <w:tcW w:type="dxa" w:w="1038"/>
          </w:tcPr>
          <w:p>
            <w:pPr>
              <w:pStyle w:val="null3"/>
            </w:pPr>
            <w:r>
              <w:rPr/>
              <w:t>台式计算机-产品规格</w:t>
            </w:r>
          </w:p>
        </w:tc>
        <w:tc>
          <w:tcPr>
            <w:tcW w:type="dxa" w:w="1038"/>
          </w:tcPr>
          <w:p/>
        </w:tc>
        <w:tc>
          <w:tcPr>
            <w:tcW w:type="dxa" w:w="1038"/>
          </w:tcPr>
          <w:p>
            <w:pPr>
              <w:pStyle w:val="null3"/>
            </w:pPr>
            <w:r>
              <w:rPr/>
              <w:t>整机基础规格</w:t>
            </w:r>
          </w:p>
        </w:tc>
        <w:tc>
          <w:tcPr>
            <w:tcW w:type="dxa" w:w="1038"/>
          </w:tcPr>
          <w:p>
            <w:pPr>
              <w:pStyle w:val="null3"/>
            </w:pPr>
            <w:r>
              <w:rPr/>
              <w:t>机箱防护要求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273</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整机噪音</w:t>
            </w:r>
          </w:p>
        </w:tc>
        <w:tc>
          <w:tcPr>
            <w:tcW w:type="dxa" w:w="1038"/>
          </w:tcPr>
          <w:p>
            <w:pPr>
              <w:pStyle w:val="null3"/>
            </w:pPr>
            <w:r>
              <w:rPr/>
              <w:t>产品工作在空闲状态下，产品的声功率级应不超过 4.5 Bel</w:t>
            </w:r>
          </w:p>
        </w:tc>
        <w:tc>
          <w:tcPr>
            <w:tcW w:type="dxa" w:w="1038"/>
          </w:tcPr>
          <w:p>
            <w:pPr>
              <w:pStyle w:val="null3"/>
            </w:pPr>
            <w:r>
              <w:rPr/>
              <w:t>否</w:t>
            </w:r>
          </w:p>
        </w:tc>
        <w:tc>
          <w:tcPr>
            <w:tcW w:type="dxa" w:w="1038"/>
          </w:tcPr>
          <w:p/>
        </w:tc>
      </w:tr>
      <w:tr>
        <w:tc>
          <w:tcPr>
            <w:tcW w:type="dxa" w:w="1038"/>
          </w:tcPr>
          <w:p>
            <w:pPr>
              <w:pStyle w:val="null3"/>
            </w:pPr>
            <w:r>
              <w:rPr/>
              <w:t>274</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整机散热</w:t>
            </w:r>
          </w:p>
        </w:tc>
        <w:tc>
          <w:tcPr>
            <w:tcW w:type="dxa" w:w="1038"/>
          </w:tcPr>
          <w:p>
            <w:pPr>
              <w:pStyle w:val="null3"/>
            </w:pPr>
            <w:r>
              <w:rPr/>
              <w:t>在环境温度 25℃及处理器满载情况下，产品表面温度应符合如下要求： a)出风口在机箱后面板情况下，出风口温度不高于 55℃； 可触及面温度不高于 45℃；</w:t>
            </w:r>
          </w:p>
        </w:tc>
        <w:tc>
          <w:tcPr>
            <w:tcW w:type="dxa" w:w="1038"/>
          </w:tcPr>
          <w:p>
            <w:pPr>
              <w:pStyle w:val="null3"/>
            </w:pPr>
            <w:r>
              <w:rPr/>
              <w:t>否</w:t>
            </w:r>
          </w:p>
        </w:tc>
        <w:tc>
          <w:tcPr>
            <w:tcW w:type="dxa" w:w="1038"/>
          </w:tcPr>
          <w:p/>
        </w:tc>
      </w:tr>
      <w:tr>
        <w:tc>
          <w:tcPr>
            <w:tcW w:type="dxa" w:w="1038"/>
          </w:tcPr>
          <w:p>
            <w:pPr>
              <w:pStyle w:val="null3"/>
            </w:pPr>
            <w:r>
              <w:rPr/>
              <w:t>275</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整机能效限定值</w:t>
            </w:r>
          </w:p>
        </w:tc>
        <w:tc>
          <w:tcPr>
            <w:tcW w:type="dxa" w:w="1038"/>
          </w:tcPr>
          <w:p>
            <w:pPr>
              <w:pStyle w:val="null3"/>
            </w:pPr>
            <w:r>
              <w:rPr/>
              <w:t>产品能效限定值应达到GB 28380-2012标准中能效等级 2 级及以上</w:t>
            </w:r>
          </w:p>
        </w:tc>
        <w:tc>
          <w:tcPr>
            <w:tcW w:type="dxa" w:w="1038"/>
          </w:tcPr>
          <w:p>
            <w:pPr>
              <w:pStyle w:val="null3"/>
            </w:pPr>
            <w:r>
              <w:rPr/>
              <w:t>否</w:t>
            </w:r>
          </w:p>
        </w:tc>
        <w:tc>
          <w:tcPr>
            <w:tcW w:type="dxa" w:w="1038"/>
          </w:tcPr>
          <w:p/>
        </w:tc>
      </w:tr>
      <w:tr>
        <w:tc>
          <w:tcPr>
            <w:tcW w:type="dxa" w:w="1038"/>
          </w:tcPr>
          <w:p>
            <w:pPr>
              <w:pStyle w:val="null3"/>
            </w:pPr>
            <w:r>
              <w:rPr/>
              <w:t>276</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机身材质</w:t>
            </w:r>
          </w:p>
        </w:tc>
        <w:tc>
          <w:tcPr>
            <w:tcW w:type="dxa" w:w="1038"/>
          </w:tcPr>
          <w:p>
            <w:pPr>
              <w:pStyle w:val="null3"/>
            </w:pPr>
            <w:r>
              <w:rPr/>
              <w:t>塑料/金属等</w:t>
            </w:r>
          </w:p>
        </w:tc>
        <w:tc>
          <w:tcPr>
            <w:tcW w:type="dxa" w:w="1038"/>
          </w:tcPr>
          <w:p>
            <w:pPr>
              <w:pStyle w:val="null3"/>
            </w:pPr>
            <w:r>
              <w:rPr/>
              <w:t>否</w:t>
            </w:r>
          </w:p>
        </w:tc>
        <w:tc>
          <w:tcPr>
            <w:tcW w:type="dxa" w:w="1038"/>
          </w:tcPr>
          <w:p/>
        </w:tc>
      </w:tr>
      <w:tr>
        <w:tc>
          <w:tcPr>
            <w:tcW w:type="dxa" w:w="1038"/>
          </w:tcPr>
          <w:p>
            <w:pPr>
              <w:pStyle w:val="null3"/>
            </w:pPr>
            <w:r>
              <w:rPr/>
              <w:t>277</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机身颜色</w:t>
            </w:r>
          </w:p>
        </w:tc>
        <w:tc>
          <w:tcPr>
            <w:tcW w:type="dxa" w:w="1038"/>
          </w:tcPr>
          <w:p>
            <w:pPr>
              <w:pStyle w:val="null3"/>
            </w:pPr>
            <w:r>
              <w:rPr/>
              <w:t>灰色/黑色/银色等商务色系</w:t>
            </w:r>
          </w:p>
        </w:tc>
        <w:tc>
          <w:tcPr>
            <w:tcW w:type="dxa" w:w="1038"/>
          </w:tcPr>
          <w:p>
            <w:pPr>
              <w:pStyle w:val="null3"/>
            </w:pPr>
            <w:r>
              <w:rPr/>
              <w:t>否</w:t>
            </w:r>
          </w:p>
        </w:tc>
        <w:tc>
          <w:tcPr>
            <w:tcW w:type="dxa" w:w="1038"/>
          </w:tcPr>
          <w:p/>
        </w:tc>
      </w:tr>
      <w:tr>
        <w:tc>
          <w:tcPr>
            <w:tcW w:type="dxa" w:w="1038"/>
          </w:tcPr>
          <w:p>
            <w:pPr>
              <w:pStyle w:val="null3"/>
            </w:pPr>
            <w:r>
              <w:rPr/>
              <w:t>278</w:t>
            </w:r>
          </w:p>
        </w:tc>
        <w:tc>
          <w:tcPr>
            <w:tcW w:type="dxa" w:w="1038"/>
          </w:tcPr>
          <w:p>
            <w:pPr>
              <w:pStyle w:val="null3"/>
            </w:pPr>
            <w:r>
              <w:rPr/>
              <w:t>台式计算机-产品规格</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机箱尺寸容量</w:t>
            </w:r>
          </w:p>
        </w:tc>
        <w:tc>
          <w:tcPr>
            <w:tcW w:type="dxa" w:w="1038"/>
          </w:tcPr>
          <w:p>
            <w:pPr>
              <w:pStyle w:val="null3"/>
            </w:pPr>
            <w:r>
              <w:rPr/>
              <w:t>机箱体积应不大于13L</w:t>
            </w:r>
          </w:p>
        </w:tc>
        <w:tc>
          <w:tcPr>
            <w:tcW w:type="dxa" w:w="1038"/>
          </w:tcPr>
          <w:p>
            <w:pPr>
              <w:pStyle w:val="null3"/>
            </w:pPr>
            <w:r>
              <w:rPr/>
              <w:t>否</w:t>
            </w:r>
          </w:p>
        </w:tc>
        <w:tc>
          <w:tcPr>
            <w:tcW w:type="dxa" w:w="1038"/>
          </w:tcPr>
          <w:p/>
        </w:tc>
      </w:tr>
      <w:tr>
        <w:tc>
          <w:tcPr>
            <w:tcW w:type="dxa" w:w="1038"/>
          </w:tcPr>
          <w:p>
            <w:pPr>
              <w:pStyle w:val="null3"/>
            </w:pPr>
            <w:r>
              <w:rPr/>
              <w:t>279</w:t>
            </w:r>
          </w:p>
        </w:tc>
        <w:tc>
          <w:tcPr>
            <w:tcW w:type="dxa" w:w="1038"/>
          </w:tcPr>
          <w:p>
            <w:pPr>
              <w:pStyle w:val="null3"/>
            </w:pPr>
            <w:r>
              <w:rPr/>
              <w:t>台式计算机-性能要求</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物理核数</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280</w:t>
            </w:r>
          </w:p>
        </w:tc>
        <w:tc>
          <w:tcPr>
            <w:tcW w:type="dxa" w:w="1038"/>
          </w:tcPr>
          <w:p>
            <w:pPr>
              <w:pStyle w:val="null3"/>
            </w:pPr>
            <w:r>
              <w:rPr/>
              <w:t>台式计算机-性能要求</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≥2.7GHz</w:t>
            </w:r>
          </w:p>
        </w:tc>
        <w:tc>
          <w:tcPr>
            <w:tcW w:type="dxa" w:w="1038"/>
          </w:tcPr>
          <w:p>
            <w:pPr>
              <w:pStyle w:val="null3"/>
            </w:pPr>
            <w:r>
              <w:rPr/>
              <w:t>否</w:t>
            </w:r>
          </w:p>
        </w:tc>
        <w:tc>
          <w:tcPr>
            <w:tcW w:type="dxa" w:w="1038"/>
          </w:tcPr>
          <w:p/>
        </w:tc>
      </w:tr>
      <w:tr>
        <w:tc>
          <w:tcPr>
            <w:tcW w:type="dxa" w:w="1038"/>
          </w:tcPr>
          <w:p>
            <w:pPr>
              <w:pStyle w:val="null3"/>
            </w:pPr>
            <w:r>
              <w:rPr/>
              <w:t>281</w:t>
            </w:r>
          </w:p>
        </w:tc>
        <w:tc>
          <w:tcPr>
            <w:tcW w:type="dxa" w:w="1038"/>
          </w:tcPr>
          <w:p>
            <w:pPr>
              <w:pStyle w:val="null3"/>
            </w:pPr>
            <w:r>
              <w:rPr/>
              <w:t>台式计算机-性能要求</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末级缓存容量</w:t>
            </w:r>
          </w:p>
        </w:tc>
        <w:tc>
          <w:tcPr>
            <w:tcW w:type="dxa" w:w="1038"/>
          </w:tcPr>
          <w:p>
            <w:pPr>
              <w:pStyle w:val="null3"/>
            </w:pPr>
            <w:r>
              <w:rPr/>
              <w:t>≥4MB</w:t>
            </w:r>
          </w:p>
        </w:tc>
        <w:tc>
          <w:tcPr>
            <w:tcW w:type="dxa" w:w="1038"/>
          </w:tcPr>
          <w:p>
            <w:pPr>
              <w:pStyle w:val="null3"/>
            </w:pPr>
            <w:r>
              <w:rPr/>
              <w:t>否</w:t>
            </w:r>
          </w:p>
        </w:tc>
        <w:tc>
          <w:tcPr>
            <w:tcW w:type="dxa" w:w="1038"/>
          </w:tcPr>
          <w:p/>
        </w:tc>
      </w:tr>
      <w:tr>
        <w:tc>
          <w:tcPr>
            <w:tcW w:type="dxa" w:w="1038"/>
          </w:tcPr>
          <w:p>
            <w:pPr>
              <w:pStyle w:val="null3"/>
            </w:pPr>
            <w:r>
              <w:rPr/>
              <w:t>282</w:t>
            </w:r>
          </w:p>
        </w:tc>
        <w:tc>
          <w:tcPr>
            <w:tcW w:type="dxa" w:w="1038"/>
          </w:tcPr>
          <w:p>
            <w:pPr>
              <w:pStyle w:val="null3"/>
            </w:pPr>
            <w:r>
              <w:rPr/>
              <w:t>台式计算机-性能要求</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支持的内存最高速率</w:t>
            </w:r>
          </w:p>
        </w:tc>
        <w:tc>
          <w:tcPr>
            <w:tcW w:type="dxa" w:w="1038"/>
          </w:tcPr>
          <w:p>
            <w:pPr>
              <w:pStyle w:val="null3"/>
            </w:pPr>
            <w:r>
              <w:rPr/>
              <w:t>≥2666MT/s</w:t>
            </w:r>
          </w:p>
        </w:tc>
        <w:tc>
          <w:tcPr>
            <w:tcW w:type="dxa" w:w="1038"/>
          </w:tcPr>
          <w:p>
            <w:pPr>
              <w:pStyle w:val="null3"/>
            </w:pPr>
            <w:r>
              <w:rPr/>
              <w:t>否</w:t>
            </w:r>
          </w:p>
        </w:tc>
        <w:tc>
          <w:tcPr>
            <w:tcW w:type="dxa" w:w="1038"/>
          </w:tcPr>
          <w:p/>
        </w:tc>
      </w:tr>
      <w:tr>
        <w:tc>
          <w:tcPr>
            <w:tcW w:type="dxa" w:w="1038"/>
          </w:tcPr>
          <w:p>
            <w:pPr>
              <w:pStyle w:val="null3"/>
            </w:pPr>
            <w:r>
              <w:rPr/>
              <w:t>283</w:t>
            </w:r>
          </w:p>
        </w:tc>
        <w:tc>
          <w:tcPr>
            <w:tcW w:type="dxa" w:w="1038"/>
          </w:tcPr>
          <w:p>
            <w:pPr>
              <w:pStyle w:val="null3"/>
            </w:pPr>
            <w:r>
              <w:rPr/>
              <w:t>台式计算机-性能要求</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内存读写速率</w:t>
            </w:r>
          </w:p>
        </w:tc>
        <w:tc>
          <w:tcPr>
            <w:tcW w:type="dxa" w:w="1038"/>
          </w:tcPr>
          <w:p>
            <w:pPr>
              <w:pStyle w:val="null3"/>
            </w:pPr>
            <w:r>
              <w:rPr/>
              <w:t>≥2666MT/s</w:t>
            </w:r>
          </w:p>
        </w:tc>
        <w:tc>
          <w:tcPr>
            <w:tcW w:type="dxa" w:w="1038"/>
          </w:tcPr>
          <w:p>
            <w:pPr>
              <w:pStyle w:val="null3"/>
            </w:pPr>
            <w:r>
              <w:rPr/>
              <w:t>否</w:t>
            </w:r>
          </w:p>
        </w:tc>
        <w:tc>
          <w:tcPr>
            <w:tcW w:type="dxa" w:w="1038"/>
          </w:tcPr>
          <w:p/>
        </w:tc>
      </w:tr>
      <w:tr>
        <w:tc>
          <w:tcPr>
            <w:tcW w:type="dxa" w:w="1038"/>
          </w:tcPr>
          <w:p>
            <w:pPr>
              <w:pStyle w:val="null3"/>
            </w:pPr>
            <w:r>
              <w:rPr/>
              <w:t>284</w:t>
            </w:r>
          </w:p>
        </w:tc>
        <w:tc>
          <w:tcPr>
            <w:tcW w:type="dxa" w:w="1038"/>
          </w:tcPr>
          <w:p>
            <w:pPr>
              <w:pStyle w:val="null3"/>
            </w:pPr>
            <w:r>
              <w:rPr/>
              <w:t>台式计算机-性能要求</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显示分辨率</w:t>
            </w:r>
          </w:p>
        </w:tc>
        <w:tc>
          <w:tcPr>
            <w:tcW w:type="dxa" w:w="1038"/>
          </w:tcPr>
          <w:p>
            <w:pPr>
              <w:pStyle w:val="null3"/>
            </w:pPr>
            <w:r>
              <w:rPr/>
              <w:t>≥1920x1080</w:t>
            </w:r>
          </w:p>
        </w:tc>
        <w:tc>
          <w:tcPr>
            <w:tcW w:type="dxa" w:w="1038"/>
          </w:tcPr>
          <w:p>
            <w:pPr>
              <w:pStyle w:val="null3"/>
            </w:pPr>
            <w:r>
              <w:rPr/>
              <w:t>否</w:t>
            </w:r>
          </w:p>
        </w:tc>
        <w:tc>
          <w:tcPr>
            <w:tcW w:type="dxa" w:w="1038"/>
          </w:tcPr>
          <w:p/>
        </w:tc>
      </w:tr>
      <w:tr>
        <w:tc>
          <w:tcPr>
            <w:tcW w:type="dxa" w:w="1038"/>
          </w:tcPr>
          <w:p>
            <w:pPr>
              <w:pStyle w:val="null3"/>
            </w:pPr>
            <w:r>
              <w:rPr/>
              <w:t>285</w:t>
            </w:r>
          </w:p>
        </w:tc>
        <w:tc>
          <w:tcPr>
            <w:tcW w:type="dxa" w:w="1038"/>
          </w:tcPr>
          <w:p>
            <w:pPr>
              <w:pStyle w:val="null3"/>
            </w:pPr>
            <w:r>
              <w:rPr/>
              <w:t>台式计算机-性能要求</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显卡显示芯片核心频率</w:t>
            </w:r>
          </w:p>
        </w:tc>
        <w:tc>
          <w:tcPr>
            <w:tcW w:type="dxa" w:w="1038"/>
          </w:tcPr>
          <w:p>
            <w:pPr>
              <w:pStyle w:val="null3"/>
            </w:pPr>
            <w:r>
              <w:rPr/>
              <w:t>≥300MHz</w:t>
            </w:r>
          </w:p>
        </w:tc>
        <w:tc>
          <w:tcPr>
            <w:tcW w:type="dxa" w:w="1038"/>
          </w:tcPr>
          <w:p>
            <w:pPr>
              <w:pStyle w:val="null3"/>
            </w:pPr>
            <w:r>
              <w:rPr/>
              <w:t>否</w:t>
            </w:r>
          </w:p>
        </w:tc>
        <w:tc>
          <w:tcPr>
            <w:tcW w:type="dxa" w:w="1038"/>
          </w:tcPr>
          <w:p/>
        </w:tc>
      </w:tr>
      <w:tr>
        <w:tc>
          <w:tcPr>
            <w:tcW w:type="dxa" w:w="1038"/>
          </w:tcPr>
          <w:p>
            <w:pPr>
              <w:pStyle w:val="null3"/>
            </w:pPr>
            <w:r>
              <w:rPr/>
              <w:t>286</w:t>
            </w:r>
          </w:p>
        </w:tc>
        <w:tc>
          <w:tcPr>
            <w:tcW w:type="dxa" w:w="1038"/>
          </w:tcPr>
          <w:p>
            <w:pPr>
              <w:pStyle w:val="null3"/>
            </w:pPr>
            <w:r>
              <w:rPr/>
              <w:t>台式计算机-性能要求</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显存等效频率</w:t>
            </w:r>
          </w:p>
        </w:tc>
        <w:tc>
          <w:tcPr>
            <w:tcW w:type="dxa" w:w="1038"/>
          </w:tcPr>
          <w:p>
            <w:pPr>
              <w:pStyle w:val="null3"/>
            </w:pPr>
            <w:r>
              <w:rPr/>
              <w:t>≥1000MT/s</w:t>
            </w:r>
          </w:p>
        </w:tc>
        <w:tc>
          <w:tcPr>
            <w:tcW w:type="dxa" w:w="1038"/>
          </w:tcPr>
          <w:p>
            <w:pPr>
              <w:pStyle w:val="null3"/>
            </w:pPr>
            <w:r>
              <w:rPr/>
              <w:t>否</w:t>
            </w:r>
          </w:p>
        </w:tc>
        <w:tc>
          <w:tcPr>
            <w:tcW w:type="dxa" w:w="1038"/>
          </w:tcPr>
          <w:p/>
        </w:tc>
      </w:tr>
      <w:tr>
        <w:tc>
          <w:tcPr>
            <w:tcW w:type="dxa" w:w="1038"/>
          </w:tcPr>
          <w:p>
            <w:pPr>
              <w:pStyle w:val="null3"/>
            </w:pPr>
            <w:r>
              <w:rPr/>
              <w:t>287</w:t>
            </w:r>
          </w:p>
        </w:tc>
        <w:tc>
          <w:tcPr>
            <w:tcW w:type="dxa" w:w="1038"/>
          </w:tcPr>
          <w:p>
            <w:pPr>
              <w:pStyle w:val="null3"/>
            </w:pPr>
            <w:r>
              <w:rPr/>
              <w:t>台式计算机-性能要求</w:t>
            </w:r>
          </w:p>
        </w:tc>
        <w:tc>
          <w:tcPr>
            <w:tcW w:type="dxa" w:w="1038"/>
          </w:tcPr>
          <w:p/>
        </w:tc>
        <w:tc>
          <w:tcPr>
            <w:tcW w:type="dxa" w:w="1038"/>
          </w:tcPr>
          <w:p>
            <w:pPr>
              <w:pStyle w:val="null3"/>
            </w:pPr>
            <w:r>
              <w:rPr/>
              <w:t>显卡性能</w:t>
            </w:r>
          </w:p>
        </w:tc>
        <w:tc>
          <w:tcPr>
            <w:tcW w:type="dxa" w:w="1038"/>
          </w:tcPr>
          <w:p>
            <w:pPr>
              <w:pStyle w:val="null3"/>
            </w:pPr>
            <w:r>
              <w:rPr/>
              <w:t>显卡可支持多屏同时显示数量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288</w:t>
            </w:r>
          </w:p>
        </w:tc>
        <w:tc>
          <w:tcPr>
            <w:tcW w:type="dxa" w:w="1038"/>
          </w:tcPr>
          <w:p>
            <w:pPr>
              <w:pStyle w:val="null3"/>
            </w:pPr>
            <w:r>
              <w:rPr/>
              <w:t>台式计算机-性能要求</w:t>
            </w:r>
          </w:p>
        </w:tc>
        <w:tc>
          <w:tcPr>
            <w:tcW w:type="dxa" w:w="1038"/>
          </w:tcPr>
          <w:p/>
        </w:tc>
        <w:tc>
          <w:tcPr>
            <w:tcW w:type="dxa" w:w="1038"/>
          </w:tcPr>
          <w:p>
            <w:pPr>
              <w:pStyle w:val="null3"/>
            </w:pPr>
            <w:r>
              <w:rPr/>
              <w:t>显示设备性能</w:t>
            </w:r>
          </w:p>
        </w:tc>
        <w:tc>
          <w:tcPr>
            <w:tcW w:type="dxa" w:w="1038"/>
          </w:tcPr>
          <w:p>
            <w:pPr>
              <w:pStyle w:val="null3"/>
            </w:pPr>
            <w:r>
              <w:rPr/>
              <w:t>显示屏刷新率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289</w:t>
            </w:r>
          </w:p>
        </w:tc>
        <w:tc>
          <w:tcPr>
            <w:tcW w:type="dxa" w:w="1038"/>
          </w:tcPr>
          <w:p>
            <w:pPr>
              <w:pStyle w:val="null3"/>
            </w:pPr>
            <w:r>
              <w:rPr/>
              <w:t>台式计算机-性能要求</w:t>
            </w:r>
          </w:p>
        </w:tc>
        <w:tc>
          <w:tcPr>
            <w:tcW w:type="dxa" w:w="1038"/>
          </w:tcPr>
          <w:p/>
        </w:tc>
        <w:tc>
          <w:tcPr>
            <w:tcW w:type="dxa" w:w="1038"/>
          </w:tcPr>
          <w:p>
            <w:pPr>
              <w:pStyle w:val="null3"/>
            </w:pPr>
            <w:r>
              <w:rPr/>
              <w:t>显示设备性能</w:t>
            </w:r>
          </w:p>
        </w:tc>
        <w:tc>
          <w:tcPr>
            <w:tcW w:type="dxa" w:w="1038"/>
          </w:tcPr>
          <w:p>
            <w:pPr>
              <w:pStyle w:val="null3"/>
            </w:pPr>
            <w:r>
              <w:rPr/>
              <w:t>显示屏位深</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290</w:t>
            </w:r>
          </w:p>
        </w:tc>
        <w:tc>
          <w:tcPr>
            <w:tcW w:type="dxa" w:w="1038"/>
          </w:tcPr>
          <w:p>
            <w:pPr>
              <w:pStyle w:val="null3"/>
            </w:pPr>
            <w:r>
              <w:rPr/>
              <w:t>台式计算机-性能要求</w:t>
            </w:r>
          </w:p>
        </w:tc>
        <w:tc>
          <w:tcPr>
            <w:tcW w:type="dxa" w:w="1038"/>
          </w:tcPr>
          <w:p/>
        </w:tc>
        <w:tc>
          <w:tcPr>
            <w:tcW w:type="dxa" w:w="1038"/>
          </w:tcPr>
          <w:p>
            <w:pPr>
              <w:pStyle w:val="null3"/>
            </w:pPr>
            <w:r>
              <w:rPr/>
              <w:t>显示设备性能</w:t>
            </w:r>
          </w:p>
        </w:tc>
        <w:tc>
          <w:tcPr>
            <w:tcW w:type="dxa" w:w="1038"/>
          </w:tcPr>
          <w:p>
            <w:pPr>
              <w:pStyle w:val="null3"/>
            </w:pPr>
            <w:r>
              <w:rPr/>
              <w:t>显示屏色域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291</w:t>
            </w:r>
          </w:p>
        </w:tc>
        <w:tc>
          <w:tcPr>
            <w:tcW w:type="dxa" w:w="1038"/>
          </w:tcPr>
          <w:p>
            <w:pPr>
              <w:pStyle w:val="null3"/>
            </w:pPr>
            <w:r>
              <w:rPr/>
              <w:t>台式计算机-性能要求</w:t>
            </w:r>
          </w:p>
        </w:tc>
        <w:tc>
          <w:tcPr>
            <w:tcW w:type="dxa" w:w="1038"/>
          </w:tcPr>
          <w:p/>
        </w:tc>
        <w:tc>
          <w:tcPr>
            <w:tcW w:type="dxa" w:w="1038"/>
          </w:tcPr>
          <w:p>
            <w:pPr>
              <w:pStyle w:val="null3"/>
            </w:pPr>
            <w:r>
              <w:rPr/>
              <w:t>显示设备性能</w:t>
            </w:r>
          </w:p>
        </w:tc>
        <w:tc>
          <w:tcPr>
            <w:tcW w:type="dxa" w:w="1038"/>
          </w:tcPr>
          <w:p>
            <w:pPr>
              <w:pStyle w:val="null3"/>
            </w:pPr>
            <w:r>
              <w:rPr/>
              <w:t>显示屏色准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292</w:t>
            </w:r>
          </w:p>
        </w:tc>
        <w:tc>
          <w:tcPr>
            <w:tcW w:type="dxa" w:w="1038"/>
          </w:tcPr>
          <w:p>
            <w:pPr>
              <w:pStyle w:val="null3"/>
            </w:pPr>
            <w:r>
              <w:rPr/>
              <w:t>台式计算机-性能要求</w:t>
            </w:r>
          </w:p>
        </w:tc>
        <w:tc>
          <w:tcPr>
            <w:tcW w:type="dxa" w:w="1038"/>
          </w:tcPr>
          <w:p/>
        </w:tc>
        <w:tc>
          <w:tcPr>
            <w:tcW w:type="dxa" w:w="1038"/>
          </w:tcPr>
          <w:p>
            <w:pPr>
              <w:pStyle w:val="null3"/>
            </w:pPr>
            <w:r>
              <w:rPr/>
              <w:t>显示设备性能</w:t>
            </w:r>
          </w:p>
        </w:tc>
        <w:tc>
          <w:tcPr>
            <w:tcW w:type="dxa" w:w="1038"/>
          </w:tcPr>
          <w:p>
            <w:pPr>
              <w:pStyle w:val="null3"/>
            </w:pPr>
            <w:r>
              <w:rPr/>
              <w:t>显示屏响应时间</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293</w:t>
            </w:r>
          </w:p>
        </w:tc>
        <w:tc>
          <w:tcPr>
            <w:tcW w:type="dxa" w:w="1038"/>
          </w:tcPr>
          <w:p>
            <w:pPr>
              <w:pStyle w:val="null3"/>
            </w:pPr>
            <w:r>
              <w:rPr/>
              <w:t>台式计算机-性能要求</w:t>
            </w:r>
          </w:p>
        </w:tc>
        <w:tc>
          <w:tcPr>
            <w:tcW w:type="dxa" w:w="1038"/>
          </w:tcPr>
          <w:p/>
        </w:tc>
        <w:tc>
          <w:tcPr>
            <w:tcW w:type="dxa" w:w="1038"/>
          </w:tcPr>
          <w:p>
            <w:pPr>
              <w:pStyle w:val="null3"/>
            </w:pPr>
            <w:r>
              <w:rPr/>
              <w:t>显示设备性能</w:t>
            </w:r>
          </w:p>
        </w:tc>
        <w:tc>
          <w:tcPr>
            <w:tcW w:type="dxa" w:w="1038"/>
          </w:tcPr>
          <w:p>
            <w:pPr>
              <w:pStyle w:val="null3"/>
            </w:pPr>
            <w:r>
              <w:rPr/>
              <w:t>显示屏亮度</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294</w:t>
            </w:r>
          </w:p>
        </w:tc>
        <w:tc>
          <w:tcPr>
            <w:tcW w:type="dxa" w:w="1038"/>
          </w:tcPr>
          <w:p>
            <w:pPr>
              <w:pStyle w:val="null3"/>
            </w:pPr>
            <w:r>
              <w:rPr/>
              <w:t>台式计算机-性能要求</w:t>
            </w:r>
          </w:p>
        </w:tc>
        <w:tc>
          <w:tcPr>
            <w:tcW w:type="dxa" w:w="1038"/>
          </w:tcPr>
          <w:p/>
        </w:tc>
        <w:tc>
          <w:tcPr>
            <w:tcW w:type="dxa" w:w="1038"/>
          </w:tcPr>
          <w:p>
            <w:pPr>
              <w:pStyle w:val="null3"/>
            </w:pPr>
            <w:r>
              <w:rPr/>
              <w:t>显示设备性能</w:t>
            </w:r>
          </w:p>
        </w:tc>
        <w:tc>
          <w:tcPr>
            <w:tcW w:type="dxa" w:w="1038"/>
          </w:tcPr>
          <w:p>
            <w:pPr>
              <w:pStyle w:val="null3"/>
            </w:pPr>
            <w:r>
              <w:rPr/>
              <w:t>显示屏亮度一致性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295</w:t>
            </w:r>
          </w:p>
        </w:tc>
        <w:tc>
          <w:tcPr>
            <w:tcW w:type="dxa" w:w="1038"/>
          </w:tcPr>
          <w:p>
            <w:pPr>
              <w:pStyle w:val="null3"/>
            </w:pPr>
            <w:r>
              <w:rPr/>
              <w:t>台式计算机-性能要求</w:t>
            </w:r>
          </w:p>
        </w:tc>
        <w:tc>
          <w:tcPr>
            <w:tcW w:type="dxa" w:w="1038"/>
          </w:tcPr>
          <w:p/>
        </w:tc>
        <w:tc>
          <w:tcPr>
            <w:tcW w:type="dxa" w:w="1038"/>
          </w:tcPr>
          <w:p>
            <w:pPr>
              <w:pStyle w:val="null3"/>
            </w:pPr>
            <w:r>
              <w:rPr/>
              <w:t>显示设备性能</w:t>
            </w:r>
          </w:p>
        </w:tc>
        <w:tc>
          <w:tcPr>
            <w:tcW w:type="dxa" w:w="1038"/>
          </w:tcPr>
          <w:p>
            <w:pPr>
              <w:pStyle w:val="null3"/>
            </w:pPr>
            <w:r>
              <w:rPr/>
              <w:t>显示屏对比度</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296</w:t>
            </w:r>
          </w:p>
        </w:tc>
        <w:tc>
          <w:tcPr>
            <w:tcW w:type="dxa" w:w="1038"/>
          </w:tcPr>
          <w:p>
            <w:pPr>
              <w:pStyle w:val="null3"/>
            </w:pPr>
            <w:r>
              <w:rPr/>
              <w:t>台式计算机-性能要求</w:t>
            </w:r>
          </w:p>
        </w:tc>
        <w:tc>
          <w:tcPr>
            <w:tcW w:type="dxa" w:w="1038"/>
          </w:tcPr>
          <w:p/>
        </w:tc>
        <w:tc>
          <w:tcPr>
            <w:tcW w:type="dxa" w:w="1038"/>
          </w:tcPr>
          <w:p>
            <w:pPr>
              <w:pStyle w:val="null3"/>
            </w:pPr>
            <w:r>
              <w:rPr/>
              <w:t>显示设备性能</w:t>
            </w:r>
          </w:p>
        </w:tc>
        <w:tc>
          <w:tcPr>
            <w:tcW w:type="dxa" w:w="1038"/>
          </w:tcPr>
          <w:p>
            <w:pPr>
              <w:pStyle w:val="null3"/>
            </w:pPr>
            <w:r>
              <w:rPr/>
              <w:t>显示屏其他参数</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297</w:t>
            </w:r>
          </w:p>
        </w:tc>
        <w:tc>
          <w:tcPr>
            <w:tcW w:type="dxa" w:w="1038"/>
          </w:tcPr>
          <w:p>
            <w:pPr>
              <w:pStyle w:val="null3"/>
            </w:pPr>
            <w:r>
              <w:rPr/>
              <w:t>台式计算机-性能要求</w:t>
            </w:r>
          </w:p>
        </w:tc>
        <w:tc>
          <w:tcPr>
            <w:tcW w:type="dxa" w:w="1038"/>
          </w:tcPr>
          <w:p>
            <w:pPr>
              <w:pStyle w:val="null3"/>
            </w:pPr>
            <w:r>
              <w:rPr/>
              <w:t>★</w:t>
            </w:r>
          </w:p>
        </w:tc>
        <w:tc>
          <w:tcPr>
            <w:tcW w:type="dxa" w:w="1038"/>
          </w:tcPr>
          <w:p>
            <w:pPr>
              <w:pStyle w:val="null3"/>
            </w:pPr>
            <w:r>
              <w:rPr/>
              <w:t>网络设备性能</w:t>
            </w:r>
          </w:p>
        </w:tc>
        <w:tc>
          <w:tcPr>
            <w:tcW w:type="dxa" w:w="1038"/>
          </w:tcPr>
          <w:p>
            <w:pPr>
              <w:pStyle w:val="null3"/>
            </w:pPr>
            <w:r>
              <w:rPr/>
              <w:t>有线网卡速率</w:t>
            </w:r>
          </w:p>
        </w:tc>
        <w:tc>
          <w:tcPr>
            <w:tcW w:type="dxa" w:w="1038"/>
          </w:tcPr>
          <w:p>
            <w:pPr>
              <w:pStyle w:val="null3"/>
            </w:pPr>
            <w:r>
              <w:rPr/>
              <w:t>最高速率应不低于 1000Mbps，应支持 10Mbps、100Mbps、1000Mbps 速率自适应</w:t>
            </w:r>
          </w:p>
        </w:tc>
        <w:tc>
          <w:tcPr>
            <w:tcW w:type="dxa" w:w="1038"/>
          </w:tcPr>
          <w:p>
            <w:pPr>
              <w:pStyle w:val="null3"/>
            </w:pPr>
            <w:r>
              <w:rPr/>
              <w:t>否</w:t>
            </w:r>
          </w:p>
        </w:tc>
        <w:tc>
          <w:tcPr>
            <w:tcW w:type="dxa" w:w="1038"/>
          </w:tcPr>
          <w:p/>
        </w:tc>
      </w:tr>
      <w:tr>
        <w:tc>
          <w:tcPr>
            <w:tcW w:type="dxa" w:w="1038"/>
          </w:tcPr>
          <w:p>
            <w:pPr>
              <w:pStyle w:val="null3"/>
            </w:pPr>
            <w:r>
              <w:rPr/>
              <w:t>298</w:t>
            </w:r>
          </w:p>
        </w:tc>
        <w:tc>
          <w:tcPr>
            <w:tcW w:type="dxa" w:w="1038"/>
          </w:tcPr>
          <w:p>
            <w:pPr>
              <w:pStyle w:val="null3"/>
            </w:pPr>
            <w:r>
              <w:rPr/>
              <w:t>台式计算机-性能要求</w:t>
            </w:r>
          </w:p>
        </w:tc>
        <w:tc>
          <w:tcPr>
            <w:tcW w:type="dxa" w:w="1038"/>
          </w:tcPr>
          <w:p/>
        </w:tc>
        <w:tc>
          <w:tcPr>
            <w:tcW w:type="dxa" w:w="1038"/>
          </w:tcPr>
          <w:p>
            <w:pPr>
              <w:pStyle w:val="null3"/>
            </w:pPr>
            <w:r>
              <w:rPr/>
              <w:t>网络设备性能</w:t>
            </w:r>
          </w:p>
        </w:tc>
        <w:tc>
          <w:tcPr>
            <w:tcW w:type="dxa" w:w="1038"/>
          </w:tcPr>
          <w:p>
            <w:pPr>
              <w:pStyle w:val="null3"/>
            </w:pPr>
            <w:r>
              <w:rPr/>
              <w:t>支持无线网络通信技术协议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299</w:t>
            </w:r>
          </w:p>
        </w:tc>
        <w:tc>
          <w:tcPr>
            <w:tcW w:type="dxa" w:w="1038"/>
          </w:tcPr>
          <w:p>
            <w:pPr>
              <w:pStyle w:val="null3"/>
            </w:pPr>
            <w:r>
              <w:rPr/>
              <w:t>台式计算机-性能要求</w:t>
            </w:r>
          </w:p>
        </w:tc>
        <w:tc>
          <w:tcPr>
            <w:tcW w:type="dxa" w:w="1038"/>
          </w:tcPr>
          <w:p/>
        </w:tc>
        <w:tc>
          <w:tcPr>
            <w:tcW w:type="dxa" w:w="1038"/>
          </w:tcPr>
          <w:p>
            <w:pPr>
              <w:pStyle w:val="null3"/>
            </w:pPr>
            <w:r>
              <w:rPr/>
              <w:t>网络设备性能</w:t>
            </w:r>
          </w:p>
        </w:tc>
        <w:tc>
          <w:tcPr>
            <w:tcW w:type="dxa" w:w="1038"/>
          </w:tcPr>
          <w:p>
            <w:pPr>
              <w:pStyle w:val="null3"/>
            </w:pPr>
            <w:r>
              <w:rPr/>
              <w:t>无线网卡频宽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300</w:t>
            </w:r>
          </w:p>
        </w:tc>
        <w:tc>
          <w:tcPr>
            <w:tcW w:type="dxa" w:w="1038"/>
          </w:tcPr>
          <w:p>
            <w:pPr>
              <w:pStyle w:val="null3"/>
            </w:pPr>
            <w:r>
              <w:rPr/>
              <w:t>台式计算机-功能要求</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内存扩展接口 (板载内存不涉及)</w:t>
            </w:r>
          </w:p>
        </w:tc>
        <w:tc>
          <w:tcPr>
            <w:tcW w:type="dxa" w:w="1038"/>
          </w:tcPr>
          <w:p>
            <w:pPr>
              <w:pStyle w:val="null3"/>
            </w:pPr>
            <w:r>
              <w:rPr/>
              <w:t>≥2个</w:t>
            </w:r>
          </w:p>
        </w:tc>
        <w:tc>
          <w:tcPr>
            <w:tcW w:type="dxa" w:w="1038"/>
          </w:tcPr>
          <w:p>
            <w:pPr>
              <w:pStyle w:val="null3"/>
            </w:pPr>
            <w:r>
              <w:rPr/>
              <w:t>否</w:t>
            </w:r>
          </w:p>
        </w:tc>
        <w:tc>
          <w:tcPr>
            <w:tcW w:type="dxa" w:w="1038"/>
          </w:tcPr>
          <w:p/>
        </w:tc>
      </w:tr>
      <w:tr>
        <w:tc>
          <w:tcPr>
            <w:tcW w:type="dxa" w:w="1038"/>
          </w:tcPr>
          <w:p>
            <w:pPr>
              <w:pStyle w:val="null3"/>
            </w:pPr>
            <w:r>
              <w:rPr/>
              <w:t>301</w:t>
            </w:r>
          </w:p>
        </w:tc>
        <w:tc>
          <w:tcPr>
            <w:tcW w:type="dxa" w:w="1038"/>
          </w:tcPr>
          <w:p>
            <w:pPr>
              <w:pStyle w:val="null3"/>
            </w:pPr>
            <w:r>
              <w:rPr/>
              <w:t>台式计算机-功能要求</w:t>
            </w:r>
          </w:p>
        </w:tc>
        <w:tc>
          <w:tcPr>
            <w:tcW w:type="dxa" w:w="1038"/>
          </w:tcPr>
          <w:p/>
        </w:tc>
        <w:tc>
          <w:tcPr>
            <w:tcW w:type="dxa" w:w="1038"/>
          </w:tcPr>
          <w:p>
            <w:pPr>
              <w:pStyle w:val="null3"/>
            </w:pPr>
            <w:r>
              <w:rPr/>
              <w:t>主板功能</w:t>
            </w:r>
          </w:p>
        </w:tc>
        <w:tc>
          <w:tcPr>
            <w:tcW w:type="dxa" w:w="1038"/>
          </w:tcPr>
          <w:p>
            <w:pPr>
              <w:pStyle w:val="null3"/>
            </w:pPr>
            <w:r>
              <w:rPr/>
              <w:t>存储扩展接口(板载存储不涉及)</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302</w:t>
            </w:r>
          </w:p>
        </w:tc>
        <w:tc>
          <w:tcPr>
            <w:tcW w:type="dxa" w:w="1038"/>
          </w:tcPr>
          <w:p>
            <w:pPr>
              <w:pStyle w:val="null3"/>
            </w:pPr>
            <w:r>
              <w:rPr/>
              <w:t>台式计算机-功能要求</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主板USB瞬间过流保护</w:t>
            </w:r>
          </w:p>
        </w:tc>
        <w:tc>
          <w:tcPr>
            <w:tcW w:type="dxa" w:w="1038"/>
          </w:tcPr>
          <w:p>
            <w:pPr>
              <w:pStyle w:val="null3"/>
            </w:pPr>
            <w:r>
              <w:rPr/>
              <w:t>支持有瞬间过流保护功能</w:t>
            </w:r>
          </w:p>
        </w:tc>
        <w:tc>
          <w:tcPr>
            <w:tcW w:type="dxa" w:w="1038"/>
          </w:tcPr>
          <w:p>
            <w:pPr>
              <w:pStyle w:val="null3"/>
            </w:pPr>
            <w:r>
              <w:rPr/>
              <w:t>否</w:t>
            </w:r>
          </w:p>
        </w:tc>
        <w:tc>
          <w:tcPr>
            <w:tcW w:type="dxa" w:w="1038"/>
          </w:tcPr>
          <w:p/>
        </w:tc>
      </w:tr>
      <w:tr>
        <w:tc>
          <w:tcPr>
            <w:tcW w:type="dxa" w:w="1038"/>
          </w:tcPr>
          <w:p>
            <w:pPr>
              <w:pStyle w:val="null3"/>
            </w:pPr>
            <w:r>
              <w:rPr/>
              <w:t>303</w:t>
            </w:r>
          </w:p>
        </w:tc>
        <w:tc>
          <w:tcPr>
            <w:tcW w:type="dxa" w:w="1038"/>
          </w:tcPr>
          <w:p>
            <w:pPr>
              <w:pStyle w:val="null3"/>
            </w:pPr>
            <w:r>
              <w:rPr/>
              <w:t>台式计算机-功能要求</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主板防静电保护</w:t>
            </w:r>
          </w:p>
        </w:tc>
        <w:tc>
          <w:tcPr>
            <w:tcW w:type="dxa" w:w="1038"/>
          </w:tcPr>
          <w:p>
            <w:pPr>
              <w:pStyle w:val="null3"/>
            </w:pPr>
            <w:r>
              <w:rPr/>
              <w:t>支持防静电保护功能</w:t>
            </w:r>
          </w:p>
        </w:tc>
        <w:tc>
          <w:tcPr>
            <w:tcW w:type="dxa" w:w="1038"/>
          </w:tcPr>
          <w:p>
            <w:pPr>
              <w:pStyle w:val="null3"/>
            </w:pPr>
            <w:r>
              <w:rPr/>
              <w:t>否</w:t>
            </w:r>
          </w:p>
        </w:tc>
        <w:tc>
          <w:tcPr>
            <w:tcW w:type="dxa" w:w="1038"/>
          </w:tcPr>
          <w:p/>
        </w:tc>
      </w:tr>
      <w:tr>
        <w:tc>
          <w:tcPr>
            <w:tcW w:type="dxa" w:w="1038"/>
          </w:tcPr>
          <w:p>
            <w:pPr>
              <w:pStyle w:val="null3"/>
            </w:pPr>
            <w:r>
              <w:rPr/>
              <w:t>304</w:t>
            </w:r>
          </w:p>
        </w:tc>
        <w:tc>
          <w:tcPr>
            <w:tcW w:type="dxa" w:w="1038"/>
          </w:tcPr>
          <w:p>
            <w:pPr>
              <w:pStyle w:val="null3"/>
            </w:pPr>
            <w:r>
              <w:rPr/>
              <w:t>台式计算机-功能要求</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I/O 接口功能</w:t>
            </w:r>
          </w:p>
        </w:tc>
        <w:tc>
          <w:tcPr>
            <w:tcW w:type="dxa" w:w="1038"/>
          </w:tcPr>
          <w:p>
            <w:pPr>
              <w:pStyle w:val="null3"/>
            </w:pPr>
            <w:r>
              <w:rPr/>
              <w:t>提供基于标准USB 接口外设连接功能、基于音频输入输出接口的音频扩展功 能、基于PCIe 接口板卡扩展功能、基于 HDMI 或 VGA 接口外接显示器扩展功能、基于存储接口对产品进行增容功能等。产品I/O 接口，应具备外接标准 USB 设备、显示器、音频设备等内外部设备能力</w:t>
            </w:r>
          </w:p>
        </w:tc>
        <w:tc>
          <w:tcPr>
            <w:tcW w:type="dxa" w:w="1038"/>
          </w:tcPr>
          <w:p>
            <w:pPr>
              <w:pStyle w:val="null3"/>
            </w:pPr>
            <w:r>
              <w:rPr/>
              <w:t>否</w:t>
            </w:r>
          </w:p>
        </w:tc>
        <w:tc>
          <w:tcPr>
            <w:tcW w:type="dxa" w:w="1038"/>
          </w:tcPr>
          <w:p/>
        </w:tc>
      </w:tr>
      <w:tr>
        <w:tc>
          <w:tcPr>
            <w:tcW w:type="dxa" w:w="1038"/>
          </w:tcPr>
          <w:p>
            <w:pPr>
              <w:pStyle w:val="null3"/>
            </w:pPr>
            <w:r>
              <w:rPr/>
              <w:t>305</w:t>
            </w:r>
          </w:p>
        </w:tc>
        <w:tc>
          <w:tcPr>
            <w:tcW w:type="dxa" w:w="1038"/>
          </w:tcPr>
          <w:p>
            <w:pPr>
              <w:pStyle w:val="null3"/>
            </w:pPr>
            <w:r>
              <w:rPr/>
              <w:t>台式计算机-功能要求</w:t>
            </w:r>
          </w:p>
        </w:tc>
        <w:tc>
          <w:tcPr>
            <w:tcW w:type="dxa" w:w="1038"/>
          </w:tcPr>
          <w:p>
            <w:pPr>
              <w:pStyle w:val="null3"/>
            </w:pPr>
            <w:r>
              <w:rPr/>
              <w:t>★</w:t>
            </w:r>
          </w:p>
        </w:tc>
        <w:tc>
          <w:tcPr>
            <w:tcW w:type="dxa" w:w="1038"/>
          </w:tcPr>
          <w:p>
            <w:pPr>
              <w:pStyle w:val="null3"/>
            </w:pPr>
            <w:r>
              <w:rPr/>
              <w:t>显卡功能</w:t>
            </w:r>
          </w:p>
        </w:tc>
        <w:tc>
          <w:tcPr>
            <w:tcW w:type="dxa" w:w="1038"/>
          </w:tcPr>
          <w:p>
            <w:pPr>
              <w:pStyle w:val="null3"/>
            </w:pPr>
            <w:r>
              <w:rPr/>
              <w:t>显卡外接显示接口</w:t>
            </w:r>
          </w:p>
        </w:tc>
        <w:tc>
          <w:tcPr>
            <w:tcW w:type="dxa" w:w="1038"/>
          </w:tcPr>
          <w:p>
            <w:pPr>
              <w:pStyle w:val="null3"/>
            </w:pPr>
            <w:r>
              <w:rPr/>
              <w:t>支持 VGA 及 HDMI</w:t>
            </w:r>
          </w:p>
        </w:tc>
        <w:tc>
          <w:tcPr>
            <w:tcW w:type="dxa" w:w="1038"/>
          </w:tcPr>
          <w:p>
            <w:pPr>
              <w:pStyle w:val="null3"/>
            </w:pPr>
            <w:r>
              <w:rPr/>
              <w:t>否</w:t>
            </w:r>
          </w:p>
        </w:tc>
        <w:tc>
          <w:tcPr>
            <w:tcW w:type="dxa" w:w="1038"/>
          </w:tcPr>
          <w:p/>
        </w:tc>
      </w:tr>
      <w:tr>
        <w:tc>
          <w:tcPr>
            <w:tcW w:type="dxa" w:w="1038"/>
          </w:tcPr>
          <w:p>
            <w:pPr>
              <w:pStyle w:val="null3"/>
            </w:pPr>
            <w:r>
              <w:rPr/>
              <w:t>306</w:t>
            </w:r>
          </w:p>
        </w:tc>
        <w:tc>
          <w:tcPr>
            <w:tcW w:type="dxa" w:w="1038"/>
          </w:tcPr>
          <w:p>
            <w:pPr>
              <w:pStyle w:val="null3"/>
            </w:pPr>
            <w:r>
              <w:rPr/>
              <w:t>台式计算机-功能要求</w:t>
            </w:r>
          </w:p>
        </w:tc>
        <w:tc>
          <w:tcPr>
            <w:tcW w:type="dxa" w:w="1038"/>
          </w:tcPr>
          <w:p/>
        </w:tc>
        <w:tc>
          <w:tcPr>
            <w:tcW w:type="dxa" w:w="1038"/>
          </w:tcPr>
          <w:p>
            <w:pPr>
              <w:pStyle w:val="null3"/>
            </w:pPr>
            <w:r>
              <w:rPr/>
              <w:t>显卡功能</w:t>
            </w:r>
          </w:p>
        </w:tc>
        <w:tc>
          <w:tcPr>
            <w:tcW w:type="dxa" w:w="1038"/>
          </w:tcPr>
          <w:p>
            <w:pPr>
              <w:pStyle w:val="null3"/>
            </w:pPr>
            <w:r>
              <w:rPr/>
              <w:t>独立显卡数量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307</w:t>
            </w:r>
          </w:p>
        </w:tc>
        <w:tc>
          <w:tcPr>
            <w:tcW w:type="dxa" w:w="1038"/>
          </w:tcPr>
          <w:p>
            <w:pPr>
              <w:pStyle w:val="null3"/>
            </w:pPr>
            <w:r>
              <w:rPr/>
              <w:t>台式计算机-功能要求</w:t>
            </w:r>
          </w:p>
        </w:tc>
        <w:tc>
          <w:tcPr>
            <w:tcW w:type="dxa" w:w="1038"/>
          </w:tcPr>
          <w:p/>
        </w:tc>
        <w:tc>
          <w:tcPr>
            <w:tcW w:type="dxa" w:w="1038"/>
          </w:tcPr>
          <w:p>
            <w:pPr>
              <w:pStyle w:val="null3"/>
            </w:pPr>
            <w:r>
              <w:rPr/>
              <w:t>显示设备功能</w:t>
            </w:r>
          </w:p>
        </w:tc>
        <w:tc>
          <w:tcPr>
            <w:tcW w:type="dxa" w:w="1038"/>
          </w:tcPr>
          <w:p>
            <w:pPr>
              <w:pStyle w:val="null3"/>
            </w:pPr>
            <w:r>
              <w:rPr/>
              <w:t>显示器接口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308</w:t>
            </w:r>
          </w:p>
        </w:tc>
        <w:tc>
          <w:tcPr>
            <w:tcW w:type="dxa" w:w="1038"/>
          </w:tcPr>
          <w:p>
            <w:pPr>
              <w:pStyle w:val="null3"/>
            </w:pPr>
            <w:r>
              <w:rPr/>
              <w:t>台式计算机-功能要求</w:t>
            </w:r>
          </w:p>
        </w:tc>
        <w:tc>
          <w:tcPr>
            <w:tcW w:type="dxa" w:w="1038"/>
          </w:tcPr>
          <w:p/>
        </w:tc>
        <w:tc>
          <w:tcPr>
            <w:tcW w:type="dxa" w:w="1038"/>
          </w:tcPr>
          <w:p>
            <w:pPr>
              <w:pStyle w:val="null3"/>
            </w:pPr>
            <w:r>
              <w:rPr/>
              <w:t>显示设备功能</w:t>
            </w:r>
          </w:p>
        </w:tc>
        <w:tc>
          <w:tcPr>
            <w:tcW w:type="dxa" w:w="1038"/>
          </w:tcPr>
          <w:p>
            <w:pPr>
              <w:pStyle w:val="null3"/>
            </w:pPr>
            <w:r>
              <w:rPr/>
              <w:t>显示器支架</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309</w:t>
            </w:r>
          </w:p>
        </w:tc>
        <w:tc>
          <w:tcPr>
            <w:tcW w:type="dxa" w:w="1038"/>
          </w:tcPr>
          <w:p>
            <w:pPr>
              <w:pStyle w:val="null3"/>
            </w:pPr>
            <w:r>
              <w:rPr/>
              <w:t>台式计算机-功能要求</w:t>
            </w:r>
          </w:p>
        </w:tc>
        <w:tc>
          <w:tcPr>
            <w:tcW w:type="dxa" w:w="1038"/>
          </w:tcPr>
          <w:p/>
        </w:tc>
        <w:tc>
          <w:tcPr>
            <w:tcW w:type="dxa" w:w="1038"/>
          </w:tcPr>
          <w:p>
            <w:pPr>
              <w:pStyle w:val="null3"/>
            </w:pPr>
            <w:r>
              <w:rPr/>
              <w:t>显示设备功能</w:t>
            </w:r>
          </w:p>
        </w:tc>
        <w:tc>
          <w:tcPr>
            <w:tcW w:type="dxa" w:w="1038"/>
          </w:tcPr>
          <w:p>
            <w:pPr>
              <w:pStyle w:val="null3"/>
            </w:pPr>
            <w:r>
              <w:rPr/>
              <w:t>显示器参数调节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310</w:t>
            </w:r>
          </w:p>
        </w:tc>
        <w:tc>
          <w:tcPr>
            <w:tcW w:type="dxa" w:w="1038"/>
          </w:tcPr>
          <w:p>
            <w:pPr>
              <w:pStyle w:val="null3"/>
            </w:pPr>
            <w:r>
              <w:rPr/>
              <w:t>台式计算机-功能要求</w:t>
            </w:r>
          </w:p>
        </w:tc>
        <w:tc>
          <w:tcPr>
            <w:tcW w:type="dxa" w:w="1038"/>
          </w:tcPr>
          <w:p/>
        </w:tc>
        <w:tc>
          <w:tcPr>
            <w:tcW w:type="dxa" w:w="1038"/>
          </w:tcPr>
          <w:p>
            <w:pPr>
              <w:pStyle w:val="null3"/>
            </w:pPr>
            <w:r>
              <w:rPr/>
              <w:t>外设功能</w:t>
            </w:r>
          </w:p>
        </w:tc>
        <w:tc>
          <w:tcPr>
            <w:tcW w:type="dxa" w:w="1038"/>
          </w:tcPr>
          <w:p>
            <w:pPr>
              <w:pStyle w:val="null3"/>
            </w:pPr>
            <w:r>
              <w:rPr/>
              <w:t>摄像头物理隐私保护开关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311</w:t>
            </w:r>
          </w:p>
        </w:tc>
        <w:tc>
          <w:tcPr>
            <w:tcW w:type="dxa" w:w="1038"/>
          </w:tcPr>
          <w:p>
            <w:pPr>
              <w:pStyle w:val="null3"/>
            </w:pPr>
            <w:r>
              <w:rPr/>
              <w:t>台式计算机-功能要求</w:t>
            </w:r>
          </w:p>
        </w:tc>
        <w:tc>
          <w:tcPr>
            <w:tcW w:type="dxa" w:w="1038"/>
          </w:tcPr>
          <w:p/>
        </w:tc>
        <w:tc>
          <w:tcPr>
            <w:tcW w:type="dxa" w:w="1038"/>
          </w:tcPr>
          <w:p>
            <w:pPr>
              <w:pStyle w:val="null3"/>
            </w:pPr>
            <w:r>
              <w:rPr/>
              <w:t>外设功能</w:t>
            </w:r>
          </w:p>
        </w:tc>
        <w:tc>
          <w:tcPr>
            <w:tcW w:type="dxa" w:w="1038"/>
          </w:tcPr>
          <w:p>
            <w:pPr>
              <w:pStyle w:val="null3"/>
            </w:pPr>
            <w:r>
              <w:rPr/>
              <w:t>传声器降噪</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312</w:t>
            </w:r>
          </w:p>
        </w:tc>
        <w:tc>
          <w:tcPr>
            <w:tcW w:type="dxa" w:w="1038"/>
          </w:tcPr>
          <w:p>
            <w:pPr>
              <w:pStyle w:val="null3"/>
            </w:pPr>
            <w:r>
              <w:rPr/>
              <w:t>台式计算机-功能要求</w:t>
            </w:r>
          </w:p>
        </w:tc>
        <w:tc>
          <w:tcPr>
            <w:tcW w:type="dxa" w:w="1038"/>
          </w:tcPr>
          <w:p/>
        </w:tc>
        <w:tc>
          <w:tcPr>
            <w:tcW w:type="dxa" w:w="1038"/>
          </w:tcPr>
          <w:p>
            <w:pPr>
              <w:pStyle w:val="null3"/>
            </w:pPr>
            <w:r>
              <w:rPr/>
              <w:t>外设功能</w:t>
            </w:r>
          </w:p>
        </w:tc>
        <w:tc>
          <w:tcPr>
            <w:tcW w:type="dxa" w:w="1038"/>
          </w:tcPr>
          <w:p>
            <w:pPr>
              <w:pStyle w:val="null3"/>
            </w:pPr>
            <w:r>
              <w:rPr/>
              <w:t>键盘背光</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313</w:t>
            </w:r>
          </w:p>
        </w:tc>
        <w:tc>
          <w:tcPr>
            <w:tcW w:type="dxa" w:w="1038"/>
          </w:tcPr>
          <w:p>
            <w:pPr>
              <w:pStyle w:val="null3"/>
            </w:pPr>
            <w:r>
              <w:rPr/>
              <w:t>台式计算机-功能要求</w:t>
            </w:r>
          </w:p>
        </w:tc>
        <w:tc>
          <w:tcPr>
            <w:tcW w:type="dxa" w:w="1038"/>
          </w:tcPr>
          <w:p>
            <w:pPr>
              <w:pStyle w:val="null3"/>
            </w:pPr>
            <w:r>
              <w:rPr/>
              <w:t>★</w:t>
            </w:r>
          </w:p>
        </w:tc>
        <w:tc>
          <w:tcPr>
            <w:tcW w:type="dxa" w:w="1038"/>
          </w:tcPr>
          <w:p>
            <w:pPr>
              <w:pStyle w:val="null3"/>
            </w:pPr>
            <w:r>
              <w:rPr/>
              <w:t>外设功能</w:t>
            </w:r>
          </w:p>
        </w:tc>
        <w:tc>
          <w:tcPr>
            <w:tcW w:type="dxa" w:w="1038"/>
          </w:tcPr>
          <w:p>
            <w:pPr>
              <w:pStyle w:val="null3"/>
            </w:pPr>
            <w:r>
              <w:rPr/>
              <w:t>光驱功能</w:t>
            </w:r>
          </w:p>
        </w:tc>
        <w:tc>
          <w:tcPr>
            <w:tcW w:type="dxa" w:w="1038"/>
          </w:tcPr>
          <w:p>
            <w:pPr>
              <w:pStyle w:val="null3"/>
            </w:pPr>
            <w:r>
              <w:rPr/>
              <w:t>光驱应支持只读、刻录等类型；最大读取速度 CD 不低于 24×150KB/s； 最大读取速度DVD 不低于8×358KB/s；最大刻录速度CD 不低于24×150KB/s；最大刻录速度 DVD 不低于 6× 1358KB/s；兼容光盘类型包含只读光盘、可读写光盘、可擦写光盘等</w:t>
            </w:r>
          </w:p>
        </w:tc>
        <w:tc>
          <w:tcPr>
            <w:tcW w:type="dxa" w:w="1038"/>
          </w:tcPr>
          <w:p>
            <w:pPr>
              <w:pStyle w:val="null3"/>
            </w:pPr>
            <w:r>
              <w:rPr/>
              <w:t>否</w:t>
            </w:r>
          </w:p>
        </w:tc>
        <w:tc>
          <w:tcPr>
            <w:tcW w:type="dxa" w:w="1038"/>
          </w:tcPr>
          <w:p/>
        </w:tc>
      </w:tr>
      <w:tr>
        <w:tc>
          <w:tcPr>
            <w:tcW w:type="dxa" w:w="1038"/>
          </w:tcPr>
          <w:p>
            <w:pPr>
              <w:pStyle w:val="null3"/>
            </w:pPr>
            <w:r>
              <w:rPr/>
              <w:t>314</w:t>
            </w:r>
          </w:p>
        </w:tc>
        <w:tc>
          <w:tcPr>
            <w:tcW w:type="dxa" w:w="1038"/>
          </w:tcPr>
          <w:p>
            <w:pPr>
              <w:pStyle w:val="null3"/>
            </w:pPr>
            <w:r>
              <w:rPr/>
              <w:t>台式计算机-功能要求</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存储功能</w:t>
            </w:r>
          </w:p>
        </w:tc>
        <w:tc>
          <w:tcPr>
            <w:tcW w:type="dxa" w:w="1038"/>
          </w:tcPr>
          <w:p>
            <w:pPr>
              <w:pStyle w:val="null3"/>
            </w:pPr>
            <w:r>
              <w:rPr/>
              <w:t>支持信息存储功能，包括支持易失性存储功能和非易失性存储功能。为提升存储性能和降低存储功耗，非易失性存储宜支持固态存储设 备，如 SSD/UFS。 产品应支持外出接口可以与独立的存储设备进行数据交互</w:t>
            </w:r>
          </w:p>
        </w:tc>
        <w:tc>
          <w:tcPr>
            <w:tcW w:type="dxa" w:w="1038"/>
          </w:tcPr>
          <w:p>
            <w:pPr>
              <w:pStyle w:val="null3"/>
            </w:pPr>
            <w:r>
              <w:rPr/>
              <w:t>否</w:t>
            </w:r>
          </w:p>
        </w:tc>
        <w:tc>
          <w:tcPr>
            <w:tcW w:type="dxa" w:w="1038"/>
          </w:tcPr>
          <w:p/>
        </w:tc>
      </w:tr>
      <w:tr>
        <w:tc>
          <w:tcPr>
            <w:tcW w:type="dxa" w:w="1038"/>
          </w:tcPr>
          <w:p>
            <w:pPr>
              <w:pStyle w:val="null3"/>
            </w:pPr>
            <w:r>
              <w:rPr/>
              <w:t>315</w:t>
            </w:r>
          </w:p>
        </w:tc>
        <w:tc>
          <w:tcPr>
            <w:tcW w:type="dxa" w:w="1038"/>
          </w:tcPr>
          <w:p>
            <w:pPr>
              <w:pStyle w:val="null3"/>
            </w:pPr>
            <w:r>
              <w:rPr/>
              <w:t>台式计算机-功能要求</w:t>
            </w:r>
          </w:p>
        </w:tc>
        <w:tc>
          <w:tcPr>
            <w:tcW w:type="dxa" w:w="1038"/>
          </w:tcPr>
          <w:p/>
        </w:tc>
        <w:tc>
          <w:tcPr>
            <w:tcW w:type="dxa" w:w="1038"/>
          </w:tcPr>
          <w:p>
            <w:pPr>
              <w:pStyle w:val="null3"/>
            </w:pPr>
            <w:r>
              <w:rPr/>
              <w:t>存储功能</w:t>
            </w:r>
          </w:p>
        </w:tc>
        <w:tc>
          <w:tcPr>
            <w:tcW w:type="dxa" w:w="1038"/>
          </w:tcPr>
          <w:p>
            <w:pPr>
              <w:pStyle w:val="null3"/>
            </w:pPr>
            <w:r>
              <w:rPr/>
              <w:t>内置控制器固态存储加密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316</w:t>
            </w:r>
          </w:p>
        </w:tc>
        <w:tc>
          <w:tcPr>
            <w:tcW w:type="dxa" w:w="1038"/>
          </w:tcPr>
          <w:p>
            <w:pPr>
              <w:pStyle w:val="null3"/>
            </w:pPr>
            <w:r>
              <w:rPr/>
              <w:t>台式计算机-功能要求</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网络功能</w:t>
            </w:r>
          </w:p>
        </w:tc>
        <w:tc>
          <w:tcPr>
            <w:tcW w:type="dxa" w:w="1038"/>
          </w:tcPr>
          <w:p>
            <w:pPr>
              <w:pStyle w:val="null3"/>
            </w:pPr>
            <w:r>
              <w:rPr/>
              <w:t>a)支持网络连接、网络开启/关闭功能； b)支持访问网络和数据交换功能</w:t>
            </w:r>
          </w:p>
        </w:tc>
        <w:tc>
          <w:tcPr>
            <w:tcW w:type="dxa" w:w="1038"/>
          </w:tcPr>
          <w:p>
            <w:pPr>
              <w:pStyle w:val="null3"/>
            </w:pPr>
            <w:r>
              <w:rPr/>
              <w:t>否</w:t>
            </w:r>
          </w:p>
        </w:tc>
        <w:tc>
          <w:tcPr>
            <w:tcW w:type="dxa" w:w="1038"/>
          </w:tcPr>
          <w:p/>
        </w:tc>
      </w:tr>
      <w:tr>
        <w:tc>
          <w:tcPr>
            <w:tcW w:type="dxa" w:w="1038"/>
          </w:tcPr>
          <w:p>
            <w:pPr>
              <w:pStyle w:val="null3"/>
            </w:pPr>
            <w:r>
              <w:rPr/>
              <w:t>317</w:t>
            </w:r>
          </w:p>
        </w:tc>
        <w:tc>
          <w:tcPr>
            <w:tcW w:type="dxa" w:w="1038"/>
          </w:tcPr>
          <w:p>
            <w:pPr>
              <w:pStyle w:val="null3"/>
            </w:pPr>
            <w:r>
              <w:rPr/>
              <w:t>台式计算机-功能要求</w:t>
            </w:r>
          </w:p>
        </w:tc>
        <w:tc>
          <w:tcPr>
            <w:tcW w:type="dxa" w:w="1038"/>
          </w:tcPr>
          <w:p/>
        </w:tc>
        <w:tc>
          <w:tcPr>
            <w:tcW w:type="dxa" w:w="1038"/>
          </w:tcPr>
          <w:p>
            <w:pPr>
              <w:pStyle w:val="null3"/>
            </w:pPr>
            <w:r>
              <w:rPr/>
              <w:t>网络设备功能</w:t>
            </w:r>
          </w:p>
        </w:tc>
        <w:tc>
          <w:tcPr>
            <w:tcW w:type="dxa" w:w="1038"/>
          </w:tcPr>
          <w:p>
            <w:pPr>
              <w:pStyle w:val="null3"/>
            </w:pPr>
            <w:r>
              <w:rPr/>
              <w:t>无线网卡频段</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318</w:t>
            </w:r>
          </w:p>
        </w:tc>
        <w:tc>
          <w:tcPr>
            <w:tcW w:type="dxa" w:w="1038"/>
          </w:tcPr>
          <w:p>
            <w:pPr>
              <w:pStyle w:val="null3"/>
            </w:pPr>
            <w:r>
              <w:rPr/>
              <w:t>台式计算机-功能要求</w:t>
            </w:r>
          </w:p>
        </w:tc>
        <w:tc>
          <w:tcPr>
            <w:tcW w:type="dxa" w:w="1038"/>
          </w:tcPr>
          <w:p/>
        </w:tc>
        <w:tc>
          <w:tcPr>
            <w:tcW w:type="dxa" w:w="1038"/>
          </w:tcPr>
          <w:p>
            <w:pPr>
              <w:pStyle w:val="null3"/>
            </w:pPr>
            <w:r>
              <w:rPr/>
              <w:t>网络设备功能</w:t>
            </w:r>
          </w:p>
        </w:tc>
        <w:tc>
          <w:tcPr>
            <w:tcW w:type="dxa" w:w="1038"/>
          </w:tcPr>
          <w:p>
            <w:pPr>
              <w:pStyle w:val="null3"/>
            </w:pPr>
            <w:r>
              <w:rPr/>
              <w:t>物理开关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319</w:t>
            </w:r>
          </w:p>
        </w:tc>
        <w:tc>
          <w:tcPr>
            <w:tcW w:type="dxa" w:w="1038"/>
          </w:tcPr>
          <w:p>
            <w:pPr>
              <w:pStyle w:val="null3"/>
            </w:pPr>
            <w:r>
              <w:rPr/>
              <w:t>台式计算机-功能要求</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数据传输</w:t>
            </w:r>
          </w:p>
        </w:tc>
        <w:tc>
          <w:tcPr>
            <w:tcW w:type="dxa" w:w="1038"/>
          </w:tcPr>
          <w:p>
            <w:pPr>
              <w:pStyle w:val="null3"/>
            </w:pPr>
            <w:r>
              <w:rPr/>
              <w:t>支持数据传输能力，并提供数据流量和异常日志记录功能</w:t>
            </w:r>
          </w:p>
        </w:tc>
        <w:tc>
          <w:tcPr>
            <w:tcW w:type="dxa" w:w="1038"/>
          </w:tcPr>
          <w:p>
            <w:pPr>
              <w:pStyle w:val="null3"/>
            </w:pPr>
            <w:r>
              <w:rPr/>
              <w:t>否</w:t>
            </w:r>
          </w:p>
        </w:tc>
        <w:tc>
          <w:tcPr>
            <w:tcW w:type="dxa" w:w="1038"/>
          </w:tcPr>
          <w:p/>
        </w:tc>
      </w:tr>
      <w:tr>
        <w:tc>
          <w:tcPr>
            <w:tcW w:type="dxa" w:w="1038"/>
          </w:tcPr>
          <w:p>
            <w:pPr>
              <w:pStyle w:val="null3"/>
            </w:pPr>
            <w:r>
              <w:rPr/>
              <w:t>320</w:t>
            </w:r>
          </w:p>
        </w:tc>
        <w:tc>
          <w:tcPr>
            <w:tcW w:type="dxa" w:w="1038"/>
          </w:tcPr>
          <w:p>
            <w:pPr>
              <w:pStyle w:val="null3"/>
            </w:pPr>
            <w:r>
              <w:rPr/>
              <w:t>台式计算机-功能要求</w:t>
            </w:r>
          </w:p>
        </w:tc>
        <w:tc>
          <w:tcPr>
            <w:tcW w:type="dxa" w:w="1038"/>
          </w:tcPr>
          <w:p/>
        </w:tc>
        <w:tc>
          <w:tcPr>
            <w:tcW w:type="dxa" w:w="1038"/>
          </w:tcPr>
          <w:p>
            <w:pPr>
              <w:pStyle w:val="null3"/>
            </w:pPr>
            <w:r>
              <w:rPr/>
              <w:t>网络设备功能</w:t>
            </w:r>
          </w:p>
        </w:tc>
        <w:tc>
          <w:tcPr>
            <w:tcW w:type="dxa" w:w="1038"/>
          </w:tcPr>
          <w:p>
            <w:pPr>
              <w:pStyle w:val="null3"/>
            </w:pPr>
            <w:r>
              <w:rPr/>
              <w:t>蓝牙协议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321</w:t>
            </w:r>
          </w:p>
        </w:tc>
        <w:tc>
          <w:tcPr>
            <w:tcW w:type="dxa" w:w="1038"/>
          </w:tcPr>
          <w:p>
            <w:pPr>
              <w:pStyle w:val="null3"/>
            </w:pPr>
            <w:r>
              <w:rPr/>
              <w:t>台式计算机-功能要求</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有线网卡接口类型</w:t>
            </w:r>
          </w:p>
        </w:tc>
        <w:tc>
          <w:tcPr>
            <w:tcW w:type="dxa" w:w="1038"/>
          </w:tcPr>
          <w:p>
            <w:pPr>
              <w:pStyle w:val="null3"/>
            </w:pPr>
            <w:r>
              <w:rPr/>
              <w:t>支持 RJ45 接口</w:t>
            </w:r>
          </w:p>
        </w:tc>
        <w:tc>
          <w:tcPr>
            <w:tcW w:type="dxa" w:w="1038"/>
          </w:tcPr>
          <w:p>
            <w:pPr>
              <w:pStyle w:val="null3"/>
            </w:pPr>
            <w:r>
              <w:rPr/>
              <w:t>否</w:t>
            </w:r>
          </w:p>
        </w:tc>
        <w:tc>
          <w:tcPr>
            <w:tcW w:type="dxa" w:w="1038"/>
          </w:tcPr>
          <w:p/>
        </w:tc>
      </w:tr>
      <w:tr>
        <w:tc>
          <w:tcPr>
            <w:tcW w:type="dxa" w:w="1038"/>
          </w:tcPr>
          <w:p>
            <w:pPr>
              <w:pStyle w:val="null3"/>
            </w:pPr>
            <w:r>
              <w:rPr/>
              <w:t>322</w:t>
            </w:r>
          </w:p>
        </w:tc>
        <w:tc>
          <w:tcPr>
            <w:tcW w:type="dxa" w:w="1038"/>
          </w:tcPr>
          <w:p>
            <w:pPr>
              <w:pStyle w:val="null3"/>
            </w:pPr>
            <w:r>
              <w:rPr/>
              <w:t>台式计算机-功能要求</w:t>
            </w:r>
          </w:p>
        </w:tc>
        <w:tc>
          <w:tcPr>
            <w:tcW w:type="dxa" w:w="1038"/>
          </w:tcPr>
          <w:p/>
        </w:tc>
        <w:tc>
          <w:tcPr>
            <w:tcW w:type="dxa" w:w="1038"/>
          </w:tcPr>
          <w:p>
            <w:pPr>
              <w:pStyle w:val="null3"/>
            </w:pPr>
            <w:r>
              <w:rPr/>
              <w:t>网络设备功能</w:t>
            </w:r>
          </w:p>
        </w:tc>
        <w:tc>
          <w:tcPr>
            <w:tcW w:type="dxa" w:w="1038"/>
          </w:tcPr>
          <w:p>
            <w:pPr>
              <w:pStyle w:val="null3"/>
            </w:pPr>
            <w:r>
              <w:rPr/>
              <w:t>无线网卡标准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323</w:t>
            </w:r>
          </w:p>
        </w:tc>
        <w:tc>
          <w:tcPr>
            <w:tcW w:type="dxa" w:w="1038"/>
          </w:tcPr>
          <w:p>
            <w:pPr>
              <w:pStyle w:val="null3"/>
            </w:pPr>
            <w:r>
              <w:rPr/>
              <w:t>台式计算机-功能要求</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网络设备拆装</w:t>
            </w:r>
          </w:p>
        </w:tc>
        <w:tc>
          <w:tcPr>
            <w:tcW w:type="dxa" w:w="1038"/>
          </w:tcPr>
          <w:p>
            <w:pPr>
              <w:pStyle w:val="null3"/>
            </w:pPr>
            <w:r>
              <w:rPr/>
              <w:t>网络设备支持物理拆装</w:t>
            </w:r>
          </w:p>
        </w:tc>
        <w:tc>
          <w:tcPr>
            <w:tcW w:type="dxa" w:w="1038"/>
          </w:tcPr>
          <w:p>
            <w:pPr>
              <w:pStyle w:val="null3"/>
            </w:pPr>
            <w:r>
              <w:rPr/>
              <w:t>否</w:t>
            </w:r>
          </w:p>
        </w:tc>
        <w:tc>
          <w:tcPr>
            <w:tcW w:type="dxa" w:w="1038"/>
          </w:tcPr>
          <w:p/>
        </w:tc>
      </w:tr>
      <w:tr>
        <w:tc>
          <w:tcPr>
            <w:tcW w:type="dxa" w:w="1038"/>
          </w:tcPr>
          <w:p>
            <w:pPr>
              <w:pStyle w:val="null3"/>
            </w:pPr>
            <w:r>
              <w:rPr/>
              <w:t>324</w:t>
            </w:r>
          </w:p>
        </w:tc>
        <w:tc>
          <w:tcPr>
            <w:tcW w:type="dxa" w:w="1038"/>
          </w:tcPr>
          <w:p>
            <w:pPr>
              <w:pStyle w:val="null3"/>
            </w:pPr>
            <w:r>
              <w:rPr/>
              <w:t>台式计算机-功能要求</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音频接口类型</w:t>
            </w:r>
          </w:p>
        </w:tc>
        <w:tc>
          <w:tcPr>
            <w:tcW w:type="dxa" w:w="1038"/>
          </w:tcPr>
          <w:p>
            <w:pPr>
              <w:pStyle w:val="null3"/>
            </w:pPr>
            <w:r>
              <w:rPr/>
              <w:t>支持 3.5mm 孔径 3 段式接口</w:t>
            </w:r>
          </w:p>
        </w:tc>
        <w:tc>
          <w:tcPr>
            <w:tcW w:type="dxa" w:w="1038"/>
          </w:tcPr>
          <w:p>
            <w:pPr>
              <w:pStyle w:val="null3"/>
            </w:pPr>
            <w:r>
              <w:rPr/>
              <w:t>否</w:t>
            </w:r>
          </w:p>
        </w:tc>
        <w:tc>
          <w:tcPr>
            <w:tcW w:type="dxa" w:w="1038"/>
          </w:tcPr>
          <w:p/>
        </w:tc>
      </w:tr>
      <w:tr>
        <w:tc>
          <w:tcPr>
            <w:tcW w:type="dxa" w:w="1038"/>
          </w:tcPr>
          <w:p>
            <w:pPr>
              <w:pStyle w:val="null3"/>
            </w:pPr>
            <w:r>
              <w:rPr/>
              <w:t>325</w:t>
            </w:r>
          </w:p>
        </w:tc>
        <w:tc>
          <w:tcPr>
            <w:tcW w:type="dxa" w:w="1038"/>
          </w:tcPr>
          <w:p>
            <w:pPr>
              <w:pStyle w:val="null3"/>
            </w:pPr>
            <w:r>
              <w:rPr/>
              <w:t>台式计算机-功能要求</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视频接口类型</w:t>
            </w:r>
          </w:p>
        </w:tc>
        <w:tc>
          <w:tcPr>
            <w:tcW w:type="dxa" w:w="1038"/>
          </w:tcPr>
          <w:p>
            <w:pPr>
              <w:pStyle w:val="null3"/>
            </w:pPr>
            <w:r>
              <w:rPr/>
              <w:t>至少1个VGA接口和1个HDMI接口</w:t>
            </w:r>
          </w:p>
        </w:tc>
        <w:tc>
          <w:tcPr>
            <w:tcW w:type="dxa" w:w="1038"/>
          </w:tcPr>
          <w:p>
            <w:pPr>
              <w:pStyle w:val="null3"/>
            </w:pPr>
            <w:r>
              <w:rPr/>
              <w:t>否</w:t>
            </w:r>
          </w:p>
        </w:tc>
        <w:tc>
          <w:tcPr>
            <w:tcW w:type="dxa" w:w="1038"/>
          </w:tcPr>
          <w:p/>
        </w:tc>
      </w:tr>
      <w:tr>
        <w:tc>
          <w:tcPr>
            <w:tcW w:type="dxa" w:w="1038"/>
          </w:tcPr>
          <w:p>
            <w:pPr>
              <w:pStyle w:val="null3"/>
            </w:pPr>
            <w:r>
              <w:rPr/>
              <w:t>326</w:t>
            </w:r>
          </w:p>
        </w:tc>
        <w:tc>
          <w:tcPr>
            <w:tcW w:type="dxa" w:w="1038"/>
          </w:tcPr>
          <w:p>
            <w:pPr>
              <w:pStyle w:val="null3"/>
            </w:pPr>
            <w:r>
              <w:rPr/>
              <w:t>台式计算机-功能要求</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HDMI、 DP、 Type-C 显示接口要求</w:t>
            </w:r>
          </w:p>
        </w:tc>
        <w:tc>
          <w:tcPr>
            <w:tcW w:type="dxa" w:w="1038"/>
          </w:tcPr>
          <w:p>
            <w:pPr>
              <w:pStyle w:val="null3"/>
            </w:pPr>
            <w:r>
              <w:rPr/>
              <w:t>HDMI接口须支持音视频同步输出</w:t>
            </w:r>
          </w:p>
        </w:tc>
        <w:tc>
          <w:tcPr>
            <w:tcW w:type="dxa" w:w="1038"/>
          </w:tcPr>
          <w:p>
            <w:pPr>
              <w:pStyle w:val="null3"/>
            </w:pPr>
            <w:r>
              <w:rPr/>
              <w:t>否</w:t>
            </w:r>
          </w:p>
        </w:tc>
        <w:tc>
          <w:tcPr>
            <w:tcW w:type="dxa" w:w="1038"/>
          </w:tcPr>
          <w:p/>
        </w:tc>
      </w:tr>
      <w:tr>
        <w:tc>
          <w:tcPr>
            <w:tcW w:type="dxa" w:w="1038"/>
          </w:tcPr>
          <w:p>
            <w:pPr>
              <w:pStyle w:val="null3"/>
            </w:pPr>
            <w:r>
              <w:rPr/>
              <w:t>327</w:t>
            </w:r>
          </w:p>
        </w:tc>
        <w:tc>
          <w:tcPr>
            <w:tcW w:type="dxa" w:w="1038"/>
          </w:tcPr>
          <w:p>
            <w:pPr>
              <w:pStyle w:val="null3"/>
            </w:pPr>
            <w:r>
              <w:rPr/>
              <w:t>台式计算机-功能要求</w:t>
            </w:r>
          </w:p>
        </w:tc>
        <w:tc>
          <w:tcPr>
            <w:tcW w:type="dxa" w:w="1038"/>
          </w:tcPr>
          <w:p/>
        </w:tc>
        <w:tc>
          <w:tcPr>
            <w:tcW w:type="dxa" w:w="1038"/>
          </w:tcPr>
          <w:p>
            <w:pPr>
              <w:pStyle w:val="null3"/>
            </w:pPr>
            <w:r>
              <w:rPr/>
              <w:t>外部接口功能</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328</w:t>
            </w:r>
          </w:p>
        </w:tc>
        <w:tc>
          <w:tcPr>
            <w:tcW w:type="dxa" w:w="1038"/>
          </w:tcPr>
          <w:p>
            <w:pPr>
              <w:pStyle w:val="null3"/>
            </w:pPr>
            <w:r>
              <w:rPr/>
              <w:t>台式计算机-功能要求</w:t>
            </w:r>
          </w:p>
        </w:tc>
        <w:tc>
          <w:tcPr>
            <w:tcW w:type="dxa" w:w="1038"/>
          </w:tcPr>
          <w:p/>
        </w:tc>
        <w:tc>
          <w:tcPr>
            <w:tcW w:type="dxa" w:w="1038"/>
          </w:tcPr>
          <w:p>
            <w:pPr>
              <w:pStyle w:val="null3"/>
            </w:pPr>
            <w:r>
              <w:rPr/>
              <w:t>外部接口功能</w:t>
            </w:r>
          </w:p>
        </w:tc>
        <w:tc>
          <w:tcPr>
            <w:tcW w:type="dxa" w:w="1038"/>
          </w:tcPr>
          <w:p>
            <w:pPr>
              <w:pStyle w:val="null3"/>
            </w:pPr>
            <w:r>
              <w:rPr/>
              <w:t>存储卡接口类型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329</w:t>
            </w:r>
          </w:p>
        </w:tc>
        <w:tc>
          <w:tcPr>
            <w:tcW w:type="dxa" w:w="1038"/>
          </w:tcPr>
          <w:p>
            <w:pPr>
              <w:pStyle w:val="null3"/>
            </w:pPr>
            <w:r>
              <w:rPr/>
              <w:t>台式计算机-功能要求</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电源线适配能力</w:t>
            </w:r>
          </w:p>
        </w:tc>
        <w:tc>
          <w:tcPr>
            <w:tcW w:type="dxa" w:w="1038"/>
          </w:tcPr>
          <w:p>
            <w:pPr>
              <w:pStyle w:val="null3"/>
            </w:pPr>
            <w:r>
              <w:rPr/>
              <w:t>电源适配器电线组件应符合 GB/T 15934 的要求，可拆线的插头和连接器可以不做要求</w:t>
            </w:r>
          </w:p>
        </w:tc>
        <w:tc>
          <w:tcPr>
            <w:tcW w:type="dxa" w:w="1038"/>
          </w:tcPr>
          <w:p>
            <w:pPr>
              <w:pStyle w:val="null3"/>
            </w:pPr>
            <w:r>
              <w:rPr/>
              <w:t>否</w:t>
            </w:r>
          </w:p>
        </w:tc>
        <w:tc>
          <w:tcPr>
            <w:tcW w:type="dxa" w:w="1038"/>
          </w:tcPr>
          <w:p/>
        </w:tc>
      </w:tr>
      <w:tr>
        <w:tc>
          <w:tcPr>
            <w:tcW w:type="dxa" w:w="1038"/>
          </w:tcPr>
          <w:p>
            <w:pPr>
              <w:pStyle w:val="null3"/>
            </w:pPr>
            <w:r>
              <w:rPr/>
              <w:t>330</w:t>
            </w:r>
          </w:p>
        </w:tc>
        <w:tc>
          <w:tcPr>
            <w:tcW w:type="dxa" w:w="1038"/>
          </w:tcPr>
          <w:p>
            <w:pPr>
              <w:pStyle w:val="null3"/>
            </w:pPr>
            <w:r>
              <w:rPr/>
              <w:t>台式计算机-功能要求</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中文信息处理要求</w:t>
            </w:r>
          </w:p>
        </w:tc>
        <w:tc>
          <w:tcPr>
            <w:tcW w:type="dxa" w:w="1038"/>
          </w:tcPr>
          <w:p>
            <w:pPr>
              <w:pStyle w:val="null3"/>
            </w:pPr>
            <w:r>
              <w:rPr/>
              <w:t>符合 GB 18030 的相关规定</w:t>
            </w:r>
          </w:p>
        </w:tc>
        <w:tc>
          <w:tcPr>
            <w:tcW w:type="dxa" w:w="1038"/>
          </w:tcPr>
          <w:p>
            <w:pPr>
              <w:pStyle w:val="null3"/>
            </w:pPr>
            <w:r>
              <w:rPr/>
              <w:t>否</w:t>
            </w:r>
          </w:p>
        </w:tc>
        <w:tc>
          <w:tcPr>
            <w:tcW w:type="dxa" w:w="1038"/>
          </w:tcPr>
          <w:p/>
        </w:tc>
      </w:tr>
      <w:tr>
        <w:tc>
          <w:tcPr>
            <w:tcW w:type="dxa" w:w="1038"/>
          </w:tcPr>
          <w:p>
            <w:pPr>
              <w:pStyle w:val="null3"/>
            </w:pPr>
            <w:r>
              <w:rPr/>
              <w:t>331</w:t>
            </w:r>
          </w:p>
        </w:tc>
        <w:tc>
          <w:tcPr>
            <w:tcW w:type="dxa" w:w="1038"/>
          </w:tcPr>
          <w:p>
            <w:pPr>
              <w:pStyle w:val="null3"/>
            </w:pPr>
            <w:r>
              <w:rPr/>
              <w:t>台式计算机-功能要求</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操作系统备份及还原功能</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332</w:t>
            </w:r>
          </w:p>
        </w:tc>
        <w:tc>
          <w:tcPr>
            <w:tcW w:type="dxa" w:w="1038"/>
          </w:tcPr>
          <w:p>
            <w:pPr>
              <w:pStyle w:val="null3"/>
            </w:pPr>
            <w:r>
              <w:rPr/>
              <w:t>台式计算机-功能要求</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固件备份还原能力</w:t>
            </w:r>
          </w:p>
        </w:tc>
        <w:tc>
          <w:tcPr>
            <w:tcW w:type="dxa" w:w="1038"/>
          </w:tcPr>
          <w:p>
            <w:pPr>
              <w:pStyle w:val="null3"/>
            </w:pPr>
            <w:r>
              <w:rPr/>
              <w:t>支持备份及还原固件的功能</w:t>
            </w:r>
          </w:p>
        </w:tc>
        <w:tc>
          <w:tcPr>
            <w:tcW w:type="dxa" w:w="1038"/>
          </w:tcPr>
          <w:p>
            <w:pPr>
              <w:pStyle w:val="null3"/>
            </w:pPr>
            <w:r>
              <w:rPr/>
              <w:t>否</w:t>
            </w:r>
          </w:p>
        </w:tc>
        <w:tc>
          <w:tcPr>
            <w:tcW w:type="dxa" w:w="1038"/>
          </w:tcPr>
          <w:p/>
        </w:tc>
      </w:tr>
      <w:tr>
        <w:tc>
          <w:tcPr>
            <w:tcW w:type="dxa" w:w="1038"/>
          </w:tcPr>
          <w:p>
            <w:pPr>
              <w:pStyle w:val="null3"/>
            </w:pPr>
            <w:r>
              <w:rPr/>
              <w:t>333</w:t>
            </w:r>
          </w:p>
        </w:tc>
        <w:tc>
          <w:tcPr>
            <w:tcW w:type="dxa" w:w="1038"/>
          </w:tcPr>
          <w:p>
            <w:pPr>
              <w:pStyle w:val="null3"/>
            </w:pPr>
            <w:r>
              <w:rPr/>
              <w:t>台式计算机-功能要求</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操作系统及驱动升级</w:t>
            </w:r>
          </w:p>
        </w:tc>
        <w:tc>
          <w:tcPr>
            <w:tcW w:type="dxa" w:w="1038"/>
          </w:tcPr>
          <w:p>
            <w:pPr>
              <w:pStyle w:val="null3"/>
            </w:pPr>
            <w:r>
              <w:rPr/>
              <w:t>支持通过网络、闪存盘等方式对操作系统、驱动进行升级</w:t>
            </w:r>
          </w:p>
        </w:tc>
        <w:tc>
          <w:tcPr>
            <w:tcW w:type="dxa" w:w="1038"/>
          </w:tcPr>
          <w:p>
            <w:pPr>
              <w:pStyle w:val="null3"/>
            </w:pPr>
            <w:r>
              <w:rPr/>
              <w:t>否</w:t>
            </w:r>
          </w:p>
        </w:tc>
        <w:tc>
          <w:tcPr>
            <w:tcW w:type="dxa" w:w="1038"/>
          </w:tcPr>
          <w:p/>
        </w:tc>
      </w:tr>
      <w:tr>
        <w:tc>
          <w:tcPr>
            <w:tcW w:type="dxa" w:w="1038"/>
          </w:tcPr>
          <w:p>
            <w:pPr>
              <w:pStyle w:val="null3"/>
            </w:pPr>
            <w:r>
              <w:rPr/>
              <w:t>334</w:t>
            </w:r>
          </w:p>
        </w:tc>
        <w:tc>
          <w:tcPr>
            <w:tcW w:type="dxa" w:w="1038"/>
          </w:tcPr>
          <w:p>
            <w:pPr>
              <w:pStyle w:val="null3"/>
            </w:pPr>
            <w:r>
              <w:rPr/>
              <w:t>台式计算机-功能要求</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固件升级</w:t>
            </w:r>
          </w:p>
        </w:tc>
        <w:tc>
          <w:tcPr>
            <w:tcW w:type="dxa" w:w="1038"/>
          </w:tcPr>
          <w:p>
            <w:pPr>
              <w:pStyle w:val="null3"/>
            </w:pPr>
            <w:r>
              <w:rPr/>
              <w:t>支持通过网络、闪存盘等方式对固件进行升级</w:t>
            </w:r>
          </w:p>
        </w:tc>
        <w:tc>
          <w:tcPr>
            <w:tcW w:type="dxa" w:w="1038"/>
          </w:tcPr>
          <w:p>
            <w:pPr>
              <w:pStyle w:val="null3"/>
            </w:pPr>
            <w:r>
              <w:rPr/>
              <w:t>否</w:t>
            </w:r>
          </w:p>
        </w:tc>
        <w:tc>
          <w:tcPr>
            <w:tcW w:type="dxa" w:w="1038"/>
          </w:tcPr>
          <w:p/>
        </w:tc>
      </w:tr>
      <w:tr>
        <w:tc>
          <w:tcPr>
            <w:tcW w:type="dxa" w:w="1038"/>
          </w:tcPr>
          <w:p>
            <w:pPr>
              <w:pStyle w:val="null3"/>
            </w:pPr>
            <w:r>
              <w:rPr/>
              <w:t>335</w:t>
            </w:r>
          </w:p>
        </w:tc>
        <w:tc>
          <w:tcPr>
            <w:tcW w:type="dxa" w:w="1038"/>
          </w:tcPr>
          <w:p>
            <w:pPr>
              <w:pStyle w:val="null3"/>
            </w:pPr>
            <w:r>
              <w:rPr/>
              <w:t>台式计算机-功能要求</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BIOS 支持关闭通讯接口</w:t>
            </w:r>
          </w:p>
        </w:tc>
        <w:tc>
          <w:tcPr>
            <w:tcW w:type="dxa" w:w="1038"/>
          </w:tcPr>
          <w:p>
            <w:pPr>
              <w:pStyle w:val="null3"/>
            </w:pPr>
            <w:r>
              <w:rPr/>
              <w:t>支持 BIOS 关闭以太网及 USB 接口</w:t>
            </w:r>
          </w:p>
        </w:tc>
        <w:tc>
          <w:tcPr>
            <w:tcW w:type="dxa" w:w="1038"/>
          </w:tcPr>
          <w:p>
            <w:pPr>
              <w:pStyle w:val="null3"/>
            </w:pPr>
            <w:r>
              <w:rPr/>
              <w:t>否</w:t>
            </w:r>
          </w:p>
        </w:tc>
        <w:tc>
          <w:tcPr>
            <w:tcW w:type="dxa" w:w="1038"/>
          </w:tcPr>
          <w:p/>
        </w:tc>
      </w:tr>
      <w:tr>
        <w:tc>
          <w:tcPr>
            <w:tcW w:type="dxa" w:w="1038"/>
          </w:tcPr>
          <w:p>
            <w:pPr>
              <w:pStyle w:val="null3"/>
            </w:pPr>
            <w:r>
              <w:rPr/>
              <w:t>336</w:t>
            </w:r>
          </w:p>
        </w:tc>
        <w:tc>
          <w:tcPr>
            <w:tcW w:type="dxa" w:w="1038"/>
          </w:tcPr>
          <w:p>
            <w:pPr>
              <w:pStyle w:val="null3"/>
            </w:pPr>
            <w:r>
              <w:rPr/>
              <w:t>台式计算机-功能要求</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固件查看信息</w:t>
            </w:r>
          </w:p>
        </w:tc>
        <w:tc>
          <w:tcPr>
            <w:tcW w:type="dxa" w:w="1038"/>
          </w:tcPr>
          <w:p>
            <w:pPr>
              <w:pStyle w:val="null3"/>
            </w:pPr>
            <w:r>
              <w:rPr/>
              <w:t>支持查看固件版本、内存信息、主板信息、处理器信息和系统时间信息等功能</w:t>
            </w:r>
          </w:p>
        </w:tc>
        <w:tc>
          <w:tcPr>
            <w:tcW w:type="dxa" w:w="1038"/>
          </w:tcPr>
          <w:p>
            <w:pPr>
              <w:pStyle w:val="null3"/>
            </w:pPr>
            <w:r>
              <w:rPr/>
              <w:t>否</w:t>
            </w:r>
          </w:p>
        </w:tc>
        <w:tc>
          <w:tcPr>
            <w:tcW w:type="dxa" w:w="1038"/>
          </w:tcPr>
          <w:p/>
        </w:tc>
      </w:tr>
      <w:tr>
        <w:tc>
          <w:tcPr>
            <w:tcW w:type="dxa" w:w="1038"/>
          </w:tcPr>
          <w:p>
            <w:pPr>
              <w:pStyle w:val="null3"/>
            </w:pPr>
            <w:r>
              <w:rPr/>
              <w:t>337</w:t>
            </w:r>
          </w:p>
        </w:tc>
        <w:tc>
          <w:tcPr>
            <w:tcW w:type="dxa" w:w="1038"/>
          </w:tcPr>
          <w:p>
            <w:pPr>
              <w:pStyle w:val="null3"/>
            </w:pPr>
            <w:r>
              <w:rPr/>
              <w:t>台式计算机-功能要求</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固件设置启动顺序</w:t>
            </w:r>
          </w:p>
        </w:tc>
        <w:tc>
          <w:tcPr>
            <w:tcW w:type="dxa" w:w="1038"/>
          </w:tcPr>
          <w:p>
            <w:pPr>
              <w:pStyle w:val="null3"/>
            </w:pPr>
            <w:r>
              <w:rPr/>
              <w:t>支持设置启动顺序功能，并按照设置的启动顺序启动</w:t>
            </w:r>
          </w:p>
        </w:tc>
        <w:tc>
          <w:tcPr>
            <w:tcW w:type="dxa" w:w="1038"/>
          </w:tcPr>
          <w:p>
            <w:pPr>
              <w:pStyle w:val="null3"/>
            </w:pPr>
            <w:r>
              <w:rPr/>
              <w:t>否</w:t>
            </w:r>
          </w:p>
        </w:tc>
        <w:tc>
          <w:tcPr>
            <w:tcW w:type="dxa" w:w="1038"/>
          </w:tcPr>
          <w:p/>
        </w:tc>
      </w:tr>
      <w:tr>
        <w:tc>
          <w:tcPr>
            <w:tcW w:type="dxa" w:w="1038"/>
          </w:tcPr>
          <w:p>
            <w:pPr>
              <w:pStyle w:val="null3"/>
            </w:pPr>
            <w:r>
              <w:rPr/>
              <w:t>338</w:t>
            </w:r>
          </w:p>
        </w:tc>
        <w:tc>
          <w:tcPr>
            <w:tcW w:type="dxa" w:w="1038"/>
          </w:tcPr>
          <w:p>
            <w:pPr>
              <w:pStyle w:val="null3"/>
            </w:pPr>
            <w:r>
              <w:rPr/>
              <w:t>台式计算机-功能要求</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固件设置口令</w:t>
            </w:r>
          </w:p>
        </w:tc>
        <w:tc>
          <w:tcPr>
            <w:tcW w:type="dxa" w:w="1038"/>
          </w:tcPr>
          <w:p>
            <w:pPr>
              <w:pStyle w:val="null3"/>
            </w:pPr>
            <w:r>
              <w:rPr/>
              <w:t>支持设置口令、修改口令、验证口令功能</w:t>
            </w:r>
          </w:p>
        </w:tc>
        <w:tc>
          <w:tcPr>
            <w:tcW w:type="dxa" w:w="1038"/>
          </w:tcPr>
          <w:p>
            <w:pPr>
              <w:pStyle w:val="null3"/>
            </w:pPr>
            <w:r>
              <w:rPr/>
              <w:t>否</w:t>
            </w:r>
          </w:p>
        </w:tc>
        <w:tc>
          <w:tcPr>
            <w:tcW w:type="dxa" w:w="1038"/>
          </w:tcPr>
          <w:p/>
        </w:tc>
      </w:tr>
      <w:tr>
        <w:tc>
          <w:tcPr>
            <w:tcW w:type="dxa" w:w="1038"/>
          </w:tcPr>
          <w:p>
            <w:pPr>
              <w:pStyle w:val="null3"/>
            </w:pPr>
            <w:r>
              <w:rPr/>
              <w:t>339</w:t>
            </w:r>
          </w:p>
        </w:tc>
        <w:tc>
          <w:tcPr>
            <w:tcW w:type="dxa" w:w="1038"/>
          </w:tcPr>
          <w:p>
            <w:pPr>
              <w:pStyle w:val="null3"/>
            </w:pPr>
            <w:r>
              <w:rPr/>
              <w:t>台式计算机-功能要求</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固件设置网络引导</w:t>
            </w:r>
          </w:p>
        </w:tc>
        <w:tc>
          <w:tcPr>
            <w:tcW w:type="dxa" w:w="1038"/>
          </w:tcPr>
          <w:p>
            <w:pPr>
              <w:pStyle w:val="null3"/>
            </w:pPr>
            <w:r>
              <w:rPr/>
              <w:t>支持网络引导启动和关闭功能</w:t>
            </w:r>
          </w:p>
        </w:tc>
        <w:tc>
          <w:tcPr>
            <w:tcW w:type="dxa" w:w="1038"/>
          </w:tcPr>
          <w:p>
            <w:pPr>
              <w:pStyle w:val="null3"/>
            </w:pPr>
            <w:r>
              <w:rPr/>
              <w:t>否</w:t>
            </w:r>
          </w:p>
        </w:tc>
        <w:tc>
          <w:tcPr>
            <w:tcW w:type="dxa" w:w="1038"/>
          </w:tcPr>
          <w:p/>
        </w:tc>
      </w:tr>
      <w:tr>
        <w:tc>
          <w:tcPr>
            <w:tcW w:type="dxa" w:w="1038"/>
          </w:tcPr>
          <w:p>
            <w:pPr>
              <w:pStyle w:val="null3"/>
            </w:pPr>
            <w:r>
              <w:rPr/>
              <w:t>340</w:t>
            </w:r>
          </w:p>
        </w:tc>
        <w:tc>
          <w:tcPr>
            <w:tcW w:type="dxa" w:w="1038"/>
          </w:tcPr>
          <w:p>
            <w:pPr>
              <w:pStyle w:val="null3"/>
            </w:pPr>
            <w:r>
              <w:rPr/>
              <w:t>台式计算机-功能要求</w:t>
            </w:r>
          </w:p>
        </w:tc>
        <w:tc>
          <w:tcPr>
            <w:tcW w:type="dxa" w:w="1038"/>
          </w:tcPr>
          <w:p/>
        </w:tc>
        <w:tc>
          <w:tcPr>
            <w:tcW w:type="dxa" w:w="1038"/>
          </w:tcPr>
          <w:p>
            <w:pPr>
              <w:pStyle w:val="null3"/>
            </w:pPr>
            <w:r>
              <w:rPr/>
              <w:t>生物识别功能</w:t>
            </w:r>
          </w:p>
        </w:tc>
        <w:tc>
          <w:tcPr>
            <w:tcW w:type="dxa" w:w="1038"/>
          </w:tcPr>
          <w:p>
            <w:pPr>
              <w:pStyle w:val="null3"/>
            </w:pPr>
            <w:r>
              <w:rPr/>
              <w:t>指纹识别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341</w:t>
            </w:r>
          </w:p>
        </w:tc>
        <w:tc>
          <w:tcPr>
            <w:tcW w:type="dxa" w:w="1038"/>
          </w:tcPr>
          <w:p>
            <w:pPr>
              <w:pStyle w:val="null3"/>
            </w:pPr>
            <w:r>
              <w:rPr/>
              <w:t>台式计算机-功能要求</w:t>
            </w:r>
          </w:p>
        </w:tc>
        <w:tc>
          <w:tcPr>
            <w:tcW w:type="dxa" w:w="1038"/>
          </w:tcPr>
          <w:p/>
        </w:tc>
        <w:tc>
          <w:tcPr>
            <w:tcW w:type="dxa" w:w="1038"/>
          </w:tcPr>
          <w:p>
            <w:pPr>
              <w:pStyle w:val="null3"/>
            </w:pPr>
            <w:r>
              <w:rPr/>
              <w:t>生物识别功能</w:t>
            </w:r>
          </w:p>
        </w:tc>
        <w:tc>
          <w:tcPr>
            <w:tcW w:type="dxa" w:w="1038"/>
          </w:tcPr>
          <w:p>
            <w:pPr>
              <w:pStyle w:val="null3"/>
            </w:pPr>
            <w:r>
              <w:rPr/>
              <w:t>人脸识别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342</w:t>
            </w:r>
          </w:p>
        </w:tc>
        <w:tc>
          <w:tcPr>
            <w:tcW w:type="dxa" w:w="1038"/>
          </w:tcPr>
          <w:p>
            <w:pPr>
              <w:pStyle w:val="null3"/>
            </w:pPr>
            <w:r>
              <w:rPr/>
              <w:t>台式计算机-功能要求</w:t>
            </w:r>
          </w:p>
        </w:tc>
        <w:tc>
          <w:tcPr>
            <w:tcW w:type="dxa" w:w="1038"/>
          </w:tcPr>
          <w:p/>
        </w:tc>
        <w:tc>
          <w:tcPr>
            <w:tcW w:type="dxa" w:w="1038"/>
          </w:tcPr>
          <w:p>
            <w:pPr>
              <w:pStyle w:val="null3"/>
            </w:pPr>
            <w:r>
              <w:rPr/>
              <w:t>生物识别功能</w:t>
            </w:r>
          </w:p>
        </w:tc>
        <w:tc>
          <w:tcPr>
            <w:tcW w:type="dxa" w:w="1038"/>
          </w:tcPr>
          <w:p>
            <w:pPr>
              <w:pStyle w:val="null3"/>
            </w:pPr>
            <w:r>
              <w:rPr/>
              <w:t>静脉识别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343</w:t>
            </w:r>
          </w:p>
        </w:tc>
        <w:tc>
          <w:tcPr>
            <w:tcW w:type="dxa" w:w="1038"/>
          </w:tcPr>
          <w:p>
            <w:pPr>
              <w:pStyle w:val="null3"/>
            </w:pPr>
            <w:r>
              <w:rPr/>
              <w:t>台式计算机-功能要求</w:t>
            </w:r>
          </w:p>
        </w:tc>
        <w:tc>
          <w:tcPr>
            <w:tcW w:type="dxa" w:w="1038"/>
          </w:tcPr>
          <w:p/>
        </w:tc>
        <w:tc>
          <w:tcPr>
            <w:tcW w:type="dxa" w:w="1038"/>
          </w:tcPr>
          <w:p>
            <w:pPr>
              <w:pStyle w:val="null3"/>
            </w:pPr>
            <w:r>
              <w:rPr/>
              <w:t>硬件加速功能</w:t>
            </w:r>
          </w:p>
        </w:tc>
        <w:tc>
          <w:tcPr>
            <w:tcW w:type="dxa" w:w="1038"/>
          </w:tcPr>
          <w:p>
            <w:pPr>
              <w:pStyle w:val="null3"/>
            </w:pPr>
            <w:r>
              <w:rPr/>
              <w:t>NPU/GPU等AI 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344</w:t>
            </w:r>
          </w:p>
        </w:tc>
        <w:tc>
          <w:tcPr>
            <w:tcW w:type="dxa" w:w="1038"/>
          </w:tcPr>
          <w:p>
            <w:pPr>
              <w:pStyle w:val="null3"/>
            </w:pPr>
            <w:r>
              <w:rPr/>
              <w:t>台式计算机-功能要求</w:t>
            </w:r>
          </w:p>
        </w:tc>
        <w:tc>
          <w:tcPr>
            <w:tcW w:type="dxa" w:w="1038"/>
          </w:tcPr>
          <w:p/>
        </w:tc>
        <w:tc>
          <w:tcPr>
            <w:tcW w:type="dxa" w:w="1038"/>
          </w:tcPr>
          <w:p>
            <w:pPr>
              <w:pStyle w:val="null3"/>
            </w:pPr>
            <w:r>
              <w:rPr/>
              <w:t>硬件加速功能</w:t>
            </w:r>
          </w:p>
        </w:tc>
        <w:tc>
          <w:tcPr>
            <w:tcW w:type="dxa" w:w="1038"/>
          </w:tcPr>
          <w:p>
            <w:pPr>
              <w:pStyle w:val="null3"/>
            </w:pPr>
            <w:r>
              <w:rPr/>
              <w:t>视频编解码加速模块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345</w:t>
            </w:r>
          </w:p>
        </w:tc>
        <w:tc>
          <w:tcPr>
            <w:tcW w:type="dxa" w:w="1038"/>
          </w:tcPr>
          <w:p>
            <w:pPr>
              <w:pStyle w:val="null3"/>
            </w:pPr>
            <w:r>
              <w:rPr/>
              <w:t>台式计算机-功能要求</w:t>
            </w:r>
          </w:p>
        </w:tc>
        <w:tc>
          <w:tcPr>
            <w:tcW w:type="dxa" w:w="1038"/>
          </w:tcPr>
          <w:p/>
        </w:tc>
        <w:tc>
          <w:tcPr>
            <w:tcW w:type="dxa" w:w="1038"/>
          </w:tcPr>
          <w:p>
            <w:pPr>
              <w:pStyle w:val="null3"/>
            </w:pPr>
            <w:r>
              <w:rPr/>
              <w:t>硬件加速功能</w:t>
            </w:r>
          </w:p>
        </w:tc>
        <w:tc>
          <w:tcPr>
            <w:tcW w:type="dxa" w:w="1038"/>
          </w:tcPr>
          <w:p>
            <w:pPr>
              <w:pStyle w:val="null3"/>
            </w:pPr>
            <w:r>
              <w:rPr/>
              <w:t>影像处理加速模块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346</w:t>
            </w:r>
          </w:p>
        </w:tc>
        <w:tc>
          <w:tcPr>
            <w:tcW w:type="dxa" w:w="1038"/>
          </w:tcPr>
          <w:p>
            <w:pPr>
              <w:pStyle w:val="null3"/>
            </w:pPr>
            <w:r>
              <w:rPr/>
              <w:t>台式计算机-可靠性要求</w:t>
            </w:r>
          </w:p>
        </w:tc>
        <w:tc>
          <w:tcPr>
            <w:tcW w:type="dxa" w:w="1038"/>
          </w:tcPr>
          <w:p>
            <w:pPr>
              <w:pStyle w:val="null3"/>
            </w:pPr>
            <w:r>
              <w:rPr/>
              <w:t>★</w:t>
            </w:r>
          </w:p>
        </w:tc>
        <w:tc>
          <w:tcPr>
            <w:tcW w:type="dxa" w:w="1038"/>
          </w:tcPr>
          <w:p>
            <w:pPr>
              <w:pStyle w:val="null3"/>
            </w:pPr>
            <w:r>
              <w:rPr/>
              <w:t>存储设备可靠性</w:t>
            </w:r>
          </w:p>
        </w:tc>
        <w:tc>
          <w:tcPr>
            <w:tcW w:type="dxa" w:w="1038"/>
          </w:tcPr>
          <w:p>
            <w:pPr>
              <w:pStyle w:val="null3"/>
            </w:pPr>
            <w:r>
              <w:rPr/>
              <w:t>固态存储寿命</w:t>
            </w:r>
          </w:p>
        </w:tc>
        <w:tc>
          <w:tcPr>
            <w:tcW w:type="dxa" w:w="1038"/>
          </w:tcPr>
          <w:p>
            <w:pPr>
              <w:pStyle w:val="null3"/>
            </w:pPr>
            <w:r>
              <w:rPr/>
              <w:t>TBW ≥ 80TB（条件：240GB 硬盘容量）</w:t>
            </w:r>
          </w:p>
        </w:tc>
        <w:tc>
          <w:tcPr>
            <w:tcW w:type="dxa" w:w="1038"/>
          </w:tcPr>
          <w:p>
            <w:pPr>
              <w:pStyle w:val="null3"/>
            </w:pPr>
            <w:r>
              <w:rPr/>
              <w:t>否</w:t>
            </w:r>
          </w:p>
        </w:tc>
        <w:tc>
          <w:tcPr>
            <w:tcW w:type="dxa" w:w="1038"/>
          </w:tcPr>
          <w:p/>
        </w:tc>
      </w:tr>
      <w:tr>
        <w:tc>
          <w:tcPr>
            <w:tcW w:type="dxa" w:w="1038"/>
          </w:tcPr>
          <w:p>
            <w:pPr>
              <w:pStyle w:val="null3"/>
            </w:pPr>
            <w:r>
              <w:rPr/>
              <w:t>347</w:t>
            </w:r>
          </w:p>
        </w:tc>
        <w:tc>
          <w:tcPr>
            <w:tcW w:type="dxa" w:w="1038"/>
          </w:tcPr>
          <w:p>
            <w:pPr>
              <w:pStyle w:val="null3"/>
            </w:pPr>
            <w:r>
              <w:rPr/>
              <w:t>台式计算机-可靠性要求</w:t>
            </w:r>
          </w:p>
        </w:tc>
        <w:tc>
          <w:tcPr>
            <w:tcW w:type="dxa" w:w="1038"/>
          </w:tcPr>
          <w:p/>
        </w:tc>
        <w:tc>
          <w:tcPr>
            <w:tcW w:type="dxa" w:w="1038"/>
          </w:tcPr>
          <w:p>
            <w:pPr>
              <w:pStyle w:val="null3"/>
            </w:pPr>
            <w:r>
              <w:rPr/>
              <w:t>存储设备可靠性</w:t>
            </w:r>
          </w:p>
        </w:tc>
        <w:tc>
          <w:tcPr>
            <w:tcW w:type="dxa" w:w="1038"/>
          </w:tcPr>
          <w:p>
            <w:pPr>
              <w:pStyle w:val="null3"/>
            </w:pPr>
            <w:r>
              <w:rPr/>
              <w:t>机械硬盘寿命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348</w:t>
            </w:r>
          </w:p>
        </w:tc>
        <w:tc>
          <w:tcPr>
            <w:tcW w:type="dxa" w:w="1038"/>
          </w:tcPr>
          <w:p>
            <w:pPr>
              <w:pStyle w:val="null3"/>
            </w:pPr>
            <w:r>
              <w:rPr/>
              <w:t>台式计算机-可靠性要求</w:t>
            </w:r>
          </w:p>
        </w:tc>
        <w:tc>
          <w:tcPr>
            <w:tcW w:type="dxa" w:w="1038"/>
          </w:tcPr>
          <w:p>
            <w:pPr>
              <w:pStyle w:val="null3"/>
            </w:pPr>
            <w:r>
              <w:rPr/>
              <w:t>★</w:t>
            </w:r>
          </w:p>
        </w:tc>
        <w:tc>
          <w:tcPr>
            <w:tcW w:type="dxa" w:w="1038"/>
          </w:tcPr>
          <w:p>
            <w:pPr>
              <w:pStyle w:val="null3"/>
            </w:pPr>
            <w:r>
              <w:rPr/>
              <w:t>显示设备可靠性</w:t>
            </w:r>
          </w:p>
        </w:tc>
        <w:tc>
          <w:tcPr>
            <w:tcW w:type="dxa" w:w="1038"/>
          </w:tcPr>
          <w:p>
            <w:pPr>
              <w:pStyle w:val="null3"/>
            </w:pPr>
            <w:r>
              <w:rPr/>
              <w:t>显示屏屏幕失效点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349</w:t>
            </w:r>
          </w:p>
        </w:tc>
        <w:tc>
          <w:tcPr>
            <w:tcW w:type="dxa" w:w="1038"/>
          </w:tcPr>
          <w:p>
            <w:pPr>
              <w:pStyle w:val="null3"/>
            </w:pPr>
            <w:r>
              <w:rPr/>
              <w:t>台式计算机-可靠性要求</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键盘按键寿命</w:t>
            </w:r>
          </w:p>
        </w:tc>
        <w:tc>
          <w:tcPr>
            <w:tcW w:type="dxa" w:w="1038"/>
          </w:tcPr>
          <w:p>
            <w:pPr>
              <w:pStyle w:val="null3"/>
            </w:pPr>
            <w:r>
              <w:rPr/>
              <w:t>≥1000 万次</w:t>
            </w:r>
          </w:p>
        </w:tc>
        <w:tc>
          <w:tcPr>
            <w:tcW w:type="dxa" w:w="1038"/>
          </w:tcPr>
          <w:p>
            <w:pPr>
              <w:pStyle w:val="null3"/>
            </w:pPr>
            <w:r>
              <w:rPr/>
              <w:t>否</w:t>
            </w:r>
          </w:p>
        </w:tc>
        <w:tc>
          <w:tcPr>
            <w:tcW w:type="dxa" w:w="1038"/>
          </w:tcPr>
          <w:p/>
        </w:tc>
      </w:tr>
      <w:tr>
        <w:tc>
          <w:tcPr>
            <w:tcW w:type="dxa" w:w="1038"/>
          </w:tcPr>
          <w:p>
            <w:pPr>
              <w:pStyle w:val="null3"/>
            </w:pPr>
            <w:r>
              <w:rPr/>
              <w:t>350</w:t>
            </w:r>
          </w:p>
        </w:tc>
        <w:tc>
          <w:tcPr>
            <w:tcW w:type="dxa" w:w="1038"/>
          </w:tcPr>
          <w:p>
            <w:pPr>
              <w:pStyle w:val="null3"/>
            </w:pPr>
            <w:r>
              <w:rPr/>
              <w:t>台式计算机-可靠性要求</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鼠标按键寿命</w:t>
            </w:r>
          </w:p>
        </w:tc>
        <w:tc>
          <w:tcPr>
            <w:tcW w:type="dxa" w:w="1038"/>
          </w:tcPr>
          <w:p>
            <w:pPr>
              <w:pStyle w:val="null3"/>
            </w:pPr>
            <w:r>
              <w:rPr/>
              <w:t>≥500 万次</w:t>
            </w:r>
          </w:p>
        </w:tc>
        <w:tc>
          <w:tcPr>
            <w:tcW w:type="dxa" w:w="1038"/>
          </w:tcPr>
          <w:p>
            <w:pPr>
              <w:pStyle w:val="null3"/>
            </w:pPr>
            <w:r>
              <w:rPr/>
              <w:t>否</w:t>
            </w:r>
          </w:p>
        </w:tc>
        <w:tc>
          <w:tcPr>
            <w:tcW w:type="dxa" w:w="1038"/>
          </w:tcPr>
          <w:p/>
        </w:tc>
      </w:tr>
      <w:tr>
        <w:tc>
          <w:tcPr>
            <w:tcW w:type="dxa" w:w="1038"/>
          </w:tcPr>
          <w:p>
            <w:pPr>
              <w:pStyle w:val="null3"/>
            </w:pPr>
            <w:r>
              <w:rPr/>
              <w:t>351</w:t>
            </w:r>
          </w:p>
        </w:tc>
        <w:tc>
          <w:tcPr>
            <w:tcW w:type="dxa" w:w="1038"/>
          </w:tcPr>
          <w:p>
            <w:pPr>
              <w:pStyle w:val="null3"/>
            </w:pPr>
            <w:r>
              <w:rPr/>
              <w:t>台式计算机-可靠性要求</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键盘鼠标线材寿命</w:t>
            </w:r>
          </w:p>
        </w:tc>
        <w:tc>
          <w:tcPr>
            <w:tcW w:type="dxa" w:w="1038"/>
          </w:tcPr>
          <w:p>
            <w:pPr>
              <w:pStyle w:val="null3"/>
            </w:pPr>
            <w:r>
              <w:rPr/>
              <w:t>键盘鼠标所用线材经±60°弯折不低于 3000 次，功能、外观完好</w:t>
            </w:r>
          </w:p>
        </w:tc>
        <w:tc>
          <w:tcPr>
            <w:tcW w:type="dxa" w:w="1038"/>
          </w:tcPr>
          <w:p>
            <w:pPr>
              <w:pStyle w:val="null3"/>
            </w:pPr>
            <w:r>
              <w:rPr/>
              <w:t>否</w:t>
            </w:r>
          </w:p>
        </w:tc>
        <w:tc>
          <w:tcPr>
            <w:tcW w:type="dxa" w:w="1038"/>
          </w:tcPr>
          <w:p/>
        </w:tc>
      </w:tr>
      <w:tr>
        <w:tc>
          <w:tcPr>
            <w:tcW w:type="dxa" w:w="1038"/>
          </w:tcPr>
          <w:p>
            <w:pPr>
              <w:pStyle w:val="null3"/>
            </w:pPr>
            <w:r>
              <w:rPr/>
              <w:t>352</w:t>
            </w:r>
          </w:p>
        </w:tc>
        <w:tc>
          <w:tcPr>
            <w:tcW w:type="dxa" w:w="1038"/>
          </w:tcPr>
          <w:p>
            <w:pPr>
              <w:pStyle w:val="null3"/>
            </w:pPr>
            <w:r>
              <w:rPr/>
              <w:t>台式计算机-可靠性要求</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风扇寿命</w:t>
            </w:r>
          </w:p>
        </w:tc>
        <w:tc>
          <w:tcPr>
            <w:tcW w:type="dxa" w:w="1038"/>
          </w:tcPr>
          <w:p>
            <w:pPr>
              <w:pStyle w:val="null3"/>
            </w:pPr>
            <w:r>
              <w:rPr/>
              <w:t>≥4 万小时</w:t>
            </w:r>
          </w:p>
        </w:tc>
        <w:tc>
          <w:tcPr>
            <w:tcW w:type="dxa" w:w="1038"/>
          </w:tcPr>
          <w:p>
            <w:pPr>
              <w:pStyle w:val="null3"/>
            </w:pPr>
            <w:r>
              <w:rPr/>
              <w:t>否</w:t>
            </w:r>
          </w:p>
        </w:tc>
        <w:tc>
          <w:tcPr>
            <w:tcW w:type="dxa" w:w="1038"/>
          </w:tcPr>
          <w:p/>
        </w:tc>
      </w:tr>
      <w:tr>
        <w:tc>
          <w:tcPr>
            <w:tcW w:type="dxa" w:w="1038"/>
          </w:tcPr>
          <w:p>
            <w:pPr>
              <w:pStyle w:val="null3"/>
            </w:pPr>
            <w:r>
              <w:rPr/>
              <w:t>353</w:t>
            </w:r>
          </w:p>
        </w:tc>
        <w:tc>
          <w:tcPr>
            <w:tcW w:type="dxa" w:w="1038"/>
          </w:tcPr>
          <w:p>
            <w:pPr>
              <w:pStyle w:val="null3"/>
            </w:pPr>
            <w:r>
              <w:rPr/>
              <w:t>台式计算机-可靠性要求</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电磁兼容性要求的抗扰度</w:t>
            </w:r>
          </w:p>
        </w:tc>
        <w:tc>
          <w:tcPr>
            <w:tcW w:type="dxa" w:w="1038"/>
          </w:tcPr>
          <w:p>
            <w:pPr>
              <w:pStyle w:val="null3"/>
            </w:pPr>
            <w:r>
              <w:rPr/>
              <w:t>符合 GB/T 9254.2 的规定</w:t>
            </w:r>
          </w:p>
        </w:tc>
        <w:tc>
          <w:tcPr>
            <w:tcW w:type="dxa" w:w="1038"/>
          </w:tcPr>
          <w:p>
            <w:pPr>
              <w:pStyle w:val="null3"/>
            </w:pPr>
            <w:r>
              <w:rPr/>
              <w:t>否</w:t>
            </w:r>
          </w:p>
        </w:tc>
        <w:tc>
          <w:tcPr>
            <w:tcW w:type="dxa" w:w="1038"/>
          </w:tcPr>
          <w:p/>
        </w:tc>
      </w:tr>
      <w:tr>
        <w:tc>
          <w:tcPr>
            <w:tcW w:type="dxa" w:w="1038"/>
          </w:tcPr>
          <w:p>
            <w:pPr>
              <w:pStyle w:val="null3"/>
            </w:pPr>
            <w:r>
              <w:rPr/>
              <w:t>354</w:t>
            </w:r>
          </w:p>
        </w:tc>
        <w:tc>
          <w:tcPr>
            <w:tcW w:type="dxa" w:w="1038"/>
          </w:tcPr>
          <w:p>
            <w:pPr>
              <w:pStyle w:val="null3"/>
            </w:pPr>
            <w:r>
              <w:rPr/>
              <w:t>台式计算机-可靠性要求</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环境条件要求的气候环境适应性</w:t>
            </w:r>
          </w:p>
        </w:tc>
        <w:tc>
          <w:tcPr>
            <w:tcW w:type="dxa" w:w="1038"/>
          </w:tcPr>
          <w:p>
            <w:pPr>
              <w:pStyle w:val="null3"/>
            </w:pPr>
            <w:r>
              <w:rPr/>
              <w:t>符合 GB/T 9813.1 中规定</w:t>
            </w:r>
          </w:p>
        </w:tc>
        <w:tc>
          <w:tcPr>
            <w:tcW w:type="dxa" w:w="1038"/>
          </w:tcPr>
          <w:p>
            <w:pPr>
              <w:pStyle w:val="null3"/>
            </w:pPr>
            <w:r>
              <w:rPr/>
              <w:t>否</w:t>
            </w:r>
          </w:p>
        </w:tc>
        <w:tc>
          <w:tcPr>
            <w:tcW w:type="dxa" w:w="1038"/>
          </w:tcPr>
          <w:p/>
        </w:tc>
      </w:tr>
      <w:tr>
        <w:tc>
          <w:tcPr>
            <w:tcW w:type="dxa" w:w="1038"/>
          </w:tcPr>
          <w:p>
            <w:pPr>
              <w:pStyle w:val="null3"/>
            </w:pPr>
            <w:r>
              <w:rPr/>
              <w:t>355</w:t>
            </w:r>
          </w:p>
        </w:tc>
        <w:tc>
          <w:tcPr>
            <w:tcW w:type="dxa" w:w="1038"/>
          </w:tcPr>
          <w:p>
            <w:pPr>
              <w:pStyle w:val="null3"/>
            </w:pPr>
            <w:r>
              <w:rPr/>
              <w:t>台式计算机-可靠性要求</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环境条件要求的振动适应性</w:t>
            </w:r>
          </w:p>
        </w:tc>
        <w:tc>
          <w:tcPr>
            <w:tcW w:type="dxa" w:w="1038"/>
          </w:tcPr>
          <w:p>
            <w:pPr>
              <w:pStyle w:val="null3"/>
            </w:pPr>
            <w:r>
              <w:rPr/>
              <w:t>符合 GB/T 9813.1 中规定</w:t>
            </w:r>
          </w:p>
        </w:tc>
        <w:tc>
          <w:tcPr>
            <w:tcW w:type="dxa" w:w="1038"/>
          </w:tcPr>
          <w:p>
            <w:pPr>
              <w:pStyle w:val="null3"/>
            </w:pPr>
            <w:r>
              <w:rPr/>
              <w:t>否</w:t>
            </w:r>
          </w:p>
        </w:tc>
        <w:tc>
          <w:tcPr>
            <w:tcW w:type="dxa" w:w="1038"/>
          </w:tcPr>
          <w:p/>
        </w:tc>
      </w:tr>
      <w:tr>
        <w:tc>
          <w:tcPr>
            <w:tcW w:type="dxa" w:w="1038"/>
          </w:tcPr>
          <w:p>
            <w:pPr>
              <w:pStyle w:val="null3"/>
            </w:pPr>
            <w:r>
              <w:rPr/>
              <w:t>356</w:t>
            </w:r>
          </w:p>
        </w:tc>
        <w:tc>
          <w:tcPr>
            <w:tcW w:type="dxa" w:w="1038"/>
          </w:tcPr>
          <w:p>
            <w:pPr>
              <w:pStyle w:val="null3"/>
            </w:pPr>
            <w:r>
              <w:rPr/>
              <w:t>台式计算机-可靠性要求</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环境条件要求的冲击适应性</w:t>
            </w:r>
          </w:p>
        </w:tc>
        <w:tc>
          <w:tcPr>
            <w:tcW w:type="dxa" w:w="1038"/>
          </w:tcPr>
          <w:p>
            <w:pPr>
              <w:pStyle w:val="null3"/>
            </w:pPr>
            <w:r>
              <w:rPr/>
              <w:t>符合 GB/T 9813.1 中规定</w:t>
            </w:r>
          </w:p>
        </w:tc>
        <w:tc>
          <w:tcPr>
            <w:tcW w:type="dxa" w:w="1038"/>
          </w:tcPr>
          <w:p>
            <w:pPr>
              <w:pStyle w:val="null3"/>
            </w:pPr>
            <w:r>
              <w:rPr/>
              <w:t>否</w:t>
            </w:r>
          </w:p>
        </w:tc>
        <w:tc>
          <w:tcPr>
            <w:tcW w:type="dxa" w:w="1038"/>
          </w:tcPr>
          <w:p/>
        </w:tc>
      </w:tr>
      <w:tr>
        <w:tc>
          <w:tcPr>
            <w:tcW w:type="dxa" w:w="1038"/>
          </w:tcPr>
          <w:p>
            <w:pPr>
              <w:pStyle w:val="null3"/>
            </w:pPr>
            <w:r>
              <w:rPr/>
              <w:t>357</w:t>
            </w:r>
          </w:p>
        </w:tc>
        <w:tc>
          <w:tcPr>
            <w:tcW w:type="dxa" w:w="1038"/>
          </w:tcPr>
          <w:p>
            <w:pPr>
              <w:pStyle w:val="null3"/>
            </w:pPr>
            <w:r>
              <w:rPr/>
              <w:t>台式计算机-可靠性要求</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环境条件要求的碰撞适应性</w:t>
            </w:r>
          </w:p>
        </w:tc>
        <w:tc>
          <w:tcPr>
            <w:tcW w:type="dxa" w:w="1038"/>
          </w:tcPr>
          <w:p>
            <w:pPr>
              <w:pStyle w:val="null3"/>
            </w:pPr>
            <w:r>
              <w:rPr/>
              <w:t>符合 GB/T 9813.1 中规定</w:t>
            </w:r>
          </w:p>
        </w:tc>
        <w:tc>
          <w:tcPr>
            <w:tcW w:type="dxa" w:w="1038"/>
          </w:tcPr>
          <w:p>
            <w:pPr>
              <w:pStyle w:val="null3"/>
            </w:pPr>
            <w:r>
              <w:rPr/>
              <w:t>否</w:t>
            </w:r>
          </w:p>
        </w:tc>
        <w:tc>
          <w:tcPr>
            <w:tcW w:type="dxa" w:w="1038"/>
          </w:tcPr>
          <w:p/>
        </w:tc>
      </w:tr>
      <w:tr>
        <w:tc>
          <w:tcPr>
            <w:tcW w:type="dxa" w:w="1038"/>
          </w:tcPr>
          <w:p>
            <w:pPr>
              <w:pStyle w:val="null3"/>
            </w:pPr>
            <w:r>
              <w:rPr/>
              <w:t>358</w:t>
            </w:r>
          </w:p>
        </w:tc>
        <w:tc>
          <w:tcPr>
            <w:tcW w:type="dxa" w:w="1038"/>
          </w:tcPr>
          <w:p>
            <w:pPr>
              <w:pStyle w:val="null3"/>
            </w:pPr>
            <w:r>
              <w:rPr/>
              <w:t>台式计算机-可靠性要求</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环境条件要求的运输包装件跌落适应性</w:t>
            </w:r>
          </w:p>
        </w:tc>
        <w:tc>
          <w:tcPr>
            <w:tcW w:type="dxa" w:w="1038"/>
          </w:tcPr>
          <w:p>
            <w:pPr>
              <w:pStyle w:val="null3"/>
            </w:pPr>
            <w:r>
              <w:rPr/>
              <w:t>符合 GB/T 9813.1 中规定</w:t>
            </w:r>
          </w:p>
        </w:tc>
        <w:tc>
          <w:tcPr>
            <w:tcW w:type="dxa" w:w="1038"/>
          </w:tcPr>
          <w:p>
            <w:pPr>
              <w:pStyle w:val="null3"/>
            </w:pPr>
            <w:r>
              <w:rPr/>
              <w:t>否</w:t>
            </w:r>
          </w:p>
        </w:tc>
        <w:tc>
          <w:tcPr>
            <w:tcW w:type="dxa" w:w="1038"/>
          </w:tcPr>
          <w:p/>
        </w:tc>
      </w:tr>
      <w:tr>
        <w:tc>
          <w:tcPr>
            <w:tcW w:type="dxa" w:w="1038"/>
          </w:tcPr>
          <w:p>
            <w:pPr>
              <w:pStyle w:val="null3"/>
            </w:pPr>
            <w:r>
              <w:rPr/>
              <w:t>359</w:t>
            </w:r>
          </w:p>
        </w:tc>
        <w:tc>
          <w:tcPr>
            <w:tcW w:type="dxa" w:w="1038"/>
          </w:tcPr>
          <w:p>
            <w:pPr>
              <w:pStyle w:val="null3"/>
            </w:pPr>
            <w:r>
              <w:rPr/>
              <w:t>台式计算机-可靠性要求</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MTBF 测试</w:t>
            </w:r>
          </w:p>
        </w:tc>
        <w:tc>
          <w:tcPr>
            <w:tcW w:type="dxa" w:w="1038"/>
          </w:tcPr>
          <w:p>
            <w:pPr>
              <w:pStyle w:val="null3"/>
            </w:pPr>
            <w:r>
              <w:rPr/>
              <w:t>MTBF(m1)≥5万小时</w:t>
            </w:r>
          </w:p>
        </w:tc>
        <w:tc>
          <w:tcPr>
            <w:tcW w:type="dxa" w:w="1038"/>
          </w:tcPr>
          <w:p>
            <w:pPr>
              <w:pStyle w:val="null3"/>
            </w:pPr>
            <w:r>
              <w:rPr/>
              <w:t>否</w:t>
            </w:r>
          </w:p>
        </w:tc>
        <w:tc>
          <w:tcPr>
            <w:tcW w:type="dxa" w:w="1038"/>
          </w:tcPr>
          <w:p/>
        </w:tc>
      </w:tr>
      <w:tr>
        <w:tc>
          <w:tcPr>
            <w:tcW w:type="dxa" w:w="1038"/>
          </w:tcPr>
          <w:p>
            <w:pPr>
              <w:pStyle w:val="null3"/>
            </w:pPr>
            <w:r>
              <w:rPr/>
              <w:t>360</w:t>
            </w:r>
          </w:p>
        </w:tc>
        <w:tc>
          <w:tcPr>
            <w:tcW w:type="dxa" w:w="1038"/>
          </w:tcPr>
          <w:p>
            <w:pPr>
              <w:pStyle w:val="null3"/>
            </w:pPr>
            <w:r>
              <w:rPr/>
              <w:t>台式计算机-兼容要求</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常用软件兼容</w:t>
            </w:r>
          </w:p>
        </w:tc>
        <w:tc>
          <w:tcPr>
            <w:tcW w:type="dxa" w:w="1038"/>
          </w:tcPr>
          <w:p>
            <w:pPr>
              <w:pStyle w:val="null3"/>
            </w:pPr>
            <w:r>
              <w:rPr/>
              <w:t>1.支持流式软件、 版式软件、 浏览器、邮件采购人端、 解压软件、 多媒体、图形图像处理等常用软件 2.适配防病毒软件客户端、桌管等管控及安全软件</w:t>
            </w:r>
          </w:p>
        </w:tc>
        <w:tc>
          <w:tcPr>
            <w:tcW w:type="dxa" w:w="1038"/>
          </w:tcPr>
          <w:p>
            <w:pPr>
              <w:pStyle w:val="null3"/>
            </w:pPr>
            <w:r>
              <w:rPr/>
              <w:t>否</w:t>
            </w:r>
          </w:p>
        </w:tc>
        <w:tc>
          <w:tcPr>
            <w:tcW w:type="dxa" w:w="1038"/>
          </w:tcPr>
          <w:p/>
        </w:tc>
      </w:tr>
      <w:tr>
        <w:tc>
          <w:tcPr>
            <w:tcW w:type="dxa" w:w="1038"/>
          </w:tcPr>
          <w:p>
            <w:pPr>
              <w:pStyle w:val="null3"/>
            </w:pPr>
            <w:r>
              <w:rPr/>
              <w:t>361</w:t>
            </w:r>
          </w:p>
        </w:tc>
        <w:tc>
          <w:tcPr>
            <w:tcW w:type="dxa" w:w="1038"/>
          </w:tcPr>
          <w:p>
            <w:pPr>
              <w:pStyle w:val="null3"/>
            </w:pPr>
            <w:r>
              <w:rPr/>
              <w:t>台式计算机-兼容要求</w:t>
            </w:r>
          </w:p>
        </w:tc>
        <w:tc>
          <w:tcPr>
            <w:tcW w:type="dxa" w:w="1038"/>
          </w:tcPr>
          <w:p/>
        </w:tc>
        <w:tc>
          <w:tcPr>
            <w:tcW w:type="dxa" w:w="1038"/>
          </w:tcPr>
          <w:p>
            <w:pPr>
              <w:pStyle w:val="null3"/>
            </w:pPr>
            <w:r>
              <w:rPr/>
              <w:t>兼容要求</w:t>
            </w:r>
          </w:p>
        </w:tc>
        <w:tc>
          <w:tcPr>
            <w:tcW w:type="dxa" w:w="1038"/>
          </w:tcPr>
          <w:p>
            <w:pPr>
              <w:pStyle w:val="null3"/>
            </w:pPr>
            <w:r>
              <w:rPr/>
              <w:t>数据库兼容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362</w:t>
            </w:r>
          </w:p>
        </w:tc>
        <w:tc>
          <w:tcPr>
            <w:tcW w:type="dxa" w:w="1038"/>
          </w:tcPr>
          <w:p>
            <w:pPr>
              <w:pStyle w:val="null3"/>
            </w:pPr>
            <w:r>
              <w:rPr/>
              <w:t>台式计算机-兼容要求</w:t>
            </w:r>
          </w:p>
        </w:tc>
        <w:tc>
          <w:tcPr>
            <w:tcW w:type="dxa" w:w="1038"/>
          </w:tcPr>
          <w:p/>
        </w:tc>
        <w:tc>
          <w:tcPr>
            <w:tcW w:type="dxa" w:w="1038"/>
          </w:tcPr>
          <w:p>
            <w:pPr>
              <w:pStyle w:val="null3"/>
            </w:pPr>
            <w:r>
              <w:rPr/>
              <w:t>兼容要求</w:t>
            </w:r>
          </w:p>
        </w:tc>
        <w:tc>
          <w:tcPr>
            <w:tcW w:type="dxa" w:w="1038"/>
          </w:tcPr>
          <w:p>
            <w:pPr>
              <w:pStyle w:val="null3"/>
            </w:pPr>
            <w:r>
              <w:rPr/>
              <w:t>中间件兼容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363</w:t>
            </w:r>
          </w:p>
        </w:tc>
        <w:tc>
          <w:tcPr>
            <w:tcW w:type="dxa" w:w="1038"/>
          </w:tcPr>
          <w:p>
            <w:pPr>
              <w:pStyle w:val="null3"/>
            </w:pPr>
            <w:r>
              <w:rPr/>
              <w:t>台式计算机-兼容要求</w:t>
            </w:r>
          </w:p>
        </w:tc>
        <w:tc>
          <w:tcPr>
            <w:tcW w:type="dxa" w:w="1038"/>
          </w:tcPr>
          <w:p/>
        </w:tc>
        <w:tc>
          <w:tcPr>
            <w:tcW w:type="dxa" w:w="1038"/>
          </w:tcPr>
          <w:p>
            <w:pPr>
              <w:pStyle w:val="null3"/>
            </w:pPr>
            <w:r>
              <w:rPr/>
              <w:t>兼容要求</w:t>
            </w:r>
          </w:p>
        </w:tc>
        <w:tc>
          <w:tcPr>
            <w:tcW w:type="dxa" w:w="1038"/>
          </w:tcPr>
          <w:p>
            <w:pPr>
              <w:pStyle w:val="null3"/>
            </w:pPr>
            <w:r>
              <w:rPr/>
              <w:t>平台软件兼容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364</w:t>
            </w:r>
          </w:p>
        </w:tc>
        <w:tc>
          <w:tcPr>
            <w:tcW w:type="dxa" w:w="1038"/>
          </w:tcPr>
          <w:p>
            <w:pPr>
              <w:pStyle w:val="null3"/>
            </w:pPr>
            <w:r>
              <w:rPr/>
              <w:t>台式计算机-包装及运输要求</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 GB/T 9813.1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365</w:t>
            </w:r>
          </w:p>
        </w:tc>
        <w:tc>
          <w:tcPr>
            <w:tcW w:type="dxa" w:w="1038"/>
          </w:tcPr>
          <w:p>
            <w:pPr>
              <w:pStyle w:val="null3"/>
            </w:pPr>
            <w:r>
              <w:rPr/>
              <w:t>台式计算机-服务要求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配置检查工具</w:t>
            </w:r>
          </w:p>
        </w:tc>
        <w:tc>
          <w:tcPr>
            <w:tcW w:type="dxa" w:w="1038"/>
          </w:tcPr>
          <w:p>
            <w:pPr>
              <w:pStyle w:val="null3"/>
            </w:pPr>
            <w:r>
              <w:rPr/>
              <w:t>供应商提供自检测试工具</w:t>
            </w:r>
          </w:p>
        </w:tc>
        <w:tc>
          <w:tcPr>
            <w:tcW w:type="dxa" w:w="1038"/>
          </w:tcPr>
          <w:p>
            <w:pPr>
              <w:pStyle w:val="null3"/>
            </w:pPr>
            <w:r>
              <w:rPr/>
              <w:t>否</w:t>
            </w:r>
          </w:p>
        </w:tc>
        <w:tc>
          <w:tcPr>
            <w:tcW w:type="dxa" w:w="1038"/>
          </w:tcPr>
          <w:p/>
        </w:tc>
      </w:tr>
      <w:tr>
        <w:tc>
          <w:tcPr>
            <w:tcW w:type="dxa" w:w="1038"/>
          </w:tcPr>
          <w:p>
            <w:pPr>
              <w:pStyle w:val="null3"/>
            </w:pPr>
            <w:r>
              <w:rPr/>
              <w:t>366</w:t>
            </w:r>
          </w:p>
        </w:tc>
        <w:tc>
          <w:tcPr>
            <w:tcW w:type="dxa" w:w="1038"/>
          </w:tcPr>
          <w:p>
            <w:pPr>
              <w:pStyle w:val="null3"/>
            </w:pPr>
            <w:r>
              <w:rPr/>
              <w:t>台式计算机-服务要求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服务响应</w:t>
            </w:r>
          </w:p>
        </w:tc>
        <w:tc>
          <w:tcPr>
            <w:tcW w:type="dxa" w:w="1038"/>
          </w:tcPr>
          <w:p>
            <w:pPr>
              <w:pStyle w:val="null3"/>
            </w:pPr>
            <w:r>
              <w:rPr/>
              <w:t>a)供应商提供电话、 电子邮件、 远程连接等多种形式服务； b)供应商提供同城 4h、 异地 12h 技术响应服务， 2 个工作日解决问题， 对于未能解决的问题和故障应提供可行的升级方案， 并提供周转设备或更换设备；c)建立全国技术服务体系和服务团体， 符合专业服务体系标准要求， 提供原厂中文服务； d)服务周期内提供产品的维修、 换件和升级服务 e)现场保障技术服务团队员，国内上门服务城市覆盖北京、上海、深圳。</w:t>
            </w:r>
          </w:p>
        </w:tc>
        <w:tc>
          <w:tcPr>
            <w:tcW w:type="dxa" w:w="1038"/>
          </w:tcPr>
          <w:p>
            <w:pPr>
              <w:pStyle w:val="null3"/>
            </w:pPr>
            <w:r>
              <w:rPr/>
              <w:t>否</w:t>
            </w:r>
          </w:p>
        </w:tc>
        <w:tc>
          <w:tcPr>
            <w:tcW w:type="dxa" w:w="1038"/>
          </w:tcPr>
          <w:p/>
        </w:tc>
      </w:tr>
      <w:tr>
        <w:tc>
          <w:tcPr>
            <w:tcW w:type="dxa" w:w="1038"/>
          </w:tcPr>
          <w:p>
            <w:pPr>
              <w:pStyle w:val="null3"/>
            </w:pPr>
            <w:r>
              <w:rPr/>
              <w:t>367</w:t>
            </w:r>
          </w:p>
        </w:tc>
        <w:tc>
          <w:tcPr>
            <w:tcW w:type="dxa" w:w="1038"/>
          </w:tcPr>
          <w:p>
            <w:pPr>
              <w:pStyle w:val="null3"/>
            </w:pPr>
            <w:r>
              <w:rPr/>
              <w:t>台式计算机-服务要求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服务周期</w:t>
            </w:r>
          </w:p>
        </w:tc>
        <w:tc>
          <w:tcPr>
            <w:tcW w:type="dxa" w:w="1038"/>
          </w:tcPr>
          <w:p>
            <w:pPr>
              <w:pStyle w:val="null3"/>
            </w:pPr>
            <w:r>
              <w:rPr/>
              <w:t>a)设备停产后应继续提供质量保障服务（含备品备件），服务终止时间与最后一批设备交付时间间隔不低于6年 b)产品停止服务时间应提前1年告知</w:t>
            </w:r>
          </w:p>
        </w:tc>
        <w:tc>
          <w:tcPr>
            <w:tcW w:type="dxa" w:w="1038"/>
          </w:tcPr>
          <w:p>
            <w:pPr>
              <w:pStyle w:val="null3"/>
            </w:pPr>
            <w:r>
              <w:rPr/>
              <w:t>否</w:t>
            </w:r>
          </w:p>
        </w:tc>
        <w:tc>
          <w:tcPr>
            <w:tcW w:type="dxa" w:w="1038"/>
          </w:tcPr>
          <w:p/>
        </w:tc>
      </w:tr>
      <w:tr>
        <w:tc>
          <w:tcPr>
            <w:tcW w:type="dxa" w:w="1038"/>
          </w:tcPr>
          <w:p>
            <w:pPr>
              <w:pStyle w:val="null3"/>
            </w:pPr>
            <w:r>
              <w:rPr/>
              <w:t>368</w:t>
            </w:r>
          </w:p>
        </w:tc>
        <w:tc>
          <w:tcPr>
            <w:tcW w:type="dxa" w:w="1038"/>
          </w:tcPr>
          <w:p>
            <w:pPr>
              <w:pStyle w:val="null3"/>
            </w:pPr>
            <w:r>
              <w:rPr/>
              <w:t>台式计算机-服务要求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预装操作系统</w:t>
            </w:r>
          </w:p>
        </w:tc>
        <w:tc>
          <w:tcPr>
            <w:tcW w:type="dxa" w:w="1038"/>
          </w:tcPr>
          <w:p>
            <w:pPr>
              <w:pStyle w:val="null3"/>
            </w:pPr>
            <w:r>
              <w:rPr/>
              <w:t>a)预装符合桌面操作系统政府采购需求标准的正版操作系统 b)操作系统可以使用公版系统或定制版进行预装，且授权为标准的正式永久授权版本（操作系统不得采用专用机版本，授权单位须明确为使用单位且可查可显示） c)操作系统授权具有统一内网激活模式（KMS）或离线激活，可解绑复用。 d)桌面操作系统支持按需进行功能订制和软件增删（如删减游戏组件、屏蔽公网账户、云备份及软件商店模块等）</w:t>
            </w:r>
          </w:p>
        </w:tc>
        <w:tc>
          <w:tcPr>
            <w:tcW w:type="dxa" w:w="1038"/>
          </w:tcPr>
          <w:p>
            <w:pPr>
              <w:pStyle w:val="null3"/>
            </w:pPr>
            <w:r>
              <w:rPr/>
              <w:t>否</w:t>
            </w:r>
          </w:p>
        </w:tc>
        <w:tc>
          <w:tcPr>
            <w:tcW w:type="dxa" w:w="1038"/>
          </w:tcPr>
          <w:p/>
        </w:tc>
      </w:tr>
      <w:tr>
        <w:tc>
          <w:tcPr>
            <w:tcW w:type="dxa" w:w="1038"/>
          </w:tcPr>
          <w:p>
            <w:pPr>
              <w:pStyle w:val="null3"/>
            </w:pPr>
            <w:r>
              <w:rPr/>
              <w:t>369</w:t>
            </w:r>
          </w:p>
        </w:tc>
        <w:tc>
          <w:tcPr>
            <w:tcW w:type="dxa" w:w="1038"/>
          </w:tcPr>
          <w:p>
            <w:pPr>
              <w:pStyle w:val="null3"/>
            </w:pPr>
            <w:r>
              <w:rPr/>
              <w:t>台式计算机-服务要求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培训服务</w:t>
            </w:r>
          </w:p>
        </w:tc>
        <w:tc>
          <w:tcPr>
            <w:tcW w:type="dxa" w:w="1038"/>
          </w:tcPr>
          <w:p>
            <w:pPr>
              <w:pStyle w:val="null3"/>
            </w:pPr>
            <w:r>
              <w:rPr/>
              <w:t>供应商提供培训材料、产品手册、培训视频等培训相关内容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370</w:t>
            </w:r>
          </w:p>
        </w:tc>
        <w:tc>
          <w:tcPr>
            <w:tcW w:type="dxa" w:w="1038"/>
          </w:tcPr>
          <w:p>
            <w:pPr>
              <w:pStyle w:val="null3"/>
            </w:pPr>
            <w:r>
              <w:rPr/>
              <w:t>台式计算机-服务要求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典型问题解决手册</w:t>
            </w:r>
          </w:p>
        </w:tc>
        <w:tc>
          <w:tcPr>
            <w:tcW w:type="dxa" w:w="1038"/>
          </w:tcPr>
          <w:p>
            <w:pPr>
              <w:pStyle w:val="null3"/>
            </w:pPr>
            <w:r>
              <w:rPr/>
              <w:t>供应商提供典型问题解决说明文档或视频</w:t>
            </w:r>
          </w:p>
        </w:tc>
        <w:tc>
          <w:tcPr>
            <w:tcW w:type="dxa" w:w="1038"/>
          </w:tcPr>
          <w:p>
            <w:pPr>
              <w:pStyle w:val="null3"/>
            </w:pPr>
            <w:r>
              <w:rPr/>
              <w:t>否</w:t>
            </w:r>
          </w:p>
        </w:tc>
        <w:tc>
          <w:tcPr>
            <w:tcW w:type="dxa" w:w="1038"/>
          </w:tcPr>
          <w:p/>
        </w:tc>
      </w:tr>
      <w:tr>
        <w:tc>
          <w:tcPr>
            <w:tcW w:type="dxa" w:w="1038"/>
          </w:tcPr>
          <w:p>
            <w:pPr>
              <w:pStyle w:val="null3"/>
            </w:pPr>
            <w:r>
              <w:rPr/>
              <w:t>371</w:t>
            </w:r>
          </w:p>
        </w:tc>
        <w:tc>
          <w:tcPr>
            <w:tcW w:type="dxa" w:w="1038"/>
          </w:tcPr>
          <w:p>
            <w:pPr>
              <w:pStyle w:val="null3"/>
            </w:pPr>
            <w:r>
              <w:rPr/>
              <w:t>台式计算机-服务要求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厂家升级软件与扩容服务</w:t>
            </w:r>
          </w:p>
        </w:tc>
        <w:tc>
          <w:tcPr>
            <w:tcW w:type="dxa" w:w="1038"/>
          </w:tcPr>
          <w:p>
            <w:pPr>
              <w:pStyle w:val="null3"/>
            </w:pPr>
            <w:r>
              <w:rPr/>
              <w:t>供应商提供上门升级部件/软件与扩容的增值服务</w:t>
            </w:r>
          </w:p>
        </w:tc>
        <w:tc>
          <w:tcPr>
            <w:tcW w:type="dxa" w:w="1038"/>
          </w:tcPr>
          <w:p>
            <w:pPr>
              <w:pStyle w:val="null3"/>
            </w:pPr>
            <w:r>
              <w:rPr/>
              <w:t>否</w:t>
            </w:r>
          </w:p>
        </w:tc>
        <w:tc>
          <w:tcPr>
            <w:tcW w:type="dxa" w:w="1038"/>
          </w:tcPr>
          <w:p/>
        </w:tc>
      </w:tr>
      <w:tr>
        <w:tc>
          <w:tcPr>
            <w:tcW w:type="dxa" w:w="1038"/>
          </w:tcPr>
          <w:p>
            <w:pPr>
              <w:pStyle w:val="null3"/>
            </w:pPr>
            <w:r>
              <w:rPr/>
              <w:t>372</w:t>
            </w:r>
          </w:p>
        </w:tc>
        <w:tc>
          <w:tcPr>
            <w:tcW w:type="dxa" w:w="1038"/>
          </w:tcPr>
          <w:p>
            <w:pPr>
              <w:pStyle w:val="null3"/>
            </w:pPr>
            <w:r>
              <w:rPr/>
              <w:t>台式计算机-服务要求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整机质量服务要求</w:t>
            </w:r>
          </w:p>
        </w:tc>
        <w:tc>
          <w:tcPr>
            <w:tcW w:type="dxa" w:w="1038"/>
          </w:tcPr>
          <w:p>
            <w:pPr>
              <w:pStyle w:val="null3"/>
            </w:pPr>
            <w:r>
              <w:rPr/>
              <w:t>a)免费服务周期 （含换件和维修）为6年，免费服务周期到期后可延长的有偿服务周期为2年。 b)故障硬盘不返还</w:t>
            </w:r>
          </w:p>
        </w:tc>
        <w:tc>
          <w:tcPr>
            <w:tcW w:type="dxa" w:w="1038"/>
          </w:tcPr>
          <w:p>
            <w:pPr>
              <w:pStyle w:val="null3"/>
            </w:pPr>
            <w:r>
              <w:rPr/>
              <w:t>否</w:t>
            </w:r>
          </w:p>
        </w:tc>
        <w:tc>
          <w:tcPr>
            <w:tcW w:type="dxa" w:w="1038"/>
          </w:tcPr>
          <w:p/>
        </w:tc>
      </w:tr>
      <w:tr>
        <w:tc>
          <w:tcPr>
            <w:tcW w:type="dxa" w:w="1038"/>
          </w:tcPr>
          <w:p>
            <w:pPr>
              <w:pStyle w:val="null3"/>
            </w:pPr>
            <w:r>
              <w:rPr/>
              <w:t>373</w:t>
            </w:r>
          </w:p>
        </w:tc>
        <w:tc>
          <w:tcPr>
            <w:tcW w:type="dxa" w:w="1038"/>
          </w:tcPr>
          <w:p>
            <w:pPr>
              <w:pStyle w:val="null3"/>
            </w:pPr>
            <w:r>
              <w:rPr/>
              <w:t>台式计算机-服务要求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合格证书要求</w:t>
            </w:r>
          </w:p>
        </w:tc>
        <w:tc>
          <w:tcPr>
            <w:tcW w:type="dxa" w:w="1038"/>
          </w:tcPr>
          <w:p>
            <w:pPr>
              <w:pStyle w:val="null3"/>
            </w:pPr>
            <w:r>
              <w:rPr/>
              <w:t>供应商提供产品合格证</w:t>
            </w:r>
          </w:p>
        </w:tc>
        <w:tc>
          <w:tcPr>
            <w:tcW w:type="dxa" w:w="1038"/>
          </w:tcPr>
          <w:p>
            <w:pPr>
              <w:pStyle w:val="null3"/>
            </w:pPr>
            <w:r>
              <w:rPr/>
              <w:t>否</w:t>
            </w:r>
          </w:p>
        </w:tc>
        <w:tc>
          <w:tcPr>
            <w:tcW w:type="dxa" w:w="1038"/>
          </w:tcPr>
          <w:p/>
        </w:tc>
      </w:tr>
      <w:tr>
        <w:tc>
          <w:tcPr>
            <w:tcW w:type="dxa" w:w="1038"/>
          </w:tcPr>
          <w:p>
            <w:pPr>
              <w:pStyle w:val="null3"/>
            </w:pPr>
            <w:r>
              <w:rPr/>
              <w:t>374</w:t>
            </w:r>
          </w:p>
        </w:tc>
        <w:tc>
          <w:tcPr>
            <w:tcW w:type="dxa" w:w="1038"/>
          </w:tcPr>
          <w:p>
            <w:pPr>
              <w:pStyle w:val="null3"/>
            </w:pPr>
            <w:r>
              <w:rPr/>
              <w:t>台式计算机-服务要求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开箱组装/使用指导要求</w:t>
            </w:r>
          </w:p>
        </w:tc>
        <w:tc>
          <w:tcPr>
            <w:tcW w:type="dxa" w:w="1038"/>
          </w:tcPr>
          <w:p>
            <w:pPr>
              <w:pStyle w:val="null3"/>
            </w:pPr>
            <w:r>
              <w:rPr/>
              <w:t>供应商提供开箱组装/使用指导</w:t>
            </w:r>
          </w:p>
        </w:tc>
        <w:tc>
          <w:tcPr>
            <w:tcW w:type="dxa" w:w="1038"/>
          </w:tcPr>
          <w:p>
            <w:pPr>
              <w:pStyle w:val="null3"/>
            </w:pPr>
            <w:r>
              <w:rPr/>
              <w:t>否</w:t>
            </w:r>
          </w:p>
        </w:tc>
        <w:tc>
          <w:tcPr>
            <w:tcW w:type="dxa" w:w="1038"/>
          </w:tcPr>
          <w:p/>
        </w:tc>
      </w:tr>
      <w:tr>
        <w:tc>
          <w:tcPr>
            <w:tcW w:type="dxa" w:w="1038"/>
          </w:tcPr>
          <w:p>
            <w:pPr>
              <w:pStyle w:val="null3"/>
            </w:pPr>
            <w:r>
              <w:rPr/>
              <w:t>375</w:t>
            </w:r>
          </w:p>
        </w:tc>
        <w:tc>
          <w:tcPr>
            <w:tcW w:type="dxa" w:w="1038"/>
          </w:tcPr>
          <w:p>
            <w:pPr>
              <w:pStyle w:val="null3"/>
            </w:pPr>
            <w:r>
              <w:rPr/>
              <w:t>台式计算机-服务要求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驱动下载服务要求</w:t>
            </w:r>
          </w:p>
        </w:tc>
        <w:tc>
          <w:tcPr>
            <w:tcW w:type="dxa" w:w="1038"/>
          </w:tcPr>
          <w:p>
            <w:pPr>
              <w:pStyle w:val="null3"/>
            </w:pPr>
            <w:r>
              <w:rPr/>
              <w:t>供应商提供驱动光盘或下载方式</w:t>
            </w:r>
          </w:p>
        </w:tc>
        <w:tc>
          <w:tcPr>
            <w:tcW w:type="dxa" w:w="1038"/>
          </w:tcPr>
          <w:p>
            <w:pPr>
              <w:pStyle w:val="null3"/>
            </w:pPr>
            <w:r>
              <w:rPr/>
              <w:t>否</w:t>
            </w:r>
          </w:p>
        </w:tc>
        <w:tc>
          <w:tcPr>
            <w:tcW w:type="dxa" w:w="1038"/>
          </w:tcPr>
          <w:p/>
        </w:tc>
      </w:tr>
      <w:tr>
        <w:tc>
          <w:tcPr>
            <w:tcW w:type="dxa" w:w="1038"/>
          </w:tcPr>
          <w:p>
            <w:pPr>
              <w:pStyle w:val="null3"/>
            </w:pPr>
            <w:r>
              <w:rPr/>
              <w:t>376</w:t>
            </w:r>
          </w:p>
        </w:tc>
        <w:tc>
          <w:tcPr>
            <w:tcW w:type="dxa" w:w="1038"/>
          </w:tcPr>
          <w:p>
            <w:pPr>
              <w:pStyle w:val="null3"/>
            </w:pPr>
            <w:r>
              <w:rPr/>
              <w:t>台式计算机-服务要求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兼容适配软件下载服务要求</w:t>
            </w:r>
          </w:p>
        </w:tc>
        <w:tc>
          <w:tcPr>
            <w:tcW w:type="dxa" w:w="1038"/>
          </w:tcPr>
          <w:p>
            <w:pPr>
              <w:pStyle w:val="null3"/>
            </w:pPr>
            <w:r>
              <w:rPr/>
              <w:t>供应商提供兼容适配软件下载渠道（光盘、网站）</w:t>
            </w:r>
          </w:p>
        </w:tc>
        <w:tc>
          <w:tcPr>
            <w:tcW w:type="dxa" w:w="1038"/>
          </w:tcPr>
          <w:p>
            <w:pPr>
              <w:pStyle w:val="null3"/>
            </w:pPr>
            <w:r>
              <w:rPr/>
              <w:t>否</w:t>
            </w:r>
          </w:p>
        </w:tc>
        <w:tc>
          <w:tcPr>
            <w:tcW w:type="dxa" w:w="1038"/>
          </w:tcPr>
          <w:p/>
        </w:tc>
      </w:tr>
      <w:tr>
        <w:tc>
          <w:tcPr>
            <w:tcW w:type="dxa" w:w="1038"/>
          </w:tcPr>
          <w:p>
            <w:pPr>
              <w:pStyle w:val="null3"/>
            </w:pPr>
            <w:r>
              <w:rPr/>
              <w:t>377</w:t>
            </w:r>
          </w:p>
        </w:tc>
        <w:tc>
          <w:tcPr>
            <w:tcW w:type="dxa" w:w="1038"/>
          </w:tcPr>
          <w:p>
            <w:pPr>
              <w:pStyle w:val="null3"/>
            </w:pPr>
            <w:r>
              <w:rPr/>
              <w:t>台式计算机-服务要求</w:t>
            </w:r>
          </w:p>
        </w:tc>
        <w:tc>
          <w:tcPr>
            <w:tcW w:type="dxa" w:w="1038"/>
          </w:tcPr>
          <w:p/>
        </w:tc>
        <w:tc>
          <w:tcPr>
            <w:tcW w:type="dxa" w:w="1038"/>
          </w:tcPr>
          <w:p>
            <w:pPr>
              <w:pStyle w:val="null3"/>
            </w:pPr>
            <w:r>
              <w:rPr/>
              <w:t>服务要求</w:t>
            </w:r>
          </w:p>
        </w:tc>
        <w:tc>
          <w:tcPr>
            <w:tcW w:type="dxa" w:w="1038"/>
          </w:tcPr>
          <w:p>
            <w:pPr>
              <w:pStyle w:val="null3"/>
            </w:pPr>
            <w:r>
              <w:rPr/>
              <w:t>跨架构平台应用兼容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378</w:t>
            </w:r>
          </w:p>
        </w:tc>
        <w:tc>
          <w:tcPr>
            <w:tcW w:type="dxa" w:w="1038"/>
          </w:tcPr>
          <w:p>
            <w:pPr>
              <w:pStyle w:val="null3"/>
            </w:pPr>
            <w:r>
              <w:rPr/>
              <w:t>台式计算机-供应保障要求</w:t>
            </w:r>
          </w:p>
        </w:tc>
        <w:tc>
          <w:tcPr>
            <w:tcW w:type="dxa" w:w="1038"/>
          </w:tcPr>
          <w:p>
            <w:pPr>
              <w:pStyle w:val="null3"/>
            </w:pPr>
            <w:r>
              <w:rPr/>
              <w:t>★</w:t>
            </w:r>
          </w:p>
        </w:tc>
        <w:tc>
          <w:tcPr>
            <w:tcW w:type="dxa" w:w="1038"/>
          </w:tcPr>
          <w:p>
            <w:pPr>
              <w:pStyle w:val="null3"/>
            </w:pPr>
            <w:r>
              <w:rPr/>
              <w:t>供应链合规性</w:t>
            </w:r>
          </w:p>
        </w:tc>
        <w:tc>
          <w:tcPr>
            <w:tcW w:type="dxa" w:w="1038"/>
          </w:tcPr>
          <w:p>
            <w:pPr>
              <w:pStyle w:val="null3"/>
            </w:pPr>
            <w:r>
              <w:rPr/>
              <w:t>产品部件保障</w:t>
            </w:r>
          </w:p>
        </w:tc>
        <w:tc>
          <w:tcPr>
            <w:tcW w:type="dxa" w:w="1038"/>
          </w:tcPr>
          <w:p>
            <w:pPr>
              <w:pStyle w:val="null3"/>
            </w:pPr>
            <w:r>
              <w:rPr/>
              <w:t>供应商保障产品主要部件，提供6年的备件服务能力（自购买之日起），或提供可兼容原设备的升级换代产品</w:t>
            </w:r>
          </w:p>
        </w:tc>
        <w:tc>
          <w:tcPr>
            <w:tcW w:type="dxa" w:w="1038"/>
          </w:tcPr>
          <w:p>
            <w:pPr>
              <w:pStyle w:val="null3"/>
            </w:pPr>
            <w:r>
              <w:rPr/>
              <w:t>否</w:t>
            </w:r>
          </w:p>
        </w:tc>
        <w:tc>
          <w:tcPr>
            <w:tcW w:type="dxa" w:w="1038"/>
          </w:tcPr>
          <w:p/>
        </w:tc>
      </w:tr>
      <w:tr>
        <w:tc>
          <w:tcPr>
            <w:tcW w:type="dxa" w:w="1038"/>
          </w:tcPr>
          <w:p>
            <w:pPr>
              <w:pStyle w:val="null3"/>
            </w:pPr>
            <w:r>
              <w:rPr/>
              <w:t>379</w:t>
            </w:r>
          </w:p>
        </w:tc>
        <w:tc>
          <w:tcPr>
            <w:tcW w:type="dxa" w:w="1038"/>
          </w:tcPr>
          <w:p>
            <w:pPr>
              <w:pStyle w:val="null3"/>
            </w:pPr>
            <w:r>
              <w:rPr/>
              <w:t>台式计算机-供应保障要求</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当产品部件出现供应风险时，供应商应通知采购人并提供风险应对方案确保产品的服务保障</w:t>
            </w:r>
          </w:p>
        </w:tc>
        <w:tc>
          <w:tcPr>
            <w:tcW w:type="dxa" w:w="1038"/>
          </w:tcPr>
          <w:p>
            <w:pPr>
              <w:pStyle w:val="null3"/>
            </w:pPr>
            <w:r>
              <w:rPr/>
              <w:t>否</w:t>
            </w:r>
          </w:p>
        </w:tc>
        <w:tc>
          <w:tcPr>
            <w:tcW w:type="dxa" w:w="1038"/>
          </w:tcPr>
          <w:p/>
        </w:tc>
      </w:tr>
      <w:tr>
        <w:tc>
          <w:tcPr>
            <w:tcW w:type="dxa" w:w="1038"/>
          </w:tcPr>
          <w:p>
            <w:pPr>
              <w:pStyle w:val="null3"/>
            </w:pPr>
            <w:r>
              <w:rPr/>
              <w:t>380</w:t>
            </w:r>
          </w:p>
        </w:tc>
        <w:tc>
          <w:tcPr>
            <w:tcW w:type="dxa" w:w="1038"/>
          </w:tcPr>
          <w:p>
            <w:pPr>
              <w:pStyle w:val="null3"/>
            </w:pPr>
            <w:r>
              <w:rPr/>
              <w:t>台式计算机-供应保障要求</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是</w:t>
            </w:r>
          </w:p>
        </w:tc>
        <w:tc>
          <w:tcPr>
            <w:tcW w:type="dxa" w:w="1038"/>
          </w:tcPr>
          <w:p>
            <w:pPr>
              <w:pStyle w:val="null3"/>
            </w:pPr>
            <w:r>
              <w:rPr/>
              <w:t>提供承诺书</w:t>
            </w:r>
          </w:p>
        </w:tc>
      </w:tr>
      <w:tr>
        <w:tc>
          <w:tcPr>
            <w:tcW w:type="dxa" w:w="1038"/>
          </w:tcPr>
          <w:p>
            <w:pPr>
              <w:pStyle w:val="null3"/>
            </w:pPr>
            <w:r>
              <w:rPr/>
              <w:t>381</w:t>
            </w:r>
          </w:p>
        </w:tc>
        <w:tc>
          <w:tcPr>
            <w:tcW w:type="dxa" w:w="1038"/>
          </w:tcPr>
          <w:p>
            <w:pPr>
              <w:pStyle w:val="null3"/>
            </w:pPr>
            <w:r>
              <w:rPr/>
              <w:t>台式计算机-安全要求</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 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382</w:t>
            </w:r>
          </w:p>
        </w:tc>
        <w:tc>
          <w:tcPr>
            <w:tcW w:type="dxa" w:w="1038"/>
          </w:tcPr>
          <w:p>
            <w:pPr>
              <w:pStyle w:val="null3"/>
            </w:pPr>
            <w:r>
              <w:rPr/>
              <w:t>台式计算机-安全要求</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密码算法实现</w:t>
            </w:r>
          </w:p>
        </w:tc>
        <w:tc>
          <w:tcPr>
            <w:tcW w:type="dxa" w:w="1038"/>
          </w:tcPr>
          <w:p>
            <w:pPr>
              <w:pStyle w:val="null3"/>
            </w:pPr>
            <w:r>
              <w:rPr/>
              <w:t>CPU 芯片应符合 GM/T 0008 的相关规定，或芯片密码模块应符合 GB/T 37092或 GM/T 0028 的相关规定</w:t>
            </w:r>
          </w:p>
        </w:tc>
        <w:tc>
          <w:tcPr>
            <w:tcW w:type="dxa" w:w="1038"/>
          </w:tcPr>
          <w:p>
            <w:pPr>
              <w:pStyle w:val="null3"/>
            </w:pPr>
            <w:r>
              <w:rPr/>
              <w:t>否</w:t>
            </w:r>
          </w:p>
        </w:tc>
        <w:tc>
          <w:tcPr>
            <w:tcW w:type="dxa" w:w="1038"/>
          </w:tcPr>
          <w:p/>
        </w:tc>
      </w:tr>
      <w:tr>
        <w:tc>
          <w:tcPr>
            <w:tcW w:type="dxa" w:w="1038"/>
          </w:tcPr>
          <w:p>
            <w:pPr>
              <w:pStyle w:val="null3"/>
            </w:pPr>
            <w:r>
              <w:rPr/>
              <w:t>383</w:t>
            </w:r>
          </w:p>
        </w:tc>
        <w:tc>
          <w:tcPr>
            <w:tcW w:type="dxa" w:w="1038"/>
          </w:tcPr>
          <w:p>
            <w:pPr>
              <w:pStyle w:val="null3"/>
            </w:pPr>
            <w:r>
              <w:rPr/>
              <w:t>台式计算机-安全要求</w:t>
            </w:r>
          </w:p>
        </w:tc>
        <w:tc>
          <w:tcPr>
            <w:tcW w:type="dxa" w:w="1038"/>
          </w:tcPr>
          <w:p/>
        </w:tc>
        <w:tc>
          <w:tcPr>
            <w:tcW w:type="dxa" w:w="1038"/>
          </w:tcPr>
          <w:p>
            <w:pPr>
              <w:pStyle w:val="null3"/>
            </w:pPr>
            <w:r>
              <w:rPr/>
              <w:t>整机安全性要求</w:t>
            </w:r>
          </w:p>
        </w:tc>
        <w:tc>
          <w:tcPr>
            <w:tcW w:type="dxa" w:w="1038"/>
          </w:tcPr>
          <w:p>
            <w:pPr>
              <w:pStyle w:val="null3"/>
            </w:pPr>
            <w:r>
              <w:rPr/>
              <w:t>USB 端口管控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384</w:t>
            </w:r>
          </w:p>
        </w:tc>
        <w:tc>
          <w:tcPr>
            <w:tcW w:type="dxa" w:w="1038"/>
          </w:tcPr>
          <w:p>
            <w:pPr>
              <w:pStyle w:val="null3"/>
            </w:pPr>
            <w:r>
              <w:rPr/>
              <w:t>台式计算机-安全要求</w:t>
            </w:r>
          </w:p>
        </w:tc>
        <w:tc>
          <w:tcPr>
            <w:tcW w:type="dxa" w:w="1038"/>
          </w:tcPr>
          <w:p/>
        </w:tc>
        <w:tc>
          <w:tcPr>
            <w:tcW w:type="dxa" w:w="1038"/>
          </w:tcPr>
          <w:p>
            <w:pPr>
              <w:pStyle w:val="null3"/>
            </w:pPr>
            <w:r>
              <w:rPr/>
              <w:t>整机安全性要求</w:t>
            </w:r>
          </w:p>
        </w:tc>
        <w:tc>
          <w:tcPr>
            <w:tcW w:type="dxa" w:w="1038"/>
          </w:tcPr>
          <w:p>
            <w:pPr>
              <w:pStyle w:val="null3"/>
            </w:pPr>
            <w:r>
              <w:rPr/>
              <w:t>安全物理锁</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385</w:t>
            </w:r>
          </w:p>
        </w:tc>
        <w:tc>
          <w:tcPr>
            <w:tcW w:type="dxa" w:w="1038"/>
          </w:tcPr>
          <w:p>
            <w:pPr>
              <w:pStyle w:val="null3"/>
            </w:pPr>
            <w:r>
              <w:rPr/>
              <w:t>台式计算机-安全要求</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信息安全基本要求</w:t>
            </w:r>
          </w:p>
        </w:tc>
        <w:tc>
          <w:tcPr>
            <w:tcW w:type="dxa" w:w="1038"/>
          </w:tcPr>
          <w:p>
            <w:pPr>
              <w:pStyle w:val="null3"/>
            </w:pPr>
            <w:r>
              <w:rPr/>
              <w:t>a)产品应符合 GB/T 39276 的 5.2 的规定； b)生产厂商应建立漏洞跟踪表，保证产品版本涉及到的漏洞(如驱动程序 等)可查看； 产品不得包含已知的恶意代码或漏洞，不存在未声明的指令、功能、接口</w:t>
            </w:r>
          </w:p>
        </w:tc>
        <w:tc>
          <w:tcPr>
            <w:tcW w:type="dxa" w:w="1038"/>
          </w:tcPr>
          <w:p>
            <w:pPr>
              <w:pStyle w:val="null3"/>
            </w:pPr>
            <w:r>
              <w:rPr/>
              <w:t>否</w:t>
            </w:r>
          </w:p>
        </w:tc>
        <w:tc>
          <w:tcPr>
            <w:tcW w:type="dxa" w:w="1038"/>
          </w:tcPr>
          <w:p/>
        </w:tc>
      </w:tr>
      <w:tr>
        <w:tc>
          <w:tcPr>
            <w:tcW w:type="dxa" w:w="1038"/>
          </w:tcPr>
          <w:p>
            <w:pPr>
              <w:pStyle w:val="null3"/>
            </w:pPr>
            <w:r>
              <w:rPr/>
              <w:t>386</w:t>
            </w:r>
          </w:p>
        </w:tc>
        <w:tc>
          <w:tcPr>
            <w:tcW w:type="dxa" w:w="1038"/>
          </w:tcPr>
          <w:p>
            <w:pPr>
              <w:pStyle w:val="null3"/>
            </w:pPr>
            <w:r>
              <w:rPr/>
              <w:t>台式计算机-安全要求</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固件安全启动</w:t>
            </w:r>
          </w:p>
        </w:tc>
        <w:tc>
          <w:tcPr>
            <w:tcW w:type="dxa" w:w="1038"/>
          </w:tcPr>
          <w:p>
            <w:pPr>
              <w:pStyle w:val="null3"/>
            </w:pPr>
            <w:r>
              <w:rPr/>
              <w:t>支持固件安全启动功能，固件启动过程中只有通过启动校验才能正常启动</w:t>
            </w:r>
          </w:p>
        </w:tc>
        <w:tc>
          <w:tcPr>
            <w:tcW w:type="dxa" w:w="1038"/>
          </w:tcPr>
          <w:p>
            <w:pPr>
              <w:pStyle w:val="null3"/>
            </w:pPr>
            <w:r>
              <w:rPr/>
              <w:t>否</w:t>
            </w:r>
          </w:p>
        </w:tc>
        <w:tc>
          <w:tcPr>
            <w:tcW w:type="dxa" w:w="1038"/>
          </w:tcPr>
          <w:p/>
        </w:tc>
      </w:tr>
      <w:tr>
        <w:tc>
          <w:tcPr>
            <w:tcW w:type="dxa" w:w="1038"/>
          </w:tcPr>
          <w:p>
            <w:pPr>
              <w:pStyle w:val="null3"/>
            </w:pPr>
            <w:r>
              <w:rPr/>
              <w:t>387</w:t>
            </w:r>
          </w:p>
        </w:tc>
        <w:tc>
          <w:tcPr>
            <w:tcW w:type="dxa" w:w="1038"/>
          </w:tcPr>
          <w:p>
            <w:pPr>
              <w:pStyle w:val="null3"/>
            </w:pPr>
            <w:r>
              <w:rPr/>
              <w:t>台式计算机-安全要求</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限用物质的限量要求</w:t>
            </w:r>
          </w:p>
        </w:tc>
        <w:tc>
          <w:tcPr>
            <w:tcW w:type="dxa" w:w="1038"/>
          </w:tcPr>
          <w:p>
            <w:pPr>
              <w:pStyle w:val="null3"/>
            </w:pPr>
            <w:r>
              <w:rPr/>
              <w:t>符合 GB/T 26572 中规定</w:t>
            </w:r>
          </w:p>
        </w:tc>
        <w:tc>
          <w:tcPr>
            <w:tcW w:type="dxa" w:w="1038"/>
          </w:tcPr>
          <w:p>
            <w:pPr>
              <w:pStyle w:val="null3"/>
            </w:pPr>
            <w:r>
              <w:rPr/>
              <w:t>否</w:t>
            </w:r>
          </w:p>
        </w:tc>
        <w:tc>
          <w:tcPr>
            <w:tcW w:type="dxa" w:w="1038"/>
          </w:tcPr>
          <w:p/>
        </w:tc>
      </w:tr>
      <w:tr>
        <w:tc>
          <w:tcPr>
            <w:tcW w:type="dxa" w:w="1038"/>
          </w:tcPr>
          <w:p>
            <w:pPr>
              <w:pStyle w:val="null3"/>
            </w:pPr>
            <w:r>
              <w:rPr/>
              <w:t>388</w:t>
            </w:r>
          </w:p>
        </w:tc>
        <w:tc>
          <w:tcPr>
            <w:tcW w:type="dxa" w:w="1038"/>
          </w:tcPr>
          <w:p>
            <w:pPr>
              <w:pStyle w:val="null3"/>
            </w:pPr>
            <w:r>
              <w:rPr/>
              <w:t>其他要求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对于本采购需求技术要求指标，除明确要求提供证明材料的，其余均在采购人要求时提供</w:t>
            </w:r>
          </w:p>
        </w:tc>
        <w:tc>
          <w:tcPr>
            <w:tcW w:type="dxa" w:w="1038"/>
          </w:tcPr>
          <w:p>
            <w:pPr>
              <w:pStyle w:val="null3"/>
            </w:pPr>
            <w:r>
              <w:rPr/>
              <w:t>否</w:t>
            </w:r>
          </w:p>
        </w:tc>
        <w:tc>
          <w:tcPr>
            <w:tcW w:type="dxa" w:w="1038"/>
          </w:tcPr>
          <w:p/>
        </w:tc>
      </w:tr>
    </w:tbl>
    <w:p>
      <w:pPr>
        <w:pStyle w:val="null3"/>
        <w:jc w:val="both"/>
      </w:pPr>
      <w:r>
        <w:rPr/>
        <w:t>本商务要求共有“★”指标22个，”#”指标7个，“▲”指标0个。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服务总体要求</w:t>
            </w:r>
          </w:p>
        </w:tc>
        <w:tc>
          <w:tcPr>
            <w:tcW w:type="dxa" w:w="1038"/>
          </w:tcPr>
          <w:p>
            <w:pPr>
              <w:pStyle w:val="null3"/>
            </w:pPr>
            <w:r>
              <w:rPr/>
              <w:t>★</w:t>
            </w:r>
          </w:p>
        </w:tc>
        <w:tc>
          <w:tcPr>
            <w:tcW w:type="dxa" w:w="1038"/>
          </w:tcPr>
          <w:p>
            <w:pPr>
              <w:pStyle w:val="null3"/>
            </w:pPr>
            <w:r>
              <w:rPr/>
              <w:t>服务总体要求</w:t>
            </w:r>
          </w:p>
        </w:tc>
        <w:tc>
          <w:tcPr>
            <w:tcW w:type="dxa" w:w="1038"/>
          </w:tcPr>
          <w:p>
            <w:pPr>
              <w:pStyle w:val="null3"/>
            </w:pPr>
            <w:r>
              <w:rPr/>
              <w:t>3C认证</w:t>
            </w:r>
          </w:p>
        </w:tc>
        <w:tc>
          <w:tcPr>
            <w:tcW w:type="dxa" w:w="1038"/>
          </w:tcPr>
          <w:p>
            <w:pPr>
              <w:pStyle w:val="null3"/>
            </w:pPr>
            <w:r>
              <w:rPr/>
              <w:t>必须出具有效期内的投标产品3C认证证书</w:t>
            </w:r>
          </w:p>
        </w:tc>
        <w:tc>
          <w:tcPr>
            <w:tcW w:type="dxa" w:w="1038"/>
          </w:tcPr>
          <w:p>
            <w:pPr>
              <w:pStyle w:val="null3"/>
            </w:pPr>
            <w:r>
              <w:rPr/>
              <w:t>是</w:t>
            </w:r>
          </w:p>
        </w:tc>
        <w:tc>
          <w:tcPr>
            <w:tcW w:type="dxa" w:w="1038"/>
          </w:tcPr>
          <w:p>
            <w:pPr>
              <w:pStyle w:val="null3"/>
            </w:pPr>
            <w:r>
              <w:rPr/>
              <w:t>提供便携式计算机和台式计算机的3C证书复印件</w:t>
            </w:r>
          </w:p>
        </w:tc>
      </w:tr>
      <w:tr>
        <w:tc>
          <w:tcPr>
            <w:tcW w:type="dxa" w:w="1038"/>
          </w:tcPr>
          <w:p>
            <w:pPr>
              <w:pStyle w:val="null3"/>
            </w:pPr>
            <w:r>
              <w:rPr/>
              <w:t>2</w:t>
            </w:r>
          </w:p>
        </w:tc>
        <w:tc>
          <w:tcPr>
            <w:tcW w:type="dxa" w:w="1038"/>
          </w:tcPr>
          <w:p>
            <w:pPr>
              <w:pStyle w:val="null3"/>
            </w:pPr>
            <w:r>
              <w:rPr/>
              <w:t>服务总体要求</w:t>
            </w:r>
          </w:p>
        </w:tc>
        <w:tc>
          <w:tcPr>
            <w:tcW w:type="dxa" w:w="1038"/>
          </w:tcPr>
          <w:p>
            <w:pPr>
              <w:pStyle w:val="null3"/>
            </w:pPr>
            <w:r>
              <w:rPr/>
              <w:t>★</w:t>
            </w:r>
          </w:p>
        </w:tc>
        <w:tc>
          <w:tcPr>
            <w:tcW w:type="dxa" w:w="1038"/>
          </w:tcPr>
          <w:p>
            <w:pPr>
              <w:pStyle w:val="null3"/>
            </w:pPr>
            <w:r>
              <w:rPr/>
              <w:t>服务总体要求</w:t>
            </w:r>
          </w:p>
        </w:tc>
        <w:tc>
          <w:tcPr>
            <w:tcW w:type="dxa" w:w="1038"/>
          </w:tcPr>
          <w:p>
            <w:pPr>
              <w:pStyle w:val="null3"/>
            </w:pPr>
            <w:r>
              <w:rPr/>
              <w:t>节能要求</w:t>
            </w:r>
          </w:p>
        </w:tc>
        <w:tc>
          <w:tcPr>
            <w:tcW w:type="dxa" w:w="1038"/>
          </w:tcPr>
          <w:p>
            <w:pPr>
              <w:pStyle w:val="null3"/>
            </w:pPr>
            <w:r>
              <w:rPr/>
              <w:t>根据财库〔 2019〕 9 号、 18 号、 19 号文，国家市场监督管理总局公告 16 号有关规定，采购标的属于《节能产品政府采购品目清单》中政府强制采购产品。</w:t>
            </w:r>
          </w:p>
        </w:tc>
        <w:tc>
          <w:tcPr>
            <w:tcW w:type="dxa" w:w="1038"/>
          </w:tcPr>
          <w:p>
            <w:pPr>
              <w:pStyle w:val="null3"/>
            </w:pPr>
            <w:r>
              <w:rPr/>
              <w:t>是</w:t>
            </w:r>
          </w:p>
        </w:tc>
        <w:tc>
          <w:tcPr>
            <w:tcW w:type="dxa" w:w="1038"/>
          </w:tcPr>
          <w:p>
            <w:pPr>
              <w:pStyle w:val="null3"/>
            </w:pPr>
            <w:r>
              <w:rPr/>
              <w:t>提供便携式计算机和台式计算机节能证书复印件</w:t>
            </w:r>
          </w:p>
        </w:tc>
      </w:tr>
      <w:tr>
        <w:tc>
          <w:tcPr>
            <w:tcW w:type="dxa" w:w="1038"/>
          </w:tcPr>
          <w:p>
            <w:pPr>
              <w:pStyle w:val="null3"/>
            </w:pPr>
            <w:r>
              <w:rPr/>
              <w:t>3</w:t>
            </w:r>
          </w:p>
        </w:tc>
        <w:tc>
          <w:tcPr>
            <w:tcW w:type="dxa" w:w="1038"/>
          </w:tcPr>
          <w:p>
            <w:pPr>
              <w:pStyle w:val="null3"/>
            </w:pPr>
            <w:r>
              <w:rPr/>
              <w:t>服务总体要求</w:t>
            </w:r>
          </w:p>
        </w:tc>
        <w:tc>
          <w:tcPr>
            <w:tcW w:type="dxa" w:w="1038"/>
          </w:tcPr>
          <w:p>
            <w:pPr>
              <w:pStyle w:val="null3"/>
            </w:pPr>
            <w:r>
              <w:rPr/>
              <w:t>#</w:t>
            </w:r>
          </w:p>
        </w:tc>
        <w:tc>
          <w:tcPr>
            <w:tcW w:type="dxa" w:w="1038"/>
          </w:tcPr>
          <w:p>
            <w:pPr>
              <w:pStyle w:val="null3"/>
            </w:pPr>
            <w:r>
              <w:rPr/>
              <w:t>服务总体要求</w:t>
            </w:r>
          </w:p>
        </w:tc>
        <w:tc>
          <w:tcPr>
            <w:tcW w:type="dxa" w:w="1038"/>
          </w:tcPr>
          <w:p>
            <w:pPr>
              <w:pStyle w:val="null3"/>
            </w:pPr>
            <w:r>
              <w:rPr/>
              <w:t>环保要求</w:t>
            </w:r>
          </w:p>
        </w:tc>
        <w:tc>
          <w:tcPr>
            <w:tcW w:type="dxa" w:w="1038"/>
          </w:tcPr>
          <w:p>
            <w:pPr>
              <w:pStyle w:val="null3"/>
            </w:pPr>
            <w:r>
              <w:rPr/>
              <w:t>根据财库〔 2019〕 9 号、 18 号、 19 号文，国家市场监督管理总局公告 16 号有关规定，如投标产品属于《环境标志产品政府采购品目清单》中非政府强制采购产品中的产品。</w:t>
            </w:r>
          </w:p>
        </w:tc>
        <w:tc>
          <w:tcPr>
            <w:tcW w:type="dxa" w:w="1038"/>
          </w:tcPr>
          <w:p>
            <w:pPr>
              <w:pStyle w:val="null3"/>
            </w:pPr>
            <w:r>
              <w:rPr/>
              <w:t>是</w:t>
            </w:r>
          </w:p>
        </w:tc>
        <w:tc>
          <w:tcPr>
            <w:tcW w:type="dxa" w:w="1038"/>
          </w:tcPr>
          <w:p>
            <w:pPr>
              <w:pStyle w:val="null3"/>
            </w:pPr>
            <w:r>
              <w:rPr/>
              <w:t>提供便携式计算机和台式计算机环保证书复印件</w:t>
            </w:r>
          </w:p>
        </w:tc>
      </w:tr>
      <w:tr>
        <w:tc>
          <w:tcPr>
            <w:tcW w:type="dxa" w:w="1038"/>
          </w:tcPr>
          <w:p>
            <w:pPr>
              <w:pStyle w:val="null3"/>
            </w:pPr>
            <w:r>
              <w:rPr/>
              <w:t>4</w:t>
            </w:r>
          </w:p>
        </w:tc>
        <w:tc>
          <w:tcPr>
            <w:tcW w:type="dxa" w:w="1038"/>
          </w:tcPr>
          <w:p>
            <w:pPr>
              <w:pStyle w:val="null3"/>
            </w:pPr>
            <w:r>
              <w:rPr/>
              <w:t>供应商要求</w:t>
            </w:r>
          </w:p>
        </w:tc>
        <w:tc>
          <w:tcPr>
            <w:tcW w:type="dxa" w:w="1038"/>
          </w:tcPr>
          <w:p>
            <w:pPr>
              <w:pStyle w:val="null3"/>
            </w:pPr>
            <w:r>
              <w:rPr/>
              <w:t>#</w:t>
            </w:r>
          </w:p>
        </w:tc>
        <w:tc>
          <w:tcPr>
            <w:tcW w:type="dxa" w:w="1038"/>
          </w:tcPr>
          <w:p>
            <w:pPr>
              <w:pStyle w:val="null3"/>
            </w:pPr>
            <w:r>
              <w:rPr/>
              <w:t>供应商要求</w:t>
            </w:r>
          </w:p>
        </w:tc>
        <w:tc>
          <w:tcPr>
            <w:tcW w:type="dxa" w:w="1038"/>
          </w:tcPr>
          <w:p>
            <w:pPr>
              <w:pStyle w:val="null3"/>
            </w:pPr>
            <w:r>
              <w:rPr/>
              <w:t>供应商要求</w:t>
            </w:r>
          </w:p>
        </w:tc>
        <w:tc>
          <w:tcPr>
            <w:tcW w:type="dxa" w:w="1038"/>
          </w:tcPr>
          <w:p>
            <w:pPr>
              <w:pStyle w:val="null3"/>
            </w:pPr>
            <w:r>
              <w:rPr/>
              <w:t>供应商需具备自 2023 年 1 月 1 日至递交投标文件截止日（以合同签订时间为准）所投便携式计算机产品或其同系列便携式计算机产品，同等规模（500台或以上）的销售案例</w:t>
            </w:r>
          </w:p>
        </w:tc>
        <w:tc>
          <w:tcPr>
            <w:tcW w:type="dxa" w:w="1038"/>
          </w:tcPr>
          <w:p>
            <w:pPr>
              <w:pStyle w:val="null3"/>
            </w:pPr>
            <w:r>
              <w:rPr/>
              <w:t>是</w:t>
            </w:r>
          </w:p>
        </w:tc>
        <w:tc>
          <w:tcPr>
            <w:tcW w:type="dxa" w:w="1038"/>
          </w:tcPr>
          <w:p>
            <w:pPr>
              <w:pStyle w:val="null3"/>
            </w:pPr>
            <w:r>
              <w:rPr/>
              <w:t>需提供销售合同案例证明</w:t>
            </w:r>
          </w:p>
        </w:tc>
      </w:tr>
      <w:tr>
        <w:tc>
          <w:tcPr>
            <w:tcW w:type="dxa" w:w="1038"/>
          </w:tcPr>
          <w:p>
            <w:pPr>
              <w:pStyle w:val="null3"/>
            </w:pPr>
            <w:r>
              <w:rPr/>
              <w:t>5</w:t>
            </w:r>
          </w:p>
        </w:tc>
        <w:tc>
          <w:tcPr>
            <w:tcW w:type="dxa" w:w="1038"/>
          </w:tcPr>
          <w:p>
            <w:pPr>
              <w:pStyle w:val="null3"/>
            </w:pPr>
            <w:r>
              <w:rPr/>
              <w:t>供应商要求</w:t>
            </w:r>
          </w:p>
        </w:tc>
        <w:tc>
          <w:tcPr>
            <w:tcW w:type="dxa" w:w="1038"/>
          </w:tcPr>
          <w:p>
            <w:pPr>
              <w:pStyle w:val="null3"/>
            </w:pPr>
            <w:r>
              <w:rPr/>
              <w:t>#</w:t>
            </w:r>
          </w:p>
        </w:tc>
        <w:tc>
          <w:tcPr>
            <w:tcW w:type="dxa" w:w="1038"/>
          </w:tcPr>
          <w:p>
            <w:pPr>
              <w:pStyle w:val="null3"/>
            </w:pPr>
            <w:r>
              <w:rPr/>
              <w:t>供应商要求</w:t>
            </w:r>
          </w:p>
        </w:tc>
        <w:tc>
          <w:tcPr>
            <w:tcW w:type="dxa" w:w="1038"/>
          </w:tcPr>
          <w:p>
            <w:pPr>
              <w:pStyle w:val="null3"/>
            </w:pPr>
            <w:r>
              <w:rPr/>
              <w:t>供应商要求</w:t>
            </w:r>
          </w:p>
        </w:tc>
        <w:tc>
          <w:tcPr>
            <w:tcW w:type="dxa" w:w="1038"/>
          </w:tcPr>
          <w:p>
            <w:pPr>
              <w:pStyle w:val="null3"/>
            </w:pPr>
            <w:r>
              <w:rPr/>
              <w:t>供应商完全认可采购人商务条款及合同模板所有条款，并按要求提供响应文件。</w:t>
            </w:r>
          </w:p>
        </w:tc>
        <w:tc>
          <w:tcPr>
            <w:tcW w:type="dxa" w:w="1038"/>
          </w:tcPr>
          <w:p>
            <w:pPr>
              <w:pStyle w:val="null3"/>
            </w:pPr>
            <w:r>
              <w:rPr/>
              <w:t>是</w:t>
            </w:r>
          </w:p>
        </w:tc>
        <w:tc>
          <w:tcPr>
            <w:tcW w:type="dxa" w:w="1038"/>
          </w:tcPr>
          <w:p>
            <w:pPr>
              <w:pStyle w:val="null3"/>
            </w:pPr>
            <w:r>
              <w:rPr/>
              <w:t>需提供商务条款及合同模版应答表</w:t>
            </w:r>
          </w:p>
        </w:tc>
      </w:tr>
      <w:tr>
        <w:tc>
          <w:tcPr>
            <w:tcW w:type="dxa" w:w="1038"/>
          </w:tcPr>
          <w:p>
            <w:pPr>
              <w:pStyle w:val="null3"/>
            </w:pPr>
            <w:r>
              <w:rPr/>
              <w:t>6</w:t>
            </w:r>
          </w:p>
        </w:tc>
        <w:tc>
          <w:tcPr>
            <w:tcW w:type="dxa" w:w="1038"/>
          </w:tcPr>
          <w:p>
            <w:pPr>
              <w:pStyle w:val="null3"/>
            </w:pPr>
            <w:r>
              <w:rPr/>
              <w:t>供应商要求</w:t>
            </w:r>
          </w:p>
        </w:tc>
        <w:tc>
          <w:tcPr>
            <w:tcW w:type="dxa" w:w="1038"/>
          </w:tcPr>
          <w:p>
            <w:pPr>
              <w:pStyle w:val="null3"/>
            </w:pPr>
            <w:r>
              <w:rPr/>
              <w:t>#</w:t>
            </w:r>
          </w:p>
        </w:tc>
        <w:tc>
          <w:tcPr>
            <w:tcW w:type="dxa" w:w="1038"/>
          </w:tcPr>
          <w:p>
            <w:pPr>
              <w:pStyle w:val="null3"/>
            </w:pPr>
            <w:r>
              <w:rPr/>
              <w:t>供应商要求</w:t>
            </w:r>
          </w:p>
        </w:tc>
        <w:tc>
          <w:tcPr>
            <w:tcW w:type="dxa" w:w="1038"/>
          </w:tcPr>
          <w:p>
            <w:pPr>
              <w:pStyle w:val="null3"/>
            </w:pPr>
            <w:r>
              <w:rPr/>
              <w:t>售后服务方案</w:t>
            </w:r>
          </w:p>
        </w:tc>
        <w:tc>
          <w:tcPr>
            <w:tcW w:type="dxa" w:w="1038"/>
          </w:tcPr>
          <w:p>
            <w:pPr>
              <w:pStyle w:val="null3"/>
            </w:pPr>
            <w:r>
              <w:rPr/>
              <w:t>供应商应提供北京、上海和深圳售后服务方案，售后服务方案中应具有（1）北京、上海和深圳售后服务网点分布情况，（2）项目实施计划（包含但不限于以下要素：里程碑、时间节点、负责人）、人员安排（多地实施安排）、应急保障安排、产品配送、安装（包含硬件替换安装，终端操作系统定制安装，统一管理平台实施）及验收等内容。</w:t>
            </w:r>
          </w:p>
        </w:tc>
        <w:tc>
          <w:tcPr>
            <w:tcW w:type="dxa" w:w="1038"/>
          </w:tcPr>
          <w:p>
            <w:pPr>
              <w:pStyle w:val="null3"/>
            </w:pPr>
            <w:r>
              <w:rPr/>
              <w:t>是</w:t>
            </w:r>
          </w:p>
        </w:tc>
        <w:tc>
          <w:tcPr>
            <w:tcW w:type="dxa" w:w="1038"/>
          </w:tcPr>
          <w:p>
            <w:pPr>
              <w:pStyle w:val="null3"/>
            </w:pPr>
            <w:r>
              <w:rPr/>
              <w:t>提供售后服务方案</w:t>
            </w:r>
          </w:p>
        </w:tc>
      </w:tr>
      <w:tr>
        <w:tc>
          <w:tcPr>
            <w:tcW w:type="dxa" w:w="1038"/>
          </w:tcPr>
          <w:p>
            <w:pPr>
              <w:pStyle w:val="null3"/>
            </w:pPr>
            <w:r>
              <w:rPr/>
              <w:t>7</w:t>
            </w:r>
          </w:p>
        </w:tc>
        <w:tc>
          <w:tcPr>
            <w:tcW w:type="dxa" w:w="1038"/>
          </w:tcPr>
          <w:p>
            <w:pPr>
              <w:pStyle w:val="null3"/>
            </w:pPr>
            <w:r>
              <w:rPr/>
              <w:t>供应商要求</w:t>
            </w:r>
          </w:p>
        </w:tc>
        <w:tc>
          <w:tcPr>
            <w:tcW w:type="dxa" w:w="1038"/>
          </w:tcPr>
          <w:p>
            <w:pPr>
              <w:pStyle w:val="null3"/>
            </w:pPr>
            <w:r>
              <w:rPr/>
              <w:t>★</w:t>
            </w:r>
          </w:p>
        </w:tc>
        <w:tc>
          <w:tcPr>
            <w:tcW w:type="dxa" w:w="1038"/>
          </w:tcPr>
          <w:p>
            <w:pPr>
              <w:pStyle w:val="null3"/>
            </w:pPr>
            <w:r>
              <w:rPr/>
              <w:t>供应商要求</w:t>
            </w:r>
          </w:p>
        </w:tc>
        <w:tc>
          <w:tcPr>
            <w:tcW w:type="dxa" w:w="1038"/>
          </w:tcPr>
          <w:p>
            <w:pPr>
              <w:pStyle w:val="null3"/>
            </w:pPr>
            <w:r>
              <w:rPr/>
              <w:t>保密要求</w:t>
            </w:r>
          </w:p>
        </w:tc>
        <w:tc>
          <w:tcPr>
            <w:tcW w:type="dxa" w:w="1038"/>
          </w:tcPr>
          <w:p>
            <w:pPr>
              <w:pStyle w:val="null3"/>
            </w:pPr>
            <w:r>
              <w:rPr/>
              <w:t>任何一方在投标、中标、合同履行中知悉的有关对方的商业、技术、国家等秘密承担保密义务。除经秘密所有 方的同意或法律、法规另有规定，相对方不得向任何第三人提供泄漏上述秘密，由此给秘密所有方造成损失的， 责任方承担相应责任。</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供应商要求</w:t>
            </w:r>
          </w:p>
        </w:tc>
        <w:tc>
          <w:tcPr>
            <w:tcW w:type="dxa" w:w="1038"/>
          </w:tcPr>
          <w:p>
            <w:pPr>
              <w:pStyle w:val="null3"/>
            </w:pPr>
            <w:r>
              <w:rPr/>
              <w:t>★</w:t>
            </w:r>
          </w:p>
        </w:tc>
        <w:tc>
          <w:tcPr>
            <w:tcW w:type="dxa" w:w="1038"/>
          </w:tcPr>
          <w:p>
            <w:pPr>
              <w:pStyle w:val="null3"/>
            </w:pPr>
            <w:r>
              <w:rPr/>
              <w:t>供应商要求</w:t>
            </w:r>
          </w:p>
        </w:tc>
        <w:tc>
          <w:tcPr>
            <w:tcW w:type="dxa" w:w="1038"/>
          </w:tcPr>
          <w:p>
            <w:pPr>
              <w:pStyle w:val="null3"/>
            </w:pPr>
            <w:r>
              <w:rPr/>
              <w:t>诚信要求</w:t>
            </w:r>
          </w:p>
        </w:tc>
        <w:tc>
          <w:tcPr>
            <w:tcW w:type="dxa" w:w="1038"/>
          </w:tcPr>
          <w:p>
            <w:pPr>
              <w:pStyle w:val="null3"/>
            </w:pPr>
            <w:r>
              <w:rPr/>
              <w:t>如果投标人或设备生产厂商在投标过程中出现以下所列任何行为： 在投标书中承诺满足招标要求，但经专家评标或经过设备验收或合同履约过程中测试发现不能满足招标要求的情况； 在投标书中以欺骗评标专家及用户为目的，提供虚假数据或虚假信息，使投标货物能满足招标要求的情况；专家认定的其它欺骗或不良行为。一经发现，评标委员会有权取消其投标资格或中标候选人资格；如果已经签订合同，采购人保留退货的权利，且由此对采购人造成的损失由投标人负责。</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交付要求</w:t>
            </w:r>
          </w:p>
        </w:tc>
        <w:tc>
          <w:tcPr>
            <w:tcW w:type="dxa" w:w="1038"/>
          </w:tcPr>
          <w:p>
            <w:pPr>
              <w:pStyle w:val="null3"/>
            </w:pPr>
            <w:r>
              <w:rPr/>
              <w:t>★</w:t>
            </w:r>
          </w:p>
        </w:tc>
        <w:tc>
          <w:tcPr>
            <w:tcW w:type="dxa" w:w="1038"/>
          </w:tcPr>
          <w:p>
            <w:pPr>
              <w:pStyle w:val="null3"/>
            </w:pPr>
            <w:r>
              <w:rPr/>
              <w:t>交付要求</w:t>
            </w:r>
          </w:p>
        </w:tc>
        <w:tc>
          <w:tcPr>
            <w:tcW w:type="dxa" w:w="1038"/>
          </w:tcPr>
          <w:p>
            <w:pPr>
              <w:pStyle w:val="null3"/>
            </w:pPr>
            <w:r>
              <w:rPr/>
              <w:t>交付时间</w:t>
            </w:r>
          </w:p>
        </w:tc>
        <w:tc>
          <w:tcPr>
            <w:tcW w:type="dxa" w:w="1038"/>
          </w:tcPr>
          <w:p>
            <w:pPr>
              <w:pStyle w:val="null3"/>
            </w:pPr>
            <w:r>
              <w:rPr/>
              <w:t>合同生效之日起20个工作日内</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交付要求</w:t>
            </w:r>
          </w:p>
        </w:tc>
        <w:tc>
          <w:tcPr>
            <w:tcW w:type="dxa" w:w="1038"/>
          </w:tcPr>
          <w:p>
            <w:pPr>
              <w:pStyle w:val="null3"/>
            </w:pPr>
            <w:r>
              <w:rPr/>
              <w:t>★</w:t>
            </w:r>
          </w:p>
        </w:tc>
        <w:tc>
          <w:tcPr>
            <w:tcW w:type="dxa" w:w="1038"/>
          </w:tcPr>
          <w:p>
            <w:pPr>
              <w:pStyle w:val="null3"/>
            </w:pPr>
            <w:r>
              <w:rPr/>
              <w:t>交付要求</w:t>
            </w:r>
          </w:p>
        </w:tc>
        <w:tc>
          <w:tcPr>
            <w:tcW w:type="dxa" w:w="1038"/>
          </w:tcPr>
          <w:p>
            <w:pPr>
              <w:pStyle w:val="null3"/>
            </w:pPr>
            <w:r>
              <w:rPr/>
              <w:t>交付地点</w:t>
            </w:r>
          </w:p>
        </w:tc>
        <w:tc>
          <w:tcPr>
            <w:tcW w:type="dxa" w:w="1038"/>
          </w:tcPr>
          <w:p>
            <w:pPr>
              <w:pStyle w:val="null3"/>
            </w:pPr>
            <w:r>
              <w:rPr/>
              <w:t>北京金融街（月坛）中心7号楼采购人指定地点</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服务人员要求</w:t>
            </w:r>
          </w:p>
        </w:tc>
        <w:tc>
          <w:tcPr>
            <w:tcW w:type="dxa" w:w="1038"/>
          </w:tcPr>
          <w:p>
            <w:pPr>
              <w:pStyle w:val="null3"/>
            </w:pPr>
            <w:r>
              <w:rPr/>
              <w:t>★</w:t>
            </w:r>
          </w:p>
        </w:tc>
        <w:tc>
          <w:tcPr>
            <w:tcW w:type="dxa" w:w="1038"/>
          </w:tcPr>
          <w:p>
            <w:pPr>
              <w:pStyle w:val="null3"/>
            </w:pPr>
            <w:r>
              <w:rPr/>
              <w:t>服务人员要求</w:t>
            </w:r>
          </w:p>
        </w:tc>
        <w:tc>
          <w:tcPr>
            <w:tcW w:type="dxa" w:w="1038"/>
          </w:tcPr>
          <w:p>
            <w:pPr>
              <w:pStyle w:val="null3"/>
            </w:pPr>
            <w:r>
              <w:rPr/>
              <w:t>总体要求</w:t>
            </w:r>
          </w:p>
        </w:tc>
        <w:tc>
          <w:tcPr>
            <w:tcW w:type="dxa" w:w="1038"/>
          </w:tcPr>
          <w:p>
            <w:pPr>
              <w:pStyle w:val="null3"/>
            </w:pPr>
            <w:r>
              <w:rPr/>
              <w:t>供应商须针对本期合同内成立专门的支持团队，人数不低于2人。</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服务人员要求</w:t>
            </w:r>
          </w:p>
        </w:tc>
        <w:tc>
          <w:tcPr>
            <w:tcW w:type="dxa" w:w="1038"/>
          </w:tcPr>
          <w:p>
            <w:pPr>
              <w:pStyle w:val="null3"/>
            </w:pPr>
            <w:r>
              <w:rPr/>
              <w:t>★</w:t>
            </w:r>
          </w:p>
        </w:tc>
        <w:tc>
          <w:tcPr>
            <w:tcW w:type="dxa" w:w="1038"/>
          </w:tcPr>
          <w:p>
            <w:pPr>
              <w:pStyle w:val="null3"/>
            </w:pPr>
            <w:r>
              <w:rPr/>
              <w:t>服务人员要求</w:t>
            </w:r>
          </w:p>
        </w:tc>
        <w:tc>
          <w:tcPr>
            <w:tcW w:type="dxa" w:w="1038"/>
          </w:tcPr>
          <w:p>
            <w:pPr>
              <w:pStyle w:val="null3"/>
            </w:pPr>
            <w:r>
              <w:rPr/>
              <w:t>项目经理</w:t>
            </w:r>
          </w:p>
        </w:tc>
        <w:tc>
          <w:tcPr>
            <w:tcW w:type="dxa" w:w="1038"/>
          </w:tcPr>
          <w:p>
            <w:pPr>
              <w:pStyle w:val="null3"/>
            </w:pPr>
            <w:r>
              <w:rPr/>
              <w:t>供应商指派一名项目经理对接货物交付、验收及质保服务相关事宜</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质量要求</w:t>
            </w:r>
          </w:p>
        </w:tc>
        <w:tc>
          <w:tcPr>
            <w:tcW w:type="dxa" w:w="1038"/>
          </w:tcPr>
          <w:p>
            <w:pPr>
              <w:pStyle w:val="null3"/>
            </w:pPr>
            <w:r>
              <w:rPr/>
              <w:t>★</w:t>
            </w:r>
          </w:p>
        </w:tc>
        <w:tc>
          <w:tcPr>
            <w:tcW w:type="dxa" w:w="1038"/>
          </w:tcPr>
          <w:p>
            <w:pPr>
              <w:pStyle w:val="null3"/>
            </w:pPr>
            <w:r>
              <w:rPr/>
              <w:t>质量要求</w:t>
            </w:r>
          </w:p>
        </w:tc>
        <w:tc>
          <w:tcPr>
            <w:tcW w:type="dxa" w:w="1038"/>
          </w:tcPr>
          <w:p>
            <w:pPr>
              <w:pStyle w:val="null3"/>
            </w:pPr>
            <w:r>
              <w:rPr/>
              <w:t>质量要求</w:t>
            </w:r>
          </w:p>
        </w:tc>
        <w:tc>
          <w:tcPr>
            <w:tcW w:type="dxa" w:w="1038"/>
          </w:tcPr>
          <w:p>
            <w:pPr>
              <w:pStyle w:val="null3"/>
            </w:pPr>
            <w:r>
              <w:rPr/>
              <w:t>1. 投标人所提供的所有产品必须为投标货物生产厂家提供的原厂设备，包装未开封，而且设备（包括零部件） 应是交付前六个月内生产且未被使用过的全新设备，同时必须在中国境内具有合法使用权。 2.投标设备必须保证：投标设备完全符合该设备规定的质量、规格和性能的要求，且在正确安装、正常使用和保养条件下，在规定的使用寿命期内性能满足承诺的指标要求。 3.投标人应提供原厂全套安装配件</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应急方案</w:t>
            </w:r>
          </w:p>
        </w:tc>
        <w:tc>
          <w:tcPr>
            <w:tcW w:type="dxa" w:w="1038"/>
          </w:tcPr>
          <w:p>
            <w:pPr>
              <w:pStyle w:val="null3"/>
            </w:pPr>
            <w:r>
              <w:rPr/>
              <w:t>#</w:t>
            </w:r>
          </w:p>
        </w:tc>
        <w:tc>
          <w:tcPr>
            <w:tcW w:type="dxa" w:w="1038"/>
          </w:tcPr>
          <w:p>
            <w:pPr>
              <w:pStyle w:val="null3"/>
            </w:pPr>
            <w:r>
              <w:rPr/>
              <w:t>应急方案</w:t>
            </w:r>
          </w:p>
        </w:tc>
        <w:tc>
          <w:tcPr>
            <w:tcW w:type="dxa" w:w="1038"/>
          </w:tcPr>
          <w:p>
            <w:pPr>
              <w:pStyle w:val="null3"/>
            </w:pPr>
            <w:r>
              <w:rPr/>
              <w:t>应急方案</w:t>
            </w:r>
          </w:p>
        </w:tc>
        <w:tc>
          <w:tcPr>
            <w:tcW w:type="dxa" w:w="1038"/>
          </w:tcPr>
          <w:p>
            <w:pPr>
              <w:pStyle w:val="null3"/>
            </w:pPr>
            <w:r>
              <w:rPr/>
              <w:t>供应商应提供产品过程中，可能导致项目异常中断或终止的突发事件制定的管理方案。</w:t>
            </w:r>
          </w:p>
        </w:tc>
        <w:tc>
          <w:tcPr>
            <w:tcW w:type="dxa" w:w="1038"/>
          </w:tcPr>
          <w:p>
            <w:pPr>
              <w:pStyle w:val="null3"/>
            </w:pPr>
            <w:r>
              <w:rPr/>
              <w:t>是</w:t>
            </w:r>
          </w:p>
        </w:tc>
        <w:tc>
          <w:tcPr>
            <w:tcW w:type="dxa" w:w="1038"/>
          </w:tcPr>
          <w:p>
            <w:pPr>
              <w:pStyle w:val="null3"/>
            </w:pPr>
            <w:r>
              <w:rPr/>
              <w:t>提供应急方案</w:t>
            </w:r>
          </w:p>
        </w:tc>
      </w:tr>
      <w:tr>
        <w:tc>
          <w:tcPr>
            <w:tcW w:type="dxa" w:w="1038"/>
          </w:tcPr>
          <w:p>
            <w:pPr>
              <w:pStyle w:val="null3"/>
            </w:pPr>
            <w:r>
              <w:rPr/>
              <w:t>15</w:t>
            </w:r>
          </w:p>
        </w:tc>
        <w:tc>
          <w:tcPr>
            <w:tcW w:type="dxa" w:w="1038"/>
          </w:tcPr>
          <w:p>
            <w:pPr>
              <w:pStyle w:val="null3"/>
            </w:pPr>
            <w:r>
              <w:rPr/>
              <w:t>现场实施服务要求</w:t>
            </w:r>
          </w:p>
        </w:tc>
        <w:tc>
          <w:tcPr>
            <w:tcW w:type="dxa" w:w="1038"/>
          </w:tcPr>
          <w:p>
            <w:pPr>
              <w:pStyle w:val="null3"/>
            </w:pPr>
            <w:r>
              <w:rPr/>
              <w:t>★</w:t>
            </w:r>
          </w:p>
        </w:tc>
        <w:tc>
          <w:tcPr>
            <w:tcW w:type="dxa" w:w="1038"/>
          </w:tcPr>
          <w:p>
            <w:pPr>
              <w:pStyle w:val="null3"/>
            </w:pPr>
            <w:r>
              <w:rPr/>
              <w:t>现场实施服务要求</w:t>
            </w:r>
          </w:p>
        </w:tc>
        <w:tc>
          <w:tcPr>
            <w:tcW w:type="dxa" w:w="1038"/>
          </w:tcPr>
          <w:p>
            <w:pPr>
              <w:pStyle w:val="null3"/>
            </w:pPr>
            <w:r>
              <w:rPr/>
              <w:t>现场实施服务要求</w:t>
            </w:r>
          </w:p>
        </w:tc>
        <w:tc>
          <w:tcPr>
            <w:tcW w:type="dxa" w:w="1038"/>
          </w:tcPr>
          <w:p>
            <w:pPr>
              <w:pStyle w:val="null3"/>
            </w:pPr>
            <w:r>
              <w:rPr/>
              <w:t>1.协助、配合用户的工作，包括但不限于送货到用户指定位置，配合到货验收、按序列号提供设备原厂质保查询等。 2.在实施过程中，服从用户的统一管理，严格执行采购人相关管理制度和标准规范。</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安装调试要求</w:t>
            </w:r>
          </w:p>
        </w:tc>
        <w:tc>
          <w:tcPr>
            <w:tcW w:type="dxa" w:w="1038"/>
          </w:tcPr>
          <w:p>
            <w:pPr>
              <w:pStyle w:val="null3"/>
            </w:pPr>
            <w:r>
              <w:rPr/>
              <w:t>★</w:t>
            </w:r>
          </w:p>
        </w:tc>
        <w:tc>
          <w:tcPr>
            <w:tcW w:type="dxa" w:w="1038"/>
          </w:tcPr>
          <w:p>
            <w:pPr>
              <w:pStyle w:val="null3"/>
            </w:pPr>
            <w:r>
              <w:rPr/>
              <w:t>安装调试要求</w:t>
            </w:r>
          </w:p>
        </w:tc>
        <w:tc>
          <w:tcPr>
            <w:tcW w:type="dxa" w:w="1038"/>
          </w:tcPr>
          <w:p>
            <w:pPr>
              <w:pStyle w:val="null3"/>
            </w:pPr>
            <w:r>
              <w:rPr/>
              <w:t>安装调试要求</w:t>
            </w:r>
          </w:p>
        </w:tc>
        <w:tc>
          <w:tcPr>
            <w:tcW w:type="dxa" w:w="1038"/>
          </w:tcPr>
          <w:p>
            <w:pPr>
              <w:pStyle w:val="null3"/>
            </w:pPr>
            <w:r>
              <w:rPr/>
              <w:t>1.设备提供商根据用户的物理部署要求提供设备连接所需的一切电缆、接头、配件等，采购人不再支付任何费 用。 2.所有设备的配置需保证系统的完整性。如果设备提供商在响应文件中所提供的产品配置存在任何遗漏，影响 系统的完整性，到系统集成安装需要时，设备提供商必须负责免费提供，采购人不再支付任何费用。</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质保期（维保期）服务要求</w:t>
            </w:r>
          </w:p>
        </w:tc>
        <w:tc>
          <w:tcPr>
            <w:tcW w:type="dxa" w:w="1038"/>
          </w:tcPr>
          <w:p>
            <w:pPr>
              <w:pStyle w:val="null3"/>
            </w:pPr>
            <w:r>
              <w:rPr/>
              <w:t>★</w:t>
            </w:r>
          </w:p>
        </w:tc>
        <w:tc>
          <w:tcPr>
            <w:tcW w:type="dxa" w:w="1038"/>
          </w:tcPr>
          <w:p>
            <w:pPr>
              <w:pStyle w:val="null3"/>
            </w:pPr>
            <w:r>
              <w:rPr/>
              <w:t>质保期（维保期）服务要求</w:t>
            </w:r>
          </w:p>
        </w:tc>
        <w:tc>
          <w:tcPr>
            <w:tcW w:type="dxa" w:w="1038"/>
          </w:tcPr>
          <w:p>
            <w:pPr>
              <w:pStyle w:val="null3"/>
            </w:pPr>
            <w:r>
              <w:rPr/>
              <w:t>维保期</w:t>
            </w:r>
          </w:p>
        </w:tc>
        <w:tc>
          <w:tcPr>
            <w:tcW w:type="dxa" w:w="1038"/>
          </w:tcPr>
          <w:p>
            <w:pPr>
              <w:pStyle w:val="null3"/>
            </w:pPr>
            <w:r>
              <w:rPr/>
              <w:t>自初验验收通过之日起6年维保</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质量保证期（免费维保期）外的技术支持与服务要求</w:t>
            </w:r>
          </w:p>
        </w:tc>
        <w:tc>
          <w:tcPr>
            <w:tcW w:type="dxa" w:w="1038"/>
          </w:tcPr>
          <w:p>
            <w:pPr>
              <w:pStyle w:val="null3"/>
            </w:pPr>
            <w:r>
              <w:rPr/>
              <w:t>★</w:t>
            </w:r>
          </w:p>
        </w:tc>
        <w:tc>
          <w:tcPr>
            <w:tcW w:type="dxa" w:w="1038"/>
          </w:tcPr>
          <w:p>
            <w:pPr>
              <w:pStyle w:val="null3"/>
            </w:pPr>
            <w:r>
              <w:rPr/>
              <w:t>质量保证期（免费维保期）外的技术支持与服务要求</w:t>
            </w:r>
          </w:p>
        </w:tc>
        <w:tc>
          <w:tcPr>
            <w:tcW w:type="dxa" w:w="1038"/>
          </w:tcPr>
          <w:p>
            <w:pPr>
              <w:pStyle w:val="null3"/>
            </w:pPr>
            <w:r>
              <w:rPr/>
              <w:t>质量保证期（维保期）外的技术支持与服务</w:t>
            </w:r>
          </w:p>
        </w:tc>
        <w:tc>
          <w:tcPr>
            <w:tcW w:type="dxa" w:w="1038"/>
          </w:tcPr>
          <w:p>
            <w:pPr>
              <w:pStyle w:val="null3"/>
            </w:pPr>
            <w:r>
              <w:rPr/>
              <w:t>质量保证期满后，采购人可要求设备生产厂商继续提供有偿的维保服务，服务内容与标准与本项目要求一致。 质保期外维保服务报价（元/台/年）不得高于该设备投标单价（不含税，元/台）的 10%。</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备品备件服务要求</w:t>
            </w:r>
          </w:p>
        </w:tc>
        <w:tc>
          <w:tcPr>
            <w:tcW w:type="dxa" w:w="1038"/>
          </w:tcPr>
          <w:p>
            <w:pPr>
              <w:pStyle w:val="null3"/>
            </w:pPr>
            <w:r>
              <w:rPr/>
              <w:t>#</w:t>
            </w:r>
          </w:p>
        </w:tc>
        <w:tc>
          <w:tcPr>
            <w:tcW w:type="dxa" w:w="1038"/>
          </w:tcPr>
          <w:p>
            <w:pPr>
              <w:pStyle w:val="null3"/>
            </w:pPr>
            <w:r>
              <w:rPr/>
              <w:t>备品备件服务要求</w:t>
            </w:r>
          </w:p>
        </w:tc>
        <w:tc>
          <w:tcPr>
            <w:tcW w:type="dxa" w:w="1038"/>
          </w:tcPr>
          <w:p>
            <w:pPr>
              <w:pStyle w:val="null3"/>
            </w:pPr>
            <w:r>
              <w:rPr/>
              <w:t>备品备件 方案</w:t>
            </w:r>
          </w:p>
        </w:tc>
        <w:tc>
          <w:tcPr>
            <w:tcW w:type="dxa" w:w="1038"/>
          </w:tcPr>
          <w:p>
            <w:pPr>
              <w:pStyle w:val="null3"/>
            </w:pPr>
            <w:r>
              <w:rPr/>
              <w:t>1.备品备件必须是原设备厂商提供的原厂备件。</w:t>
            </w:r>
            <w:r>
              <w:br/>
            </w:r>
            <w:r>
              <w:rPr/>
              <w:t xml:space="preserve"> 2.投标人负责办理备品、备件等货物的运输及运输保险事宜，并将货物送达用户指定的现场。支付交货前发生的包装费、运费、保险费、商检费、搬运费等费用由投标人负责，招标人不再另行支付费用。</w:t>
            </w:r>
          </w:p>
        </w:tc>
        <w:tc>
          <w:tcPr>
            <w:tcW w:type="dxa" w:w="1038"/>
          </w:tcPr>
          <w:p>
            <w:pPr>
              <w:pStyle w:val="null3"/>
            </w:pPr>
            <w:r>
              <w:rPr/>
              <w:t>是</w:t>
            </w:r>
          </w:p>
        </w:tc>
        <w:tc>
          <w:tcPr>
            <w:tcW w:type="dxa" w:w="1038"/>
          </w:tcPr>
          <w:p>
            <w:pPr>
              <w:pStyle w:val="null3"/>
            </w:pPr>
            <w:r>
              <w:rPr/>
              <w:t>提供备品备件方案</w:t>
            </w:r>
          </w:p>
        </w:tc>
      </w:tr>
      <w:tr>
        <w:tc>
          <w:tcPr>
            <w:tcW w:type="dxa" w:w="1038"/>
          </w:tcPr>
          <w:p>
            <w:pPr>
              <w:pStyle w:val="null3"/>
            </w:pPr>
            <w:r>
              <w:rPr/>
              <w:t>20</w:t>
            </w:r>
          </w:p>
        </w:tc>
        <w:tc>
          <w:tcPr>
            <w:tcW w:type="dxa" w:w="1038"/>
          </w:tcPr>
          <w:p>
            <w:pPr>
              <w:pStyle w:val="null3"/>
            </w:pPr>
            <w:r>
              <w:rPr/>
              <w:t>备品备件服务要求</w:t>
            </w:r>
          </w:p>
        </w:tc>
        <w:tc>
          <w:tcPr>
            <w:tcW w:type="dxa" w:w="1038"/>
          </w:tcPr>
          <w:p>
            <w:pPr>
              <w:pStyle w:val="null3"/>
            </w:pPr>
            <w:r>
              <w:rPr/>
              <w:t>#</w:t>
            </w:r>
          </w:p>
        </w:tc>
        <w:tc>
          <w:tcPr>
            <w:tcW w:type="dxa" w:w="1038"/>
          </w:tcPr>
          <w:p>
            <w:pPr>
              <w:pStyle w:val="null3"/>
            </w:pPr>
            <w:r>
              <w:rPr/>
              <w:t>备品备件服务要求</w:t>
            </w:r>
          </w:p>
        </w:tc>
        <w:tc>
          <w:tcPr>
            <w:tcW w:type="dxa" w:w="1038"/>
          </w:tcPr>
          <w:p>
            <w:pPr>
              <w:pStyle w:val="null3"/>
            </w:pPr>
            <w:r>
              <w:rPr/>
              <w:t>备品备件方案</w:t>
            </w:r>
          </w:p>
        </w:tc>
        <w:tc>
          <w:tcPr>
            <w:tcW w:type="dxa" w:w="1038"/>
          </w:tcPr>
          <w:p>
            <w:pPr>
              <w:pStyle w:val="null3"/>
            </w:pPr>
            <w:r>
              <w:rPr/>
              <w:t>供应商应提供免费维保期内备品备件方案，具有备件库的数量、分布、规模和服务条款等内容</w:t>
            </w:r>
          </w:p>
        </w:tc>
        <w:tc>
          <w:tcPr>
            <w:tcW w:type="dxa" w:w="1038"/>
          </w:tcPr>
          <w:p>
            <w:pPr>
              <w:pStyle w:val="null3"/>
            </w:pPr>
            <w:r>
              <w:rPr/>
              <w:t>是</w:t>
            </w:r>
          </w:p>
        </w:tc>
        <w:tc>
          <w:tcPr>
            <w:tcW w:type="dxa" w:w="1038"/>
          </w:tcPr>
          <w:p>
            <w:pPr>
              <w:pStyle w:val="null3"/>
            </w:pPr>
            <w:r>
              <w:rPr/>
              <w:t>提供备品备件方案</w:t>
            </w:r>
          </w:p>
        </w:tc>
      </w:tr>
      <w:tr>
        <w:tc>
          <w:tcPr>
            <w:tcW w:type="dxa" w:w="1038"/>
          </w:tcPr>
          <w:p>
            <w:pPr>
              <w:pStyle w:val="null3"/>
            </w:pPr>
            <w:r>
              <w:rPr/>
              <w:t>21</w:t>
            </w:r>
          </w:p>
        </w:tc>
        <w:tc>
          <w:tcPr>
            <w:tcW w:type="dxa" w:w="1038"/>
          </w:tcPr>
          <w:p>
            <w:pPr>
              <w:pStyle w:val="null3"/>
            </w:pPr>
            <w:r>
              <w:rPr/>
              <w:t>验收要求及履约验收方案</w:t>
            </w:r>
          </w:p>
        </w:tc>
        <w:tc>
          <w:tcPr>
            <w:tcW w:type="dxa" w:w="1038"/>
          </w:tcPr>
          <w:p>
            <w:pPr>
              <w:pStyle w:val="null3"/>
            </w:pPr>
            <w:r>
              <w:rPr/>
              <w:t>★</w:t>
            </w:r>
          </w:p>
        </w:tc>
        <w:tc>
          <w:tcPr>
            <w:tcW w:type="dxa" w:w="1038"/>
          </w:tcPr>
          <w:p>
            <w:pPr>
              <w:pStyle w:val="null3"/>
            </w:pPr>
            <w:r>
              <w:rPr/>
              <w:t>验收要求及履约验收方案</w:t>
            </w:r>
          </w:p>
        </w:tc>
        <w:tc>
          <w:tcPr>
            <w:tcW w:type="dxa" w:w="1038"/>
          </w:tcPr>
          <w:p>
            <w:pPr>
              <w:pStyle w:val="null3"/>
            </w:pPr>
            <w:r>
              <w:rPr/>
              <w:t>验收主体</w:t>
            </w:r>
          </w:p>
        </w:tc>
        <w:tc>
          <w:tcPr>
            <w:tcW w:type="dxa" w:w="1038"/>
          </w:tcPr>
          <w:p>
            <w:pPr>
              <w:pStyle w:val="null3"/>
            </w:pPr>
            <w:r>
              <w:rPr/>
              <w:t>采购人内部需求部门。 拟邀请：采购人内部相关部门以及验收规定的其他部门组成验收小组 拟邀请：（□本项目供应商 □第三方专业机构 □专家 □服务对象）</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验收要求及履约验收方案</w:t>
            </w:r>
          </w:p>
        </w:tc>
        <w:tc>
          <w:tcPr>
            <w:tcW w:type="dxa" w:w="1038"/>
          </w:tcPr>
          <w:p>
            <w:pPr>
              <w:pStyle w:val="null3"/>
            </w:pPr>
            <w:r>
              <w:rPr/>
              <w:t>★</w:t>
            </w:r>
          </w:p>
        </w:tc>
        <w:tc>
          <w:tcPr>
            <w:tcW w:type="dxa" w:w="1038"/>
          </w:tcPr>
          <w:p>
            <w:pPr>
              <w:pStyle w:val="null3"/>
            </w:pPr>
            <w:r>
              <w:rPr/>
              <w:t>验收要求及履约验收方案</w:t>
            </w:r>
          </w:p>
        </w:tc>
        <w:tc>
          <w:tcPr>
            <w:tcW w:type="dxa" w:w="1038"/>
          </w:tcPr>
          <w:p>
            <w:pPr>
              <w:pStyle w:val="null3"/>
            </w:pPr>
            <w:r>
              <w:rPr/>
              <w:t>验收时间</w:t>
            </w:r>
          </w:p>
        </w:tc>
        <w:tc>
          <w:tcPr>
            <w:tcW w:type="dxa" w:w="1038"/>
          </w:tcPr>
          <w:p>
            <w:pPr>
              <w:pStyle w:val="null3"/>
            </w:pPr>
            <w:r>
              <w:rPr/>
              <w:t>交货时间：合同生效之日起 20 个工作日内。 初验验收时间：自交货完成后起10个工作日内。 维保服务验收：初验验收通过之日起，提供本项目采购内容中所有服务与设备的6年维保服务。在维保服务期满后，20个工作日内完成维保服务验收。</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验收要求及履约验收方案</w:t>
            </w:r>
          </w:p>
        </w:tc>
        <w:tc>
          <w:tcPr>
            <w:tcW w:type="dxa" w:w="1038"/>
          </w:tcPr>
          <w:p>
            <w:pPr>
              <w:pStyle w:val="null3"/>
            </w:pPr>
            <w:r>
              <w:rPr/>
              <w:t>★</w:t>
            </w:r>
          </w:p>
        </w:tc>
        <w:tc>
          <w:tcPr>
            <w:tcW w:type="dxa" w:w="1038"/>
          </w:tcPr>
          <w:p>
            <w:pPr>
              <w:pStyle w:val="null3"/>
            </w:pPr>
            <w:r>
              <w:rPr/>
              <w:t>验收要求及履约验收方案</w:t>
            </w:r>
          </w:p>
        </w:tc>
        <w:tc>
          <w:tcPr>
            <w:tcW w:type="dxa" w:w="1038"/>
          </w:tcPr>
          <w:p>
            <w:pPr>
              <w:pStyle w:val="null3"/>
            </w:pPr>
            <w:r>
              <w:rPr/>
              <w:t>验收地点</w:t>
            </w:r>
          </w:p>
        </w:tc>
        <w:tc>
          <w:tcPr>
            <w:tcW w:type="dxa" w:w="1038"/>
          </w:tcPr>
          <w:p>
            <w:pPr>
              <w:pStyle w:val="null3"/>
            </w:pPr>
            <w:r>
              <w:rPr/>
              <w:t>北京，具体由采购人指定。</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验收要求及履约验收方案</w:t>
            </w:r>
          </w:p>
        </w:tc>
        <w:tc>
          <w:tcPr>
            <w:tcW w:type="dxa" w:w="1038"/>
          </w:tcPr>
          <w:p>
            <w:pPr>
              <w:pStyle w:val="null3"/>
            </w:pPr>
            <w:r>
              <w:rPr/>
              <w:t>★</w:t>
            </w:r>
          </w:p>
        </w:tc>
        <w:tc>
          <w:tcPr>
            <w:tcW w:type="dxa" w:w="1038"/>
          </w:tcPr>
          <w:p>
            <w:pPr>
              <w:pStyle w:val="null3"/>
            </w:pPr>
            <w:r>
              <w:rPr/>
              <w:t>验收要求及履约验收方案</w:t>
            </w:r>
          </w:p>
        </w:tc>
        <w:tc>
          <w:tcPr>
            <w:tcW w:type="dxa" w:w="1038"/>
          </w:tcPr>
          <w:p>
            <w:pPr>
              <w:pStyle w:val="null3"/>
            </w:pPr>
            <w:r>
              <w:rPr/>
              <w:t>验收方式</w:t>
            </w:r>
          </w:p>
        </w:tc>
        <w:tc>
          <w:tcPr>
            <w:tcW w:type="dxa" w:w="1038"/>
          </w:tcPr>
          <w:p>
            <w:pPr>
              <w:pStyle w:val="null3"/>
            </w:pPr>
            <w:r>
              <w:rPr/>
              <w:t>分阶段验收</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验收要求及履约验收方案</w:t>
            </w:r>
          </w:p>
        </w:tc>
        <w:tc>
          <w:tcPr>
            <w:tcW w:type="dxa" w:w="1038"/>
          </w:tcPr>
          <w:p>
            <w:pPr>
              <w:pStyle w:val="null3"/>
            </w:pPr>
            <w:r>
              <w:rPr/>
              <w:t>★</w:t>
            </w:r>
          </w:p>
        </w:tc>
        <w:tc>
          <w:tcPr>
            <w:tcW w:type="dxa" w:w="1038"/>
          </w:tcPr>
          <w:p>
            <w:pPr>
              <w:pStyle w:val="null3"/>
            </w:pPr>
            <w:r>
              <w:rPr/>
              <w:t>验收要求及履约验收方案</w:t>
            </w:r>
          </w:p>
        </w:tc>
        <w:tc>
          <w:tcPr>
            <w:tcW w:type="dxa" w:w="1038"/>
          </w:tcPr>
          <w:p>
            <w:pPr>
              <w:pStyle w:val="null3"/>
            </w:pPr>
            <w:r>
              <w:rPr/>
              <w:t>验收方法</w:t>
            </w:r>
          </w:p>
        </w:tc>
        <w:tc>
          <w:tcPr>
            <w:tcW w:type="dxa" w:w="1038"/>
          </w:tcPr>
          <w:p>
            <w:pPr>
              <w:pStyle w:val="null3"/>
            </w:pPr>
            <w:r>
              <w:rPr/>
              <w:t>初验验收：清点货物数量、查验品牌（型号） 维保服务验收：采购人发起部门组织验收小组进行验收。</w:t>
            </w:r>
          </w:p>
        </w:tc>
        <w:tc>
          <w:tcPr>
            <w:tcW w:type="dxa" w:w="1038"/>
          </w:tcPr>
          <w:p>
            <w:pPr>
              <w:pStyle w:val="null3"/>
            </w:pPr>
            <w:r>
              <w:rPr/>
              <w:t>否</w:t>
            </w:r>
          </w:p>
        </w:tc>
        <w:tc>
          <w:tcPr>
            <w:tcW w:type="dxa" w:w="1038"/>
          </w:tcPr>
          <w:p/>
        </w:tc>
      </w:tr>
      <w:tr>
        <w:tc>
          <w:tcPr>
            <w:tcW w:type="dxa" w:w="1038"/>
          </w:tcPr>
          <w:p>
            <w:pPr>
              <w:pStyle w:val="null3"/>
            </w:pPr>
            <w:r>
              <w:rPr/>
              <w:t>26</w:t>
            </w:r>
          </w:p>
        </w:tc>
        <w:tc>
          <w:tcPr>
            <w:tcW w:type="dxa" w:w="1038"/>
          </w:tcPr>
          <w:p>
            <w:pPr>
              <w:pStyle w:val="null3"/>
            </w:pPr>
            <w:r>
              <w:rPr/>
              <w:t>验收要求及履约验收方案</w:t>
            </w:r>
          </w:p>
        </w:tc>
        <w:tc>
          <w:tcPr>
            <w:tcW w:type="dxa" w:w="1038"/>
          </w:tcPr>
          <w:p>
            <w:pPr>
              <w:pStyle w:val="null3"/>
            </w:pPr>
            <w:r>
              <w:rPr/>
              <w:t>★</w:t>
            </w:r>
          </w:p>
        </w:tc>
        <w:tc>
          <w:tcPr>
            <w:tcW w:type="dxa" w:w="1038"/>
          </w:tcPr>
          <w:p>
            <w:pPr>
              <w:pStyle w:val="null3"/>
            </w:pPr>
            <w:r>
              <w:rPr/>
              <w:t>验收要求及履约验收方案</w:t>
            </w:r>
          </w:p>
        </w:tc>
        <w:tc>
          <w:tcPr>
            <w:tcW w:type="dxa" w:w="1038"/>
          </w:tcPr>
          <w:p>
            <w:pPr>
              <w:pStyle w:val="null3"/>
            </w:pPr>
            <w:r>
              <w:rPr/>
              <w:t>验收内容</w:t>
            </w:r>
          </w:p>
        </w:tc>
        <w:tc>
          <w:tcPr>
            <w:tcW w:type="dxa" w:w="1038"/>
          </w:tcPr>
          <w:p>
            <w:pPr>
              <w:pStyle w:val="null3"/>
            </w:pPr>
            <w:r>
              <w:rPr/>
              <w:t>采购需求条款的每一项技术要求和商务要求，以及供应商响应、承诺的相关内容，与采购合同约定内容一致。采购人将对供应商响应文件中的技术服务方案、正偏离响应、评审因素及相关承诺进行验收，验收范围与采购需求书的实际要求范围保持一致。</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验收要求及履约验收方案</w:t>
            </w:r>
          </w:p>
        </w:tc>
        <w:tc>
          <w:tcPr>
            <w:tcW w:type="dxa" w:w="1038"/>
          </w:tcPr>
          <w:p>
            <w:pPr>
              <w:pStyle w:val="null3"/>
            </w:pPr>
            <w:r>
              <w:rPr/>
              <w:t>★</w:t>
            </w:r>
          </w:p>
        </w:tc>
        <w:tc>
          <w:tcPr>
            <w:tcW w:type="dxa" w:w="1038"/>
          </w:tcPr>
          <w:p>
            <w:pPr>
              <w:pStyle w:val="null3"/>
            </w:pPr>
            <w:r>
              <w:rPr/>
              <w:t>验收要求及履约验收方案</w:t>
            </w:r>
          </w:p>
        </w:tc>
        <w:tc>
          <w:tcPr>
            <w:tcW w:type="dxa" w:w="1038"/>
          </w:tcPr>
          <w:p>
            <w:pPr>
              <w:pStyle w:val="null3"/>
            </w:pPr>
            <w:r>
              <w:rPr/>
              <w:t>验收标准</w:t>
            </w:r>
          </w:p>
        </w:tc>
        <w:tc>
          <w:tcPr>
            <w:tcW w:type="dxa" w:w="1038"/>
          </w:tcPr>
          <w:p>
            <w:pPr>
              <w:pStyle w:val="null3"/>
            </w:pPr>
            <w:r>
              <w:rPr/>
              <w:t>满足采购人采购需求中对应的货物与服务要求，并按照列入采购合同的供应商响应、承诺内容及完成所有服务的情况进行验收。</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验收要求及履约验收方案</w:t>
            </w:r>
          </w:p>
        </w:tc>
        <w:tc>
          <w:tcPr>
            <w:tcW w:type="dxa" w:w="1038"/>
          </w:tcPr>
          <w:p>
            <w:pPr>
              <w:pStyle w:val="null3"/>
            </w:pPr>
            <w:r>
              <w:rPr/>
              <w:t>★</w:t>
            </w:r>
          </w:p>
        </w:tc>
        <w:tc>
          <w:tcPr>
            <w:tcW w:type="dxa" w:w="1038"/>
          </w:tcPr>
          <w:p>
            <w:pPr>
              <w:pStyle w:val="null3"/>
            </w:pPr>
            <w:r>
              <w:rPr/>
              <w:t>验收要求及履约验收方案</w:t>
            </w:r>
          </w:p>
        </w:tc>
        <w:tc>
          <w:tcPr>
            <w:tcW w:type="dxa" w:w="1038"/>
          </w:tcPr>
          <w:p>
            <w:pPr>
              <w:pStyle w:val="null3"/>
            </w:pPr>
            <w:r>
              <w:rPr/>
              <w:t>其他事项1</w:t>
            </w:r>
          </w:p>
        </w:tc>
        <w:tc>
          <w:tcPr>
            <w:tcW w:type="dxa" w:w="1038"/>
          </w:tcPr>
          <w:p>
            <w:pPr>
              <w:pStyle w:val="null3"/>
            </w:pPr>
            <w:r>
              <w:rPr/>
              <w:t>1.满足验收条件后，甲方对产品进行验收，乙方配合验收。验收结果以甲方意见为准。甲方有权根据验收结果出具【验收报告或验收单（格式详见附件）】，乙方应在【10】个工作日内进行书面认定，乙方迟延或拒绝书面认定的，视为同意。 2.如验收中出现质量问题或由于验收失败而影响采购人项目的进度，采购人保留索赔的权利。</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履约验收交付文档要求</w:t>
            </w:r>
          </w:p>
        </w:tc>
        <w:tc>
          <w:tcPr>
            <w:tcW w:type="dxa" w:w="1038"/>
          </w:tcPr>
          <w:p>
            <w:pPr>
              <w:pStyle w:val="null3"/>
            </w:pPr>
            <w:r>
              <w:rPr/>
              <w:t>★</w:t>
            </w:r>
          </w:p>
        </w:tc>
        <w:tc>
          <w:tcPr>
            <w:tcW w:type="dxa" w:w="1038"/>
          </w:tcPr>
          <w:p>
            <w:pPr>
              <w:pStyle w:val="null3"/>
            </w:pPr>
            <w:r>
              <w:rPr/>
              <w:t>履约验收交付文档要求</w:t>
            </w:r>
          </w:p>
        </w:tc>
        <w:tc>
          <w:tcPr>
            <w:tcW w:type="dxa" w:w="1038"/>
          </w:tcPr>
          <w:p>
            <w:pPr>
              <w:pStyle w:val="null3"/>
            </w:pPr>
            <w:r>
              <w:rPr/>
              <w:t>履约验收交付文档</w:t>
            </w:r>
          </w:p>
        </w:tc>
        <w:tc>
          <w:tcPr>
            <w:tcW w:type="dxa" w:w="1038"/>
          </w:tcPr>
          <w:p>
            <w:pPr>
              <w:pStyle w:val="null3"/>
            </w:pPr>
            <w:r>
              <w:rPr/>
              <w:t>一、初验验收阶段提供： 1.《应急处理方案》 二、维保服务验收提供： 1.《维保启动函》 2.《维保实施方案》 3.《现场处理单》 4.《年度服务总结报告》 5. 《服务总结报告》</w:t>
            </w:r>
          </w:p>
        </w:tc>
        <w:tc>
          <w:tcPr>
            <w:tcW w:type="dxa" w:w="1038"/>
          </w:tcPr>
          <w:p>
            <w:pPr>
              <w:pStyle w:val="null3"/>
            </w:pPr>
            <w:r>
              <w:rPr/>
              <w:t>否</w:t>
            </w:r>
          </w:p>
        </w:tc>
        <w:tc>
          <w:tcPr>
            <w:tcW w:type="dxa" w:w="1038"/>
          </w:tcP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初验验收</w:t>
            </w:r>
          </w:p>
        </w:tc>
        <w:tc>
          <w:tcPr>
            <w:tcW w:type="dxa" w:w="1384"/>
          </w:tcPr>
          <w:p>
            <w:pPr>
              <w:pStyle w:val="null3"/>
              <w:jc w:val="left"/>
            </w:pPr>
            <w:r>
              <w:rPr/>
              <w:t>初验验收后，甲方收到乙方提供的全额增值税专用发票、生效验收报告等单据后10个工作日内支付。</w:t>
            </w:r>
          </w:p>
        </w:tc>
        <w:tc>
          <w:tcPr>
            <w:tcW w:type="dxa" w:w="1384"/>
          </w:tcPr>
          <w:p>
            <w:pPr>
              <w:pStyle w:val="null3"/>
              <w:jc w:val="left"/>
            </w:pPr>
            <w:r>
              <w:rPr/>
              <w:t>95.00</w:t>
            </w:r>
            <w:r>
              <w:rPr/>
              <w:t>%</w:t>
            </w:r>
          </w:p>
        </w:tc>
        <w:tc>
          <w:tcPr>
            <w:tcW w:type="dxa" w:w="1384"/>
          </w:tcPr>
          <w:p>
            <w:pPr>
              <w:pStyle w:val="null3"/>
              <w:jc w:val="left"/>
            </w:pPr>
            <w:r>
              <w:rPr/>
              <w:t>对公转账</w:t>
            </w:r>
          </w:p>
        </w:tc>
        <w:tc>
          <w:tcPr>
            <w:tcW w:type="dxa" w:w="1384"/>
          </w:tcPr>
          <w:p>
            <w:pPr>
              <w:pStyle w:val="null3"/>
              <w:jc w:val="left"/>
            </w:pPr>
            <w:r>
              <w:rPr/>
              <w:t>无</w:t>
            </w:r>
          </w:p>
        </w:tc>
      </w:tr>
      <w:tr>
        <w:tc>
          <w:tcPr>
            <w:tcW w:type="dxa" w:w="1384"/>
          </w:tcPr>
          <w:p>
            <w:pPr>
              <w:pStyle w:val="null3"/>
              <w:jc w:val="left"/>
            </w:pPr>
            <w:r>
              <w:rPr/>
              <w:t>2</w:t>
            </w:r>
          </w:p>
        </w:tc>
        <w:tc>
          <w:tcPr>
            <w:tcW w:type="dxa" w:w="1384"/>
          </w:tcPr>
          <w:p>
            <w:pPr>
              <w:pStyle w:val="null3"/>
              <w:jc w:val="left"/>
            </w:pPr>
            <w:r>
              <w:rPr/>
              <w:t>维保服务验收</w:t>
            </w:r>
          </w:p>
        </w:tc>
        <w:tc>
          <w:tcPr>
            <w:tcW w:type="dxa" w:w="1384"/>
          </w:tcPr>
          <w:p>
            <w:pPr>
              <w:pStyle w:val="null3"/>
              <w:jc w:val="left"/>
            </w:pPr>
            <w:r>
              <w:rPr/>
              <w:t>全部维保服务结束后并经甲方验收通过，甲方收到乙方提供的生效验收报告等单据后10个工作日内支付。</w:t>
            </w:r>
          </w:p>
        </w:tc>
        <w:tc>
          <w:tcPr>
            <w:tcW w:type="dxa" w:w="1384"/>
          </w:tcPr>
          <w:p>
            <w:pPr>
              <w:pStyle w:val="null3"/>
              <w:jc w:val="left"/>
            </w:pPr>
            <w:r>
              <w:rPr/>
              <w:t>5.00</w:t>
            </w:r>
            <w:r>
              <w:rPr/>
              <w:t>%</w:t>
            </w:r>
          </w:p>
        </w:tc>
        <w:tc>
          <w:tcPr>
            <w:tcW w:type="dxa" w:w="1384"/>
          </w:tcPr>
          <w:p>
            <w:pPr>
              <w:pStyle w:val="null3"/>
              <w:jc w:val="left"/>
            </w:pPr>
            <w:r>
              <w:rPr/>
              <w:t>对公转账</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both"/>
      </w:pPr>
      <w:r>
        <w:rPr/>
        <w:t>（1）验收主体</w:t>
      </w:r>
    </w:p>
    <w:p>
      <w:pPr>
        <w:pStyle w:val="null3"/>
        <w:jc w:val="both"/>
      </w:pPr>
      <w:r>
        <w:rPr/>
        <w:t>采购人（需求部门）</w:t>
      </w:r>
      <w:r>
        <w:rPr>
          <w:u w:val="single"/>
        </w:rPr>
        <w:t>采购人内部需求部门。 拟邀请：采购人内部相关部门以及验收规定的其他部门组成验收小组。</w:t>
      </w:r>
    </w:p>
    <w:p>
      <w:pPr>
        <w:pStyle w:val="null3"/>
        <w:jc w:val="both"/>
      </w:pPr>
      <w:r>
        <w:rPr/>
        <w:t>采购人（需求部门）拟邀请（</w:t>
      </w:r>
      <w:r>
        <w:rPr/>
        <w:t>）</w:t>
      </w:r>
    </w:p>
    <w:p>
      <w:pPr>
        <w:pStyle w:val="null3"/>
        <w:jc w:val="both"/>
      </w:pPr>
      <w:r>
        <w:rPr/>
        <w:t>（2）验收时间</w:t>
      </w:r>
      <w:r>
        <w:rPr>
          <w:u w:val="single"/>
        </w:rPr>
        <w:t>交货时间：合同生效之日起 20 个工作日内。 初验验收：自交货完成后起10个工作日内。 维保服务验收：初验验收通过之日起，提供本项目采购内容中所有服务与设备的6年维保服务。在维保服务期满后，20个工作日内完成维保服务验收。</w:t>
      </w:r>
    </w:p>
    <w:p>
      <w:pPr>
        <w:pStyle w:val="null3"/>
        <w:jc w:val="both"/>
      </w:pPr>
      <w:r>
        <w:rPr/>
        <w:t>（3）验收方式</w:t>
      </w:r>
      <w:r>
        <w:rPr>
          <w:u w:val="single"/>
        </w:rPr>
        <w:t>分阶段验收</w:t>
      </w:r>
    </w:p>
    <w:p>
      <w:pPr>
        <w:pStyle w:val="null3"/>
        <w:jc w:val="both"/>
      </w:pPr>
      <w:r>
        <w:rPr/>
        <w:t>（4）验收程序</w:t>
      </w:r>
      <w:r>
        <w:rPr>
          <w:u w:val="single"/>
        </w:rPr>
        <w:t>采购人需求部门组织验收小组进行验收。</w:t>
      </w:r>
    </w:p>
    <w:p>
      <w:pPr>
        <w:pStyle w:val="null3"/>
        <w:jc w:val="both"/>
      </w:pPr>
      <w:r>
        <w:rPr/>
        <w:t>（5）验收内容</w:t>
      </w:r>
      <w:r>
        <w:rPr>
          <w:u w:val="single"/>
        </w:rPr>
        <w:t>采购需求条款的每一项技术要求和商务要求，以及供应商响应、承诺的相关内容，与采购合同约定内容一致。采购人将对供应商响应文件中的技术服务方案、正偏离响应、评审因素及相关承诺进行验收，验收范围与采购需求书的实际要求范围保持一致。</w:t>
      </w:r>
    </w:p>
    <w:p>
      <w:pPr>
        <w:pStyle w:val="null3"/>
        <w:jc w:val="both"/>
      </w:pPr>
      <w:r>
        <w:rPr/>
        <w:t>（6）验收标准</w:t>
      </w:r>
      <w:r>
        <w:rPr>
          <w:u w:val="single"/>
        </w:rPr>
        <w:t>满足采购人采购需求中对应的货物与服务要求，并按照列入采购合同的供应商响应、承诺内容及完成所有服务的情况进行验收。</w:t>
      </w:r>
    </w:p>
    <w:p>
      <w:pPr>
        <w:pStyle w:val="null3"/>
        <w:jc w:val="both"/>
      </w:pPr>
      <w:r>
        <w:rPr/>
        <w:t>（7）其他事项（如有）</w:t>
      </w:r>
      <w:r>
        <w:rPr>
          <w:u w:val="single"/>
        </w:rPr>
        <w:t>1.满足验收条件后，甲方对产品进行验收，乙方配合验收。验收结果以甲方意见为准。甲方有权根据验收结果出具【验收报告或验收单（格式详见附件）】，乙方应在【10】个工作日内进行书面认定，乙方迟延或拒绝书面认定的，视为同意。 2.如验收中出现质量问题或由于验收失败而影响采购人项目的进度，采购人保留索赔的权利。</w:t>
      </w:r>
      <w:r>
        <w:br/>
      </w:r>
    </w:p>
    <w:p>
      <w:pPr>
        <w:pStyle w:val="null3"/>
        <w:jc w:val="left"/>
        <w:outlineLvl w:val="2"/>
      </w:pPr>
      <w:r>
        <w:rPr>
          <w:sz w:val="28"/>
          <w:b/>
        </w:rPr>
        <w:t>3.5 其他</w:t>
      </w:r>
    </w:p>
    <w:p>
      <w:pPr>
        <w:pStyle w:val="null3"/>
        <w:jc w:val="both"/>
      </w:pPr>
      <w:r>
        <w:rPr>
          <w:rFonts w:ascii="黑体" w:hAnsi="黑体" w:cs="黑体" w:eastAsia="黑体"/>
          <w:sz w:val="32"/>
        </w:rPr>
        <w:t>附件：验收单据</w:t>
      </w:r>
    </w:p>
    <w:p>
      <w:pPr>
        <w:pStyle w:val="null3"/>
        <w:jc w:val="left"/>
      </w:pPr>
      <w:r>
        <w:rPr>
          <w:rFonts w:ascii="黑体" w:hAnsi="黑体" w:cs="黑体" w:eastAsia="黑体"/>
          <w:sz w:val="32"/>
        </w:rPr>
        <w:t>1.</w:t>
      </w:r>
      <w:r>
        <w:rPr>
          <w:rFonts w:ascii="黑体" w:hAnsi="黑体" w:cs="黑体" w:eastAsia="黑体"/>
          <w:sz w:val="32"/>
        </w:rPr>
        <w:t>验收清单模板</w:t>
      </w:r>
    </w:p>
    <w:p>
      <w:pPr>
        <w:pStyle w:val="null3"/>
        <w:jc w:val="center"/>
      </w:pPr>
      <w:r>
        <w:rPr>
          <w:rFonts w:ascii="仿宋_gb2312" w:hAnsi="仿宋_gb2312" w:cs="仿宋_gb2312" w:eastAsia="仿宋_gb2312"/>
          <w:sz w:val="32"/>
          <w:b/>
        </w:rPr>
        <w:t>验收清单</w:t>
      </w:r>
    </w:p>
    <w:tbl>
      <w:tblPr>
        <w:tblW w:w="0" w:type="auto"/>
        <w:tblBorders>
          <w:top w:val="none" w:color="000000" w:sz="4"/>
          <w:left w:val="none" w:color="000000" w:sz="4"/>
          <w:bottom w:val="none" w:color="000000" w:sz="4"/>
          <w:right w:val="none" w:color="000000" w:sz="4"/>
          <w:insideH w:val="none"/>
          <w:insideV w:val="none"/>
        </w:tblBorders>
      </w:tblPr>
      <w:tblGrid>
        <w:gridCol w:w="3274"/>
        <w:gridCol w:w="5018"/>
      </w:tblGrid>
      <w:tr>
        <w:tc>
          <w:tcPr>
            <w:tcW w:type="dxa" w:w="327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rPr>
              <w:t>采购合同基本信息</w:t>
            </w:r>
          </w:p>
        </w:tc>
        <w:tc>
          <w:tcPr>
            <w:tcW w:type="dxa" w:w="501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（合同编号、合同名称）</w:t>
            </w:r>
          </w:p>
        </w:tc>
      </w:tr>
      <w:tr>
        <w:tc>
          <w:tcPr>
            <w:tcW w:type="dxa" w:w="32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rPr>
              <w:t>验收小组成员</w:t>
            </w:r>
          </w:p>
        </w:tc>
        <w:tc>
          <w:tcPr>
            <w:tcW w:type="dxa" w:w="5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（由履约执行部门（人员）牵头组成至少3人（含）以上的验收小组。）</w:t>
            </w:r>
          </w:p>
        </w:tc>
      </w:tr>
      <w:tr>
        <w:tc>
          <w:tcPr>
            <w:tcW w:type="dxa" w:w="32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rPr>
              <w:t>验收内容</w:t>
            </w:r>
          </w:p>
        </w:tc>
        <w:tc>
          <w:tcPr>
            <w:tcW w:type="dxa" w:w="5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对货物类合同，应严格填写需在验收中核对的品牌、规格、型号、材质、配置、制造商名称、数量、价格、产品外观、包装、到货时间等信息；对服务类合同，应严格填写需在验收中核对的工作人员上岗人数、技术资格、专业素质、同业经验、考勤工作量、服务效果满意度等信息。对工程类合同，应严格填写需在验收中核对的工程质量、材料质量、工程量、安全情况、文明施工等信息。以上信息为参考标准，实际验收内容以合同约定为准。）</w:t>
            </w:r>
          </w:p>
        </w:tc>
      </w:tr>
      <w:tr>
        <w:tc>
          <w:tcPr>
            <w:tcW w:type="dxa" w:w="32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rPr>
              <w:t>验收标准</w:t>
            </w:r>
          </w:p>
        </w:tc>
        <w:tc>
          <w:tcPr>
            <w:tcW w:type="dxa" w:w="5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（验收不同阶段应各自对应明确的标准，包括所有客观、量化指标。不能明确客观标准、涉及主观判断的，可以通过开展问卷调查等方式，转化为客观、量化的验收标准。）</w:t>
            </w:r>
          </w:p>
        </w:tc>
      </w:tr>
    </w:tbl>
    <w:p>
      <w:pPr>
        <w:pStyle w:val="null3"/>
        <w:ind w:firstLine="420"/>
        <w:jc w:val="both"/>
      </w:pPr>
      <w:r>
        <w:rPr>
          <w:rFonts w:ascii="黑体" w:hAnsi="黑体" w:cs="黑体" w:eastAsia="黑体"/>
          <w:sz w:val="32"/>
        </w:rPr>
        <w:t>2.</w:t>
      </w:r>
      <w:r>
        <w:rPr>
          <w:rFonts w:ascii="黑体" w:hAnsi="黑体" w:cs="黑体" w:eastAsia="黑体"/>
          <w:sz w:val="32"/>
        </w:rPr>
        <w:t>验收实施计划模板（合同金额大于等于 500 万的采购项目需提供）</w:t>
      </w:r>
    </w:p>
    <w:p>
      <w:pPr>
        <w:pStyle w:val="null3"/>
        <w:jc w:val="center"/>
      </w:pPr>
      <w:r>
        <w:rPr>
          <w:rFonts w:ascii="仿宋_gb2312" w:hAnsi="仿宋_gb2312" w:cs="仿宋_gb2312" w:eastAsia="仿宋_gb2312"/>
          <w:sz w:val="32"/>
          <w:b/>
        </w:rPr>
        <w:t>验收实施计划</w:t>
      </w:r>
    </w:p>
    <w:p>
      <w:pPr>
        <w:pStyle w:val="null3"/>
        <w:jc w:val="both"/>
      </w:pPr>
      <w:r>
        <w:rPr>
          <w:rFonts w:ascii="仿宋_gb2312" w:hAnsi="仿宋_gb2312" w:cs="仿宋_gb2312" w:eastAsia="仿宋_gb2312"/>
          <w:sz w:val="24"/>
        </w:rPr>
        <w:t>【编写说明】</w:t>
      </w:r>
    </w:p>
    <w:p>
      <w:pPr>
        <w:pStyle w:val="null3"/>
        <w:jc w:val="both"/>
      </w:pPr>
      <w:r>
        <w:rPr>
          <w:rFonts w:ascii="仿宋_gb2312" w:hAnsi="仿宋_gb2312" w:cs="仿宋_gb2312" w:eastAsia="仿宋_gb2312"/>
          <w:sz w:val="24"/>
        </w:rPr>
        <w:t>在每次验收前均应根据履约验收方案及有关条款，制定验收实施计划。验收实施计划应列明：该次验收的阶段、时间、地点、方法、内容、标准、验收小组人员构成等。</w:t>
      </w:r>
    </w:p>
    <w:p>
      <w:pPr>
        <w:pStyle w:val="null3"/>
        <w:numPr>
          <w:ilvl w:val="0"/>
          <w:numId w:val="1"/>
        </w:numPr>
        <w:jc w:val="both"/>
      </w:pPr>
      <w:r>
        <w:rPr>
          <w:rFonts w:ascii="仿宋_gb2312" w:hAnsi="仿宋_gb2312" w:cs="仿宋_gb2312" w:eastAsia="仿宋_gb2312"/>
          <w:sz w:val="32"/>
          <w:color w:val="000000"/>
        </w:rPr>
        <w:t>采购合同信息</w:t>
      </w:r>
      <w:r>
        <w:rPr>
          <w:rFonts w:ascii="仿宋_gb2312" w:hAnsi="仿宋_gb2312" w:cs="仿宋_gb2312" w:eastAsia="仿宋_gb2312"/>
          <w:sz w:val="32"/>
          <w:color w:val="000000"/>
          <w:u w:val="single"/>
        </w:rPr>
        <w:t xml:space="preserve">           </w:t>
      </w:r>
    </w:p>
    <w:p>
      <w:pPr>
        <w:pStyle w:val="null3"/>
        <w:ind w:firstLine="420"/>
        <w:jc w:val="both"/>
      </w:pPr>
      <w:r>
        <w:rPr>
          <w:rFonts w:ascii="仿宋_gb2312" w:hAnsi="仿宋_gb2312" w:cs="仿宋_gb2312" w:eastAsia="仿宋_gb2312"/>
          <w:sz w:val="24"/>
        </w:rPr>
        <w:t>【编写说明】</w:t>
      </w:r>
    </w:p>
    <w:p>
      <w:pPr>
        <w:pStyle w:val="null3"/>
        <w:jc w:val="both"/>
      </w:pPr>
      <w:r>
        <w:rPr>
          <w:rFonts w:ascii="calibri, sans-serif" w:hAnsi="calibri, sans-serif" w:cs="calibri, sans-serif" w:eastAsia="calibri, sans-serif"/>
          <w:sz w:val="21"/>
        </w:rPr>
        <w:t xml:space="preserve"> </w:t>
      </w:r>
      <w:r>
        <w:rPr>
          <w:rFonts w:ascii="仿宋_gb2312" w:hAnsi="仿宋_gb2312" w:cs="仿宋_gb2312" w:eastAsia="仿宋_gb2312"/>
          <w:sz w:val="24"/>
        </w:rPr>
        <w:t>合同名称、合同编号等内容。</w:t>
      </w:r>
    </w:p>
    <w:p>
      <w:pPr>
        <w:pStyle w:val="null3"/>
        <w:numPr>
          <w:ilvl w:val="0"/>
          <w:numId w:val="1"/>
        </w:numPr>
        <w:jc w:val="both"/>
      </w:pPr>
      <w:r>
        <w:rPr>
          <w:rFonts w:ascii="仿宋" w:hAnsi="仿宋" w:cs="仿宋" w:eastAsia="仿宋"/>
          <w:sz w:val="32"/>
          <w:color w:val="000000"/>
        </w:rPr>
        <w:t>验收阶段（期）</w:t>
      </w:r>
      <w:r>
        <w:rPr>
          <w:rFonts w:ascii="calibri, sans-serif" w:hAnsi="calibri, sans-serif" w:cs="calibri, sans-serif" w:eastAsia="calibri, sans-serif"/>
          <w:sz w:val="21"/>
          <w:u w:val="single"/>
        </w:rPr>
        <w:t xml:space="preserve">            </w:t>
      </w:r>
      <w:r>
        <w:rPr>
          <w:rFonts w:ascii="仿宋_gb2312" w:hAnsi="仿宋_gb2312" w:cs="仿宋_gb2312" w:eastAsia="仿宋_gb2312"/>
          <w:sz w:val="31"/>
          <w:color w:val="000000"/>
        </w:rPr>
        <w:t>，第</w:t>
      </w:r>
      <w:r>
        <w:rPr>
          <w:rFonts w:ascii="仿宋_gb2312" w:hAnsi="仿宋_gb2312" w:cs="仿宋_gb2312" w:eastAsia="仿宋_gb2312"/>
          <w:sz w:val="31"/>
          <w:color w:val="000000"/>
          <w:u w:val="single"/>
        </w:rPr>
        <w:t xml:space="preserve">  </w:t>
      </w:r>
      <w:r>
        <w:rPr>
          <w:rFonts w:ascii="仿宋_gb2312" w:hAnsi="仿宋_gb2312" w:cs="仿宋_gb2312" w:eastAsia="仿宋_gb2312"/>
          <w:sz w:val="31"/>
          <w:color w:val="000000"/>
        </w:rPr>
        <w:t>次验收，本次验收对应付款金额</w:t>
      </w:r>
      <w:r>
        <w:rPr>
          <w:rFonts w:ascii="仿宋_gb2312" w:hAnsi="仿宋_gb2312" w:cs="仿宋_gb2312" w:eastAsia="仿宋_gb2312"/>
          <w:sz w:val="31"/>
          <w:color w:val="000000"/>
          <w:u w:val="single"/>
        </w:rPr>
        <w:t xml:space="preserve">       万元</w:t>
      </w:r>
      <w:r>
        <w:rPr>
          <w:rFonts w:ascii="仿宋_gb2312" w:hAnsi="仿宋_gb2312" w:cs="仿宋_gb2312" w:eastAsia="仿宋_gb2312"/>
          <w:sz w:val="31"/>
          <w:color w:val="000000"/>
        </w:rPr>
        <w:t>。</w:t>
      </w:r>
    </w:p>
    <w:p>
      <w:pPr>
        <w:pStyle w:val="null3"/>
        <w:jc w:val="both"/>
      </w:pPr>
      <w:r>
        <w:rPr>
          <w:rFonts w:ascii="仿宋_gb2312" w:hAnsi="仿宋_gb2312" w:cs="仿宋_gb2312" w:eastAsia="仿宋_gb2312"/>
          <w:sz w:val="24"/>
        </w:rPr>
        <w:t>【编写说明】</w:t>
      </w:r>
    </w:p>
    <w:p>
      <w:pPr>
        <w:pStyle w:val="null3"/>
        <w:jc w:val="both"/>
      </w:pPr>
      <w:r>
        <w:rPr>
          <w:rFonts w:ascii="仿宋_gb2312" w:hAnsi="仿宋_gb2312" w:cs="仿宋_gb2312" w:eastAsia="仿宋_gb2312"/>
          <w:sz w:val="24"/>
        </w:rPr>
        <w:t>即本次验收属于履约验收方案中哪一阶段（期），不得减少验收频次。以货物类分段验收方式为例，可以填交货验收/初验/终验等。该阶段（期）第一次验收不合格的，如重新组织第二次验收，应另行出具验收实施计划。</w:t>
      </w:r>
    </w:p>
    <w:p>
      <w:pPr>
        <w:pStyle w:val="null3"/>
        <w:numPr>
          <w:ilvl w:val="0"/>
          <w:numId w:val="1"/>
        </w:numPr>
        <w:jc w:val="both"/>
      </w:pPr>
      <w:r>
        <w:rPr>
          <w:rFonts w:ascii="仿宋" w:hAnsi="仿宋" w:cs="仿宋" w:eastAsia="仿宋"/>
          <w:sz w:val="32"/>
          <w:color w:val="000000"/>
        </w:rPr>
        <w:t>验收时间</w:t>
      </w:r>
      <w:r>
        <w:rPr>
          <w:rFonts w:ascii="calibri, sans-serif" w:hAnsi="calibri, sans-serif" w:cs="calibri, sans-serif" w:eastAsia="calibri, sans-serif"/>
          <w:sz w:val="21"/>
          <w:u w:val="single"/>
        </w:rPr>
        <w:t xml:space="preserve">           </w:t>
      </w:r>
    </w:p>
    <w:p>
      <w:pPr>
        <w:pStyle w:val="null3"/>
        <w:jc w:val="both"/>
      </w:pPr>
      <w:r>
        <w:rPr>
          <w:rFonts w:ascii="仿宋_gb2312" w:hAnsi="仿宋_gb2312" w:cs="仿宋_gb2312" w:eastAsia="仿宋_gb2312"/>
          <w:sz w:val="24"/>
        </w:rPr>
        <w:t>【编写说明】</w:t>
      </w:r>
    </w:p>
    <w:p>
      <w:pPr>
        <w:pStyle w:val="null3"/>
        <w:jc w:val="both"/>
      </w:pPr>
      <w:r>
        <w:rPr>
          <w:rFonts w:ascii="仿宋_gb2312" w:hAnsi="仿宋_gb2312" w:cs="仿宋_gb2312" w:eastAsia="仿宋_gb2312"/>
          <w:sz w:val="24"/>
        </w:rPr>
        <w:t>在履约验收方案约定的验收时间段之内，填具体验收的时间点，即XX年XX月XX日，不得超出履约验收方案放宽验收时间。</w:t>
      </w:r>
    </w:p>
    <w:p>
      <w:pPr>
        <w:pStyle w:val="null3"/>
        <w:numPr>
          <w:ilvl w:val="0"/>
          <w:numId w:val="1"/>
        </w:numPr>
        <w:jc w:val="both"/>
      </w:pPr>
      <w:r>
        <w:rPr>
          <w:rFonts w:ascii="仿宋" w:hAnsi="仿宋" w:cs="仿宋" w:eastAsia="仿宋"/>
          <w:sz w:val="32"/>
          <w:color w:val="000000"/>
        </w:rPr>
        <w:t>验收地点</w:t>
      </w:r>
      <w:r>
        <w:rPr>
          <w:rFonts w:ascii="calibri, sans-serif" w:hAnsi="calibri, sans-serif" w:cs="calibri, sans-serif" w:eastAsia="calibri, sans-serif"/>
          <w:sz w:val="21"/>
          <w:u w:val="single"/>
        </w:rPr>
        <w:t xml:space="preserve">           </w:t>
      </w:r>
    </w:p>
    <w:p>
      <w:pPr>
        <w:pStyle w:val="null3"/>
        <w:jc w:val="both"/>
      </w:pPr>
      <w:r>
        <w:rPr>
          <w:rFonts w:ascii="仿宋_gb2312" w:hAnsi="仿宋_gb2312" w:cs="仿宋_gb2312" w:eastAsia="仿宋_gb2312"/>
          <w:sz w:val="24"/>
        </w:rPr>
        <w:t>【编写说明】</w:t>
      </w:r>
    </w:p>
    <w:p>
      <w:pPr>
        <w:pStyle w:val="null3"/>
        <w:jc w:val="both"/>
      </w:pPr>
      <w:r>
        <w:rPr>
          <w:rFonts w:ascii="仿宋_gb2312" w:hAnsi="仿宋_gb2312" w:cs="仿宋_gb2312" w:eastAsia="仿宋_gb2312"/>
          <w:sz w:val="24"/>
        </w:rPr>
        <w:t>与履约验收方案约定的地点一致，可以进行细化。</w:t>
      </w:r>
    </w:p>
    <w:p>
      <w:pPr>
        <w:pStyle w:val="null3"/>
        <w:numPr>
          <w:ilvl w:val="0"/>
          <w:numId w:val="1"/>
        </w:numPr>
        <w:jc w:val="both"/>
      </w:pPr>
      <w:r>
        <w:rPr>
          <w:rFonts w:ascii="仿宋" w:hAnsi="仿宋" w:cs="仿宋" w:eastAsia="仿宋"/>
          <w:sz w:val="32"/>
          <w:color w:val="000000"/>
        </w:rPr>
        <w:t xml:space="preserve">验收方法           </w:t>
      </w:r>
    </w:p>
    <w:p>
      <w:pPr>
        <w:pStyle w:val="null3"/>
        <w:jc w:val="both"/>
      </w:pPr>
      <w:r>
        <w:rPr>
          <w:rFonts w:ascii="仿宋_gb2312" w:hAnsi="仿宋_gb2312" w:cs="仿宋_gb2312" w:eastAsia="仿宋_gb2312"/>
          <w:sz w:val="24"/>
        </w:rPr>
        <w:t>【编写说明】</w:t>
      </w:r>
    </w:p>
    <w:p>
      <w:pPr>
        <w:pStyle w:val="null3"/>
        <w:jc w:val="both"/>
      </w:pPr>
      <w:r>
        <w:rPr>
          <w:rFonts w:ascii="仿宋_gb2312" w:hAnsi="仿宋_gb2312" w:cs="仿宋_gb2312" w:eastAsia="仿宋_gb2312"/>
          <w:sz w:val="24"/>
        </w:rPr>
        <w:t>与履约验收方案约定的一致，可以进行细化。</w:t>
      </w:r>
    </w:p>
    <w:p>
      <w:pPr>
        <w:pStyle w:val="null3"/>
        <w:numPr>
          <w:ilvl w:val="0"/>
          <w:numId w:val="1"/>
        </w:numPr>
        <w:jc w:val="both"/>
      </w:pPr>
      <w:r>
        <w:rPr>
          <w:rFonts w:ascii="仿宋" w:hAnsi="仿宋" w:cs="仿宋" w:eastAsia="仿宋"/>
          <w:sz w:val="32"/>
          <w:color w:val="000000"/>
        </w:rPr>
        <w:t xml:space="preserve">验收内容           </w:t>
      </w:r>
    </w:p>
    <w:p>
      <w:pPr>
        <w:pStyle w:val="null3"/>
        <w:jc w:val="both"/>
      </w:pPr>
      <w:r>
        <w:rPr>
          <w:rFonts w:ascii="仿宋_gb2312" w:hAnsi="仿宋_gb2312" w:cs="仿宋_gb2312" w:eastAsia="仿宋_gb2312"/>
          <w:sz w:val="24"/>
        </w:rPr>
        <w:t>【编写说明】</w:t>
      </w:r>
    </w:p>
    <w:p>
      <w:pPr>
        <w:pStyle w:val="null3"/>
        <w:jc w:val="both"/>
      </w:pPr>
      <w:r>
        <w:rPr>
          <w:rFonts w:ascii="仿宋_gb2312" w:hAnsi="仿宋_gb2312" w:cs="仿宋_gb2312" w:eastAsia="仿宋_gb2312"/>
          <w:sz w:val="24"/>
        </w:rPr>
        <w:t>验收实施计划内容既包括采购文件中的技术需求，也包括供应商响应、承诺的相关内容，但不得超出采购合同约定。</w:t>
      </w:r>
    </w:p>
    <w:p>
      <w:pPr>
        <w:pStyle w:val="null3"/>
        <w:numPr>
          <w:ilvl w:val="0"/>
          <w:numId w:val="1"/>
        </w:numPr>
        <w:jc w:val="both"/>
      </w:pPr>
      <w:r>
        <w:rPr>
          <w:rFonts w:ascii="仿宋" w:hAnsi="仿宋" w:cs="仿宋" w:eastAsia="仿宋"/>
          <w:sz w:val="32"/>
          <w:color w:val="000000"/>
        </w:rPr>
        <w:t xml:space="preserve">验收标准           </w:t>
      </w:r>
    </w:p>
    <w:p>
      <w:pPr>
        <w:pStyle w:val="null3"/>
        <w:jc w:val="both"/>
      </w:pPr>
      <w:r>
        <w:rPr>
          <w:rFonts w:ascii="仿宋_gb2312" w:hAnsi="仿宋_gb2312" w:cs="仿宋_gb2312" w:eastAsia="仿宋_gb2312"/>
          <w:sz w:val="24"/>
        </w:rPr>
        <w:t>【编写说明】</w:t>
      </w:r>
    </w:p>
    <w:p>
      <w:pPr>
        <w:pStyle w:val="null3"/>
        <w:jc w:val="both"/>
      </w:pPr>
      <w:r>
        <w:rPr>
          <w:rFonts w:ascii="仿宋_gb2312" w:hAnsi="仿宋_gb2312" w:cs="仿宋_gb2312" w:eastAsia="仿宋_gb2312"/>
          <w:sz w:val="24"/>
        </w:rPr>
        <w:t>与履约验收方案约定的标准一致，可以进行细化。</w:t>
      </w:r>
    </w:p>
    <w:p>
      <w:pPr>
        <w:pStyle w:val="null3"/>
        <w:numPr>
          <w:ilvl w:val="0"/>
          <w:numId w:val="1"/>
        </w:numPr>
        <w:jc w:val="both"/>
      </w:pPr>
      <w:r>
        <w:rPr>
          <w:rFonts w:ascii="仿宋" w:hAnsi="仿宋" w:cs="仿宋" w:eastAsia="仿宋"/>
          <w:sz w:val="32"/>
          <w:color w:val="000000"/>
        </w:rPr>
        <w:t xml:space="preserve">验收小组成员             </w:t>
      </w:r>
    </w:p>
    <w:p>
      <w:pPr>
        <w:pStyle w:val="null3"/>
        <w:jc w:val="both"/>
      </w:pPr>
      <w:r>
        <w:rPr>
          <w:rFonts w:ascii="calibri, sans-serif" w:hAnsi="calibri, sans-serif" w:cs="calibri, sans-serif" w:eastAsia="calibri, sans-serif"/>
          <w:sz w:val="21"/>
        </w:rPr>
        <w:t xml:space="preserve"> </w:t>
      </w:r>
    </w:p>
    <w:p>
      <w:pPr>
        <w:pStyle w:val="null3"/>
        <w:jc w:val="both"/>
      </w:pPr>
      <w:r>
        <w:rPr>
          <w:rFonts w:ascii="仿宋_gb2312" w:hAnsi="仿宋_gb2312" w:cs="仿宋_gb2312" w:eastAsia="仿宋_gb2312"/>
          <w:sz w:val="24"/>
        </w:rPr>
        <w:t>【编写说明】</w:t>
      </w:r>
    </w:p>
    <w:p>
      <w:pPr>
        <w:pStyle w:val="null3"/>
        <w:jc w:val="both"/>
      </w:pPr>
      <w:r>
        <w:rPr>
          <w:rFonts w:ascii="仿宋_gb2312" w:hAnsi="仿宋_gb2312" w:cs="仿宋_gb2312" w:eastAsia="仿宋_gb2312"/>
          <w:sz w:val="24"/>
        </w:rPr>
        <w:t>验收小组成员由履约执行人员（部门）牵头组成，并明确主要负责人员。验收小组至少由3人（含）以上单数人员组成，相关专业人员人数不得少于验收小组人员总数的三分之二。验收小组成员不得与供应商存在利害关系。</w:t>
      </w:r>
    </w:p>
    <w:p>
      <w:pPr>
        <w:pStyle w:val="null3"/>
        <w:jc w:val="both"/>
      </w:pPr>
      <w:r>
        <w:rPr>
          <w:rFonts w:ascii="黑体" w:hAnsi="黑体" w:cs="黑体" w:eastAsia="黑体"/>
          <w:sz w:val="32"/>
        </w:rPr>
        <w:t>3.</w:t>
      </w:r>
      <w:r>
        <w:rPr>
          <w:rFonts w:ascii="黑体" w:hAnsi="黑体" w:cs="黑体" w:eastAsia="黑体"/>
          <w:sz w:val="32"/>
        </w:rPr>
        <w:t>验收报告模板</w:t>
      </w:r>
    </w:p>
    <w:p>
      <w:pPr>
        <w:pStyle w:val="null3"/>
        <w:jc w:val="center"/>
      </w:pPr>
      <w:r>
        <w:rPr>
          <w:rFonts w:ascii="仿宋_gb2312" w:hAnsi="仿宋_gb2312" w:cs="仿宋_gb2312" w:eastAsia="仿宋_gb2312"/>
          <w:sz w:val="32"/>
          <w:b/>
        </w:rPr>
        <w:t>验收报告</w:t>
      </w:r>
    </w:p>
    <w:p>
      <w:pPr>
        <w:pStyle w:val="null3"/>
        <w:jc w:val="both"/>
      </w:pPr>
      <w:r>
        <w:rPr>
          <w:rFonts w:ascii="仿宋_gb2312" w:hAnsi="仿宋_gb2312" w:cs="仿宋_gb2312" w:eastAsia="仿宋_gb2312"/>
          <w:sz w:val="28"/>
        </w:rPr>
        <w:t>验收阶段（期）                                 第   次验收</w:t>
      </w:r>
    </w:p>
    <w:tbl>
      <w:tblPr>
        <w:tblW w:w="0" w:type="auto"/>
        <w:tblBorders>
          <w:top w:val="none" w:color="000000" w:sz="4"/>
          <w:left w:val="none" w:color="000000" w:sz="4"/>
          <w:bottom w:val="none" w:color="000000" w:sz="4"/>
          <w:right w:val="none" w:color="000000" w:sz="4"/>
          <w:insideH w:val="none"/>
          <w:insideV w:val="none"/>
        </w:tblBorders>
      </w:tblPr>
      <w:tblGrid>
        <w:gridCol w:w="1932"/>
        <w:gridCol w:w="6373"/>
      </w:tblGrid>
      <w:tr>
        <w:tc>
          <w:tcPr>
            <w:tcW w:type="dxa" w:w="193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仿宋_gb2312" w:hAnsi="仿宋_gb2312" w:cs="仿宋_gb2312" w:eastAsia="仿宋_gb2312"/>
                <w:sz w:val="28"/>
              </w:rPr>
              <w:t>采购合同信息</w:t>
            </w:r>
          </w:p>
        </w:tc>
        <w:tc>
          <w:tcPr>
            <w:tcW w:type="dxa" w:w="637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（合同名称、合同编号等内容）</w:t>
            </w:r>
          </w:p>
        </w:tc>
      </w:tr>
      <w:tr>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仿宋_gb2312" w:hAnsi="仿宋_gb2312" w:cs="仿宋_gb2312" w:eastAsia="仿宋_gb2312"/>
                <w:sz w:val="28"/>
              </w:rPr>
              <w:t>验收信息</w:t>
            </w:r>
          </w:p>
        </w:tc>
        <w:tc>
          <w:tcPr>
            <w:tcW w:type="dxa" w:w="6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（验收时间、验收地点等内容）</w:t>
            </w:r>
          </w:p>
        </w:tc>
      </w:tr>
      <w:tr>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仿宋_gb2312" w:hAnsi="仿宋_gb2312" w:cs="仿宋_gb2312" w:eastAsia="仿宋_gb2312"/>
                <w:sz w:val="28"/>
              </w:rPr>
              <w:t>验收小组成员</w:t>
            </w:r>
          </w:p>
        </w:tc>
        <w:tc>
          <w:tcPr>
            <w:tcW w:type="dxa" w:w="6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（由履约执行部门（人员）牵头组成至少3人（含）以上的验收小组。）</w:t>
            </w:r>
          </w:p>
        </w:tc>
      </w:tr>
      <w:tr>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仿宋_gb2312" w:hAnsi="仿宋_gb2312" w:cs="仿宋_gb2312" w:eastAsia="仿宋_gb2312"/>
                <w:sz w:val="28"/>
              </w:rPr>
              <w:t>验收内容</w:t>
            </w:r>
          </w:p>
        </w:tc>
        <w:tc>
          <w:tcPr>
            <w:tcW w:type="dxa" w:w="6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（应包含采购文件中的技术需求，也包括供应商响应、承诺的相关内容，但不得超出采购合同约定。）</w:t>
            </w:r>
          </w:p>
        </w:tc>
      </w:tr>
      <w:tr>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仿宋_gb2312" w:hAnsi="仿宋_gb2312" w:cs="仿宋_gb2312" w:eastAsia="仿宋_gb2312"/>
                <w:sz w:val="28"/>
              </w:rPr>
              <w:t>验收标准</w:t>
            </w:r>
          </w:p>
        </w:tc>
        <w:tc>
          <w:tcPr>
            <w:tcW w:type="dxa" w:w="6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（验收不同阶段应各自对应明确的标准，包括所有客观、量化指标。不能明确客观标准、涉及主观判断的，可以通过开展问卷调查等方式，转化为客观、量化的验收标准。）</w:t>
            </w:r>
          </w:p>
        </w:tc>
      </w:tr>
      <w:tr>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仿宋_gb2312" w:hAnsi="仿宋_gb2312" w:cs="仿宋_gb2312" w:eastAsia="仿宋_gb2312"/>
                <w:sz w:val="28"/>
              </w:rPr>
              <w:t>本次验收对应付款金额</w:t>
            </w:r>
          </w:p>
        </w:tc>
        <w:tc>
          <w:tcPr>
            <w:tcW w:type="dxa" w:w="6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240"/>
              <w:jc w:val="both"/>
            </w:pPr>
            <w:r>
              <w:rPr>
                <w:rFonts w:ascii="calibri, sans-serif" w:hAnsi="calibri, sans-serif" w:cs="calibri, sans-serif" w:eastAsia="calibri, sans-serif"/>
                <w:sz w:val="21"/>
                <w:u w:val="single"/>
              </w:rPr>
              <w:t xml:space="preserve">    </w:t>
            </w:r>
            <w:r>
              <w:rPr>
                <w:rFonts w:ascii="仿宋_gb2312" w:hAnsi="仿宋_gb2312" w:cs="仿宋_gb2312" w:eastAsia="仿宋_gb2312"/>
                <w:sz w:val="28"/>
              </w:rPr>
              <w:t>万元</w:t>
            </w:r>
          </w:p>
        </w:tc>
      </w:tr>
      <w:tr>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仿宋_gb2312" w:hAnsi="仿宋_gb2312" w:cs="仿宋_gb2312" w:eastAsia="仿宋_gb2312"/>
                <w:sz w:val="28"/>
              </w:rPr>
              <w:t>验收报告</w:t>
            </w:r>
          </w:p>
        </w:tc>
        <w:tc>
          <w:tcPr>
            <w:tcW w:type="dxa" w:w="6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验收过程基本陈述，对照验收清单、验收实施计划（如有）逐项核查的履约情况等。对货物类合同，应严格核对品牌、规格、型号、材质、配置、制造商名称、数量、价格、产品外观、包装、到货时间、安全标准等信息；对服务类合同，应严格核对工作人员上岗人数、技术资格、专业素质、同业经验、考勤工作量、服务效果满意度等信息。对工程类合同，应严格核对工程质量、材料质量、工程量、安全情况、文明施工等信息。</w:t>
            </w:r>
            <w:r>
              <w:rPr>
                <w:rFonts w:ascii="仿宋_gb2312" w:hAnsi="仿宋_gb2312" w:cs="仿宋_gb2312" w:eastAsia="仿宋_gb2312"/>
                <w:sz w:val="24"/>
              </w:rPr>
              <w:t>以上信息为参考标准，实际验收报告内容以验收内容约定为准。</w:t>
            </w:r>
            <w:r>
              <w:rPr>
                <w:rFonts w:ascii="仿宋_gb2312" w:hAnsi="仿宋_gb2312" w:cs="仿宋_gb2312" w:eastAsia="仿宋_gb2312"/>
                <w:sz w:val="24"/>
              </w:rPr>
              <w:t>）</w:t>
            </w:r>
          </w:p>
        </w:tc>
      </w:tr>
      <w:tr>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仿宋_gb2312" w:hAnsi="仿宋_gb2312" w:cs="仿宋_gb2312" w:eastAsia="仿宋_gb2312"/>
                <w:sz w:val="28"/>
              </w:rPr>
              <w:t>验收结果</w:t>
            </w:r>
          </w:p>
        </w:tc>
        <w:tc>
          <w:tcPr>
            <w:tcW w:type="dxa" w:w="6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125"/>
              <w:jc w:val="both"/>
            </w:pPr>
            <w:r>
              <w:rPr>
                <w:rFonts w:ascii="仿宋_gb2312" w:hAnsi="仿宋_gb2312" w:cs="仿宋_gb2312" w:eastAsia="仿宋_gb2312"/>
                <w:sz w:val="28"/>
              </w:rPr>
              <w:t>合格</w:t>
            </w:r>
            <w:r>
              <w:rPr>
                <w:rFonts w:ascii="仿宋_gb2312" w:hAnsi="仿宋_gb2312" w:cs="仿宋_gb2312" w:eastAsia="仿宋_gb2312"/>
                <w:sz w:val="28"/>
              </w:rPr>
              <w:t>或</w:t>
            </w:r>
            <w:r>
              <w:rPr>
                <w:rFonts w:ascii="仿宋_gb2312" w:hAnsi="仿宋_gb2312" w:cs="仿宋_gb2312" w:eastAsia="仿宋_gb2312"/>
                <w:sz w:val="28"/>
              </w:rPr>
              <w:t>不合格</w:t>
            </w:r>
          </w:p>
          <w:p>
            <w:pPr>
              <w:pStyle w:val="null3"/>
              <w:jc w:val="center"/>
            </w:pPr>
            <w:r>
              <w:rPr>
                <w:rFonts w:ascii="仿宋_gb2312" w:hAnsi="仿宋_gb2312" w:cs="仿宋_gb2312" w:eastAsia="仿宋_gb2312"/>
                <w:sz w:val="28"/>
              </w:rPr>
              <w:t>验收小组成员签字：</w:t>
            </w:r>
          </w:p>
        </w:tc>
      </w:tr>
      <w:tr>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仿宋_gb2312" w:hAnsi="仿宋_gb2312" w:cs="仿宋_gb2312" w:eastAsia="仿宋_gb2312"/>
                <w:sz w:val="28"/>
              </w:rPr>
              <w:t>供应商认定意见</w:t>
            </w:r>
          </w:p>
        </w:tc>
        <w:tc>
          <w:tcPr>
            <w:tcW w:type="dxa" w:w="6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05"/>
              <w:jc w:val="both"/>
            </w:pPr>
            <w:r>
              <w:rPr>
                <w:rFonts w:ascii="仿宋_gb2312" w:hAnsi="仿宋_gb2312" w:cs="仿宋_gb2312" w:eastAsia="仿宋_gb2312"/>
                <w:sz w:val="28"/>
              </w:rPr>
              <w:t>认定意见：同意或不同意</w:t>
            </w:r>
          </w:p>
          <w:p>
            <w:pPr>
              <w:pStyle w:val="null3"/>
              <w:ind w:right="-105"/>
              <w:jc w:val="center"/>
            </w:pPr>
            <w:r>
              <w:rPr>
                <w:rFonts w:ascii="仿宋_gb2312" w:hAnsi="仿宋_gb2312" w:cs="仿宋_gb2312" w:eastAsia="仿宋_gb2312"/>
                <w:sz w:val="28"/>
              </w:rPr>
              <w:t>法定代表人或其授权代表签字或加盖公章或验收专用章：</w:t>
            </w:r>
          </w:p>
          <w:p>
            <w:pPr>
              <w:pStyle w:val="null3"/>
              <w:ind w:firstLine="420"/>
              <w:jc w:val="both"/>
            </w:pPr>
            <w:r>
              <w:rPr>
                <w:rFonts w:ascii="仿宋_gb2312" w:hAnsi="仿宋_gb2312" w:cs="仿宋_gb2312" w:eastAsia="仿宋_gb2312"/>
                <w:sz w:val="24"/>
              </w:rPr>
              <w:t>（无论验收结果是否合格，供应商均应签字或盖章认定。供应商签字确认的，</w:t>
            </w:r>
            <w:r>
              <w:rPr>
                <w:rFonts w:ascii="仿宋_gb2312" w:hAnsi="仿宋_gb2312" w:cs="仿宋_gb2312" w:eastAsia="仿宋_gb2312"/>
                <w:sz w:val="24"/>
              </w:rPr>
              <w:t>应要求其提供法定代表人授权书并签字认定，授权书作为本报告附件留存。如供应商拒绝认定，则视为同意，并由验收小组备注说明。</w:t>
            </w:r>
            <w:r>
              <w:rPr>
                <w:rFonts w:ascii="仿宋_gb2312" w:hAnsi="仿宋_gb2312" w:cs="仿宋_gb2312" w:eastAsia="仿宋_gb2312"/>
                <w:sz w:val="24"/>
              </w:rPr>
              <w:t>）</w:t>
            </w:r>
          </w:p>
          <w:p>
            <w:pPr>
              <w:pStyle w:val="null3"/>
              <w:ind w:firstLine="420"/>
              <w:jc w:val="right"/>
            </w:pPr>
            <w:r>
              <w:rPr>
                <w:rFonts w:ascii="仿宋_gb2312" w:hAnsi="仿宋_gb2312" w:cs="仿宋_gb2312" w:eastAsia="仿宋_gb2312"/>
                <w:sz w:val="28"/>
              </w:rPr>
              <w:t>年  月  日</w:t>
            </w:r>
          </w:p>
        </w:tc>
      </w:tr>
    </w:tbl>
    <w:p>
      <w:pPr>
        <w:pStyle w:val="null3"/>
        <w:jc w:val="left"/>
      </w:pPr>
      <w:r>
        <w:rPr>
          <w:rFonts w:ascii="黑体" w:hAnsi="黑体" w:cs="黑体" w:eastAsia="黑体"/>
          <w:sz w:val="32"/>
        </w:rPr>
        <w:t>4.</w:t>
      </w:r>
      <w:r>
        <w:rPr>
          <w:rFonts w:ascii="黑体" w:hAnsi="黑体" w:cs="黑体" w:eastAsia="黑体"/>
          <w:sz w:val="32"/>
        </w:rPr>
        <w:t>验收结论模板</w:t>
      </w:r>
    </w:p>
    <w:p>
      <w:pPr>
        <w:pStyle w:val="null3"/>
        <w:jc w:val="center"/>
      </w:pPr>
      <w:r>
        <w:rPr>
          <w:rFonts w:ascii="仿宋_gb2312" w:hAnsi="仿宋_gb2312" w:cs="仿宋_gb2312" w:eastAsia="仿宋_gb2312"/>
          <w:sz w:val="32"/>
          <w:b/>
        </w:rPr>
        <w:t>验收结论</w:t>
      </w:r>
    </w:p>
    <w:p>
      <w:pPr>
        <w:pStyle w:val="null3"/>
        <w:jc w:val="both"/>
      </w:pPr>
      <w:r>
        <w:rPr>
          <w:rFonts w:ascii="仿宋_gb2312" w:hAnsi="仿宋_gb2312" w:cs="仿宋_gb2312" w:eastAsia="仿宋_gb2312"/>
          <w:sz w:val="28"/>
        </w:rPr>
        <w:t>验收阶段（期）：                                 第   次验收</w:t>
      </w:r>
    </w:p>
    <w:tbl>
      <w:tblPr>
        <w:tblW w:w="0" w:type="auto"/>
        <w:tblBorders>
          <w:top w:val="none" w:color="000000" w:sz="4"/>
          <w:left w:val="none" w:color="000000" w:sz="4"/>
          <w:bottom w:val="none" w:color="000000" w:sz="4"/>
          <w:right w:val="none" w:color="000000" w:sz="4"/>
          <w:insideH w:val="none"/>
          <w:insideV w:val="none"/>
        </w:tblBorders>
      </w:tblPr>
      <w:tblGrid>
        <w:gridCol w:w="2120"/>
        <w:gridCol w:w="6172"/>
      </w:tblGrid>
      <w:tr>
        <w:tc>
          <w:tcPr>
            <w:tcW w:type="dxa" w:w="2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采购合同信息</w:t>
            </w:r>
          </w:p>
        </w:tc>
        <w:tc>
          <w:tcPr>
            <w:tcW w:type="dxa" w:w="6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rFonts w:ascii="仿宋_gb2312" w:hAnsi="仿宋_gb2312" w:cs="仿宋_gb2312" w:eastAsia="仿宋_gb2312"/>
                <w:sz w:val="28"/>
              </w:rPr>
              <w:t>（</w:t>
            </w:r>
            <w:r>
              <w:rPr>
                <w:rFonts w:ascii="仿宋_gb2312" w:hAnsi="仿宋_gb2312" w:cs="仿宋_gb2312" w:eastAsia="仿宋_gb2312"/>
                <w:sz w:val="24"/>
              </w:rPr>
              <w:t>合同名称、合同编号等内容</w:t>
            </w:r>
            <w:r>
              <w:rPr>
                <w:rFonts w:ascii="仿宋_gb2312" w:hAnsi="仿宋_gb2312" w:cs="仿宋_gb2312" w:eastAsia="仿宋_gb2312"/>
                <w:sz w:val="28"/>
              </w:rPr>
              <w:t>）</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验收信息</w:t>
            </w:r>
          </w:p>
        </w:tc>
        <w:tc>
          <w:tcPr>
            <w:tcW w:type="dxa" w:w="6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rFonts w:ascii="仿宋_gb2312" w:hAnsi="仿宋_gb2312" w:cs="仿宋_gb2312" w:eastAsia="仿宋_gb2312"/>
                <w:sz w:val="24"/>
              </w:rPr>
              <w:t>（验收时间、验收地点等内容）</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验收报告信息</w:t>
            </w:r>
          </w:p>
        </w:tc>
        <w:tc>
          <w:tcPr>
            <w:tcW w:type="dxa" w:w="6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（验收结果等内容）</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履约执行</w:t>
            </w:r>
            <w:r>
              <w:rPr>
                <w:rFonts w:ascii="仿宋_gb2312" w:hAnsi="仿宋_gb2312" w:cs="仿宋_gb2312" w:eastAsia="仿宋_gb2312"/>
                <w:sz w:val="28"/>
              </w:rPr>
              <w:t>部门（人员）</w:t>
            </w:r>
            <w:r>
              <w:rPr>
                <w:rFonts w:ascii="仿宋_gb2312" w:hAnsi="仿宋_gb2312" w:cs="仿宋_gb2312" w:eastAsia="仿宋_gb2312"/>
                <w:sz w:val="28"/>
              </w:rPr>
              <w:t>认定意见</w:t>
            </w:r>
          </w:p>
        </w:tc>
        <w:tc>
          <w:tcPr>
            <w:tcW w:type="dxa" w:w="6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05" w:firstLine="480"/>
              <w:jc w:val="left"/>
            </w:pPr>
            <w:r>
              <w:rPr>
                <w:rFonts w:ascii="仿宋_gb2312" w:hAnsi="仿宋_gb2312" w:cs="仿宋_gb2312" w:eastAsia="仿宋_gb2312"/>
                <w:sz w:val="24"/>
              </w:rPr>
              <w:t>（履约执行</w:t>
            </w:r>
            <w:r>
              <w:rPr>
                <w:rFonts w:ascii="仿宋_gb2312" w:hAnsi="仿宋_gb2312" w:cs="仿宋_gb2312" w:eastAsia="仿宋_gb2312"/>
                <w:sz w:val="24"/>
              </w:rPr>
              <w:t>部门</w:t>
            </w:r>
            <w:r>
              <w:rPr>
                <w:rFonts w:ascii="仿宋_gb2312" w:hAnsi="仿宋_gb2312" w:cs="仿宋_gb2312" w:eastAsia="仿宋_gb2312"/>
                <w:sz w:val="24"/>
              </w:rPr>
              <w:t>确认验收报告，牵头形成验收结论。</w:t>
            </w:r>
            <w:r>
              <w:rPr>
                <w:rFonts w:ascii="仿宋_gb2312" w:hAnsi="仿宋_gb2312" w:cs="仿宋_gb2312" w:eastAsia="仿宋_gb2312"/>
                <w:sz w:val="24"/>
              </w:rPr>
              <w:t>验收结论分为合格或不合格。履约执行</w:t>
            </w:r>
            <w:r>
              <w:rPr>
                <w:rFonts w:ascii="仿宋_gb2312" w:hAnsi="仿宋_gb2312" w:cs="仿宋_gb2312" w:eastAsia="仿宋_gb2312"/>
                <w:sz w:val="24"/>
              </w:rPr>
              <w:t>部门</w:t>
            </w:r>
            <w:r>
              <w:rPr>
                <w:rFonts w:ascii="仿宋_gb2312" w:hAnsi="仿宋_gb2312" w:cs="仿宋_gb2312" w:eastAsia="仿宋_gb2312"/>
                <w:sz w:val="24"/>
              </w:rPr>
              <w:t>对验收报告有异议的，应说明理由。）</w:t>
            </w:r>
          </w:p>
          <w:p>
            <w:pPr>
              <w:pStyle w:val="null3"/>
              <w:ind w:firstLine="420"/>
              <w:jc w:val="both"/>
            </w:pPr>
            <w:r>
              <w:rPr>
                <w:rFonts w:ascii="仿宋_gb2312" w:hAnsi="仿宋_gb2312" w:cs="仿宋_gb2312" w:eastAsia="仿宋_gb2312"/>
                <w:sz w:val="28"/>
              </w:rPr>
              <w:t>验收结论：验收合格或验收不合格</w:t>
            </w:r>
          </w:p>
          <w:p>
            <w:pPr>
              <w:pStyle w:val="null3"/>
              <w:ind w:left="3360"/>
              <w:jc w:val="both"/>
            </w:pPr>
            <w:r>
              <w:rPr>
                <w:rFonts w:ascii="calibri, sans-serif" w:hAnsi="calibri, sans-serif" w:cs="calibri, sans-serif" w:eastAsia="calibri, sans-serif"/>
                <w:sz w:val="21"/>
              </w:rPr>
              <w:t xml:space="preserve">             </w:t>
            </w:r>
            <w:r>
              <w:rPr>
                <w:rFonts w:ascii="仿宋_gb2312" w:hAnsi="仿宋_gb2312" w:cs="仿宋_gb2312" w:eastAsia="仿宋_gb2312"/>
                <w:sz w:val="28"/>
              </w:rPr>
              <w:t xml:space="preserve">部门负责人签字： </w:t>
            </w:r>
            <w:r>
              <w:rPr>
                <w:rFonts w:ascii="calibri, sans-serif" w:hAnsi="calibri, sans-serif" w:cs="calibri, sans-serif" w:eastAsia="calibri, sans-serif"/>
                <w:sz w:val="21"/>
              </w:rPr>
              <w:t xml:space="preserve">       </w:t>
            </w:r>
          </w:p>
          <w:p>
            <w:pPr>
              <w:pStyle w:val="null3"/>
              <w:jc w:val="both"/>
            </w:pPr>
            <w:r>
              <w:rPr>
                <w:rFonts w:ascii="calibri, sans-serif" w:hAnsi="calibri, sans-serif" w:cs="calibri, sans-serif" w:eastAsia="calibri, sans-serif"/>
                <w:sz w:val="21"/>
              </w:rPr>
              <w:t xml:space="preserve"> </w:t>
            </w:r>
          </w:p>
          <w:p>
            <w:pPr>
              <w:pStyle w:val="null3"/>
              <w:jc w:val="center"/>
            </w:pPr>
            <w:r>
              <w:rPr>
                <w:rFonts w:ascii="calibri, sans-serif" w:hAnsi="calibri, sans-serif" w:cs="calibri, sans-serif" w:eastAsia="calibri, sans-serif"/>
                <w:sz w:val="21"/>
              </w:rPr>
              <w:t xml:space="preserve">                                  </w:t>
            </w:r>
            <w:r>
              <w:rPr>
                <w:rFonts w:ascii="仿宋_gb2312" w:hAnsi="仿宋_gb2312" w:cs="仿宋_gb2312" w:eastAsia="仿宋_gb2312"/>
                <w:sz w:val="28"/>
              </w:rPr>
              <w:t xml:space="preserve">年  月  日 </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履约监督</w:t>
            </w:r>
            <w:r>
              <w:rPr>
                <w:rFonts w:ascii="仿宋_gb2312" w:hAnsi="仿宋_gb2312" w:cs="仿宋_gb2312" w:eastAsia="仿宋_gb2312"/>
                <w:sz w:val="28"/>
              </w:rPr>
              <w:t>部门（人员）</w:t>
            </w:r>
            <w:r>
              <w:rPr>
                <w:rFonts w:ascii="仿宋_gb2312" w:hAnsi="仿宋_gb2312" w:cs="仿宋_gb2312" w:eastAsia="仿宋_gb2312"/>
                <w:sz w:val="28"/>
              </w:rPr>
              <w:t>复核意见</w:t>
            </w:r>
          </w:p>
        </w:tc>
        <w:tc>
          <w:tcPr>
            <w:tcW w:type="dxa" w:w="6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（履约执行</w:t>
            </w:r>
            <w:r>
              <w:rPr>
                <w:rFonts w:ascii="仿宋_gb2312" w:hAnsi="仿宋_gb2312" w:cs="仿宋_gb2312" w:eastAsia="仿宋_gb2312"/>
                <w:sz w:val="24"/>
              </w:rPr>
              <w:t>部门（人员）</w:t>
            </w:r>
            <w:r>
              <w:rPr>
                <w:rFonts w:ascii="仿宋_gb2312" w:hAnsi="仿宋_gb2312" w:cs="仿宋_gb2312" w:eastAsia="仿宋_gb2312"/>
                <w:sz w:val="24"/>
              </w:rPr>
              <w:t>在验收后、提请付款前，应将验收报告、验收结论交由履约监督</w:t>
            </w:r>
            <w:r>
              <w:rPr>
                <w:rFonts w:ascii="仿宋_gb2312" w:hAnsi="仿宋_gb2312" w:cs="仿宋_gb2312" w:eastAsia="仿宋_gb2312"/>
                <w:sz w:val="24"/>
              </w:rPr>
              <w:t>部门（人员）</w:t>
            </w:r>
            <w:r>
              <w:rPr>
                <w:rFonts w:ascii="仿宋_gb2312" w:hAnsi="仿宋_gb2312" w:cs="仿宋_gb2312" w:eastAsia="仿宋_gb2312"/>
                <w:sz w:val="24"/>
              </w:rPr>
              <w:t>复核。履约监督</w:t>
            </w:r>
            <w:r>
              <w:rPr>
                <w:rFonts w:ascii="仿宋_gb2312" w:hAnsi="仿宋_gb2312" w:cs="仿宋_gb2312" w:eastAsia="仿宋_gb2312"/>
                <w:sz w:val="24"/>
              </w:rPr>
              <w:t>部门及协助部门（人员）（如有）</w:t>
            </w:r>
            <w:r>
              <w:rPr>
                <w:rFonts w:ascii="仿宋_gb2312" w:hAnsi="仿宋_gb2312" w:cs="仿宋_gb2312" w:eastAsia="仿宋_gb2312"/>
                <w:sz w:val="24"/>
              </w:rPr>
              <w:t>可在此处直接出具复核意见，也可另行出具书面材料。）</w:t>
            </w:r>
          </w:p>
          <w:p>
            <w:pPr>
              <w:pStyle w:val="null3"/>
              <w:ind w:right="-105" w:firstLine="3080"/>
              <w:jc w:val="left"/>
            </w:pPr>
            <w:r>
              <w:rPr>
                <w:rFonts w:ascii="仿宋_gb2312" w:hAnsi="仿宋_gb2312" w:cs="仿宋_gb2312" w:eastAsia="仿宋_gb2312"/>
                <w:sz w:val="28"/>
              </w:rPr>
              <w:t>签字：</w:t>
            </w:r>
          </w:p>
          <w:p>
            <w:pPr>
              <w:pStyle w:val="null3"/>
              <w:ind w:firstLine="420"/>
              <w:jc w:val="both"/>
            </w:pPr>
            <w:r>
              <w:rPr>
                <w:rFonts w:ascii="仿宋_gb2312" w:hAnsi="仿宋_gb2312" w:cs="仿宋_gb2312" w:eastAsia="仿宋_gb2312"/>
                <w:sz w:val="28"/>
              </w:rPr>
              <w:t>年  月  日</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履约执行部门分管领导审批意见</w:t>
            </w:r>
          </w:p>
        </w:tc>
        <w:tc>
          <w:tcPr>
            <w:tcW w:type="dxa" w:w="6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05" w:firstLine="1400"/>
              <w:jc w:val="both"/>
            </w:pPr>
            <w:r>
              <w:rPr>
                <w:rFonts w:ascii="calibri, sans-serif" w:hAnsi="calibri, sans-serif" w:cs="calibri, sans-serif" w:eastAsia="calibri, sans-serif"/>
                <w:sz w:val="21"/>
              </w:rPr>
              <w:t xml:space="preserve">                    </w:t>
            </w:r>
          </w:p>
          <w:p>
            <w:pPr>
              <w:pStyle w:val="null3"/>
              <w:ind w:firstLine="2800"/>
              <w:jc w:val="both"/>
            </w:pPr>
            <w:r>
              <w:rPr>
                <w:rFonts w:ascii="仿宋_gb2312" w:hAnsi="仿宋_gb2312" w:cs="仿宋_gb2312" w:eastAsia="仿宋_gb2312"/>
                <w:sz w:val="28"/>
              </w:rPr>
              <w:t xml:space="preserve">签字： </w:t>
            </w:r>
            <w:r>
              <w:rPr>
                <w:rFonts w:ascii="calibri, sans-serif" w:hAnsi="calibri, sans-serif" w:cs="calibri, sans-serif" w:eastAsia="calibri, sans-serif"/>
                <w:sz w:val="21"/>
              </w:rPr>
              <w:t xml:space="preserve">       </w:t>
            </w:r>
          </w:p>
          <w:p>
            <w:pPr>
              <w:pStyle w:val="null3"/>
              <w:jc w:val="both"/>
            </w:pPr>
            <w:r>
              <w:rPr>
                <w:rFonts w:ascii="calibri, sans-serif" w:hAnsi="calibri, sans-serif" w:cs="calibri, sans-serif" w:eastAsia="calibri, sans-serif"/>
                <w:sz w:val="21"/>
              </w:rPr>
              <w:t xml:space="preserve">                                  </w:t>
            </w:r>
            <w:r>
              <w:rPr>
                <w:rFonts w:ascii="仿宋_gb2312" w:hAnsi="仿宋_gb2312" w:cs="仿宋_gb2312" w:eastAsia="仿宋_gb2312"/>
                <w:sz w:val="28"/>
              </w:rPr>
              <w:t>年  月  日</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总裁签批</w:t>
            </w:r>
          </w:p>
        </w:tc>
        <w:tc>
          <w:tcPr>
            <w:tcW w:type="dxa" w:w="6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360"/>
              <w:jc w:val="both"/>
            </w:pPr>
            <w:r>
              <w:rPr>
                <w:rFonts w:ascii="仿宋_gb2312" w:hAnsi="仿宋_gb2312" w:cs="仿宋_gb2312" w:eastAsia="仿宋_gb2312"/>
                <w:sz w:val="24"/>
              </w:rPr>
              <w:t>（涉及单次支付金额超过1,000万元的采购验收结论需公司总裁</w:t>
            </w:r>
          </w:p>
          <w:p>
            <w:pPr>
              <w:pStyle w:val="null3"/>
              <w:ind w:left="2880"/>
              <w:jc w:val="both"/>
            </w:pPr>
            <w:r>
              <w:rPr>
                <w:rFonts w:ascii="仿宋_gb2312" w:hAnsi="仿宋_gb2312" w:cs="仿宋_gb2312" w:eastAsia="仿宋_gb2312"/>
                <w:sz w:val="24"/>
              </w:rPr>
              <w:t>审批，如不涉及请删除此栏）</w:t>
            </w:r>
            <w:r>
              <w:rPr>
                <w:rFonts w:ascii="calibri, sans-serif" w:hAnsi="calibri, sans-serif" w:cs="calibri, sans-serif" w:eastAsia="calibri, sans-serif"/>
                <w:sz w:val="21"/>
              </w:rPr>
              <w:t xml:space="preserve">                    </w:t>
            </w:r>
          </w:p>
          <w:p>
            <w:pPr>
              <w:pStyle w:val="null3"/>
              <w:ind w:left="3360"/>
              <w:jc w:val="both"/>
            </w:pPr>
            <w:r>
              <w:rPr>
                <w:rFonts w:ascii="仿宋_gb2312" w:hAnsi="仿宋_gb2312" w:cs="仿宋_gb2312" w:eastAsia="仿宋_gb2312"/>
                <w:sz w:val="28"/>
              </w:rPr>
              <w:t xml:space="preserve">签字：        </w:t>
            </w:r>
          </w:p>
          <w:p>
            <w:pPr>
              <w:pStyle w:val="null3"/>
              <w:ind w:left="3360"/>
              <w:jc w:val="both"/>
            </w:pPr>
            <w:r>
              <w:rPr>
                <w:rFonts w:ascii="calibri, sans-serif" w:hAnsi="calibri, sans-serif" w:cs="calibri, sans-serif" w:eastAsia="calibri, sans-serif"/>
                <w:sz w:val="21"/>
              </w:rPr>
              <w:t xml:space="preserve">                                  </w:t>
            </w:r>
            <w:r>
              <w:rPr>
                <w:rFonts w:ascii="仿宋_gb2312" w:hAnsi="仿宋_gb2312" w:cs="仿宋_gb2312" w:eastAsia="仿宋_gb2312"/>
                <w:sz w:val="28"/>
              </w:rPr>
              <w:t>年  月  日</w:t>
            </w:r>
          </w:p>
        </w:tc>
      </w:tr>
    </w:tbl>
    <w:p>
      <w:pPr>
        <w:pStyle w:val="null3"/>
        <w:jc w:val="both"/>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ind w:firstLine="480"/>
        <w:jc w:val="left"/>
      </w:pPr>
      <w:r>
        <w:rPr/>
        <w:t>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（2）投标（响应）报价低于通过符合性审查的次低报价供应商投标（响应）报价50%的，即投标（响应）报价&lt;通过符合性审查的次低报价供应商投标（响应）报价×50%；</w:t>
        <w:br/>
        <w:t>（3）投标（响应）报价低于采购项目最高限价45%的，即投标（响应）报价&lt;采购项目最高限价×45%；未设定最高限价的采购项目，以采购项目预算金额作为最高限价；如果采购预算、最高限价均未公开，则不做此条审查；</w:t>
        <w:br/>
        <w:t>（4）评审委员会基于专业判断，认为供应商报价过低，有可能影响产品质量或者不能诚信履约的其他情形。</w:t>
        <w:br/>
      </w:r>
    </w:p>
    <w:p>
      <w:pPr>
        <w:pStyle w:val="null3"/>
        <w:ind w:firstLine="480"/>
        <w:jc w:val="left"/>
      </w:pPr>
      <w:r>
        <w:rPr/>
        <w:t>评审委员会启动异常低价投标（响应）审查后，属于前述第1项至第4项情形的，应当要求相关供应商在评审现场合理的时间内通过项目电子化交易系统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ind w:firstLine="480"/>
        <w:jc w:val="left"/>
      </w:pPr>
      <w:r>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jc w:val="left"/>
            </w:pPr>
            <w:r>
              <w:rPr/>
              <w:t>技术部分47.00分</w:t>
            </w:r>
          </w:p>
          <w:p>
            <w:pPr>
              <w:pStyle w:val="null3"/>
              <w:jc w:val="left"/>
            </w:pPr>
            <w:r>
              <w:rPr/>
              <w:t>商务部分13.00分</w:t>
            </w:r>
          </w:p>
          <w:p>
            <w:pPr>
              <w:pStyle w:val="null3"/>
              <w:jc w:val="left"/>
            </w:pPr>
            <w:r>
              <w:rPr/>
              <w:t>报价得分40.00分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vMerge w:val="restart"/>
          </w:tcPr>
          <w:p>
            <w:pPr>
              <w:pStyle w:val="null3"/>
              <w:jc w:val="left"/>
            </w:pPr>
            <w:r>
              <w:rPr/>
              <w:t>技术评审</w:t>
            </w:r>
          </w:p>
        </w:tc>
        <w:tc>
          <w:tcPr>
            <w:tcW w:type="dxa" w:w="2076"/>
          </w:tcPr>
          <w:p>
            <w:pPr>
              <w:pStyle w:val="null3"/>
              <w:jc w:val="left"/>
            </w:pPr>
            <w:r>
              <w:rPr/>
              <w:t>产品规格-显示规格</w:t>
            </w:r>
          </w:p>
        </w:tc>
        <w:tc>
          <w:tcPr>
            <w:tcW w:type="dxa" w:w="2769"/>
          </w:tcPr>
          <w:p>
            <w:pPr>
              <w:pStyle w:val="null3"/>
              <w:jc w:val="left"/>
            </w:pPr>
            <w:r>
              <w:rPr/>
              <w:t>根据技术标准要求，供应商所投产品显示屏分辨率高于1920x1200、显示屏占比大于87%、显示屏刷新率大于60GHz、显示屏响应时间小于30ms、显示屏亮度大于300尼特，每项得3分。满足30、31、36、90、91、94、99项指标，每满足1项得0.5分。本项最高得18.5分</w:t>
            </w:r>
          </w:p>
        </w:tc>
        <w:tc>
          <w:tcPr>
            <w:tcW w:type="dxa" w:w="692"/>
          </w:tcPr>
          <w:p>
            <w:pPr>
              <w:pStyle w:val="null3"/>
              <w:jc w:val="right"/>
            </w:pPr>
            <w:r>
              <w:rPr/>
              <w:t>18.50</w:t>
            </w:r>
          </w:p>
        </w:tc>
        <w:tc>
          <w:tcPr>
            <w:tcW w:type="dxa" w:w="692"/>
          </w:tcPr>
          <w:p>
            <w:pPr>
              <w:pStyle w:val="null3"/>
              <w:jc w:val="left"/>
            </w:pPr>
            <w:r>
              <w:rPr/>
              <w:t>客观</w:t>
            </w:r>
          </w:p>
        </w:tc>
      </w:tr>
      <w:tr>
        <w:tc>
          <w:tcPr>
            <w:tcW w:type="dxa" w:w="692"/>
            <w:vMerge/>
          </w:tcPr>
          <w:p/>
        </w:tc>
        <w:tc>
          <w:tcPr>
            <w:tcW w:type="dxa" w:w="2076"/>
          </w:tcPr>
          <w:p>
            <w:pPr>
              <w:pStyle w:val="null3"/>
              <w:jc w:val="left"/>
            </w:pPr>
            <w:r>
              <w:rPr/>
              <w:t>产品规格-外设规格</w:t>
            </w:r>
          </w:p>
        </w:tc>
        <w:tc>
          <w:tcPr>
            <w:tcW w:type="dxa" w:w="2769"/>
          </w:tcPr>
          <w:p>
            <w:pPr>
              <w:pStyle w:val="null3"/>
              <w:jc w:val="left"/>
            </w:pPr>
            <w:r>
              <w:rPr/>
              <w:t>根据技术标准要求，供应商所投产品摄像头像素大于100万，摄像头分辨率大于1280x720，每项得2分，满足48、49、50项指标，每项得0.5分。本项最高得5.5分</w:t>
            </w:r>
          </w:p>
        </w:tc>
        <w:tc>
          <w:tcPr>
            <w:tcW w:type="dxa" w:w="692"/>
          </w:tcPr>
          <w:p>
            <w:pPr>
              <w:pStyle w:val="null3"/>
              <w:jc w:val="right"/>
            </w:pPr>
            <w:r>
              <w:rPr/>
              <w:t>5.50</w:t>
            </w:r>
          </w:p>
        </w:tc>
        <w:tc>
          <w:tcPr>
            <w:tcW w:type="dxa" w:w="692"/>
          </w:tcPr>
          <w:p>
            <w:pPr>
              <w:pStyle w:val="null3"/>
              <w:jc w:val="left"/>
            </w:pPr>
            <w:r>
              <w:rPr/>
              <w:t>客观</w:t>
            </w:r>
          </w:p>
        </w:tc>
      </w:tr>
      <w:tr>
        <w:tc>
          <w:tcPr>
            <w:tcW w:type="dxa" w:w="692"/>
            <w:vMerge/>
          </w:tcPr>
          <w:p/>
        </w:tc>
        <w:tc>
          <w:tcPr>
            <w:tcW w:type="dxa" w:w="2076"/>
          </w:tcPr>
          <w:p>
            <w:pPr>
              <w:pStyle w:val="null3"/>
              <w:jc w:val="left"/>
            </w:pPr>
            <w:r>
              <w:rPr/>
              <w:t>产品规格-其它</w:t>
            </w:r>
          </w:p>
        </w:tc>
        <w:tc>
          <w:tcPr>
            <w:tcW w:type="dxa" w:w="2769"/>
          </w:tcPr>
          <w:p>
            <w:pPr>
              <w:pStyle w:val="null3"/>
              <w:jc w:val="left"/>
            </w:pPr>
            <w:r>
              <w:rPr/>
              <w:t>根据技术标准要求，供应商所投产品满足10、71项指标，每满足1项得1分。本项最高得2分</w:t>
            </w:r>
          </w:p>
        </w:tc>
        <w:tc>
          <w:tcPr>
            <w:tcW w:type="dxa" w:w="692"/>
          </w:tcPr>
          <w:p>
            <w:pPr>
              <w:pStyle w:val="null3"/>
              <w:jc w:val="right"/>
            </w:pPr>
            <w:r>
              <w:rPr/>
              <w:t>2.00</w:t>
            </w:r>
          </w:p>
        </w:tc>
        <w:tc>
          <w:tcPr>
            <w:tcW w:type="dxa" w:w="692"/>
          </w:tcPr>
          <w:p>
            <w:pPr>
              <w:pStyle w:val="null3"/>
              <w:jc w:val="left"/>
            </w:pPr>
            <w:r>
              <w:rPr/>
              <w:t>客观</w:t>
            </w:r>
          </w:p>
        </w:tc>
      </w:tr>
      <w:tr>
        <w:tc>
          <w:tcPr>
            <w:tcW w:type="dxa" w:w="692"/>
            <w:vMerge/>
          </w:tcPr>
          <w:p/>
        </w:tc>
        <w:tc>
          <w:tcPr>
            <w:tcW w:type="dxa" w:w="2076"/>
          </w:tcPr>
          <w:p>
            <w:pPr>
              <w:pStyle w:val="null3"/>
              <w:jc w:val="left"/>
            </w:pPr>
            <w:r>
              <w:rPr/>
              <w:t>可靠性及兼容性要求</w:t>
            </w:r>
          </w:p>
        </w:tc>
        <w:tc>
          <w:tcPr>
            <w:tcW w:type="dxa" w:w="2769"/>
          </w:tcPr>
          <w:p>
            <w:pPr>
              <w:pStyle w:val="null3"/>
              <w:jc w:val="left"/>
            </w:pPr>
            <w:r>
              <w:rPr/>
              <w:t>根据技术标准要求，供应商所投产品满足指标167、186项要求的，每满足1项得2分.本项最高得4分</w:t>
            </w:r>
          </w:p>
        </w:tc>
        <w:tc>
          <w:tcPr>
            <w:tcW w:type="dxa" w:w="692"/>
          </w:tcPr>
          <w:p>
            <w:pPr>
              <w:pStyle w:val="null3"/>
              <w:jc w:val="right"/>
            </w:pPr>
            <w:r>
              <w:rPr/>
              <w:t>4.00</w:t>
            </w:r>
          </w:p>
        </w:tc>
        <w:tc>
          <w:tcPr>
            <w:tcW w:type="dxa" w:w="692"/>
          </w:tcPr>
          <w:p>
            <w:pPr>
              <w:pStyle w:val="null3"/>
              <w:jc w:val="left"/>
            </w:pPr>
            <w:r>
              <w:rPr/>
              <w:t>客观</w:t>
            </w:r>
          </w:p>
        </w:tc>
      </w:tr>
      <w:tr>
        <w:tc>
          <w:tcPr>
            <w:tcW w:type="dxa" w:w="692"/>
            <w:vMerge/>
          </w:tcPr>
          <w:p/>
        </w:tc>
        <w:tc>
          <w:tcPr>
            <w:tcW w:type="dxa" w:w="2076"/>
          </w:tcPr>
          <w:p>
            <w:pPr>
              <w:pStyle w:val="null3"/>
              <w:jc w:val="left"/>
            </w:pPr>
            <w:r>
              <w:rPr/>
              <w:t>环保要求</w:t>
            </w:r>
          </w:p>
        </w:tc>
        <w:tc>
          <w:tcPr>
            <w:tcW w:type="dxa" w:w="2769"/>
          </w:tcPr>
          <w:p>
            <w:pPr>
              <w:pStyle w:val="null3"/>
              <w:jc w:val="left"/>
            </w:pPr>
            <w:r>
              <w:rPr/>
              <w:t>根据技术标准要求，供应商所投产品满足商务指标第3项要求的，得3分。</w:t>
            </w:r>
          </w:p>
        </w:tc>
        <w:tc>
          <w:tcPr>
            <w:tcW w:type="dxa" w:w="692"/>
          </w:tcPr>
          <w:p>
            <w:pPr>
              <w:pStyle w:val="null3"/>
              <w:jc w:val="right"/>
            </w:pPr>
            <w:r>
              <w:rPr/>
              <w:t>3.00</w:t>
            </w:r>
          </w:p>
        </w:tc>
        <w:tc>
          <w:tcPr>
            <w:tcW w:type="dxa" w:w="692"/>
          </w:tcPr>
          <w:p>
            <w:pPr>
              <w:pStyle w:val="null3"/>
              <w:jc w:val="left"/>
            </w:pPr>
            <w:r>
              <w:rPr/>
              <w:t>客观</w:t>
            </w:r>
          </w:p>
        </w:tc>
      </w:tr>
      <w:tr>
        <w:tc>
          <w:tcPr>
            <w:tcW w:type="dxa" w:w="692"/>
            <w:vMerge/>
          </w:tcPr>
          <w:p/>
        </w:tc>
        <w:tc>
          <w:tcPr>
            <w:tcW w:type="dxa" w:w="2076"/>
          </w:tcPr>
          <w:p>
            <w:pPr>
              <w:pStyle w:val="null3"/>
              <w:jc w:val="left"/>
            </w:pPr>
            <w:r>
              <w:rPr/>
              <w:t>售后服务方案</w:t>
            </w:r>
          </w:p>
        </w:tc>
        <w:tc>
          <w:tcPr>
            <w:tcW w:type="dxa" w:w="2769"/>
          </w:tcPr>
          <w:p>
            <w:pPr>
              <w:pStyle w:val="null3"/>
              <w:jc w:val="left"/>
            </w:pPr>
            <w:r>
              <w:rPr/>
              <w:t>供应商应提供北京、上海和深圳售后服务方案，售后服务方案中具有北京、上海和深圳售后服务网点分布情况，得4分，否则不得分；具有项目实施计划（包含但不限于以下要素：里程碑、时间节点、负责人）、人员安排（多地实施安排）、应急保障安排、产品配送、安装（包含硬件替换安装，终端操作系统定制安装，统一管理平台实施）及验收6部分，全部齐全得4分，缺失一项得1分，缺失两项或以上不得分。</w:t>
            </w:r>
          </w:p>
        </w:tc>
        <w:tc>
          <w:tcPr>
            <w:tcW w:type="dxa" w:w="692"/>
          </w:tcPr>
          <w:p>
            <w:pPr>
              <w:pStyle w:val="null3"/>
              <w:jc w:val="right"/>
            </w:pPr>
            <w:r>
              <w:rPr/>
              <w:t>8.00</w:t>
            </w:r>
          </w:p>
        </w:tc>
        <w:tc>
          <w:tcPr>
            <w:tcW w:type="dxa" w:w="692"/>
          </w:tcPr>
          <w:p>
            <w:pPr>
              <w:pStyle w:val="null3"/>
              <w:jc w:val="left"/>
            </w:pPr>
            <w:r>
              <w:rPr/>
              <w:t>客观</w:t>
            </w:r>
          </w:p>
        </w:tc>
      </w:tr>
      <w:tr>
        <w:tc>
          <w:tcPr>
            <w:tcW w:type="dxa" w:w="692"/>
            <w:vMerge/>
          </w:tcPr>
          <w:p/>
        </w:tc>
        <w:tc>
          <w:tcPr>
            <w:tcW w:type="dxa" w:w="2076"/>
          </w:tcPr>
          <w:p>
            <w:pPr>
              <w:pStyle w:val="null3"/>
              <w:jc w:val="left"/>
            </w:pPr>
            <w:r>
              <w:rPr/>
              <w:t>备品备件方案</w:t>
            </w:r>
          </w:p>
        </w:tc>
        <w:tc>
          <w:tcPr>
            <w:tcW w:type="dxa" w:w="2769"/>
          </w:tcPr>
          <w:p>
            <w:pPr>
              <w:pStyle w:val="null3"/>
              <w:jc w:val="left"/>
            </w:pPr>
            <w:r>
              <w:rPr/>
              <w:t>供应商提供免费维保期内备品备件方案，具有备件库的数量、分布、规模和服务条款4部分，全部齐全得4分，缺失一项得2分，缺失两项或以上不得分。</w:t>
            </w:r>
          </w:p>
        </w:tc>
        <w:tc>
          <w:tcPr>
            <w:tcW w:type="dxa" w:w="692"/>
          </w:tcPr>
          <w:p>
            <w:pPr>
              <w:pStyle w:val="null3"/>
              <w:jc w:val="right"/>
            </w:pPr>
            <w:r>
              <w:rPr/>
              <w:t>4.00</w:t>
            </w:r>
          </w:p>
        </w:tc>
        <w:tc>
          <w:tcPr>
            <w:tcW w:type="dxa" w:w="692"/>
          </w:tcPr>
          <w:p>
            <w:pPr>
              <w:pStyle w:val="null3"/>
              <w:jc w:val="left"/>
            </w:pPr>
            <w:r>
              <w:rPr/>
              <w:t>客观</w:t>
            </w:r>
          </w:p>
        </w:tc>
      </w:tr>
      <w:tr>
        <w:tc>
          <w:tcPr>
            <w:tcW w:type="dxa" w:w="692"/>
            <w:vMerge/>
          </w:tcPr>
          <w:p/>
        </w:tc>
        <w:tc>
          <w:tcPr>
            <w:tcW w:type="dxa" w:w="2076"/>
          </w:tcPr>
          <w:p>
            <w:pPr>
              <w:pStyle w:val="null3"/>
              <w:jc w:val="left"/>
            </w:pPr>
            <w:r>
              <w:rPr/>
              <w:t>需求响应情况</w:t>
            </w:r>
          </w:p>
        </w:tc>
        <w:tc>
          <w:tcPr>
            <w:tcW w:type="dxa" w:w="2769"/>
          </w:tcPr>
          <w:p>
            <w:pPr>
              <w:pStyle w:val="null3"/>
              <w:jc w:val="left"/>
            </w:pPr>
            <w:r>
              <w:rPr/>
              <w:t>根据投标人针对招标文件“采购需求”的应答情况进行评分，采购需求中“△”条款全部满足且无负偏离的，得2分，否则不得分；</w:t>
            </w:r>
          </w:p>
        </w:tc>
        <w:tc>
          <w:tcPr>
            <w:tcW w:type="dxa" w:w="692"/>
          </w:tcPr>
          <w:p>
            <w:pPr>
              <w:pStyle w:val="null3"/>
              <w:jc w:val="right"/>
            </w:pPr>
            <w:r>
              <w:rPr/>
              <w:t>2.00</w:t>
            </w:r>
          </w:p>
        </w:tc>
        <w:tc>
          <w:tcPr>
            <w:tcW w:type="dxa" w:w="692"/>
          </w:tcPr>
          <w:p>
            <w:pPr>
              <w:pStyle w:val="null3"/>
              <w:jc w:val="left"/>
            </w:pPr>
            <w:r>
              <w:rPr/>
              <w:t>客观</w:t>
            </w:r>
          </w:p>
        </w:tc>
      </w:tr>
      <w:tr>
        <w:tc>
          <w:tcPr>
            <w:tcW w:type="dxa" w:w="692"/>
            <w:vMerge w:val="restart"/>
          </w:tcPr>
          <w:p>
            <w:pPr>
              <w:pStyle w:val="null3"/>
              <w:jc w:val="left"/>
            </w:pPr>
            <w:r>
              <w:rPr/>
              <w:t>商务评审</w:t>
            </w:r>
          </w:p>
        </w:tc>
        <w:tc>
          <w:tcPr>
            <w:tcW w:type="dxa" w:w="2076"/>
          </w:tcPr>
          <w:p>
            <w:pPr>
              <w:pStyle w:val="null3"/>
              <w:jc w:val="left"/>
            </w:pPr>
            <w:r>
              <w:rPr/>
              <w:t>案例业绩</w:t>
            </w:r>
          </w:p>
        </w:tc>
        <w:tc>
          <w:tcPr>
            <w:tcW w:type="dxa" w:w="2769"/>
          </w:tcPr>
          <w:p>
            <w:pPr>
              <w:pStyle w:val="null3"/>
              <w:jc w:val="left"/>
            </w:pPr>
            <w:r>
              <w:rPr/>
              <w:t>供应商自 2023 年 1 月 1 日至递交投标文件截止日（以合同签订时间为准），每提供一个所投便携式计算机产品或其同系列便携式计算机产品，同等规模（500台或以上）销售案例得 1分，最高得 10 分。 案例要求： 1.案例须提供合同复印件（至少包括合同首页、销售内容目录页、双方签章页，金额页，可隐去敏感或涉密部分，非投标人所签订产品销售案例需加盖投标人签章）等证明文件，未提供证明文件或证明文件资料不全不得分，同时合同原件可供采购人备查。 2.同系列产品定义：该案例合同中与本项目所投产品同品牌同系列，如型号为英文（中文）加数字组成，仅型号中的数字不同，可认定为同系列；如型号为纯数字组成，数字第一位需保持一致，可认定为同系列；涉及上述情形的，按上述规定进行判定。涉及其他情形，供应商应出具承诺函，承诺此案例与所投产品为同系列，可认定为同系列案例。 3.针对同一采购人及其全资子公司、控股子公司、分公司的不同销售案例按一个案例计算，销售数量不累加计算。投标人须出具“销售案例采购人关系说明”，以证明其销售案例的采购人无上述关系，未出具此说明的，投标人所有合格销售案例按一个案例计算；说明中未包含的销售案例视为无效案例，不予认可。 4.针对同一采购人签订的框架协议，同一框架协议内多次订单按一个案例计算，销售数量不累加计算。</w:t>
            </w:r>
          </w:p>
        </w:tc>
        <w:tc>
          <w:tcPr>
            <w:tcW w:type="dxa" w:w="692"/>
          </w:tcPr>
          <w:p>
            <w:pPr>
              <w:pStyle w:val="null3"/>
              <w:jc w:val="right"/>
            </w:pPr>
            <w:r>
              <w:rPr/>
              <w:t>10.00</w:t>
            </w:r>
          </w:p>
        </w:tc>
        <w:tc>
          <w:tcPr>
            <w:tcW w:type="dxa" w:w="692"/>
          </w:tcPr>
          <w:p>
            <w:pPr>
              <w:pStyle w:val="null3"/>
              <w:jc w:val="left"/>
            </w:pPr>
            <w:r>
              <w:rPr/>
              <w:t>客观</w:t>
            </w:r>
          </w:p>
        </w:tc>
      </w:tr>
      <w:tr>
        <w:tc>
          <w:tcPr>
            <w:tcW w:type="dxa" w:w="692"/>
            <w:vMerge/>
          </w:tcPr>
          <w:p/>
        </w:tc>
        <w:tc>
          <w:tcPr>
            <w:tcW w:type="dxa" w:w="2076"/>
          </w:tcPr>
          <w:p>
            <w:pPr>
              <w:pStyle w:val="null3"/>
              <w:jc w:val="left"/>
            </w:pPr>
            <w:r>
              <w:rPr/>
              <w:t>合同条款应答情况</w:t>
            </w:r>
          </w:p>
        </w:tc>
        <w:tc>
          <w:tcPr>
            <w:tcW w:type="dxa" w:w="2769"/>
          </w:tcPr>
          <w:p>
            <w:pPr>
              <w:pStyle w:val="null3"/>
              <w:jc w:val="left"/>
            </w:pPr>
            <w:r>
              <w:rPr/>
              <w:t>供应商须对照采购文件合同条款逐条应答，全部无偏离得3分，存在负偏离或未逐条应答的不得分。</w:t>
            </w:r>
          </w:p>
        </w:tc>
        <w:tc>
          <w:tcPr>
            <w:tcW w:type="dxa" w:w="692"/>
          </w:tcPr>
          <w:p>
            <w:pPr>
              <w:pStyle w:val="null3"/>
              <w:jc w:val="right"/>
            </w:pPr>
            <w:r>
              <w:rPr/>
              <w:t>3.00</w:t>
            </w:r>
          </w:p>
        </w:tc>
        <w:tc>
          <w:tcPr>
            <w:tcW w:type="dxa" w:w="692"/>
          </w:tcPr>
          <w:p>
            <w:pPr>
              <w:pStyle w:val="null3"/>
              <w:jc w:val="left"/>
            </w:pPr>
            <w:r>
              <w:rPr/>
              <w:t>客观</w:t>
            </w:r>
          </w:p>
        </w:tc>
      </w:tr>
      <w:tr>
        <w:tc>
          <w:tcPr>
            <w:tcW w:type="dxa" w:w="692"/>
          </w:tcPr>
          <w:p>
            <w:pPr>
              <w:pStyle w:val="null3"/>
              <w:jc w:val="left"/>
            </w:pPr>
            <w:r>
              <w:rPr/>
              <w:t>价格分</w:t>
            </w:r>
          </w:p>
        </w:tc>
        <w:tc>
          <w:tcPr>
            <w:tcW w:type="dxa" w:w="2076"/>
          </w:tcPr>
          <w:p>
            <w:pPr>
              <w:pStyle w:val="null3"/>
              <w:jc w:val="left"/>
            </w:pPr>
            <w:r>
              <w:rPr/>
              <w:t>价格分</w:t>
            </w:r>
          </w:p>
        </w:tc>
        <w:tc>
          <w:tcPr>
            <w:tcW w:type="dxa" w:w="2769"/>
          </w:tcPr>
          <w:p>
            <w:pPr>
              <w:pStyle w:val="null3"/>
              <w:jc w:val="left"/>
            </w:pPr>
            <w:r>
              <w:rPr/>
              <w:t>投标总价价格评审：综合评分法中的价格分采用低价优先法计算，即满足招标文件要求且投标价格最低的投标报价为评标基准价，其价格分为满分。其他投标人的价格分统一按照下列公式计算：投标人报价得分=（评标基准价/投标报价）×价格权值×100； 本项目中价格权值=40%</w:t>
            </w:r>
          </w:p>
        </w:tc>
        <w:tc>
          <w:tcPr>
            <w:tcW w:type="dxa" w:w="692"/>
          </w:tcPr>
          <w:p>
            <w:pPr>
              <w:pStyle w:val="null3"/>
              <w:jc w:val="right"/>
            </w:pPr>
            <w:r>
              <w:rPr/>
              <w:t>40.00</w:t>
            </w:r>
          </w:p>
        </w:tc>
        <w:tc>
          <w:tcPr>
            <w:tcW w:type="dxa" w:w="692"/>
          </w:tcPr>
          <w:p>
            <w:pPr>
              <w:pStyle w:val="null3"/>
              <w:jc w:val="left"/>
            </w:pPr>
            <w:r>
              <w:rPr/>
              <w:t>客观</w:t>
            </w:r>
          </w:p>
        </w:tc>
      </w:tr>
    </w:tbl>
    <w:p>
      <w:pPr>
        <w:pStyle w:val="null3"/>
        <w:jc w:val="left"/>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jc w:val="left"/>
            </w:pPr>
            <w:r>
              <w:rPr/>
              <w:t xml:space="preserve"> 序号</w:t>
            </w:r>
          </w:p>
        </w:tc>
        <w:tc>
          <w:tcPr>
            <w:tcW w:type="dxa" w:w="1661"/>
          </w:tcPr>
          <w:p>
            <w:pPr>
              <w:pStyle w:val="null3"/>
              <w:jc w:val="left"/>
            </w:pPr>
            <w:r>
              <w:rPr/>
              <w:t xml:space="preserve"> 情形</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3322"/>
          </w:tcPr>
          <w:p>
            <w:pPr>
              <w:pStyle w:val="null3"/>
              <w:jc w:val="left"/>
            </w:pPr>
            <w:r>
              <w:rPr/>
              <w:t xml:space="preserve"> 说明</w:t>
            </w:r>
          </w:p>
        </w:tc>
      </w:tr>
      <w:tr>
        <w:tc>
          <w:tcPr>
            <w:tcW w:type="dxa" w:w="831"/>
          </w:tcPr>
          <w:p>
            <w:pPr>
              <w:pStyle w:val="null3"/>
              <w:jc w:val="left"/>
            </w:pPr>
            <w:r>
              <w:rPr/>
              <w:t>1</w:t>
            </w:r>
          </w:p>
        </w:tc>
        <w:tc>
          <w:tcPr>
            <w:tcW w:type="dxa" w:w="1661"/>
          </w:tcPr>
          <w:p>
            <w:pPr>
              <w:pStyle w:val="null3"/>
              <w:jc w:val="left"/>
            </w:pPr>
            <w:r>
              <w:rPr/>
              <w:t>落实本国产品标准及相关政策</w:t>
            </w:r>
          </w:p>
        </w:tc>
        <w:tc>
          <w:tcPr>
            <w:tcW w:type="dxa" w:w="1661"/>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t>20.00%</w:t>
            </w:r>
          </w:p>
        </w:tc>
        <w:tc>
          <w:tcPr>
            <w:tcW w:type="dxa" w:w="3322"/>
          </w:tcPr>
          <w:p>
            <w:pPr>
              <w:pStyle w:val="null3"/>
              <w:jc w:val="left"/>
            </w:pPr>
            <w:r>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注：本国产品标准适用于货物，包括政府采购货物项目和服务项目中涉及的货物。符合政策要求的投标人，须附《关于符合本国产品标准的声明函》和《符合本国产品标准的产品成本之和占所提供全部产品成本之和的比例的声明函》作为补充证明文件。</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根据《国有金融企业集中采购管理暂行规定》（财金〔2018〕9号）第二十八条“采用公开招标方式的，应当按规定发布招标公告、资格预审公告，公示中标候选人、中标结果等全流程信息”，采购代理机构应当在评标委员会提交评审报告后，在“投标人须知前格式”中的“信息公示渠道”上公示中标候选人。</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详见附件：中小企业声明函</w:t>
      </w:r>
    </w:p>
    <w:p>
      <w:pPr>
        <w:pStyle w:val="null3"/>
        <w:ind w:firstLine="960"/>
      </w:pPr>
      <w:r>
        <w:rPr/>
        <w:t>详见附件：监狱企业的证明文件</w:t>
      </w:r>
    </w:p>
    <w:p>
      <w:pPr>
        <w:pStyle w:val="null3"/>
        <w:ind w:firstLine="960"/>
      </w:pPr>
      <w:r>
        <w:rPr/>
        <w:t>详见附件：残疾人福利性单位声明函</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详见附件：节能产品、环境标志产品认证证书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详见附件：关于符合本国产品标准的声明函</w:t>
      </w:r>
    </w:p>
    <w:p>
      <w:pPr>
        <w:pStyle w:val="null3"/>
        <w:ind w:firstLine="960"/>
      </w:pPr>
      <w:r>
        <w:rPr/>
        <w:t>详见附件：异常低价情形第3项的相关书面说明及必要的证明材料</w:t>
      </w:r>
    </w:p>
    <w:p>
      <w:pPr>
        <w:pStyle w:val="null3"/>
        <w:ind w:firstLine="960"/>
      </w:pPr>
      <w:r>
        <w:rPr/>
        <w:t>详见附件：符合本国产品标准的产品成本之和占所提供全部产品成本之和的比例的声明函</w:t>
      </w:r>
    </w:p>
    <w:p>
      <w:pPr>
        <w:pStyle w:val="null3"/>
        <w:ind w:firstLine="960"/>
      </w:pPr>
      <w:r>
        <w:rPr/>
        <w:t>详见附件：技术条款第188条证明文件</w:t>
      </w:r>
    </w:p>
    <w:p>
      <w:pPr>
        <w:pStyle w:val="null3"/>
        <w:ind w:firstLine="960"/>
      </w:pPr>
      <w:r>
        <w:rPr/>
        <w:t>详见附件：技术条款第380条证明文件</w:t>
      </w:r>
    </w:p>
    <w:p>
      <w:pPr>
        <w:pStyle w:val="null3"/>
        <w:ind w:firstLine="960"/>
      </w:pPr>
      <w:r>
        <w:rPr/>
        <w:t>详见附件：商务条款第1条证明文件</w:t>
      </w:r>
    </w:p>
    <w:p>
      <w:pPr>
        <w:pStyle w:val="null3"/>
        <w:ind w:firstLine="960"/>
      </w:pPr>
      <w:r>
        <w:rPr/>
        <w:t>详见附件：商务条款第2条证明文件</w:t>
      </w:r>
    </w:p>
    <w:p>
      <w:pPr>
        <w:pStyle w:val="null3"/>
        <w:ind w:firstLine="960"/>
      </w:pPr>
      <w:r>
        <w:rPr/>
        <w:t>详见附件：商务条款第3条证明文件</w:t>
      </w:r>
    </w:p>
    <w:p>
      <w:pPr>
        <w:pStyle w:val="null3"/>
        <w:ind w:firstLine="960"/>
      </w:pPr>
      <w:r>
        <w:rPr/>
        <w:t>详见附件：商务条款第4条证明文件</w:t>
      </w:r>
    </w:p>
    <w:p>
      <w:pPr>
        <w:pStyle w:val="null3"/>
        <w:ind w:firstLine="960"/>
      </w:pPr>
      <w:r>
        <w:rPr/>
        <w:t>详见附件：商务条款第5条证明文件</w:t>
      </w:r>
    </w:p>
    <w:p>
      <w:pPr>
        <w:pStyle w:val="null3"/>
        <w:ind w:firstLine="960"/>
      </w:pPr>
      <w:r>
        <w:rPr/>
        <w:t>详见附件：商务条款第6条证明文件</w:t>
      </w:r>
    </w:p>
    <w:p>
      <w:pPr>
        <w:pStyle w:val="null3"/>
        <w:ind w:firstLine="960"/>
      </w:pPr>
      <w:r>
        <w:rPr/>
        <w:t>详见附件：商务条款第14条证明文件</w:t>
      </w:r>
    </w:p>
    <w:p>
      <w:pPr>
        <w:pStyle w:val="null3"/>
        <w:ind w:firstLine="960"/>
      </w:pPr>
      <w:r>
        <w:rPr/>
        <w:t>详见附件：商务条款第19条证明文件</w:t>
      </w:r>
    </w:p>
    <w:p>
      <w:pPr>
        <w:pStyle w:val="null3"/>
        <w:ind w:firstLine="960"/>
      </w:pPr>
      <w:r>
        <w:rPr/>
        <w:t>详见附件：商务条款第20条证明文件</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rFonts w:ascii="宋体" w:hAnsi="宋体" w:cs="宋体" w:eastAsia="宋体"/>
          <w:sz w:val="52"/>
          <w:b/>
        </w:rPr>
        <w:t>【</w:t>
      </w:r>
      <w:r>
        <w:rPr>
          <w:rFonts w:ascii="calibri, sans-serif" w:hAnsi="calibri, sans-serif" w:cs="calibri, sans-serif" w:eastAsia="calibri, sans-serif"/>
          <w:sz w:val="52"/>
          <w:b/>
        </w:rPr>
        <w:t>2026</w:t>
      </w:r>
      <w:r>
        <w:rPr>
          <w:rFonts w:ascii="宋体" w:hAnsi="宋体" w:cs="宋体" w:eastAsia="宋体"/>
          <w:sz w:val="52"/>
          <w:b/>
        </w:rPr>
        <w:t>年终端采购】</w:t>
      </w:r>
      <w:r>
        <w:rPr>
          <w:rFonts w:ascii="宋体" w:hAnsi="宋体" w:cs="宋体" w:eastAsia="宋体"/>
          <w:sz w:val="52"/>
          <w:b/>
        </w:rPr>
        <w:t>项目</w:t>
      </w:r>
    </w:p>
    <w:p>
      <w:pPr>
        <w:pStyle w:val="null3"/>
        <w:jc w:val="center"/>
      </w:pPr>
      <w:r>
        <w:rPr>
          <w:rFonts w:ascii="宋体" w:hAnsi="宋体" w:cs="宋体" w:eastAsia="宋体"/>
          <w:sz w:val="52"/>
          <w:b/>
        </w:rPr>
        <w:t>采购合同</w:t>
      </w:r>
    </w:p>
    <w:p>
      <w:pPr>
        <w:pStyle w:val="null3"/>
        <w:ind w:left="105" w:right="-15"/>
        <w:jc w:val="both"/>
      </w:pPr>
      <w:r>
        <w:rPr>
          <w:rFonts w:ascii="宋体" w:hAnsi="宋体" w:cs="宋体" w:eastAsia="宋体"/>
          <w:sz w:val="24"/>
        </w:rPr>
        <w:t>合同编号：</w:t>
      </w:r>
      <w:r>
        <w:rPr>
          <w:rFonts w:ascii="宋体" w:hAnsi="宋体" w:cs="宋体" w:eastAsia="宋体"/>
          <w:sz w:val="24"/>
          <w:b/>
        </w:rPr>
        <w:t>【】</w:t>
      </w:r>
    </w:p>
    <w:p>
      <w:pPr>
        <w:pStyle w:val="null3"/>
        <w:ind w:left="105" w:right="-15"/>
        <w:jc w:val="both"/>
      </w:pPr>
      <w:r>
        <w:rPr>
          <w:rFonts w:ascii="宋体" w:hAnsi="宋体" w:cs="宋体" w:eastAsia="宋体"/>
          <w:sz w:val="24"/>
          <w:b/>
        </w:rPr>
        <w:t>甲</w:t>
      </w:r>
      <w:r>
        <w:rPr>
          <w:rFonts w:ascii="calibri, sans-serif" w:hAnsi="calibri, sans-serif" w:cs="calibri, sans-serif" w:eastAsia="calibri, sans-serif"/>
          <w:sz w:val="21"/>
          <w:b/>
        </w:rPr>
        <w:t xml:space="preserve">   </w:t>
      </w:r>
      <w:r>
        <w:rPr>
          <w:rFonts w:ascii="宋体" w:hAnsi="宋体" w:cs="宋体" w:eastAsia="宋体"/>
          <w:sz w:val="24"/>
          <w:b/>
        </w:rPr>
        <w:t>方</w:t>
      </w:r>
      <w:r>
        <w:rPr>
          <w:rFonts w:ascii="宋体" w:hAnsi="宋体" w:cs="宋体" w:eastAsia="宋体"/>
          <w:sz w:val="24"/>
          <w:b/>
        </w:rPr>
        <w:t>：</w:t>
      </w:r>
      <w:r>
        <w:rPr>
          <w:rFonts w:ascii="宋体" w:hAnsi="宋体" w:cs="宋体" w:eastAsia="宋体"/>
          <w:sz w:val="24"/>
          <w:b/>
        </w:rPr>
        <w:t>网联清算有限公司</w:t>
      </w:r>
    </w:p>
    <w:p>
      <w:pPr>
        <w:pStyle w:val="null3"/>
        <w:ind w:left="105" w:right="-15"/>
        <w:jc w:val="both"/>
      </w:pPr>
      <w:r>
        <w:rPr>
          <w:rFonts w:ascii="宋体" w:hAnsi="宋体" w:cs="宋体" w:eastAsia="宋体"/>
          <w:sz w:val="24"/>
        </w:rPr>
        <w:t>法定代表人：</w:t>
      </w:r>
      <w:r>
        <w:rPr>
          <w:rFonts w:ascii="宋体" w:hAnsi="宋体" w:cs="宋体" w:eastAsia="宋体"/>
          <w:sz w:val="24"/>
        </w:rPr>
        <w:t>罗延枫</w:t>
      </w:r>
    </w:p>
    <w:p>
      <w:pPr>
        <w:pStyle w:val="null3"/>
        <w:ind w:left="105" w:right="-15"/>
        <w:jc w:val="both"/>
      </w:pPr>
      <w:r>
        <w:rPr>
          <w:rFonts w:ascii="宋体" w:hAnsi="宋体" w:cs="宋体" w:eastAsia="宋体"/>
          <w:sz w:val="24"/>
        </w:rPr>
        <w:t>地址：北京市西城区北三环中路甲</w:t>
      </w:r>
      <w:r>
        <w:rPr>
          <w:rFonts w:ascii="calibri, sans-serif" w:hAnsi="calibri, sans-serif" w:cs="calibri, sans-serif" w:eastAsia="calibri, sans-serif"/>
          <w:sz w:val="24"/>
        </w:rPr>
        <w:t>29</w:t>
      </w:r>
      <w:r>
        <w:rPr>
          <w:rFonts w:ascii="宋体" w:hAnsi="宋体" w:cs="宋体" w:eastAsia="宋体"/>
          <w:sz w:val="24"/>
        </w:rPr>
        <w:t>号院</w:t>
      </w:r>
      <w:r>
        <w:rPr>
          <w:rFonts w:ascii="calibri, sans-serif" w:hAnsi="calibri, sans-serif" w:cs="calibri, sans-serif" w:eastAsia="calibri, sans-serif"/>
          <w:sz w:val="24"/>
        </w:rPr>
        <w:t>3</w:t>
      </w:r>
      <w:r>
        <w:rPr>
          <w:rFonts w:ascii="宋体" w:hAnsi="宋体" w:cs="宋体" w:eastAsia="宋体"/>
          <w:sz w:val="24"/>
        </w:rPr>
        <w:t>号楼</w:t>
      </w:r>
      <w:r>
        <w:rPr>
          <w:rFonts w:ascii="calibri, sans-serif" w:hAnsi="calibri, sans-serif" w:cs="calibri, sans-serif" w:eastAsia="calibri, sans-serif"/>
          <w:sz w:val="24"/>
        </w:rPr>
        <w:t>101</w:t>
      </w:r>
      <w:r>
        <w:rPr>
          <w:rFonts w:ascii="宋体" w:hAnsi="宋体" w:cs="宋体" w:eastAsia="宋体"/>
          <w:sz w:val="24"/>
        </w:rPr>
        <w:t>号内</w:t>
      </w:r>
      <w:r>
        <w:rPr>
          <w:rFonts w:ascii="calibri, sans-serif" w:hAnsi="calibri, sans-serif" w:cs="calibri, sans-serif" w:eastAsia="calibri, sans-serif"/>
          <w:sz w:val="24"/>
        </w:rPr>
        <w:t>101</w:t>
      </w:r>
      <w:r>
        <w:rPr>
          <w:rFonts w:ascii="宋体" w:hAnsi="宋体" w:cs="宋体" w:eastAsia="宋体"/>
          <w:sz w:val="24"/>
        </w:rPr>
        <w:t>室</w:t>
      </w:r>
    </w:p>
    <w:p>
      <w:pPr>
        <w:pStyle w:val="null3"/>
        <w:ind w:left="105" w:right="-15"/>
        <w:jc w:val="both"/>
      </w:pPr>
      <w:r>
        <w:rPr>
          <w:rFonts w:ascii="宋体" w:hAnsi="宋体" w:cs="宋体" w:eastAsia="宋体"/>
          <w:sz w:val="24"/>
        </w:rPr>
        <w:t>邮政编码：</w:t>
      </w:r>
      <w:r>
        <w:rPr>
          <w:rFonts w:ascii="calibri, sans-serif" w:hAnsi="calibri, sans-serif" w:cs="calibri, sans-serif" w:eastAsia="calibri, sans-serif"/>
          <w:sz w:val="24"/>
        </w:rPr>
        <w:t>100088</w:t>
      </w:r>
    </w:p>
    <w:p>
      <w:pPr>
        <w:pStyle w:val="null3"/>
        <w:ind w:left="840"/>
      </w:pPr>
      <w:r>
        <w:rPr>
          <w:rFonts w:ascii="宋体" w:hAnsi="宋体" w:cs="宋体" w:eastAsia="宋体"/>
          <w:sz w:val="24"/>
          <w:b/>
        </w:rPr>
        <w:t>乙</w:t>
      </w:r>
      <w:r>
        <w:rPr>
          <w:rFonts w:ascii="calibri, sans-serif" w:hAnsi="calibri, sans-serif" w:cs="calibri, sans-serif" w:eastAsia="calibri, sans-serif"/>
          <w:sz w:val="21"/>
          <w:b/>
        </w:rPr>
        <w:t xml:space="preserve">    </w:t>
      </w:r>
      <w:r>
        <w:rPr>
          <w:rFonts w:ascii="宋体" w:hAnsi="宋体" w:cs="宋体" w:eastAsia="宋体"/>
          <w:sz w:val="24"/>
          <w:b/>
        </w:rPr>
        <w:t>方：【】</w:t>
      </w:r>
    </w:p>
    <w:p>
      <w:pPr>
        <w:pStyle w:val="null3"/>
        <w:ind w:left="105" w:right="-15"/>
        <w:jc w:val="both"/>
      </w:pPr>
      <w:r>
        <w:rPr>
          <w:rFonts w:ascii="宋体" w:hAnsi="宋体" w:cs="宋体" w:eastAsia="宋体"/>
          <w:sz w:val="24"/>
        </w:rPr>
        <w:t>法定代表人：</w:t>
      </w:r>
      <w:r>
        <w:rPr>
          <w:rFonts w:ascii="宋体" w:hAnsi="宋体" w:cs="宋体" w:eastAsia="宋体"/>
          <w:sz w:val="24"/>
        </w:rPr>
        <w:t>【】</w:t>
      </w:r>
    </w:p>
    <w:p>
      <w:pPr>
        <w:pStyle w:val="null3"/>
        <w:ind w:left="105" w:right="-15"/>
        <w:jc w:val="both"/>
      </w:pPr>
      <w:r>
        <w:rPr>
          <w:rFonts w:ascii="宋体" w:hAnsi="宋体" w:cs="宋体" w:eastAsia="宋体"/>
          <w:sz w:val="24"/>
        </w:rPr>
        <w:t>地址：</w:t>
      </w:r>
      <w:r>
        <w:rPr>
          <w:rFonts w:ascii="宋体" w:hAnsi="宋体" w:cs="宋体" w:eastAsia="宋体"/>
          <w:sz w:val="24"/>
          <w:b/>
        </w:rPr>
        <w:t>【】</w:t>
      </w:r>
    </w:p>
    <w:p>
      <w:pPr>
        <w:pStyle w:val="null3"/>
        <w:ind w:left="105" w:right="-15"/>
        <w:jc w:val="both"/>
      </w:pPr>
      <w:r>
        <w:rPr>
          <w:rFonts w:ascii="宋体" w:hAnsi="宋体" w:cs="宋体" w:eastAsia="宋体"/>
          <w:sz w:val="24"/>
        </w:rPr>
        <w:t>邮政编码：</w:t>
      </w:r>
      <w:r>
        <w:rPr>
          <w:rFonts w:ascii="宋体" w:hAnsi="宋体" w:cs="宋体" w:eastAsia="宋体"/>
          <w:sz w:val="24"/>
          <w:b/>
        </w:rPr>
        <w:t>【】</w:t>
      </w:r>
    </w:p>
    <w:p>
      <w:pPr>
        <w:pStyle w:val="null3"/>
      </w:pPr>
      <w:r>
        <w:rPr>
          <w:rFonts w:ascii="宋体" w:hAnsi="宋体" w:cs="宋体" w:eastAsia="宋体"/>
          <w:sz w:val="24"/>
        </w:rPr>
        <w:t>根据【】项目</w:t>
      </w:r>
      <w:r>
        <w:rPr>
          <w:rFonts w:ascii="宋体" w:hAnsi="宋体" w:cs="宋体" w:eastAsia="宋体"/>
          <w:sz w:val="24"/>
        </w:rPr>
        <w:t>的采购结果，</w:t>
      </w:r>
      <w:r>
        <w:rPr>
          <w:rFonts w:ascii="宋体" w:hAnsi="宋体" w:cs="宋体" w:eastAsia="宋体"/>
          <w:sz w:val="24"/>
        </w:rPr>
        <w:t>甲方与乙方经过充分协商，本着自愿、平等、互利、诚实信用的原则，签署</w:t>
      </w:r>
      <w:r>
        <w:rPr>
          <w:rFonts w:ascii="宋体" w:hAnsi="宋体" w:cs="宋体" w:eastAsia="宋体"/>
          <w:sz w:val="24"/>
          <w:color w:val="0000FF"/>
          <w:u w:val="single"/>
        </w:rPr>
        <w:t>本采购合同</w:t>
      </w:r>
      <w:r>
        <w:rPr>
          <w:rFonts w:ascii="宋体" w:hAnsi="宋体" w:cs="宋体" w:eastAsia="宋体"/>
          <w:sz w:val="24"/>
          <w:color w:val="0000FF"/>
          <w:u w:val="single"/>
        </w:rPr>
        <w:t>具体</w:t>
      </w:r>
      <w:r>
        <w:rPr>
          <w:rFonts w:ascii="宋体" w:hAnsi="宋体" w:cs="宋体" w:eastAsia="宋体"/>
          <w:sz w:val="24"/>
          <w:color w:val="0000FF"/>
          <w:u w:val="single"/>
        </w:rPr>
        <w:t>如下</w:t>
      </w:r>
      <w:r>
        <w:rPr>
          <w:rFonts w:ascii="宋体" w:hAnsi="宋体" w:cs="宋体" w:eastAsia="宋体"/>
          <w:sz w:val="24"/>
        </w:rPr>
        <w:t>：</w:t>
      </w:r>
    </w:p>
    <w:p>
      <w:pPr>
        <w:pStyle w:val="null3"/>
        <w:numPr>
          <w:ilvl w:val="0"/>
          <w:numId w:val="2"/>
        </w:numPr>
        <w:ind w:left="840"/>
      </w:pPr>
      <w:r>
        <w:rPr>
          <w:rFonts w:ascii="宋体" w:hAnsi="宋体" w:cs="宋体" w:eastAsia="宋体"/>
          <w:sz w:val="24"/>
        </w:rPr>
        <w:t>合同的组成</w:t>
      </w:r>
    </w:p>
    <w:p>
      <w:pPr>
        <w:pStyle w:val="null3"/>
        <w:ind w:right="-15" w:firstLine="480"/>
        <w:jc w:val="both"/>
      </w:pPr>
      <w:r>
        <w:rPr>
          <w:rFonts w:ascii="calibri, sans-serif" w:hAnsi="calibri, sans-serif" w:cs="calibri, sans-serif" w:eastAsia="calibri, sans-serif"/>
          <w:sz w:val="24"/>
        </w:rPr>
        <w:t xml:space="preserve">1.1 </w:t>
      </w:r>
      <w:r>
        <w:rPr>
          <w:rFonts w:ascii="宋体" w:hAnsi="宋体" w:cs="宋体" w:eastAsia="宋体"/>
          <w:sz w:val="24"/>
        </w:rPr>
        <w:t>本合同包括合同正文、合同附件、双方与履行本合同相关的盖章函件（如有）、补充条款（如有）</w:t>
      </w:r>
      <w:r>
        <w:rPr>
          <w:rFonts w:ascii="宋体" w:hAnsi="宋体" w:cs="宋体" w:eastAsia="宋体"/>
          <w:sz w:val="24"/>
        </w:rPr>
        <w:t>等，</w:t>
      </w:r>
      <w:r>
        <w:rPr>
          <w:rFonts w:ascii="宋体" w:hAnsi="宋体" w:cs="宋体" w:eastAsia="宋体"/>
          <w:sz w:val="24"/>
        </w:rPr>
        <w:t>前述文件均为本合同有效组成部分。</w:t>
      </w:r>
    </w:p>
    <w:p>
      <w:pPr>
        <w:pStyle w:val="null3"/>
        <w:ind w:right="-15" w:firstLine="480"/>
        <w:jc w:val="both"/>
      </w:pPr>
      <w:r>
        <w:rPr>
          <w:rFonts w:ascii="calibri, sans-serif" w:hAnsi="calibri, sans-serif" w:cs="calibri, sans-serif" w:eastAsia="calibri, sans-serif"/>
          <w:sz w:val="24"/>
        </w:rPr>
        <w:t xml:space="preserve">1.2 </w:t>
      </w:r>
      <w:r>
        <w:rPr>
          <w:rFonts w:ascii="宋体" w:hAnsi="宋体" w:cs="宋体" w:eastAsia="宋体"/>
          <w:sz w:val="24"/>
        </w:rPr>
        <w:t>若</w:t>
      </w:r>
      <w:r>
        <w:rPr>
          <w:rFonts w:ascii="宋体" w:hAnsi="宋体" w:cs="宋体" w:eastAsia="宋体"/>
          <w:sz w:val="24"/>
        </w:rPr>
        <w:t>合同</w:t>
      </w:r>
      <w:r>
        <w:rPr>
          <w:rFonts w:ascii="宋体" w:hAnsi="宋体" w:cs="宋体" w:eastAsia="宋体"/>
          <w:sz w:val="24"/>
        </w:rPr>
        <w:t>正文</w:t>
      </w:r>
      <w:r>
        <w:rPr>
          <w:rFonts w:ascii="宋体" w:hAnsi="宋体" w:cs="宋体" w:eastAsia="宋体"/>
          <w:sz w:val="24"/>
        </w:rPr>
        <w:t>、附件、</w:t>
      </w:r>
      <w:r>
        <w:rPr>
          <w:rFonts w:ascii="宋体" w:hAnsi="宋体" w:cs="宋体" w:eastAsia="宋体"/>
          <w:sz w:val="24"/>
        </w:rPr>
        <w:t>函件、补充条款</w:t>
      </w:r>
      <w:r>
        <w:rPr>
          <w:rFonts w:ascii="宋体" w:hAnsi="宋体" w:cs="宋体" w:eastAsia="宋体"/>
          <w:sz w:val="24"/>
        </w:rPr>
        <w:t>等</w:t>
      </w:r>
      <w:r>
        <w:rPr>
          <w:rFonts w:ascii="宋体" w:hAnsi="宋体" w:cs="宋体" w:eastAsia="宋体"/>
          <w:sz w:val="24"/>
        </w:rPr>
        <w:t>之间</w:t>
      </w:r>
      <w:r>
        <w:rPr>
          <w:rFonts w:ascii="宋体" w:hAnsi="宋体" w:cs="宋体" w:eastAsia="宋体"/>
          <w:sz w:val="24"/>
        </w:rPr>
        <w:t>有矛盾之处，</w:t>
      </w:r>
      <w:r>
        <w:rPr>
          <w:rFonts w:ascii="宋体" w:hAnsi="宋体" w:cs="宋体" w:eastAsia="宋体"/>
          <w:sz w:val="24"/>
        </w:rPr>
        <w:t>以有利于甲方的内容为准。</w:t>
      </w:r>
    </w:p>
    <w:p>
      <w:pPr>
        <w:pStyle w:val="null3"/>
        <w:ind w:right="-15" w:firstLine="480"/>
        <w:jc w:val="both"/>
      </w:pPr>
      <w:r>
        <w:rPr>
          <w:rFonts w:ascii="calibri, sans-serif" w:hAnsi="calibri, sans-serif" w:cs="calibri, sans-serif" w:eastAsia="calibri, sans-serif"/>
          <w:sz w:val="24"/>
        </w:rPr>
        <w:t xml:space="preserve">1.3 </w:t>
      </w:r>
      <w:r>
        <w:rPr>
          <w:rFonts w:ascii="宋体" w:hAnsi="宋体" w:cs="宋体" w:eastAsia="宋体"/>
          <w:sz w:val="24"/>
        </w:rPr>
        <w:t>双方一致同意：就同一事项，如果乙方提供的产品标准、技术标准、服务标准、服务水平等承诺内容与甲方要求的标准不一致的，乙方应以较高标准要求履行相应的义务。</w:t>
      </w:r>
    </w:p>
    <w:p>
      <w:pPr>
        <w:pStyle w:val="null3"/>
        <w:numPr>
          <w:ilvl w:val="0"/>
          <w:numId w:val="2"/>
        </w:numPr>
        <w:outlineLvl w:val="0"/>
      </w:pPr>
      <w:r>
        <w:rPr>
          <w:rFonts w:ascii="宋体" w:hAnsi="宋体" w:cs="宋体" w:eastAsia="宋体"/>
          <w:sz w:val="24"/>
        </w:rPr>
        <w:t>合同标的</w:t>
      </w:r>
    </w:p>
    <w:p>
      <w:pPr>
        <w:pStyle w:val="null3"/>
        <w:ind w:firstLine="480"/>
        <w:jc w:val="both"/>
      </w:pPr>
      <w:r>
        <w:rPr>
          <w:rFonts w:ascii="calibri, sans-serif" w:hAnsi="calibri, sans-serif" w:cs="calibri, sans-serif" w:eastAsia="calibri, sans-serif"/>
          <w:sz w:val="24"/>
        </w:rPr>
        <w:t xml:space="preserve">2.1 </w:t>
      </w:r>
      <w:r>
        <w:rPr>
          <w:rFonts w:ascii="宋体" w:hAnsi="宋体" w:cs="宋体" w:eastAsia="宋体"/>
          <w:sz w:val="24"/>
        </w:rPr>
        <w:t>本合同项下的价格标准详见</w:t>
      </w:r>
      <w:r>
        <w:rPr>
          <w:rFonts w:ascii="宋体" w:hAnsi="宋体" w:cs="宋体" w:eastAsia="宋体"/>
          <w:sz w:val="24"/>
        </w:rPr>
        <w:t>附件</w:t>
      </w:r>
      <w:r>
        <w:rPr>
          <w:rFonts w:ascii="calibri, sans-serif" w:hAnsi="calibri, sans-serif" w:cs="calibri, sans-serif" w:eastAsia="calibri, sans-serif"/>
          <w:sz w:val="24"/>
        </w:rPr>
        <w:t>1</w:t>
      </w:r>
      <w:r>
        <w:rPr>
          <w:rFonts w:ascii="宋体" w:hAnsi="宋体" w:cs="宋体" w:eastAsia="宋体"/>
          <w:sz w:val="24"/>
        </w:rPr>
        <w:t>《价格清单》。</w:t>
      </w:r>
    </w:p>
    <w:p>
      <w:pPr>
        <w:pStyle w:val="null3"/>
        <w:ind w:firstLine="480"/>
        <w:jc w:val="both"/>
      </w:pPr>
      <w:r>
        <w:rPr>
          <w:rFonts w:ascii="calibri, sans-serif" w:hAnsi="calibri, sans-serif" w:cs="calibri, sans-serif" w:eastAsia="calibri, sans-serif"/>
          <w:sz w:val="24"/>
        </w:rPr>
        <w:t xml:space="preserve">2.2 </w:t>
      </w:r>
      <w:r>
        <w:rPr>
          <w:rFonts w:ascii="宋体" w:hAnsi="宋体" w:cs="宋体" w:eastAsia="宋体"/>
          <w:sz w:val="24"/>
        </w:rPr>
        <w:t>乙方保证设备配置完整、全新未曾使用且满足本合同约定，有关产品的详细情况（如名称、配置、规格、型号、数量等）见附件</w:t>
      </w:r>
      <w:r>
        <w:rPr>
          <w:rFonts w:ascii="calibri, sans-serif" w:hAnsi="calibri, sans-serif" w:cs="calibri, sans-serif" w:eastAsia="calibri, sans-serif"/>
          <w:sz w:val="24"/>
        </w:rPr>
        <w:t>2</w:t>
      </w:r>
      <w:r>
        <w:rPr>
          <w:rFonts w:ascii="宋体" w:hAnsi="宋体" w:cs="宋体" w:eastAsia="宋体"/>
          <w:sz w:val="24"/>
        </w:rPr>
        <w:t>《甲方采购需求书》。</w:t>
      </w:r>
    </w:p>
    <w:p>
      <w:pPr>
        <w:pStyle w:val="null3"/>
        <w:ind w:firstLine="480"/>
        <w:jc w:val="both"/>
      </w:pPr>
      <w:r>
        <w:rPr>
          <w:rFonts w:ascii="calibri, sans-serif" w:hAnsi="calibri, sans-serif" w:cs="calibri, sans-serif" w:eastAsia="calibri, sans-serif"/>
          <w:sz w:val="24"/>
        </w:rPr>
        <w:t xml:space="preserve">2.3 </w:t>
      </w:r>
      <w:r>
        <w:rPr>
          <w:rFonts w:ascii="宋体" w:hAnsi="宋体" w:cs="宋体" w:eastAsia="宋体"/>
          <w:sz w:val="24"/>
        </w:rPr>
        <w:t>本合同项下乙方向甲方销售的产品原产地：【】，产品制造商：【】。</w:t>
      </w:r>
    </w:p>
    <w:p>
      <w:pPr>
        <w:pStyle w:val="null3"/>
        <w:numPr>
          <w:ilvl w:val="0"/>
          <w:numId w:val="2"/>
        </w:numPr>
        <w:ind w:firstLine="480"/>
        <w:jc w:val="both"/>
      </w:pPr>
      <w:r>
        <w:rPr>
          <w:rFonts w:ascii="宋体" w:hAnsi="宋体" w:cs="宋体" w:eastAsia="宋体"/>
          <w:sz w:val="24"/>
        </w:rPr>
        <w:t>交货</w:t>
      </w:r>
    </w:p>
    <w:p>
      <w:pPr>
        <w:pStyle w:val="null3"/>
        <w:ind w:firstLine="480"/>
        <w:jc w:val="both"/>
      </w:pPr>
      <w:r>
        <w:rPr>
          <w:rFonts w:ascii="calibri, sans-serif" w:hAnsi="calibri, sans-serif" w:cs="calibri, sans-serif" w:eastAsia="calibri, sans-serif"/>
          <w:sz w:val="24"/>
        </w:rPr>
        <w:t xml:space="preserve">3.1 </w:t>
      </w:r>
      <w:r>
        <w:rPr>
          <w:rFonts w:ascii="宋体" w:hAnsi="宋体" w:cs="宋体" w:eastAsia="宋体"/>
          <w:sz w:val="24"/>
        </w:rPr>
        <w:t>交货地点：【</w:t>
      </w:r>
      <w:r>
        <w:rPr>
          <w:rFonts w:ascii="宋体" w:hAnsi="宋体" w:cs="宋体" w:eastAsia="宋体"/>
          <w:sz w:val="24"/>
        </w:rPr>
        <w:t>北京金融街（月坛）中心7号楼</w:t>
      </w:r>
      <w:r>
        <w:rPr>
          <w:rFonts w:ascii="宋体" w:hAnsi="宋体" w:cs="宋体" w:eastAsia="宋体"/>
          <w:sz w:val="24"/>
        </w:rPr>
        <w:t>】。</w:t>
      </w:r>
      <w:r>
        <w:rPr>
          <w:rFonts w:ascii="宋体" w:hAnsi="宋体" w:cs="宋体" w:eastAsia="宋体"/>
          <w:sz w:val="24"/>
        </w:rPr>
        <w:t>如甲方变更交货地点，</w:t>
      </w:r>
      <w:r>
        <w:rPr>
          <w:rFonts w:ascii="宋体" w:hAnsi="宋体" w:cs="宋体" w:eastAsia="宋体"/>
          <w:sz w:val="24"/>
        </w:rPr>
        <w:t>。</w:t>
      </w:r>
      <w:r>
        <w:rPr>
          <w:rFonts w:ascii="宋体" w:hAnsi="宋体" w:cs="宋体" w:eastAsia="宋体"/>
          <w:sz w:val="24"/>
        </w:rPr>
        <w:t>如甲方变更交货地点，需按第十五条的约定通知乙方</w:t>
      </w:r>
      <w:r>
        <w:rPr>
          <w:rFonts w:ascii="宋体" w:hAnsi="宋体" w:cs="宋体" w:eastAsia="宋体"/>
          <w:sz w:val="24"/>
        </w:rPr>
        <w:t>。</w:t>
      </w:r>
    </w:p>
    <w:p>
      <w:pPr>
        <w:pStyle w:val="null3"/>
        <w:ind w:firstLine="480"/>
        <w:jc w:val="both"/>
      </w:pPr>
      <w:r>
        <w:rPr>
          <w:rFonts w:ascii="calibri, sans-serif" w:hAnsi="calibri, sans-serif" w:cs="calibri, sans-serif" w:eastAsia="calibri, sans-serif"/>
          <w:sz w:val="24"/>
        </w:rPr>
        <w:t xml:space="preserve">3.2 </w:t>
      </w:r>
      <w:r>
        <w:rPr>
          <w:rFonts w:ascii="宋体" w:hAnsi="宋体" w:cs="宋体" w:eastAsia="宋体"/>
          <w:sz w:val="24"/>
        </w:rPr>
        <w:t>交货期：</w:t>
      </w:r>
      <w:r>
        <w:rPr>
          <w:rFonts w:ascii="宋体" w:hAnsi="宋体" w:cs="宋体" w:eastAsia="宋体"/>
          <w:sz w:val="24"/>
        </w:rPr>
        <w:t>【</w:t>
      </w:r>
      <w:r>
        <w:rPr>
          <w:rFonts w:ascii="宋体" w:hAnsi="宋体" w:cs="宋体" w:eastAsia="宋体"/>
          <w:sz w:val="24"/>
        </w:rPr>
        <w:t>合同生效之日起20个工作日内</w:t>
      </w:r>
      <w:r>
        <w:rPr>
          <w:rFonts w:ascii="宋体" w:hAnsi="宋体" w:cs="宋体" w:eastAsia="宋体"/>
          <w:sz w:val="24"/>
        </w:rPr>
        <w:t>】</w:t>
      </w:r>
      <w:r>
        <w:rPr>
          <w:rFonts w:ascii="宋体" w:hAnsi="宋体" w:cs="宋体" w:eastAsia="宋体"/>
          <w:sz w:val="24"/>
        </w:rPr>
        <w:t>。</w:t>
      </w:r>
    </w:p>
    <w:p>
      <w:pPr>
        <w:pStyle w:val="null3"/>
        <w:ind w:firstLine="480"/>
        <w:jc w:val="both"/>
      </w:pPr>
      <w:r>
        <w:rPr>
          <w:rFonts w:ascii="calibri, sans-serif" w:hAnsi="calibri, sans-serif" w:cs="calibri, sans-serif" w:eastAsia="calibri, sans-serif"/>
          <w:sz w:val="24"/>
        </w:rPr>
        <w:t xml:space="preserve">3.3 </w:t>
      </w:r>
      <w:r>
        <w:rPr>
          <w:rFonts w:ascii="宋体" w:hAnsi="宋体" w:cs="宋体" w:eastAsia="宋体"/>
          <w:sz w:val="24"/>
        </w:rPr>
        <w:t>乙方在交货期内将产品运送至交货地点，并通知甲方接收。甲方接收产品并核实无误后出具【验收单】（见附件【</w:t>
      </w:r>
      <w:r>
        <w:rPr>
          <w:rFonts w:ascii="calibri, sans-serif" w:hAnsi="calibri, sans-serif" w:cs="calibri, sans-serif" w:eastAsia="calibri, sans-serif"/>
          <w:sz w:val="24"/>
        </w:rPr>
        <w:t>3</w:t>
      </w:r>
      <w:r>
        <w:rPr>
          <w:rFonts w:ascii="宋体" w:hAnsi="宋体" w:cs="宋体" w:eastAsia="宋体"/>
          <w:sz w:val="24"/>
        </w:rPr>
        <w:t>】《验收相关单据》）。之后，产品所有权转移至甲方，产品毁损、灭失的风险转移至甲方承担。</w:t>
      </w:r>
    </w:p>
    <w:p>
      <w:pPr>
        <w:pStyle w:val="null3"/>
        <w:ind w:firstLine="480"/>
        <w:jc w:val="both"/>
      </w:pPr>
      <w:r>
        <w:rPr>
          <w:rFonts w:ascii="calibri, sans-serif" w:hAnsi="calibri, sans-serif" w:cs="calibri, sans-serif" w:eastAsia="calibri, sans-serif"/>
          <w:sz w:val="24"/>
        </w:rPr>
        <w:t xml:space="preserve">3.4 </w:t>
      </w:r>
      <w:r>
        <w:rPr>
          <w:rFonts w:ascii="宋体" w:hAnsi="宋体" w:cs="宋体" w:eastAsia="宋体"/>
          <w:sz w:val="24"/>
        </w:rPr>
        <w:t>乙方应根据产品的属性，采用合理的包装及运输方式，因不当包装、运输问题等造成的损失由乙方承担。乙方将产品运输至交货地点的包装费、运费、保险费、商检费、搬运费、保险、运输风险等由乙方承担。</w:t>
      </w:r>
    </w:p>
    <w:p>
      <w:pPr>
        <w:pStyle w:val="null3"/>
        <w:numPr>
          <w:ilvl w:val="0"/>
          <w:numId w:val="2"/>
        </w:numPr>
        <w:ind w:left="840"/>
      </w:pPr>
      <w:r>
        <w:rPr>
          <w:rFonts w:ascii="宋体" w:hAnsi="宋体" w:cs="宋体" w:eastAsia="宋体"/>
          <w:sz w:val="24"/>
        </w:rPr>
        <w:t>验收</w:t>
      </w:r>
    </w:p>
    <w:p>
      <w:pPr>
        <w:pStyle w:val="null3"/>
        <w:ind w:firstLine="480"/>
        <w:jc w:val="both"/>
      </w:pPr>
      <w:r>
        <w:rPr>
          <w:rFonts w:ascii="calibri, sans-serif" w:hAnsi="calibri, sans-serif" w:cs="calibri, sans-serif" w:eastAsia="calibri, sans-serif"/>
          <w:sz w:val="24"/>
        </w:rPr>
        <w:t xml:space="preserve">4.1 </w:t>
      </w:r>
      <w:r>
        <w:rPr>
          <w:rFonts w:ascii="宋体" w:hAnsi="宋体" w:cs="宋体" w:eastAsia="宋体"/>
          <w:sz w:val="24"/>
        </w:rPr>
        <w:t>满足验收条件后，甲方对产品进行验收，乙方配合验收。验收结果以甲方</w:t>
      </w:r>
      <w:r>
        <w:rPr>
          <w:rFonts w:ascii="宋体" w:hAnsi="宋体" w:cs="宋体" w:eastAsia="宋体"/>
          <w:sz w:val="24"/>
        </w:rPr>
        <w:t>意见</w:t>
      </w:r>
      <w:r>
        <w:rPr>
          <w:rFonts w:ascii="宋体" w:hAnsi="宋体" w:cs="宋体" w:eastAsia="宋体"/>
          <w:sz w:val="24"/>
        </w:rPr>
        <w:t>为准。</w:t>
      </w:r>
      <w:r>
        <w:rPr>
          <w:rFonts w:ascii="宋体" w:hAnsi="宋体" w:cs="宋体" w:eastAsia="宋体"/>
          <w:sz w:val="24"/>
        </w:rPr>
        <w:t>甲方有权根据验收结果出具</w:t>
      </w:r>
      <w:r>
        <w:rPr>
          <w:rFonts w:ascii="宋体" w:hAnsi="宋体" w:cs="宋体" w:eastAsia="宋体"/>
          <w:sz w:val="24"/>
        </w:rPr>
        <w:t>【验收单】，乙方应在【10】</w:t>
      </w:r>
      <w:r>
        <w:rPr>
          <w:rFonts w:ascii="宋体" w:hAnsi="宋体" w:cs="宋体" w:eastAsia="宋体"/>
          <w:sz w:val="24"/>
        </w:rPr>
        <w:t>个工作日内进行书面认定，乙方迟延或拒绝书面认定的，视为同意</w:t>
      </w:r>
      <w:r>
        <w:rPr>
          <w:rFonts w:ascii="宋体" w:hAnsi="宋体" w:cs="宋体" w:eastAsia="宋体"/>
          <w:sz w:val="24"/>
        </w:rPr>
        <w:t>。</w:t>
      </w:r>
    </w:p>
    <w:p>
      <w:pPr>
        <w:pStyle w:val="null3"/>
        <w:ind w:firstLine="480"/>
        <w:jc w:val="both"/>
      </w:pPr>
      <w:r>
        <w:rPr>
          <w:rFonts w:ascii="calibri, sans-serif" w:hAnsi="calibri, sans-serif" w:cs="calibri, sans-serif" w:eastAsia="calibri, sans-serif"/>
          <w:sz w:val="24"/>
        </w:rPr>
        <w:t xml:space="preserve">4.2 </w:t>
      </w:r>
      <w:r>
        <w:rPr>
          <w:rFonts w:ascii="宋体" w:hAnsi="宋体" w:cs="宋体" w:eastAsia="宋体"/>
          <w:sz w:val="24"/>
        </w:rPr>
        <w:t>本合同项下的验收包括：</w:t>
      </w:r>
    </w:p>
    <w:p>
      <w:pPr>
        <w:pStyle w:val="null3"/>
        <w:numPr>
          <w:ilvl w:val="0"/>
          <w:numId w:val="1"/>
        </w:numPr>
        <w:jc w:val="both"/>
      </w:pPr>
      <w:r>
        <w:rPr>
          <w:rFonts w:ascii="宋体" w:hAnsi="宋体" w:cs="宋体" w:eastAsia="宋体"/>
          <w:sz w:val="24"/>
        </w:rPr>
        <w:t>【</w:t>
      </w:r>
      <w:r>
        <w:rPr>
          <w:rFonts w:ascii="宋体" w:hAnsi="宋体" w:cs="宋体" w:eastAsia="宋体"/>
          <w:sz w:val="24"/>
          <w:b/>
        </w:rPr>
        <w:t>初验</w:t>
      </w:r>
      <w:r>
        <w:rPr>
          <w:rFonts w:ascii="宋体" w:hAnsi="宋体" w:cs="宋体" w:eastAsia="宋体"/>
          <w:sz w:val="24"/>
        </w:rPr>
        <w:t>】验收：【自交货起10个工作日内】。乙方应提供如下验收证明材料：【《应急处理方案》 】。</w:t>
      </w:r>
    </w:p>
    <w:p>
      <w:pPr>
        <w:pStyle w:val="null3"/>
        <w:ind w:firstLine="480"/>
        <w:jc w:val="both"/>
      </w:pPr>
      <w:r>
        <w:rPr>
          <w:rFonts w:ascii="宋体" w:hAnsi="宋体" w:cs="宋体" w:eastAsia="宋体"/>
          <w:sz w:val="24"/>
        </w:rPr>
        <w:t>（2）【</w:t>
      </w:r>
      <w:r>
        <w:rPr>
          <w:rFonts w:ascii="宋体" w:hAnsi="宋体" w:cs="宋体" w:eastAsia="宋体"/>
          <w:sz w:val="24"/>
          <w:b/>
        </w:rPr>
        <w:t>维保服务</w:t>
      </w:r>
      <w:r>
        <w:rPr>
          <w:rFonts w:ascii="宋体" w:hAnsi="宋体" w:cs="宋体" w:eastAsia="宋体"/>
          <w:sz w:val="24"/>
        </w:rPr>
        <w:t>】验收：【维保服务期结束之日起20个工作日内】。乙方应提供如下验收证明材料：【《维保启动函》《维保实施方案》《现场处理单》《年度服务总结报告》《服务总结报告》】。</w:t>
      </w:r>
    </w:p>
    <w:p>
      <w:pPr>
        <w:pStyle w:val="null3"/>
        <w:ind w:right="-15" w:firstLine="420"/>
        <w:jc w:val="both"/>
      </w:pPr>
      <w:r>
        <w:rPr>
          <w:rFonts w:ascii="calibri, sans-serif" w:hAnsi="calibri, sans-serif" w:cs="calibri, sans-serif" w:eastAsia="calibri, sans-serif"/>
          <w:sz w:val="24"/>
        </w:rPr>
        <w:t xml:space="preserve">4.3 </w:t>
      </w:r>
      <w:r>
        <w:rPr>
          <w:rFonts w:ascii="宋体" w:hAnsi="宋体" w:cs="宋体" w:eastAsia="宋体"/>
          <w:sz w:val="24"/>
        </w:rPr>
        <w:t>如果产品中的任何部分不能满足本合同约定而不能通过相应的验收，乙方将采取一切补救措施以使验收能够在甲方指定的期限内完成，因此而产生的费用（如产品的更换、运输、再次验收费用等）由乙方承担。</w:t>
      </w:r>
    </w:p>
    <w:p>
      <w:pPr>
        <w:pStyle w:val="null3"/>
        <w:ind w:firstLine="480"/>
        <w:jc w:val="both"/>
      </w:pPr>
      <w:r>
        <w:rPr>
          <w:rFonts w:ascii="calibri, sans-serif" w:hAnsi="calibri, sans-serif" w:cs="calibri, sans-serif" w:eastAsia="calibri, sans-serif"/>
          <w:sz w:val="24"/>
        </w:rPr>
        <w:t xml:space="preserve">4.4 </w:t>
      </w:r>
      <w:r>
        <w:rPr>
          <w:rFonts w:ascii="宋体" w:hAnsi="宋体" w:cs="宋体" w:eastAsia="宋体"/>
          <w:sz w:val="24"/>
        </w:rPr>
        <w:t>验收合格并不免除乙方的责任，即若乙方提供的产品或服务不符合合同约定</w:t>
      </w:r>
      <w:r>
        <w:rPr>
          <w:rFonts w:ascii="宋体" w:hAnsi="宋体" w:cs="宋体" w:eastAsia="宋体"/>
          <w:sz w:val="24"/>
          <w:color w:val="0000FF"/>
          <w:u w:val="single"/>
        </w:rPr>
        <w:t>，甲方仍可以根据合同</w:t>
      </w:r>
      <w:r>
        <w:rPr>
          <w:rFonts w:ascii="宋体" w:hAnsi="宋体" w:cs="宋体" w:eastAsia="宋体"/>
          <w:sz w:val="24"/>
          <w:color w:val="0000FF"/>
          <w:u w:val="single"/>
        </w:rPr>
        <w:t>要求乙方承担违约责任</w:t>
      </w:r>
      <w:r>
        <w:rPr>
          <w:rFonts w:ascii="宋体" w:hAnsi="宋体" w:cs="宋体" w:eastAsia="宋体"/>
          <w:sz w:val="24"/>
        </w:rPr>
        <w:t>。</w:t>
      </w:r>
    </w:p>
    <w:p>
      <w:pPr>
        <w:pStyle w:val="null3"/>
        <w:numPr>
          <w:ilvl w:val="0"/>
          <w:numId w:val="2"/>
        </w:numPr>
        <w:ind w:right="-15"/>
        <w:jc w:val="both"/>
      </w:pPr>
      <w:r>
        <w:rPr>
          <w:rFonts w:ascii="宋体" w:hAnsi="宋体" w:cs="宋体" w:eastAsia="宋体"/>
          <w:sz w:val="24"/>
        </w:rPr>
        <w:t>付款</w:t>
      </w:r>
    </w:p>
    <w:p>
      <w:pPr>
        <w:pStyle w:val="null3"/>
        <w:ind w:firstLine="480"/>
        <w:jc w:val="both"/>
      </w:pPr>
      <w:r>
        <w:rPr>
          <w:rFonts w:ascii="calibri, sans-serif" w:hAnsi="calibri, sans-serif" w:cs="calibri, sans-serif" w:eastAsia="calibri, sans-serif"/>
          <w:sz w:val="24"/>
        </w:rPr>
        <w:t xml:space="preserve">5.1 </w:t>
      </w:r>
      <w:r>
        <w:rPr>
          <w:rFonts w:ascii="宋体" w:hAnsi="宋体" w:cs="宋体" w:eastAsia="宋体"/>
          <w:sz w:val="24"/>
        </w:rPr>
        <w:t>甲方按以下方式付款：</w:t>
      </w:r>
    </w:p>
    <w:p>
      <w:pPr>
        <w:pStyle w:val="null3"/>
        <w:ind w:firstLine="422"/>
        <w:jc w:val="both"/>
      </w:pPr>
      <w:r>
        <w:rPr>
          <w:rFonts w:ascii="宋体" w:hAnsi="宋体" w:cs="宋体" w:eastAsia="宋体"/>
          <w:sz w:val="24"/>
          <w:b/>
        </w:rPr>
        <w:t>（</w:t>
      </w:r>
      <w:r>
        <w:rPr>
          <w:rFonts w:ascii="calibri, sans-serif" w:hAnsi="calibri, sans-serif" w:cs="calibri, sans-serif" w:eastAsia="calibri, sans-serif"/>
          <w:sz w:val="24"/>
          <w:b/>
        </w:rPr>
        <w:t>1</w:t>
      </w:r>
      <w:r>
        <w:rPr>
          <w:rFonts w:ascii="宋体" w:hAnsi="宋体" w:cs="宋体" w:eastAsia="宋体"/>
          <w:sz w:val="24"/>
          <w:b/>
        </w:rPr>
        <w:t>）</w:t>
      </w:r>
      <w:r>
        <w:rPr>
          <w:rFonts w:ascii="宋体" w:hAnsi="宋体" w:cs="宋体" w:eastAsia="宋体"/>
          <w:sz w:val="24"/>
        </w:rPr>
        <w:t>合同总金额为人民币【】元整（含税），大写【】</w:t>
      </w:r>
      <w:r>
        <w:rPr>
          <w:rFonts w:ascii="宋体" w:hAnsi="宋体" w:cs="宋体" w:eastAsia="宋体"/>
          <w:sz w:val="24"/>
        </w:rPr>
        <w:t>。</w:t>
      </w:r>
      <w:r>
        <w:rPr>
          <w:rFonts w:ascii="宋体" w:hAnsi="宋体" w:cs="宋体" w:eastAsia="宋体"/>
          <w:sz w:val="24"/>
        </w:rPr>
        <w:t>不含税总金额【】</w:t>
      </w:r>
      <w:r>
        <w:rPr>
          <w:rFonts w:ascii="宋体" w:hAnsi="宋体" w:cs="宋体" w:eastAsia="宋体"/>
          <w:sz w:val="24"/>
        </w:rPr>
        <w:t>元</w:t>
      </w:r>
      <w:r>
        <w:rPr>
          <w:rFonts w:ascii="宋体" w:hAnsi="宋体" w:cs="宋体" w:eastAsia="宋体"/>
          <w:sz w:val="24"/>
        </w:rPr>
        <w:t>，税额【】</w:t>
      </w:r>
      <w:r>
        <w:rPr>
          <w:rFonts w:ascii="宋体" w:hAnsi="宋体" w:cs="宋体" w:eastAsia="宋体"/>
          <w:sz w:val="24"/>
        </w:rPr>
        <w:t>元。</w:t>
      </w:r>
      <w:r>
        <w:rPr>
          <w:rFonts w:ascii="宋体" w:hAnsi="宋体" w:cs="宋体" w:eastAsia="宋体"/>
          <w:sz w:val="24"/>
        </w:rPr>
        <w:t>甲方按下述比例支付：</w:t>
      </w:r>
    </w:p>
    <w:p>
      <w:pPr>
        <w:pStyle w:val="null3"/>
        <w:ind w:firstLine="480"/>
        <w:jc w:val="both"/>
      </w:pPr>
      <w:r>
        <w:rPr>
          <w:rFonts w:ascii="calibri, sans-serif" w:hAnsi="calibri, sans-serif" w:cs="calibri, sans-serif" w:eastAsia="calibri, sans-serif"/>
          <w:sz w:val="24"/>
        </w:rPr>
        <w:t>①</w:t>
      </w:r>
      <w:r>
        <w:rPr>
          <w:rFonts w:ascii="宋体" w:hAnsi="宋体" w:cs="宋体" w:eastAsia="宋体"/>
          <w:sz w:val="24"/>
        </w:rPr>
        <w:t>第一期，甲方向乙方支付合同总金额的【</w:t>
      </w:r>
      <w:r>
        <w:rPr>
          <w:rFonts w:ascii="calibri, sans-serif" w:hAnsi="calibri, sans-serif" w:cs="calibri, sans-serif" w:eastAsia="calibri, sans-serif"/>
          <w:sz w:val="24"/>
        </w:rPr>
        <w:t>95</w:t>
      </w:r>
      <w:r>
        <w:rPr>
          <w:rFonts w:ascii="宋体" w:hAnsi="宋体" w:cs="宋体" w:eastAsia="宋体"/>
          <w:sz w:val="24"/>
        </w:rPr>
        <w:t>】</w:t>
      </w:r>
      <w:r>
        <w:rPr>
          <w:rFonts w:ascii="calibri, sans-serif" w:hAnsi="calibri, sans-serif" w:cs="calibri, sans-serif" w:eastAsia="calibri, sans-serif"/>
          <w:sz w:val="24"/>
        </w:rPr>
        <w:t>%</w:t>
      </w:r>
      <w:r>
        <w:rPr>
          <w:rFonts w:ascii="宋体" w:hAnsi="宋体" w:cs="宋体" w:eastAsia="宋体"/>
          <w:sz w:val="24"/>
        </w:rPr>
        <w:t>，即人民币【】元（大写：人民币【】）</w:t>
      </w:r>
      <w:r>
        <w:rPr>
          <w:rFonts w:ascii="宋体" w:hAnsi="宋体" w:cs="宋体" w:eastAsia="宋体"/>
          <w:sz w:val="24"/>
        </w:rPr>
        <w:t>。支付条件：初验验收通过，乙方出具生效的验收材料等单据，收到供应商提供的全额增值税专用发票，且付款材料经审核齐备后10个工作日内支付。</w:t>
      </w:r>
    </w:p>
    <w:p>
      <w:pPr>
        <w:pStyle w:val="null3"/>
        <w:ind w:firstLine="480"/>
        <w:jc w:val="both"/>
      </w:pPr>
      <w:r>
        <w:rPr>
          <w:rFonts w:ascii="calibri, sans-serif" w:hAnsi="calibri, sans-serif" w:cs="calibri, sans-serif" w:eastAsia="calibri, sans-serif"/>
          <w:sz w:val="24"/>
        </w:rPr>
        <w:t>②</w:t>
      </w:r>
      <w:r>
        <w:rPr>
          <w:rFonts w:ascii="宋体" w:hAnsi="宋体" w:cs="宋体" w:eastAsia="宋体"/>
          <w:sz w:val="24"/>
        </w:rPr>
        <w:t>第二期，甲方向乙方支付合同总金额的【</w:t>
      </w:r>
      <w:r>
        <w:rPr>
          <w:rFonts w:ascii="calibri, sans-serif" w:hAnsi="calibri, sans-serif" w:cs="calibri, sans-serif" w:eastAsia="calibri, sans-serif"/>
          <w:sz w:val="24"/>
        </w:rPr>
        <w:t>5</w:t>
      </w:r>
      <w:r>
        <w:rPr>
          <w:rFonts w:ascii="宋体" w:hAnsi="宋体" w:cs="宋体" w:eastAsia="宋体"/>
          <w:sz w:val="24"/>
        </w:rPr>
        <w:t>】</w:t>
      </w:r>
      <w:r>
        <w:rPr>
          <w:rFonts w:ascii="calibri, sans-serif" w:hAnsi="calibri, sans-serif" w:cs="calibri, sans-serif" w:eastAsia="calibri, sans-serif"/>
          <w:sz w:val="24"/>
        </w:rPr>
        <w:t>%</w:t>
      </w:r>
      <w:r>
        <w:rPr>
          <w:rFonts w:ascii="宋体" w:hAnsi="宋体" w:cs="宋体" w:eastAsia="宋体"/>
          <w:sz w:val="24"/>
        </w:rPr>
        <w:t>，即人民币【】元（大写：人民币【】）。</w:t>
      </w:r>
      <w:r>
        <w:rPr>
          <w:rFonts w:ascii="宋体" w:hAnsi="宋体" w:cs="宋体" w:eastAsia="宋体"/>
          <w:sz w:val="24"/>
        </w:rPr>
        <w:t>支付条件：维保期验收通过，乙方出具生效的验收材料等单据，且付款材料经审核齐备后10个工作日内支付</w:t>
      </w:r>
      <w:r>
        <w:rPr>
          <w:rFonts w:ascii="宋体" w:hAnsi="宋体" w:cs="宋体" w:eastAsia="宋体"/>
          <w:sz w:val="24"/>
        </w:rPr>
        <w:t>。</w:t>
      </w:r>
    </w:p>
    <w:p>
      <w:pPr>
        <w:pStyle w:val="null3"/>
        <w:ind w:firstLine="420"/>
        <w:jc w:val="both"/>
      </w:pPr>
      <w:r>
        <w:rPr>
          <w:rFonts w:ascii="calibri, sans-serif" w:hAnsi="calibri, sans-serif" w:cs="calibri, sans-serif" w:eastAsia="calibri, sans-serif"/>
          <w:sz w:val="24"/>
        </w:rPr>
        <w:t xml:space="preserve">5.2 </w:t>
      </w:r>
      <w:r>
        <w:rPr>
          <w:rFonts w:ascii="宋体" w:hAnsi="宋体" w:cs="宋体" w:eastAsia="宋体"/>
          <w:sz w:val="24"/>
        </w:rPr>
        <w:t>除双方约定的价款外，甲方无需向乙方再支付其他任何款项，乙方不得以任何理由再要求甲方支付任何款项。</w:t>
      </w:r>
    </w:p>
    <w:p>
      <w:pPr>
        <w:pStyle w:val="null3"/>
        <w:ind w:firstLine="420"/>
        <w:jc w:val="both"/>
      </w:pPr>
      <w:r>
        <w:rPr>
          <w:rFonts w:ascii="calibri, sans-serif" w:hAnsi="calibri, sans-serif" w:cs="calibri, sans-serif" w:eastAsia="calibri, sans-serif"/>
          <w:sz w:val="24"/>
        </w:rPr>
        <w:t xml:space="preserve">5.3 </w:t>
      </w:r>
      <w:r>
        <w:rPr>
          <w:rFonts w:ascii="宋体" w:hAnsi="宋体" w:cs="宋体" w:eastAsia="宋体"/>
          <w:sz w:val="24"/>
        </w:rPr>
        <w:t>甲方发票信息：</w:t>
      </w:r>
    </w:p>
    <w:p>
      <w:pPr>
        <w:pStyle w:val="null3"/>
        <w:ind w:firstLine="420"/>
        <w:jc w:val="both"/>
      </w:pPr>
      <w:r>
        <w:rPr>
          <w:rFonts w:ascii="宋体" w:hAnsi="宋体" w:cs="宋体" w:eastAsia="宋体"/>
          <w:sz w:val="24"/>
        </w:rPr>
        <w:t>开票名称：网联清算有限公司</w:t>
      </w:r>
    </w:p>
    <w:p>
      <w:pPr>
        <w:pStyle w:val="null3"/>
        <w:ind w:firstLine="420"/>
        <w:jc w:val="both"/>
      </w:pPr>
      <w:r>
        <w:rPr>
          <w:rFonts w:ascii="宋体" w:hAnsi="宋体" w:cs="宋体" w:eastAsia="宋体"/>
          <w:sz w:val="24"/>
        </w:rPr>
        <w:t>税号：</w:t>
      </w:r>
      <w:r>
        <w:rPr>
          <w:rFonts w:ascii="calibri, sans-serif" w:hAnsi="calibri, sans-serif" w:cs="calibri, sans-serif" w:eastAsia="calibri, sans-serif"/>
          <w:sz w:val="24"/>
        </w:rPr>
        <w:t>91110102MA0179UA3A</w:t>
      </w:r>
    </w:p>
    <w:p>
      <w:pPr>
        <w:pStyle w:val="null3"/>
        <w:ind w:firstLine="420"/>
        <w:jc w:val="both"/>
      </w:pPr>
      <w:r>
        <w:rPr>
          <w:rFonts w:ascii="宋体" w:hAnsi="宋体" w:cs="宋体" w:eastAsia="宋体"/>
          <w:sz w:val="24"/>
        </w:rPr>
        <w:t>注册地址：北京市西城区北三环中路甲</w:t>
      </w:r>
      <w:r>
        <w:rPr>
          <w:rFonts w:ascii="calibri, sans-serif" w:hAnsi="calibri, sans-serif" w:cs="calibri, sans-serif" w:eastAsia="calibri, sans-serif"/>
          <w:sz w:val="24"/>
        </w:rPr>
        <w:t>29</w:t>
      </w:r>
      <w:r>
        <w:rPr>
          <w:rFonts w:ascii="宋体" w:hAnsi="宋体" w:cs="宋体" w:eastAsia="宋体"/>
          <w:sz w:val="24"/>
        </w:rPr>
        <w:t>号院</w:t>
      </w:r>
      <w:r>
        <w:rPr>
          <w:rFonts w:ascii="calibri, sans-serif" w:hAnsi="calibri, sans-serif" w:cs="calibri, sans-serif" w:eastAsia="calibri, sans-serif"/>
          <w:sz w:val="24"/>
        </w:rPr>
        <w:t>3</w:t>
      </w:r>
      <w:r>
        <w:rPr>
          <w:rFonts w:ascii="宋体" w:hAnsi="宋体" w:cs="宋体" w:eastAsia="宋体"/>
          <w:sz w:val="24"/>
        </w:rPr>
        <w:t>号楼</w:t>
      </w:r>
      <w:r>
        <w:rPr>
          <w:rFonts w:ascii="calibri, sans-serif" w:hAnsi="calibri, sans-serif" w:cs="calibri, sans-serif" w:eastAsia="calibri, sans-serif"/>
          <w:sz w:val="24"/>
        </w:rPr>
        <w:t>101</w:t>
      </w:r>
      <w:r>
        <w:rPr>
          <w:rFonts w:ascii="宋体" w:hAnsi="宋体" w:cs="宋体" w:eastAsia="宋体"/>
          <w:sz w:val="24"/>
        </w:rPr>
        <w:t>号内</w:t>
      </w:r>
      <w:r>
        <w:rPr>
          <w:rFonts w:ascii="calibri, sans-serif" w:hAnsi="calibri, sans-serif" w:cs="calibri, sans-serif" w:eastAsia="calibri, sans-serif"/>
          <w:sz w:val="24"/>
        </w:rPr>
        <w:t>101</w:t>
      </w:r>
      <w:r>
        <w:rPr>
          <w:rFonts w:ascii="宋体" w:hAnsi="宋体" w:cs="宋体" w:eastAsia="宋体"/>
          <w:sz w:val="24"/>
        </w:rPr>
        <w:t>室</w:t>
      </w:r>
    </w:p>
    <w:p>
      <w:pPr>
        <w:pStyle w:val="null3"/>
        <w:ind w:firstLine="420"/>
        <w:jc w:val="both"/>
      </w:pPr>
      <w:r>
        <w:rPr>
          <w:rFonts w:ascii="宋体" w:hAnsi="宋体" w:cs="宋体" w:eastAsia="宋体"/>
          <w:sz w:val="24"/>
        </w:rPr>
        <w:t>办公电话：</w:t>
      </w:r>
      <w:r>
        <w:rPr>
          <w:rFonts w:ascii="&quot;times new roman&quot;, serif" w:hAnsi="&quot;times new roman&quot;, serif" w:cs="&quot;times new roman&quot;, serif" w:eastAsia="&quot;times new roman&quot;, serif"/>
          <w:sz w:val="24"/>
        </w:rPr>
        <w:t>010-68148881</w:t>
      </w:r>
    </w:p>
    <w:p>
      <w:pPr>
        <w:pStyle w:val="null3"/>
        <w:ind w:firstLine="420"/>
        <w:jc w:val="both"/>
      </w:pPr>
      <w:r>
        <w:rPr>
          <w:rFonts w:ascii="宋体" w:hAnsi="宋体" w:cs="宋体" w:eastAsia="宋体"/>
          <w:sz w:val="24"/>
        </w:rPr>
        <w:t>开户银行：招商银行股份有限公司北京金融街支行</w:t>
      </w:r>
    </w:p>
    <w:p>
      <w:pPr>
        <w:pStyle w:val="null3"/>
        <w:ind w:firstLine="420"/>
        <w:jc w:val="both"/>
      </w:pPr>
      <w:r>
        <w:rPr>
          <w:rFonts w:ascii="宋体" w:hAnsi="宋体" w:cs="宋体" w:eastAsia="宋体"/>
          <w:sz w:val="24"/>
        </w:rPr>
        <w:t>银行账户：</w:t>
      </w:r>
      <w:r>
        <w:rPr>
          <w:rFonts w:ascii="calibri, sans-serif" w:hAnsi="calibri, sans-serif" w:cs="calibri, sans-serif" w:eastAsia="calibri, sans-serif"/>
          <w:sz w:val="24"/>
        </w:rPr>
        <w:t>110929723810801</w:t>
      </w:r>
    </w:p>
    <w:p>
      <w:pPr>
        <w:pStyle w:val="null3"/>
        <w:ind w:firstLine="420"/>
        <w:jc w:val="both"/>
      </w:pPr>
      <w:r>
        <w:rPr>
          <w:rFonts w:ascii="calibri, sans-serif" w:hAnsi="calibri, sans-serif" w:cs="calibri, sans-serif" w:eastAsia="calibri, sans-serif"/>
          <w:sz w:val="24"/>
        </w:rPr>
        <w:t xml:space="preserve">5.4 </w:t>
      </w:r>
      <w:r>
        <w:rPr>
          <w:rFonts w:ascii="宋体" w:hAnsi="宋体" w:cs="宋体" w:eastAsia="宋体"/>
          <w:sz w:val="24"/>
        </w:rPr>
        <w:t>乙方收款信息：</w:t>
      </w:r>
    </w:p>
    <w:p>
      <w:pPr>
        <w:pStyle w:val="null3"/>
        <w:ind w:firstLine="420"/>
        <w:jc w:val="both"/>
      </w:pPr>
      <w:r>
        <w:rPr>
          <w:rFonts w:ascii="宋体" w:hAnsi="宋体" w:cs="宋体" w:eastAsia="宋体"/>
          <w:sz w:val="24"/>
        </w:rPr>
        <w:t>账户名：【】</w:t>
      </w:r>
    </w:p>
    <w:p>
      <w:pPr>
        <w:pStyle w:val="null3"/>
        <w:ind w:firstLine="420"/>
        <w:jc w:val="both"/>
      </w:pPr>
      <w:r>
        <w:rPr>
          <w:rFonts w:ascii="宋体" w:hAnsi="宋体" w:cs="宋体" w:eastAsia="宋体"/>
          <w:sz w:val="24"/>
        </w:rPr>
        <w:t>开户银行：【】（详细至支行）</w:t>
      </w:r>
    </w:p>
    <w:p>
      <w:pPr>
        <w:pStyle w:val="null3"/>
        <w:ind w:firstLine="420"/>
        <w:jc w:val="both"/>
      </w:pPr>
      <w:r>
        <w:rPr>
          <w:rFonts w:ascii="宋体" w:hAnsi="宋体" w:cs="宋体" w:eastAsia="宋体"/>
          <w:sz w:val="24"/>
        </w:rPr>
        <w:t>开户银行地址：【】</w:t>
      </w:r>
    </w:p>
    <w:p>
      <w:pPr>
        <w:pStyle w:val="null3"/>
        <w:ind w:firstLine="420"/>
        <w:jc w:val="both"/>
      </w:pPr>
      <w:r>
        <w:rPr>
          <w:rFonts w:ascii="宋体" w:hAnsi="宋体" w:cs="宋体" w:eastAsia="宋体"/>
          <w:sz w:val="24"/>
        </w:rPr>
        <w:t>银行帐号：【】</w:t>
      </w:r>
    </w:p>
    <w:p>
      <w:pPr>
        <w:pStyle w:val="null3"/>
        <w:ind w:firstLine="420"/>
        <w:jc w:val="both"/>
      </w:pPr>
      <w:r>
        <w:rPr>
          <w:rFonts w:ascii="宋体" w:hAnsi="宋体" w:cs="宋体" w:eastAsia="宋体"/>
          <w:sz w:val="24"/>
        </w:rPr>
        <w:t>税号：【】</w:t>
      </w:r>
    </w:p>
    <w:p>
      <w:pPr>
        <w:pStyle w:val="null3"/>
        <w:ind w:firstLine="420"/>
        <w:jc w:val="both"/>
      </w:pPr>
      <w:r>
        <w:rPr>
          <w:rFonts w:ascii="calibri, sans-serif" w:hAnsi="calibri, sans-serif" w:cs="calibri, sans-serif" w:eastAsia="calibri, sans-serif"/>
          <w:sz w:val="24"/>
        </w:rPr>
        <w:t xml:space="preserve">5.5 </w:t>
      </w:r>
      <w:r>
        <w:rPr>
          <w:rFonts w:ascii="宋体" w:hAnsi="宋体" w:cs="宋体" w:eastAsia="宋体"/>
          <w:sz w:val="24"/>
        </w:rPr>
        <w:t>乙方应</w:t>
      </w:r>
      <w:r>
        <w:rPr>
          <w:rFonts w:ascii="宋体" w:hAnsi="宋体" w:cs="宋体" w:eastAsia="宋体"/>
          <w:sz w:val="24"/>
        </w:rPr>
        <w:t>按照合同约定</w:t>
      </w:r>
      <w:r>
        <w:rPr>
          <w:rFonts w:ascii="宋体" w:hAnsi="宋体" w:cs="宋体" w:eastAsia="宋体"/>
          <w:sz w:val="24"/>
        </w:rPr>
        <w:t>向甲方开具足额合法的增值税发票。如发票认证不成功，甲方有权延迟付款并要求乙方重新开具发票</w:t>
      </w:r>
      <w:r>
        <w:rPr>
          <w:rFonts w:ascii="宋体" w:hAnsi="宋体" w:cs="宋体" w:eastAsia="宋体"/>
          <w:sz w:val="24"/>
        </w:rPr>
        <w:t>，如对甲方造成损失，乙方应承担赔偿责任</w:t>
      </w:r>
      <w:r>
        <w:rPr>
          <w:rFonts w:ascii="宋体" w:hAnsi="宋体" w:cs="宋体" w:eastAsia="宋体"/>
          <w:sz w:val="24"/>
        </w:rPr>
        <w:t>。</w:t>
      </w:r>
    </w:p>
    <w:p>
      <w:pPr>
        <w:pStyle w:val="null3"/>
        <w:ind w:firstLine="420"/>
        <w:jc w:val="both"/>
      </w:pPr>
      <w:r>
        <w:rPr>
          <w:rFonts w:ascii="calibri, sans-serif" w:hAnsi="calibri, sans-serif" w:cs="calibri, sans-serif" w:eastAsia="calibri, sans-serif"/>
          <w:sz w:val="24"/>
        </w:rPr>
        <w:t xml:space="preserve">5.6 </w:t>
      </w:r>
      <w:r>
        <w:rPr>
          <w:rFonts w:ascii="宋体" w:hAnsi="宋体" w:cs="宋体" w:eastAsia="宋体"/>
          <w:sz w:val="24"/>
        </w:rPr>
        <w:t>甲乙双方应自行承担各自所有与履行本合同相关的税费。本合同履行期间如遇国家税率调整致使本合同约定的税率不适用的，则含税价格以本合同及附件约定的不含税价格及调整后的税率进行确定。</w:t>
      </w:r>
    </w:p>
    <w:p>
      <w:pPr>
        <w:pStyle w:val="null3"/>
        <w:ind w:firstLine="420"/>
        <w:jc w:val="both"/>
      </w:pPr>
      <w:r>
        <w:rPr>
          <w:rFonts w:ascii="calibri, sans-serif" w:hAnsi="calibri, sans-serif" w:cs="calibri, sans-serif" w:eastAsia="calibri, sans-serif"/>
          <w:sz w:val="24"/>
        </w:rPr>
        <w:t xml:space="preserve">5.7 </w:t>
      </w:r>
      <w:r>
        <w:rPr>
          <w:rFonts w:ascii="宋体" w:hAnsi="宋体" w:cs="宋体" w:eastAsia="宋体"/>
          <w:sz w:val="24"/>
        </w:rPr>
        <w:t>如任何一方修改发票信息、收款信息等，需按第十五条的方式提前通知对方。</w:t>
      </w:r>
    </w:p>
    <w:p>
      <w:pPr>
        <w:pStyle w:val="null3"/>
        <w:numPr>
          <w:ilvl w:val="0"/>
          <w:numId w:val="2"/>
        </w:numPr>
        <w:ind w:left="840"/>
      </w:pPr>
      <w:r>
        <w:rPr>
          <w:rFonts w:ascii="宋体" w:hAnsi="宋体" w:cs="宋体" w:eastAsia="宋体"/>
          <w:sz w:val="24"/>
        </w:rPr>
        <w:t>安装</w:t>
      </w:r>
      <w:r>
        <w:rPr>
          <w:rFonts w:ascii="宋体" w:hAnsi="宋体" w:cs="宋体" w:eastAsia="宋体"/>
          <w:sz w:val="24"/>
        </w:rPr>
        <w:t>、测试</w:t>
      </w:r>
      <w:r>
        <w:rPr>
          <w:rFonts w:ascii="宋体" w:hAnsi="宋体" w:cs="宋体" w:eastAsia="宋体"/>
          <w:sz w:val="24"/>
        </w:rPr>
        <w:t>和</w:t>
      </w:r>
      <w:r>
        <w:rPr>
          <w:rFonts w:ascii="宋体" w:hAnsi="宋体" w:cs="宋体" w:eastAsia="宋体"/>
          <w:sz w:val="24"/>
        </w:rPr>
        <w:t>维保</w:t>
      </w:r>
    </w:p>
    <w:p>
      <w:pPr>
        <w:pStyle w:val="null3"/>
        <w:ind w:firstLine="360"/>
        <w:jc w:val="both"/>
      </w:pPr>
      <w:r>
        <w:rPr>
          <w:rFonts w:ascii="calibri, sans-serif" w:hAnsi="calibri, sans-serif" w:cs="calibri, sans-serif" w:eastAsia="calibri, sans-serif"/>
          <w:sz w:val="24"/>
        </w:rPr>
        <w:t xml:space="preserve">6.1 </w:t>
      </w:r>
      <w:r>
        <w:rPr>
          <w:rFonts w:ascii="宋体" w:hAnsi="宋体" w:cs="宋体" w:eastAsia="宋体"/>
          <w:sz w:val="24"/>
        </w:rPr>
        <w:t>产品运到交货场地后，乙方</w:t>
      </w:r>
      <w:r>
        <w:rPr>
          <w:rFonts w:ascii="宋体" w:hAnsi="宋体" w:cs="宋体" w:eastAsia="宋体"/>
          <w:sz w:val="24"/>
        </w:rPr>
        <w:t>应按甲方要求</w:t>
      </w:r>
      <w:r>
        <w:rPr>
          <w:rFonts w:ascii="宋体" w:hAnsi="宋体" w:cs="宋体" w:eastAsia="宋体"/>
          <w:sz w:val="24"/>
        </w:rPr>
        <w:t>开箱验机、进行系统测试，按产品制造商的技术标准进行系统安装调试。有关安装</w:t>
      </w:r>
      <w:r>
        <w:rPr>
          <w:rFonts w:ascii="宋体" w:hAnsi="宋体" w:cs="宋体" w:eastAsia="宋体"/>
          <w:sz w:val="24"/>
        </w:rPr>
        <w:t>及测试</w:t>
      </w:r>
      <w:r>
        <w:rPr>
          <w:rFonts w:ascii="宋体" w:hAnsi="宋体" w:cs="宋体" w:eastAsia="宋体"/>
          <w:sz w:val="24"/>
        </w:rPr>
        <w:t>费用由乙方承担。</w:t>
      </w:r>
    </w:p>
    <w:p>
      <w:pPr>
        <w:pStyle w:val="null3"/>
        <w:ind w:firstLine="480"/>
        <w:jc w:val="both"/>
      </w:pPr>
      <w:r>
        <w:rPr>
          <w:rFonts w:ascii="calibri, sans-serif" w:hAnsi="calibri, sans-serif" w:cs="calibri, sans-serif" w:eastAsia="calibri, sans-serif"/>
          <w:sz w:val="24"/>
        </w:rPr>
        <w:t xml:space="preserve">6.2 </w:t>
      </w:r>
      <w:r>
        <w:rPr>
          <w:rFonts w:ascii="宋体" w:hAnsi="宋体" w:cs="宋体" w:eastAsia="宋体"/>
          <w:sz w:val="24"/>
        </w:rPr>
        <w:t>自【初验验收通过】之日起，乙方提供为期【72】</w:t>
      </w:r>
      <w:r>
        <w:rPr>
          <w:rFonts w:ascii="宋体" w:hAnsi="宋体" w:cs="宋体" w:eastAsia="宋体"/>
          <w:sz w:val="24"/>
        </w:rPr>
        <w:t>个月的产品制造商维保，在此期间甲方无需支付任何费用。在上述产品</w:t>
      </w:r>
      <w:r>
        <w:rPr>
          <w:rFonts w:ascii="宋体" w:hAnsi="宋体" w:cs="宋体" w:eastAsia="宋体"/>
          <w:sz w:val="24"/>
        </w:rPr>
        <w:t>制造商</w:t>
      </w:r>
      <w:r>
        <w:rPr>
          <w:rFonts w:ascii="宋体" w:hAnsi="宋体" w:cs="宋体" w:eastAsia="宋体"/>
          <w:sz w:val="24"/>
        </w:rPr>
        <w:t>维保结束后，如甲方产品需乙方继续提供维保服务，双方协商确定具体维保费用标准，乙方承诺维保价格不高于【】。</w:t>
      </w:r>
    </w:p>
    <w:p>
      <w:pPr>
        <w:pStyle w:val="null3"/>
        <w:numPr>
          <w:ilvl w:val="0"/>
          <w:numId w:val="2"/>
        </w:numPr>
        <w:ind w:right="-15"/>
        <w:jc w:val="both"/>
      </w:pPr>
      <w:r>
        <w:rPr>
          <w:rFonts w:ascii="宋体" w:hAnsi="宋体" w:cs="宋体" w:eastAsia="宋体"/>
          <w:sz w:val="24"/>
        </w:rPr>
        <w:t>安全条款</w:t>
      </w:r>
    </w:p>
    <w:p>
      <w:pPr>
        <w:pStyle w:val="null3"/>
        <w:ind w:firstLine="480"/>
        <w:jc w:val="both"/>
      </w:pPr>
      <w:r>
        <w:rPr>
          <w:rFonts w:ascii="宋体" w:hAnsi="宋体" w:cs="宋体" w:eastAsia="宋体"/>
          <w:sz w:val="24"/>
        </w:rPr>
        <w:t>根据《中华人民共和国网络安全法》</w:t>
      </w:r>
      <w:r>
        <w:rPr>
          <w:rFonts w:ascii="宋体" w:hAnsi="宋体" w:cs="宋体" w:eastAsia="宋体"/>
          <w:sz w:val="24"/>
        </w:rPr>
        <w:t>等法律法规</w:t>
      </w:r>
      <w:r>
        <w:rPr>
          <w:rFonts w:ascii="宋体" w:hAnsi="宋体" w:cs="宋体" w:eastAsia="宋体"/>
          <w:sz w:val="24"/>
        </w:rPr>
        <w:t>，乙方与甲方签订产品或服务供应合同必须遵守《中华人民共和国网络安全法》</w:t>
      </w:r>
      <w:r>
        <w:rPr>
          <w:rFonts w:ascii="宋体" w:hAnsi="宋体" w:cs="宋体" w:eastAsia="宋体"/>
          <w:sz w:val="24"/>
        </w:rPr>
        <w:t>等法律法规</w:t>
      </w:r>
      <w:r>
        <w:rPr>
          <w:rFonts w:ascii="宋体" w:hAnsi="宋体" w:cs="宋体" w:eastAsia="宋体"/>
          <w:sz w:val="24"/>
        </w:rPr>
        <w:t>的相关规定，包括但不限于：</w:t>
      </w:r>
    </w:p>
    <w:p>
      <w:pPr>
        <w:pStyle w:val="null3"/>
        <w:ind w:firstLine="480"/>
        <w:jc w:val="both"/>
      </w:pPr>
      <w:r>
        <w:rPr>
          <w:rFonts w:ascii="&quot;times new roman&quot;, serif" w:hAnsi="&quot;times new roman&quot;, serif" w:cs="&quot;times new roman&quot;, serif" w:eastAsia="&quot;times new roman&quot;, serif"/>
          <w:sz w:val="24"/>
        </w:rPr>
        <w:t xml:space="preserve">7.1 </w:t>
      </w:r>
      <w:r>
        <w:rPr>
          <w:rFonts w:ascii="宋体" w:hAnsi="宋体" w:cs="宋体" w:eastAsia="宋体"/>
          <w:sz w:val="24"/>
        </w:rPr>
        <w:t>乙方为甲方提供服务的雇员（或代理人）须经过审查，包括人员身份验证、工作技能、教育背景等。甲方认为必要时，乙方还应审查其为甲方提供服务的雇员（或代理人）是否无犯罪记录等。</w:t>
      </w:r>
    </w:p>
    <w:p>
      <w:pPr>
        <w:pStyle w:val="null3"/>
        <w:ind w:firstLine="480"/>
        <w:jc w:val="both"/>
      </w:pPr>
      <w:r>
        <w:rPr>
          <w:rFonts w:ascii="&quot;times new roman&quot;, serif" w:hAnsi="&quot;times new roman&quot;, serif" w:cs="&quot;times new roman&quot;, serif" w:eastAsia="&quot;times new roman&quot;, serif"/>
          <w:sz w:val="24"/>
        </w:rPr>
        <w:t xml:space="preserve">7.2 </w:t>
      </w:r>
      <w:r>
        <w:rPr>
          <w:rFonts w:ascii="宋体" w:hAnsi="宋体" w:cs="宋体" w:eastAsia="宋体"/>
          <w:sz w:val="24"/>
        </w:rPr>
        <w:t>如</w:t>
      </w:r>
      <w:r>
        <w:rPr>
          <w:rFonts w:ascii="宋体" w:hAnsi="宋体" w:cs="宋体" w:eastAsia="宋体"/>
          <w:sz w:val="24"/>
        </w:rPr>
        <w:t>乙方提供软件开发和外包服务</w:t>
      </w:r>
      <w:r>
        <w:rPr>
          <w:rFonts w:ascii="宋体" w:hAnsi="宋体" w:cs="宋体" w:eastAsia="宋体"/>
          <w:sz w:val="24"/>
        </w:rPr>
        <w:t>，</w:t>
      </w:r>
      <w:r>
        <w:rPr>
          <w:rFonts w:ascii="宋体" w:hAnsi="宋体" w:cs="宋体" w:eastAsia="宋体"/>
          <w:sz w:val="24"/>
        </w:rPr>
        <w:t>必须位于中国境内。</w:t>
      </w:r>
    </w:p>
    <w:p>
      <w:pPr>
        <w:pStyle w:val="null3"/>
        <w:ind w:firstLine="480"/>
        <w:jc w:val="both"/>
      </w:pPr>
      <w:r>
        <w:rPr>
          <w:rFonts w:ascii="&quot;times new roman&quot;, serif" w:hAnsi="&quot;times new roman&quot;, serif" w:cs="&quot;times new roman&quot;, serif" w:eastAsia="&quot;times new roman&quot;, serif"/>
          <w:sz w:val="24"/>
        </w:rPr>
        <w:t xml:space="preserve">7.3 </w:t>
      </w:r>
      <w:r>
        <w:rPr>
          <w:rFonts w:ascii="宋体" w:hAnsi="宋体" w:cs="宋体" w:eastAsia="宋体"/>
          <w:sz w:val="24"/>
        </w:rPr>
        <w:t>乙方应在设计、开发、生产、交付等环节加强安全管理，识别安全风险，制定安全策略，采取适当的措施保障安全，建立应对安全缺陷和漏洞的响应机制。</w:t>
      </w:r>
    </w:p>
    <w:p>
      <w:pPr>
        <w:pStyle w:val="null3"/>
        <w:ind w:firstLine="480"/>
        <w:jc w:val="both"/>
      </w:pPr>
      <w:r>
        <w:rPr>
          <w:rFonts w:ascii="&quot;times new roman&quot;, serif" w:hAnsi="&quot;times new roman&quot;, serif" w:cs="&quot;times new roman&quot;, serif" w:eastAsia="&quot;times new roman&quot;, serif"/>
          <w:sz w:val="24"/>
        </w:rPr>
        <w:t xml:space="preserve">7.4 </w:t>
      </w:r>
      <w:r>
        <w:rPr>
          <w:rFonts w:ascii="宋体" w:hAnsi="宋体" w:cs="宋体" w:eastAsia="宋体"/>
          <w:sz w:val="24"/>
        </w:rPr>
        <w:t>甲方有权根据项目实际情况，要求乙方对提供的产品定期进行安全漏洞检查、渗透测试或进行安全认证。当发现提供的产品存在漏洞时，乙方有义务及时书面告知甲方，并尽快采取措施修正或减轻发现的威胁，不得隐瞒漏洞，不得设置后门或恶意程序。书面告知方式限于书面发函和电子邮件形式，告知内容包括但不限于描述安全风险事实、漏洞详情、可能后果及建议措施等。书面告知应不晚于乙方发现或应当发现相关漏洞当日。</w:t>
      </w:r>
    </w:p>
    <w:p>
      <w:pPr>
        <w:pStyle w:val="null3"/>
        <w:ind w:firstLine="480"/>
        <w:jc w:val="both"/>
      </w:pPr>
      <w:r>
        <w:rPr>
          <w:rFonts w:ascii="&quot;times new roman&quot;, serif" w:hAnsi="&quot;times new roman&quot;, serif" w:cs="&quot;times new roman&quot;, serif" w:eastAsia="&quot;times new roman&quot;, serif"/>
          <w:sz w:val="24"/>
        </w:rPr>
        <w:t xml:space="preserve">7.5 </w:t>
      </w:r>
      <w:r>
        <w:rPr>
          <w:rFonts w:ascii="宋体" w:hAnsi="宋体" w:cs="宋体" w:eastAsia="宋体"/>
          <w:sz w:val="24"/>
        </w:rPr>
        <w:t>甲方有权根据项目实际情况，要求乙方提供网络产品或服务的中文版运行维护、二次开发等技术资料。若相应的产品或服务涉及源代码，甲方有权根据实际情况自行或委托第三方网络安全服务机构对定制开发的软件进行源代码安全检测，或由乙方提供第三方网络安全服务机构出具的代码安全检测报告。</w:t>
      </w:r>
    </w:p>
    <w:p>
      <w:pPr>
        <w:pStyle w:val="null3"/>
        <w:ind w:firstLine="480"/>
        <w:jc w:val="both"/>
      </w:pPr>
      <w:r>
        <w:rPr>
          <w:rFonts w:ascii="&quot;times new roman&quot;, serif" w:hAnsi="&quot;times new roman&quot;, serif" w:cs="&quot;times new roman&quot;, serif" w:eastAsia="&quot;times new roman&quot;, serif"/>
          <w:sz w:val="24"/>
        </w:rPr>
        <w:t xml:space="preserve">7.6 </w:t>
      </w:r>
      <w:r>
        <w:rPr>
          <w:rFonts w:ascii="宋体" w:hAnsi="宋体" w:cs="宋体" w:eastAsia="宋体"/>
          <w:sz w:val="24"/>
        </w:rPr>
        <w:t>乙方提供的产品或服务须符合网络安全审查要求。如乙方提供产品或服务需进行网络安全审查的，则此项目合同须在产品或服务通过网络安全审查后方可生效；如未通过安全审查，乙方同意甲方可以此解除本项目合同，且不需要承担任何违约或者赔偿责任。如乙方提供的产品或服务（含芯片等配件）已被网络安全审查办公室依法作出不予通过网络安全审查结论的，甲方有权拒绝其响应或解除采购合同、不予采购，且甲方不需要承担任何违约或者赔偿责任。</w:t>
      </w:r>
    </w:p>
    <w:p>
      <w:pPr>
        <w:pStyle w:val="null3"/>
        <w:ind w:right="-15" w:firstLine="480"/>
        <w:jc w:val="both"/>
      </w:pPr>
      <w:r>
        <w:rPr>
          <w:rFonts w:ascii="&quot;times new roman&quot;, serif" w:hAnsi="&quot;times new roman&quot;, serif" w:cs="&quot;times new roman&quot;, serif" w:eastAsia="&quot;times new roman&quot;, serif"/>
          <w:sz w:val="24"/>
        </w:rPr>
        <w:t xml:space="preserve">7.7 </w:t>
      </w:r>
      <w:r>
        <w:rPr>
          <w:rFonts w:ascii="宋体" w:hAnsi="宋体" w:cs="宋体" w:eastAsia="宋体"/>
          <w:sz w:val="24"/>
        </w:rPr>
        <w:t>乙方应根据甲方需要提供产品完整准确的组件成分清单和暴露应用接口清单，严禁使用不安全的外部组件并关闭非必要暴露的应用接口。</w:t>
      </w:r>
    </w:p>
    <w:p>
      <w:pPr>
        <w:pStyle w:val="null3"/>
        <w:ind w:right="-15" w:firstLine="480"/>
        <w:jc w:val="both"/>
      </w:pPr>
      <w:r>
        <w:rPr>
          <w:rFonts w:ascii="&quot;times new roman&quot;, serif" w:hAnsi="&quot;times new roman&quot;, serif" w:cs="&quot;times new roman&quot;, serif" w:eastAsia="&quot;times new roman&quot;, serif"/>
          <w:sz w:val="24"/>
        </w:rPr>
        <w:t xml:space="preserve">7.8 </w:t>
      </w:r>
      <w:r>
        <w:rPr>
          <w:rFonts w:ascii="宋体" w:hAnsi="宋体" w:cs="宋体" w:eastAsia="宋体"/>
          <w:sz w:val="24"/>
        </w:rPr>
        <w:t>乙方供应产品应确保产品质量和安全性，避免存在安全隐患。乙方仓储设施的消防设施、环境安全、入库人员管理、人员安全培训等均需满足</w:t>
      </w:r>
      <w:r>
        <w:rPr>
          <w:rFonts w:ascii="宋体" w:hAnsi="宋体" w:cs="宋体" w:eastAsia="宋体"/>
          <w:sz w:val="24"/>
        </w:rPr>
        <w:t>甲方</w:t>
      </w:r>
      <w:r>
        <w:rPr>
          <w:rFonts w:ascii="宋体" w:hAnsi="宋体" w:cs="宋体" w:eastAsia="宋体"/>
          <w:sz w:val="24"/>
        </w:rPr>
        <w:t>的安全要求，保证仓储设施的良好运行，在包装、运输和安装过程都需要严格遵守各项要求，确保产品供应满足甲方需要。</w:t>
      </w:r>
    </w:p>
    <w:p>
      <w:pPr>
        <w:pStyle w:val="null3"/>
        <w:ind w:right="-15" w:firstLine="480"/>
        <w:jc w:val="both"/>
      </w:pPr>
      <w:r>
        <w:rPr>
          <w:rFonts w:ascii="&quot;times new roman&quot;, serif" w:hAnsi="&quot;times new roman&quot;, serif" w:cs="&quot;times new roman&quot;, serif" w:eastAsia="&quot;times new roman&quot;, serif"/>
          <w:sz w:val="24"/>
        </w:rPr>
        <w:t xml:space="preserve">7.9 </w:t>
      </w:r>
      <w:r>
        <w:rPr>
          <w:rFonts w:ascii="宋体" w:hAnsi="宋体" w:cs="宋体" w:eastAsia="宋体"/>
          <w:sz w:val="24"/>
        </w:rPr>
        <w:t>乙方应根据甲方需要制定应急处理预案，包括但不限于服务连续性、服务中断、信息安全事件、服务水平下降等事项的应急处理预案。其中针对核心系统或部件，乙方还应对安全类、运营类、管理类等事件进行分级分类（例如源代码泄露、供应链中断、漏洞修补等）。乙方产品相关信息发生重大变化或乙方发生、发现网络安全事件时，乙方应及时向甲方报告，做到不瞒报、不谎报、不拖延。根据甲方要求，乙方积极参与网络安全事件处置、调查等工作，保证提供的产品和服务在面临非法控制、干扰或中断风险时，具备启动应急处置预案的能力。</w:t>
      </w:r>
    </w:p>
    <w:p>
      <w:pPr>
        <w:pStyle w:val="null3"/>
        <w:ind w:right="-30" w:firstLine="480"/>
        <w:jc w:val="both"/>
      </w:pPr>
      <w:r>
        <w:rPr>
          <w:rFonts w:ascii="&quot;times new roman&quot;, serif" w:hAnsi="&quot;times new roman&quot;, serif" w:cs="&quot;times new roman&quot;, serif" w:eastAsia="&quot;times new roman&quot;, serif"/>
          <w:sz w:val="24"/>
        </w:rPr>
        <w:t xml:space="preserve">7.10 </w:t>
      </w:r>
      <w:r>
        <w:rPr>
          <w:rFonts w:ascii="宋体" w:hAnsi="宋体" w:cs="宋体" w:eastAsia="宋体"/>
          <w:sz w:val="24"/>
        </w:rPr>
        <w:t>乙方为甲方提供的服务资源至少与第三方相互逻辑隔离，且仅甲方具有对业务系统和数据的最高访问权限。</w:t>
      </w:r>
    </w:p>
    <w:p>
      <w:pPr>
        <w:pStyle w:val="null3"/>
        <w:ind w:right="-30" w:firstLine="480"/>
        <w:jc w:val="both"/>
      </w:pPr>
      <w:r>
        <w:rPr>
          <w:rFonts w:ascii="&quot;times new roman&quot;, serif" w:hAnsi="&quot;times new roman&quot;, serif" w:cs="&quot;times new roman&quot;, serif" w:eastAsia="&quot;times new roman&quot;, serif"/>
          <w:sz w:val="24"/>
        </w:rPr>
        <w:t xml:space="preserve">7.11 </w:t>
      </w:r>
      <w:r>
        <w:rPr>
          <w:rFonts w:ascii="宋体" w:hAnsi="宋体" w:cs="宋体" w:eastAsia="宋体"/>
          <w:sz w:val="24"/>
        </w:rPr>
        <w:t>甲方有权要求乙方的工作人员在生产环境下操作认证、授权，并记录其操作行为。禁止乙方擅自修改配置或者数据，查看与服务内容无关的数据，复制、拍摄业务信息、源代码、文档和将相关存储介质带离工作场所。</w:t>
      </w:r>
      <w:r>
        <w:rPr>
          <w:rFonts w:ascii="宋体" w:hAnsi="宋体" w:cs="宋体" w:eastAsia="宋体"/>
          <w:sz w:val="24"/>
        </w:rPr>
        <w:t>如涉及定制化开发，</w:t>
      </w:r>
      <w:r>
        <w:rPr>
          <w:rFonts w:ascii="宋体" w:hAnsi="宋体" w:cs="宋体" w:eastAsia="宋体"/>
          <w:sz w:val="24"/>
        </w:rPr>
        <w:t>未经甲方授权</w:t>
      </w:r>
      <w:r>
        <w:rPr>
          <w:rFonts w:ascii="宋体" w:hAnsi="宋体" w:cs="宋体" w:eastAsia="宋体"/>
          <w:sz w:val="24"/>
        </w:rPr>
        <w:t>，乙方不得</w:t>
      </w:r>
      <w:r>
        <w:rPr>
          <w:rFonts w:ascii="宋体" w:hAnsi="宋体" w:cs="宋体" w:eastAsia="宋体"/>
          <w:sz w:val="24"/>
        </w:rPr>
        <w:t>留存源代码，不得将</w:t>
      </w:r>
      <w:r>
        <w:rPr>
          <w:rFonts w:ascii="宋体" w:hAnsi="宋体" w:cs="宋体" w:eastAsia="宋体"/>
          <w:sz w:val="24"/>
        </w:rPr>
        <w:t>产品</w:t>
      </w:r>
      <w:r>
        <w:rPr>
          <w:rFonts w:ascii="宋体" w:hAnsi="宋体" w:cs="宋体" w:eastAsia="宋体"/>
          <w:sz w:val="24"/>
        </w:rPr>
        <w:t>所涉及的源代码在互联网进行托管、测试，并应审核其在服务中所使用开源代码、软件等的来源合法性、安全检测情况和加固情况。</w:t>
      </w:r>
    </w:p>
    <w:p>
      <w:pPr>
        <w:pStyle w:val="null3"/>
        <w:numPr>
          <w:ilvl w:val="0"/>
          <w:numId w:val="2"/>
        </w:numPr>
        <w:ind w:left="840"/>
      </w:pPr>
      <w:r>
        <w:rPr>
          <w:rFonts w:ascii="宋体" w:hAnsi="宋体" w:cs="宋体" w:eastAsia="宋体"/>
          <w:sz w:val="24"/>
        </w:rPr>
        <w:t>知识产权</w:t>
      </w:r>
    </w:p>
    <w:p>
      <w:pPr>
        <w:pStyle w:val="null3"/>
        <w:ind w:right="-15" w:firstLine="480"/>
        <w:jc w:val="both"/>
      </w:pPr>
      <w:r>
        <w:rPr>
          <w:rFonts w:ascii="calibri, sans-serif" w:hAnsi="calibri, sans-serif" w:cs="calibri, sans-serif" w:eastAsia="calibri, sans-serif"/>
          <w:sz w:val="24"/>
        </w:rPr>
        <w:t xml:space="preserve">8.1 </w:t>
      </w:r>
      <w:r>
        <w:rPr>
          <w:rFonts w:ascii="宋体" w:hAnsi="宋体" w:cs="宋体" w:eastAsia="宋体"/>
          <w:sz w:val="24"/>
        </w:rPr>
        <w:t>本合同生效时已经存在并为各方合法拥有或使用的所有技术或资料、信息的知识产权和所有权，仍应属于其各自的原权利人所有或享有。</w:t>
      </w:r>
    </w:p>
    <w:p>
      <w:pPr>
        <w:pStyle w:val="null3"/>
        <w:ind w:right="-15" w:firstLine="480"/>
        <w:jc w:val="both"/>
      </w:pPr>
      <w:r>
        <w:rPr>
          <w:rFonts w:ascii="calibri, sans-serif" w:hAnsi="calibri, sans-serif" w:cs="calibri, sans-serif" w:eastAsia="calibri, sans-serif"/>
          <w:sz w:val="24"/>
        </w:rPr>
        <w:t xml:space="preserve">8.2 </w:t>
      </w:r>
      <w:r>
        <w:rPr>
          <w:rFonts w:ascii="宋体" w:hAnsi="宋体" w:cs="宋体" w:eastAsia="宋体"/>
          <w:sz w:val="24"/>
        </w:rPr>
        <w:t>乙方保证：对向甲方提供的产品拥有合法知识产权，甲方使用本合同项下的产品将不会侵害任何第三方的权利。若有第三方提出侵权指控，乙方负责与第三方交涉、处理，并由乙方承担可能发生的一切法律责任并承担甲方因此而受到的损失，包括索赔、罚款、诉讼费、保全费、律师费、执行费等。</w:t>
      </w:r>
    </w:p>
    <w:p>
      <w:pPr>
        <w:pStyle w:val="null3"/>
        <w:ind w:right="-15" w:firstLine="480"/>
        <w:jc w:val="both"/>
      </w:pPr>
      <w:r>
        <w:rPr>
          <w:rFonts w:ascii="calibri, sans-serif" w:hAnsi="calibri, sans-serif" w:cs="calibri, sans-serif" w:eastAsia="calibri, sans-serif"/>
          <w:sz w:val="24"/>
        </w:rPr>
        <w:t xml:space="preserve">8.3 </w:t>
      </w:r>
      <w:r>
        <w:rPr>
          <w:rFonts w:ascii="宋体" w:hAnsi="宋体" w:cs="宋体" w:eastAsia="宋体"/>
          <w:sz w:val="24"/>
        </w:rPr>
        <w:t>乙方应全力防止因上述侵权给甲方带来任何损失，包括但不限于提供甲方继续使用本合同项下的产品而需取得的第三方授权、提供功能符合本合同目的的产品等，并承担因此而产生的所有费用。</w:t>
      </w:r>
    </w:p>
    <w:p>
      <w:pPr>
        <w:pStyle w:val="null3"/>
        <w:ind w:right="-15" w:firstLine="480"/>
        <w:jc w:val="both"/>
      </w:pPr>
      <w:r>
        <w:rPr>
          <w:rFonts w:ascii="calibri, sans-serif" w:hAnsi="calibri, sans-serif" w:cs="calibri, sans-serif" w:eastAsia="calibri, sans-serif"/>
          <w:sz w:val="24"/>
        </w:rPr>
        <w:t xml:space="preserve">8.4 </w:t>
      </w:r>
      <w:r>
        <w:rPr>
          <w:rFonts w:ascii="宋体" w:hAnsi="宋体" w:cs="宋体" w:eastAsia="宋体"/>
          <w:sz w:val="24"/>
        </w:rPr>
        <w:t>乙方为甲方二次开发产生的软件、源代码及实施过程中所产生的所有技术文件，甲方拥有</w:t>
      </w:r>
      <w:r>
        <w:rPr>
          <w:rFonts w:ascii="宋体" w:hAnsi="宋体" w:cs="宋体" w:eastAsia="宋体"/>
          <w:sz w:val="24"/>
        </w:rPr>
        <w:t>全部权利</w:t>
      </w:r>
      <w:r>
        <w:rPr>
          <w:rFonts w:ascii="宋体" w:hAnsi="宋体" w:cs="宋体" w:eastAsia="宋体"/>
          <w:sz w:val="24"/>
        </w:rPr>
        <w:t>，包括</w:t>
      </w:r>
      <w:r>
        <w:rPr>
          <w:rFonts w:ascii="宋体" w:hAnsi="宋体" w:cs="宋体" w:eastAsia="宋体"/>
          <w:sz w:val="24"/>
        </w:rPr>
        <w:t>但不限于</w:t>
      </w:r>
      <w:r>
        <w:rPr>
          <w:rFonts w:ascii="宋体" w:hAnsi="宋体" w:cs="宋体" w:eastAsia="宋体"/>
          <w:sz w:val="24"/>
        </w:rPr>
        <w:t>知识产权、所有权及相应的利益。乙方不对</w:t>
      </w:r>
      <w:r>
        <w:rPr>
          <w:rFonts w:ascii="宋体" w:hAnsi="宋体" w:cs="宋体" w:eastAsia="宋体"/>
          <w:sz w:val="24"/>
        </w:rPr>
        <w:t>本</w:t>
      </w:r>
      <w:r>
        <w:rPr>
          <w:rFonts w:ascii="宋体" w:hAnsi="宋体" w:cs="宋体" w:eastAsia="宋体"/>
          <w:sz w:val="24"/>
        </w:rPr>
        <w:t>合同项下的成果具有任何知识产权和申请知识产权的权利，甲方享有署名权在内的全部知识产权及申请知识产权的权利。</w:t>
      </w:r>
    </w:p>
    <w:p>
      <w:pPr>
        <w:pStyle w:val="null3"/>
        <w:ind w:right="-15" w:firstLine="480"/>
        <w:jc w:val="both"/>
      </w:pPr>
      <w:r>
        <w:rPr>
          <w:rFonts w:ascii="calibri, sans-serif" w:hAnsi="calibri, sans-serif" w:cs="calibri, sans-serif" w:eastAsia="calibri, sans-serif"/>
          <w:sz w:val="24"/>
        </w:rPr>
        <w:t>8</w:t>
      </w:r>
      <w:r>
        <w:rPr>
          <w:rFonts w:ascii="calibri, sans-serif" w:hAnsi="calibri, sans-serif" w:cs="calibri, sans-serif" w:eastAsia="calibri, sans-serif"/>
          <w:sz w:val="24"/>
        </w:rPr>
        <w:t xml:space="preserve">.5 </w:t>
      </w:r>
      <w:r>
        <w:rPr>
          <w:rFonts w:ascii="宋体" w:hAnsi="宋体" w:cs="宋体" w:eastAsia="宋体"/>
          <w:sz w:val="24"/>
        </w:rPr>
        <w:t>乙方</w:t>
      </w:r>
      <w:r>
        <w:rPr>
          <w:rFonts w:ascii="宋体" w:hAnsi="宋体" w:cs="宋体" w:eastAsia="宋体"/>
          <w:sz w:val="24"/>
        </w:rPr>
        <w:t>不因本合同协商、签订、履行而获得明示或暗示的使用</w:t>
      </w:r>
      <w:r>
        <w:rPr>
          <w:rFonts w:ascii="宋体" w:hAnsi="宋体" w:cs="宋体" w:eastAsia="宋体"/>
          <w:sz w:val="24"/>
        </w:rPr>
        <w:t>甲方</w:t>
      </w:r>
      <w:r>
        <w:rPr>
          <w:rFonts w:ascii="宋体" w:hAnsi="宋体" w:cs="宋体" w:eastAsia="宋体"/>
          <w:sz w:val="24"/>
        </w:rPr>
        <w:t>（包括</w:t>
      </w:r>
      <w:r>
        <w:rPr>
          <w:rFonts w:ascii="宋体" w:hAnsi="宋体" w:cs="宋体" w:eastAsia="宋体"/>
          <w:sz w:val="24"/>
        </w:rPr>
        <w:t>甲方分、</w:t>
      </w:r>
      <w:r>
        <w:rPr>
          <w:rFonts w:ascii="宋体" w:hAnsi="宋体" w:cs="宋体" w:eastAsia="宋体"/>
          <w:sz w:val="24"/>
        </w:rPr>
        <w:t>子公司）的</w:t>
      </w:r>
      <w:r>
        <w:rPr>
          <w:rFonts w:ascii="宋体" w:hAnsi="宋体" w:cs="宋体" w:eastAsia="宋体"/>
          <w:sz w:val="24"/>
        </w:rPr>
        <w:t>名称、</w:t>
      </w:r>
      <w:r>
        <w:rPr>
          <w:rFonts w:ascii="宋体" w:hAnsi="宋体" w:cs="宋体" w:eastAsia="宋体"/>
          <w:sz w:val="24"/>
        </w:rPr>
        <w:t>商标、商号、标识、标志、技术</w:t>
      </w:r>
      <w:r>
        <w:rPr>
          <w:rFonts w:ascii="宋体" w:hAnsi="宋体" w:cs="宋体" w:eastAsia="宋体"/>
          <w:sz w:val="24"/>
        </w:rPr>
        <w:t>资料、</w:t>
      </w:r>
      <w:r>
        <w:rPr>
          <w:rFonts w:ascii="宋体" w:hAnsi="宋体" w:cs="宋体" w:eastAsia="宋体"/>
          <w:sz w:val="24"/>
        </w:rPr>
        <w:t>业务资料</w:t>
      </w:r>
      <w:r>
        <w:rPr>
          <w:rFonts w:ascii="宋体" w:hAnsi="宋体" w:cs="宋体" w:eastAsia="宋体"/>
          <w:sz w:val="24"/>
        </w:rPr>
        <w:t>等</w:t>
      </w:r>
      <w:r>
        <w:rPr>
          <w:rFonts w:ascii="宋体" w:hAnsi="宋体" w:cs="宋体" w:eastAsia="宋体"/>
          <w:sz w:val="24"/>
        </w:rPr>
        <w:t>的权利。</w:t>
      </w:r>
      <w:r>
        <w:rPr>
          <w:rFonts w:ascii="宋体" w:hAnsi="宋体" w:cs="宋体" w:eastAsia="宋体"/>
          <w:sz w:val="24"/>
        </w:rPr>
        <w:t>未经甲方书面</w:t>
      </w:r>
      <w:r>
        <w:rPr>
          <w:rFonts w:ascii="宋体" w:hAnsi="宋体" w:cs="宋体" w:eastAsia="宋体"/>
          <w:sz w:val="24"/>
        </w:rPr>
        <w:t>授权，</w:t>
      </w:r>
      <w:r>
        <w:rPr>
          <w:rFonts w:ascii="宋体" w:hAnsi="宋体" w:cs="宋体" w:eastAsia="宋体"/>
          <w:sz w:val="24"/>
        </w:rPr>
        <w:t>乙方不得</w:t>
      </w:r>
      <w:r>
        <w:rPr>
          <w:rFonts w:ascii="宋体" w:hAnsi="宋体" w:cs="宋体" w:eastAsia="宋体"/>
          <w:sz w:val="24"/>
        </w:rPr>
        <w:t>将甲方的名称、商号、商标、标记</w:t>
      </w:r>
      <w:r>
        <w:rPr>
          <w:rFonts w:ascii="宋体" w:hAnsi="宋体" w:cs="宋体" w:eastAsia="宋体"/>
          <w:sz w:val="24"/>
        </w:rPr>
        <w:t>等</w:t>
      </w:r>
      <w:r>
        <w:rPr>
          <w:rFonts w:ascii="宋体" w:hAnsi="宋体" w:cs="宋体" w:eastAsia="宋体"/>
          <w:sz w:val="24"/>
        </w:rPr>
        <w:t>用作广告宣传或</w:t>
      </w:r>
      <w:r>
        <w:rPr>
          <w:rFonts w:ascii="宋体" w:hAnsi="宋体" w:cs="宋体" w:eastAsia="宋体"/>
          <w:sz w:val="24"/>
        </w:rPr>
        <w:t>任何其他与履行本合同无关的用途</w:t>
      </w:r>
      <w:r>
        <w:rPr>
          <w:rFonts w:ascii="宋体" w:hAnsi="宋体" w:cs="宋体" w:eastAsia="宋体"/>
          <w:sz w:val="24"/>
        </w:rPr>
        <w:t>。</w:t>
      </w:r>
    </w:p>
    <w:p>
      <w:pPr>
        <w:pStyle w:val="null3"/>
        <w:ind w:right="-15" w:firstLine="480"/>
        <w:jc w:val="both"/>
      </w:pPr>
      <w:r>
        <w:rPr>
          <w:rFonts w:ascii="calibri, sans-serif" w:hAnsi="calibri, sans-serif" w:cs="calibri, sans-serif" w:eastAsia="calibri, sans-serif"/>
          <w:sz w:val="24"/>
        </w:rPr>
        <w:t>8</w:t>
      </w:r>
      <w:r>
        <w:rPr>
          <w:rFonts w:ascii="calibri, sans-serif" w:hAnsi="calibri, sans-serif" w:cs="calibri, sans-serif" w:eastAsia="calibri, sans-serif"/>
          <w:sz w:val="24"/>
        </w:rPr>
        <w:t xml:space="preserve">.6 </w:t>
      </w:r>
      <w:r>
        <w:rPr>
          <w:rFonts w:ascii="宋体" w:hAnsi="宋体" w:cs="宋体" w:eastAsia="宋体"/>
          <w:sz w:val="24"/>
        </w:rPr>
        <w:t>本</w:t>
      </w:r>
      <w:r>
        <w:rPr>
          <w:rFonts w:ascii="宋体" w:hAnsi="宋体" w:cs="宋体" w:eastAsia="宋体"/>
          <w:sz w:val="24"/>
        </w:rPr>
        <w:t>合同知识产权</w:t>
      </w:r>
      <w:r>
        <w:rPr>
          <w:rFonts w:ascii="宋体" w:hAnsi="宋体" w:cs="宋体" w:eastAsia="宋体"/>
          <w:sz w:val="24"/>
        </w:rPr>
        <w:t>条款持续有效，</w:t>
      </w:r>
      <w:r>
        <w:rPr>
          <w:rFonts w:ascii="宋体" w:hAnsi="宋体" w:cs="宋体" w:eastAsia="宋体"/>
          <w:sz w:val="24"/>
        </w:rPr>
        <w:t>不因</w:t>
      </w:r>
      <w:r>
        <w:rPr>
          <w:rFonts w:ascii="宋体" w:hAnsi="宋体" w:cs="宋体" w:eastAsia="宋体"/>
          <w:sz w:val="24"/>
        </w:rPr>
        <w:t>合同</w:t>
      </w:r>
      <w:r>
        <w:rPr>
          <w:rFonts w:ascii="宋体" w:hAnsi="宋体" w:cs="宋体" w:eastAsia="宋体"/>
          <w:sz w:val="24"/>
        </w:rPr>
        <w:t>的</w:t>
      </w:r>
      <w:r>
        <w:rPr>
          <w:rFonts w:ascii="宋体" w:hAnsi="宋体" w:cs="宋体" w:eastAsia="宋体"/>
          <w:sz w:val="24"/>
        </w:rPr>
        <w:t>解除或终止</w:t>
      </w:r>
      <w:r>
        <w:rPr>
          <w:rFonts w:ascii="宋体" w:hAnsi="宋体" w:cs="宋体" w:eastAsia="宋体"/>
          <w:sz w:val="24"/>
        </w:rPr>
        <w:t>而终止</w:t>
      </w:r>
      <w:r>
        <w:rPr>
          <w:rFonts w:ascii="宋体" w:hAnsi="宋体" w:cs="宋体" w:eastAsia="宋体"/>
          <w:sz w:val="24"/>
        </w:rPr>
        <w:t>。</w:t>
      </w:r>
    </w:p>
    <w:p>
      <w:pPr>
        <w:pStyle w:val="null3"/>
        <w:numPr>
          <w:ilvl w:val="0"/>
          <w:numId w:val="2"/>
        </w:numPr>
        <w:ind w:left="840"/>
      </w:pPr>
      <w:r>
        <w:rPr>
          <w:rFonts w:ascii="宋体" w:hAnsi="宋体" w:cs="宋体" w:eastAsia="宋体"/>
          <w:sz w:val="24"/>
        </w:rPr>
        <w:t>违约责任</w:t>
      </w:r>
    </w:p>
    <w:p>
      <w:pPr>
        <w:pStyle w:val="null3"/>
        <w:ind w:firstLine="480"/>
        <w:jc w:val="both"/>
      </w:pPr>
      <w:r>
        <w:rPr>
          <w:rFonts w:ascii="calibri, sans-serif" w:hAnsi="calibri, sans-serif" w:cs="calibri, sans-serif" w:eastAsia="calibri, sans-serif"/>
          <w:sz w:val="24"/>
        </w:rPr>
        <w:t xml:space="preserve">9.1 </w:t>
      </w:r>
      <w:r>
        <w:rPr>
          <w:rFonts w:ascii="宋体" w:hAnsi="宋体" w:cs="宋体" w:eastAsia="宋体"/>
          <w:sz w:val="24"/>
        </w:rPr>
        <w:t>任何一方未按本合同的约定履行义务均构成违约。任何一方的违约行为给对方造成损失的，应予以赔偿；任何一方的违约行为致使本合同目的不能实现的，守约方有权解除本合同，要求违约方</w:t>
      </w:r>
      <w:r>
        <w:rPr>
          <w:rFonts w:ascii="宋体" w:hAnsi="宋体" w:cs="宋体" w:eastAsia="宋体"/>
          <w:sz w:val="24"/>
          <w:color w:val="0000FF"/>
          <w:u w:val="single"/>
        </w:rPr>
        <w:t>赔偿全部损失，同时违约方应向守约方支付</w:t>
      </w:r>
      <w:r>
        <w:rPr>
          <w:rFonts w:ascii="宋体" w:hAnsi="宋体" w:cs="宋体" w:eastAsia="宋体"/>
          <w:sz w:val="24"/>
        </w:rPr>
        <w:t>合同总金额</w:t>
      </w:r>
      <w:r>
        <w:rPr>
          <w:rFonts w:ascii="calibri, sans-serif" w:hAnsi="calibri, sans-serif" w:cs="calibri, sans-serif" w:eastAsia="calibri, sans-serif"/>
          <w:sz w:val="24"/>
          <w:color w:val="0000FF"/>
          <w:u w:val="single"/>
        </w:rPr>
        <w:t>10%</w:t>
      </w:r>
      <w:r>
        <w:rPr>
          <w:rFonts w:ascii="宋体" w:hAnsi="宋体" w:cs="宋体" w:eastAsia="宋体"/>
          <w:sz w:val="24"/>
          <w:color w:val="0000FF"/>
          <w:u w:val="single"/>
        </w:rPr>
        <w:t>的违约金</w:t>
      </w:r>
      <w:r>
        <w:rPr>
          <w:rFonts w:ascii="宋体" w:hAnsi="宋体" w:cs="宋体" w:eastAsia="宋体"/>
          <w:sz w:val="24"/>
        </w:rPr>
        <w:t>。本条或本合同其他条款另有约定的，从其约定。</w:t>
      </w:r>
    </w:p>
    <w:p>
      <w:pPr>
        <w:pStyle w:val="null3"/>
        <w:ind w:left="840" w:firstLine="480"/>
      </w:pPr>
      <w:r>
        <w:rPr>
          <w:rFonts w:ascii="&quot;times new roman&quot;, serif" w:hAnsi="&quot;times new roman&quot;, serif" w:cs="&quot;times new roman&quot;, serif" w:eastAsia="&quot;times new roman&quot;, serif"/>
          <w:sz w:val="24"/>
        </w:rPr>
        <w:t xml:space="preserve">9.2 </w:t>
      </w:r>
      <w:r>
        <w:rPr>
          <w:rFonts w:ascii="宋体" w:hAnsi="宋体" w:cs="宋体" w:eastAsia="宋体"/>
          <w:sz w:val="24"/>
        </w:rPr>
        <w:t>乙方未按本合同的约定向甲方提供产品、技术服务，或提供的产品、技术服务不合格的，甲方有权要求乙方在甲方规定的时间内进行整改。乙方未整改或整改后仍不符合甲方要求的，则从乙方未整改或整改仍不符合要求之日起，甲方有权要求乙方每日按合同总金额</w:t>
      </w:r>
      <w:r>
        <w:rPr>
          <w:rFonts w:ascii="&quot;times new roman&quot;, serif" w:hAnsi="&quot;times new roman&quot;, serif" w:cs="&quot;times new roman&quot;, serif" w:eastAsia="&quot;times new roman&quot;, serif"/>
          <w:sz w:val="24"/>
        </w:rPr>
        <w:t>1.5‰</w:t>
      </w:r>
      <w:r>
        <w:rPr>
          <w:rFonts w:ascii="宋体" w:hAnsi="宋体" w:cs="宋体" w:eastAsia="宋体"/>
          <w:sz w:val="24"/>
        </w:rPr>
        <w:t>支付违约金。当乙方需支付的违约金累计达到合同总金额的</w:t>
      </w:r>
      <w:r>
        <w:rPr>
          <w:rFonts w:ascii="&quot;times new roman&quot;, serif" w:hAnsi="&quot;times new roman&quot;, serif" w:cs="&quot;times new roman&quot;, serif" w:eastAsia="&quot;times new roman&quot;, serif"/>
          <w:sz w:val="24"/>
        </w:rPr>
        <w:t>5%</w:t>
      </w:r>
      <w:r>
        <w:rPr>
          <w:rFonts w:ascii="宋体" w:hAnsi="宋体" w:cs="宋体" w:eastAsia="宋体"/>
          <w:sz w:val="24"/>
        </w:rPr>
        <w:t>时，甲方有权选择单方解除本合同并要求乙方按合同总金额的</w:t>
      </w:r>
      <w:r>
        <w:rPr>
          <w:rFonts w:ascii="&quot;times new roman&quot;, serif" w:hAnsi="&quot;times new roman&quot;, serif" w:cs="&quot;times new roman&quot;, serif" w:eastAsia="&quot;times new roman&quot;, serif"/>
          <w:sz w:val="24"/>
        </w:rPr>
        <w:t>10%</w:t>
      </w:r>
      <w:r>
        <w:rPr>
          <w:rFonts w:ascii="宋体" w:hAnsi="宋体" w:cs="宋体" w:eastAsia="宋体"/>
          <w:sz w:val="24"/>
        </w:rPr>
        <w:t>向甲方支付违约金。甲方因此受到损失的，乙方赔偿甲方的损失。</w:t>
      </w:r>
    </w:p>
    <w:p>
      <w:pPr>
        <w:pStyle w:val="null3"/>
        <w:ind w:right="-15" w:firstLine="448"/>
        <w:jc w:val="both"/>
      </w:pPr>
      <w:r>
        <w:rPr>
          <w:rFonts w:ascii="calibri, sans-serif" w:hAnsi="calibri, sans-serif" w:cs="calibri, sans-serif" w:eastAsia="calibri, sans-serif"/>
          <w:sz w:val="24"/>
        </w:rPr>
        <w:t xml:space="preserve">9.3 </w:t>
      </w:r>
      <w:r>
        <w:rPr>
          <w:rFonts w:ascii="宋体" w:hAnsi="宋体" w:cs="宋体" w:eastAsia="宋体"/>
          <w:sz w:val="24"/>
        </w:rPr>
        <w:t>乙方未在合同约定的期限内履行安装、调试、维保、培训等任何一项义务的，甲方有权要求乙方在甲方规定的时间内</w:t>
      </w:r>
      <w:r>
        <w:rPr>
          <w:rFonts w:ascii="宋体" w:hAnsi="宋体" w:cs="宋体" w:eastAsia="宋体"/>
          <w:sz w:val="24"/>
        </w:rPr>
        <w:t>整改</w:t>
      </w:r>
      <w:r>
        <w:rPr>
          <w:rFonts w:ascii="宋体" w:hAnsi="宋体" w:cs="宋体" w:eastAsia="宋体"/>
          <w:sz w:val="24"/>
        </w:rPr>
        <w:t>。乙方未</w:t>
      </w:r>
      <w:r>
        <w:rPr>
          <w:rFonts w:ascii="宋体" w:hAnsi="宋体" w:cs="宋体" w:eastAsia="宋体"/>
          <w:sz w:val="24"/>
        </w:rPr>
        <w:t>整改</w:t>
      </w:r>
      <w:r>
        <w:rPr>
          <w:rFonts w:ascii="宋体" w:hAnsi="宋体" w:cs="宋体" w:eastAsia="宋体"/>
          <w:sz w:val="24"/>
        </w:rPr>
        <w:t>或经</w:t>
      </w:r>
      <w:r>
        <w:rPr>
          <w:rFonts w:ascii="宋体" w:hAnsi="宋体" w:cs="宋体" w:eastAsia="宋体"/>
          <w:sz w:val="24"/>
        </w:rPr>
        <w:t>整改后</w:t>
      </w:r>
      <w:r>
        <w:rPr>
          <w:rFonts w:ascii="宋体" w:hAnsi="宋体" w:cs="宋体" w:eastAsia="宋体"/>
          <w:sz w:val="24"/>
        </w:rPr>
        <w:t>仍不符合甲方要求的，则从乙方未整改或经整改仍不符合要求之日起，甲方有权要求乙方每日按合同总金额</w:t>
      </w:r>
      <w:r>
        <w:rPr>
          <w:rFonts w:ascii="calibri, sans-serif" w:hAnsi="calibri, sans-serif" w:cs="calibri, sans-serif" w:eastAsia="calibri, sans-serif"/>
          <w:sz w:val="24"/>
        </w:rPr>
        <w:t>1.5‰</w:t>
      </w:r>
      <w:r>
        <w:rPr>
          <w:rFonts w:ascii="宋体" w:hAnsi="宋体" w:cs="宋体" w:eastAsia="宋体"/>
          <w:sz w:val="24"/>
        </w:rPr>
        <w:t>支付违约金。当乙方需支付的违约金累计达到合同总金额的</w:t>
      </w:r>
      <w:r>
        <w:rPr>
          <w:rFonts w:ascii="calibri, sans-serif" w:hAnsi="calibri, sans-serif" w:cs="calibri, sans-serif" w:eastAsia="calibri, sans-serif"/>
          <w:sz w:val="24"/>
        </w:rPr>
        <w:t>5%</w:t>
      </w:r>
      <w:r>
        <w:rPr>
          <w:rFonts w:ascii="宋体" w:hAnsi="宋体" w:cs="宋体" w:eastAsia="宋体"/>
          <w:sz w:val="24"/>
        </w:rPr>
        <w:t>时，甲方有权选择单方解除本合同</w:t>
      </w:r>
      <w:r>
        <w:rPr>
          <w:rFonts w:ascii="宋体" w:hAnsi="宋体" w:cs="宋体" w:eastAsia="宋体"/>
          <w:sz w:val="24"/>
        </w:rPr>
        <w:t>并</w:t>
      </w:r>
      <w:r>
        <w:rPr>
          <w:rFonts w:ascii="宋体" w:hAnsi="宋体" w:cs="宋体" w:eastAsia="宋体"/>
          <w:sz w:val="24"/>
        </w:rPr>
        <w:t>要求乙方按合同总金额的</w:t>
      </w:r>
      <w:r>
        <w:rPr>
          <w:rFonts w:ascii="calibri, sans-serif" w:hAnsi="calibri, sans-serif" w:cs="calibri, sans-serif" w:eastAsia="calibri, sans-serif"/>
          <w:sz w:val="24"/>
        </w:rPr>
        <w:t>10%</w:t>
      </w:r>
      <w:r>
        <w:rPr>
          <w:rFonts w:ascii="宋体" w:hAnsi="宋体" w:cs="宋体" w:eastAsia="宋体"/>
          <w:sz w:val="24"/>
        </w:rPr>
        <w:t>向甲方支付违约金。甲方因此受到损失的，乙方赔偿甲方的损失。</w:t>
      </w:r>
    </w:p>
    <w:p>
      <w:pPr>
        <w:pStyle w:val="null3"/>
        <w:ind w:firstLine="480"/>
        <w:jc w:val="both"/>
      </w:pPr>
      <w:r>
        <w:rPr>
          <w:rFonts w:ascii="calibri, sans-serif" w:hAnsi="calibri, sans-serif" w:cs="calibri, sans-serif" w:eastAsia="calibri, sans-serif"/>
          <w:sz w:val="24"/>
        </w:rPr>
        <w:t xml:space="preserve">9.4 </w:t>
      </w:r>
      <w:r>
        <w:rPr>
          <w:rFonts w:ascii="宋体" w:hAnsi="宋体" w:cs="宋体" w:eastAsia="宋体"/>
          <w:sz w:val="24"/>
        </w:rPr>
        <w:t>如乙方提供的产品或技术服务侵犯甲方或任何第三方的合法权益，乙方应负责相关争议事项的处理并承担全部费用。如乙方未在甲方规定的期限内妥善处理、消除影响并完成整改，甲方有权解除合同，要求乙方支付合同总金额</w:t>
      </w:r>
      <w:r>
        <w:rPr>
          <w:rFonts w:ascii="calibri, sans-serif" w:hAnsi="calibri, sans-serif" w:cs="calibri, sans-serif" w:eastAsia="calibri, sans-serif"/>
          <w:sz w:val="24"/>
        </w:rPr>
        <w:t>10%</w:t>
      </w:r>
      <w:r>
        <w:rPr>
          <w:rFonts w:ascii="宋体" w:hAnsi="宋体" w:cs="宋体" w:eastAsia="宋体"/>
          <w:sz w:val="24"/>
        </w:rPr>
        <w:t>的违约金。</w:t>
      </w:r>
      <w:r>
        <w:rPr>
          <w:rFonts w:ascii="宋体" w:hAnsi="宋体" w:cs="宋体" w:eastAsia="宋体"/>
          <w:sz w:val="24"/>
        </w:rPr>
        <w:t>甲方因此受到损失的，乙方赔偿甲方的全部损失。</w:t>
      </w:r>
    </w:p>
    <w:p>
      <w:pPr>
        <w:pStyle w:val="null3"/>
        <w:ind w:right="-15" w:firstLine="448"/>
        <w:jc w:val="both"/>
      </w:pPr>
      <w:r>
        <w:rPr>
          <w:rFonts w:ascii="calibri, sans-serif" w:hAnsi="calibri, sans-serif" w:cs="calibri, sans-serif" w:eastAsia="calibri, sans-serif"/>
          <w:sz w:val="24"/>
        </w:rPr>
        <w:t xml:space="preserve">9.5 </w:t>
      </w:r>
      <w:r>
        <w:rPr>
          <w:rFonts w:ascii="宋体" w:hAnsi="宋体" w:cs="宋体" w:eastAsia="宋体"/>
          <w:sz w:val="24"/>
        </w:rPr>
        <w:t>乙方未履行本合同约定的保密义务、网络及数据安全义务，或提供虚假的材料，违反承诺与保证等，甲方有权要求乙方在规定的时间内进行整改。乙方未整改或整改后仍不符合要求的，甲方有权解除本合同，要求乙方向甲方支付合同总金额</w:t>
      </w:r>
      <w:r>
        <w:rPr>
          <w:rFonts w:ascii="calibri, sans-serif" w:hAnsi="calibri, sans-serif" w:cs="calibri, sans-serif" w:eastAsia="calibri, sans-serif"/>
          <w:sz w:val="24"/>
        </w:rPr>
        <w:t>10%</w:t>
      </w:r>
      <w:r>
        <w:rPr>
          <w:rFonts w:ascii="宋体" w:hAnsi="宋体" w:cs="宋体" w:eastAsia="宋体"/>
          <w:sz w:val="24"/>
        </w:rPr>
        <w:t>的违约金。甲方因此遭受损失的，乙方应予以赔偿。</w:t>
      </w:r>
    </w:p>
    <w:p>
      <w:pPr>
        <w:pStyle w:val="null3"/>
        <w:ind w:right="-15" w:firstLine="448"/>
        <w:jc w:val="both"/>
      </w:pPr>
      <w:r>
        <w:rPr>
          <w:rFonts w:ascii="calibri, sans-serif" w:hAnsi="calibri, sans-serif" w:cs="calibri, sans-serif" w:eastAsia="calibri, sans-serif"/>
          <w:sz w:val="24"/>
        </w:rPr>
        <w:t xml:space="preserve">9.6 </w:t>
      </w:r>
      <w:r>
        <w:rPr>
          <w:rFonts w:ascii="宋体" w:hAnsi="宋体" w:cs="宋体" w:eastAsia="宋体"/>
          <w:sz w:val="24"/>
        </w:rPr>
        <w:t>乙方擅自将本合同项下的权利义务转包或分包给第三方，甲方有权解除合同，并要求乙方赔偿甲方因此遭受的全部损失，同时有权主张乙方支付甲方合同总金额</w:t>
      </w:r>
      <w:r>
        <w:rPr>
          <w:rFonts w:ascii="calibri, sans-serif" w:hAnsi="calibri, sans-serif" w:cs="calibri, sans-serif" w:eastAsia="calibri, sans-serif"/>
          <w:sz w:val="24"/>
        </w:rPr>
        <w:t>10%</w:t>
      </w:r>
      <w:r>
        <w:rPr>
          <w:rFonts w:ascii="宋体" w:hAnsi="宋体" w:cs="宋体" w:eastAsia="宋体"/>
          <w:sz w:val="24"/>
        </w:rPr>
        <w:t>的违约金。同时，乙方转包、分包部分的费用</w:t>
      </w:r>
      <w:r>
        <w:rPr>
          <w:rFonts w:ascii="宋体" w:hAnsi="宋体" w:cs="宋体" w:eastAsia="宋体"/>
          <w:sz w:val="24"/>
        </w:rPr>
        <w:t>由乙方承担</w:t>
      </w:r>
      <w:r>
        <w:rPr>
          <w:rFonts w:ascii="宋体" w:hAnsi="宋体" w:cs="宋体" w:eastAsia="宋体"/>
          <w:sz w:val="24"/>
        </w:rPr>
        <w:t>。</w:t>
      </w:r>
    </w:p>
    <w:p>
      <w:pPr>
        <w:pStyle w:val="null3"/>
        <w:ind w:right="-15" w:firstLine="448"/>
        <w:jc w:val="both"/>
      </w:pPr>
      <w:r>
        <w:rPr>
          <w:rFonts w:ascii="calibri, sans-serif" w:hAnsi="calibri, sans-serif" w:cs="calibri, sans-serif" w:eastAsia="calibri, sans-serif"/>
          <w:sz w:val="24"/>
        </w:rPr>
        <w:t xml:space="preserve">9.7 </w:t>
      </w:r>
      <w:r>
        <w:rPr>
          <w:rFonts w:ascii="宋体" w:hAnsi="宋体" w:cs="宋体" w:eastAsia="宋体"/>
          <w:sz w:val="24"/>
        </w:rPr>
        <w:t>乙方提供的产品部分合格的，甲方有权按照乙方实际提供合格产品的比例进行付款。</w:t>
      </w:r>
    </w:p>
    <w:p>
      <w:pPr>
        <w:pStyle w:val="null3"/>
        <w:ind w:right="-15" w:firstLine="448"/>
        <w:jc w:val="both"/>
      </w:pPr>
      <w:r>
        <w:rPr>
          <w:rFonts w:ascii="calibri, sans-serif" w:hAnsi="calibri, sans-serif" w:cs="calibri, sans-serif" w:eastAsia="calibri, sans-serif"/>
          <w:sz w:val="24"/>
        </w:rPr>
        <w:t xml:space="preserve">9.8 </w:t>
      </w:r>
      <w:r>
        <w:rPr>
          <w:rFonts w:ascii="宋体" w:hAnsi="宋体" w:cs="宋体" w:eastAsia="宋体"/>
          <w:sz w:val="24"/>
        </w:rPr>
        <w:t>任何一方承担违约责任并不影响双方继续履行合同未履行的部分。</w:t>
      </w:r>
    </w:p>
    <w:p>
      <w:pPr>
        <w:pStyle w:val="null3"/>
        <w:ind w:right="-15" w:firstLine="448"/>
        <w:jc w:val="both"/>
      </w:pPr>
      <w:r>
        <w:rPr>
          <w:rFonts w:ascii="calibri, sans-serif" w:hAnsi="calibri, sans-serif" w:cs="calibri, sans-serif" w:eastAsia="calibri, sans-serif"/>
          <w:sz w:val="24"/>
        </w:rPr>
        <w:t xml:space="preserve">9.9 </w:t>
      </w:r>
      <w:r>
        <w:rPr>
          <w:rFonts w:ascii="宋体" w:hAnsi="宋体" w:cs="宋体" w:eastAsia="宋体"/>
          <w:sz w:val="24"/>
        </w:rPr>
        <w:t>如果乙方在收到甲方关于违约金额、赔偿金额的书面通知（含电子邮件）后十个日历日内没有书面答复，则视为乙方对甲方提出的违约金额、赔偿金额无异议。其后乙方不得以任何原因对该金额提出抗辩。乙方根据本合同约定须向甲方支付的违约金或赔偿款，甲方有权在其应付乙方的款项中予以直接扣除。</w:t>
      </w:r>
    </w:p>
    <w:p>
      <w:pPr>
        <w:pStyle w:val="null3"/>
        <w:ind w:right="-15" w:firstLine="448"/>
        <w:jc w:val="both"/>
      </w:pPr>
      <w:r>
        <w:rPr>
          <w:rFonts w:ascii="calibri, sans-serif" w:hAnsi="calibri, sans-serif" w:cs="calibri, sans-serif" w:eastAsia="calibri, sans-serif"/>
          <w:sz w:val="24"/>
        </w:rPr>
        <w:t xml:space="preserve">9.10 </w:t>
      </w:r>
      <w:r>
        <w:rPr>
          <w:rFonts w:ascii="宋体" w:hAnsi="宋体" w:cs="宋体" w:eastAsia="宋体"/>
          <w:sz w:val="24"/>
        </w:rPr>
        <w:t>如乙方有本条中的违约情形，甲方有暂停或者在一定期限内取消乙方供应商准入资格的权利。</w:t>
      </w:r>
      <w:r>
        <w:rPr>
          <w:rFonts w:ascii="calibri, sans-serif" w:hAnsi="calibri, sans-serif" w:cs="calibri, sans-serif" w:eastAsia="calibri, sans-serif"/>
          <w:sz w:val="21"/>
        </w:rPr>
        <w:t xml:space="preserve"> </w:t>
      </w:r>
    </w:p>
    <w:p>
      <w:pPr>
        <w:pStyle w:val="null3"/>
        <w:ind w:right="-15" w:firstLine="480"/>
        <w:jc w:val="both"/>
      </w:pPr>
      <w:r>
        <w:rPr>
          <w:rFonts w:ascii="calibri, sans-serif" w:hAnsi="calibri, sans-serif" w:cs="calibri, sans-serif" w:eastAsia="calibri, sans-serif"/>
          <w:sz w:val="24"/>
        </w:rPr>
        <w:t xml:space="preserve">9.11 </w:t>
      </w:r>
      <w:r>
        <w:rPr>
          <w:rFonts w:ascii="宋体" w:hAnsi="宋体" w:cs="宋体" w:eastAsia="宋体"/>
          <w:sz w:val="24"/>
        </w:rPr>
        <w:t>如本合同无固定总金额，则以双方当期</w:t>
      </w:r>
      <w:r>
        <w:rPr>
          <w:rFonts w:ascii="宋体" w:hAnsi="宋体" w:cs="宋体" w:eastAsia="宋体"/>
          <w:sz w:val="24"/>
        </w:rPr>
        <w:t>应</w:t>
      </w:r>
      <w:r>
        <w:rPr>
          <w:rFonts w:ascii="宋体" w:hAnsi="宋体" w:cs="宋体" w:eastAsia="宋体"/>
          <w:sz w:val="24"/>
        </w:rPr>
        <w:t>结算金额为基数计算违约金。</w:t>
      </w:r>
    </w:p>
    <w:p>
      <w:pPr>
        <w:pStyle w:val="null3"/>
        <w:numPr>
          <w:ilvl w:val="0"/>
          <w:numId w:val="2"/>
        </w:numPr>
        <w:ind w:left="840"/>
      </w:pPr>
      <w:r>
        <w:rPr>
          <w:rFonts w:ascii="宋体" w:hAnsi="宋体" w:cs="宋体" w:eastAsia="宋体"/>
          <w:sz w:val="24"/>
        </w:rPr>
        <w:t>不可抗力</w:t>
      </w:r>
    </w:p>
    <w:p>
      <w:pPr>
        <w:pStyle w:val="null3"/>
        <w:ind w:firstLine="480"/>
        <w:jc w:val="both"/>
      </w:pPr>
      <w:r>
        <w:rPr>
          <w:rFonts w:ascii="calibri, sans-serif" w:hAnsi="calibri, sans-serif" w:cs="calibri, sans-serif" w:eastAsia="calibri, sans-serif"/>
          <w:sz w:val="24"/>
        </w:rPr>
        <w:t xml:space="preserve">10.1 </w:t>
      </w:r>
      <w:r>
        <w:rPr>
          <w:rFonts w:ascii="宋体" w:hAnsi="宋体" w:cs="宋体" w:eastAsia="宋体"/>
          <w:sz w:val="24"/>
        </w:rPr>
        <w:t>本合同所称不可抗力，是指重大地震、台风、水灾、火灾、战争、传染病以及其他不能预见、不能避免且不能克服的客观情况。</w:t>
      </w:r>
    </w:p>
    <w:p>
      <w:pPr>
        <w:pStyle w:val="null3"/>
        <w:ind w:firstLine="480"/>
        <w:jc w:val="both"/>
      </w:pPr>
      <w:r>
        <w:rPr>
          <w:rFonts w:ascii="calibri, sans-serif" w:hAnsi="calibri, sans-serif" w:cs="calibri, sans-serif" w:eastAsia="calibri, sans-serif"/>
          <w:sz w:val="24"/>
        </w:rPr>
        <w:t xml:space="preserve">10.2 </w:t>
      </w:r>
      <w:r>
        <w:rPr>
          <w:rFonts w:ascii="宋体" w:hAnsi="宋体" w:cs="宋体" w:eastAsia="宋体"/>
          <w:sz w:val="24"/>
        </w:rPr>
        <w:t>任何一方因不可抗力事件而不能履行合同时，应及时向对方通报不能履行或不能完全履行的原因，与对方协商是否延期履行、部分履行或者不履行本合同，并对此不承担违约责任。但遭受不可抗力事件的一方有责任尽可能及时采取措施以减少对方的损失、消除不可抗力事件的影响，否则对未尽本项义务而导致的损失承担赔偿责任。</w:t>
      </w:r>
    </w:p>
    <w:p>
      <w:pPr>
        <w:pStyle w:val="null3"/>
        <w:ind w:firstLine="480"/>
        <w:jc w:val="both"/>
      </w:pPr>
      <w:r>
        <w:rPr>
          <w:rFonts w:ascii="calibri, sans-serif" w:hAnsi="calibri, sans-serif" w:cs="calibri, sans-serif" w:eastAsia="calibri, sans-serif"/>
          <w:sz w:val="24"/>
        </w:rPr>
        <w:t xml:space="preserve">10.3 </w:t>
      </w:r>
      <w:r>
        <w:rPr>
          <w:rFonts w:ascii="宋体" w:hAnsi="宋体" w:cs="宋体" w:eastAsia="宋体"/>
          <w:sz w:val="24"/>
        </w:rPr>
        <w:t>遭受不可抗力事件的一方应尽力在不可抗力事件发生后十（</w:t>
      </w:r>
      <w:r>
        <w:rPr>
          <w:rFonts w:ascii="calibri, sans-serif" w:hAnsi="calibri, sans-serif" w:cs="calibri, sans-serif" w:eastAsia="calibri, sans-serif"/>
          <w:sz w:val="24"/>
        </w:rPr>
        <w:t>10</w:t>
      </w:r>
      <w:r>
        <w:rPr>
          <w:rFonts w:ascii="宋体" w:hAnsi="宋体" w:cs="宋体" w:eastAsia="宋体"/>
          <w:sz w:val="24"/>
        </w:rPr>
        <w:t>）个日历日内取得有关部门的证明，并将有关部门出具的证明文件以及详细情况报告、不可抗力事件对合同影响的说明用特快专递或挂号信形式寄给另一方。</w:t>
      </w:r>
    </w:p>
    <w:p>
      <w:pPr>
        <w:pStyle w:val="null3"/>
        <w:ind w:firstLine="480"/>
        <w:jc w:val="both"/>
      </w:pPr>
      <w:r>
        <w:rPr>
          <w:rFonts w:ascii="calibri, sans-serif" w:hAnsi="calibri, sans-serif" w:cs="calibri, sans-serif" w:eastAsia="calibri, sans-serif"/>
          <w:sz w:val="24"/>
        </w:rPr>
        <w:t xml:space="preserve">10.4 </w:t>
      </w:r>
      <w:r>
        <w:rPr>
          <w:rFonts w:ascii="宋体" w:hAnsi="宋体" w:cs="宋体" w:eastAsia="宋体"/>
          <w:sz w:val="24"/>
        </w:rPr>
        <w:t>任何一方延迟履行合同后发生不可抗力事件的，不能免除因延迟履行产生的违约责任。</w:t>
      </w:r>
    </w:p>
    <w:p>
      <w:pPr>
        <w:pStyle w:val="null3"/>
        <w:numPr>
          <w:ilvl w:val="0"/>
          <w:numId w:val="2"/>
        </w:numPr>
        <w:ind w:left="840"/>
      </w:pPr>
      <w:r>
        <w:rPr>
          <w:rFonts w:ascii="宋体" w:hAnsi="宋体" w:cs="宋体" w:eastAsia="宋体"/>
          <w:sz w:val="24"/>
        </w:rPr>
        <w:t>情势变更</w:t>
      </w:r>
    </w:p>
    <w:p>
      <w:pPr>
        <w:pStyle w:val="null3"/>
        <w:ind w:firstLine="480"/>
        <w:jc w:val="both"/>
      </w:pPr>
      <w:r>
        <w:rPr>
          <w:rFonts w:ascii="calibri, sans-serif" w:hAnsi="calibri, sans-serif" w:cs="calibri, sans-serif" w:eastAsia="calibri, sans-serif"/>
          <w:sz w:val="24"/>
        </w:rPr>
        <w:t xml:space="preserve">11.1 </w:t>
      </w:r>
      <w:r>
        <w:rPr>
          <w:rFonts w:ascii="宋体" w:hAnsi="宋体" w:cs="宋体" w:eastAsia="宋体"/>
          <w:sz w:val="24"/>
        </w:rPr>
        <w:t>本合同所称情势变更指合同成立后，合同的基础条件发生了甲乙双方在合同订立时无法预见的、不属于商业风险的</w:t>
      </w:r>
      <w:r>
        <w:rPr>
          <w:rFonts w:ascii="宋体" w:hAnsi="宋体" w:cs="宋体" w:eastAsia="宋体"/>
          <w:sz w:val="24"/>
        </w:rPr>
        <w:t>重</w:t>
      </w:r>
      <w:r>
        <w:rPr>
          <w:rFonts w:ascii="宋体" w:hAnsi="宋体" w:cs="宋体" w:eastAsia="宋体"/>
          <w:sz w:val="24"/>
        </w:rPr>
        <w:t>大变化，继续履行合同对其中一方明显不公平，则受不利影响的一方可以与对方重新协商，双方根据公平原则变更或解除合同。</w:t>
      </w:r>
    </w:p>
    <w:p>
      <w:pPr>
        <w:pStyle w:val="null3"/>
        <w:ind w:firstLine="480"/>
        <w:jc w:val="both"/>
      </w:pPr>
      <w:r>
        <w:rPr>
          <w:rFonts w:ascii="calibri, sans-serif" w:hAnsi="calibri, sans-serif" w:cs="calibri, sans-serif" w:eastAsia="calibri, sans-serif"/>
          <w:sz w:val="24"/>
        </w:rPr>
        <w:t xml:space="preserve">11.2 </w:t>
      </w:r>
      <w:r>
        <w:rPr>
          <w:rFonts w:ascii="宋体" w:hAnsi="宋体" w:cs="宋体" w:eastAsia="宋体"/>
          <w:sz w:val="24"/>
        </w:rPr>
        <w:t>双方协商不成的，可根据本合同争议解决条款请求有管辖权的人民法院变更或</w:t>
      </w:r>
      <w:r>
        <w:rPr>
          <w:rFonts w:ascii="宋体" w:hAnsi="宋体" w:cs="宋体" w:eastAsia="宋体"/>
          <w:sz w:val="24"/>
        </w:rPr>
        <w:t>解除</w:t>
      </w:r>
      <w:r>
        <w:rPr>
          <w:rFonts w:ascii="宋体" w:hAnsi="宋体" w:cs="宋体" w:eastAsia="宋体"/>
          <w:sz w:val="24"/>
        </w:rPr>
        <w:t>合同。</w:t>
      </w:r>
    </w:p>
    <w:p>
      <w:pPr>
        <w:pStyle w:val="null3"/>
        <w:numPr>
          <w:ilvl w:val="0"/>
          <w:numId w:val="2"/>
        </w:numPr>
        <w:ind w:left="840"/>
      </w:pPr>
      <w:r>
        <w:rPr>
          <w:rFonts w:ascii="宋体" w:hAnsi="宋体" w:cs="宋体" w:eastAsia="宋体"/>
          <w:sz w:val="24"/>
        </w:rPr>
        <w:t>保密</w:t>
      </w:r>
    </w:p>
    <w:p>
      <w:pPr>
        <w:pStyle w:val="null3"/>
        <w:ind w:firstLine="480"/>
        <w:jc w:val="both"/>
      </w:pPr>
      <w:r>
        <w:rPr>
          <w:rFonts w:ascii="宋体" w:hAnsi="宋体" w:cs="宋体" w:eastAsia="宋体"/>
          <w:sz w:val="24"/>
        </w:rPr>
        <w:t>见附件《安全保密</w:t>
      </w:r>
      <w:r>
        <w:rPr>
          <w:rFonts w:ascii="宋体" w:hAnsi="宋体" w:cs="宋体" w:eastAsia="宋体"/>
          <w:sz w:val="24"/>
        </w:rPr>
        <w:t>协议</w:t>
      </w:r>
      <w:r>
        <w:rPr>
          <w:rFonts w:ascii="宋体" w:hAnsi="宋体" w:cs="宋体" w:eastAsia="宋体"/>
          <w:sz w:val="24"/>
        </w:rPr>
        <w:t>》</w:t>
      </w:r>
      <w:r>
        <w:rPr>
          <w:rFonts w:ascii="宋体" w:hAnsi="宋体" w:cs="宋体" w:eastAsia="宋体"/>
          <w:sz w:val="24"/>
        </w:rPr>
        <w:t>。</w:t>
      </w:r>
    </w:p>
    <w:p>
      <w:pPr>
        <w:pStyle w:val="null3"/>
        <w:numPr>
          <w:ilvl w:val="0"/>
          <w:numId w:val="2"/>
        </w:numPr>
        <w:ind w:right="-15"/>
        <w:jc w:val="both"/>
      </w:pPr>
      <w:r>
        <w:rPr>
          <w:rFonts w:ascii="宋体" w:hAnsi="宋体" w:cs="宋体" w:eastAsia="宋体"/>
          <w:sz w:val="24"/>
        </w:rPr>
        <w:t>合同的转让</w:t>
      </w:r>
    </w:p>
    <w:p>
      <w:pPr>
        <w:pStyle w:val="null3"/>
        <w:ind w:right="-15" w:firstLine="480"/>
        <w:jc w:val="both"/>
      </w:pPr>
      <w:r>
        <w:rPr>
          <w:rFonts w:ascii="宋体" w:hAnsi="宋体" w:cs="宋体" w:eastAsia="宋体"/>
          <w:sz w:val="24"/>
        </w:rPr>
        <w:t>未经甲方书面同意，乙方不得将其在本合同项下的全部或部分权利义务转让或分包给第三方。甲方有权根据需要通知乙方向甲方指定的第三方履行本合同项下的义务，相关第三方有权行使本合同项下甲方的权利。</w:t>
      </w:r>
    </w:p>
    <w:p>
      <w:pPr>
        <w:pStyle w:val="null3"/>
        <w:numPr>
          <w:ilvl w:val="0"/>
          <w:numId w:val="2"/>
        </w:numPr>
        <w:ind w:right="-15"/>
        <w:jc w:val="both"/>
      </w:pPr>
      <w:r>
        <w:rPr>
          <w:rFonts w:ascii="宋体" w:hAnsi="宋体" w:cs="宋体" w:eastAsia="宋体"/>
          <w:sz w:val="24"/>
        </w:rPr>
        <w:t>合同的终止与解除</w:t>
      </w:r>
    </w:p>
    <w:p>
      <w:pPr>
        <w:pStyle w:val="null3"/>
        <w:ind w:firstLine="480"/>
        <w:jc w:val="both"/>
      </w:pPr>
      <w:r>
        <w:rPr>
          <w:rFonts w:ascii="calibri, sans-serif" w:hAnsi="calibri, sans-serif" w:cs="calibri, sans-serif" w:eastAsia="calibri, sans-serif"/>
          <w:sz w:val="24"/>
        </w:rPr>
        <w:t xml:space="preserve">14.1 </w:t>
      </w:r>
      <w:r>
        <w:rPr>
          <w:rFonts w:ascii="宋体" w:hAnsi="宋体" w:cs="宋体" w:eastAsia="宋体"/>
          <w:sz w:val="24"/>
        </w:rPr>
        <w:t>除本合同另有约定外，任何一方均不得单方随意终止或解除合同。但出现如下情形时，合同终止或解除：</w:t>
      </w:r>
    </w:p>
    <w:p>
      <w:pPr>
        <w:pStyle w:val="null3"/>
        <w:ind w:left="480"/>
        <w:jc w:val="both"/>
      </w:pPr>
      <w:r>
        <w:rPr>
          <w:rFonts w:ascii="宋体" w:hAnsi="宋体" w:cs="宋体" w:eastAsia="宋体"/>
          <w:sz w:val="24"/>
        </w:rPr>
        <w:t>（</w:t>
      </w:r>
      <w:r>
        <w:rPr>
          <w:rFonts w:ascii="calibri, sans-serif" w:hAnsi="calibri, sans-serif" w:cs="calibri, sans-serif" w:eastAsia="calibri, sans-serif"/>
          <w:sz w:val="24"/>
        </w:rPr>
        <w:t>1</w:t>
      </w:r>
      <w:r>
        <w:rPr>
          <w:rFonts w:ascii="宋体" w:hAnsi="宋体" w:cs="宋体" w:eastAsia="宋体"/>
          <w:sz w:val="24"/>
        </w:rPr>
        <w:t>）</w:t>
      </w:r>
      <w:r>
        <w:rPr>
          <w:rFonts w:ascii="宋体" w:hAnsi="宋体" w:cs="宋体" w:eastAsia="宋体"/>
          <w:sz w:val="24"/>
        </w:rPr>
        <w:t>本合同正常履行完毕；</w:t>
      </w:r>
    </w:p>
    <w:p>
      <w:pPr>
        <w:pStyle w:val="null3"/>
        <w:ind w:left="480"/>
        <w:jc w:val="both"/>
      </w:pPr>
      <w:r>
        <w:rPr>
          <w:rFonts w:ascii="宋体" w:hAnsi="宋体" w:cs="宋体" w:eastAsia="宋体"/>
          <w:sz w:val="24"/>
        </w:rPr>
        <w:t>（</w:t>
      </w:r>
      <w:r>
        <w:rPr>
          <w:rFonts w:ascii="calibri, sans-serif" w:hAnsi="calibri, sans-serif" w:cs="calibri, sans-serif" w:eastAsia="calibri, sans-serif"/>
          <w:sz w:val="24"/>
        </w:rPr>
        <w:t>2</w:t>
      </w:r>
      <w:r>
        <w:rPr>
          <w:rFonts w:ascii="宋体" w:hAnsi="宋体" w:cs="宋体" w:eastAsia="宋体"/>
          <w:sz w:val="24"/>
        </w:rPr>
        <w:t>）</w:t>
      </w:r>
      <w:r>
        <w:rPr>
          <w:rFonts w:ascii="宋体" w:hAnsi="宋体" w:cs="宋体" w:eastAsia="宋体"/>
          <w:sz w:val="24"/>
        </w:rPr>
        <w:t>不可抗力</w:t>
      </w:r>
      <w:r>
        <w:rPr>
          <w:rFonts w:ascii="宋体" w:hAnsi="宋体" w:cs="宋体" w:eastAsia="宋体"/>
          <w:sz w:val="24"/>
        </w:rPr>
        <w:t>或情势变更事件</w:t>
      </w:r>
      <w:r>
        <w:rPr>
          <w:rFonts w:ascii="宋体" w:hAnsi="宋体" w:cs="宋体" w:eastAsia="宋体"/>
          <w:sz w:val="24"/>
        </w:rPr>
        <w:t>导致本合同无法履行或不必要履行时；</w:t>
      </w:r>
    </w:p>
    <w:p>
      <w:pPr>
        <w:pStyle w:val="null3"/>
        <w:ind w:left="480"/>
        <w:jc w:val="both"/>
      </w:pPr>
      <w:r>
        <w:rPr>
          <w:rFonts w:ascii="宋体" w:hAnsi="宋体" w:cs="宋体" w:eastAsia="宋体"/>
          <w:sz w:val="24"/>
        </w:rPr>
        <w:t>（</w:t>
      </w:r>
      <w:r>
        <w:rPr>
          <w:rFonts w:ascii="calibri, sans-serif" w:hAnsi="calibri, sans-serif" w:cs="calibri, sans-serif" w:eastAsia="calibri, sans-serif"/>
          <w:sz w:val="24"/>
        </w:rPr>
        <w:t>3</w:t>
      </w:r>
      <w:r>
        <w:rPr>
          <w:rFonts w:ascii="宋体" w:hAnsi="宋体" w:cs="宋体" w:eastAsia="宋体"/>
          <w:sz w:val="24"/>
        </w:rPr>
        <w:t>）</w:t>
      </w:r>
      <w:r>
        <w:rPr>
          <w:rFonts w:ascii="宋体" w:hAnsi="宋体" w:cs="宋体" w:eastAsia="宋体"/>
          <w:sz w:val="24"/>
        </w:rPr>
        <w:t>双方协商一致</w:t>
      </w:r>
      <w:r>
        <w:rPr>
          <w:rFonts w:ascii="宋体" w:hAnsi="宋体" w:cs="宋体" w:eastAsia="宋体"/>
          <w:sz w:val="24"/>
        </w:rPr>
        <w:t>终止或</w:t>
      </w:r>
      <w:r>
        <w:rPr>
          <w:rFonts w:ascii="宋体" w:hAnsi="宋体" w:cs="宋体" w:eastAsia="宋体"/>
          <w:sz w:val="24"/>
        </w:rPr>
        <w:t>解除；</w:t>
      </w:r>
    </w:p>
    <w:p>
      <w:pPr>
        <w:pStyle w:val="null3"/>
        <w:ind w:left="480"/>
        <w:jc w:val="both"/>
      </w:pPr>
      <w:r>
        <w:rPr>
          <w:rFonts w:ascii="宋体" w:hAnsi="宋体" w:cs="宋体" w:eastAsia="宋体"/>
          <w:sz w:val="24"/>
        </w:rPr>
        <w:t>（</w:t>
      </w:r>
      <w:r>
        <w:rPr>
          <w:rFonts w:ascii="calibri, sans-serif" w:hAnsi="calibri, sans-serif" w:cs="calibri, sans-serif" w:eastAsia="calibri, sans-serif"/>
          <w:sz w:val="24"/>
        </w:rPr>
        <w:t>4</w:t>
      </w:r>
      <w:r>
        <w:rPr>
          <w:rFonts w:ascii="宋体" w:hAnsi="宋体" w:cs="宋体" w:eastAsia="宋体"/>
          <w:sz w:val="24"/>
        </w:rPr>
        <w:t>）</w:t>
      </w:r>
      <w:r>
        <w:rPr>
          <w:rFonts w:ascii="宋体" w:hAnsi="宋体" w:cs="宋体" w:eastAsia="宋体"/>
          <w:sz w:val="24"/>
        </w:rPr>
        <w:t>本合同约定解除或终止的情形满足时。</w:t>
      </w:r>
    </w:p>
    <w:p>
      <w:pPr>
        <w:pStyle w:val="null3"/>
        <w:ind w:firstLine="480"/>
        <w:jc w:val="both"/>
      </w:pPr>
      <w:r>
        <w:rPr>
          <w:rFonts w:ascii="calibri, sans-serif" w:hAnsi="calibri, sans-serif" w:cs="calibri, sans-serif" w:eastAsia="calibri, sans-serif"/>
          <w:sz w:val="24"/>
        </w:rPr>
        <w:t xml:space="preserve">14.2 </w:t>
      </w:r>
      <w:r>
        <w:rPr>
          <w:rFonts w:ascii="宋体" w:hAnsi="宋体" w:cs="宋体" w:eastAsia="宋体"/>
          <w:sz w:val="24"/>
        </w:rPr>
        <w:t>除本合同另有约定外，在下列情况下，甲方可向乙方发出书面通知解除部分或全部合同，要求乙方支付合同总金额</w:t>
      </w:r>
      <w:r>
        <w:rPr>
          <w:rFonts w:ascii="calibri, sans-serif" w:hAnsi="calibri, sans-serif" w:cs="calibri, sans-serif" w:eastAsia="calibri, sans-serif"/>
          <w:sz w:val="24"/>
        </w:rPr>
        <w:t>10%</w:t>
      </w:r>
      <w:r>
        <w:rPr>
          <w:rFonts w:ascii="宋体" w:hAnsi="宋体" w:cs="宋体" w:eastAsia="宋体"/>
          <w:sz w:val="24"/>
        </w:rPr>
        <w:t>的违约金，并赔偿甲方的全部损失。解除合同行为不影响甲方采取其他补救措施，也不免除乙方的损害赔偿责任，对于由此给乙方造成的损失，甲方不承担赔偿责任：</w:t>
      </w:r>
    </w:p>
    <w:p>
      <w:pPr>
        <w:pStyle w:val="null3"/>
        <w:ind w:firstLine="480"/>
        <w:jc w:val="both"/>
      </w:pPr>
      <w:r>
        <w:rPr>
          <w:rFonts w:ascii="宋体" w:hAnsi="宋体" w:cs="宋体" w:eastAsia="宋体"/>
          <w:sz w:val="24"/>
        </w:rPr>
        <w:t>（</w:t>
      </w:r>
      <w:r>
        <w:rPr>
          <w:rFonts w:ascii="calibri, sans-serif" w:hAnsi="calibri, sans-serif" w:cs="calibri, sans-serif" w:eastAsia="calibri, sans-serif"/>
          <w:sz w:val="24"/>
        </w:rPr>
        <w:t>1</w:t>
      </w:r>
      <w:r>
        <w:rPr>
          <w:rFonts w:ascii="宋体" w:hAnsi="宋体" w:cs="宋体" w:eastAsia="宋体"/>
          <w:sz w:val="24"/>
        </w:rPr>
        <w:t>）</w:t>
      </w:r>
      <w:r>
        <w:rPr>
          <w:rFonts w:ascii="宋体" w:hAnsi="宋体" w:cs="宋体" w:eastAsia="宋体"/>
          <w:sz w:val="24"/>
        </w:rPr>
        <w:t>乙方经营状况、声誉等恶化导致其履行本合同困难或不再具备履行本合同所需的资质；</w:t>
      </w:r>
    </w:p>
    <w:p>
      <w:pPr>
        <w:pStyle w:val="null3"/>
        <w:ind w:firstLine="480"/>
        <w:jc w:val="both"/>
      </w:pPr>
      <w:r>
        <w:rPr>
          <w:rFonts w:ascii="宋体" w:hAnsi="宋体" w:cs="宋体" w:eastAsia="宋体"/>
          <w:sz w:val="24"/>
        </w:rPr>
        <w:t>（</w:t>
      </w:r>
      <w:r>
        <w:rPr>
          <w:rFonts w:ascii="calibri, sans-serif" w:hAnsi="calibri, sans-serif" w:cs="calibri, sans-serif" w:eastAsia="calibri, sans-serif"/>
          <w:sz w:val="24"/>
        </w:rPr>
        <w:t>2</w:t>
      </w:r>
      <w:r>
        <w:rPr>
          <w:rFonts w:ascii="宋体" w:hAnsi="宋体" w:cs="宋体" w:eastAsia="宋体"/>
          <w:sz w:val="24"/>
        </w:rPr>
        <w:t>）</w:t>
      </w:r>
      <w:r>
        <w:rPr>
          <w:rFonts w:ascii="宋体" w:hAnsi="宋体" w:cs="宋体" w:eastAsia="宋体"/>
          <w:sz w:val="24"/>
        </w:rPr>
        <w:t>乙方拒绝接受或不配合甲方、金融业监督管理机构对合同履行情况的检查和审计；</w:t>
      </w:r>
    </w:p>
    <w:p>
      <w:pPr>
        <w:pStyle w:val="null3"/>
        <w:ind w:firstLine="480"/>
        <w:jc w:val="both"/>
      </w:pPr>
      <w:r>
        <w:rPr>
          <w:rFonts w:ascii="宋体" w:hAnsi="宋体" w:cs="宋体" w:eastAsia="宋体"/>
          <w:sz w:val="24"/>
        </w:rPr>
        <w:t>（</w:t>
      </w:r>
      <w:r>
        <w:rPr>
          <w:rFonts w:ascii="calibri, sans-serif" w:hAnsi="calibri, sans-serif" w:cs="calibri, sans-serif" w:eastAsia="calibri, sans-serif"/>
          <w:sz w:val="24"/>
        </w:rPr>
        <w:t>3</w:t>
      </w:r>
      <w:r>
        <w:rPr>
          <w:rFonts w:ascii="宋体" w:hAnsi="宋体" w:cs="宋体" w:eastAsia="宋体"/>
          <w:sz w:val="24"/>
        </w:rPr>
        <w:t>）</w:t>
      </w:r>
      <w:r>
        <w:rPr>
          <w:rFonts w:ascii="宋体" w:hAnsi="宋体" w:cs="宋体" w:eastAsia="宋体"/>
          <w:sz w:val="24"/>
        </w:rPr>
        <w:t>乙方或其工作人员发生刺探或泄露国家秘密、以甲方名义对外开展活动、恶意破坏金融信息系统或关键信息基础设施等情形；</w:t>
      </w:r>
    </w:p>
    <w:p>
      <w:pPr>
        <w:pStyle w:val="null3"/>
        <w:ind w:firstLine="480"/>
        <w:jc w:val="both"/>
      </w:pPr>
      <w:r>
        <w:rPr>
          <w:rFonts w:ascii="宋体" w:hAnsi="宋体" w:cs="宋体" w:eastAsia="宋体"/>
          <w:sz w:val="24"/>
        </w:rPr>
        <w:t>（</w:t>
      </w:r>
      <w:r>
        <w:rPr>
          <w:rFonts w:ascii="calibri, sans-serif" w:hAnsi="calibri, sans-serif" w:cs="calibri, sans-serif" w:eastAsia="calibri, sans-serif"/>
          <w:sz w:val="24"/>
        </w:rPr>
        <w:t>4</w:t>
      </w:r>
      <w:r>
        <w:rPr>
          <w:rFonts w:ascii="宋体" w:hAnsi="宋体" w:cs="宋体" w:eastAsia="宋体"/>
          <w:sz w:val="24"/>
        </w:rPr>
        <w:t>）</w:t>
      </w:r>
      <w:r>
        <w:rPr>
          <w:rFonts w:ascii="宋体" w:hAnsi="宋体" w:cs="宋体" w:eastAsia="宋体"/>
          <w:sz w:val="24"/>
        </w:rPr>
        <w:t>乙方发生造成甲方声誉损失、经济损失或损害甲方利益的行为；</w:t>
      </w:r>
    </w:p>
    <w:p>
      <w:pPr>
        <w:pStyle w:val="null3"/>
        <w:ind w:firstLine="480"/>
        <w:jc w:val="both"/>
      </w:pPr>
      <w:r>
        <w:rPr>
          <w:rFonts w:ascii="宋体" w:hAnsi="宋体" w:cs="宋体" w:eastAsia="宋体"/>
          <w:sz w:val="24"/>
        </w:rPr>
        <w:t>（</w:t>
      </w:r>
      <w:r>
        <w:rPr>
          <w:rFonts w:ascii="calibri, sans-serif" w:hAnsi="calibri, sans-serif" w:cs="calibri, sans-serif" w:eastAsia="calibri, sans-serif"/>
          <w:sz w:val="24"/>
        </w:rPr>
        <w:t>5</w:t>
      </w:r>
      <w:r>
        <w:rPr>
          <w:rFonts w:ascii="宋体" w:hAnsi="宋体" w:cs="宋体" w:eastAsia="宋体"/>
          <w:sz w:val="24"/>
        </w:rPr>
        <w:t>）</w:t>
      </w:r>
      <w:r>
        <w:rPr>
          <w:rFonts w:ascii="宋体" w:hAnsi="宋体" w:cs="宋体" w:eastAsia="宋体"/>
          <w:sz w:val="24"/>
        </w:rPr>
        <w:t>乙方的行为导致本合同实质无法履行。</w:t>
      </w:r>
    </w:p>
    <w:p>
      <w:pPr>
        <w:pStyle w:val="null3"/>
        <w:numPr>
          <w:ilvl w:val="0"/>
          <w:numId w:val="2"/>
        </w:numPr>
        <w:jc w:val="both"/>
      </w:pPr>
      <w:r>
        <w:rPr>
          <w:rFonts w:ascii="宋体" w:hAnsi="宋体" w:cs="宋体" w:eastAsia="宋体"/>
          <w:sz w:val="24"/>
        </w:rPr>
        <w:t>通知与送达</w:t>
      </w:r>
    </w:p>
    <w:p>
      <w:pPr>
        <w:pStyle w:val="null3"/>
        <w:ind w:firstLine="480"/>
        <w:jc w:val="both"/>
      </w:pPr>
      <w:r>
        <w:rPr>
          <w:rFonts w:ascii="calibri, sans-serif" w:hAnsi="calibri, sans-serif" w:cs="calibri, sans-serif" w:eastAsia="calibri, sans-serif"/>
          <w:sz w:val="24"/>
        </w:rPr>
        <w:t xml:space="preserve">15.1 </w:t>
      </w:r>
      <w:r>
        <w:rPr>
          <w:rFonts w:ascii="宋体" w:hAnsi="宋体" w:cs="宋体" w:eastAsia="宋体"/>
          <w:sz w:val="24"/>
        </w:rPr>
        <w:t>各方发出与本合同有关的通知或回复，应以专人送递、特快专递、电子邮件等方式送至指定联系人。</w:t>
      </w:r>
      <w:r>
        <w:rPr>
          <w:rFonts w:ascii="宋体" w:hAnsi="宋体" w:cs="宋体" w:eastAsia="宋体"/>
          <w:sz w:val="24"/>
        </w:rPr>
        <w:t>前述送达方式具有同等法律效力。</w:t>
      </w:r>
      <w:r>
        <w:rPr>
          <w:rFonts w:ascii="宋体" w:hAnsi="宋体" w:cs="宋体" w:eastAsia="宋体"/>
          <w:sz w:val="24"/>
        </w:rPr>
        <w:t>如果以专人送递或特快专递发送，以送达至以下约定地点或双方指定的其他地址并经对方签收视为送达（但对方故意不签收时，送达至前述地址即视为送达）；以电子邮件发出的，以电子邮件进入对方邮件系统时视为送达。双方指定</w:t>
      </w:r>
      <w:r>
        <w:rPr>
          <w:rFonts w:ascii="宋体" w:hAnsi="宋体" w:cs="宋体" w:eastAsia="宋体"/>
          <w:sz w:val="24"/>
        </w:rPr>
        <w:t>联系人和</w:t>
      </w:r>
      <w:r>
        <w:rPr>
          <w:rFonts w:ascii="宋体" w:hAnsi="宋体" w:cs="宋体" w:eastAsia="宋体"/>
          <w:sz w:val="24"/>
        </w:rPr>
        <w:t>联系方式如下：</w:t>
      </w:r>
    </w:p>
    <w:p>
      <w:pPr>
        <w:pStyle w:val="null3"/>
        <w:ind w:firstLine="480"/>
        <w:jc w:val="both"/>
      </w:pPr>
      <w:r>
        <w:rPr>
          <w:rFonts w:ascii="宋体" w:hAnsi="宋体" w:cs="宋体" w:eastAsia="宋体"/>
          <w:sz w:val="24"/>
        </w:rPr>
        <w:t>甲方指定联系人：【石宇超】</w:t>
      </w:r>
    </w:p>
    <w:p>
      <w:pPr>
        <w:pStyle w:val="null3"/>
        <w:ind w:firstLine="480"/>
        <w:jc w:val="both"/>
      </w:pPr>
      <w:r>
        <w:rPr>
          <w:rFonts w:ascii="宋体" w:hAnsi="宋体" w:cs="宋体" w:eastAsia="宋体"/>
          <w:sz w:val="24"/>
        </w:rPr>
        <w:t>地址：【北京市西城区金融街月坛中心</w:t>
      </w:r>
      <w:r>
        <w:rPr>
          <w:rFonts w:ascii="calibri, sans-serif" w:hAnsi="calibri, sans-serif" w:cs="calibri, sans-serif" w:eastAsia="calibri, sans-serif"/>
          <w:sz w:val="24"/>
        </w:rPr>
        <w:t>7</w:t>
      </w:r>
      <w:r>
        <w:rPr>
          <w:rFonts w:ascii="宋体" w:hAnsi="宋体" w:cs="宋体" w:eastAsia="宋体"/>
          <w:sz w:val="24"/>
        </w:rPr>
        <w:t>号楼】</w:t>
      </w:r>
    </w:p>
    <w:p>
      <w:pPr>
        <w:pStyle w:val="null3"/>
        <w:ind w:firstLine="480"/>
        <w:jc w:val="both"/>
      </w:pPr>
      <w:r>
        <w:rPr>
          <w:rFonts w:ascii="宋体" w:hAnsi="宋体" w:cs="宋体" w:eastAsia="宋体"/>
          <w:sz w:val="24"/>
        </w:rPr>
        <w:t>电话：【</w:t>
      </w:r>
      <w:r>
        <w:rPr>
          <w:rFonts w:ascii="calibri, sans-serif" w:hAnsi="calibri, sans-serif" w:cs="calibri, sans-serif" w:eastAsia="calibri, sans-serif"/>
          <w:sz w:val="24"/>
        </w:rPr>
        <w:t>13331030530</w:t>
      </w:r>
      <w:r>
        <w:rPr>
          <w:rFonts w:ascii="宋体" w:hAnsi="宋体" w:cs="宋体" w:eastAsia="宋体"/>
          <w:sz w:val="24"/>
        </w:rPr>
        <w:t>】</w:t>
      </w:r>
    </w:p>
    <w:p>
      <w:pPr>
        <w:pStyle w:val="null3"/>
        <w:ind w:firstLine="480"/>
        <w:jc w:val="both"/>
      </w:pPr>
      <w:r>
        <w:rPr>
          <w:rFonts w:ascii="宋体" w:hAnsi="宋体" w:cs="宋体" w:eastAsia="宋体"/>
          <w:sz w:val="24"/>
        </w:rPr>
        <w:t>电子邮件：【</w:t>
      </w:r>
      <w:r>
        <w:rPr>
          <w:rFonts w:ascii="calibri, sans-serif" w:hAnsi="calibri, sans-serif" w:cs="calibri, sans-serif" w:eastAsia="calibri, sans-serif"/>
          <w:sz w:val="24"/>
        </w:rPr>
        <w:t>shiyuchao@nucc.com</w:t>
      </w:r>
      <w:r>
        <w:rPr>
          <w:rFonts w:ascii="宋体" w:hAnsi="宋体" w:cs="宋体" w:eastAsia="宋体"/>
          <w:sz w:val="24"/>
        </w:rPr>
        <w:t>】</w:t>
      </w:r>
    </w:p>
    <w:p>
      <w:pPr>
        <w:pStyle w:val="null3"/>
        <w:ind w:firstLine="480"/>
        <w:jc w:val="both"/>
      </w:pPr>
      <w:r>
        <w:rPr>
          <w:rFonts w:ascii="宋体" w:hAnsi="宋体" w:cs="宋体" w:eastAsia="宋体"/>
          <w:sz w:val="24"/>
        </w:rPr>
        <w:t>乙方指定联系人：【】</w:t>
      </w:r>
    </w:p>
    <w:p>
      <w:pPr>
        <w:pStyle w:val="null3"/>
        <w:ind w:firstLine="480"/>
        <w:jc w:val="both"/>
      </w:pPr>
      <w:r>
        <w:rPr>
          <w:rFonts w:ascii="宋体" w:hAnsi="宋体" w:cs="宋体" w:eastAsia="宋体"/>
          <w:sz w:val="24"/>
        </w:rPr>
        <w:t>地址：【】</w:t>
      </w:r>
    </w:p>
    <w:p>
      <w:pPr>
        <w:pStyle w:val="null3"/>
        <w:ind w:firstLine="480"/>
        <w:jc w:val="both"/>
      </w:pPr>
      <w:r>
        <w:rPr>
          <w:rFonts w:ascii="宋体" w:hAnsi="宋体" w:cs="宋体" w:eastAsia="宋体"/>
          <w:sz w:val="24"/>
        </w:rPr>
        <w:t>电话：【】</w:t>
      </w:r>
    </w:p>
    <w:p>
      <w:pPr>
        <w:pStyle w:val="null3"/>
        <w:ind w:firstLine="480"/>
        <w:jc w:val="both"/>
      </w:pPr>
      <w:r>
        <w:rPr>
          <w:rFonts w:ascii="宋体" w:hAnsi="宋体" w:cs="宋体" w:eastAsia="宋体"/>
          <w:sz w:val="24"/>
        </w:rPr>
        <w:t>电子邮件：【】</w:t>
      </w:r>
    </w:p>
    <w:p>
      <w:pPr>
        <w:pStyle w:val="null3"/>
        <w:ind w:firstLine="480"/>
        <w:jc w:val="both"/>
      </w:pPr>
      <w:r>
        <w:rPr>
          <w:rFonts w:ascii="calibri, sans-serif" w:hAnsi="calibri, sans-serif" w:cs="calibri, sans-serif" w:eastAsia="calibri, sans-serif"/>
          <w:sz w:val="24"/>
        </w:rPr>
        <w:t xml:space="preserve">15.2 </w:t>
      </w:r>
      <w:r>
        <w:rPr>
          <w:rFonts w:ascii="宋体" w:hAnsi="宋体" w:cs="宋体" w:eastAsia="宋体"/>
          <w:sz w:val="24"/>
        </w:rPr>
        <w:t>一方指定联系人或联系方式变更的，应提前三个工作日书面通知对方。</w:t>
      </w:r>
    </w:p>
    <w:p>
      <w:pPr>
        <w:pStyle w:val="null3"/>
        <w:numPr>
          <w:ilvl w:val="0"/>
          <w:numId w:val="2"/>
        </w:numPr>
        <w:ind w:right="-15"/>
        <w:jc w:val="both"/>
      </w:pPr>
      <w:r>
        <w:rPr>
          <w:rFonts w:ascii="&quot;times new roman&quot;, serif" w:hAnsi="&quot;times new roman&quot;, serif" w:cs="&quot;times new roman&quot;, serif" w:eastAsia="&quot;times new roman&quot;, serif"/>
          <w:sz w:val="24"/>
        </w:rPr>
        <w:t>法律适用及争议解决</w:t>
      </w:r>
    </w:p>
    <w:p>
      <w:pPr>
        <w:pStyle w:val="null3"/>
        <w:ind w:firstLine="480"/>
        <w:jc w:val="both"/>
      </w:pPr>
      <w:r>
        <w:rPr>
          <w:rFonts w:ascii="calibri, sans-serif" w:hAnsi="calibri, sans-serif" w:cs="calibri, sans-serif" w:eastAsia="calibri, sans-serif"/>
          <w:sz w:val="24"/>
        </w:rPr>
        <w:t xml:space="preserve">16.1 </w:t>
      </w:r>
      <w:r>
        <w:rPr>
          <w:rFonts w:ascii="宋体" w:hAnsi="宋体" w:cs="宋体" w:eastAsia="宋体"/>
          <w:sz w:val="24"/>
        </w:rPr>
        <w:t>本合同的订立、效力、履行、解释、争议解决等适用中华人民共和国法律法规。</w:t>
      </w:r>
    </w:p>
    <w:p>
      <w:pPr>
        <w:pStyle w:val="null3"/>
        <w:ind w:firstLine="480"/>
        <w:jc w:val="both"/>
      </w:pPr>
      <w:r>
        <w:rPr>
          <w:rFonts w:ascii="calibri, sans-serif" w:hAnsi="calibri, sans-serif" w:cs="calibri, sans-serif" w:eastAsia="calibri, sans-serif"/>
          <w:sz w:val="24"/>
        </w:rPr>
        <w:t xml:space="preserve">16.2 </w:t>
      </w:r>
      <w:r>
        <w:rPr>
          <w:rFonts w:ascii="宋体" w:hAnsi="宋体" w:cs="宋体" w:eastAsia="宋体"/>
          <w:sz w:val="24"/>
        </w:rPr>
        <w:t>凡因本合同引起的或与本合同有关的任何争议，双方均应友好协商解决。经友好协商不能达成一致意见时，双方同意提交</w:t>
      </w:r>
      <w:r>
        <w:rPr>
          <w:rFonts w:ascii="宋体" w:hAnsi="宋体" w:cs="宋体" w:eastAsia="宋体"/>
          <w:sz w:val="24"/>
        </w:rPr>
        <w:t>至</w:t>
      </w:r>
      <w:r>
        <w:rPr>
          <w:rFonts w:ascii="宋体" w:hAnsi="宋体" w:cs="宋体" w:eastAsia="宋体"/>
          <w:sz w:val="24"/>
        </w:rPr>
        <w:t>甲方住所地有管辖权的人民法院诉讼解决。</w:t>
      </w:r>
    </w:p>
    <w:p>
      <w:pPr>
        <w:pStyle w:val="null3"/>
        <w:ind w:firstLine="480"/>
        <w:jc w:val="both"/>
      </w:pPr>
      <w:r>
        <w:rPr>
          <w:rFonts w:ascii="calibri, sans-serif" w:hAnsi="calibri, sans-serif" w:cs="calibri, sans-serif" w:eastAsia="calibri, sans-serif"/>
          <w:sz w:val="24"/>
        </w:rPr>
        <w:t xml:space="preserve">16.3 </w:t>
      </w:r>
      <w:r>
        <w:rPr>
          <w:rFonts w:ascii="宋体" w:hAnsi="宋体" w:cs="宋体" w:eastAsia="宋体"/>
          <w:sz w:val="24"/>
        </w:rPr>
        <w:t>在协商</w:t>
      </w:r>
      <w:r>
        <w:rPr>
          <w:rFonts w:ascii="宋体" w:hAnsi="宋体" w:cs="宋体" w:eastAsia="宋体"/>
          <w:sz w:val="24"/>
        </w:rPr>
        <w:t>或</w:t>
      </w:r>
      <w:r>
        <w:rPr>
          <w:rFonts w:ascii="宋体" w:hAnsi="宋体" w:cs="宋体" w:eastAsia="宋体"/>
          <w:sz w:val="24"/>
        </w:rPr>
        <w:t>诉讼期间，本合同不涉及争议的条款仍须履行。</w:t>
      </w:r>
    </w:p>
    <w:p>
      <w:pPr>
        <w:pStyle w:val="null3"/>
        <w:numPr>
          <w:ilvl w:val="0"/>
          <w:numId w:val="2"/>
        </w:numPr>
        <w:jc w:val="both"/>
      </w:pPr>
      <w:r>
        <w:rPr>
          <w:rFonts w:ascii="宋体" w:hAnsi="宋体" w:cs="宋体" w:eastAsia="宋体"/>
          <w:sz w:val="24"/>
        </w:rPr>
        <w:t>权利的保留</w:t>
      </w:r>
    </w:p>
    <w:p>
      <w:pPr>
        <w:pStyle w:val="null3"/>
        <w:ind w:firstLine="480"/>
        <w:jc w:val="both"/>
      </w:pPr>
      <w:r>
        <w:rPr>
          <w:rFonts w:ascii="calibri, sans-serif" w:hAnsi="calibri, sans-serif" w:cs="calibri, sans-serif" w:eastAsia="calibri, sans-serif"/>
          <w:sz w:val="24"/>
        </w:rPr>
        <w:t xml:space="preserve">17.1 </w:t>
      </w:r>
      <w:r>
        <w:rPr>
          <w:rFonts w:ascii="宋体" w:hAnsi="宋体" w:cs="宋体" w:eastAsia="宋体"/>
          <w:sz w:val="24"/>
        </w:rPr>
        <w:t>任何一方没有行使其权利或没有就违约方的违约行为采取行动，不应被视为是对其权利的放弃或对追究另一方违约责任权利的放弃。任何一方放弃针对违约方的某种权利，或放弃追究违约方的某种责任，不应视为对其他权利或追究其他责任的放弃。</w:t>
      </w:r>
    </w:p>
    <w:p>
      <w:pPr>
        <w:pStyle w:val="null3"/>
        <w:ind w:firstLine="480"/>
        <w:jc w:val="both"/>
      </w:pPr>
      <w:r>
        <w:rPr>
          <w:rFonts w:ascii="calibri, sans-serif" w:hAnsi="calibri, sans-serif" w:cs="calibri, sans-serif" w:eastAsia="calibri, sans-serif"/>
          <w:sz w:val="24"/>
        </w:rPr>
        <w:t xml:space="preserve">17.2 </w:t>
      </w:r>
      <w:r>
        <w:rPr>
          <w:rFonts w:ascii="宋体" w:hAnsi="宋体" w:cs="宋体" w:eastAsia="宋体"/>
          <w:sz w:val="24"/>
        </w:rPr>
        <w:t>如果本合同部分条款依据现行有关法律法规被确认为无效或无法履行，但不影响本合同其他条款效力的，本合同其他条款继续有效。双方可依据现行法律法规，遵照本合同的原则和精神，拟定补充协议，补全相关约定。</w:t>
      </w:r>
    </w:p>
    <w:p>
      <w:pPr>
        <w:pStyle w:val="null3"/>
        <w:ind w:firstLine="480"/>
        <w:jc w:val="both"/>
      </w:pPr>
      <w:r>
        <w:rPr>
          <w:rFonts w:ascii="calibri, sans-serif" w:hAnsi="calibri, sans-serif" w:cs="calibri, sans-serif" w:eastAsia="calibri, sans-serif"/>
          <w:sz w:val="24"/>
        </w:rPr>
        <w:t xml:space="preserve">17.3 </w:t>
      </w:r>
      <w:r>
        <w:rPr>
          <w:rFonts w:ascii="宋体" w:hAnsi="宋体" w:cs="宋体" w:eastAsia="宋体"/>
          <w:sz w:val="24"/>
        </w:rPr>
        <w:t>在本合同履行期间，因中国法律法规的变化致使本合同部分条款相冲突、无效时，双方应协商尽快修改相关条款。</w:t>
      </w:r>
    </w:p>
    <w:p>
      <w:pPr>
        <w:pStyle w:val="null3"/>
        <w:numPr>
          <w:ilvl w:val="0"/>
          <w:numId w:val="2"/>
        </w:numPr>
        <w:ind w:left="840"/>
      </w:pPr>
      <w:r>
        <w:rPr>
          <w:rFonts w:ascii="宋体" w:hAnsi="宋体" w:cs="宋体" w:eastAsia="宋体"/>
          <w:sz w:val="24"/>
        </w:rPr>
        <w:t>其他</w:t>
      </w:r>
    </w:p>
    <w:p>
      <w:pPr>
        <w:pStyle w:val="null3"/>
        <w:ind w:firstLine="480"/>
        <w:jc w:val="both"/>
      </w:pPr>
      <w:r>
        <w:rPr>
          <w:rFonts w:ascii="calibri, sans-serif" w:hAnsi="calibri, sans-serif" w:cs="calibri, sans-serif" w:eastAsia="calibri, sans-serif"/>
          <w:sz w:val="24"/>
        </w:rPr>
        <w:t xml:space="preserve">18.1 </w:t>
      </w:r>
      <w:r>
        <w:rPr>
          <w:rFonts w:ascii="宋体" w:hAnsi="宋体" w:cs="宋体" w:eastAsia="宋体"/>
          <w:sz w:val="24"/>
        </w:rPr>
        <w:t>本合同自甲乙双方加盖公章或合同专用章后生效，合同将保持有效至双方履行</w:t>
      </w:r>
      <w:r>
        <w:rPr>
          <w:rFonts w:ascii="宋体" w:hAnsi="宋体" w:cs="宋体" w:eastAsia="宋体"/>
          <w:sz w:val="24"/>
        </w:rPr>
        <w:t>完毕</w:t>
      </w:r>
      <w:r>
        <w:rPr>
          <w:rFonts w:ascii="宋体" w:hAnsi="宋体" w:cs="宋体" w:eastAsia="宋体"/>
          <w:sz w:val="24"/>
        </w:rPr>
        <w:t>合同项下的所有义务，合同款项和索赔已结清。需持续或长久有效的条款，以该条款的约定为准。</w:t>
      </w:r>
    </w:p>
    <w:p>
      <w:pPr>
        <w:pStyle w:val="null3"/>
        <w:ind w:firstLine="480"/>
        <w:jc w:val="both"/>
      </w:pPr>
      <w:r>
        <w:rPr>
          <w:rFonts w:ascii="calibri, sans-serif" w:hAnsi="calibri, sans-serif" w:cs="calibri, sans-serif" w:eastAsia="calibri, sans-serif"/>
          <w:sz w:val="24"/>
        </w:rPr>
        <w:t xml:space="preserve">18.2 </w:t>
      </w:r>
      <w:r>
        <w:rPr>
          <w:rFonts w:ascii="宋体" w:hAnsi="宋体" w:cs="宋体" w:eastAsia="宋体"/>
          <w:sz w:val="24"/>
        </w:rPr>
        <w:t>本合同一式肆份，双方各持贰份，具有同等法律效力。</w:t>
      </w:r>
    </w:p>
    <w:p>
      <w:pPr>
        <w:pStyle w:val="null3"/>
        <w:ind w:firstLine="480"/>
        <w:jc w:val="both"/>
      </w:pPr>
      <w:r>
        <w:rPr>
          <w:rFonts w:ascii="calibri, sans-serif" w:hAnsi="calibri, sans-serif" w:cs="calibri, sans-serif" w:eastAsia="calibri, sans-serif"/>
          <w:sz w:val="24"/>
        </w:rPr>
        <w:t xml:space="preserve">18.3 </w:t>
      </w:r>
      <w:r>
        <w:rPr>
          <w:rFonts w:ascii="宋体" w:hAnsi="宋体" w:cs="宋体" w:eastAsia="宋体"/>
          <w:sz w:val="24"/>
        </w:rPr>
        <w:t>本合同生效后，除本合同另有约定外，双方均不得随意变更或解除合同。如有未尽事宜，双方可签署补充协议或用其他书面方式进行约定。</w:t>
      </w:r>
    </w:p>
    <w:p>
      <w:pPr>
        <w:pStyle w:val="null3"/>
        <w:ind w:firstLine="480"/>
        <w:jc w:val="both"/>
      </w:pPr>
      <w:r>
        <w:rPr>
          <w:rFonts w:ascii="calibri, sans-serif" w:hAnsi="calibri, sans-serif" w:cs="calibri, sans-serif" w:eastAsia="calibri, sans-serif"/>
          <w:sz w:val="24"/>
        </w:rPr>
        <w:t xml:space="preserve">18.4 </w:t>
      </w:r>
      <w:r>
        <w:rPr>
          <w:rFonts w:ascii="宋体" w:hAnsi="宋体" w:cs="宋体" w:eastAsia="宋体"/>
          <w:sz w:val="24"/>
        </w:rPr>
        <w:t>本合同附件包括：</w:t>
      </w:r>
    </w:p>
    <w:p>
      <w:pPr>
        <w:pStyle w:val="null3"/>
        <w:ind w:firstLine="480"/>
        <w:jc w:val="both"/>
      </w:pPr>
      <w:r>
        <w:rPr>
          <w:rFonts w:ascii="宋体" w:hAnsi="宋体" w:cs="宋体" w:eastAsia="宋体"/>
          <w:sz w:val="24"/>
        </w:rPr>
        <w:t>附件</w:t>
      </w:r>
      <w:r>
        <w:rPr>
          <w:rFonts w:ascii="&quot;times new roman&quot;, serif" w:hAnsi="&quot;times new roman&quot;, serif" w:cs="&quot;times new roman&quot;, serif" w:eastAsia="&quot;times new roman&quot;, serif"/>
          <w:sz w:val="24"/>
        </w:rPr>
        <w:t>1</w:t>
      </w:r>
      <w:r>
        <w:rPr>
          <w:rFonts w:ascii="宋体" w:hAnsi="宋体" w:cs="宋体" w:eastAsia="宋体"/>
          <w:sz w:val="24"/>
        </w:rPr>
        <w:t>《价格清单》</w:t>
      </w:r>
    </w:p>
    <w:p>
      <w:pPr>
        <w:pStyle w:val="null3"/>
        <w:ind w:firstLine="480"/>
        <w:jc w:val="both"/>
      </w:pPr>
      <w:r>
        <w:rPr>
          <w:rFonts w:ascii="宋体" w:hAnsi="宋体" w:cs="宋体" w:eastAsia="宋体"/>
          <w:sz w:val="24"/>
        </w:rPr>
        <w:t>附件</w:t>
      </w:r>
      <w:r>
        <w:rPr>
          <w:rFonts w:ascii="&quot;times new roman&quot;, serif" w:hAnsi="&quot;times new roman&quot;, serif" w:cs="&quot;times new roman&quot;, serif" w:eastAsia="&quot;times new roman&quot;, serif"/>
          <w:sz w:val="24"/>
        </w:rPr>
        <w:t>2</w:t>
      </w:r>
      <w:r>
        <w:rPr>
          <w:rFonts w:ascii="宋体" w:hAnsi="宋体" w:cs="宋体" w:eastAsia="宋体"/>
          <w:sz w:val="24"/>
        </w:rPr>
        <w:t>《甲方采购需求书》</w:t>
      </w:r>
    </w:p>
    <w:p>
      <w:pPr>
        <w:pStyle w:val="null3"/>
        <w:ind w:firstLine="480"/>
        <w:jc w:val="both"/>
      </w:pPr>
      <w:r>
        <w:rPr>
          <w:rFonts w:ascii="宋体" w:hAnsi="宋体" w:cs="宋体" w:eastAsia="宋体"/>
          <w:sz w:val="24"/>
        </w:rPr>
        <w:t>附件</w:t>
      </w:r>
      <w:r>
        <w:rPr>
          <w:rFonts w:ascii="calibri, sans-serif" w:hAnsi="calibri, sans-serif" w:cs="calibri, sans-serif" w:eastAsia="calibri, sans-serif"/>
          <w:sz w:val="24"/>
        </w:rPr>
        <w:t>3</w:t>
      </w:r>
      <w:r>
        <w:rPr>
          <w:rFonts w:ascii="宋体" w:hAnsi="宋体" w:cs="宋体" w:eastAsia="宋体"/>
          <w:sz w:val="24"/>
        </w:rPr>
        <w:t>《验收相关单据》</w:t>
      </w:r>
    </w:p>
    <w:p>
      <w:pPr>
        <w:pStyle w:val="null3"/>
        <w:ind w:firstLine="480"/>
        <w:jc w:val="both"/>
      </w:pPr>
      <w:r>
        <w:rPr>
          <w:rFonts w:ascii="宋体" w:hAnsi="宋体" w:cs="宋体" w:eastAsia="宋体"/>
          <w:sz w:val="24"/>
        </w:rPr>
        <w:t>附件4《其他补充条款》</w:t>
      </w:r>
    </w:p>
    <w:p>
      <w:pPr>
        <w:pStyle w:val="null3"/>
        <w:ind w:firstLine="480"/>
        <w:jc w:val="both"/>
      </w:pPr>
      <w:r>
        <w:rPr>
          <w:rFonts w:ascii="宋体" w:hAnsi="宋体" w:cs="宋体" w:eastAsia="宋体"/>
          <w:sz w:val="24"/>
        </w:rPr>
        <w:t>附件5《安全保密协议》</w:t>
      </w:r>
    </w:p>
    <w:p>
      <w:pPr>
        <w:pStyle w:val="null3"/>
        <w:jc w:val="both"/>
      </w:pPr>
      <w:r>
        <w:rPr>
          <w:rFonts w:ascii="宋体" w:hAnsi="宋体" w:cs="宋体" w:eastAsia="宋体"/>
          <w:sz w:val="24"/>
        </w:rPr>
        <w:t>（以下无正文）</w:t>
      </w:r>
    </w:p>
    <w:p>
      <w:pPr>
        <w:pStyle w:val="null3"/>
        <w:ind w:left="840"/>
      </w:pPr>
      <w:r>
        <w:rPr>
          <w:rFonts w:ascii="宋体" w:hAnsi="宋体" w:cs="宋体" w:eastAsia="宋体"/>
          <w:sz w:val="24"/>
          <w:b/>
        </w:rPr>
        <w:t>双方盖章：</w:t>
      </w:r>
    </w:p>
    <w:tbl>
      <w:tblPr>
        <w:tblW w:w="0" w:type="auto"/>
        <w:tblBorders>
          <w:top w:val="single"/>
          <w:left w:val="single"/>
          <w:bottom w:val="single"/>
          <w:right w:val="single"/>
          <w:insideH w:val="single"/>
          <w:insideV w:val="single"/>
        </w:tblBorders>
      </w:tblPr>
      <w:tblGrid>
        <w:gridCol w:w="4153"/>
        <w:gridCol w:w="4153"/>
      </w:tblGrid>
      <w:tr>
        <w:tc>
          <w:tcPr>
            <w:tcW w:type="dxa" w:w="4153"/>
            <w:tcMar>
              <w:top w:type="dxa" w:w="0"/>
              <w:left w:type="dxa" w:w="105"/>
              <w:bottom w:type="dxa" w:w="0"/>
              <w:right w:type="dxa" w:w="105"/>
            </w:tcMar>
            <w:vAlign w:val="top"/>
          </w:tcPr>
          <w:p>
            <w:pPr>
              <w:pStyle w:val="null3"/>
              <w:ind w:right="-15"/>
              <w:jc w:val="both"/>
            </w:pPr>
            <w:r>
              <w:rPr>
                <w:rFonts w:ascii="宋体" w:hAnsi="宋体" w:cs="宋体" w:eastAsia="宋体"/>
                <w:sz w:val="24"/>
                <w:b/>
              </w:rPr>
              <w:t>甲方</w:t>
            </w:r>
            <w:r>
              <w:rPr>
                <w:rFonts w:ascii="宋体" w:hAnsi="宋体" w:cs="宋体" w:eastAsia="宋体"/>
                <w:sz w:val="24"/>
                <w:b/>
              </w:rPr>
              <w:t>：</w:t>
            </w:r>
            <w:r>
              <w:rPr>
                <w:rFonts w:ascii="宋体" w:hAnsi="宋体" w:cs="宋体" w:eastAsia="宋体"/>
                <w:sz w:val="24"/>
                <w:b/>
              </w:rPr>
              <w:t>网联清算有限公司</w:t>
            </w:r>
            <w:r>
              <w:rPr>
                <w:rFonts w:ascii="宋体" w:hAnsi="宋体" w:cs="宋体" w:eastAsia="宋体"/>
                <w:sz w:val="24"/>
              </w:rPr>
              <w:t>（盖</w:t>
            </w:r>
            <w:r>
              <w:rPr>
                <w:rFonts w:ascii="宋体" w:hAnsi="宋体" w:cs="宋体" w:eastAsia="宋体"/>
                <w:sz w:val="24"/>
              </w:rPr>
              <w:t>章</w:t>
            </w:r>
            <w:r>
              <w:rPr>
                <w:rFonts w:ascii="宋体" w:hAnsi="宋体" w:cs="宋体" w:eastAsia="宋体"/>
                <w:sz w:val="24"/>
              </w:rPr>
              <w:t>）</w:t>
            </w:r>
          </w:p>
          <w:p>
            <w:pPr>
              <w:pStyle w:val="null3"/>
              <w:ind w:right="-15"/>
              <w:jc w:val="both"/>
            </w:pPr>
            <w:r>
              <w:rPr>
                <w:rFonts w:ascii="宋体" w:hAnsi="宋体" w:cs="宋体" w:eastAsia="宋体"/>
                <w:sz w:val="24"/>
              </w:rPr>
              <w:t>签署日</w:t>
            </w:r>
            <w:r>
              <w:rPr>
                <w:rFonts w:ascii="宋体" w:hAnsi="宋体" w:cs="宋体" w:eastAsia="宋体"/>
                <w:sz w:val="24"/>
              </w:rPr>
              <w:t>期</w:t>
            </w:r>
            <w:r>
              <w:rPr>
                <w:rFonts w:ascii="宋体" w:hAnsi="宋体" w:cs="宋体" w:eastAsia="宋体"/>
                <w:sz w:val="24"/>
              </w:rPr>
              <w:t>：</w:t>
            </w:r>
          </w:p>
        </w:tc>
        <w:tc>
          <w:tcPr>
            <w:tcW w:type="dxa" w:w="4153"/>
            <w:tcMar>
              <w:top w:type="dxa" w:w="0"/>
              <w:left w:type="dxa" w:w="105"/>
              <w:bottom w:type="dxa" w:w="0"/>
              <w:right w:type="dxa" w:w="105"/>
            </w:tcMar>
            <w:vAlign w:val="top"/>
          </w:tcPr>
          <w:p>
            <w:pPr>
              <w:pStyle w:val="null3"/>
              <w:ind w:right="-15"/>
              <w:jc w:val="both"/>
            </w:pPr>
            <w:r>
              <w:rPr>
                <w:rFonts w:ascii="宋体" w:hAnsi="宋体" w:cs="宋体" w:eastAsia="宋体"/>
                <w:sz w:val="24"/>
                <w:b/>
              </w:rPr>
              <w:t>乙方</w:t>
            </w:r>
            <w:r>
              <w:rPr>
                <w:rFonts w:ascii="宋体" w:hAnsi="宋体" w:cs="宋体" w:eastAsia="宋体"/>
                <w:sz w:val="24"/>
                <w:b/>
              </w:rPr>
              <w:t>：【</w:t>
            </w:r>
            <w:r>
              <w:rPr>
                <w:rFonts w:ascii="宋体" w:hAnsi="宋体" w:cs="宋体" w:eastAsia="宋体"/>
                <w:sz w:val="24"/>
                <w:b/>
              </w:rPr>
              <w:t>】</w:t>
            </w:r>
            <w:r>
              <w:rPr>
                <w:rFonts w:ascii="宋体" w:hAnsi="宋体" w:cs="宋体" w:eastAsia="宋体"/>
                <w:sz w:val="24"/>
              </w:rPr>
              <w:t>（盖</w:t>
            </w:r>
            <w:r>
              <w:rPr>
                <w:rFonts w:ascii="宋体" w:hAnsi="宋体" w:cs="宋体" w:eastAsia="宋体"/>
                <w:sz w:val="24"/>
              </w:rPr>
              <w:t>章</w:t>
            </w:r>
            <w:r>
              <w:rPr>
                <w:rFonts w:ascii="宋体" w:hAnsi="宋体" w:cs="宋体" w:eastAsia="宋体"/>
                <w:sz w:val="24"/>
              </w:rPr>
              <w:t>）</w:t>
            </w:r>
          </w:p>
          <w:p>
            <w:pPr>
              <w:pStyle w:val="null3"/>
              <w:ind w:right="-15"/>
              <w:jc w:val="both"/>
            </w:pPr>
            <w:r>
              <w:rPr>
                <w:rFonts w:ascii="宋体" w:hAnsi="宋体" w:cs="宋体" w:eastAsia="宋体"/>
                <w:sz w:val="24"/>
              </w:rPr>
              <w:t>签署日</w:t>
            </w:r>
            <w:r>
              <w:rPr>
                <w:rFonts w:ascii="宋体" w:hAnsi="宋体" w:cs="宋体" w:eastAsia="宋体"/>
                <w:sz w:val="24"/>
              </w:rPr>
              <w:t>期</w:t>
            </w:r>
            <w:r>
              <w:rPr>
                <w:rFonts w:ascii="宋体" w:hAnsi="宋体" w:cs="宋体" w:eastAsia="宋体"/>
                <w:sz w:val="24"/>
              </w:rPr>
              <w:t>：</w:t>
            </w:r>
          </w:p>
        </w:tc>
      </w:tr>
    </w:tbl>
    <w:p>
      <w:pPr>
        <w:pStyle w:val="null3"/>
      </w:pPr>
      <w:r>
        <w:rPr>
          <w:rFonts w:ascii="宋体" w:hAnsi="宋体" w:cs="宋体" w:eastAsia="宋体"/>
          <w:sz w:val="24"/>
          <w:b/>
        </w:rPr>
        <w:t>附件</w:t>
      </w:r>
      <w:r>
        <w:rPr>
          <w:rFonts w:ascii="calibri, sans-serif" w:hAnsi="calibri, sans-serif" w:cs="calibri, sans-serif" w:eastAsia="calibri, sans-serif"/>
          <w:sz w:val="24"/>
          <w:b/>
        </w:rPr>
        <w:t>4</w:t>
      </w:r>
      <w:r>
        <w:rPr>
          <w:rFonts w:ascii="宋体" w:hAnsi="宋体" w:cs="宋体" w:eastAsia="宋体"/>
          <w:sz w:val="24"/>
          <w:b/>
        </w:rPr>
        <w:t>：其他补充条款</w:t>
      </w:r>
    </w:p>
    <w:p>
      <w:pPr>
        <w:pStyle w:val="null3"/>
        <w:ind w:firstLine="480"/>
        <w:jc w:val="both"/>
      </w:pPr>
      <w:r>
        <w:rPr>
          <w:rFonts w:ascii="宋体" w:hAnsi="宋体" w:cs="宋体" w:eastAsia="宋体"/>
          <w:sz w:val="24"/>
        </w:rPr>
        <w:t>双方一致同意，乙方还应根据项目实际情况履行如下义务：</w:t>
      </w:r>
    </w:p>
    <w:p>
      <w:pPr>
        <w:pStyle w:val="null3"/>
        <w:ind w:firstLine="480"/>
        <w:jc w:val="both"/>
      </w:pPr>
      <w:r>
        <w:rPr>
          <w:rFonts w:ascii="&quot;times new roman&quot;, serif" w:hAnsi="&quot;times new roman&quot;, serif" w:cs="&quot;times new roman&quot;, serif" w:eastAsia="&quot;times new roman&quot;, serif"/>
          <w:sz w:val="24"/>
        </w:rPr>
        <w:t>1</w:t>
      </w:r>
      <w:r>
        <w:rPr>
          <w:rFonts w:ascii="宋体" w:hAnsi="宋体" w:cs="宋体" w:eastAsia="宋体"/>
          <w:sz w:val="24"/>
        </w:rPr>
        <w:t>、 乙方必须自行完成本合同要求的项目工作，不得将项目相关工作转包或变相转包、分包给其他任何第三方进行。</w:t>
      </w:r>
    </w:p>
    <w:p>
      <w:pPr>
        <w:pStyle w:val="null3"/>
        <w:ind w:firstLine="480"/>
        <w:jc w:val="both"/>
      </w:pPr>
      <w:r>
        <w:rPr>
          <w:rFonts w:ascii="&quot;times new roman&quot;, serif" w:hAnsi="&quot;times new roman&quot;, serif" w:cs="&quot;times new roman&quot;, serif" w:eastAsia="&quot;times new roman&quot;, serif"/>
          <w:sz w:val="24"/>
        </w:rPr>
        <w:t>2</w:t>
      </w:r>
      <w:r>
        <w:rPr>
          <w:rFonts w:ascii="宋体" w:hAnsi="宋体" w:cs="宋体" w:eastAsia="宋体"/>
          <w:sz w:val="24"/>
        </w:rPr>
        <w:t>、甲方有权根据项目情况要求乙方向甲方提供项目进度报告，内容包括但不限于项目计划、实施进度、问题报告、人员变动，风险提示等。如乙方在本合同履行过程中遇到任何影响项目的突发事件（包括但不限于信息科技突发事件、可能引发信息科技风险的突发事件等），乙方应立即采取应急措施并书面通知甲方。</w:t>
      </w:r>
    </w:p>
    <w:p>
      <w:pPr>
        <w:pStyle w:val="null3"/>
        <w:ind w:firstLine="480"/>
        <w:jc w:val="both"/>
      </w:pPr>
      <w:r>
        <w:rPr>
          <w:rFonts w:ascii="&quot;times new roman&quot;, serif" w:hAnsi="&quot;times new roman&quot;, serif" w:cs="&quot;times new roman&quot;, serif" w:eastAsia="&quot;times new roman&quot;, serif"/>
          <w:sz w:val="24"/>
        </w:rPr>
        <w:t>3</w:t>
      </w:r>
      <w:r>
        <w:rPr>
          <w:rFonts w:ascii="宋体" w:hAnsi="宋体" w:cs="宋体" w:eastAsia="宋体"/>
          <w:sz w:val="24"/>
        </w:rPr>
        <w:t>、乙方应按照甲方风险评估要求，聘请或者委托独立第三方机构开展风险评估，如实披露相关信息，并为甲方的后续核实工作提供必要的协助。</w:t>
      </w:r>
    </w:p>
    <w:p>
      <w:pPr>
        <w:pStyle w:val="null3"/>
        <w:ind w:firstLine="480"/>
        <w:jc w:val="both"/>
      </w:pPr>
      <w:r>
        <w:rPr>
          <w:rFonts w:ascii="&quot;times new roman&quot;, serif" w:hAnsi="&quot;times new roman&quot;, serif" w:cs="&quot;times new roman&quot;, serif" w:eastAsia="&quot;times new roman&quot;, serif"/>
          <w:sz w:val="24"/>
        </w:rPr>
        <w:t>4</w:t>
      </w:r>
      <w:r>
        <w:rPr>
          <w:rFonts w:ascii="宋体" w:hAnsi="宋体" w:cs="宋体" w:eastAsia="宋体"/>
          <w:sz w:val="24"/>
        </w:rPr>
        <w:t>、甲方有权根据项目实际情况要求乙方提供相关的产品、服务或技术培训。</w:t>
      </w:r>
    </w:p>
    <w:p>
      <w:pPr>
        <w:pStyle w:val="null3"/>
        <w:ind w:firstLine="480"/>
        <w:jc w:val="both"/>
      </w:pPr>
      <w:r>
        <w:rPr>
          <w:rFonts w:ascii="&quot;times new roman&quot;, serif" w:hAnsi="&quot;times new roman&quot;, serif" w:cs="&quot;times new roman&quot;, serif" w:eastAsia="&quot;times new roman&quot;, serif"/>
          <w:sz w:val="24"/>
        </w:rPr>
        <w:t>5</w:t>
      </w:r>
      <w:r>
        <w:rPr>
          <w:rFonts w:ascii="宋体" w:hAnsi="宋体" w:cs="宋体" w:eastAsia="宋体"/>
          <w:sz w:val="24"/>
        </w:rPr>
        <w:t>、乙方应配合甲方接受甲方或金融业监督管理机构对项目的风险监测和检查，并接受甲方指定人员或机构对项目进行的审计。</w:t>
      </w:r>
    </w:p>
    <w:p>
      <w:pPr>
        <w:pStyle w:val="null3"/>
        <w:ind w:firstLine="480"/>
        <w:jc w:val="both"/>
      </w:pPr>
      <w:r>
        <w:rPr>
          <w:rFonts w:ascii="&quot;times new roman&quot;, serif" w:hAnsi="&quot;times new roman&quot;, serif" w:cs="&quot;times new roman&quot;, serif" w:eastAsia="&quot;times new roman&quot;, serif"/>
          <w:sz w:val="24"/>
        </w:rPr>
        <w:t>6</w:t>
      </w:r>
      <w:r>
        <w:rPr>
          <w:rFonts w:ascii="宋体" w:hAnsi="宋体" w:cs="宋体" w:eastAsia="宋体"/>
          <w:sz w:val="24"/>
        </w:rPr>
        <w:t>、乙方应当采取必要的内控及风险管理措施，使乙方履行本合同符合法律法规及甲方项目管理制度的要求。</w:t>
      </w:r>
    </w:p>
    <w:p>
      <w:pPr>
        <w:pStyle w:val="null3"/>
        <w:ind w:firstLine="480"/>
        <w:jc w:val="both"/>
      </w:pPr>
      <w:r>
        <w:rPr>
          <w:rFonts w:ascii="&quot;times new roman&quot;, serif" w:hAnsi="&quot;times new roman&quot;, serif" w:cs="&quot;times new roman&quot;, serif" w:eastAsia="&quot;times new roman&quot;, serif"/>
          <w:sz w:val="24"/>
        </w:rPr>
        <w:t>7</w:t>
      </w:r>
      <w:r>
        <w:rPr>
          <w:rFonts w:ascii="宋体" w:hAnsi="宋体" w:cs="宋体" w:eastAsia="宋体"/>
          <w:sz w:val="24"/>
        </w:rPr>
        <w:t>、在本合同的变更或终止的过程中，乙方应配合甲方做好过渡期间的相关服务，包括但不限于服务文档、服务信息、数据资料和设施的交接处置等。</w:t>
      </w:r>
    </w:p>
    <w:p>
      <w:pPr>
        <w:pStyle w:val="null3"/>
        <w:ind w:firstLine="480"/>
        <w:jc w:val="both"/>
      </w:pPr>
      <w:r>
        <w:rPr>
          <w:rFonts w:ascii="&quot;times new roman&quot;, serif" w:hAnsi="&quot;times new roman&quot;, serif" w:cs="&quot;times new roman&quot;, serif" w:eastAsia="&quot;times new roman&quot;, serif"/>
          <w:sz w:val="24"/>
        </w:rPr>
        <w:t>8</w:t>
      </w:r>
      <w:r>
        <w:rPr>
          <w:rFonts w:ascii="宋体" w:hAnsi="宋体" w:cs="宋体" w:eastAsia="宋体"/>
          <w:sz w:val="24"/>
        </w:rPr>
        <w:t>、乙方保证不以甲方的名义对外开展任何活动。</w:t>
      </w:r>
    </w:p>
    <w:p>
      <w:pPr>
        <w:pStyle w:val="null3"/>
        <w:ind w:firstLine="480"/>
        <w:jc w:val="both"/>
      </w:pPr>
      <w:r>
        <w:rPr>
          <w:rFonts w:ascii="&quot;times new roman&quot;, serif" w:hAnsi="&quot;times new roman&quot;, serif" w:cs="&quot;times new roman&quot;, serif" w:eastAsia="&quot;times new roman&quot;, serif"/>
          <w:sz w:val="24"/>
        </w:rPr>
        <w:t>9</w:t>
      </w:r>
      <w:r>
        <w:rPr>
          <w:rFonts w:ascii="宋体" w:hAnsi="宋体" w:cs="宋体" w:eastAsia="宋体"/>
          <w:sz w:val="24"/>
        </w:rPr>
        <w:t>、乙方保证为履行本合同设立服务连续性管理目标，保证提前准备并维护好实现该服务连续性目标所需的各种资源。乙方同意甲方对其服务连续性管理进行监控和评价。</w:t>
      </w:r>
    </w:p>
    <w:p>
      <w:pPr>
        <w:pStyle w:val="null3"/>
        <w:ind w:firstLine="480"/>
        <w:jc w:val="both"/>
      </w:pPr>
      <w:r>
        <w:rPr>
          <w:rFonts w:ascii="&quot;times new roman&quot;, serif" w:hAnsi="&quot;times new roman&quot;, serif" w:cs="&quot;times new roman&quot;, serif" w:eastAsia="&quot;times new roman&quot;, serif"/>
          <w:sz w:val="24"/>
        </w:rPr>
        <w:t>10</w:t>
      </w:r>
      <w:r>
        <w:rPr>
          <w:rFonts w:ascii="宋体" w:hAnsi="宋体" w:cs="宋体" w:eastAsia="宋体"/>
          <w:sz w:val="24"/>
        </w:rPr>
        <w:t>、甲方有权根据项目情况要求乙方为甲方配备适用于履行本合同的独立或专用的资源，包括但不限于服务团队、场地、系统、设备、设施等，并同意接受甲方对履行资源的检查。</w:t>
      </w:r>
    </w:p>
    <w:p>
      <w:pPr>
        <w:pStyle w:val="null3"/>
        <w:ind w:firstLine="480"/>
        <w:jc w:val="both"/>
      </w:pPr>
      <w:r>
        <w:rPr>
          <w:rFonts w:ascii="&quot;times new roman&quot;, serif" w:hAnsi="&quot;times new roman&quot;, serif" w:cs="&quot;times new roman&quot;, serif" w:eastAsia="&quot;times new roman&quot;, serif"/>
          <w:sz w:val="24"/>
        </w:rPr>
        <w:t>11</w:t>
      </w:r>
      <w:r>
        <w:rPr>
          <w:rFonts w:ascii="宋体" w:hAnsi="宋体" w:cs="宋体" w:eastAsia="宋体"/>
          <w:sz w:val="24"/>
        </w:rPr>
        <w:t>、乙方保证在其服务质量不能满足本合同要求的情况下、外包服务中断的情况下或因乙方经营问题导致无法提供相应外包服务情况下，甲方有权优先获取乙方届时拥有的服务资源，包括但不限于乙方履行本合同义务中使用工具的原厂商服务资源等，由此产生的费用全部由乙方承担。</w:t>
      </w:r>
    </w:p>
    <w:p>
      <w:pPr>
        <w:pStyle w:val="null3"/>
        <w:ind w:firstLine="480"/>
        <w:jc w:val="both"/>
      </w:pPr>
      <w:r>
        <w:rPr>
          <w:rFonts w:ascii="&quot;times new roman&quot;, serif" w:hAnsi="&quot;times new roman&quot;, serif" w:cs="&quot;times new roman&quot;, serif" w:eastAsia="&quot;times new roman&quot;, serif"/>
          <w:sz w:val="24"/>
        </w:rPr>
        <w:t>12</w:t>
      </w:r>
      <w:r>
        <w:rPr>
          <w:rFonts w:ascii="宋体" w:hAnsi="宋体" w:cs="宋体" w:eastAsia="宋体"/>
          <w:sz w:val="24"/>
        </w:rPr>
        <w:t>、乙方同意甲方对其内部控制、质量管理、信息安全的有效性进行评估，对于评估结果为高风险的，应按照甲方的要求进行限期整改，对于逾期未整改的，甲方有权中止或终止合同。</w:t>
      </w:r>
    </w:p>
    <w:p>
      <w:pPr>
        <w:pStyle w:val="null3"/>
        <w:ind w:firstLine="480"/>
        <w:jc w:val="both"/>
      </w:pPr>
      <w:r>
        <w:rPr>
          <w:rFonts w:ascii="&quot;times new roman&quot;, serif" w:hAnsi="&quot;times new roman&quot;, serif" w:cs="&quot;times new roman&quot;, serif" w:eastAsia="&quot;times new roman&quot;, serif"/>
          <w:sz w:val="24"/>
        </w:rPr>
        <w:t>13</w:t>
      </w:r>
      <w:r>
        <w:rPr>
          <w:rFonts w:ascii="宋体" w:hAnsi="宋体" w:cs="宋体" w:eastAsia="宋体"/>
          <w:sz w:val="24"/>
        </w:rPr>
        <w:t>、乙方保证自身及工作人员具有履行本合同所需的法定资质，包括但不限于各类现行适用的许可或审批。乙方需保证其工作人员遵守法律法规、无犯罪记录，与乙方具备合法有效的劳动关系并已按受安全保密培训；乙方工作人员需符合甲方项目的要求。</w:t>
      </w:r>
    </w:p>
    <w:p>
      <w:pPr>
        <w:pStyle w:val="null3"/>
        <w:ind w:firstLine="480"/>
        <w:jc w:val="both"/>
      </w:pPr>
      <w:r>
        <w:rPr>
          <w:rFonts w:ascii="&quot;times new roman&quot;, serif" w:hAnsi="&quot;times new roman&quot;, serif" w:cs="&quot;times new roman&quot;, serif" w:eastAsia="&quot;times new roman&quot;, serif"/>
          <w:sz w:val="24"/>
        </w:rPr>
        <w:t>14</w:t>
      </w:r>
      <w:r>
        <w:rPr>
          <w:rFonts w:ascii="宋体" w:hAnsi="宋体" w:cs="宋体" w:eastAsia="宋体"/>
          <w:sz w:val="24"/>
        </w:rPr>
        <w:t>、乙方应配合开展风险评估、配合提供工商信息变更、企业股权变动、管理人员变动、财务经营、涉诉纠纷等经营监测信息要求。乙方根据甲方要求配合接受服务质量评价、合同履行情况现场评估等。</w:t>
      </w:r>
    </w:p>
    <w:p>
      <w:pPr>
        <w:pStyle w:val="null3"/>
        <w:ind w:firstLine="480"/>
        <w:jc w:val="both"/>
      </w:pPr>
      <w:r>
        <w:rPr>
          <w:rFonts w:ascii="&quot;times new roman&quot;, serif" w:hAnsi="&quot;times new roman&quot;, serif" w:cs="&quot;times new roman&quot;, serif" w:eastAsia="&quot;times new roman&quot;, serif"/>
          <w:sz w:val="24"/>
        </w:rPr>
        <w:t>15</w:t>
      </w:r>
      <w:r>
        <w:rPr>
          <w:rFonts w:ascii="宋体" w:hAnsi="宋体" w:cs="宋体" w:eastAsia="宋体"/>
          <w:sz w:val="24"/>
        </w:rPr>
        <w:t>、在发生可能引发系统性、区域性甲方平台信息科技风险类突发事件时，乙方应及时向甲方报告，包括但不限于事件的影响以及处置和纠正措施。</w:t>
      </w:r>
    </w:p>
    <w:p>
      <w:pPr>
        <w:pStyle w:val="null3"/>
        <w:ind w:firstLine="480"/>
        <w:jc w:val="both"/>
      </w:pPr>
      <w:r>
        <w:rPr>
          <w:rFonts w:ascii="&quot;times new roman&quot;, serif" w:hAnsi="&quot;times new roman&quot;, serif" w:cs="&quot;times new roman&quot;, serif" w:eastAsia="&quot;times new roman&quot;, serif"/>
          <w:sz w:val="24"/>
        </w:rPr>
        <w:t>16</w:t>
      </w:r>
      <w:r>
        <w:rPr>
          <w:rFonts w:ascii="宋体" w:hAnsi="宋体" w:cs="宋体" w:eastAsia="宋体"/>
          <w:sz w:val="24"/>
        </w:rPr>
        <w:t>、商业廉洁。甲乙双方都清楚并愿意严格遵守中华人民共和国反商业贿赂的法律规定，双方都清楚任何形式的贿赂和贪渎行为都将触犯法律，并将受到法律的严惩。甲方或乙方均不得向对方或对方经办人或其他相关人员索要、收受、提供、给予合同约定外的任何利益，包括但不限于明扣、暗扣、现金、购物卡、实物、有价证券、旅游或其他非物质性利益等，但如该等利益属于行业惯例或通常做法，则须在合同中明示。</w:t>
      </w:r>
    </w:p>
    <w:p>
      <w:pPr>
        <w:pStyle w:val="null3"/>
        <w:outlineLvl w:val="0"/>
      </w:pPr>
      <w:r>
        <w:rPr>
          <w:rFonts w:ascii="宋体" w:hAnsi="宋体" w:cs="宋体" w:eastAsia="宋体"/>
          <w:sz w:val="24"/>
          <w:b/>
        </w:rPr>
        <w:t>附件5：安全保密协议</w:t>
      </w:r>
    </w:p>
    <w:p>
      <w:pPr>
        <w:pStyle w:val="null3"/>
      </w:pPr>
      <w:r>
        <w:rPr>
          <w:rFonts w:ascii="宋体" w:hAnsi="宋体" w:cs="宋体" w:eastAsia="宋体"/>
          <w:sz w:val="24"/>
        </w:rPr>
        <w:t>安全保密协议</w:t>
      </w:r>
    </w:p>
    <w:p>
      <w:pPr>
        <w:pStyle w:val="null3"/>
        <w:ind w:left="840"/>
      </w:pPr>
      <w:r>
        <w:rPr>
          <w:rFonts w:ascii="宋体" w:hAnsi="宋体" w:cs="宋体" w:eastAsia="宋体"/>
          <w:sz w:val="24"/>
        </w:rPr>
        <w:t>甲方：网联清算有限公司</w:t>
      </w:r>
    </w:p>
    <w:p>
      <w:pPr>
        <w:pStyle w:val="null3"/>
        <w:jc w:val="both"/>
      </w:pPr>
      <w:r>
        <w:rPr>
          <w:rFonts w:ascii="宋体" w:hAnsi="宋体" w:cs="宋体" w:eastAsia="宋体"/>
          <w:sz w:val="24"/>
        </w:rPr>
        <w:t>乙方：【】</w:t>
      </w:r>
    </w:p>
    <w:p>
      <w:pPr>
        <w:pStyle w:val="null3"/>
        <w:ind w:left="840"/>
      </w:pPr>
      <w:r>
        <w:rPr>
          <w:rFonts w:ascii="宋体" w:hAnsi="宋体" w:cs="宋体" w:eastAsia="宋体"/>
          <w:sz w:val="24"/>
        </w:rPr>
        <w:t>乙方为甲方提供产品及服务。为进一步明确保密和网络安全保护责任，确保合作期间甲方网络与信息系统安全、稳定运行，根据有关法律法规、制度规定，经双方友好协商，乙方就有关保密和网络安全保护义务做出如下承诺：</w:t>
      </w:r>
    </w:p>
    <w:p>
      <w:pPr>
        <w:pStyle w:val="null3"/>
        <w:ind w:firstLine="480"/>
        <w:jc w:val="both"/>
      </w:pPr>
      <w:r>
        <w:rPr>
          <w:rFonts w:ascii="宋体" w:hAnsi="宋体" w:cs="宋体" w:eastAsia="宋体"/>
          <w:sz w:val="24"/>
        </w:rPr>
        <w:t>一、保密责任与义务</w:t>
      </w:r>
    </w:p>
    <w:p>
      <w:pPr>
        <w:pStyle w:val="null3"/>
        <w:ind w:firstLine="480"/>
        <w:jc w:val="both"/>
      </w:pPr>
      <w:r>
        <w:rPr>
          <w:rFonts w:ascii="宋体" w:hAnsi="宋体" w:cs="宋体" w:eastAsia="宋体"/>
          <w:sz w:val="24"/>
        </w:rPr>
        <w:t>1</w:t>
      </w:r>
      <w:r>
        <w:rPr>
          <w:rFonts w:ascii="宋体" w:hAnsi="宋体" w:cs="宋体" w:eastAsia="宋体"/>
          <w:sz w:val="24"/>
        </w:rPr>
        <w:t>、乙方同意：凡甲方提供给乙方的任何书面或口头的商业、客户、技术、业务、财务、法律、人事和其他方面的资料、数据、信息，以及本合同履行过程中形成的所有资料、信息，除非甲方书面明确说明为公共知晓的信息外，均构成甲方的保密信息。</w:t>
      </w:r>
    </w:p>
    <w:p>
      <w:pPr>
        <w:pStyle w:val="null3"/>
        <w:ind w:firstLine="480"/>
        <w:jc w:val="both"/>
      </w:pPr>
      <w:r>
        <w:rPr>
          <w:rFonts w:ascii="宋体" w:hAnsi="宋体" w:cs="宋体" w:eastAsia="宋体"/>
          <w:sz w:val="24"/>
        </w:rPr>
        <w:t>2</w:t>
      </w:r>
      <w:r>
        <w:rPr>
          <w:rFonts w:ascii="宋体" w:hAnsi="宋体" w:cs="宋体" w:eastAsia="宋体"/>
          <w:sz w:val="24"/>
        </w:rPr>
        <w:t>、乙方同意：乙方对所有甲方保密信息均应承担保密义务，相关保密信息仅用于本合同项下的工作。除进行本合同项下相关工作的甲方及乙方人员之外，乙方不向任何第三方（包括但不限于乙方雇员、代理人、关联公司、其他单位或个人）披露甲方的保密信息。未经甲方事先书面同意，乙方不得将本合同及与甲方洽谈合作中的任何内容向第三方披露。乙方同意为其相关人员的行为承担全部责任。</w:t>
      </w:r>
    </w:p>
    <w:p>
      <w:pPr>
        <w:pStyle w:val="null3"/>
        <w:ind w:firstLine="480"/>
        <w:jc w:val="both"/>
      </w:pPr>
      <w:r>
        <w:rPr>
          <w:rFonts w:ascii="宋体" w:hAnsi="宋体" w:cs="宋体" w:eastAsia="宋体"/>
          <w:sz w:val="24"/>
        </w:rPr>
        <w:t>3</w:t>
      </w:r>
      <w:r>
        <w:rPr>
          <w:rFonts w:ascii="宋体" w:hAnsi="宋体" w:cs="宋体" w:eastAsia="宋体"/>
          <w:sz w:val="24"/>
        </w:rPr>
        <w:t>、乙方保证：如为本合同目的确实需要向第三方披露甲方的保密信息，需事先得到甲方的书面许可，并与该第三方签订保密合同。</w:t>
      </w:r>
    </w:p>
    <w:p>
      <w:pPr>
        <w:pStyle w:val="null3"/>
        <w:ind w:firstLine="480"/>
        <w:jc w:val="both"/>
      </w:pPr>
      <w:r>
        <w:rPr>
          <w:rFonts w:ascii="宋体" w:hAnsi="宋体" w:cs="宋体" w:eastAsia="宋体"/>
          <w:sz w:val="24"/>
        </w:rPr>
        <w:t>4</w:t>
      </w:r>
      <w:r>
        <w:rPr>
          <w:rFonts w:ascii="宋体" w:hAnsi="宋体" w:cs="宋体" w:eastAsia="宋体"/>
          <w:sz w:val="24"/>
        </w:rPr>
        <w:t>、乙方保证：为防止甲方的保密信息进入公共领域或被未经甲方允许的人员或单位掌握，乙方将采取一切措施以保护甲方信息的机密性（包括与乙方相关人员签订保密合同），防止甲方保密信息被披露或使用。乙方同意，一旦发现任何对甲方保密信息的滥用或窃用情况，均以书面形式立即通知甲方。</w:t>
      </w:r>
    </w:p>
    <w:p>
      <w:pPr>
        <w:pStyle w:val="null3"/>
        <w:ind w:firstLine="480"/>
        <w:jc w:val="both"/>
      </w:pPr>
      <w:r>
        <w:rPr>
          <w:rFonts w:ascii="宋体" w:hAnsi="宋体" w:cs="宋体" w:eastAsia="宋体"/>
          <w:sz w:val="24"/>
        </w:rPr>
        <w:t>5</w:t>
      </w:r>
      <w:r>
        <w:rPr>
          <w:rFonts w:ascii="宋体" w:hAnsi="宋体" w:cs="宋体" w:eastAsia="宋体"/>
          <w:sz w:val="24"/>
        </w:rPr>
        <w:t>、乙方保证：在双方合作关系结束后，乙方有义务按照甲方的要求将保密信息及其载体返还给甲方或者按照甲方的要求予以销毁并出具加盖乙方公章的已销毁甲方保密信息的书面声明，不得再以任何形式使用甲方保密信息，并对此负有长期（终身）保密义务。</w:t>
      </w:r>
    </w:p>
    <w:p>
      <w:pPr>
        <w:pStyle w:val="null3"/>
        <w:ind w:firstLine="480"/>
        <w:jc w:val="both"/>
      </w:pPr>
      <w:r>
        <w:rPr>
          <w:rFonts w:ascii="宋体" w:hAnsi="宋体" w:cs="宋体" w:eastAsia="宋体"/>
          <w:sz w:val="24"/>
        </w:rPr>
        <w:t>6</w:t>
      </w:r>
      <w:r>
        <w:rPr>
          <w:rFonts w:ascii="宋体" w:hAnsi="宋体" w:cs="宋体" w:eastAsia="宋体"/>
          <w:sz w:val="24"/>
        </w:rPr>
        <w:t>、乙方同意：除非甲方特别声明，乙方的保密义务为无限期保密，直至甲方宣布解密或者甲方保密信息实际上已经完全公开为止。</w:t>
      </w:r>
    </w:p>
    <w:p>
      <w:pPr>
        <w:pStyle w:val="null3"/>
        <w:ind w:firstLine="480"/>
        <w:jc w:val="both"/>
      </w:pPr>
      <w:r>
        <w:rPr>
          <w:rFonts w:ascii="宋体" w:hAnsi="宋体" w:cs="宋体" w:eastAsia="宋体"/>
          <w:sz w:val="24"/>
        </w:rPr>
        <w:t>7</w:t>
      </w:r>
      <w:r>
        <w:rPr>
          <w:rFonts w:ascii="宋体" w:hAnsi="宋体" w:cs="宋体" w:eastAsia="宋体"/>
          <w:sz w:val="24"/>
        </w:rPr>
        <w:t>、乙方同意：如发生任何保密信息、敏感信息泄露事件，包括但不限于因乙方原因导致的泄露事件或者因第三方非法获取和使用而造成的泄露事件，乙方均应立即通知甲方，并采取有效措施防止泄密进一步扩大。</w:t>
      </w:r>
    </w:p>
    <w:p>
      <w:pPr>
        <w:pStyle w:val="null3"/>
        <w:ind w:firstLine="480"/>
        <w:jc w:val="both"/>
      </w:pPr>
      <w:r>
        <w:rPr>
          <w:rFonts w:ascii="宋体" w:hAnsi="宋体" w:cs="宋体" w:eastAsia="宋体"/>
          <w:sz w:val="24"/>
        </w:rPr>
        <w:t>二、网络安全责任与义务</w:t>
      </w:r>
    </w:p>
    <w:p>
      <w:pPr>
        <w:pStyle w:val="null3"/>
        <w:ind w:firstLine="480"/>
        <w:jc w:val="both"/>
      </w:pPr>
      <w:r>
        <w:rPr>
          <w:rFonts w:ascii="宋体" w:hAnsi="宋体" w:cs="宋体" w:eastAsia="宋体"/>
          <w:sz w:val="24"/>
        </w:rPr>
        <w:t>1</w:t>
      </w:r>
      <w:r>
        <w:rPr>
          <w:rFonts w:ascii="宋体" w:hAnsi="宋体" w:cs="宋体" w:eastAsia="宋体"/>
          <w:sz w:val="24"/>
        </w:rPr>
        <w:t>、乙方保证：严格遵守甲方各项网络安全制度和管理要求，确保责任期内不发生网络安全事件。合作项目涉及分包时，乙方负责相应分包商的网络安全管理，承担外包服务过程中的总体网络安全责任。</w:t>
      </w:r>
    </w:p>
    <w:p>
      <w:pPr>
        <w:pStyle w:val="null3"/>
        <w:ind w:firstLine="480"/>
        <w:jc w:val="both"/>
      </w:pPr>
      <w:r>
        <w:rPr>
          <w:rFonts w:ascii="宋体" w:hAnsi="宋体" w:cs="宋体" w:eastAsia="宋体"/>
          <w:sz w:val="24"/>
        </w:rPr>
        <w:t>2</w:t>
      </w:r>
      <w:r>
        <w:rPr>
          <w:rFonts w:ascii="宋体" w:hAnsi="宋体" w:cs="宋体" w:eastAsia="宋体"/>
          <w:sz w:val="24"/>
        </w:rPr>
        <w:t>、乙方保证：加强派遣人员管理，负责对派遣到甲方的人员进行网络安全培训，明确其网络安全责任，按甲方需要签署保密合同。</w:t>
      </w:r>
    </w:p>
    <w:p>
      <w:pPr>
        <w:pStyle w:val="null3"/>
        <w:ind w:firstLine="480"/>
        <w:jc w:val="both"/>
      </w:pPr>
      <w:r>
        <w:rPr>
          <w:rFonts w:ascii="宋体" w:hAnsi="宋体" w:cs="宋体" w:eastAsia="宋体"/>
          <w:sz w:val="24"/>
        </w:rPr>
        <w:t>3</w:t>
      </w:r>
      <w:r>
        <w:rPr>
          <w:rFonts w:ascii="宋体" w:hAnsi="宋体" w:cs="宋体" w:eastAsia="宋体"/>
          <w:sz w:val="24"/>
        </w:rPr>
        <w:t>、乙方保证：加强网络安全管理，及时将甲方的各项网络安全管理要求落实到位；积极配合甲方开展的各项网络安全工作，如实汇报相关情况；在重大节日及敏感时期，根据甲方要求开展保障工作，随时应对各类突发事件。</w:t>
      </w:r>
    </w:p>
    <w:p>
      <w:pPr>
        <w:pStyle w:val="null3"/>
        <w:ind w:firstLine="480"/>
        <w:jc w:val="both"/>
      </w:pPr>
      <w:r>
        <w:rPr>
          <w:rFonts w:ascii="宋体" w:hAnsi="宋体" w:cs="宋体" w:eastAsia="宋体"/>
          <w:sz w:val="24"/>
        </w:rPr>
        <w:t>4</w:t>
      </w:r>
      <w:r>
        <w:rPr>
          <w:rFonts w:ascii="宋体" w:hAnsi="宋体" w:cs="宋体" w:eastAsia="宋体"/>
          <w:sz w:val="24"/>
        </w:rPr>
        <w:t>、乙方保证：发生或发现网络安全事件时，及时向甲方信息科技外包使用方和信息科技外包归口管理部门报告，做到不瞒报、不谎报、不拖延；根据甲方要求，积极参与网络安全事件处置、调查等工作；对相关责任人，按照甲方要求和乙方有关规定给予处理。</w:t>
      </w:r>
    </w:p>
    <w:p>
      <w:pPr>
        <w:pStyle w:val="null3"/>
        <w:ind w:firstLine="480"/>
        <w:jc w:val="both"/>
      </w:pPr>
      <w:r>
        <w:rPr>
          <w:rFonts w:ascii="宋体" w:hAnsi="宋体" w:cs="宋体" w:eastAsia="宋体"/>
          <w:sz w:val="24"/>
        </w:rPr>
        <w:t>5</w:t>
      </w:r>
      <w:r>
        <w:rPr>
          <w:rFonts w:ascii="宋体" w:hAnsi="宋体" w:cs="宋体" w:eastAsia="宋体"/>
          <w:sz w:val="24"/>
        </w:rPr>
        <w:t>、乙方保证：提供的产品和服务在面临非法控制、干扰或中断风险时，具备启动应急处置预案的能力。</w:t>
      </w:r>
    </w:p>
    <w:p>
      <w:pPr>
        <w:pStyle w:val="null3"/>
        <w:ind w:firstLine="480"/>
        <w:jc w:val="both"/>
      </w:pPr>
      <w:r>
        <w:rPr>
          <w:rFonts w:ascii="宋体" w:hAnsi="宋体" w:cs="宋体" w:eastAsia="宋体"/>
          <w:sz w:val="24"/>
        </w:rPr>
        <w:t>6</w:t>
      </w:r>
      <w:r>
        <w:rPr>
          <w:rFonts w:ascii="宋体" w:hAnsi="宋体" w:cs="宋体" w:eastAsia="宋体"/>
          <w:sz w:val="24"/>
        </w:rPr>
        <w:t xml:space="preserve">、乙方保证：根据项目实际情况仅在甲方书面授权许可范围内采集和处理为甲方提供服务所必需的数据，不超范围采集和处理数据。 </w:t>
      </w:r>
    </w:p>
    <w:p>
      <w:pPr>
        <w:pStyle w:val="null3"/>
        <w:ind w:firstLine="480"/>
        <w:jc w:val="both"/>
      </w:pPr>
      <w:r>
        <w:rPr>
          <w:rFonts w:ascii="宋体" w:hAnsi="宋体" w:cs="宋体" w:eastAsia="宋体"/>
          <w:sz w:val="24"/>
        </w:rPr>
        <w:t>7</w:t>
      </w:r>
      <w:r>
        <w:rPr>
          <w:rFonts w:ascii="宋体" w:hAnsi="宋体" w:cs="宋体" w:eastAsia="宋体"/>
          <w:sz w:val="24"/>
        </w:rPr>
        <w:t>、乙方承诺：保证配合进行产品和服务的网络安全审查；保证不利用提供产品和服务的便利条件非法获取用户数据、非法控制和操纵用户设备，无正当理由不中断产品供应或者必要的技术支持服务等；不得利用甲方对产品的依赖性谋取不正当利益或者迫使甲方更新换代。</w:t>
      </w:r>
    </w:p>
    <w:p>
      <w:pPr>
        <w:pStyle w:val="null3"/>
        <w:ind w:firstLine="480"/>
        <w:jc w:val="both"/>
      </w:pPr>
      <w:r>
        <w:rPr>
          <w:rFonts w:ascii="宋体" w:hAnsi="宋体" w:cs="宋体" w:eastAsia="宋体"/>
          <w:sz w:val="24"/>
        </w:rPr>
        <w:t>三、违约责任</w:t>
      </w:r>
    </w:p>
    <w:p>
      <w:pPr>
        <w:pStyle w:val="null3"/>
        <w:ind w:firstLine="480"/>
        <w:jc w:val="both"/>
      </w:pPr>
      <w:r>
        <w:rPr>
          <w:rFonts w:ascii="宋体" w:hAnsi="宋体" w:cs="宋体" w:eastAsia="宋体"/>
          <w:sz w:val="24"/>
        </w:rPr>
        <w:t>如乙方违反安全或保密承诺，按主合同（即合同正文，下同）违约责任条款执行。</w:t>
      </w:r>
    </w:p>
    <w:p>
      <w:pPr>
        <w:pStyle w:val="null3"/>
        <w:ind w:firstLine="480"/>
        <w:jc w:val="both"/>
      </w:pPr>
      <w:r>
        <w:rPr>
          <w:rFonts w:ascii="宋体" w:hAnsi="宋体" w:cs="宋体" w:eastAsia="宋体"/>
          <w:sz w:val="24"/>
        </w:rPr>
        <w:t>四、其他</w:t>
      </w:r>
    </w:p>
    <w:p>
      <w:pPr>
        <w:pStyle w:val="null3"/>
        <w:ind w:firstLine="540"/>
        <w:jc w:val="both"/>
      </w:pPr>
      <w:r>
        <w:rPr>
          <w:rFonts w:ascii="宋体" w:hAnsi="宋体" w:cs="宋体" w:eastAsia="宋体"/>
          <w:sz w:val="24"/>
        </w:rPr>
        <w:t>1</w:t>
      </w:r>
      <w:r>
        <w:rPr>
          <w:rFonts w:ascii="宋体" w:hAnsi="宋体" w:cs="宋体" w:eastAsia="宋体"/>
          <w:sz w:val="24"/>
        </w:rPr>
        <w:t>、本《安全保密协议》未尽事宜，按国家有关法律法规、主合同的约定执行。</w:t>
      </w:r>
    </w:p>
    <w:p>
      <w:pPr>
        <w:pStyle w:val="null3"/>
        <w:ind w:firstLine="540"/>
        <w:jc w:val="both"/>
      </w:pPr>
      <w:r>
        <w:rPr>
          <w:rFonts w:ascii="宋体" w:hAnsi="宋体" w:cs="宋体" w:eastAsia="宋体"/>
          <w:sz w:val="24"/>
        </w:rPr>
        <w:t>2</w:t>
      </w:r>
      <w:r>
        <w:rPr>
          <w:rFonts w:ascii="宋体" w:hAnsi="宋体" w:cs="宋体" w:eastAsia="宋体"/>
          <w:sz w:val="24"/>
        </w:rPr>
        <w:t>、本《安全保密协议》与主合同约定不一致的，以有利于甲方的约定为准。</w:t>
      </w:r>
    </w:p>
    <w:p>
      <w:pPr>
        <w:pStyle w:val="null3"/>
        <w:ind w:firstLine="540"/>
        <w:jc w:val="both"/>
      </w:pPr>
      <w:r>
        <w:rPr>
          <w:rFonts w:ascii="宋体" w:hAnsi="宋体" w:cs="宋体" w:eastAsia="宋体"/>
          <w:sz w:val="24"/>
        </w:rPr>
        <w:t>3</w:t>
      </w:r>
      <w:r>
        <w:rPr>
          <w:rFonts w:ascii="宋体" w:hAnsi="宋体" w:cs="宋体" w:eastAsia="宋体"/>
          <w:sz w:val="24"/>
        </w:rPr>
        <w:t>、本《安全保密协议》自双方盖章后生效。</w:t>
      </w:r>
    </w:p>
    <w:p>
      <w:pPr>
        <w:pStyle w:val="null3"/>
        <w:jc w:val="both"/>
      </w:pPr>
      <w:r>
        <w:rPr>
          <w:rFonts w:ascii="宋体" w:hAnsi="宋体" w:cs="宋体" w:eastAsia="宋体"/>
          <w:sz w:val="24"/>
        </w:rPr>
        <w:t>（以下无正文）</w:t>
      </w:r>
    </w:p>
    <w:p>
      <w:pPr>
        <w:pStyle w:val="null3"/>
        <w:ind w:left="840"/>
      </w:pPr>
      <w:r>
        <w:rPr>
          <w:rFonts w:ascii="宋体" w:hAnsi="宋体" w:cs="宋体" w:eastAsia="宋体"/>
          <w:sz w:val="24"/>
          <w:b/>
        </w:rPr>
        <w:t>双方盖章：</w:t>
      </w:r>
    </w:p>
    <w:tbl>
      <w:tblPr>
        <w:tblW w:w="0" w:type="auto"/>
        <w:tblBorders>
          <w:top w:val="single"/>
          <w:left w:val="single"/>
          <w:bottom w:val="single"/>
          <w:right w:val="single"/>
          <w:insideH w:val="single"/>
          <w:insideV w:val="single"/>
        </w:tblBorders>
      </w:tblPr>
      <w:tblGrid>
        <w:gridCol w:w="4153"/>
        <w:gridCol w:w="4153"/>
      </w:tblGrid>
      <w:tr>
        <w:tc>
          <w:tcPr>
            <w:tcW w:type="dxa" w:w="4153"/>
            <w:tcMar>
              <w:top w:type="dxa" w:w="0"/>
              <w:left w:type="dxa" w:w="105"/>
              <w:bottom w:type="dxa" w:w="0"/>
              <w:right w:type="dxa" w:w="105"/>
            </w:tcMar>
            <w:vAlign w:val="top"/>
          </w:tcPr>
          <w:p>
            <w:pPr>
              <w:pStyle w:val="null3"/>
              <w:jc w:val="both"/>
            </w:pPr>
            <w:r>
              <w:rPr>
                <w:rFonts w:ascii="宋体" w:hAnsi="宋体" w:cs="宋体" w:eastAsia="宋体"/>
                <w:sz w:val="24"/>
              </w:rPr>
              <w:t>甲方：网联清算有限公司（盖章）</w:t>
            </w:r>
          </w:p>
        </w:tc>
        <w:tc>
          <w:tcPr>
            <w:tcW w:type="dxa" w:w="4153"/>
            <w:tcMar>
              <w:top w:type="dxa" w:w="0"/>
              <w:left w:type="dxa" w:w="105"/>
              <w:bottom w:type="dxa" w:w="0"/>
              <w:right w:type="dxa" w:w="105"/>
            </w:tcMar>
            <w:vAlign w:val="top"/>
          </w:tcPr>
          <w:p>
            <w:pPr>
              <w:pStyle w:val="null3"/>
              <w:jc w:val="both"/>
            </w:pPr>
            <w:r>
              <w:rPr>
                <w:rFonts w:ascii="宋体" w:hAnsi="宋体" w:cs="宋体" w:eastAsia="宋体"/>
                <w:sz w:val="24"/>
              </w:rPr>
              <w:t>乙方：【】（盖章）</w:t>
            </w:r>
          </w:p>
        </w:tc>
      </w:tr>
      <w:tr>
        <w:tc>
          <w:tcPr>
            <w:tcW w:type="dxa" w:w="4153"/>
            <w:tcMar>
              <w:top w:type="dxa" w:w="0"/>
              <w:left w:type="dxa" w:w="105"/>
              <w:bottom w:type="dxa" w:w="0"/>
              <w:right w:type="dxa" w:w="105"/>
            </w:tcMar>
            <w:vAlign w:val="top"/>
          </w:tcPr>
          <w:p>
            <w:pPr>
              <w:pStyle w:val="null3"/>
              <w:jc w:val="both"/>
            </w:pPr>
            <w:r>
              <w:rPr>
                <w:rFonts w:ascii="宋体" w:hAnsi="宋体" w:cs="宋体" w:eastAsia="宋体"/>
                <w:sz w:val="24"/>
              </w:rPr>
              <w:t>日期：</w:t>
            </w:r>
          </w:p>
        </w:tc>
        <w:tc>
          <w:tcPr>
            <w:tcW w:type="dxa" w:w="4153"/>
            <w:tcMar>
              <w:top w:type="dxa" w:w="0"/>
              <w:left w:type="dxa" w:w="105"/>
              <w:bottom w:type="dxa" w:w="0"/>
              <w:right w:type="dxa" w:w="105"/>
            </w:tcMar>
            <w:vAlign w:val="top"/>
          </w:tcPr>
          <w:p>
            <w:pPr>
              <w:pStyle w:val="null3"/>
              <w:jc w:val="both"/>
            </w:pPr>
            <w:r>
              <w:rPr>
                <w:rFonts w:ascii="宋体" w:hAnsi="宋体" w:cs="宋体" w:eastAsia="宋体"/>
                <w:sz w:val="24"/>
              </w:rPr>
              <w:t>日期：</w:t>
            </w:r>
          </w:p>
        </w:tc>
      </w:tr>
    </w:tbl>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 </w:t>
      </w:r>
      <w:r>
        <w:rPr/>
        <w:t>参照</w:t>
      </w:r>
      <w:r>
        <w:rPr/>
        <w:t xml:space="preserve"> 《中华人民共和国政府采购法》及其它有关法律法规的规定执行。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