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灾备中心第一批网络安全设备项目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007GSH2026053</w:t>
      </w:r>
      <w:r>
        <w:br/>
      </w:r>
      <w:r>
        <w:br/>
      </w:r>
      <w:r>
        <w:br/>
      </w:r>
    </w:p>
    <w:p>
      <w:pPr>
        <w:pStyle w:val="null3"/>
        <w:jc w:val="center"/>
      </w:pPr>
      <w:r>
        <w:rPr/>
        <w:t>中国人民银行集中采购中心</w:t>
      </w:r>
    </w:p>
    <w:p>
      <w:pPr>
        <w:pStyle w:val="null3"/>
        <w:jc w:val="center"/>
      </w:pPr>
      <w:r>
        <w:rPr/>
        <w:t>2026年06月03日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灾备中心第一批网络安全设备项目</w:t>
      </w:r>
      <w:r>
        <w:rPr/>
        <w:t xml:space="preserve"> ”（项目编号： </w:t>
      </w:r>
      <w:r>
        <w:rPr/>
        <w:t>007GSH2026053</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2,200,000.00</w:t>
      </w:r>
    </w:p>
    <w:p>
      <w:pPr>
        <w:pStyle w:val="null3"/>
        <w:jc w:val="left"/>
      </w:pPr>
      <w:r>
        <w:rPr/>
        <w:t>采购包最高限价（元）: 2,200,000.00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网络应用防火墙</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r>
        <w:tc>
          <w:tcPr>
            <w:tcW w:type="dxa" w:w="593"/>
          </w:tcPr>
          <w:p>
            <w:pPr>
              <w:pStyle w:val="null3"/>
              <w:jc w:val="left"/>
            </w:pPr>
            <w:r>
              <w:rPr/>
              <w:t>2</w:t>
            </w:r>
          </w:p>
        </w:tc>
        <w:tc>
          <w:tcPr>
            <w:tcW w:type="dxa" w:w="593"/>
          </w:tcPr>
          <w:p>
            <w:pPr>
              <w:pStyle w:val="null3"/>
              <w:jc w:val="left"/>
            </w:pPr>
            <w:r>
              <w:rPr/>
              <w:t>全流量检测设备</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r>
        <w:tc>
          <w:tcPr>
            <w:tcW w:type="dxa" w:w="593"/>
          </w:tcPr>
          <w:p>
            <w:pPr>
              <w:pStyle w:val="null3"/>
              <w:jc w:val="left"/>
            </w:pPr>
            <w:r>
              <w:rPr/>
              <w:t>3</w:t>
            </w:r>
          </w:p>
        </w:tc>
        <w:tc>
          <w:tcPr>
            <w:tcW w:type="dxa" w:w="593"/>
          </w:tcPr>
          <w:p>
            <w:pPr>
              <w:pStyle w:val="null3"/>
              <w:jc w:val="left"/>
            </w:pPr>
            <w:r>
              <w:rPr/>
              <w:t>主机安全检测设备</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r>
        <w:tc>
          <w:tcPr>
            <w:tcW w:type="dxa" w:w="593"/>
          </w:tcPr>
          <w:p>
            <w:pPr>
              <w:pStyle w:val="null3"/>
              <w:jc w:val="left"/>
            </w:pPr>
            <w:r>
              <w:rPr/>
              <w:t>4</w:t>
            </w:r>
          </w:p>
        </w:tc>
        <w:tc>
          <w:tcPr>
            <w:tcW w:type="dxa" w:w="593"/>
          </w:tcPr>
          <w:p>
            <w:pPr>
              <w:pStyle w:val="null3"/>
              <w:jc w:val="left"/>
            </w:pPr>
            <w:r>
              <w:rPr/>
              <w:t>态势感知设备</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r>
        <w:tc>
          <w:tcPr>
            <w:tcW w:type="dxa" w:w="593"/>
          </w:tcPr>
          <w:p>
            <w:pPr>
              <w:pStyle w:val="null3"/>
              <w:jc w:val="left"/>
            </w:pPr>
            <w:r>
              <w:rPr/>
              <w:t>5</w:t>
            </w:r>
          </w:p>
        </w:tc>
        <w:tc>
          <w:tcPr>
            <w:tcW w:type="dxa" w:w="593"/>
          </w:tcPr>
          <w:p>
            <w:pPr>
              <w:pStyle w:val="null3"/>
              <w:jc w:val="left"/>
            </w:pPr>
            <w:r>
              <w:rPr/>
              <w:t>堡垒机</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r>
        <w:tc>
          <w:tcPr>
            <w:tcW w:type="dxa" w:w="593"/>
          </w:tcPr>
          <w:p>
            <w:pPr>
              <w:pStyle w:val="null3"/>
              <w:jc w:val="left"/>
            </w:pPr>
            <w:r>
              <w:rPr/>
              <w:t>6</w:t>
            </w:r>
          </w:p>
        </w:tc>
        <w:tc>
          <w:tcPr>
            <w:tcW w:type="dxa" w:w="593"/>
          </w:tcPr>
          <w:p>
            <w:pPr>
              <w:pStyle w:val="null3"/>
              <w:jc w:val="left"/>
            </w:pPr>
            <w:r>
              <w:rPr/>
              <w:t>TAP交换机</w:t>
            </w:r>
          </w:p>
        </w:tc>
        <w:tc>
          <w:tcPr>
            <w:tcW w:type="dxa" w:w="593"/>
          </w:tcPr>
          <w:p>
            <w:pPr>
              <w:pStyle w:val="null3"/>
              <w:jc w:val="left"/>
            </w:pPr>
            <w:r>
              <w:rPr/>
              <w:t>A02010399 其他信息安全设备</w:t>
            </w:r>
          </w:p>
        </w:tc>
        <w:tc>
          <w:tcPr>
            <w:tcW w:type="dxa" w:w="593"/>
          </w:tcPr>
          <w:p>
            <w:pPr>
              <w:pStyle w:val="null3"/>
              <w:jc w:val="left"/>
            </w:pPr>
            <w:r>
              <w:rPr/>
              <w:t>A02010399</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2,200,000.00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中国反洗钱监测分析中心</w:t>
      </w:r>
    </w:p>
    <w:p>
      <w:pPr>
        <w:pStyle w:val="null3"/>
        <w:jc w:val="left"/>
      </w:pPr>
      <w:r>
        <w:rPr/>
        <w:t xml:space="preserve"> 地址： </w:t>
      </w:r>
      <w:r>
        <w:rPr/>
        <w:t>北京市成方街32号</w:t>
      </w:r>
    </w:p>
    <w:p>
      <w:pPr>
        <w:pStyle w:val="null3"/>
        <w:jc w:val="left"/>
      </w:pPr>
      <w:r>
        <w:rPr/>
        <w:t xml:space="preserve"> 邮编： </w:t>
      </w:r>
      <w:r>
        <w:rPr/>
        <w:t>100032</w:t>
      </w:r>
    </w:p>
    <w:p>
      <w:pPr>
        <w:pStyle w:val="null3"/>
        <w:jc w:val="left"/>
      </w:pPr>
      <w:r>
        <w:rPr/>
        <w:t xml:space="preserve"> 联系人： </w:t>
      </w:r>
      <w:r>
        <w:rPr/>
        <w:t>张先生</w:t>
      </w:r>
    </w:p>
    <w:p>
      <w:pPr>
        <w:pStyle w:val="null3"/>
        <w:jc w:val="left"/>
      </w:pPr>
      <w:r>
        <w:rPr/>
        <w:t xml:space="preserve"> 联系电话： </w:t>
      </w:r>
      <w:r>
        <w:rPr/>
        <w:t>010-66199119</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100033</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李女士</w:t>
      </w:r>
    </w:p>
    <w:p>
      <w:pPr>
        <w:pStyle w:val="null3"/>
        <w:jc w:val="left"/>
      </w:pPr>
      <w:r>
        <w:rPr/>
        <w:t xml:space="preserve"> 联系电话（开、评标咨询）： </w:t>
      </w:r>
      <w:r>
        <w:rPr/>
        <w:t>010-66194516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中标人签订采购合同时，应向采购人提交金额为合同总金额的5.0%的履约保证金。</w:t>
            </w:r>
          </w:p>
          <w:p>
            <w:pPr>
              <w:pStyle w:val="null3"/>
            </w:pPr>
            <w:r>
              <w:rPr/>
              <w:t>详见合同。</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中国反洗钱监测分析中心灾备中心第一批网络安全设备项目需求，为实现网络安全防护能力提升，拟为反洗钱中心系统购买4台网络应用防火墙、2台全流量检测设备、2台主机安全检测设备、4台态势感知设备、2台堡垒机、4台TAP交换机并完成集成等工作。</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反洗钱中心采购计划</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实现网络安全防护能力提升</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采购网络应用防火墙、全流量检测设备、主机安全检测设备、态势感知设备、堡垒机、TAP交换机</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采购网络应用防火墙、全流量检测设备、主机安全检测设备、态势感知设备、堡垒机、TAP交换机</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本次需为反洗钱中心购买网络及安全设备，采购内容包括网络应用防火墙、全流量检测设备、主机安全检测设备、态势感知设备、堡垒机、TAP交换机等，并对上述设备进行集成，同时需要配合反洗钱中心完成网络及安全设备配置调整优化、网络拓扑图更新绘制、网络架构升级改造以及应用适配</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本技术要求共有“★”指标26个，”#”指标16个，“▲”指标18个。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both"/>
            </w:pPr>
            <w:r>
              <w:rPr>
                <w:rFonts w:ascii="仿宋_gb2312" w:hAnsi="仿宋_gb2312" w:cs="仿宋_gb2312" w:eastAsia="仿宋_gb2312"/>
                <w:sz w:val="24"/>
              </w:rPr>
              <w:t>2U机架式设备，冗余电源，CPU≥8核，内存≥32GB，系统≥256G SSD，USB接口≥2个，RJ45串口≥1个，千兆管理口≥1个，HA口≥1个，企业级硬盘≥2T ，万兆光口 (含光模块)≥4个。</w:t>
            </w:r>
          </w:p>
          <w:p>
            <w:pPr>
              <w:pStyle w:val="null3"/>
              <w:jc w:val="both"/>
            </w:pPr>
            <w:r>
              <w:rPr>
                <w:rFonts w:ascii="仿宋_gb2312" w:hAnsi="仿宋_gb2312" w:cs="仿宋_gb2312" w:eastAsia="仿宋_gb2312"/>
                <w:sz w:val="24"/>
              </w:rPr>
              <w:t>操作系统应是国产操作系统或自研操作系统，</w:t>
            </w:r>
            <w:r>
              <w:rPr>
                <w:rFonts w:ascii="仿宋_gb2312" w:hAnsi="仿宋_gb2312" w:cs="仿宋_gb2312" w:eastAsia="仿宋_gb2312"/>
                <w:sz w:val="24"/>
              </w:rPr>
              <w:t>CPU应当符合安全可靠测评要求。具体要求如下：</w:t>
            </w:r>
            <w:r>
              <w:br/>
            </w:r>
            <w:r>
              <w:rPr>
                <w:rFonts w:ascii="仿宋_gb2312" w:hAnsi="仿宋_gb2312" w:cs="仿宋_gb2312" w:eastAsia="仿宋_gb2312"/>
                <w:sz w:val="24"/>
              </w:rPr>
              <w:t>(1）投标人必须在投标文件中明确CPU的制造商、型号等信息。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2</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jc w:val="both"/>
            </w:pPr>
            <w:r>
              <w:rPr>
                <w:rFonts w:ascii="仿宋_gb2312" w:hAnsi="仿宋_gb2312" w:cs="仿宋_gb2312" w:eastAsia="仿宋_gb2312"/>
                <w:sz w:val="24"/>
              </w:rPr>
              <w:t>http最大吞吐量≥2.6Gbps，http最大QPS≥2.4W，http最大并发连接数≥100W。</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Web防护功能</w:t>
            </w:r>
          </w:p>
        </w:tc>
        <w:tc>
          <w:tcPr>
            <w:tcW w:type="dxa" w:w="1038"/>
          </w:tcPr>
          <w:p/>
        </w:tc>
        <w:tc>
          <w:tcPr>
            <w:tcW w:type="dxa" w:w="1038"/>
          </w:tcPr>
          <w:p>
            <w:pPr>
              <w:pStyle w:val="null3"/>
              <w:jc w:val="both"/>
            </w:pPr>
            <w:r>
              <w:rPr>
                <w:rFonts w:ascii="仿宋_gb2312" w:hAnsi="仿宋_gb2312" w:cs="仿宋_gb2312" w:eastAsia="仿宋_gb2312"/>
                <w:sz w:val="24"/>
              </w:rPr>
              <w:t>具备报文解码能力，可对攻击者编码绕过行为进行有效识别。解码能力包括但不限于：</w:t>
            </w:r>
            <w:r>
              <w:rPr>
                <w:rFonts w:ascii="仿宋_gb2312" w:hAnsi="仿宋_gb2312" w:cs="仿宋_gb2312" w:eastAsia="仿宋_gb2312"/>
                <w:sz w:val="24"/>
              </w:rPr>
              <w:t>Base64解码、斜杠反转义、UTF-7解码、XML解析、16进制转换、URL解码、PHP序列化对象解析、Base64(RFC 2045)解码、二进制解码、换行分割等。能对10层的嵌套编码绕过行为进行有效检测与防护。</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Web防护功能</w:t>
            </w:r>
          </w:p>
        </w:tc>
        <w:tc>
          <w:tcPr>
            <w:tcW w:type="dxa" w:w="1038"/>
          </w:tcPr>
          <w:p/>
        </w:tc>
        <w:tc>
          <w:tcPr>
            <w:tcW w:type="dxa" w:w="1038"/>
          </w:tcPr>
          <w:p>
            <w:pPr>
              <w:pStyle w:val="null3"/>
              <w:jc w:val="both"/>
            </w:pPr>
            <w:r>
              <w:rPr>
                <w:rFonts w:ascii="仿宋_gb2312" w:hAnsi="仿宋_gb2312" w:cs="仿宋_gb2312" w:eastAsia="仿宋_gb2312"/>
                <w:sz w:val="24"/>
              </w:rPr>
              <w:t>可结合业务正常需求，对</w:t>
            </w:r>
            <w:r>
              <w:rPr>
                <w:rFonts w:ascii="仿宋_gb2312" w:hAnsi="仿宋_gb2312" w:cs="仿宋_gb2312" w:eastAsia="仿宋_gb2312"/>
                <w:sz w:val="24"/>
              </w:rPr>
              <w:t>HTTP请求头、GET参数、基于Session、请求体中任意key长度等匹配特征进行规则配置，并可对特征进行任意“与”、“或”关系组合，支持自定义拦截状态码和阻断页面，可以根据不同的状态码响应不同的阻断页面，当状态码为3xx时支持设置重定向地址，便于安全人员基于业务场景精细化配置拦截页面。</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5</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Web防护功能</w:t>
            </w:r>
          </w:p>
        </w:tc>
        <w:tc>
          <w:tcPr>
            <w:tcW w:type="dxa" w:w="1038"/>
          </w:tcPr>
          <w:p/>
        </w:tc>
        <w:tc>
          <w:tcPr>
            <w:tcW w:type="dxa" w:w="1038"/>
          </w:tcPr>
          <w:p>
            <w:pPr>
              <w:pStyle w:val="null3"/>
              <w:jc w:val="both"/>
            </w:pPr>
            <w:r>
              <w:rPr>
                <w:rFonts w:ascii="仿宋_gb2312" w:hAnsi="仿宋_gb2312" w:cs="仿宋_gb2312" w:eastAsia="仿宋_gb2312"/>
                <w:sz w:val="24"/>
              </w:rPr>
              <w:t>支持在不同检测点插入业务规则，与反洗钱监测分析中心现有蜜罐设备（现有设备为</w:t>
            </w:r>
            <w:r>
              <w:rPr>
                <w:rFonts w:ascii="仿宋_gb2312" w:hAnsi="仿宋_gb2312" w:cs="仿宋_gb2312" w:eastAsia="仿宋_gb2312"/>
                <w:sz w:val="24"/>
              </w:rPr>
              <w:t>DS-SR01/AG01）联动，针对反洗钱业务场景，能在日志输出前支持按照不同条件组合自动将攻击流量及特定时间全部流量托管至蜜罐指定地址，需在不改动现网环境的情况下保证流量托管后域名和路径不变，达到用户无感知的效果，该功能需开箱即用。</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6</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自定义规则</w:t>
            </w:r>
          </w:p>
        </w:tc>
        <w:tc>
          <w:tcPr>
            <w:tcW w:type="dxa" w:w="1038"/>
          </w:tcPr>
          <w:p/>
        </w:tc>
        <w:tc>
          <w:tcPr>
            <w:tcW w:type="dxa" w:w="1038"/>
          </w:tcPr>
          <w:p>
            <w:pPr>
              <w:pStyle w:val="null3"/>
              <w:jc w:val="both"/>
            </w:pPr>
            <w:r>
              <w:rPr>
                <w:rFonts w:ascii="仿宋_gb2312" w:hAnsi="仿宋_gb2312" w:cs="仿宋_gb2312" w:eastAsia="仿宋_gb2312"/>
                <w:sz w:val="24"/>
              </w:rPr>
              <w:t>支持自定义基于正则表达式的防护规则，自定义规则前对请求进行解码，解码类型包括：</w:t>
            </w:r>
            <w:r>
              <w:rPr>
                <w:rFonts w:ascii="仿宋_gb2312" w:hAnsi="仿宋_gb2312" w:cs="仿宋_gb2312" w:eastAsia="仿宋_gb2312"/>
                <w:sz w:val="24"/>
              </w:rPr>
              <w:t>Base64解码、十六进制解码、URL解码、斜杠反转义、二进制解码等，可根据业务系统编码类型进行配置，快速实现新爆发漏洞的防护。并支持对自定义规则匹配优先级进行调整并可按永久、定时和周期定义规则生效时间。</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7</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日志管理功能</w:t>
            </w:r>
          </w:p>
        </w:tc>
        <w:tc>
          <w:tcPr>
            <w:tcW w:type="dxa" w:w="1038"/>
          </w:tcPr>
          <w:p/>
        </w:tc>
        <w:tc>
          <w:tcPr>
            <w:tcW w:type="dxa" w:w="1038"/>
          </w:tcPr>
          <w:p>
            <w:pPr>
              <w:pStyle w:val="null3"/>
              <w:jc w:val="both"/>
            </w:pPr>
            <w:r>
              <w:rPr>
                <w:rFonts w:ascii="仿宋_gb2312" w:hAnsi="仿宋_gb2312" w:cs="仿宋_gb2312" w:eastAsia="仿宋_gb2312"/>
                <w:sz w:val="24"/>
              </w:rPr>
              <w:t>支持告警日志中自动提取攻击</w:t>
            </w:r>
            <w:r>
              <w:rPr>
                <w:rFonts w:ascii="仿宋_gb2312" w:hAnsi="仿宋_gb2312" w:cs="仿宋_gb2312" w:eastAsia="仿宋_gb2312"/>
                <w:sz w:val="24"/>
              </w:rPr>
              <w:t>payload，并可自动解码明文展示，帮助安全人员快速定位攻击。</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者在有效期范围内的《计算机信息系统安全专用产品销售许可证》</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9</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产品自</w:t>
            </w:r>
            <w:r>
              <w:rPr>
                <w:rFonts w:ascii="仿宋_gb2312" w:hAnsi="仿宋_gb2312" w:cs="仿宋_gb2312" w:eastAsia="仿宋_gb2312"/>
                <w:sz w:val="24"/>
              </w:rPr>
              <w:t>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提供产品未在CNVD国家信息安全漏洞共享平台被披露过漏洞的截图证明并加盖投标人公章</w:t>
            </w:r>
          </w:p>
        </w:tc>
      </w:tr>
      <w:tr>
        <w:tc>
          <w:tcPr>
            <w:tcW w:type="dxa" w:w="1038"/>
          </w:tcPr>
          <w:p>
            <w:pPr>
              <w:pStyle w:val="null3"/>
            </w:pPr>
            <w:r>
              <w:rPr/>
              <w:t>10</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原厂商具备中国网络安全审查技术与认证中心颁发的信息安全服务资质认证证书（风险评估）一级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11</w:t>
            </w:r>
          </w:p>
        </w:tc>
        <w:tc>
          <w:tcPr>
            <w:tcW w:type="dxa" w:w="1038"/>
          </w:tcPr>
          <w:p>
            <w:pPr>
              <w:pStyle w:val="null3"/>
            </w:pPr>
            <w:r>
              <w:rPr/>
              <w:t>网络应用防火墙</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原厂商具备中国信息安全测评中心服务资质</w:t>
            </w:r>
            <w:r>
              <w:rPr>
                <w:rFonts w:ascii="仿宋_gb2312" w:hAnsi="仿宋_gb2312" w:cs="仿宋_gb2312" w:eastAsia="仿宋_gb2312"/>
                <w:sz w:val="24"/>
              </w:rPr>
              <w:t>-安全运营类二级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12</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both"/>
            </w:pPr>
            <w:r>
              <w:rPr>
                <w:rFonts w:ascii="仿宋_gb2312" w:hAnsi="仿宋_gb2312" w:cs="仿宋_gb2312" w:eastAsia="仿宋_gb2312"/>
                <w:sz w:val="24"/>
              </w:rPr>
              <w:t>2U机架式设备，冗余电源，CPU≥48核，内存≥256GB，SSD硬盘≥480GB，数据硬盘≥80TB，千兆电口≥1个，RJ45口≥1个，万兆光口（含光模块）≥4个，USB口≥4个。除上述要求外需额外提供扩容数据硬盘≥32TB。</w:t>
            </w:r>
            <w:r>
              <w:br/>
            </w:r>
            <w:r>
              <w:rPr>
                <w:rFonts w:ascii="仿宋_gb2312" w:hAnsi="仿宋_gb2312" w:cs="仿宋_gb2312" w:eastAsia="仿宋_gb2312"/>
                <w:sz w:val="24"/>
              </w:rPr>
              <w:t>操作系统应是国产操作系统或自研操作系统，</w:t>
            </w:r>
            <w:r>
              <w:rPr>
                <w:rFonts w:ascii="仿宋_gb2312" w:hAnsi="仿宋_gb2312" w:cs="仿宋_gb2312" w:eastAsia="仿宋_gb2312"/>
                <w:sz w:val="24"/>
              </w:rPr>
              <w:t>CPU应当符合安全可靠测评要求。具体要求如下：</w:t>
            </w:r>
            <w:r>
              <w:br/>
            </w:r>
            <w:r>
              <w:rPr>
                <w:rFonts w:ascii="仿宋_gb2312" w:hAnsi="仿宋_gb2312" w:cs="仿宋_gb2312" w:eastAsia="仿宋_gb2312"/>
                <w:sz w:val="24"/>
              </w:rPr>
              <w:t>(1）投标人必须在投标文件中明确CPU的制造商、型号等信息。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13</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jc w:val="both"/>
            </w:pPr>
            <w:r>
              <w:rPr>
                <w:rFonts w:ascii="仿宋_gb2312" w:hAnsi="仿宋_gb2312" w:cs="仿宋_gb2312" w:eastAsia="仿宋_gb2312"/>
                <w:sz w:val="24"/>
              </w:rPr>
              <w:t>网络层处理流量</w:t>
            </w:r>
            <w:r>
              <w:rPr>
                <w:rFonts w:ascii="仿宋_gb2312" w:hAnsi="仿宋_gb2312" w:cs="仿宋_gb2312" w:eastAsia="仿宋_gb2312"/>
                <w:sz w:val="24"/>
              </w:rPr>
              <w:t>≥10Gbps</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威胁检测功能</w:t>
            </w:r>
          </w:p>
        </w:tc>
        <w:tc>
          <w:tcPr>
            <w:tcW w:type="dxa" w:w="1038"/>
          </w:tcPr>
          <w:p/>
        </w:tc>
        <w:tc>
          <w:tcPr>
            <w:tcW w:type="dxa" w:w="1038"/>
          </w:tcPr>
          <w:p>
            <w:pPr>
              <w:pStyle w:val="null3"/>
              <w:jc w:val="both"/>
            </w:pPr>
            <w:r>
              <w:rPr>
                <w:rFonts w:ascii="仿宋_gb2312" w:hAnsi="仿宋_gb2312" w:cs="仿宋_gb2312" w:eastAsia="仿宋_gb2312"/>
                <w:sz w:val="24"/>
              </w:rPr>
              <w:t>支持自动识别登录入口，根据登录入口名称、</w:t>
            </w:r>
            <w:r>
              <w:rPr>
                <w:rFonts w:ascii="仿宋_gb2312" w:hAnsi="仿宋_gb2312" w:cs="仿宋_gb2312" w:eastAsia="仿宋_gb2312"/>
                <w:sz w:val="24"/>
              </w:rPr>
              <w:t>IP地址、端口、URL、参数提取位置、用户名/口令提取参数、入口类型、登录成功判定条件等参数自定义登录入口信息</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15</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威胁检测功能</w:t>
            </w:r>
          </w:p>
        </w:tc>
        <w:tc>
          <w:tcPr>
            <w:tcW w:type="dxa" w:w="1038"/>
          </w:tcPr>
          <w:p/>
        </w:tc>
        <w:tc>
          <w:tcPr>
            <w:tcW w:type="dxa" w:w="1038"/>
          </w:tcPr>
          <w:p>
            <w:pPr>
              <w:pStyle w:val="null3"/>
              <w:jc w:val="both"/>
            </w:pPr>
            <w:r>
              <w:rPr>
                <w:rFonts w:ascii="仿宋_gb2312" w:hAnsi="仿宋_gb2312" w:cs="仿宋_gb2312" w:eastAsia="仿宋_gb2312"/>
                <w:sz w:val="24"/>
              </w:rPr>
              <w:t>支持本地沙箱检测，支持</w:t>
            </w:r>
            <w:r>
              <w:rPr>
                <w:rFonts w:ascii="仿宋_gb2312" w:hAnsi="仿宋_gb2312" w:cs="仿宋_gb2312" w:eastAsia="仿宋_gb2312"/>
                <w:sz w:val="24"/>
              </w:rPr>
              <w:t>windows、linux类型沙箱运行模式，支持自定义检测文件类型；支持沙箱行为签名检测，根据主机或网络行为判断其是否为恶意文件，支持显示沙箱内样本运行截图</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16</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威胁响应功能</w:t>
            </w:r>
          </w:p>
        </w:tc>
        <w:tc>
          <w:tcPr>
            <w:tcW w:type="dxa" w:w="1038"/>
          </w:tcPr>
          <w:p/>
        </w:tc>
        <w:tc>
          <w:tcPr>
            <w:tcW w:type="dxa" w:w="1038"/>
          </w:tcPr>
          <w:p>
            <w:pPr>
              <w:pStyle w:val="null3"/>
              <w:jc w:val="both"/>
            </w:pPr>
            <w:r>
              <w:rPr>
                <w:rFonts w:ascii="仿宋_gb2312" w:hAnsi="仿宋_gb2312" w:cs="仿宋_gb2312" w:eastAsia="仿宋_gb2312"/>
                <w:sz w:val="24"/>
              </w:rPr>
              <w:t>支持与反洗钱监测分析中心现有</w:t>
            </w:r>
            <w:r>
              <w:rPr>
                <w:rFonts w:ascii="仿宋_gb2312" w:hAnsi="仿宋_gb2312" w:cs="仿宋_gb2312" w:eastAsia="仿宋_gb2312"/>
                <w:sz w:val="24"/>
              </w:rPr>
              <w:t>WAF设备（现有设备为SL-C10/W10）联动，将检测到的攻击会话下发到WAF做快速阻断处置，该功能需开箱即用。</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产品具备有效的由中国网络安全审查技术与认证中心颁发的《网络关键设备和网络安全专用产品安全认证证书》或</w:t>
            </w:r>
            <w:r>
              <w:rPr>
                <w:rFonts w:ascii="仿宋_gb2312" w:hAnsi="仿宋_gb2312" w:cs="仿宋_gb2312" w:eastAsia="仿宋_gb2312"/>
                <w:sz w:val="24"/>
              </w:rPr>
              <w:t>“国家互联网信息办公室、工业和信息化部、公安部、国家认监委公告2017年第1号”名录中机构颁发的《网络安全专用产品安全检测证书》或者在有效期范围内的《计算机信息系统安全专用产品销售许可证》。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18</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w:t>
            </w:r>
            <w:r>
              <w:rPr>
                <w:rFonts w:ascii="仿宋_gb2312" w:hAnsi="仿宋_gb2312" w:cs="仿宋_gb2312" w:eastAsia="仿宋_gb2312"/>
                <w:sz w:val="24"/>
              </w:rPr>
              <w:t>3年内（自2022年1月1日起）未曾出现严重缺陷、漏洞、后门等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提供产品未在CNVD国家信息安全漏洞共享平台被披露过漏洞的截图证明并加盖投标人公章</w:t>
            </w:r>
          </w:p>
        </w:tc>
      </w:tr>
      <w:tr>
        <w:tc>
          <w:tcPr>
            <w:tcW w:type="dxa" w:w="1038"/>
          </w:tcPr>
          <w:p>
            <w:pPr>
              <w:pStyle w:val="null3"/>
            </w:pPr>
            <w:r>
              <w:rPr/>
              <w:t>19</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原厂商具备中国网络安全审查技术与认证中心颁发的信息安全服务资质认证证书（风险评估）一级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20</w:t>
            </w:r>
          </w:p>
        </w:tc>
        <w:tc>
          <w:tcPr>
            <w:tcW w:type="dxa" w:w="1038"/>
          </w:tcPr>
          <w:p>
            <w:pPr>
              <w:pStyle w:val="null3"/>
            </w:pPr>
            <w:r>
              <w:rPr/>
              <w:t>全流量检测设备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原厂商具备中国信息安全测评中心服务资质</w:t>
            </w:r>
            <w:r>
              <w:rPr>
                <w:rFonts w:ascii="仿宋_gb2312" w:hAnsi="仿宋_gb2312" w:cs="仿宋_gb2312" w:eastAsia="仿宋_gb2312"/>
                <w:sz w:val="24"/>
              </w:rPr>
              <w:t>-安全运营类二级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21</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both"/>
            </w:pPr>
            <w:r>
              <w:rPr>
                <w:rFonts w:ascii="仿宋_gb2312" w:hAnsi="仿宋_gb2312" w:cs="仿宋_gb2312" w:eastAsia="仿宋_gb2312"/>
                <w:sz w:val="24"/>
              </w:rPr>
              <w:t>2U机架式设备，冗余电源，CPU≥8核，内存≥32GB，系统≥256 SSD，企业级硬盘≥2T ，RJ45串口≥1，GE管理口≥2个，万兆光口（含光模块）≥2个。</w:t>
            </w:r>
            <w:r>
              <w:br/>
            </w:r>
            <w:r>
              <w:rPr>
                <w:rFonts w:ascii="仿宋_gb2312" w:hAnsi="仿宋_gb2312" w:cs="仿宋_gb2312" w:eastAsia="仿宋_gb2312"/>
                <w:sz w:val="24"/>
              </w:rPr>
              <w:t>操作系统应是国产操作系统或自研操作系统，</w:t>
            </w:r>
            <w:r>
              <w:rPr>
                <w:rFonts w:ascii="仿宋_gb2312" w:hAnsi="仿宋_gb2312" w:cs="仿宋_gb2312" w:eastAsia="仿宋_gb2312"/>
                <w:sz w:val="24"/>
              </w:rPr>
              <w:t>CPU应当符合安全可靠测评要求。具体要求如下：</w:t>
            </w:r>
            <w:r>
              <w:br/>
            </w:r>
            <w:r>
              <w:rPr>
                <w:rFonts w:ascii="仿宋_gb2312" w:hAnsi="仿宋_gb2312" w:cs="仿宋_gb2312" w:eastAsia="仿宋_gb2312"/>
                <w:sz w:val="24"/>
              </w:rPr>
              <w:t>(1）投标人必须在投标文件中明确CPU的制造商、型号等信息。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22</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部署要求</w:t>
            </w:r>
          </w:p>
        </w:tc>
        <w:tc>
          <w:tcPr>
            <w:tcW w:type="dxa" w:w="1038"/>
          </w:tcPr>
          <w:p/>
        </w:tc>
        <w:tc>
          <w:tcPr>
            <w:tcW w:type="dxa" w:w="1038"/>
          </w:tcPr>
          <w:p>
            <w:pPr>
              <w:pStyle w:val="null3"/>
              <w:jc w:val="both"/>
            </w:pPr>
            <w:r>
              <w:rPr>
                <w:rFonts w:ascii="仿宋_gb2312" w:hAnsi="仿宋_gb2312" w:cs="仿宋_gb2312" w:eastAsia="仿宋_gb2312"/>
                <w:sz w:val="24"/>
              </w:rPr>
              <w:t>授权点数</w:t>
            </w:r>
            <w:r>
              <w:rPr>
                <w:rFonts w:ascii="仿宋_gb2312" w:hAnsi="仿宋_gb2312" w:cs="仿宋_gb2312" w:eastAsia="仿宋_gb2312"/>
                <w:sz w:val="24"/>
              </w:rPr>
              <w:t>≥1000个</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风险感知功能</w:t>
            </w:r>
          </w:p>
        </w:tc>
        <w:tc>
          <w:tcPr>
            <w:tcW w:type="dxa" w:w="1038"/>
          </w:tcPr>
          <w:p/>
        </w:tc>
        <w:tc>
          <w:tcPr>
            <w:tcW w:type="dxa" w:w="1038"/>
          </w:tcPr>
          <w:p>
            <w:pPr>
              <w:pStyle w:val="null3"/>
              <w:jc w:val="both"/>
            </w:pPr>
            <w:r>
              <w:rPr>
                <w:rFonts w:ascii="仿宋_gb2312" w:hAnsi="仿宋_gb2312" w:cs="仿宋_gb2312" w:eastAsia="仿宋_gb2312"/>
                <w:sz w:val="24"/>
              </w:rPr>
              <w:t>支持对高危端口进行实时监控，并对恶意端口监听行为进行告警。告警详情包括：风险等级、主机、事件名称、发现时间、状态、进程名、进程可执行文件、进程命令行参数、监听地址、协议、端口当前状态。支持对告警进行加白操作。</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入侵检测功能</w:t>
            </w:r>
          </w:p>
        </w:tc>
        <w:tc>
          <w:tcPr>
            <w:tcW w:type="dxa" w:w="1038"/>
          </w:tcPr>
          <w:p/>
        </w:tc>
        <w:tc>
          <w:tcPr>
            <w:tcW w:type="dxa" w:w="1038"/>
          </w:tcPr>
          <w:p>
            <w:pPr>
              <w:pStyle w:val="null3"/>
              <w:jc w:val="both"/>
            </w:pPr>
            <w:r>
              <w:rPr>
                <w:rFonts w:ascii="仿宋_gb2312" w:hAnsi="仿宋_gb2312" w:cs="仿宋_gb2312" w:eastAsia="仿宋_gb2312"/>
                <w:sz w:val="24"/>
              </w:rPr>
              <w:t>支持实时监控</w:t>
            </w:r>
            <w:r>
              <w:rPr>
                <w:rFonts w:ascii="仿宋_gb2312" w:hAnsi="仿宋_gb2312" w:cs="仿宋_gb2312" w:eastAsia="仿宋_gb2312"/>
                <w:sz w:val="24"/>
              </w:rPr>
              <w:t>SSH、RDP、FTP、WINRM、SMB等异常登录行为。支持黑名单和白名单两种检测方式。</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25</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入侵检测功能</w:t>
            </w:r>
          </w:p>
        </w:tc>
        <w:tc>
          <w:tcPr>
            <w:tcW w:type="dxa" w:w="1038"/>
          </w:tcPr>
          <w:p/>
        </w:tc>
        <w:tc>
          <w:tcPr>
            <w:tcW w:type="dxa" w:w="1038"/>
          </w:tcPr>
          <w:p>
            <w:pPr>
              <w:pStyle w:val="null3"/>
              <w:jc w:val="both"/>
            </w:pPr>
            <w:r>
              <w:rPr>
                <w:rFonts w:ascii="仿宋_gb2312" w:hAnsi="仿宋_gb2312" w:cs="仿宋_gb2312" w:eastAsia="仿宋_gb2312"/>
                <w:sz w:val="24"/>
              </w:rPr>
              <w:t>支持记录所有用户在主机上执行的命令历史，并支持通过自定义或者自学习的方式对主机上的命令操作事件进行白名单设置，并对白名单外的命令操作进行告警上报。</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26</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入侵检测功能</w:t>
            </w:r>
          </w:p>
        </w:tc>
        <w:tc>
          <w:tcPr>
            <w:tcW w:type="dxa" w:w="1038"/>
          </w:tcPr>
          <w:p/>
        </w:tc>
        <w:tc>
          <w:tcPr>
            <w:tcW w:type="dxa" w:w="1038"/>
          </w:tcPr>
          <w:p>
            <w:pPr>
              <w:pStyle w:val="null3"/>
              <w:jc w:val="both"/>
            </w:pPr>
            <w:r>
              <w:rPr>
                <w:rFonts w:ascii="仿宋_gb2312" w:hAnsi="仿宋_gb2312" w:cs="仿宋_gb2312" w:eastAsia="仿宋_gb2312"/>
                <w:sz w:val="24"/>
              </w:rPr>
              <w:t>支持联动反洗钱监测分析中心蜜罐设备（现有设备为</w:t>
            </w:r>
            <w:r>
              <w:rPr>
                <w:rFonts w:ascii="仿宋_gb2312" w:hAnsi="仿宋_gb2312" w:cs="仿宋_gb2312" w:eastAsia="仿宋_gb2312"/>
                <w:sz w:val="24"/>
              </w:rPr>
              <w:t>DS-SR01/AG01），构建全局蜜网，有效诱捕黑客攻击行为，并由高交互蜜罐实现溯源反制，该功能需开箱即用。</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27</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产品资质与报告</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者在有效期范围内的《计算机信息系统安全专用产品销售许可证》</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28</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产品资质与报告</w:t>
            </w:r>
          </w:p>
        </w:tc>
        <w:tc>
          <w:tcPr>
            <w:tcW w:type="dxa" w:w="1038"/>
          </w:tcPr>
          <w:p/>
        </w:tc>
        <w:tc>
          <w:tcPr>
            <w:tcW w:type="dxa" w:w="1038"/>
          </w:tcPr>
          <w:p>
            <w:pPr>
              <w:pStyle w:val="null3"/>
              <w:jc w:val="both"/>
            </w:pPr>
            <w:r>
              <w:rPr>
                <w:rFonts w:ascii="仿宋_gb2312" w:hAnsi="仿宋_gb2312" w:cs="仿宋_gb2312" w:eastAsia="仿宋_gb2312"/>
                <w:sz w:val="24"/>
              </w:rPr>
              <w:t>产品自</w:t>
            </w:r>
            <w:r>
              <w:rPr>
                <w:rFonts w:ascii="仿宋_gb2312" w:hAnsi="仿宋_gb2312" w:cs="仿宋_gb2312" w:eastAsia="仿宋_gb2312"/>
                <w:sz w:val="24"/>
              </w:rPr>
              <w:t>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提供产品未在CNVD国家信息安全漏洞共享平台被披露过漏洞的截图证明并加盖公章</w:t>
            </w:r>
          </w:p>
        </w:tc>
      </w:tr>
      <w:tr>
        <w:tc>
          <w:tcPr>
            <w:tcW w:type="dxa" w:w="1038"/>
          </w:tcPr>
          <w:p>
            <w:pPr>
              <w:pStyle w:val="null3"/>
            </w:pPr>
            <w:r>
              <w:rPr/>
              <w:t>29</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原厂商具备中国信息安全测评中心颁发的国家信息安全漏洞库（</w:t>
            </w:r>
            <w:r>
              <w:rPr>
                <w:rFonts w:ascii="仿宋_gb2312" w:hAnsi="仿宋_gb2312" w:cs="仿宋_gb2312" w:eastAsia="仿宋_gb2312"/>
                <w:sz w:val="24"/>
              </w:rPr>
              <w:t>CNNVD）技术支撑单位等级证书（一级）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30</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原厂商具备中国网络安全审查技术与认证中心颁发的信息安全服务资质认证证书（风险评估）一级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31</w:t>
            </w:r>
          </w:p>
        </w:tc>
        <w:tc>
          <w:tcPr>
            <w:tcW w:type="dxa" w:w="1038"/>
          </w:tcPr>
          <w:p>
            <w:pPr>
              <w:pStyle w:val="null3"/>
            </w:pPr>
            <w:r>
              <w:rPr/>
              <w:t>主机安全检测设备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原厂商具备中国信息安全测评中心服务资质</w:t>
            </w:r>
            <w:r>
              <w:rPr>
                <w:rFonts w:ascii="仿宋_gb2312" w:hAnsi="仿宋_gb2312" w:cs="仿宋_gb2312" w:eastAsia="仿宋_gb2312"/>
                <w:sz w:val="24"/>
              </w:rPr>
              <w:t>-安全运营类二级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32</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left"/>
            </w:pPr>
            <w:r>
              <w:rPr>
                <w:rFonts w:ascii="仿宋_gb2312" w:hAnsi="仿宋_gb2312" w:cs="仿宋_gb2312" w:eastAsia="仿宋_gb2312"/>
                <w:sz w:val="24"/>
              </w:rPr>
              <w:t>4台态势感知设备应分为2台态势感知管理平台设备和2台态势感知采集平台设备。</w:t>
            </w:r>
          </w:p>
          <w:p>
            <w:pPr>
              <w:pStyle w:val="null3"/>
              <w:jc w:val="left"/>
            </w:pPr>
            <w:r>
              <w:rPr>
                <w:rFonts w:ascii="仿宋_gb2312" w:hAnsi="仿宋_gb2312" w:cs="仿宋_gb2312" w:eastAsia="仿宋_gb2312"/>
                <w:sz w:val="24"/>
              </w:rPr>
              <w:t>管理平台要求：</w:t>
            </w:r>
            <w:r>
              <w:rPr>
                <w:rFonts w:ascii="仿宋_gb2312" w:hAnsi="仿宋_gb2312" w:cs="仿宋_gb2312" w:eastAsia="仿宋_gb2312"/>
                <w:sz w:val="24"/>
              </w:rPr>
              <w:t>2U机架式设备，冗余电源，CPU≥48核，内存≥256GB，SSD硬盘≥960GB，数据硬盘≥48TB，千兆电口≥2个，万兆光口（含光模块）≥2个。</w:t>
            </w:r>
          </w:p>
          <w:p>
            <w:pPr>
              <w:pStyle w:val="null3"/>
              <w:jc w:val="both"/>
            </w:pPr>
            <w:r>
              <w:rPr>
                <w:rFonts w:ascii="仿宋_gb2312" w:hAnsi="仿宋_gb2312" w:cs="仿宋_gb2312" w:eastAsia="仿宋_gb2312"/>
                <w:sz w:val="24"/>
              </w:rPr>
              <w:t>采集平台设备要求：</w:t>
            </w:r>
            <w:r>
              <w:rPr>
                <w:rFonts w:ascii="仿宋_gb2312" w:hAnsi="仿宋_gb2312" w:cs="仿宋_gb2312" w:eastAsia="仿宋_gb2312"/>
                <w:sz w:val="24"/>
              </w:rPr>
              <w:t>2U机架式设备，冗余电源，CPU≥8核，内存≥32GB，SSD硬盘≥256GB，千兆电口≥2个，万兆光口（含光模块）≥2个。</w:t>
            </w:r>
            <w:r>
              <w:br/>
            </w:r>
            <w:r>
              <w:rPr>
                <w:rFonts w:ascii="仿宋_gb2312" w:hAnsi="仿宋_gb2312" w:cs="仿宋_gb2312" w:eastAsia="仿宋_gb2312"/>
                <w:sz w:val="24"/>
              </w:rPr>
              <w:t>操作系统应是国产操作系统或自研操作系统，</w:t>
            </w:r>
            <w:r>
              <w:rPr>
                <w:rFonts w:ascii="仿宋_gb2312" w:hAnsi="仿宋_gb2312" w:cs="仿宋_gb2312" w:eastAsia="仿宋_gb2312"/>
                <w:sz w:val="24"/>
              </w:rPr>
              <w:t>CPU应当符合安全可靠测评要求。具体要求如下：</w:t>
            </w:r>
            <w:r>
              <w:br/>
            </w:r>
            <w:r>
              <w:rPr>
                <w:rFonts w:ascii="仿宋_gb2312" w:hAnsi="仿宋_gb2312" w:cs="仿宋_gb2312" w:eastAsia="仿宋_gb2312"/>
                <w:sz w:val="24"/>
              </w:rPr>
              <w:t>(1）投标人必须在投标文件中明确CPU的制造商、型号等信息。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33</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jc w:val="both"/>
            </w:pPr>
            <w:r>
              <w:rPr>
                <w:rFonts w:ascii="仿宋_gb2312" w:hAnsi="仿宋_gb2312" w:cs="仿宋_gb2312" w:eastAsia="仿宋_gb2312"/>
                <w:sz w:val="24"/>
              </w:rPr>
              <w:t>日志峰值</w:t>
            </w:r>
            <w:r>
              <w:rPr>
                <w:rFonts w:ascii="仿宋_gb2312" w:hAnsi="仿宋_gb2312" w:cs="仿宋_gb2312" w:eastAsia="仿宋_gb2312"/>
                <w:sz w:val="24"/>
              </w:rPr>
              <w:t>≥10000EPS，日志平均≥70EPS</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态势可视</w:t>
            </w:r>
          </w:p>
        </w:tc>
        <w:tc>
          <w:tcPr>
            <w:tcW w:type="dxa" w:w="1038"/>
          </w:tcPr>
          <w:p/>
        </w:tc>
        <w:tc>
          <w:tcPr>
            <w:tcW w:type="dxa" w:w="1038"/>
          </w:tcPr>
          <w:p>
            <w:pPr>
              <w:pStyle w:val="null3"/>
              <w:jc w:val="both"/>
            </w:pPr>
            <w:r>
              <w:rPr>
                <w:rFonts w:ascii="仿宋_gb2312" w:hAnsi="仿宋_gb2312" w:cs="仿宋_gb2312" w:eastAsia="仿宋_gb2312"/>
                <w:sz w:val="24"/>
              </w:rPr>
              <w:t>支持可视化视图（表格、折线图、柱状图、饼图、雷达图、桑吉图等），支持显示各类业务数据、管理数据、用户自定义数据、可视化分析数据等，支持</w:t>
            </w:r>
            <w:r>
              <w:rPr>
                <w:rFonts w:ascii="仿宋_gb2312" w:hAnsi="仿宋_gb2312" w:cs="仿宋_gb2312" w:eastAsia="仿宋_gb2312"/>
                <w:sz w:val="24"/>
              </w:rPr>
              <w:t>join多表关联，支持发布应用为可视化分析场景。</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35</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数据管理</w:t>
            </w:r>
          </w:p>
        </w:tc>
        <w:tc>
          <w:tcPr>
            <w:tcW w:type="dxa" w:w="1038"/>
          </w:tcPr>
          <w:p/>
        </w:tc>
        <w:tc>
          <w:tcPr>
            <w:tcW w:type="dxa" w:w="1038"/>
          </w:tcPr>
          <w:p>
            <w:pPr>
              <w:pStyle w:val="null3"/>
              <w:jc w:val="both"/>
            </w:pPr>
            <w:r>
              <w:rPr>
                <w:rFonts w:ascii="仿宋_gb2312" w:hAnsi="仿宋_gb2312" w:cs="仿宋_gb2312" w:eastAsia="仿宋_gb2312"/>
                <w:sz w:val="24"/>
              </w:rPr>
              <w:t>平台具备自动化解析能力，支持解析、接入第三方安全设备日志，支持通过</w:t>
            </w:r>
            <w:r>
              <w:rPr>
                <w:rFonts w:ascii="仿宋_gb2312" w:hAnsi="仿宋_gb2312" w:cs="仿宋_gb2312" w:eastAsia="仿宋_gb2312"/>
                <w:sz w:val="24"/>
              </w:rPr>
              <w:t>json、xml、键值对、正则等方式对复杂日志样本进行解析，可针对数据采集及处理过程实现数据监控。</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36</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检索分析</w:t>
            </w:r>
          </w:p>
        </w:tc>
        <w:tc>
          <w:tcPr>
            <w:tcW w:type="dxa" w:w="1038"/>
          </w:tcPr>
          <w:p/>
        </w:tc>
        <w:tc>
          <w:tcPr>
            <w:tcW w:type="dxa" w:w="1038"/>
          </w:tcPr>
          <w:p>
            <w:pPr>
              <w:pStyle w:val="null3"/>
              <w:jc w:val="both"/>
            </w:pPr>
            <w:r>
              <w:rPr>
                <w:rFonts w:ascii="仿宋_gb2312" w:hAnsi="仿宋_gb2312" w:cs="仿宋_gb2312" w:eastAsia="仿宋_gb2312"/>
                <w:sz w:val="24"/>
              </w:rPr>
              <w:t>支持通过手动或自动化策略的方式进行告警处置，联动设备需包含反洗钱中心现有的防火墙、</w:t>
            </w:r>
            <w:r>
              <w:rPr>
                <w:rFonts w:ascii="仿宋_gb2312" w:hAnsi="仿宋_gb2312" w:cs="仿宋_gb2312" w:eastAsia="仿宋_gb2312"/>
                <w:sz w:val="24"/>
              </w:rPr>
              <w:t>WAF、主机安全等设备。IP封禁（边界拦截）功能需支持多种模式（永久封禁、循环封禁、定时封禁）；主机隔离功能需支持针对内网异常IP的快读拦截、异常主机及时下线处理。</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37</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检索分析</w:t>
            </w:r>
          </w:p>
        </w:tc>
        <w:tc>
          <w:tcPr>
            <w:tcW w:type="dxa" w:w="1038"/>
          </w:tcPr>
          <w:p/>
        </w:tc>
        <w:tc>
          <w:tcPr>
            <w:tcW w:type="dxa" w:w="1038"/>
          </w:tcPr>
          <w:p>
            <w:pPr>
              <w:pStyle w:val="null3"/>
              <w:jc w:val="both"/>
            </w:pPr>
            <w:r>
              <w:rPr>
                <w:rFonts w:ascii="仿宋_gb2312" w:hAnsi="仿宋_gb2312" w:cs="仿宋_gb2312" w:eastAsia="仿宋_gb2312"/>
                <w:sz w:val="24"/>
              </w:rPr>
              <w:t>支持细粒度控制</w:t>
            </w:r>
            <w:r>
              <w:rPr>
                <w:rFonts w:ascii="仿宋_gb2312" w:hAnsi="仿宋_gb2312" w:cs="仿宋_gb2312" w:eastAsia="仿宋_gb2312"/>
                <w:sz w:val="24"/>
              </w:rPr>
              <w:t>SOAR剧本的触发条件和触发模式，能够在一条分析规则中进行复杂分析场景及SOAR剧本触发的多层级组合、嵌套配置，可基于网络区域、资产重要性、资产位置等维度关联资产信息。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人行态感对接</w:t>
            </w:r>
          </w:p>
        </w:tc>
        <w:tc>
          <w:tcPr>
            <w:tcW w:type="dxa" w:w="1038"/>
          </w:tcPr>
          <w:p/>
        </w:tc>
        <w:tc>
          <w:tcPr>
            <w:tcW w:type="dxa" w:w="1038"/>
          </w:tcPr>
          <w:p>
            <w:pPr>
              <w:pStyle w:val="null3"/>
              <w:jc w:val="both"/>
            </w:pPr>
            <w:r>
              <w:rPr>
                <w:rFonts w:ascii="仿宋_gb2312" w:hAnsi="仿宋_gb2312" w:cs="仿宋_gb2312" w:eastAsia="仿宋_gb2312"/>
                <w:sz w:val="24"/>
              </w:rPr>
              <w:t>支持接入人行站内信数据源，拉取站内信数据并进行结构化展示，并解析站内信中的附件，对附件内容进行结构化展示。</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人行态感对接</w:t>
            </w:r>
          </w:p>
        </w:tc>
        <w:tc>
          <w:tcPr>
            <w:tcW w:type="dxa" w:w="1038"/>
          </w:tcPr>
          <w:p/>
        </w:tc>
        <w:tc>
          <w:tcPr>
            <w:tcW w:type="dxa" w:w="1038"/>
          </w:tcPr>
          <w:p>
            <w:pPr>
              <w:pStyle w:val="null3"/>
              <w:jc w:val="both"/>
            </w:pPr>
            <w:r>
              <w:rPr>
                <w:rFonts w:ascii="仿宋_gb2312" w:hAnsi="仿宋_gb2312" w:cs="仿宋_gb2312" w:eastAsia="仿宋_gb2312"/>
                <w:sz w:val="24"/>
              </w:rPr>
              <w:t>支持向人行态感平台进行数据上报，上报内容包含网络攻击数据、</w:t>
            </w:r>
            <w:r>
              <w:rPr>
                <w:rFonts w:ascii="仿宋_gb2312" w:hAnsi="仿宋_gb2312" w:cs="仿宋_gb2312" w:eastAsia="仿宋_gb2312"/>
                <w:sz w:val="24"/>
              </w:rPr>
              <w:t>DDOS攻击数据、病毒感染数据、防病毒产品安装数据、反垃圾邮件、恶意邮件数据、假冒网站/APP、黑设备指纹、黑设备封禁数据等。</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数据备份</w:t>
            </w:r>
          </w:p>
        </w:tc>
        <w:tc>
          <w:tcPr>
            <w:tcW w:type="dxa" w:w="1038"/>
          </w:tcPr>
          <w:p/>
        </w:tc>
        <w:tc>
          <w:tcPr>
            <w:tcW w:type="dxa" w:w="1038"/>
          </w:tcPr>
          <w:p>
            <w:pPr>
              <w:pStyle w:val="null3"/>
              <w:jc w:val="both"/>
            </w:pPr>
            <w:r>
              <w:rPr>
                <w:rFonts w:ascii="仿宋_gb2312" w:hAnsi="仿宋_gb2312" w:cs="仿宋_gb2312" w:eastAsia="仿宋_gb2312"/>
                <w:sz w:val="24"/>
              </w:rPr>
              <w:t>态势感知管理平台须支持将自身汇聚的原始安全设备告警数据，定期或实时同步至另一台态势感知管理平台。</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者在有效期范围内的《计算机信息系统安全专用产品销售许可证》</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42</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w:t>
            </w:r>
            <w:r>
              <w:rPr>
                <w:rFonts w:ascii="仿宋_gb2312" w:hAnsi="仿宋_gb2312" w:cs="仿宋_gb2312" w:eastAsia="仿宋_gb2312"/>
                <w:sz w:val="24"/>
              </w:rPr>
              <w:t>3年内（自2022年1月1日起）未曾出现严重缺陷、漏洞、后门等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提供产品未在CNVD国家信息安全漏洞共享平台被披露过漏洞的截图证明并加盖投标人公章</w:t>
            </w:r>
          </w:p>
        </w:tc>
      </w:tr>
      <w:tr>
        <w:tc>
          <w:tcPr>
            <w:tcW w:type="dxa" w:w="1038"/>
          </w:tcPr>
          <w:p>
            <w:pPr>
              <w:pStyle w:val="null3"/>
            </w:pPr>
            <w:r>
              <w:rPr/>
              <w:t>43</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原厂商具备中国网络安全审查技术与认证中心颁发的信息安全服务资质认证证书（软件开发）一级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44</w:t>
            </w:r>
          </w:p>
        </w:tc>
        <w:tc>
          <w:tcPr>
            <w:tcW w:type="dxa" w:w="1038"/>
          </w:tcPr>
          <w:p>
            <w:pPr>
              <w:pStyle w:val="null3"/>
            </w:pPr>
            <w:r>
              <w:rPr/>
              <w:t>态势感知设备</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原厂商具备中国信息安全测评中心服务资质</w:t>
            </w:r>
            <w:r>
              <w:rPr>
                <w:rFonts w:ascii="仿宋_gb2312" w:hAnsi="仿宋_gb2312" w:cs="仿宋_gb2312" w:eastAsia="仿宋_gb2312"/>
                <w:sz w:val="24"/>
              </w:rPr>
              <w:t>-安全运营类二级</w:t>
            </w:r>
          </w:p>
        </w:tc>
        <w:tc>
          <w:tcPr>
            <w:tcW w:type="dxa" w:w="1038"/>
          </w:tcPr>
          <w:p>
            <w:pPr>
              <w:pStyle w:val="null3"/>
            </w:pPr>
            <w:r>
              <w:rPr/>
              <w:t>是</w:t>
            </w:r>
          </w:p>
        </w:tc>
        <w:tc>
          <w:tcPr>
            <w:tcW w:type="dxa" w:w="1038"/>
          </w:tcPr>
          <w:p>
            <w:pPr>
              <w:pStyle w:val="null3"/>
            </w:pPr>
            <w:r>
              <w:rPr/>
              <w:t>提供证书复印件并加盖投标人公章</w:t>
            </w:r>
          </w:p>
        </w:tc>
      </w:tr>
      <w:tr>
        <w:tc>
          <w:tcPr>
            <w:tcW w:type="dxa" w:w="1038"/>
          </w:tcPr>
          <w:p>
            <w:pPr>
              <w:pStyle w:val="null3"/>
            </w:pPr>
            <w:r>
              <w:rPr/>
              <w:t>45</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both"/>
            </w:pPr>
            <w:r>
              <w:rPr>
                <w:rFonts w:ascii="仿宋_gb2312" w:hAnsi="仿宋_gb2312" w:cs="仿宋_gb2312" w:eastAsia="仿宋_gb2312"/>
                <w:sz w:val="24"/>
              </w:rPr>
              <w:t>1U/2U机架式设备，冗余电源，内存≥16G，可用硬盘空间≥2TB，千兆电口≥4个，万兆光口≥4个。操作系统应是国产操作系统或自研操作系统，CPU应当符合安全可靠测评要求。具体要求如下：</w:t>
            </w:r>
            <w:r>
              <w:br/>
            </w:r>
            <w:r>
              <w:rPr>
                <w:rFonts w:ascii="仿宋_gb2312" w:hAnsi="仿宋_gb2312" w:cs="仿宋_gb2312" w:eastAsia="仿宋_gb2312"/>
                <w:sz w:val="24"/>
              </w:rPr>
              <w:t>(1）供应商必须在投标文件中明确CPU的制造商、型号等信息。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46</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国密要求</w:t>
            </w:r>
          </w:p>
        </w:tc>
        <w:tc>
          <w:tcPr>
            <w:tcW w:type="dxa" w:w="1038"/>
          </w:tcPr>
          <w:p/>
        </w:tc>
        <w:tc>
          <w:tcPr>
            <w:tcW w:type="dxa" w:w="1038"/>
          </w:tcPr>
          <w:p>
            <w:pPr>
              <w:pStyle w:val="null3"/>
              <w:jc w:val="both"/>
            </w:pPr>
            <w:r>
              <w:rPr>
                <w:rFonts w:ascii="仿宋_gb2312" w:hAnsi="仿宋_gb2312" w:cs="仿宋_gb2312" w:eastAsia="仿宋_gb2312"/>
                <w:sz w:val="24"/>
              </w:rPr>
              <w:t>堡垒机应包含硬件密码卡和支持国密算法的</w:t>
            </w:r>
            <w:r>
              <w:rPr>
                <w:rFonts w:ascii="仿宋_gb2312" w:hAnsi="仿宋_gb2312" w:cs="仿宋_gb2312" w:eastAsia="仿宋_gb2312"/>
                <w:sz w:val="24"/>
              </w:rPr>
              <w:t>Ukey（至少20个Ukey)和支持国密的CA个人证书（至少20个）。</w:t>
            </w:r>
            <w:r>
              <w:br/>
            </w:r>
            <w:r>
              <w:rPr>
                <w:rFonts w:ascii="仿宋_gb2312" w:hAnsi="仿宋_gb2312" w:cs="仿宋_gb2312" w:eastAsia="仿宋_gb2312"/>
                <w:sz w:val="24"/>
              </w:rPr>
              <w:t>堡垒机身份鉴别使用智能密码钥匙和</w:t>
            </w:r>
            <w:r>
              <w:rPr>
                <w:rFonts w:ascii="仿宋_gb2312" w:hAnsi="仿宋_gb2312" w:cs="仿宋_gb2312" w:eastAsia="仿宋_gb2312"/>
                <w:sz w:val="24"/>
              </w:rPr>
              <w:t>PCIE密码卡产品，使用商用密码算法签名验签方式实现。堡垒机远程管理、运维通道使用GMSSL通道进行通信，保障机密性与完整性。</w:t>
            </w:r>
            <w:r>
              <w:br/>
            </w:r>
            <w:r>
              <w:rPr>
                <w:rFonts w:ascii="仿宋_gb2312" w:hAnsi="仿宋_gb2312" w:cs="仿宋_gb2312" w:eastAsia="仿宋_gb2312"/>
                <w:sz w:val="24"/>
              </w:rPr>
              <w:t>智能密码钥匙和</w:t>
            </w:r>
            <w:r>
              <w:rPr>
                <w:rFonts w:ascii="仿宋_gb2312" w:hAnsi="仿宋_gb2312" w:cs="仿宋_gb2312" w:eastAsia="仿宋_gb2312"/>
                <w:sz w:val="24"/>
              </w:rPr>
              <w:t>PCIE密码卡具有国家密码管理局商用密码检测中心颁发的《商用密码产品认证证书》。如采用第三方智能密码钥匙和PCIE密码卡，则提供第三方生产商的《商用密码产品认证证书》。</w:t>
            </w:r>
          </w:p>
        </w:tc>
        <w:tc>
          <w:tcPr>
            <w:tcW w:type="dxa" w:w="1038"/>
          </w:tcPr>
          <w:p>
            <w:pPr>
              <w:pStyle w:val="null3"/>
            </w:pPr>
            <w:r>
              <w:rPr/>
              <w:t>是</w:t>
            </w:r>
          </w:p>
        </w:tc>
        <w:tc>
          <w:tcPr>
            <w:tcW w:type="dxa" w:w="1038"/>
          </w:tcPr>
          <w:p>
            <w:pPr>
              <w:pStyle w:val="null3"/>
            </w:pPr>
            <w:r>
              <w:rPr/>
              <w:t>提供国家密码管理局商用密码检测中心颁发的商用密码产品认证证书，并加盖投标人公章/第三方生产商的商用密码产品认证证书，并加盖投标人公章。</w:t>
            </w:r>
          </w:p>
        </w:tc>
      </w:tr>
      <w:tr>
        <w:tc>
          <w:tcPr>
            <w:tcW w:type="dxa" w:w="1038"/>
          </w:tcPr>
          <w:p>
            <w:pPr>
              <w:pStyle w:val="null3"/>
            </w:pPr>
            <w:r>
              <w:rPr/>
              <w:t>47</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jc w:val="both"/>
            </w:pPr>
            <w:r>
              <w:rPr>
                <w:rFonts w:ascii="仿宋_gb2312" w:hAnsi="仿宋_gb2312" w:cs="仿宋_gb2312" w:eastAsia="仿宋_gb2312"/>
                <w:sz w:val="24"/>
              </w:rPr>
              <w:t>最大可管理设备数</w:t>
            </w:r>
            <w:r>
              <w:rPr>
                <w:rFonts w:ascii="仿宋_gb2312" w:hAnsi="仿宋_gb2312" w:cs="仿宋_gb2312" w:eastAsia="仿宋_gb2312"/>
                <w:sz w:val="24"/>
              </w:rPr>
              <w:t>≥1500个。</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审计管理功能</w:t>
            </w:r>
          </w:p>
        </w:tc>
        <w:tc>
          <w:tcPr>
            <w:tcW w:type="dxa" w:w="1038"/>
          </w:tcPr>
          <w:p/>
        </w:tc>
        <w:tc>
          <w:tcPr>
            <w:tcW w:type="dxa" w:w="1038"/>
          </w:tcPr>
          <w:p>
            <w:pPr>
              <w:pStyle w:val="null3"/>
              <w:jc w:val="both"/>
            </w:pPr>
            <w:r>
              <w:rPr>
                <w:rFonts w:ascii="仿宋_gb2312" w:hAnsi="仿宋_gb2312" w:cs="仿宋_gb2312" w:eastAsia="仿宋_gb2312"/>
                <w:sz w:val="24"/>
              </w:rPr>
              <w:t>支持设置</w:t>
            </w:r>
            <w:r>
              <w:rPr>
                <w:rFonts w:ascii="仿宋_gb2312" w:hAnsi="仿宋_gb2312" w:cs="仿宋_gb2312" w:eastAsia="仿宋_gb2312"/>
                <w:sz w:val="24"/>
              </w:rPr>
              <w:t>web登录时，运维界面添加水印功能，防止敏感信息通过截图拍照泄漏。</w:t>
            </w:r>
          </w:p>
        </w:tc>
        <w:tc>
          <w:tcPr>
            <w:tcW w:type="dxa" w:w="1038"/>
          </w:tcPr>
          <w:p>
            <w:pPr>
              <w:pStyle w:val="null3"/>
            </w:pPr>
            <w:r>
              <w:rPr/>
              <w:t>是</w:t>
            </w:r>
          </w:p>
        </w:tc>
        <w:tc>
          <w:tcPr>
            <w:tcW w:type="dxa" w:w="1038"/>
          </w:tcPr>
          <w:p>
            <w:pPr>
              <w:pStyle w:val="null3"/>
            </w:pPr>
            <w:r>
              <w:rPr/>
              <w:t>提供产品操作使用界面的功能截图证明，并加盖投标人公章</w:t>
            </w:r>
          </w:p>
        </w:tc>
      </w:tr>
      <w:tr>
        <w:tc>
          <w:tcPr>
            <w:tcW w:type="dxa" w:w="1038"/>
          </w:tcPr>
          <w:p>
            <w:pPr>
              <w:pStyle w:val="null3"/>
            </w:pPr>
            <w:r>
              <w:rPr/>
              <w:t>49</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审计管理功能</w:t>
            </w:r>
          </w:p>
        </w:tc>
        <w:tc>
          <w:tcPr>
            <w:tcW w:type="dxa" w:w="1038"/>
          </w:tcPr>
          <w:p/>
        </w:tc>
        <w:tc>
          <w:tcPr>
            <w:tcW w:type="dxa" w:w="1038"/>
          </w:tcPr>
          <w:p>
            <w:pPr>
              <w:pStyle w:val="null3"/>
              <w:jc w:val="both"/>
            </w:pPr>
            <w:r>
              <w:rPr>
                <w:rFonts w:ascii="仿宋_gb2312" w:hAnsi="仿宋_gb2312" w:cs="仿宋_gb2312" w:eastAsia="仿宋_gb2312"/>
                <w:sz w:val="24"/>
              </w:rPr>
              <w:t>支持字符审计，对字符命令方式的访问可以审计到所有交互内容，可以还原操作过程的命令输入和结果输出，并且可以高亮显示高危命令。</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pPr>
            <w:r>
              <w:rPr/>
              <w:t>产品具备有效的由中国网络安全审查技术与认证中心颁发的《网络关键设备和网络安全专用产品安全认证证书》或“国家互联网信息办公室、工业和信息化部、公安部、国家认监委公告2017年第1号”名录中机构颁发的《网络安全专用产品安全检测证书》或者在有效期范围内的《计算机信息系统安全专用产品销售许可证》</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51</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产品自</w:t>
            </w:r>
            <w:r>
              <w:rPr>
                <w:rFonts w:ascii="仿宋_gb2312" w:hAnsi="仿宋_gb2312" w:cs="仿宋_gb2312" w:eastAsia="仿宋_gb2312"/>
                <w:sz w:val="24"/>
              </w:rPr>
              <w:t>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提供产品未在CNVD国家信息安全漏洞共享平台被披露过漏洞的截图证明，并加盖投标人公章</w:t>
            </w:r>
          </w:p>
        </w:tc>
      </w:tr>
      <w:tr>
        <w:tc>
          <w:tcPr>
            <w:tcW w:type="dxa" w:w="1038"/>
          </w:tcPr>
          <w:p>
            <w:pPr>
              <w:pStyle w:val="null3"/>
            </w:pPr>
            <w:r>
              <w:rPr/>
              <w:t>52</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原厂商具备中国网络安全审查技术与认证中心颁发的信息安全服务资质认证证书（风险评估）一级。</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53</w:t>
            </w:r>
          </w:p>
        </w:tc>
        <w:tc>
          <w:tcPr>
            <w:tcW w:type="dxa" w:w="1038"/>
          </w:tcPr>
          <w:p>
            <w:pPr>
              <w:pStyle w:val="null3"/>
            </w:pPr>
            <w:r>
              <w:rPr/>
              <w:t>堡垒机</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原厂商具备中国信息安全测评中心服务资质</w:t>
            </w:r>
            <w:r>
              <w:rPr>
                <w:rFonts w:ascii="仿宋_gb2312" w:hAnsi="仿宋_gb2312" w:cs="仿宋_gb2312" w:eastAsia="仿宋_gb2312"/>
                <w:sz w:val="24"/>
              </w:rPr>
              <w:t>-安全运营类二级。</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54</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产品规格</w:t>
            </w:r>
          </w:p>
        </w:tc>
        <w:tc>
          <w:tcPr>
            <w:tcW w:type="dxa" w:w="1038"/>
          </w:tcPr>
          <w:p/>
        </w:tc>
        <w:tc>
          <w:tcPr>
            <w:tcW w:type="dxa" w:w="1038"/>
          </w:tcPr>
          <w:p>
            <w:pPr>
              <w:pStyle w:val="null3"/>
              <w:jc w:val="both"/>
            </w:pPr>
            <w:r>
              <w:rPr>
                <w:rFonts w:ascii="仿宋_gb2312" w:hAnsi="仿宋_gb2312" w:cs="仿宋_gb2312" w:eastAsia="仿宋_gb2312"/>
                <w:sz w:val="24"/>
              </w:rPr>
              <w:t>支持冗余电源、冗余风扇；提供</w:t>
            </w:r>
            <w:r>
              <w:rPr>
                <w:rFonts w:ascii="仿宋_gb2312" w:hAnsi="仿宋_gb2312" w:cs="仿宋_gb2312" w:eastAsia="仿宋_gb2312"/>
                <w:sz w:val="24"/>
              </w:rPr>
              <w:t>≥48*1GE/10GE/25G+8*40GE/100GE业务接口，光模块可以依据要求进行选配；所有设备适配安装标准尺寸机柜，1U/2U高度一体式设备，不接受多台设备组合方案，不接受SDN白盒交换机架构；CPU应当符合安全可靠测评要求。具体要求如下：</w:t>
            </w:r>
            <w:r>
              <w:br/>
            </w:r>
            <w:r>
              <w:rPr>
                <w:rFonts w:ascii="仿宋_gb2312" w:hAnsi="仿宋_gb2312" w:cs="仿宋_gb2312" w:eastAsia="仿宋_gb2312"/>
                <w:sz w:val="24"/>
              </w:rPr>
              <w:t>(1）供应商必须在投标文件中明确CPU的制造商、型号等信息。</w:t>
            </w:r>
            <w:r>
              <w:br/>
            </w:r>
            <w:r>
              <w:rPr>
                <w:rFonts w:ascii="仿宋_gb2312" w:hAnsi="仿宋_gb2312" w:cs="仿宋_gb2312" w:eastAsia="仿宋_gb2312"/>
                <w:sz w:val="24"/>
              </w:rPr>
              <w:t>(2）截止开标前应可在中国信息安全测评中心或国家保密科技测评中心公告的安全可靠测评结果中查到该品牌及型号的CPU。</w:t>
            </w:r>
          </w:p>
        </w:tc>
        <w:tc>
          <w:tcPr>
            <w:tcW w:type="dxa" w:w="1038"/>
          </w:tcPr>
          <w:p>
            <w:pPr>
              <w:pStyle w:val="null3"/>
            </w:pPr>
            <w:r>
              <w:rPr/>
              <w:t>是</w:t>
            </w:r>
          </w:p>
        </w:tc>
        <w:tc>
          <w:tcPr>
            <w:tcW w:type="dxa" w:w="1038"/>
          </w:tcPr>
          <w:p>
            <w:pPr>
              <w:pStyle w:val="null3"/>
            </w:pPr>
            <w:r>
              <w:rPr/>
              <w:t>提供中国信息安全测评中心或国家保密科技测评中心官网公告的截图证明，并加盖投标人公章</w:t>
            </w:r>
          </w:p>
        </w:tc>
      </w:tr>
      <w:tr>
        <w:tc>
          <w:tcPr>
            <w:tcW w:type="dxa" w:w="1038"/>
          </w:tcPr>
          <w:p>
            <w:pPr>
              <w:pStyle w:val="null3"/>
            </w:pPr>
            <w:r>
              <w:rPr/>
              <w:t>55</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性能要求</w:t>
            </w:r>
          </w:p>
        </w:tc>
        <w:tc>
          <w:tcPr>
            <w:tcW w:type="dxa" w:w="1038"/>
          </w:tcPr>
          <w:p/>
        </w:tc>
        <w:tc>
          <w:tcPr>
            <w:tcW w:type="dxa" w:w="1038"/>
          </w:tcPr>
          <w:p>
            <w:pPr>
              <w:pStyle w:val="null3"/>
              <w:jc w:val="both"/>
            </w:pPr>
            <w:r>
              <w:rPr>
                <w:rFonts w:ascii="仿宋_gb2312" w:hAnsi="仿宋_gb2312" w:cs="仿宋_gb2312" w:eastAsia="仿宋_gb2312"/>
                <w:sz w:val="24"/>
              </w:rPr>
              <w:t>基本功能规则下支持不低于</w:t>
            </w:r>
            <w:r>
              <w:rPr>
                <w:rFonts w:ascii="仿宋_gb2312" w:hAnsi="仿宋_gb2312" w:cs="仿宋_gb2312" w:eastAsia="仿宋_gb2312"/>
                <w:sz w:val="24"/>
              </w:rPr>
              <w:t>2Tbps的线速转发能力无丢包。</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jc w:val="both"/>
            </w:pPr>
            <w:r>
              <w:rPr>
                <w:rFonts w:ascii="仿宋_gb2312" w:hAnsi="仿宋_gb2312" w:cs="仿宋_gb2312" w:eastAsia="仿宋_gb2312"/>
                <w:sz w:val="24"/>
              </w:rPr>
              <w:t>支持多元素过滤功能，支持不同端口应用不同的过滤规则，支持根据</w:t>
            </w:r>
            <w:r>
              <w:rPr>
                <w:rFonts w:ascii="仿宋_gb2312" w:hAnsi="仿宋_gb2312" w:cs="仿宋_gb2312" w:eastAsia="仿宋_gb2312"/>
                <w:sz w:val="24"/>
              </w:rPr>
              <w:t>MAC源地址/目的地址、VLAN_ID、EtherType、IP源地址/目的地址、TCP/UDP源端口号/目的端口号、协议号、TOS、DSCP、TCP选项、IPID、是否分片、是否携带IP Option、VxLAN等设置过滤条件，支持匹配用户自定义字段过滤、支持重叠多条过滤条件，支持IPv4/IPv6双栈过滤条件设置。</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功能要求</w:t>
            </w:r>
          </w:p>
        </w:tc>
        <w:tc>
          <w:tcPr>
            <w:tcW w:type="dxa" w:w="1038"/>
          </w:tcPr>
          <w:p/>
        </w:tc>
        <w:tc>
          <w:tcPr>
            <w:tcW w:type="dxa" w:w="1038"/>
          </w:tcPr>
          <w:p>
            <w:pPr>
              <w:pStyle w:val="null3"/>
              <w:jc w:val="both"/>
            </w:pPr>
            <w:r>
              <w:rPr>
                <w:rFonts w:ascii="仿宋_gb2312" w:hAnsi="仿宋_gb2312" w:cs="仿宋_gb2312" w:eastAsia="仿宋_gb2312"/>
                <w:sz w:val="24"/>
              </w:rPr>
              <w:t>支持将转发出去的报文打上纳秒时间戳。</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产品资质要求</w:t>
            </w:r>
          </w:p>
        </w:tc>
        <w:tc>
          <w:tcPr>
            <w:tcW w:type="dxa" w:w="1038"/>
          </w:tcPr>
          <w:p/>
        </w:tc>
        <w:tc>
          <w:tcPr>
            <w:tcW w:type="dxa" w:w="1038"/>
          </w:tcPr>
          <w:p>
            <w:pPr>
              <w:pStyle w:val="null3"/>
              <w:jc w:val="both"/>
            </w:pPr>
            <w:r>
              <w:rPr>
                <w:rFonts w:ascii="仿宋_gb2312" w:hAnsi="仿宋_gb2312" w:cs="仿宋_gb2312" w:eastAsia="仿宋_gb2312"/>
                <w:sz w:val="24"/>
              </w:rPr>
              <w:t>产品自</w:t>
            </w:r>
            <w:r>
              <w:rPr>
                <w:rFonts w:ascii="仿宋_gb2312" w:hAnsi="仿宋_gb2312" w:cs="仿宋_gb2312" w:eastAsia="仿宋_gb2312"/>
                <w:sz w:val="24"/>
              </w:rPr>
              <w:t>2022年1月1日起未曾出现严重缺陷、漏洞、后门等。</w:t>
            </w:r>
          </w:p>
        </w:tc>
        <w:tc>
          <w:tcPr>
            <w:tcW w:type="dxa" w:w="1038"/>
          </w:tcPr>
          <w:p>
            <w:pPr>
              <w:pStyle w:val="null3"/>
            </w:pPr>
            <w:r>
              <w:rPr/>
              <w:t>是</w:t>
            </w:r>
          </w:p>
        </w:tc>
        <w:tc>
          <w:tcPr>
            <w:tcW w:type="dxa" w:w="1038"/>
          </w:tcPr>
          <w:p>
            <w:pPr>
              <w:pStyle w:val="null3"/>
            </w:pPr>
            <w:r>
              <w:rPr/>
              <w:t>提供产品未在CNVD国家信息安全漏洞共享平台被披露过漏洞的截图证明，并加盖投标人公章</w:t>
            </w:r>
          </w:p>
        </w:tc>
      </w:tr>
      <w:tr>
        <w:tc>
          <w:tcPr>
            <w:tcW w:type="dxa" w:w="1038"/>
          </w:tcPr>
          <w:p>
            <w:pPr>
              <w:pStyle w:val="null3"/>
            </w:pPr>
            <w:r>
              <w:rPr/>
              <w:t>59</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原厂商具备中国网络安全审查认证和市场监管大数据中心颁发的</w:t>
            </w:r>
            <w:r>
              <w:rPr>
                <w:rFonts w:ascii="仿宋_gb2312" w:hAnsi="仿宋_gb2312" w:cs="仿宋_gb2312" w:eastAsia="仿宋_gb2312"/>
                <w:sz w:val="24"/>
              </w:rPr>
              <w:t>ISO9001质量管理体系认证证书。</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60</w:t>
            </w:r>
          </w:p>
        </w:tc>
        <w:tc>
          <w:tcPr>
            <w:tcW w:type="dxa" w:w="1038"/>
          </w:tcPr>
          <w:p>
            <w:pPr>
              <w:pStyle w:val="null3"/>
            </w:pPr>
            <w:r>
              <w:rPr/>
              <w:t>TAP交换机</w:t>
            </w:r>
          </w:p>
        </w:tc>
        <w:tc>
          <w:tcPr>
            <w:tcW w:type="dxa" w:w="1038"/>
          </w:tcPr>
          <w:p>
            <w:pPr>
              <w:pStyle w:val="null3"/>
            </w:pPr>
            <w:r>
              <w:rPr/>
              <w:t>▲</w:t>
            </w:r>
          </w:p>
        </w:tc>
        <w:tc>
          <w:tcPr>
            <w:tcW w:type="dxa" w:w="1038"/>
          </w:tcPr>
          <w:p>
            <w:pPr>
              <w:pStyle w:val="null3"/>
            </w:pPr>
            <w:r>
              <w:rPr/>
              <w:t>原厂商资质要求</w:t>
            </w:r>
          </w:p>
        </w:tc>
        <w:tc>
          <w:tcPr>
            <w:tcW w:type="dxa" w:w="1038"/>
          </w:tcPr>
          <w:p/>
        </w:tc>
        <w:tc>
          <w:tcPr>
            <w:tcW w:type="dxa" w:w="1038"/>
          </w:tcPr>
          <w:p>
            <w:pPr>
              <w:pStyle w:val="null3"/>
              <w:jc w:val="both"/>
            </w:pPr>
            <w:r>
              <w:rPr>
                <w:rFonts w:ascii="仿宋_gb2312" w:hAnsi="仿宋_gb2312" w:cs="仿宋_gb2312" w:eastAsia="仿宋_gb2312"/>
                <w:sz w:val="24"/>
              </w:rPr>
              <w:t>原厂商具备中国网络安全审查认证和市场监管大数据中心颁发的</w:t>
            </w:r>
          </w:p>
          <w:p>
            <w:pPr>
              <w:pStyle w:val="null3"/>
              <w:jc w:val="both"/>
            </w:pPr>
            <w:r>
              <w:rPr>
                <w:rFonts w:ascii="仿宋_gb2312" w:hAnsi="仿宋_gb2312" w:cs="仿宋_gb2312" w:eastAsia="仿宋_gb2312"/>
                <w:sz w:val="24"/>
              </w:rPr>
              <w:t>ISO27001信息安全管理体系认证证书。</w:t>
            </w:r>
          </w:p>
        </w:tc>
        <w:tc>
          <w:tcPr>
            <w:tcW w:type="dxa" w:w="1038"/>
          </w:tcPr>
          <w:p>
            <w:pPr>
              <w:pStyle w:val="null3"/>
            </w:pPr>
            <w:r>
              <w:rPr/>
              <w:t>是</w:t>
            </w:r>
          </w:p>
        </w:tc>
        <w:tc>
          <w:tcPr>
            <w:tcW w:type="dxa" w:w="1038"/>
          </w:tcPr>
          <w:p>
            <w:pPr>
              <w:pStyle w:val="null3"/>
            </w:pPr>
            <w:r>
              <w:rPr/>
              <w:t>提供证书复印件证明，并加盖投标人公章</w:t>
            </w:r>
          </w:p>
        </w:tc>
      </w:tr>
    </w:tbl>
    <w:p>
      <w:pPr>
        <w:pStyle w:val="null3"/>
        <w:jc w:val="both"/>
      </w:pPr>
      <w:r>
        <w:rPr/>
        <w:t>本商务要求共有“★”指标10个，”#”指标5个，“▲”指标6个。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信息系统服务交付能力等级认证（三级或以上）；</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ITSS信息技术服务标准符合性证书(运行维护)类(三级或以上)；</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信息安全服务资质认证（</w:t>
            </w:r>
            <w:r>
              <w:rPr>
                <w:rFonts w:ascii="仿宋_gb2312" w:hAnsi="仿宋_gb2312" w:cs="仿宋_gb2312" w:eastAsia="仿宋_gb2312"/>
                <w:sz w:val="24"/>
              </w:rPr>
              <w:t>CCRC）</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信息系统建设和服务能力认证（</w:t>
            </w:r>
            <w:r>
              <w:rPr>
                <w:rFonts w:ascii="仿宋_gb2312" w:hAnsi="仿宋_gb2312" w:cs="仿宋_gb2312" w:eastAsia="仿宋_gb2312"/>
                <w:sz w:val="24"/>
              </w:rPr>
              <w:t>CS2或以上）；</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信息安全管理体系认证（</w:t>
            </w:r>
            <w:r>
              <w:rPr>
                <w:rFonts w:ascii="仿宋_gb2312" w:hAnsi="仿宋_gb2312" w:cs="仿宋_gb2312" w:eastAsia="仿宋_gb2312"/>
                <w:sz w:val="24"/>
              </w:rPr>
              <w:t>ISO27001）；</w:t>
            </w:r>
          </w:p>
        </w:tc>
        <w:tc>
          <w:tcPr>
            <w:tcW w:type="dxa" w:w="1038"/>
          </w:tcPr>
          <w:p>
            <w:pPr>
              <w:pStyle w:val="null3"/>
            </w:pPr>
            <w:r>
              <w:rPr/>
              <w:t>是</w:t>
            </w:r>
          </w:p>
        </w:tc>
        <w:tc>
          <w:tcPr>
            <w:tcW w:type="dxa" w:w="1038"/>
          </w:tcPr>
          <w:p>
            <w:pPr>
              <w:pStyle w:val="null3"/>
            </w:pPr>
            <w:r>
              <w:rPr/>
              <w:t>提供证书复印件证明，并加盖投标人公章</w:t>
            </w: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供应商服务 要求</w:t>
            </w:r>
          </w:p>
        </w:tc>
        <w:tc>
          <w:tcPr>
            <w:tcW w:type="dxa" w:w="1038"/>
          </w:tcPr>
          <w:p/>
        </w:tc>
        <w:tc>
          <w:tcPr>
            <w:tcW w:type="dxa" w:w="1038"/>
          </w:tcPr>
          <w:p>
            <w:pPr>
              <w:pStyle w:val="null3"/>
              <w:jc w:val="both"/>
            </w:pPr>
            <w:r>
              <w:rPr>
                <w:rFonts w:ascii="仿宋_gb2312" w:hAnsi="仿宋_gb2312" w:cs="仿宋_gb2312" w:eastAsia="仿宋_gb2312"/>
                <w:sz w:val="24"/>
              </w:rPr>
              <w:t>供应商应为投标货物的原厂商或原厂商授权代理商。</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jc w:val="both"/>
            </w:pPr>
            <w:r>
              <w:rPr>
                <w:rFonts w:ascii="仿宋_gb2312" w:hAnsi="仿宋_gb2312" w:cs="仿宋_gb2312" w:eastAsia="仿宋_gb2312"/>
                <w:sz w:val="24"/>
              </w:rPr>
              <w:t>供应商应提供针对于本项目采购的所有产品提供三年免费原厂维保服务，包括不限于</w:t>
            </w:r>
            <w:r>
              <w:rPr>
                <w:rFonts w:ascii="仿宋_gb2312" w:hAnsi="仿宋_gb2312" w:cs="仿宋_gb2312" w:eastAsia="仿宋_gb2312"/>
                <w:sz w:val="24"/>
              </w:rPr>
              <w:t>7*24小时紧急救援服务；免费提供设备升级与补丁更新；在节假日也需履行。</w:t>
            </w:r>
            <w:r>
              <w:rPr>
                <w:rFonts w:ascii="calibri" w:hAnsi="calibri" w:cs="calibri" w:eastAsia="calibri"/>
                <w:sz w:val="21"/>
              </w:rPr>
              <w:t xml:space="preserve"> </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jc w:val="both"/>
            </w:pPr>
            <w:r>
              <w:rPr>
                <w:rFonts w:ascii="仿宋_gb2312" w:hAnsi="仿宋_gb2312" w:cs="仿宋_gb2312" w:eastAsia="仿宋_gb2312"/>
                <w:sz w:val="24"/>
              </w:rPr>
              <w:t>供应商应详细阐述技术支持服务期内的技术支持服务的内容、方式与范围，并指出在技术支持服务期内免费和收费服务内容，对于收费服务，供应商应列出费用，并计入报价。</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ind w:left="15"/>
              <w:jc w:val="both"/>
            </w:pPr>
            <w:r>
              <w:rPr>
                <w:rFonts w:ascii="仿宋_gb2312" w:hAnsi="仿宋_gb2312" w:cs="仿宋_gb2312" w:eastAsia="仿宋_gb2312"/>
                <w:sz w:val="24"/>
              </w:rPr>
              <w:t>1、根据反洗钱中心需求提供原厂技术服务，技术服务内容包括原厂安装调试服务、质量保证期（维保期）内配套技术服务等。同时需要配合反洗钱中心完成网络及安全设备配置调整优化、网络拓扑图更新绘制、网络架构升级改造以及应用适配。</w:t>
            </w:r>
          </w:p>
          <w:p>
            <w:pPr>
              <w:pStyle w:val="null3"/>
              <w:jc w:val="both"/>
            </w:pPr>
            <w:r>
              <w:rPr>
                <w:rFonts w:ascii="仿宋_gb2312" w:hAnsi="仿宋_gb2312" w:cs="仿宋_gb2312" w:eastAsia="仿宋_gb2312"/>
                <w:sz w:val="24"/>
              </w:rPr>
              <w:t>2、反洗钱中心后续将购置本项目采购货物的维保服务，原厂商须提供所需服务，且服务报价不得高于本次报价。同时，维保服务报价不得超过本次投标货物总报价的20%。</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ind w:left="15"/>
              <w:jc w:val="both"/>
            </w:pPr>
            <w:r>
              <w:rPr>
                <w:rFonts w:ascii="仿宋_gb2312" w:hAnsi="仿宋_gb2312" w:cs="仿宋_gb2312" w:eastAsia="仿宋_gb2312"/>
                <w:sz w:val="24"/>
              </w:rPr>
              <w:t>1、供应商提供的产品的原厂维保服务是指标准服务和 7×24 紧急救援服务。</w:t>
            </w:r>
          </w:p>
          <w:p>
            <w:pPr>
              <w:pStyle w:val="null3"/>
              <w:ind w:left="15"/>
              <w:jc w:val="both"/>
            </w:pPr>
            <w:r>
              <w:rPr>
                <w:rFonts w:ascii="仿宋_gb2312" w:hAnsi="仿宋_gb2312" w:cs="仿宋_gb2312" w:eastAsia="仿宋_gb2312"/>
                <w:sz w:val="24"/>
              </w:rPr>
              <w:t>2、所投设备产品标准服务包括现场支持和远程支持两部分。</w:t>
            </w:r>
          </w:p>
          <w:p>
            <w:pPr>
              <w:pStyle w:val="null3"/>
              <w:ind w:left="15"/>
              <w:jc w:val="both"/>
            </w:pPr>
            <w:r>
              <w:rPr>
                <w:rFonts w:ascii="仿宋_gb2312" w:hAnsi="仿宋_gb2312" w:cs="仿宋_gb2312" w:eastAsia="仿宋_gb2312"/>
                <w:sz w:val="24"/>
              </w:rPr>
              <w:t>3、所投设备产品标准服务中的远程支持是供应商服务人员应在收到用户需求的电话后需要及时给出响应，尽快提供解决办法并远程指导用户进行解决；若电话等支持不能解决的问题，需要现场响应并及时解决。用户需求包括但不限于下述内容：问题、故障的诊断与排除，系统配置、辅助应用系统部署、各种突发事件的应急策略等。</w:t>
            </w:r>
          </w:p>
          <w:p>
            <w:pPr>
              <w:pStyle w:val="null3"/>
              <w:ind w:left="15"/>
              <w:jc w:val="both"/>
            </w:pPr>
            <w:r>
              <w:rPr>
                <w:rFonts w:ascii="仿宋_gb2312" w:hAnsi="仿宋_gb2312" w:cs="仿宋_gb2312" w:eastAsia="仿宋_gb2312"/>
                <w:sz w:val="24"/>
              </w:rPr>
              <w:t>4、所投设备产品标准服务中的现场支持主要包括巡检服务和免费提供必要的设备升级与补丁更新。巡检服务包括季度例行巡检和关键服务期的巡检。巡检应全面进行健康性检查，检查并分析系统日志，发现并排除错误和安全隐患，检查空间使用情况，协助进行空间规划管理，检查备份的完整性和有效性，并提供巡检报告。</w:t>
            </w:r>
          </w:p>
          <w:p>
            <w:pPr>
              <w:pStyle w:val="null3"/>
              <w:ind w:left="15"/>
              <w:jc w:val="both"/>
            </w:pPr>
            <w:r>
              <w:rPr>
                <w:rFonts w:ascii="仿宋_gb2312" w:hAnsi="仿宋_gb2312" w:cs="仿宋_gb2312" w:eastAsia="仿宋_gb2312"/>
                <w:sz w:val="24"/>
              </w:rPr>
              <w:t>5、所投设备产品紧急救援服务是指供应商提供的相关设备产品出现故障（如服务中断、数据丢失、性能下降、无法正常启动或关闭等）时，所投设备产品原厂商须为反洗钱中心提供其设备故障分析、故障解决的服务。</w:t>
            </w:r>
          </w:p>
          <w:p>
            <w:pPr>
              <w:pStyle w:val="null3"/>
              <w:ind w:left="15"/>
              <w:jc w:val="both"/>
            </w:pPr>
            <w:r>
              <w:rPr>
                <w:rFonts w:ascii="仿宋_gb2312" w:hAnsi="仿宋_gb2312" w:cs="仿宋_gb2312" w:eastAsia="仿宋_gb2312"/>
                <w:sz w:val="24"/>
              </w:rPr>
              <w:t>6、根据产品故障对系统的影响，分为宕机故障和非宕机故障。当发生宕机故障时，原厂商应在接到反洗钱中心申请后30分钟内做出实质性反应（实质性反应是指原厂商工程师与甲方取得联系，就问题情况进行沟通），并派出合格工程师在1小时内到达现场处理产品故障并解决故障问题。当发生非宕机故障时，原厂商应在接到反洗钱中心申请后1小时内做出实质性反应（实质性反应是指原厂商工程师与甲方取得联系，就问题情况进行沟通），并派出合格工程师在4小时内到达现场处理产品故障并解决故障问题。</w:t>
            </w:r>
          </w:p>
          <w:p>
            <w:pPr>
              <w:pStyle w:val="null3"/>
              <w:ind w:left="15"/>
              <w:jc w:val="both"/>
            </w:pPr>
            <w:r>
              <w:rPr>
                <w:rFonts w:ascii="仿宋_gb2312" w:hAnsi="仿宋_gb2312" w:cs="仿宋_gb2312" w:eastAsia="仿宋_gb2312"/>
                <w:sz w:val="24"/>
              </w:rPr>
              <w:t>7、服务时间要求服务时效：3年期服务开始时间：自本项初验通过后开始服务时段：7*24小时。</w:t>
            </w:r>
          </w:p>
          <w:p>
            <w:pPr>
              <w:pStyle w:val="null3"/>
              <w:jc w:val="both"/>
            </w:pPr>
            <w:r>
              <w:rPr>
                <w:rFonts w:ascii="仿宋_gb2312" w:hAnsi="仿宋_gb2312" w:cs="仿宋_gb2312" w:eastAsia="仿宋_gb2312"/>
                <w:sz w:val="24"/>
              </w:rPr>
              <w:t>8、免费维保期外的所投设备产品原厂维保服务报价不得超过本次投标相关产品报价的20%。</w:t>
            </w:r>
          </w:p>
        </w:tc>
        <w:tc>
          <w:tcPr>
            <w:tcW w:type="dxa" w:w="1038"/>
          </w:tcPr>
          <w:p>
            <w:pPr>
              <w:pStyle w:val="null3"/>
            </w:pPr>
            <w:r>
              <w:rPr/>
              <w:t>是</w:t>
            </w:r>
          </w:p>
        </w:tc>
        <w:tc>
          <w:tcPr>
            <w:tcW w:type="dxa" w:w="1038"/>
          </w:tcPr>
          <w:p>
            <w:pPr>
              <w:pStyle w:val="null3"/>
            </w:pPr>
            <w:r>
              <w:rPr/>
              <w:t>提供售后服务方案并加盖投标人公章</w:t>
            </w: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ind w:left="15"/>
              <w:jc w:val="both"/>
            </w:pPr>
            <w:r>
              <w:rPr>
                <w:rFonts w:ascii="仿宋_gb2312" w:hAnsi="仿宋_gb2312" w:cs="仿宋_gb2312" w:eastAsia="仿宋_gb2312"/>
                <w:sz w:val="24"/>
              </w:rPr>
              <w:t>原厂商提供自设备终验合格之日起，至少</w:t>
            </w:r>
            <w:r>
              <w:rPr>
                <w:rFonts w:ascii="仿宋_gb2312" w:hAnsi="仿宋_gb2312" w:cs="仿宋_gb2312" w:eastAsia="仿宋_gb2312"/>
                <w:sz w:val="24"/>
              </w:rPr>
              <w:t>5年内的备品备件服务。</w:t>
            </w:r>
          </w:p>
          <w:p>
            <w:pPr>
              <w:pStyle w:val="null3"/>
              <w:ind w:left="15"/>
              <w:jc w:val="both"/>
            </w:pPr>
            <w:r>
              <w:rPr>
                <w:rFonts w:ascii="仿宋_gb2312" w:hAnsi="仿宋_gb2312" w:cs="仿宋_gb2312" w:eastAsia="仿宋_gb2312"/>
                <w:sz w:val="24"/>
              </w:rPr>
              <w:t>1、备品、备件</w:t>
            </w:r>
          </w:p>
          <w:p>
            <w:pPr>
              <w:pStyle w:val="null3"/>
              <w:ind w:left="15"/>
              <w:jc w:val="both"/>
            </w:pPr>
            <w:r>
              <w:rPr>
                <w:rFonts w:ascii="仿宋_gb2312" w:hAnsi="仿宋_gb2312" w:cs="仿宋_gb2312" w:eastAsia="仿宋_gb2312"/>
                <w:sz w:val="24"/>
              </w:rPr>
              <w:t>备件库应包含本项目中所有设备的备件（原厂）；</w:t>
            </w:r>
          </w:p>
          <w:p>
            <w:pPr>
              <w:pStyle w:val="null3"/>
              <w:ind w:left="15"/>
              <w:jc w:val="both"/>
            </w:pPr>
            <w:r>
              <w:rPr>
                <w:rFonts w:ascii="仿宋_gb2312" w:hAnsi="仿宋_gb2312" w:cs="仿宋_gb2312" w:eastAsia="仿宋_gb2312"/>
                <w:sz w:val="24"/>
              </w:rPr>
              <w:t>供应商应根据招标要求、投标方案、设备需求及服务需求等制定备品、备件及消耗品供应方案（质保期内和质保期外分别制定），并详细列出名称、类型、性能、数量、提供地点、放置地点、服务条款等内容。质保期内的备品备件的价格计入投标总价，质保期外的备品备件不计入投标总价，但必须单独列出，供采购人选择。</w:t>
            </w:r>
          </w:p>
          <w:p>
            <w:pPr>
              <w:pStyle w:val="null3"/>
              <w:ind w:left="15"/>
              <w:jc w:val="both"/>
            </w:pPr>
            <w:r>
              <w:rPr>
                <w:rFonts w:ascii="仿宋_gb2312" w:hAnsi="仿宋_gb2312" w:cs="仿宋_gb2312" w:eastAsia="仿宋_gb2312"/>
                <w:sz w:val="24"/>
              </w:rPr>
              <w:t>质保期内的备品备件（含在投标总价中）包括：</w:t>
            </w:r>
          </w:p>
          <w:p>
            <w:pPr>
              <w:pStyle w:val="null3"/>
              <w:ind w:left="15"/>
              <w:jc w:val="both"/>
            </w:pPr>
            <w:r>
              <w:rPr>
                <w:rFonts w:ascii="仿宋_gb2312" w:hAnsi="仿宋_gb2312" w:cs="仿宋_gb2312" w:eastAsia="仿宋_gb2312"/>
                <w:sz w:val="24"/>
              </w:rPr>
              <w:t>满足项目建设、运行、维护、管理及系统升级扩展的备品、备件；</w:t>
            </w:r>
          </w:p>
          <w:p>
            <w:pPr>
              <w:pStyle w:val="null3"/>
              <w:ind w:left="15"/>
              <w:jc w:val="both"/>
            </w:pPr>
            <w:r>
              <w:rPr>
                <w:rFonts w:ascii="仿宋_gb2312" w:hAnsi="仿宋_gb2312" w:cs="仿宋_gb2312" w:eastAsia="仿宋_gb2312"/>
                <w:sz w:val="24"/>
              </w:rPr>
              <w:t>对部分或整体出现故障的硬件设备，除应达到招标文件中规定的设备保修要求外，应通过备品及备件设备及时恢复。故障设备未修复期间，应及时补充备品及备件存放地处的库存量。</w:t>
            </w:r>
          </w:p>
          <w:p>
            <w:pPr>
              <w:pStyle w:val="null3"/>
              <w:ind w:left="15"/>
              <w:jc w:val="both"/>
            </w:pPr>
            <w:r>
              <w:rPr>
                <w:rFonts w:ascii="仿宋_gb2312" w:hAnsi="仿宋_gb2312" w:cs="仿宋_gb2312" w:eastAsia="仿宋_gb2312"/>
                <w:sz w:val="24"/>
              </w:rPr>
              <w:t>供应商应列出所投设备质保期外所必须具备的关键备品、备件，并列出经费预算，供采购人参考，经费预算不列入投标总价中。</w:t>
            </w:r>
          </w:p>
          <w:p>
            <w:pPr>
              <w:pStyle w:val="null3"/>
              <w:ind w:left="15"/>
              <w:jc w:val="both"/>
            </w:pPr>
            <w:r>
              <w:rPr>
                <w:rFonts w:ascii="仿宋_gb2312" w:hAnsi="仿宋_gb2312" w:cs="仿宋_gb2312" w:eastAsia="仿宋_gb2312"/>
                <w:sz w:val="24"/>
              </w:rPr>
              <w:t>供应商保证产品原厂商在质保期内提供零配件的安装服务，质量保证期内安装的任何零配件必须是其厂家原产的或是经其认可的；</w:t>
            </w:r>
          </w:p>
          <w:p>
            <w:pPr>
              <w:pStyle w:val="null3"/>
              <w:ind w:left="15"/>
              <w:jc w:val="both"/>
            </w:pPr>
            <w:r>
              <w:rPr>
                <w:rFonts w:ascii="仿宋_gb2312" w:hAnsi="仿宋_gb2312" w:cs="仿宋_gb2312" w:eastAsia="仿宋_gb2312"/>
                <w:sz w:val="24"/>
              </w:rPr>
              <w:t>所有的替代零配件必须是新的未使用和未经修复的</w:t>
            </w:r>
            <w:r>
              <w:rPr>
                <w:rFonts w:ascii="仿宋_gb2312" w:hAnsi="仿宋_gb2312" w:cs="仿宋_gb2312" w:eastAsia="仿宋_gb2312"/>
                <w:sz w:val="24"/>
              </w:rPr>
              <w:t>,除非采购人提供书面许可，否则不可使用此范围外的其他（非新的）配件。</w:t>
            </w:r>
          </w:p>
          <w:p>
            <w:pPr>
              <w:pStyle w:val="null3"/>
              <w:ind w:left="15"/>
              <w:jc w:val="both"/>
            </w:pPr>
            <w:r>
              <w:rPr>
                <w:rFonts w:ascii="仿宋_gb2312" w:hAnsi="仿宋_gb2312" w:cs="仿宋_gb2312" w:eastAsia="仿宋_gb2312"/>
                <w:sz w:val="24"/>
              </w:rPr>
              <w:t>2、扩展及扩充设备</w:t>
            </w:r>
          </w:p>
          <w:p>
            <w:pPr>
              <w:pStyle w:val="null3"/>
              <w:ind w:left="15"/>
              <w:jc w:val="both"/>
            </w:pPr>
            <w:r>
              <w:rPr>
                <w:rFonts w:ascii="仿宋_gb2312" w:hAnsi="仿宋_gb2312" w:cs="仿宋_gb2312" w:eastAsia="仿宋_gb2312"/>
                <w:sz w:val="24"/>
              </w:rPr>
              <w:t>供应商在投标时应针对有扩充性要求的各类设备提供将来可扩充的主要模块（包括但不限于板卡、光口、电源等）的名称、型号及报价（单价，包括列表价和折扣率），此报价不记入总价。</w:t>
            </w:r>
          </w:p>
          <w:p>
            <w:pPr>
              <w:pStyle w:val="null3"/>
              <w:ind w:left="15"/>
              <w:jc w:val="both"/>
            </w:pPr>
            <w:r>
              <w:rPr>
                <w:rFonts w:ascii="仿宋_gb2312" w:hAnsi="仿宋_gb2312" w:cs="仿宋_gb2312" w:eastAsia="仿宋_gb2312"/>
                <w:sz w:val="24"/>
              </w:rPr>
              <w:t>如果模块名称及型号、规格与本次投标货物的相应部分相同，那么该报价应不高于投标货物中相同模块的价格。</w:t>
            </w:r>
          </w:p>
          <w:p>
            <w:pPr>
              <w:pStyle w:val="null3"/>
              <w:ind w:left="15"/>
              <w:jc w:val="both"/>
            </w:pPr>
            <w:r>
              <w:rPr>
                <w:rFonts w:ascii="仿宋_gb2312" w:hAnsi="仿宋_gb2312" w:cs="仿宋_gb2312" w:eastAsia="仿宋_gb2312"/>
                <w:sz w:val="24"/>
              </w:rPr>
              <w:t>3、长期供应备品、备件承诺</w:t>
            </w:r>
          </w:p>
          <w:p>
            <w:pPr>
              <w:pStyle w:val="null3"/>
              <w:ind w:left="15"/>
              <w:jc w:val="both"/>
            </w:pPr>
            <w:r>
              <w:rPr>
                <w:rFonts w:ascii="仿宋_gb2312" w:hAnsi="仿宋_gb2312" w:cs="仿宋_gb2312" w:eastAsia="仿宋_gb2312"/>
                <w:sz w:val="24"/>
              </w:rPr>
              <w:t>拟投货物的制造商应至少能提供自终验合格之日起</w:t>
            </w:r>
            <w:r>
              <w:rPr>
                <w:rFonts w:ascii="仿宋_gb2312" w:hAnsi="仿宋_gb2312" w:cs="仿宋_gb2312" w:eastAsia="仿宋_gb2312"/>
                <w:sz w:val="24"/>
              </w:rPr>
              <w:t>5年内的备品、备件供应。</w:t>
            </w:r>
          </w:p>
          <w:p>
            <w:pPr>
              <w:pStyle w:val="null3"/>
              <w:ind w:left="15"/>
              <w:jc w:val="both"/>
            </w:pPr>
            <w:r>
              <w:rPr>
                <w:rFonts w:ascii="仿宋_gb2312" w:hAnsi="仿宋_gb2312" w:cs="仿宋_gb2312" w:eastAsia="仿宋_gb2312"/>
                <w:sz w:val="24"/>
              </w:rPr>
              <w:t>当制造商在终验合格之日起</w:t>
            </w:r>
            <w:r>
              <w:rPr>
                <w:rFonts w:ascii="仿宋_gb2312" w:hAnsi="仿宋_gb2312" w:cs="仿宋_gb2312" w:eastAsia="仿宋_gb2312"/>
                <w:sz w:val="24"/>
              </w:rPr>
              <w:t>5年后要停止生产拟投货物型号的备品、备件时，应提前半年书面通知采购人，并做出承诺保证(以便有充足的时间购买)。</w:t>
            </w:r>
          </w:p>
          <w:p>
            <w:pPr>
              <w:pStyle w:val="null3"/>
              <w:ind w:left="15"/>
              <w:jc w:val="both"/>
            </w:pPr>
            <w:r>
              <w:rPr>
                <w:rFonts w:ascii="仿宋_gb2312" w:hAnsi="仿宋_gb2312" w:cs="仿宋_gb2312" w:eastAsia="仿宋_gb2312"/>
                <w:sz w:val="24"/>
              </w:rPr>
              <w:t>如果供应商能够承诺按照投标价格为采购人提供长期备件支持</w:t>
            </w:r>
            <w:r>
              <w:rPr>
                <w:rFonts w:ascii="仿宋_gb2312" w:hAnsi="仿宋_gb2312" w:cs="仿宋_gb2312" w:eastAsia="仿宋_gb2312"/>
                <w:sz w:val="24"/>
              </w:rPr>
              <w:t>,或者在保证期内供应商能够承诺提供部分备用设备长期存放在反洗钱中心现场，以便在设备发生故障时能及时更换，请特别注明。</w:t>
            </w:r>
          </w:p>
          <w:p>
            <w:pPr>
              <w:pStyle w:val="null3"/>
              <w:ind w:left="15"/>
              <w:jc w:val="both"/>
            </w:pPr>
            <w:r>
              <w:rPr>
                <w:rFonts w:ascii="仿宋_gb2312" w:hAnsi="仿宋_gb2312" w:cs="仿宋_gb2312" w:eastAsia="仿宋_gb2312"/>
                <w:sz w:val="24"/>
              </w:rPr>
              <w:t>4、产品升级</w:t>
            </w:r>
          </w:p>
          <w:p>
            <w:pPr>
              <w:pStyle w:val="null3"/>
              <w:ind w:left="15"/>
              <w:jc w:val="both"/>
            </w:pPr>
            <w:r>
              <w:rPr>
                <w:rFonts w:ascii="仿宋_gb2312" w:hAnsi="仿宋_gb2312" w:cs="仿宋_gb2312" w:eastAsia="仿宋_gb2312"/>
                <w:sz w:val="24"/>
              </w:rPr>
              <w:t>供应商必须及时向采购人通报本项目中所采用产品的升级情况及升级建议，若采购人需要对产品升级，供应商应免费提供升级版本和相应的支持服务。</w:t>
            </w:r>
          </w:p>
          <w:p>
            <w:pPr>
              <w:pStyle w:val="null3"/>
              <w:jc w:val="both"/>
            </w:pPr>
            <w:r>
              <w:rPr>
                <w:rFonts w:ascii="仿宋_gb2312" w:hAnsi="仿宋_gb2312" w:cs="仿宋_gb2312" w:eastAsia="仿宋_gb2312"/>
                <w:sz w:val="24"/>
              </w:rPr>
              <w:t>如果因供应商未及时提供升级建议而给采购人带来损失，由供应商负责承担相应责任。</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技术培训 要求</w:t>
            </w:r>
          </w:p>
        </w:tc>
        <w:tc>
          <w:tcPr>
            <w:tcW w:type="dxa" w:w="1038"/>
          </w:tcPr>
          <w:p/>
        </w:tc>
        <w:tc>
          <w:tcPr>
            <w:tcW w:type="dxa" w:w="1038"/>
          </w:tcPr>
          <w:p>
            <w:pPr>
              <w:pStyle w:val="null3"/>
              <w:ind w:left="15"/>
              <w:jc w:val="both"/>
            </w:pPr>
            <w:r>
              <w:rPr>
                <w:rFonts w:ascii="仿宋_gb2312" w:hAnsi="仿宋_gb2312" w:cs="仿宋_gb2312" w:eastAsia="仿宋_gb2312"/>
                <w:sz w:val="24"/>
              </w:rPr>
              <w:t>1、供应商提供的所投设备产品原厂技术培训包括但不限于下述内容：产品的配置和使用方式、产品的日常运维、故障的诊断与排除等。</w:t>
            </w:r>
          </w:p>
          <w:p>
            <w:pPr>
              <w:pStyle w:val="null3"/>
              <w:ind w:left="15"/>
              <w:jc w:val="both"/>
            </w:pPr>
            <w:r>
              <w:rPr>
                <w:rFonts w:ascii="仿宋_gb2312" w:hAnsi="仿宋_gb2312" w:cs="仿宋_gb2312" w:eastAsia="仿宋_gb2312"/>
                <w:sz w:val="24"/>
              </w:rPr>
              <w:t>2、供应商应提供培训材料、产品手册、培训视频等培训相关内容。</w:t>
            </w:r>
          </w:p>
          <w:p>
            <w:pPr>
              <w:pStyle w:val="null3"/>
              <w:jc w:val="both"/>
            </w:pPr>
            <w:r>
              <w:rPr>
                <w:rFonts w:ascii="仿宋_gb2312" w:hAnsi="仿宋_gb2312" w:cs="仿宋_gb2312" w:eastAsia="仿宋_gb2312"/>
                <w:sz w:val="24"/>
              </w:rPr>
              <w:t>3、供应商应为反洗钱中心提供不少于一人次的网络安全专业培训。</w:t>
            </w:r>
          </w:p>
        </w:tc>
        <w:tc>
          <w:tcPr>
            <w:tcW w:type="dxa" w:w="1038"/>
          </w:tcPr>
          <w:p>
            <w:pPr>
              <w:pStyle w:val="null3"/>
            </w:pPr>
            <w:r>
              <w:rPr/>
              <w:t>是</w:t>
            </w:r>
          </w:p>
        </w:tc>
        <w:tc>
          <w:tcPr>
            <w:tcW w:type="dxa" w:w="1038"/>
          </w:tcPr>
          <w:p>
            <w:pPr>
              <w:pStyle w:val="null3"/>
            </w:pPr>
            <w:r>
              <w:rPr/>
              <w:t>提供培训方案并加盖投标人公章</w:t>
            </w: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ind w:left="15"/>
              <w:jc w:val="both"/>
            </w:pPr>
            <w:r>
              <w:rPr>
                <w:rFonts w:ascii="仿宋_gb2312" w:hAnsi="仿宋_gb2312" w:cs="仿宋_gb2312" w:eastAsia="仿宋_gb2312"/>
                <w:sz w:val="24"/>
              </w:rPr>
              <w:t>1、总体目标</w:t>
            </w:r>
          </w:p>
          <w:p>
            <w:pPr>
              <w:pStyle w:val="null3"/>
              <w:ind w:left="15"/>
              <w:jc w:val="both"/>
            </w:pPr>
            <w:r>
              <w:rPr>
                <w:rFonts w:ascii="仿宋_gb2312" w:hAnsi="仿宋_gb2312" w:cs="仿宋_gb2312" w:eastAsia="仿宋_gb2312"/>
                <w:sz w:val="24"/>
              </w:rPr>
              <w:t>应为反洗钱中心提供设备集成服务，包括但不限于：设备安装配置、密钥导入、数据迁移、维护管理、性能调优、数据备份、恢复策略、应急演练等制定详细方案并进行实施，保证达到使用需求的相关集成工作。集成后的设备应基本符合全国信息安全标准化技术委员会《信息系统安全等级保护基本要求》第三级、《信息安全技术信息系统密码应用基本要求》第三级、《信息系统安全等级保护实施指南》的相关要求。</w:t>
            </w:r>
          </w:p>
          <w:p>
            <w:pPr>
              <w:pStyle w:val="null3"/>
              <w:ind w:left="15"/>
              <w:jc w:val="both"/>
            </w:pPr>
            <w:r>
              <w:rPr>
                <w:rFonts w:ascii="仿宋_gb2312" w:hAnsi="仿宋_gb2312" w:cs="仿宋_gb2312" w:eastAsia="仿宋_gb2312"/>
                <w:sz w:val="24"/>
              </w:rPr>
              <w:t>2、总体责任</w:t>
            </w:r>
          </w:p>
          <w:p>
            <w:pPr>
              <w:pStyle w:val="null3"/>
              <w:ind w:left="15"/>
              <w:jc w:val="both"/>
            </w:pPr>
            <w:r>
              <w:rPr>
                <w:rFonts w:ascii="仿宋_gb2312" w:hAnsi="仿宋_gb2312" w:cs="仿宋_gb2312" w:eastAsia="仿宋_gb2312"/>
                <w:sz w:val="24"/>
              </w:rPr>
              <w:t>本项目的集成商为供应商，是项目的主要责任人。原厂商在集成商的组织安排下提供服务，应主要围绕以下几方面开展系统集成工作：</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1）负责根据反洗钱中心总体技术方案提供设备集成服务，利用采购的设备搭建所需的系统运行环境，提供必要的服务，并在时间进度上保障用户方要求的按期实现，达到项目建设要求；</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2）配合反洗钱中心完成网络及安全设备配置调整优化、网络架构升级改造以及应用适配。</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3）落实全国信息安全标准化技术委员会《信息系统安全等级保护基本要求》第三级、《信息安全技术信息系统密码应用基本要求》第三级、《信息系统安全等级保护实施指南》的相关要求。须协助采购人完成反洗钱中心系统信息安全等级保护测评、商用密码安全性评估等工作，保证根据测评结果承担相关整改工作，直至通过验收。</w:t>
            </w:r>
          </w:p>
          <w:p>
            <w:pPr>
              <w:pStyle w:val="null3"/>
              <w:ind w:left="15"/>
              <w:jc w:val="both"/>
            </w:pPr>
            <w:r>
              <w:rPr>
                <w:rFonts w:ascii="仿宋_gb2312" w:hAnsi="仿宋_gb2312" w:cs="仿宋_gb2312" w:eastAsia="仿宋_gb2312"/>
                <w:sz w:val="24"/>
              </w:rPr>
              <w:t>3、具体要求</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1）总体技术方案制定</w:t>
            </w:r>
          </w:p>
          <w:p>
            <w:pPr>
              <w:pStyle w:val="null3"/>
              <w:ind w:left="15"/>
              <w:jc w:val="both"/>
            </w:pPr>
            <w:r>
              <w:rPr>
                <w:rFonts w:ascii="仿宋_gb2312" w:hAnsi="仿宋_gb2312" w:cs="仿宋_gb2312" w:eastAsia="仿宋_gb2312"/>
                <w:sz w:val="24"/>
              </w:rPr>
              <w:t>投标人需充分理解招标人业务及需求，应编写总体技术方案，总体技术方案应包含网络拓扑梳理、部署实施、联调联试、国产化适配、商用密码应用等内容。</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2）基础支撑环境部署</w:t>
            </w:r>
          </w:p>
          <w:p>
            <w:pPr>
              <w:pStyle w:val="null3"/>
              <w:jc w:val="both"/>
            </w:pPr>
            <w:r>
              <w:rPr>
                <w:rFonts w:ascii="仿宋_gb2312" w:hAnsi="仿宋_gb2312" w:cs="仿宋_gb2312" w:eastAsia="仿宋_gb2312"/>
                <w:sz w:val="24"/>
              </w:rPr>
              <w:t>中标人须根据采购人机房实际情况及机柜标准供电要求，核算并规划设备部署方案。中标人须按项目要求完成设备的综合布线工作。</w:t>
            </w:r>
          </w:p>
        </w:tc>
        <w:tc>
          <w:tcPr>
            <w:tcW w:type="dxa" w:w="1038"/>
          </w:tcPr>
          <w:p>
            <w:pPr>
              <w:pStyle w:val="null3"/>
            </w:pPr>
            <w:r>
              <w:rPr/>
              <w:t>是</w:t>
            </w:r>
          </w:p>
        </w:tc>
        <w:tc>
          <w:tcPr>
            <w:tcW w:type="dxa" w:w="1038"/>
          </w:tcPr>
          <w:p>
            <w:pPr>
              <w:pStyle w:val="null3"/>
            </w:pPr>
            <w:r>
              <w:rPr/>
              <w:t>提供总体技术方案并加盖投标人公章</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到货要求</w:t>
            </w:r>
          </w:p>
        </w:tc>
        <w:tc>
          <w:tcPr>
            <w:tcW w:type="dxa" w:w="1038"/>
          </w:tcPr>
          <w:p/>
        </w:tc>
        <w:tc>
          <w:tcPr>
            <w:tcW w:type="dxa" w:w="1038"/>
          </w:tcPr>
          <w:p>
            <w:pPr>
              <w:pStyle w:val="null3"/>
              <w:ind w:left="15"/>
              <w:jc w:val="both"/>
            </w:pPr>
            <w:r>
              <w:rPr>
                <w:rFonts w:ascii="仿宋_gb2312" w:hAnsi="仿宋_gb2312" w:cs="仿宋_gb2312" w:eastAsia="仿宋_gb2312"/>
                <w:sz w:val="24"/>
              </w:rPr>
              <w:t>1、供应商应负责本采购文件中要求的所有货物运输、交验、保险等一切费用。</w:t>
            </w:r>
          </w:p>
          <w:p>
            <w:pPr>
              <w:pStyle w:val="null3"/>
              <w:ind w:left="15"/>
              <w:jc w:val="both"/>
            </w:pPr>
            <w:r>
              <w:rPr>
                <w:rFonts w:ascii="仿宋_gb2312" w:hAnsi="仿宋_gb2312" w:cs="仿宋_gb2312" w:eastAsia="仿宋_gb2312"/>
                <w:sz w:val="24"/>
              </w:rPr>
              <w:t>2、供应商提供的货物应与反洗钱中心已有软件、系统和设备有良好的兼容性。</w:t>
            </w:r>
          </w:p>
          <w:p>
            <w:pPr>
              <w:pStyle w:val="null3"/>
              <w:jc w:val="both"/>
            </w:pPr>
            <w:r>
              <w:rPr>
                <w:rFonts w:ascii="仿宋_gb2312" w:hAnsi="仿宋_gb2312" w:cs="仿宋_gb2312" w:eastAsia="仿宋_gb2312"/>
                <w:sz w:val="24"/>
              </w:rPr>
              <w:t>3、本次采购货物的到货验收地点为北京市西城区成方街32号或反洗钱中心指定的北京市、上海市辖区内办公区域或机房。供应商应在合同签订后十（10）个日历日内向甲方交付全部合同货物。如果供应商在履行合同时不能按承诺的时间到货，将以合同违约处理，并追究供应商的有关责任。</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设备产品 安装部署</w:t>
            </w:r>
          </w:p>
        </w:tc>
        <w:tc>
          <w:tcPr>
            <w:tcW w:type="dxa" w:w="1038"/>
          </w:tcPr>
          <w:p/>
        </w:tc>
        <w:tc>
          <w:tcPr>
            <w:tcW w:type="dxa" w:w="1038"/>
          </w:tcPr>
          <w:p>
            <w:pPr>
              <w:pStyle w:val="null3"/>
              <w:ind w:left="15"/>
              <w:jc w:val="both"/>
            </w:pPr>
            <w:r>
              <w:rPr>
                <w:rFonts w:ascii="仿宋_gb2312" w:hAnsi="仿宋_gb2312" w:cs="仿宋_gb2312" w:eastAsia="仿宋_gb2312"/>
                <w:sz w:val="24"/>
              </w:rPr>
              <w:t>1、基本要求</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1）设备产品安装、调试、系统集成等事项由中标人总负责，原厂商配合完成。</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应在反洗钱中心要求时间以前完成本次投标设备产品的安装、调试、系统集成工作。本次投标设备产品安装、调试、系统集成的主要目标是完成设备的安装、调试，使相关设备能够在最终用户现有环境里正常运行，并完成楼层间综合布线。</w:t>
            </w:r>
          </w:p>
          <w:p>
            <w:pPr>
              <w:pStyle w:val="null3"/>
              <w:ind w:left="15"/>
              <w:jc w:val="both"/>
            </w:pPr>
            <w:r>
              <w:rPr>
                <w:rFonts w:ascii="仿宋_gb2312" w:hAnsi="仿宋_gb2312" w:cs="仿宋_gb2312" w:eastAsia="仿宋_gb2312"/>
                <w:sz w:val="24"/>
              </w:rPr>
              <w:t>2、具体任务</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设备产品安装、调试、集成的主要内容包括：制定集成计划与方案；负责货物的安装调试，并按反洗钱中心要求进行初始参数设置；对反洗钱监测分析二代系统的集成提供现场技术支持；负责货物初步验收前的初期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2）中标人应在安装前到安装现场了解安装环境及其它系统现状；应服从反洗钱中心的统一协调，在实施方案设计、产品安装、调试、集成、技术支持、运行维护等方面给予配合。</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项目验收</w:t>
            </w:r>
          </w:p>
        </w:tc>
        <w:tc>
          <w:tcPr>
            <w:tcW w:type="dxa" w:w="1038"/>
          </w:tcPr>
          <w:p/>
        </w:tc>
        <w:tc>
          <w:tcPr>
            <w:tcW w:type="dxa" w:w="1038"/>
          </w:tcPr>
          <w:p>
            <w:pPr>
              <w:pStyle w:val="null3"/>
              <w:ind w:left="15"/>
              <w:jc w:val="both"/>
            </w:pPr>
            <w:r>
              <w:rPr>
                <w:rFonts w:ascii="仿宋_gb2312" w:hAnsi="仿宋_gb2312" w:cs="仿宋_gb2312" w:eastAsia="仿宋_gb2312"/>
                <w:sz w:val="24"/>
              </w:rPr>
              <w:t>1、总体要求</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验收工作由项目单位组织实施，由项目单位、中标人共同完成。中标人应配合完成各阶段的验收工作，必要时由中标人或第三方机构按照验收要求完成测试，提交项目验收相关文档，经项目单位确认后进行项目验收。</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产品到货后，中标人负责验收配合性工作，包括数量清点、外观检查、开箱检验、到货记录等工作，验收工作由反洗钱中心和中标人共同完成。中标人应按照反洗钱中心订货要求进行检查、核对，提交产品到货验收相关文档，经反洗钱中心确认后进行验收。</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3）中标人提供的各类文档应内容完整、描述清晰、版本最新，各类方案要求实现目标明确、工作措施得力、可操作性强、具有前瞻性。产出物应提供电子和纸质两种介质，并保持版本一致。</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4）对验收中发现的问题，中标人应提出有效解决办法和应对措施，经项目单位确认后实施。</w:t>
            </w:r>
          </w:p>
          <w:p>
            <w:pPr>
              <w:pStyle w:val="null3"/>
              <w:ind w:left="15"/>
              <w:jc w:val="both"/>
            </w:pPr>
            <w:r>
              <w:rPr>
                <w:rFonts w:ascii="仿宋_gb2312" w:hAnsi="仿宋_gb2312" w:cs="仿宋_gb2312" w:eastAsia="仿宋_gb2312"/>
                <w:sz w:val="24"/>
              </w:rPr>
              <w:t>2、到货验收</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中标人应在合同规定的交货期内提供所有产品，在反洗钱中心指定的地点进行产品交付，中标人必须保证到货的设备产品为采购合同中指定的版本，并在产品到货后配合反洗钱中心进行开箱检查。中标人所交付的产品应符合以下要求：</w:t>
            </w:r>
          </w:p>
          <w:p>
            <w:pPr>
              <w:pStyle w:val="null3"/>
              <w:numPr>
                <w:ilvl w:val="0"/>
                <w:numId w:val="1"/>
              </w:numPr>
              <w:jc w:val="both"/>
            </w:pPr>
            <w:r>
              <w:rPr>
                <w:rFonts w:ascii="仿宋_gb2312" w:hAnsi="仿宋_gb2312" w:cs="仿宋_gb2312" w:eastAsia="仿宋_gb2312"/>
                <w:sz w:val="24"/>
              </w:rPr>
              <w:t>应包括全部的介质、配件、相关资料（应包括：产品说明书、产品操作手册、故障诊断手册等）以及装箱单等；</w:t>
            </w:r>
          </w:p>
          <w:p>
            <w:pPr>
              <w:pStyle w:val="null3"/>
              <w:numPr>
                <w:ilvl w:val="0"/>
                <w:numId w:val="1"/>
              </w:numPr>
              <w:jc w:val="both"/>
            </w:pPr>
            <w:r>
              <w:rPr>
                <w:rFonts w:ascii="仿宋_gb2312" w:hAnsi="仿宋_gb2312" w:cs="仿宋_gb2312" w:eastAsia="仿宋_gb2312"/>
                <w:sz w:val="24"/>
              </w:rPr>
              <w:t>必须同时持有该产品合法的正式使用许可授权，其授权数应与反洗钱中心要求相一致。</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货物开箱后,目测产品应无损伤，反洗钱中心依采购合同要求核对货物清单,对货物的版本、组成、数量、包装及资料、文件（如装箱单、保修单、随箱介质等）进行到货验收。当出现上述证明文件不完整或相关手续不全、货物不符合合同要求等严重质量问题时，反洗钱中心保留索赔及退货权利。</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3）当出现货物及介质损坏、数量不全或产品不符等问题时，由供应商负责免费解决。</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4）货物检验/检测（包括但不限于到货、部署、加电）通过后，由反洗钱中心开具《产品到货验收合格单》。</w:t>
            </w:r>
          </w:p>
          <w:p>
            <w:pPr>
              <w:pStyle w:val="null3"/>
              <w:ind w:left="15"/>
              <w:jc w:val="both"/>
            </w:pPr>
            <w:r>
              <w:rPr>
                <w:rFonts w:ascii="仿宋_gb2312" w:hAnsi="仿宋_gb2312" w:cs="仿宋_gb2312" w:eastAsia="仿宋_gb2312"/>
                <w:sz w:val="24"/>
              </w:rPr>
              <w:t>3、初步验收</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1）中标人应在到货验收后10个日历日内完成安装调试。</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2）在本项目所采购的货物安装部署到位后，由中标人提出申请，反洗钱中心组织进行初步验收。初步验收的具体时间为自货物完成到货验收并安装调试完成起30个日历日内。</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3）初步验收通过后，由反洗钱中心开具《项目初步验收合格单》，并进入项目质量保证期，质量保证期为自签发《项目初步验收合格单》后的3年时间。</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4）如果货物或配套服务的成果未能通过初验，中标人将采取一切补救措施以使初步验收测试能够在最终用户要求的期限内进行。再次进行初步验收测试所需的一切费用由中标人负担，并且中标人应对再次初验造成的反洗钱中心的损失向反洗钱中心进行赔偿。</w:t>
            </w:r>
          </w:p>
          <w:p>
            <w:pPr>
              <w:pStyle w:val="null3"/>
              <w:ind w:left="15"/>
              <w:jc w:val="both"/>
            </w:pPr>
            <w:r>
              <w:rPr>
                <w:rFonts w:ascii="仿宋_gb2312" w:hAnsi="仿宋_gb2312" w:cs="仿宋_gb2312" w:eastAsia="仿宋_gb2312"/>
                <w:sz w:val="24"/>
              </w:rPr>
              <w:t>4、试运行</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1）初步验收后，货物和配套服务成果进入试运行阶段，连续试运行时间三个月。</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2）试运行期间，若发现货物和配套服务成果存在问题，中标人应及时予以解决。</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3）对于所有试运行期间配套服务成果的修改和变化，中标人都应在试运行结束后提供书面说明和更新的各类电子文档。</w:t>
            </w:r>
          </w:p>
          <w:p>
            <w:pPr>
              <w:pStyle w:val="null3"/>
              <w:ind w:left="15"/>
              <w:jc w:val="both"/>
            </w:pPr>
            <w:r>
              <w:rPr>
                <w:rFonts w:ascii="仿宋_gb2312" w:hAnsi="仿宋_gb2312" w:cs="仿宋_gb2312" w:eastAsia="仿宋_gb2312"/>
                <w:sz w:val="24"/>
              </w:rPr>
              <w:t>5、最终验收</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1）试运行期届满后，由反洗钱中心对货物和配套服务成果进行最终验收。最终验收的具体时间为自试运行期满且符合合同规定要求起30个日历日数内。</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2）反洗钱中心组织成立项目验收小组对货物及配套服务成果的试运行情况进行逐项最终验收评审，并提出最终验收评审意见。若逐项验收评审意见均为通过，则最终验收通过。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如果货物和配套服务成果不能通过最终验收，中标人将采取一切补救措施以使最终验收测试能够尽快再次进行，再次进行最终验收测试所需的一切费用由中标人负担。中标人应对再次终验造成的反洗钱中心的损失向反洗钱中心进行赔偿。</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损失处理</w:t>
            </w:r>
          </w:p>
        </w:tc>
        <w:tc>
          <w:tcPr>
            <w:tcW w:type="dxa" w:w="1038"/>
          </w:tcPr>
          <w:p/>
        </w:tc>
        <w:tc>
          <w:tcPr>
            <w:tcW w:type="dxa" w:w="1038"/>
          </w:tcPr>
          <w:p>
            <w:pPr>
              <w:pStyle w:val="null3"/>
              <w:ind w:left="15"/>
              <w:jc w:val="both"/>
            </w:pPr>
            <w:r>
              <w:rPr>
                <w:rFonts w:ascii="仿宋_gb2312" w:hAnsi="仿宋_gb2312" w:cs="仿宋_gb2312" w:eastAsia="仿宋_gb2312"/>
                <w:sz w:val="24"/>
              </w:rPr>
              <w:t>原厂商项目人员在提供技术支持服务过程中由于操作失误而对项目建设单位运行正常的系统或硬件造成损坏的，应由中标人负责解决系统问题，免费对损坏的系统或硬件进行修复或更换，确保反洗钱中心的正常使用。</w:t>
            </w:r>
          </w:p>
          <w:p>
            <w:pPr>
              <w:pStyle w:val="null3"/>
              <w:jc w:val="both"/>
            </w:pPr>
            <w:r>
              <w:rPr>
                <w:rFonts w:ascii="仿宋_gb2312" w:hAnsi="仿宋_gb2312" w:cs="仿宋_gb2312" w:eastAsia="仿宋_gb2312"/>
                <w:sz w:val="24"/>
              </w:rPr>
              <w:t>如果由于原厂商项目人员技术服务失误或所提供的产品出现故障而造成反洗钱中心损失，中标人除承担赔偿外，还要提供处理办法。</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知识产权 要求</w:t>
            </w:r>
          </w:p>
        </w:tc>
        <w:tc>
          <w:tcPr>
            <w:tcW w:type="dxa" w:w="1038"/>
          </w:tcPr>
          <w:p/>
        </w:tc>
        <w:tc>
          <w:tcPr>
            <w:tcW w:type="dxa" w:w="1038"/>
          </w:tcPr>
          <w:p>
            <w:pPr>
              <w:pStyle w:val="null3"/>
              <w:ind w:left="15"/>
              <w:jc w:val="both"/>
            </w:pPr>
            <w:r>
              <w:rPr>
                <w:rFonts w:ascii="仿宋_gb2312" w:hAnsi="仿宋_gb2312" w:cs="仿宋_gb2312" w:eastAsia="仿宋_gb2312"/>
                <w:sz w:val="24"/>
              </w:rPr>
              <w:t>1、项目单位（反洗钱中心）对项目实施过程中所产生的所有成果（包括发明、发现、可运行系统、源代码及相关技术资料、文档等）享有所有权，包括但不限于永久使用权、复制权和修改权。除本项目工作所需外，未经项目单位书面同意，中标人不得擅自使用、复制项目单位的商标、标志、数据信息、文档及其他资料。</w:t>
            </w:r>
          </w:p>
          <w:p>
            <w:pPr>
              <w:pStyle w:val="null3"/>
              <w:ind w:left="15"/>
              <w:jc w:val="both"/>
            </w:pPr>
            <w:r>
              <w:rPr>
                <w:rFonts w:ascii="仿宋_gb2312" w:hAnsi="仿宋_gb2312" w:cs="仿宋_gb2312" w:eastAsia="仿宋_gb2312"/>
                <w:sz w:val="24"/>
              </w:rPr>
              <w:t>2、中标人应保证在本项目中所有预装和为本项目安装的产品为在中国境内具有合法版权或永久使用权的正版产品且无质量瑕疵。</w:t>
            </w:r>
          </w:p>
          <w:p>
            <w:pPr>
              <w:pStyle w:val="null3"/>
              <w:ind w:left="15"/>
              <w:jc w:val="both"/>
            </w:pPr>
            <w:r>
              <w:rPr>
                <w:rFonts w:ascii="仿宋_gb2312" w:hAnsi="仿宋_gb2312" w:cs="仿宋_gb2312" w:eastAsia="仿宋_gb2312"/>
                <w:sz w:val="24"/>
              </w:rPr>
              <w:t>3、中标人保证所提供的产品及服务不侵犯第三方的知识产权或存在知识产权争议，否则，由此给项目单位造成的一切损失由中标人承担。</w:t>
            </w:r>
          </w:p>
          <w:p>
            <w:pPr>
              <w:pStyle w:val="null3"/>
              <w:jc w:val="both"/>
            </w:pPr>
            <w:r>
              <w:rPr>
                <w:rFonts w:ascii="仿宋_gb2312" w:hAnsi="仿宋_gb2312" w:cs="仿宋_gb2312" w:eastAsia="仿宋_gb2312"/>
                <w:sz w:val="24"/>
              </w:rPr>
              <w:t>4、中标人承诺对项目实施过程中所产生的所有成果（包括发明、发现、可运行系统、源代码及相关技术资料、文档等）不得有知识产权纠纷。</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ind w:left="15"/>
              <w:jc w:val="both"/>
            </w:pPr>
            <w:r>
              <w:rPr>
                <w:rFonts w:ascii="仿宋_gb2312" w:hAnsi="仿宋_gb2312" w:cs="仿宋_gb2312" w:eastAsia="仿宋_gb2312"/>
                <w:sz w:val="24"/>
              </w:rPr>
              <w:t>1、中标人必须严守项目涉密信息，防止反洗钱中心涉密信息外泄；在项目履行时和终止后未经授权，不得擅自收集、存储、使用、加工、传输、提供、公开任何数据。</w:t>
            </w:r>
          </w:p>
          <w:p>
            <w:pPr>
              <w:pStyle w:val="null3"/>
              <w:jc w:val="both"/>
            </w:pPr>
            <w:r>
              <w:rPr>
                <w:rFonts w:ascii="仿宋_gb2312" w:hAnsi="仿宋_gb2312" w:cs="仿宋_gb2312" w:eastAsia="仿宋_gb2312"/>
                <w:sz w:val="24"/>
              </w:rPr>
              <w:t>2、中标人在签订服务合同的同时签署保密协议（详见附件）。中标人项目人员必须严格遵守所签署的保密协议。</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案例要求</w:t>
            </w:r>
          </w:p>
        </w:tc>
        <w:tc>
          <w:tcPr>
            <w:tcW w:type="dxa" w:w="1038"/>
          </w:tcPr>
          <w:p/>
        </w:tc>
        <w:tc>
          <w:tcPr>
            <w:tcW w:type="dxa" w:w="1038"/>
          </w:tcPr>
          <w:p>
            <w:pPr>
              <w:pStyle w:val="null3"/>
              <w:jc w:val="both"/>
            </w:pPr>
            <w:r>
              <w:rPr>
                <w:rFonts w:ascii="仿宋_gb2312" w:hAnsi="仿宋_gb2312" w:cs="仿宋_gb2312" w:eastAsia="仿宋_gb2312"/>
                <w:sz w:val="24"/>
              </w:rPr>
              <w:t>投标人或设备原厂商应具有与本次投标核心产品网络应用防火墙同型号产品的相关案例经验</w:t>
            </w:r>
          </w:p>
        </w:tc>
        <w:tc>
          <w:tcPr>
            <w:tcW w:type="dxa" w:w="1038"/>
          </w:tcPr>
          <w:p>
            <w:pPr>
              <w:pStyle w:val="null3"/>
            </w:pPr>
            <w:r>
              <w:rPr/>
              <w:t>是</w:t>
            </w:r>
          </w:p>
        </w:tc>
        <w:tc>
          <w:tcPr>
            <w:tcW w:type="dxa" w:w="1038"/>
          </w:tcPr>
          <w:p>
            <w:pPr>
              <w:pStyle w:val="null3"/>
            </w:pPr>
            <w:r>
              <w:rPr/>
              <w:t>每个案例须至少提供案例的合同复印件（至少包括首页、合同标的、盖章页、产品说明一览表等能够说明合同内容的信息, 与同一甲方、分公司/子公司签订的合同视为同一案例经验）</w:t>
            </w: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集成服务要求</w:t>
            </w:r>
          </w:p>
        </w:tc>
        <w:tc>
          <w:tcPr>
            <w:tcW w:type="dxa" w:w="1038"/>
          </w:tcPr>
          <w:p/>
        </w:tc>
        <w:tc>
          <w:tcPr>
            <w:tcW w:type="dxa" w:w="1038"/>
          </w:tcPr>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1）集成实施方案制定</w:t>
            </w:r>
          </w:p>
          <w:p>
            <w:pPr>
              <w:pStyle w:val="null3"/>
              <w:ind w:left="15"/>
              <w:jc w:val="both"/>
            </w:pPr>
            <w:r>
              <w:rPr>
                <w:rFonts w:ascii="仿宋_gb2312" w:hAnsi="仿宋_gb2312" w:cs="仿宋_gb2312" w:eastAsia="仿宋_gb2312"/>
                <w:sz w:val="24"/>
              </w:rPr>
              <w:t>中标人应对设备的集成实施进行全面的规划和安排，包括但不限于：总体工作列表及分工、时间进度计划、具体人员安排、安装调试计划、试运行方案制定、上线计划、应急预案等方面的详细内容，以确保实施任务清晰、进度安排合理、质量有保障。投标时将按照供应商提供的集成实施方案的完整性和可行性进行评分。由反洗钱中心组织对集成实施方案进行评审，中标人应根据评审意见对方案进行修订，经反洗钱中心审批通过后方可实施。</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2）集成实施方案部署</w:t>
            </w:r>
          </w:p>
          <w:p>
            <w:pPr>
              <w:pStyle w:val="null3"/>
              <w:jc w:val="both"/>
            </w:pPr>
            <w:r>
              <w:rPr>
                <w:rFonts w:ascii="仿宋_gb2312" w:hAnsi="仿宋_gb2312" w:cs="仿宋_gb2312" w:eastAsia="仿宋_gb2312"/>
                <w:sz w:val="24"/>
              </w:rPr>
              <w:t>中标人须按项目要求，对设备的性能和配置进行安装、调测检查，保证设备在合同所规定的地点和环境下，实现正常运行并达到合同要求的性能和标书中的技术指标要求，同时做出安装、调测报告。中标人需要对项目建设单位的相关人员进行现场培训，并在项目建设单位相关技术人员的监督下进行安装、检测和排除故障等部署实施。安装调试服务商不得在现场安装未经甲方批准的任何软件和设备。</w:t>
            </w:r>
          </w:p>
        </w:tc>
        <w:tc>
          <w:tcPr>
            <w:tcW w:type="dxa" w:w="1038"/>
          </w:tcPr>
          <w:p>
            <w:pPr>
              <w:pStyle w:val="null3"/>
            </w:pPr>
            <w:r>
              <w:rPr/>
              <w:t>是</w:t>
            </w:r>
          </w:p>
        </w:tc>
        <w:tc>
          <w:tcPr>
            <w:tcW w:type="dxa" w:w="1038"/>
          </w:tcPr>
          <w:p>
            <w:pPr>
              <w:pStyle w:val="null3"/>
            </w:pPr>
            <w:r>
              <w:rPr/>
              <w:t>提供集成实施方案并加盖投标人公章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合同所列全部货物到达甲方指定地点，通过甲方到货验收，并由甲方出具《到货验收合格单》（应加盖双方公章）后</w:t>
            </w:r>
          </w:p>
        </w:tc>
        <w:tc>
          <w:tcPr>
            <w:tcW w:type="dxa" w:w="1384"/>
          </w:tcPr>
          <w:p>
            <w:pPr>
              <w:pStyle w:val="null3"/>
              <w:jc w:val="left"/>
            </w:pPr>
            <w:r>
              <w:rPr/>
              <w:t>30.00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w:t>
            </w:r>
          </w:p>
        </w:tc>
        <w:tc>
          <w:tcPr>
            <w:tcW w:type="dxa" w:w="1384"/>
          </w:tcPr>
          <w:p>
            <w:pPr>
              <w:pStyle w:val="null3"/>
              <w:jc w:val="left"/>
            </w:pPr>
            <w:r>
              <w:rPr/>
              <w:t>货物安装调试完成后，通过甲方组织的初步验收，并由甲方出具《初步验收合格单》（加盖双方公章）后</w:t>
            </w:r>
          </w:p>
        </w:tc>
        <w:tc>
          <w:tcPr>
            <w:tcW w:type="dxa" w:w="1384"/>
          </w:tcPr>
          <w:p>
            <w:pPr>
              <w:pStyle w:val="null3"/>
              <w:jc w:val="left"/>
            </w:pPr>
            <w:r>
              <w:rPr/>
              <w:t>40.00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w:t>
            </w:r>
          </w:p>
        </w:tc>
        <w:tc>
          <w:tcPr>
            <w:tcW w:type="dxa" w:w="1384"/>
          </w:tcPr>
          <w:p>
            <w:pPr>
              <w:pStyle w:val="null3"/>
              <w:jc w:val="left"/>
            </w:pPr>
            <w:r>
              <w:rPr/>
              <w:t>试运行期满合格，通过甲方最终验收，甲方出具《最终验收合格单》（加盖双方公章）后</w:t>
            </w:r>
          </w:p>
        </w:tc>
        <w:tc>
          <w:tcPr>
            <w:tcW w:type="dxa" w:w="1384"/>
          </w:tcPr>
          <w:p>
            <w:pPr>
              <w:pStyle w:val="null3"/>
              <w:jc w:val="left"/>
            </w:pPr>
            <w:r>
              <w:rPr/>
              <w:t>30.00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中国反洗钱监测分析中心</w:t>
      </w:r>
    </w:p>
    <w:p>
      <w:pPr>
        <w:pStyle w:val="null3"/>
        <w:jc w:val="both"/>
      </w:pPr>
      <w:r>
        <w:rPr/>
        <w:t>采购人（需求部门）拟邀请（</w:t>
      </w:r>
      <w:r>
        <w:rPr/>
        <w:t>项目供应商</w:t>
      </w:r>
      <w:r>
        <w:rPr/>
        <w:t>）</w:t>
      </w:r>
    </w:p>
    <w:p>
      <w:pPr>
        <w:pStyle w:val="null3"/>
        <w:jc w:val="both"/>
      </w:pPr>
      <w:r>
        <w:rPr/>
        <w:t>（2）验收时间</w:t>
      </w:r>
      <w:r>
        <w:rPr>
          <w:u w:val="single"/>
        </w:rPr>
        <w:t>到货期限：合同生效之日起10个日历日内交付货物。 到货验收时间：货物到货后30个日历日内完成到货验收，签订《到货验收合格单》。 初步验收时间：到货验收后10个日历日内完成安装调试，调试完成后30个日历日内完成初步验收，签订《初步验收合格单》。 最终验收时间：初步验收合格后进入试运行阶段，自试运行连续满3个月且符合合同规定要求30个日历日内完成最终验收，签订《最终验收合格单》。 各阶段验收单据签订之日视为验收合格之日</w:t>
      </w:r>
    </w:p>
    <w:p>
      <w:pPr>
        <w:pStyle w:val="null3"/>
        <w:jc w:val="both"/>
      </w:pPr>
      <w:r>
        <w:rPr/>
        <w:t>（3）验收方式</w:t>
      </w:r>
      <w:r>
        <w:rPr>
          <w:u w:val="single"/>
        </w:rPr>
        <w:t>分阶段验收</w:t>
      </w:r>
    </w:p>
    <w:p>
      <w:pPr>
        <w:pStyle w:val="null3"/>
        <w:jc w:val="both"/>
      </w:pPr>
      <w:r>
        <w:rPr/>
        <w:t>（4）验收程序</w:t>
      </w:r>
      <w:r>
        <w:rPr>
          <w:u w:val="single"/>
        </w:rPr>
        <w:t>用户单位组织验收小组进行验收评审，若评审结论意见均通过，则视为验收通过</w:t>
      </w:r>
    </w:p>
    <w:p>
      <w:pPr>
        <w:pStyle w:val="null3"/>
        <w:jc w:val="both"/>
      </w:pPr>
      <w:r>
        <w:rPr/>
        <w:t>（5）验收内容</w:t>
      </w:r>
      <w:r>
        <w:rPr>
          <w:u w:val="single"/>
        </w:rPr>
        <w:t>到货验收：设备数量和型号，初步验收：集成服务技术实现，最终验收：设备运行情况、文档提交及商务履约情况。</w:t>
      </w:r>
    </w:p>
    <w:p>
      <w:pPr>
        <w:pStyle w:val="null3"/>
        <w:jc w:val="both"/>
      </w:pPr>
      <w:r>
        <w:rPr/>
        <w:t>（6）验收标准</w:t>
      </w:r>
      <w:r>
        <w:rPr>
          <w:u w:val="single"/>
        </w:rPr>
        <w:t>到货验收：验证设备数量和型号是否满足采购需求相关要求、初步验收：验收集成服务是否满足采购需求相关要求、最终验收：验证设备运行情况、文档提交及商务履约情况否满足采购需求相关要求。</w:t>
      </w:r>
    </w:p>
    <w:p>
      <w:pPr>
        <w:pStyle w:val="null3"/>
        <w:jc w:val="both"/>
      </w:pPr>
      <w:r>
        <w:rPr/>
        <w:t>（7）其他事项（如有）</w:t>
      </w:r>
      <w:r>
        <w:rPr>
          <w:u w:val="single"/>
        </w:rPr>
        <w:t>详见附件合同文本</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技术部分36.80分</w:t>
            </w:r>
          </w:p>
          <w:p>
            <w:pPr>
              <w:pStyle w:val="null3"/>
              <w:jc w:val="left"/>
            </w:pPr>
            <w:r>
              <w:rPr/>
              <w:t>商务部分33.20分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技术要求应答评价2</w:t>
            </w:r>
          </w:p>
        </w:tc>
        <w:tc>
          <w:tcPr>
            <w:tcW w:type="dxa" w:w="2769"/>
          </w:tcPr>
          <w:p>
            <w:pPr>
              <w:pStyle w:val="null3"/>
              <w:jc w:val="left"/>
            </w:pPr>
            <w:r>
              <w:rPr/>
              <w:t>针对采购需求技术要求中的“△”重要指标进行打分，共18项，每满足一项得0.8分，合计得0-14.4分。</w:t>
            </w:r>
          </w:p>
        </w:tc>
        <w:tc>
          <w:tcPr>
            <w:tcW w:type="dxa" w:w="692"/>
          </w:tcPr>
          <w:p>
            <w:pPr>
              <w:pStyle w:val="null3"/>
              <w:jc w:val="right"/>
            </w:pPr>
            <w:r>
              <w:rPr/>
              <w:t>14.40</w:t>
            </w:r>
          </w:p>
        </w:tc>
        <w:tc>
          <w:tcPr>
            <w:tcW w:type="dxa" w:w="692"/>
          </w:tcPr>
          <w:p>
            <w:pPr>
              <w:pStyle w:val="null3"/>
              <w:jc w:val="left"/>
            </w:pPr>
            <w:r>
              <w:rPr/>
              <w:t>客观</w:t>
            </w:r>
          </w:p>
        </w:tc>
      </w:tr>
      <w:tr>
        <w:tc>
          <w:tcPr>
            <w:tcW w:type="dxa" w:w="692"/>
            <w:vMerge/>
          </w:tcPr>
          <w:p/>
        </w:tc>
        <w:tc>
          <w:tcPr>
            <w:tcW w:type="dxa" w:w="2076"/>
          </w:tcPr>
          <w:p>
            <w:pPr>
              <w:pStyle w:val="null3"/>
              <w:jc w:val="left"/>
            </w:pPr>
            <w:r>
              <w:rPr/>
              <w:t>技术要求应答评价1</w:t>
            </w:r>
          </w:p>
        </w:tc>
        <w:tc>
          <w:tcPr>
            <w:tcW w:type="dxa" w:w="2769"/>
          </w:tcPr>
          <w:p>
            <w:pPr>
              <w:pStyle w:val="null3"/>
              <w:jc w:val="left"/>
            </w:pPr>
            <w:r>
              <w:rPr/>
              <w:t>针对采购需求技术要求中的“#”重要指标进行打分，共16项，每满足一项得1.4分，合计得0-22.4分。</w:t>
            </w:r>
          </w:p>
        </w:tc>
        <w:tc>
          <w:tcPr>
            <w:tcW w:type="dxa" w:w="692"/>
          </w:tcPr>
          <w:p>
            <w:pPr>
              <w:pStyle w:val="null3"/>
              <w:jc w:val="right"/>
            </w:pPr>
            <w:r>
              <w:rPr/>
              <w:t>22.40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商务要求应答评价1</w:t>
            </w:r>
          </w:p>
        </w:tc>
        <w:tc>
          <w:tcPr>
            <w:tcW w:type="dxa" w:w="2769"/>
          </w:tcPr>
          <w:p>
            <w:pPr>
              <w:pStyle w:val="null3"/>
              <w:jc w:val="left"/>
            </w:pPr>
            <w:r>
              <w:rPr/>
              <w:t>针对采购需求商务要求中的“#”重要指标进行打分，共5项，每满足一项得1.4分，合计得0-7分。</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商务要求应答评价2</w:t>
            </w:r>
          </w:p>
        </w:tc>
        <w:tc>
          <w:tcPr>
            <w:tcW w:type="dxa" w:w="2769"/>
          </w:tcPr>
          <w:p>
            <w:pPr>
              <w:pStyle w:val="null3"/>
              <w:jc w:val="left"/>
            </w:pPr>
            <w:r>
              <w:rPr/>
              <w:t>针对采购需求技术要求中的“△”重要指标进行打分，共1项，每满足一项得0.8分，合计得0-0.8分。</w:t>
            </w:r>
          </w:p>
        </w:tc>
        <w:tc>
          <w:tcPr>
            <w:tcW w:type="dxa" w:w="692"/>
          </w:tcPr>
          <w:p>
            <w:pPr>
              <w:pStyle w:val="null3"/>
              <w:jc w:val="right"/>
            </w:pPr>
            <w:r>
              <w:rPr/>
              <w:t>0.80</w:t>
            </w:r>
          </w:p>
        </w:tc>
        <w:tc>
          <w:tcPr>
            <w:tcW w:type="dxa" w:w="692"/>
          </w:tcPr>
          <w:p>
            <w:pPr>
              <w:pStyle w:val="null3"/>
              <w:jc w:val="left"/>
            </w:pPr>
            <w:r>
              <w:rPr/>
              <w:t>客观</w:t>
            </w:r>
          </w:p>
        </w:tc>
      </w:tr>
      <w:tr>
        <w:tc>
          <w:tcPr>
            <w:tcW w:type="dxa" w:w="692"/>
            <w:vMerge/>
          </w:tcPr>
          <w:p/>
        </w:tc>
        <w:tc>
          <w:tcPr>
            <w:tcW w:type="dxa" w:w="2076"/>
          </w:tcPr>
          <w:p>
            <w:pPr>
              <w:pStyle w:val="null3"/>
              <w:jc w:val="left"/>
            </w:pPr>
            <w:r>
              <w:rPr/>
              <w:t>售后与培训服务评价</w:t>
            </w:r>
          </w:p>
        </w:tc>
        <w:tc>
          <w:tcPr>
            <w:tcW w:type="dxa" w:w="2769"/>
          </w:tcPr>
          <w:p>
            <w:pPr>
              <w:pStyle w:val="null3"/>
              <w:jc w:val="left"/>
            </w:pPr>
            <w:r>
              <w:rPr/>
              <w:t>针对本项目提供的售后服务方案、培训方案，包含服务内容、培训课程安排、培训人次、质保服务期限、服务响应时间、解决问题时间及对质保的承诺等情况进行综合评定。 培训与售后服务内容完善，针对性强，服务响应速度及时、问题解决方案及质保期内方案优于招标文件要求，得3分； 培训与售后服务内容基本完善，针对性一般，服务响应速度较为及时、问题解决方案及质保期内承诺方案能满足招标文件要求，得2分。 培训与售后服务内容不完善，不具有针对性，服务响应速度不及时或问题解决方案及质保期内承诺方案不能满足招标文件要求，得0分。</w:t>
            </w:r>
          </w:p>
        </w:tc>
        <w:tc>
          <w:tcPr>
            <w:tcW w:type="dxa" w:w="692"/>
          </w:tcPr>
          <w:p>
            <w:pPr>
              <w:pStyle w:val="null3"/>
              <w:jc w:val="right"/>
            </w:pPr>
            <w:r>
              <w:rPr/>
              <w:t>3.00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总体技术方案评价</w:t>
            </w:r>
          </w:p>
        </w:tc>
        <w:tc>
          <w:tcPr>
            <w:tcW w:type="dxa" w:w="2769"/>
          </w:tcPr>
          <w:p>
            <w:pPr>
              <w:pStyle w:val="null3"/>
              <w:jc w:val="left"/>
            </w:pPr>
            <w:r>
              <w:rPr/>
              <w:t>总体技术方案很完整，能充分理解招标人业务及需求，项目思路清晰，网络拓扑梳理、部署实施、联调联试、国产化适配、商用密码应用等内容完整、先进、针对性强，能很好的满足项目需求，得8.2分； 总体技术方案比较完整，能够理解招标人业务及需求，项目思路较清晰，网络拓扑梳理、部署实施、联调联试、国产化适配、商用密码应用等内容较完整、针对性较强，能满足项目需求，得7分； 总体技术方案比较完整，能够理解招标人业务及需求，项目思路较清晰，网络拓扑梳理、部署实施、联调联试、国产化适配、商用密码应用等内容较完整、针对性一般，能满足项目需求，得5分； 总体技术方案基本完整，基本能够理解招标人业务及需求，项目思路基本清晰，网络拓扑梳理、部署实施、联调联试、国产化适配、商用密码应用等内容基本完整、针对性一般，基本能满足项目需求，得3分；总体技术方案不完整，不能理解招标人业务需求或本项目需求范围定位不准确，思路不清晰，网络拓扑梳理、部署实施、联调联试、国产化适配、商用密码应用等内容不完整、针对性差，得0分；</w:t>
            </w:r>
          </w:p>
        </w:tc>
        <w:tc>
          <w:tcPr>
            <w:tcW w:type="dxa" w:w="692"/>
          </w:tcPr>
          <w:p>
            <w:pPr>
              <w:pStyle w:val="null3"/>
              <w:jc w:val="right"/>
            </w:pPr>
            <w:r>
              <w:rPr/>
              <w:t>8.20</w:t>
            </w:r>
          </w:p>
        </w:tc>
        <w:tc>
          <w:tcPr>
            <w:tcW w:type="dxa" w:w="692"/>
          </w:tcPr>
          <w:p>
            <w:pPr>
              <w:pStyle w:val="null3"/>
              <w:jc w:val="left"/>
            </w:pPr>
            <w:r>
              <w:rPr/>
              <w:t>主观</w:t>
            </w:r>
          </w:p>
        </w:tc>
      </w:tr>
      <w:tr>
        <w:tc>
          <w:tcPr>
            <w:tcW w:type="dxa" w:w="692"/>
            <w:vMerge/>
          </w:tcPr>
          <w:p/>
        </w:tc>
        <w:tc>
          <w:tcPr>
            <w:tcW w:type="dxa" w:w="2076"/>
          </w:tcPr>
          <w:p>
            <w:pPr>
              <w:pStyle w:val="null3"/>
              <w:jc w:val="left"/>
            </w:pPr>
            <w:r>
              <w:rPr/>
              <w:t>集成实施方案评价</w:t>
            </w:r>
          </w:p>
        </w:tc>
        <w:tc>
          <w:tcPr>
            <w:tcW w:type="dxa" w:w="2769"/>
          </w:tcPr>
          <w:p>
            <w:pPr>
              <w:pStyle w:val="null3"/>
              <w:jc w:val="left"/>
            </w:pPr>
            <w:r>
              <w:rPr/>
              <w:t>集成实施方案应包括实施范围、实施内容、实施计划、人员组织、质量管控、风险与分析等内容。 集成实施方案清晰明确，规划合理，针对性强，能够充分满足本项目需求，得9.2分； 集成实施方案清晰明确，能够充分满足本项目需求，但规划及针对性稍差得8分； 集成实施方案较为清晰明确，基本能够满足本项目需求，但规划及针对性稍差得6分； 集成实施方案基本明确，基本能够满足本项目需求，但规划及针对性稍差得3分； 集成实施方案不明确，方案不完整，或可操作性较差，或无法满足本项目需求，得0分；</w:t>
            </w:r>
          </w:p>
        </w:tc>
        <w:tc>
          <w:tcPr>
            <w:tcW w:type="dxa" w:w="692"/>
          </w:tcPr>
          <w:p>
            <w:pPr>
              <w:pStyle w:val="null3"/>
              <w:jc w:val="right"/>
            </w:pPr>
            <w:r>
              <w:rPr/>
              <w:t>9.20</w:t>
            </w:r>
          </w:p>
        </w:tc>
        <w:tc>
          <w:tcPr>
            <w:tcW w:type="dxa" w:w="692"/>
          </w:tcPr>
          <w:p>
            <w:pPr>
              <w:pStyle w:val="null3"/>
              <w:jc w:val="left"/>
            </w:pPr>
            <w:r>
              <w:rPr/>
              <w:t>主观</w:t>
            </w:r>
          </w:p>
        </w:tc>
      </w:tr>
      <w:tr>
        <w:tc>
          <w:tcPr>
            <w:tcW w:type="dxa" w:w="692"/>
            <w:vMerge/>
          </w:tcPr>
          <w:p/>
        </w:tc>
        <w:tc>
          <w:tcPr>
            <w:tcW w:type="dxa" w:w="2076"/>
          </w:tcPr>
          <w:p>
            <w:pPr>
              <w:pStyle w:val="null3"/>
              <w:jc w:val="left"/>
            </w:pPr>
            <w:r>
              <w:rPr/>
              <w:t>供应商所投核心产品成功案例</w:t>
            </w:r>
          </w:p>
        </w:tc>
        <w:tc>
          <w:tcPr>
            <w:tcW w:type="dxa" w:w="2769"/>
          </w:tcPr>
          <w:p>
            <w:pPr>
              <w:pStyle w:val="null3"/>
              <w:jc w:val="left"/>
            </w:pPr>
            <w:r>
              <w:rPr/>
              <w:t>根据供应商提供案例进行评价： 提供2022年1月1日至本次招标截止日前与本次采购网络应用防火墙（核心产品）同型号产品的成功案例。每提供一个成功案例得1分。最高得5分。 说明： 1、以上提供的所有案例须提供合同复印件等证明材料（加盖供应商公章），否则不予认可。合同的复印件至少包含首页、合同标的页、盖章页，合同金额可隐藏。若合同标的页不能说明标的情况的，须增加合同附件如货物说明一览表等能够说明合同内容的信息复印件，日期以合同签订时间为准。 2、针对所提供案例，供应商应清晰的列出本案例对应本项目所投核心产品（网络应用防火墙）。</w:t>
            </w:r>
          </w:p>
        </w:tc>
        <w:tc>
          <w:tcPr>
            <w:tcW w:type="dxa" w:w="692"/>
          </w:tcPr>
          <w:p>
            <w:pPr>
              <w:pStyle w:val="null3"/>
              <w:jc w:val="right"/>
            </w:pPr>
            <w:r>
              <w:rPr/>
              <w:t>5.00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根据供应商报价总价进行评估。综合评分法中的价格分采用低价优先法计算，即满足招标文件要求且响应价格最低的报价总价为基准价，其价格分为满分。其他供应商的价格分统一按照下列公式计算： 供应商报价得分＝（基准价/报价总价）×价格权值×100； 本项目中价格权值＝30％。</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r>
        <w:tc>
          <w:tcPr>
            <w:tcW w:type="dxa" w:w="831"/>
          </w:tcPr>
          <w:p>
            <w:pPr>
              <w:pStyle w:val="null3"/>
              <w:jc w:val="left"/>
            </w:pPr>
            <w:r>
              <w:rPr/>
              <w:t>2</w:t>
            </w:r>
          </w:p>
        </w:tc>
        <w:tc>
          <w:tcPr>
            <w:tcW w:type="dxa" w:w="1661"/>
          </w:tcPr>
          <w:p>
            <w:pPr>
              <w:pStyle w:val="null3"/>
              <w:jc w:val="left"/>
            </w:pPr>
            <w:r>
              <w:rPr/>
              <w:t>促进中小企业发展相关政策</w:t>
            </w:r>
          </w:p>
        </w:tc>
        <w:tc>
          <w:tcPr>
            <w:tcW w:type="dxa" w:w="1661"/>
          </w:tcPr>
          <w:p>
            <w:pPr>
              <w:pStyle w:val="null3"/>
              <w:jc w:val="left"/>
            </w:pPr>
            <w:r>
              <w:rPr/>
              <w:t>小微企业价格扣除-非联合体</w:t>
            </w:r>
          </w:p>
        </w:tc>
        <w:tc>
          <w:tcPr>
            <w:tcW w:type="dxa" w:w="831"/>
          </w:tcPr>
          <w:p>
            <w:pPr>
              <w:pStyle w:val="null3"/>
              <w:jc w:val="right"/>
            </w:pPr>
            <w:r>
              <w:rPr/>
              <w:t>10.00%</w:t>
            </w:r>
          </w:p>
        </w:tc>
        <w:tc>
          <w:tcPr>
            <w:tcW w:type="dxa" w:w="3322"/>
          </w:tcPr>
          <w:p>
            <w:pPr>
              <w:pStyle w:val="null3"/>
              <w:jc w:val="left"/>
            </w:pPr>
            <w:r>
              <w:rPr/>
              <w:t>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供应商为小型、微型企业的，须附《中小企业声明函》作为证明文件；监狱和戒毒企业（以下简称监狱企业）视同小型、微型企业。供应商须提供由省级以上监狱管理局、戒毒管理局（含新疆生产建设兵团）出具的属于监狱企业的证明文件；残疾人福利性单位视同小型、微型企业，供应商须附《残疾人福利性单位声明函》作为证明文件。上述3种情况不重复享受政策。</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无</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详见附件：技术条款第1条证明文件</w:t>
      </w:r>
    </w:p>
    <w:p>
      <w:pPr>
        <w:pStyle w:val="null3"/>
        <w:ind w:firstLine="960"/>
      </w:pPr>
      <w:r>
        <w:rPr/>
        <w:t>详见附件：技术条款第4条证明文件</w:t>
      </w:r>
    </w:p>
    <w:p>
      <w:pPr>
        <w:pStyle w:val="null3"/>
        <w:ind w:firstLine="960"/>
      </w:pPr>
      <w:r>
        <w:rPr/>
        <w:t>详见附件：技术条款第5条证明文件</w:t>
      </w:r>
    </w:p>
    <w:p>
      <w:pPr>
        <w:pStyle w:val="null3"/>
        <w:ind w:firstLine="960"/>
      </w:pPr>
      <w:r>
        <w:rPr/>
        <w:t>详见附件：技术条款第6条证明文件</w:t>
      </w:r>
    </w:p>
    <w:p>
      <w:pPr>
        <w:pStyle w:val="null3"/>
        <w:ind w:firstLine="960"/>
      </w:pPr>
      <w:r>
        <w:rPr/>
        <w:t>详见附件：技术条款第8条证明文件</w:t>
      </w:r>
    </w:p>
    <w:p>
      <w:pPr>
        <w:pStyle w:val="null3"/>
        <w:ind w:firstLine="960"/>
      </w:pPr>
      <w:r>
        <w:rPr/>
        <w:t>详见附件：技术条款第9条证明文件</w:t>
      </w:r>
    </w:p>
    <w:p>
      <w:pPr>
        <w:pStyle w:val="null3"/>
        <w:ind w:firstLine="960"/>
      </w:pPr>
      <w:r>
        <w:rPr/>
        <w:t>详见附件：技术条款第10条证明文件</w:t>
      </w:r>
    </w:p>
    <w:p>
      <w:pPr>
        <w:pStyle w:val="null3"/>
        <w:ind w:firstLine="960"/>
      </w:pPr>
      <w:r>
        <w:rPr/>
        <w:t>详见附件：技术条款第11条证明文件</w:t>
      </w:r>
    </w:p>
    <w:p>
      <w:pPr>
        <w:pStyle w:val="null3"/>
        <w:ind w:firstLine="960"/>
      </w:pPr>
      <w:r>
        <w:rPr/>
        <w:t>详见附件：技术条款第12条证明文件</w:t>
      </w:r>
    </w:p>
    <w:p>
      <w:pPr>
        <w:pStyle w:val="null3"/>
        <w:ind w:firstLine="960"/>
      </w:pPr>
      <w:r>
        <w:rPr/>
        <w:t>详见附件：技术条款第14条证明文件</w:t>
      </w:r>
    </w:p>
    <w:p>
      <w:pPr>
        <w:pStyle w:val="null3"/>
        <w:ind w:firstLine="960"/>
      </w:pPr>
      <w:r>
        <w:rPr/>
        <w:t>详见附件：技术条款第15条证明文件</w:t>
      </w:r>
    </w:p>
    <w:p>
      <w:pPr>
        <w:pStyle w:val="null3"/>
        <w:ind w:firstLine="960"/>
      </w:pPr>
      <w:r>
        <w:rPr/>
        <w:t>详见附件：技术条款第17条证明文件</w:t>
      </w:r>
    </w:p>
    <w:p>
      <w:pPr>
        <w:pStyle w:val="null3"/>
        <w:ind w:firstLine="960"/>
      </w:pPr>
      <w:r>
        <w:rPr/>
        <w:t>详见附件：技术条款第18条证明文件</w:t>
      </w:r>
    </w:p>
    <w:p>
      <w:pPr>
        <w:pStyle w:val="null3"/>
        <w:ind w:firstLine="960"/>
      </w:pPr>
      <w:r>
        <w:rPr/>
        <w:t>详见附件：技术条款第19条证明文件</w:t>
      </w:r>
    </w:p>
    <w:p>
      <w:pPr>
        <w:pStyle w:val="null3"/>
        <w:ind w:firstLine="960"/>
      </w:pPr>
      <w:r>
        <w:rPr/>
        <w:t>详见附件：技术条款第20条证明文件</w:t>
      </w:r>
    </w:p>
    <w:p>
      <w:pPr>
        <w:pStyle w:val="null3"/>
        <w:ind w:firstLine="960"/>
      </w:pPr>
      <w:r>
        <w:rPr/>
        <w:t>详见附件：技术条款第21条证明文件</w:t>
      </w:r>
    </w:p>
    <w:p>
      <w:pPr>
        <w:pStyle w:val="null3"/>
        <w:ind w:firstLine="960"/>
      </w:pPr>
      <w:r>
        <w:rPr/>
        <w:t>详见附件：技术条款第24条证明文件</w:t>
      </w:r>
    </w:p>
    <w:p>
      <w:pPr>
        <w:pStyle w:val="null3"/>
        <w:ind w:firstLine="960"/>
      </w:pPr>
      <w:r>
        <w:rPr/>
        <w:t>详见附件：技术条款第25条证明文件</w:t>
      </w:r>
    </w:p>
    <w:p>
      <w:pPr>
        <w:pStyle w:val="null3"/>
        <w:ind w:firstLine="960"/>
      </w:pPr>
      <w:r>
        <w:rPr/>
        <w:t>详见附件：技术条款第26条证明文件</w:t>
      </w:r>
    </w:p>
    <w:p>
      <w:pPr>
        <w:pStyle w:val="null3"/>
        <w:ind w:firstLine="960"/>
      </w:pPr>
      <w:r>
        <w:rPr/>
        <w:t>详见附件：技术条款第27条证明文件</w:t>
      </w:r>
    </w:p>
    <w:p>
      <w:pPr>
        <w:pStyle w:val="null3"/>
        <w:ind w:firstLine="960"/>
      </w:pPr>
      <w:r>
        <w:rPr/>
        <w:t>详见附件：技术条款第28条证明文件</w:t>
      </w:r>
    </w:p>
    <w:p>
      <w:pPr>
        <w:pStyle w:val="null3"/>
        <w:ind w:firstLine="960"/>
      </w:pPr>
      <w:r>
        <w:rPr/>
        <w:t>详见附件：技术条款第29条证明文件</w:t>
      </w:r>
    </w:p>
    <w:p>
      <w:pPr>
        <w:pStyle w:val="null3"/>
        <w:ind w:firstLine="960"/>
      </w:pPr>
      <w:r>
        <w:rPr/>
        <w:t>详见附件：技术条款第30条证明文件</w:t>
      </w:r>
    </w:p>
    <w:p>
      <w:pPr>
        <w:pStyle w:val="null3"/>
        <w:ind w:firstLine="960"/>
      </w:pPr>
      <w:r>
        <w:rPr/>
        <w:t>详见附件：技术条款第31条证明文件</w:t>
      </w:r>
    </w:p>
    <w:p>
      <w:pPr>
        <w:pStyle w:val="null3"/>
        <w:ind w:firstLine="960"/>
      </w:pPr>
      <w:r>
        <w:rPr/>
        <w:t>详见附件：技术条款第32条证明文件</w:t>
      </w:r>
    </w:p>
    <w:p>
      <w:pPr>
        <w:pStyle w:val="null3"/>
        <w:ind w:firstLine="960"/>
      </w:pPr>
      <w:r>
        <w:rPr/>
        <w:t>详见附件：技术条款第34条证明文件</w:t>
      </w:r>
    </w:p>
    <w:p>
      <w:pPr>
        <w:pStyle w:val="null3"/>
        <w:ind w:firstLine="960"/>
      </w:pPr>
      <w:r>
        <w:rPr/>
        <w:t>详见附件：技术条款第35条证明文件</w:t>
      </w:r>
    </w:p>
    <w:p>
      <w:pPr>
        <w:pStyle w:val="null3"/>
        <w:ind w:firstLine="960"/>
      </w:pPr>
      <w:r>
        <w:rPr/>
        <w:t>详见附件：技术条款第36条证明文件</w:t>
      </w:r>
    </w:p>
    <w:p>
      <w:pPr>
        <w:pStyle w:val="null3"/>
        <w:ind w:firstLine="960"/>
      </w:pPr>
      <w:r>
        <w:rPr/>
        <w:t>详见附件：技术条款第41条证明文件</w:t>
      </w:r>
    </w:p>
    <w:p>
      <w:pPr>
        <w:pStyle w:val="null3"/>
        <w:ind w:firstLine="960"/>
      </w:pPr>
      <w:r>
        <w:rPr/>
        <w:t>详见附件：技术条款第42条证明文件</w:t>
      </w:r>
    </w:p>
    <w:p>
      <w:pPr>
        <w:pStyle w:val="null3"/>
        <w:ind w:firstLine="960"/>
      </w:pPr>
      <w:r>
        <w:rPr/>
        <w:t>详见附件：技术条款第43条证明文件</w:t>
      </w:r>
    </w:p>
    <w:p>
      <w:pPr>
        <w:pStyle w:val="null3"/>
        <w:ind w:firstLine="960"/>
      </w:pPr>
      <w:r>
        <w:rPr/>
        <w:t>详见附件：技术条款第44条证明文件</w:t>
      </w:r>
    </w:p>
    <w:p>
      <w:pPr>
        <w:pStyle w:val="null3"/>
        <w:ind w:firstLine="960"/>
      </w:pPr>
      <w:r>
        <w:rPr/>
        <w:t>详见附件：技术条款第45条证明文件</w:t>
      </w:r>
    </w:p>
    <w:p>
      <w:pPr>
        <w:pStyle w:val="null3"/>
        <w:ind w:firstLine="960"/>
      </w:pPr>
      <w:r>
        <w:rPr/>
        <w:t>详见附件：技术条款第46条证明文件</w:t>
      </w:r>
    </w:p>
    <w:p>
      <w:pPr>
        <w:pStyle w:val="null3"/>
        <w:ind w:firstLine="960"/>
      </w:pPr>
      <w:r>
        <w:rPr/>
        <w:t>详见附件：技术条款第48条证明文件</w:t>
      </w:r>
    </w:p>
    <w:p>
      <w:pPr>
        <w:pStyle w:val="null3"/>
        <w:ind w:firstLine="960"/>
      </w:pPr>
      <w:r>
        <w:rPr/>
        <w:t>详见附件：技术条款第50条证明文件</w:t>
      </w:r>
    </w:p>
    <w:p>
      <w:pPr>
        <w:pStyle w:val="null3"/>
        <w:ind w:firstLine="960"/>
      </w:pPr>
      <w:r>
        <w:rPr/>
        <w:t>详见附件：技术条款第51条证明文件</w:t>
      </w:r>
    </w:p>
    <w:p>
      <w:pPr>
        <w:pStyle w:val="null3"/>
        <w:ind w:firstLine="960"/>
      </w:pPr>
      <w:r>
        <w:rPr/>
        <w:t>详见附件：技术条款第52条证明文件</w:t>
      </w:r>
    </w:p>
    <w:p>
      <w:pPr>
        <w:pStyle w:val="null3"/>
        <w:ind w:firstLine="960"/>
      </w:pPr>
      <w:r>
        <w:rPr/>
        <w:t>详见附件：技术条款第53条证明文件</w:t>
      </w:r>
    </w:p>
    <w:p>
      <w:pPr>
        <w:pStyle w:val="null3"/>
        <w:ind w:firstLine="960"/>
      </w:pPr>
      <w:r>
        <w:rPr/>
        <w:t>详见附件：技术条款第54条证明文件</w:t>
      </w:r>
    </w:p>
    <w:p>
      <w:pPr>
        <w:pStyle w:val="null3"/>
        <w:ind w:firstLine="960"/>
      </w:pPr>
      <w:r>
        <w:rPr/>
        <w:t>详见附件：技术条款第58条证明文件</w:t>
      </w:r>
    </w:p>
    <w:p>
      <w:pPr>
        <w:pStyle w:val="null3"/>
        <w:ind w:firstLine="960"/>
      </w:pPr>
      <w:r>
        <w:rPr/>
        <w:t>详见附件：技术条款第59条证明文件</w:t>
      </w:r>
    </w:p>
    <w:p>
      <w:pPr>
        <w:pStyle w:val="null3"/>
        <w:ind w:firstLine="960"/>
      </w:pPr>
      <w:r>
        <w:rPr/>
        <w:t>详见附件：技术条款第60条证明文件</w:t>
      </w:r>
    </w:p>
    <w:p>
      <w:pPr>
        <w:pStyle w:val="null3"/>
        <w:ind w:firstLine="960"/>
      </w:pPr>
      <w:r>
        <w:rPr/>
        <w:t>详见附件：商务条款第1条证明文件</w:t>
      </w:r>
    </w:p>
    <w:p>
      <w:pPr>
        <w:pStyle w:val="null3"/>
        <w:ind w:firstLine="960"/>
      </w:pPr>
      <w:r>
        <w:rPr/>
        <w:t>详见附件：商务条款第2条证明文件</w:t>
      </w:r>
    </w:p>
    <w:p>
      <w:pPr>
        <w:pStyle w:val="null3"/>
        <w:ind w:firstLine="960"/>
      </w:pPr>
      <w:r>
        <w:rPr/>
        <w:t>详见附件：商务条款第3条证明文件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详见附件：商务条款第10条证明文件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详见附件：商务条款第20条证明文件</w:t>
      </w:r>
    </w:p>
    <w:p>
      <w:pPr>
        <w:pStyle w:val="null3"/>
        <w:ind w:firstLine="960"/>
      </w:pPr>
      <w:r>
        <w:rPr/>
        <w:t>详见附件：商务条款第21条证明文件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详见附件：灾备中心第一批网络安全设备采购合同文本(终稿).docx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