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国家反洗钱数据库网络交换机采购项目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007GSH2026058</w:t>
      </w:r>
      <w:r>
        <w:br/>
      </w:r>
      <w:r>
        <w:br/>
      </w:r>
      <w:r>
        <w:br/>
      </w:r>
    </w:p>
    <w:p>
      <w:pPr>
        <w:pStyle w:val="null3"/>
        <w:jc w:val="center"/>
      </w:pPr>
      <w:r>
        <w:rPr/>
        <w:t>中国人民银行集中采购中心</w:t>
      </w:r>
    </w:p>
    <w:p>
      <w:pPr>
        <w:pStyle w:val="null3"/>
        <w:jc w:val="center"/>
      </w:pPr>
      <w:r>
        <w:rPr/>
        <w:t>2026年06月26日</w:t>
      </w:r>
    </w:p>
    <w:p>
      <w:pPr>
        <w:pStyle w:val="null3"/>
      </w:pPr>
      <w:r>
        <w:rPr/>
        <w:t xml:space="preserve"> </w:t>
      </w:r>
    </w:p>
    <w:p>
      <w:pPr>
        <w:pStyle w:val="null3"/>
        <w:jc w:val="center"/>
        <w:outlineLvl w:val="1"/>
      </w:pPr>
      <w:r>
        <w:rPr>
          <w:sz w:val="36"/>
          <w:b/>
        </w:rPr>
        <w:t>第一章 投标邀请</w:t>
      </w:r>
    </w:p>
    <w:p>
      <w:pPr>
        <w:pStyle w:val="null3"/>
        <w:jc w:val="left"/>
      </w:pPr>
      <w:r>
        <w:rPr/>
        <w:t xml:space="preserve">中国人民银行集中采购中心现采取公开招标的方式，就“ </w:t>
      </w:r>
      <w:r>
        <w:rPr/>
        <w:t>国家反洗钱数据库网络交换机采购项目</w:t>
      </w:r>
      <w:r>
        <w:rPr/>
        <w:t xml:space="preserve"> ”（项目编号： </w:t>
      </w:r>
      <w:r>
        <w:rPr/>
        <w:t>007GSH2026058</w:t>
      </w:r>
      <w:r>
        <w:rPr/>
        <w:t xml:space="preserve"> ）邀请合格投标人进行密封投标。本项目 </w:t>
      </w:r>
      <w:r>
        <w:rPr/>
        <w:t>落实</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12,000,000.00</w:t>
      </w:r>
    </w:p>
    <w:p>
      <w:pPr>
        <w:pStyle w:val="null3"/>
        <w:jc w:val="left"/>
      </w:pPr>
      <w:r>
        <w:rPr/>
        <w:t>采购包最高限价（元）: 11,940,000.00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汇聚交换机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6,000,000.00</w:t>
            </w:r>
          </w:p>
        </w:tc>
        <w:tc>
          <w:tcPr>
            <w:tcW w:type="dxa" w:w="593"/>
          </w:tcPr>
          <w:p/>
        </w:tc>
      </w:tr>
      <w:tr>
        <w:tc>
          <w:tcPr>
            <w:tcW w:type="dxa" w:w="593"/>
          </w:tcPr>
          <w:p>
            <w:pPr>
              <w:pStyle w:val="null3"/>
              <w:jc w:val="left"/>
            </w:pPr>
            <w:r>
              <w:rPr/>
              <w:t>2</w:t>
            </w:r>
          </w:p>
        </w:tc>
        <w:tc>
          <w:tcPr>
            <w:tcW w:type="dxa" w:w="593"/>
          </w:tcPr>
          <w:p>
            <w:pPr>
              <w:pStyle w:val="null3"/>
              <w:jc w:val="left"/>
            </w:pPr>
            <w:r>
              <w:rPr/>
              <w:t>万兆光纤交换机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44.00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6,600,000.00</w:t>
            </w:r>
          </w:p>
        </w:tc>
        <w:tc>
          <w:tcPr>
            <w:tcW w:type="dxa" w:w="593"/>
          </w:tcPr>
          <w:p/>
        </w:tc>
      </w:tr>
      <w:tr>
        <w:tc>
          <w:tcPr>
            <w:tcW w:type="dxa" w:w="593"/>
          </w:tcPr>
          <w:p>
            <w:pPr>
              <w:pStyle w:val="null3"/>
              <w:jc w:val="left"/>
            </w:pPr>
            <w:r>
              <w:rPr/>
              <w:t>3</w:t>
            </w:r>
          </w:p>
        </w:tc>
        <w:tc>
          <w:tcPr>
            <w:tcW w:type="dxa" w:w="593"/>
          </w:tcPr>
          <w:p>
            <w:pPr>
              <w:pStyle w:val="null3"/>
              <w:jc w:val="left"/>
            </w:pPr>
            <w:r>
              <w:rPr/>
              <w:t>千兆交换机</w:t>
            </w:r>
          </w:p>
        </w:tc>
        <w:tc>
          <w:tcPr>
            <w:tcW w:type="dxa" w:w="593"/>
          </w:tcPr>
          <w:p>
            <w:pPr>
              <w:pStyle w:val="null3"/>
              <w:jc w:val="left"/>
            </w:pPr>
            <w:r>
              <w:rPr/>
              <w:t>A02010202 交换设备</w:t>
            </w:r>
          </w:p>
        </w:tc>
        <w:tc>
          <w:tcPr>
            <w:tcW w:type="dxa" w:w="593"/>
          </w:tcPr>
          <w:p>
            <w:pPr>
              <w:pStyle w:val="null3"/>
              <w:jc w:val="left"/>
            </w:pPr>
            <w:r>
              <w:rPr/>
              <w:t>A02010202</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14.00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right"/>
            </w:pPr>
            <w:r>
              <w:rPr/>
              <w:t>180,000.00</w:t>
            </w:r>
          </w:p>
        </w:tc>
        <w:tc>
          <w:tcPr>
            <w:tcW w:type="dxa" w:w="593"/>
          </w:tcPr>
          <w:p/>
        </w:tc>
      </w:tr>
    </w:tbl>
    <w:p>
      <w:pPr>
        <w:pStyle w:val="null3"/>
        <w:jc w:val="left"/>
      </w:pPr>
      <w:r>
        <w:rPr/>
        <w:t xml:space="preserve">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根据《国务院办公厅关于在政府采购中实施本国产品标准及相关政策的通知》实施本国产品标准： </w:t>
      </w:r>
      <w:r>
        <w:rPr/>
        <w:t>是</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中国反洗钱监测分析中心</w:t>
      </w:r>
    </w:p>
    <w:p>
      <w:pPr>
        <w:pStyle w:val="null3"/>
        <w:jc w:val="left"/>
      </w:pPr>
      <w:r>
        <w:rPr/>
        <w:t xml:space="preserve"> 地址： </w:t>
      </w:r>
      <w:r>
        <w:rPr/>
        <w:t>北京市西城区成方街32中国人民银行总行3层</w:t>
      </w:r>
    </w:p>
    <w:p>
      <w:pPr>
        <w:pStyle w:val="null3"/>
        <w:jc w:val="left"/>
      </w:pPr>
      <w:r>
        <w:rPr/>
        <w:t xml:space="preserve"> 邮编： </w:t>
      </w:r>
      <w:r>
        <w:rPr/>
        <w:t>110032</w:t>
      </w:r>
    </w:p>
    <w:p>
      <w:pPr>
        <w:pStyle w:val="null3"/>
        <w:jc w:val="left"/>
      </w:pPr>
      <w:r>
        <w:rPr/>
        <w:t xml:space="preserve"> 联系人： </w:t>
      </w:r>
      <w:r>
        <w:rPr/>
        <w:t>王丹阳</w:t>
      </w:r>
    </w:p>
    <w:p>
      <w:pPr>
        <w:pStyle w:val="null3"/>
        <w:jc w:val="left"/>
      </w:pPr>
      <w:r>
        <w:rPr/>
        <w:t xml:space="preserve"> 联系电话： </w:t>
      </w:r>
      <w:r>
        <w:rPr/>
        <w:t>66199218</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 xml:space="preserve"> 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采购单位授权评审委员会按照评审原则直接确定中标供应商。</w:t>
            </w:r>
          </w:p>
          <w:p>
            <w:pPr>
              <w:pStyle w:val="null3"/>
            </w:pPr>
            <w:r>
              <w:rPr/>
              <w:t>采购人授权评标委员会直接确定中标人。评标委员会按照评审报告中推荐的中标候选人顺序确定第一中标候选人为中标人。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中标人签订采购合同时，应向采购人提交金额为合同总金额的5.0%的履约保证金。</w:t>
            </w:r>
          </w:p>
          <w:p>
            <w:pPr>
              <w:pStyle w:val="null3"/>
            </w:pPr>
            <w:r>
              <w:rPr/>
              <w:t>供应商可以以银行电汇、支票倒存、支票、汇票、本票、保函等非现金形式缴纳履约保证金，履约保证金经采购代理机构确认后签订合同。供应商在保证金到期后，向采购人提出退还履约保证金的申请，提供采购人原开具的履约保证金收据或往来票据、最终验收证明材料原件及复印件和退还保证金申请表，经采购人审核后，于30日内向供应商无息退还履约保证金。</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 xml:space="preserve"> 交易系统发生故障（包括感染病毒、应用或数据库出错）而无法正常使用的；</w:t>
            </w:r>
          </w:p>
          <w:p>
            <w:pPr>
              <w:pStyle w:val="null3"/>
            </w:pPr>
            <w:r>
              <w:rPr/>
              <w:t xml:space="preserve"> 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为满足反洗钱中心2025年采购服务器的部署需求，确保网络的连通性和可扩展性，需要采购一定数量的网络交换机。</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反洗钱中心第九次党委会审议通过了采购计划。</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采购汇聚交换机4台，万兆光纤交换机44台，千兆交换机14台，完成软硬件集成。</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采购汇聚交换机4台，万兆光纤交换机44台，千兆交换机14台。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采购汇聚交换机4台，万兆光纤交换机44台，千兆交换机14台，完成软硬件集成。</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该项目采购的网络交换机，是反洗钱中心2025年采购服务器顺利集成和合规部署使用的必须条件。</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2025年反洗钱中心通过集采中心采购了GHGY服务器，为满足这些服务器的部署需求，确保网络的连通性和可扩展性，本次采购这些网络交换机。</w:t>
            </w:r>
          </w:p>
        </w:tc>
      </w:tr>
    </w:tbl>
    <w:p>
      <w:pPr>
        <w:pStyle w:val="null3"/>
        <w:jc w:val="left"/>
        <w:outlineLvl w:val="2"/>
      </w:pPr>
      <w:r>
        <w:rPr>
          <w:sz w:val="28"/>
          <w:b/>
        </w:rPr>
        <w:t>3.2 技术及商务要求</w:t>
      </w:r>
    </w:p>
    <w:p>
      <w:pPr>
        <w:pStyle w:val="null3"/>
        <w:jc w:val="both"/>
      </w:pPr>
      <w:r>
        <w:rPr/>
        <w:t>本技术要求共有“★”指标70个，”#”指标9个，“▲”指标8个。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交换容量</w:t>
            </w:r>
          </w:p>
        </w:tc>
        <w:tc>
          <w:tcPr>
            <w:tcW w:type="dxa" w:w="1038"/>
          </w:tcPr>
          <w:p/>
        </w:tc>
        <w:tc>
          <w:tcPr>
            <w:tcW w:type="dxa" w:w="1038"/>
          </w:tcPr>
          <w:p>
            <w:pPr>
              <w:pStyle w:val="null3"/>
            </w:pPr>
            <w:r>
              <w:rPr/>
              <w:t>≥4.8Tbps，以官网最低值为准</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包转发率</w:t>
            </w:r>
          </w:p>
        </w:tc>
        <w:tc>
          <w:tcPr>
            <w:tcW w:type="dxa" w:w="1038"/>
          </w:tcPr>
          <w:p/>
        </w:tc>
        <w:tc>
          <w:tcPr>
            <w:tcW w:type="dxa" w:w="1038"/>
          </w:tcPr>
          <w:p>
            <w:pPr>
              <w:pStyle w:val="null3"/>
            </w:pPr>
            <w:r>
              <w:rPr/>
              <w:t>≥2000Mpps，以官网最低值为准</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芯片</w:t>
            </w:r>
          </w:p>
        </w:tc>
        <w:tc>
          <w:tcPr>
            <w:tcW w:type="dxa" w:w="1038"/>
          </w:tcPr>
          <w:p/>
        </w:tc>
        <w:tc>
          <w:tcPr>
            <w:tcW w:type="dxa" w:w="1038"/>
          </w:tcPr>
          <w:p>
            <w:pPr>
              <w:pStyle w:val="null3"/>
            </w:pPr>
            <w:r>
              <w:rPr/>
              <w:t>核心芯片为国产芯片</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4</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设备高度≤1U</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电源及风扇冗余</w:t>
            </w:r>
          </w:p>
        </w:tc>
        <w:tc>
          <w:tcPr>
            <w:tcW w:type="dxa" w:w="1038"/>
          </w:tcPr>
          <w:p/>
        </w:tc>
        <w:tc>
          <w:tcPr>
            <w:tcW w:type="dxa" w:w="1038"/>
          </w:tcPr>
          <w:p>
            <w:pPr>
              <w:pStyle w:val="null3"/>
            </w:pPr>
            <w:r>
              <w:rPr/>
              <w:t>实配可插拔模块化冗余风扇，实配可插拔冗余电源模块</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接口要求</w:t>
            </w:r>
          </w:p>
        </w:tc>
        <w:tc>
          <w:tcPr>
            <w:tcW w:type="dxa" w:w="1038"/>
          </w:tcPr>
          <w:p/>
        </w:tc>
        <w:tc>
          <w:tcPr>
            <w:tcW w:type="dxa" w:w="1038"/>
          </w:tcPr>
          <w:p>
            <w:pPr>
              <w:pStyle w:val="null3"/>
            </w:pPr>
            <w:r>
              <w:rPr/>
              <w:t>支持≥48*10/25GE SFP28端口，实配≥8个40/100GE QSFP28口，满配25G多模光模块，满配100G MPO多模光模块</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支持集群或堆叠多虚一技术，实现单一界面管理多台设备</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跨设备链路聚合</w:t>
            </w:r>
          </w:p>
        </w:tc>
        <w:tc>
          <w:tcPr>
            <w:tcW w:type="dxa" w:w="1038"/>
          </w:tcPr>
          <w:p/>
        </w:tc>
        <w:tc>
          <w:tcPr>
            <w:tcW w:type="dxa" w:w="1038"/>
          </w:tcPr>
          <w:p>
            <w:pPr>
              <w:pStyle w:val="null3"/>
            </w:pPr>
            <w:r>
              <w:rPr/>
              <w:t>支持跨设备链路聚合功能（M-LAG/DRNI/vPC）</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支持静态路由、RIP、OSPF、BGP；支持等价路由、路由策略、VRRP、策略路由；</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支持STP/RSTP/MSTP协议，实配支持BPDUGuard功能；</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支持IPV4/IPV6双栈；</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支持灵活的队列调度算法，可以同时基于端口和队列进行设置，支持SP、WRR、SP+WRR多种模式；支持报文的802.1p和DSCP优先级重新标记；</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DC特性</w:t>
            </w:r>
          </w:p>
        </w:tc>
        <w:tc>
          <w:tcPr>
            <w:tcW w:type="dxa" w:w="1038"/>
          </w:tcPr>
          <w:p/>
        </w:tc>
        <w:tc>
          <w:tcPr>
            <w:tcW w:type="dxa" w:w="1038"/>
          </w:tcPr>
          <w:p>
            <w:pPr>
              <w:pStyle w:val="null3"/>
            </w:pPr>
            <w:r>
              <w:rPr/>
              <w:t>支持ESI（Ethernet Segment Identifier）多归接入</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14</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DC特性</w:t>
            </w:r>
          </w:p>
        </w:tc>
        <w:tc>
          <w:tcPr>
            <w:tcW w:type="dxa" w:w="1038"/>
          </w:tcPr>
          <w:p/>
        </w:tc>
        <w:tc>
          <w:tcPr>
            <w:tcW w:type="dxa" w:w="1038"/>
          </w:tcPr>
          <w:p>
            <w:pPr>
              <w:pStyle w:val="null3"/>
            </w:pPr>
            <w:r>
              <w:rPr/>
              <w:t>支持EVPN功能</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DC特性</w:t>
            </w:r>
          </w:p>
        </w:tc>
        <w:tc>
          <w:tcPr>
            <w:tcW w:type="dxa" w:w="1038"/>
          </w:tcPr>
          <w:p/>
        </w:tc>
        <w:tc>
          <w:tcPr>
            <w:tcW w:type="dxa" w:w="1038"/>
          </w:tcPr>
          <w:p>
            <w:pPr>
              <w:pStyle w:val="null3"/>
            </w:pPr>
            <w:r>
              <w:rPr/>
              <w:t>支持VXLAN二、三层网关功能</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支持RADIUS认证、用户分级管理和口令保护；</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支持标准、扩展、基于端口的和基于VLAN的ACL；</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支持CPU保护功能</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实配支持Console/Telnet/SSH2.0；</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实配支持SNMPv2/v3；</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支持网络流量特征的统计功能（如Netstream/Netflow/IPFIX）；</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支持INT可视化</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23</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实配支持端口流量镜像；</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入网证书</w:t>
            </w:r>
          </w:p>
        </w:tc>
        <w:tc>
          <w:tcPr>
            <w:tcW w:type="dxa" w:w="1038"/>
          </w:tcPr>
          <w:p/>
        </w:tc>
        <w:tc>
          <w:tcPr>
            <w:tcW w:type="dxa" w:w="1038"/>
          </w:tcPr>
          <w:p>
            <w:pPr>
              <w:pStyle w:val="null3"/>
            </w:pPr>
            <w:r>
              <w:rPr/>
              <w:t>提供工信部入网许可证</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25G接入交换机</w:t>
            </w:r>
          </w:p>
        </w:tc>
        <w:tc>
          <w:tcPr>
            <w:tcW w:type="dxa" w:w="1038"/>
          </w:tcPr>
          <w:p>
            <w:pPr>
              <w:pStyle w:val="null3"/>
            </w:pPr>
            <w:r>
              <w:rPr/>
              <w:t>★</w:t>
            </w:r>
          </w:p>
        </w:tc>
        <w:tc>
          <w:tcPr>
            <w:tcW w:type="dxa" w:w="1038"/>
          </w:tcPr>
          <w:p>
            <w:pPr>
              <w:pStyle w:val="null3"/>
            </w:pPr>
            <w:r>
              <w:rPr/>
              <w:t>兼容性</w:t>
            </w:r>
          </w:p>
        </w:tc>
        <w:tc>
          <w:tcPr>
            <w:tcW w:type="dxa" w:w="1038"/>
          </w:tcPr>
          <w:p/>
        </w:tc>
        <w:tc>
          <w:tcPr>
            <w:tcW w:type="dxa" w:w="1038"/>
          </w:tcPr>
          <w:p>
            <w:pPr>
              <w:pStyle w:val="null3"/>
            </w:pPr>
            <w:r>
              <w:rPr/>
              <w:t>新设备需要满足在不增加其他系统资源情况下兼容现有的SDN环境，能被现有SDN控制器直接管理。供应商须提供详细的解决方案，该解决方案不增加其他系统资源，不影响系统正常运行。配置相关SDN纳管授权</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整机交换容量≥700Gbps，以官网最低值为准</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整机包转发率≥252Mpps，以官网最低值为准</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芯片</w:t>
            </w:r>
          </w:p>
        </w:tc>
        <w:tc>
          <w:tcPr>
            <w:tcW w:type="dxa" w:w="1038"/>
          </w:tcPr>
          <w:p/>
        </w:tc>
        <w:tc>
          <w:tcPr>
            <w:tcW w:type="dxa" w:w="1038"/>
          </w:tcPr>
          <w:p>
            <w:pPr>
              <w:pStyle w:val="null3"/>
            </w:pPr>
            <w:r>
              <w:rPr/>
              <w:t>核心芯片为国产芯片</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29</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设备高度≤1U</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实配冗余电源，冗余风扇</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支持前后风道</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端口平均时延小于 2us</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33</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硬件BFD 3ms最小间隔</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支持电源、风扇模块在线热拔插</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接口要求</w:t>
            </w:r>
          </w:p>
        </w:tc>
        <w:tc>
          <w:tcPr>
            <w:tcW w:type="dxa" w:w="1038"/>
          </w:tcPr>
          <w:p/>
        </w:tc>
        <w:tc>
          <w:tcPr>
            <w:tcW w:type="dxa" w:w="1038"/>
          </w:tcPr>
          <w:p>
            <w:pPr>
              <w:pStyle w:val="null3"/>
            </w:pPr>
            <w:r>
              <w:rPr/>
              <w:t>实配≥24个10/100/1000BASE-T自适应以太网端口，≥4个1/10GE SFP+口，≥1个扩展插槽</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支持集群或堆叠多虚一技术，实现单一界面管理多台设备，IRF成员数4</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虚拟化</w:t>
            </w:r>
          </w:p>
        </w:tc>
        <w:tc>
          <w:tcPr>
            <w:tcW w:type="dxa" w:w="1038"/>
          </w:tcPr>
          <w:p/>
        </w:tc>
        <w:tc>
          <w:tcPr>
            <w:tcW w:type="dxa" w:w="1038"/>
          </w:tcPr>
          <w:p>
            <w:pPr>
              <w:pStyle w:val="null3"/>
            </w:pPr>
            <w:r>
              <w:rPr/>
              <w:t>支持跨设备链路聚合（M-LAG)</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支持IPv4静态路由、RIP、OSPF、ISIS、BGP</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支持IPv6静态路由、OSPFv3、ISISv6、BGP4+</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支持IGMP V1/V2/V3</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网络基础功能</w:t>
            </w:r>
          </w:p>
        </w:tc>
        <w:tc>
          <w:tcPr>
            <w:tcW w:type="dxa" w:w="1038"/>
          </w:tcPr>
          <w:p/>
        </w:tc>
        <w:tc>
          <w:tcPr>
            <w:tcW w:type="dxa" w:w="1038"/>
          </w:tcPr>
          <w:p>
            <w:pPr>
              <w:pStyle w:val="null3"/>
            </w:pPr>
            <w:r>
              <w:rPr/>
              <w:t>支持PIM-DM、PIM-SM、MSDP、MBGP 、Any-RP</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管理和监控</w:t>
            </w:r>
          </w:p>
        </w:tc>
        <w:tc>
          <w:tcPr>
            <w:tcW w:type="dxa" w:w="1038"/>
          </w:tcPr>
          <w:p/>
        </w:tc>
        <w:tc>
          <w:tcPr>
            <w:tcW w:type="dxa" w:w="1038"/>
          </w:tcPr>
          <w:p>
            <w:pPr>
              <w:pStyle w:val="null3"/>
            </w:pPr>
            <w:r>
              <w:rPr/>
              <w:t>支持本地端口镜像和远程端口镜像；支持流镜像</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管理和监控</w:t>
            </w:r>
          </w:p>
        </w:tc>
        <w:tc>
          <w:tcPr>
            <w:tcW w:type="dxa" w:w="1038"/>
          </w:tcPr>
          <w:p/>
        </w:tc>
        <w:tc>
          <w:tcPr>
            <w:tcW w:type="dxa" w:w="1038"/>
          </w:tcPr>
          <w:p>
            <w:pPr>
              <w:pStyle w:val="null3"/>
            </w:pPr>
            <w:r>
              <w:rPr/>
              <w:t>支持SNMP V1/V2/V3、Telnet、RMON、SSH功能</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管理和监控</w:t>
            </w:r>
          </w:p>
        </w:tc>
        <w:tc>
          <w:tcPr>
            <w:tcW w:type="dxa" w:w="1038"/>
          </w:tcPr>
          <w:p/>
        </w:tc>
        <w:tc>
          <w:tcPr>
            <w:tcW w:type="dxa" w:w="1038"/>
          </w:tcPr>
          <w:p>
            <w:pPr>
              <w:pStyle w:val="null3"/>
            </w:pPr>
            <w:r>
              <w:rPr/>
              <w:t>支持配置回滚</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管理和监控</w:t>
            </w:r>
          </w:p>
        </w:tc>
        <w:tc>
          <w:tcPr>
            <w:tcW w:type="dxa" w:w="1038"/>
          </w:tcPr>
          <w:p/>
        </w:tc>
        <w:tc>
          <w:tcPr>
            <w:tcW w:type="dxa" w:w="1038"/>
          </w:tcPr>
          <w:p>
            <w:pPr>
              <w:pStyle w:val="null3"/>
            </w:pPr>
            <w:r>
              <w:rPr/>
              <w:t>零配置启动，USBU盘开局</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管理和监控</w:t>
            </w:r>
          </w:p>
        </w:tc>
        <w:tc>
          <w:tcPr>
            <w:tcW w:type="dxa" w:w="1038"/>
          </w:tcPr>
          <w:p/>
        </w:tc>
        <w:tc>
          <w:tcPr>
            <w:tcW w:type="dxa" w:w="1038"/>
          </w:tcPr>
          <w:p>
            <w:pPr>
              <w:pStyle w:val="null3"/>
            </w:pPr>
            <w:r>
              <w:rPr/>
              <w:t>内置图形化网管</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支持IP/ARP/ICMP安全</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支持256位全端口 MACSEC 加密；</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49</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ICMP 攻击防御</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支持风暴抑制，包括广播抑制、未知单播抑制和组播抑制</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安全特性</w:t>
            </w:r>
          </w:p>
        </w:tc>
        <w:tc>
          <w:tcPr>
            <w:tcW w:type="dxa" w:w="1038"/>
          </w:tcPr>
          <w:p/>
        </w:tc>
        <w:tc>
          <w:tcPr>
            <w:tcW w:type="dxa" w:w="1038"/>
          </w:tcPr>
          <w:p>
            <w:pPr>
              <w:pStyle w:val="null3"/>
            </w:pPr>
            <w:r>
              <w:rPr/>
              <w:t>支持防ARP攻击、DDOS攻击、DAI防攻击</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资质证书</w:t>
            </w:r>
          </w:p>
        </w:tc>
        <w:tc>
          <w:tcPr>
            <w:tcW w:type="dxa" w:w="1038"/>
          </w:tcPr>
          <w:p/>
        </w:tc>
        <w:tc>
          <w:tcPr>
            <w:tcW w:type="dxa" w:w="1038"/>
          </w:tcPr>
          <w:p>
            <w:pPr>
              <w:pStyle w:val="null3"/>
            </w:pPr>
            <w:r>
              <w:rPr/>
              <w:t>提供工信部入网许可证</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千兆交换机</w:t>
            </w:r>
          </w:p>
        </w:tc>
        <w:tc>
          <w:tcPr>
            <w:tcW w:type="dxa" w:w="1038"/>
          </w:tcPr>
          <w:p>
            <w:pPr>
              <w:pStyle w:val="null3"/>
            </w:pPr>
            <w:r>
              <w:rPr/>
              <w:t>★</w:t>
            </w:r>
          </w:p>
        </w:tc>
        <w:tc>
          <w:tcPr>
            <w:tcW w:type="dxa" w:w="1038"/>
          </w:tcPr>
          <w:p>
            <w:pPr>
              <w:pStyle w:val="null3"/>
            </w:pPr>
            <w:r>
              <w:rPr/>
              <w:t>兼容性</w:t>
            </w:r>
          </w:p>
        </w:tc>
        <w:tc>
          <w:tcPr>
            <w:tcW w:type="dxa" w:w="1038"/>
          </w:tcPr>
          <w:p/>
        </w:tc>
        <w:tc>
          <w:tcPr>
            <w:tcW w:type="dxa" w:w="1038"/>
          </w:tcPr>
          <w:p>
            <w:pPr>
              <w:pStyle w:val="null3"/>
            </w:pPr>
            <w:r>
              <w:rPr/>
              <w:t>新设备需要满足在不增加其他系统资源情况下兼容现有的SDN环境，能被现有SDN控制器直接管理。供应商须提供详细的解决方案，该解决方案不增加其他系统资源，不影响系统正常运行。配置相关SDN纳管授权。</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整机交换容量≥645Tbps，以官网最低值为准</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基本指标</w:t>
            </w:r>
          </w:p>
        </w:tc>
        <w:tc>
          <w:tcPr>
            <w:tcW w:type="dxa" w:w="1038"/>
          </w:tcPr>
          <w:p/>
        </w:tc>
        <w:tc>
          <w:tcPr>
            <w:tcW w:type="dxa" w:w="1038"/>
          </w:tcPr>
          <w:p>
            <w:pPr>
              <w:pStyle w:val="null3"/>
            </w:pPr>
            <w:r>
              <w:rPr/>
              <w:t>整机包转发率≥460000Mpps，以官网最低值为准</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芯片</w:t>
            </w:r>
          </w:p>
        </w:tc>
        <w:tc>
          <w:tcPr>
            <w:tcW w:type="dxa" w:w="1038"/>
          </w:tcPr>
          <w:p/>
        </w:tc>
        <w:tc>
          <w:tcPr>
            <w:tcW w:type="dxa" w:w="1038"/>
          </w:tcPr>
          <w:p>
            <w:pPr>
              <w:pStyle w:val="null3"/>
            </w:pPr>
            <w:r>
              <w:rPr/>
              <w:t>核心芯片为国产芯片</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57</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设备采用正交无中板CLOS架构设计</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实配双主控引擎模块，主控引擎模块支持热插拔</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支持业务槽位数量≥8个</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实配≥6块独立交换网板，且满配</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设备高度≤12U</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设备架构</w:t>
            </w:r>
          </w:p>
        </w:tc>
        <w:tc>
          <w:tcPr>
            <w:tcW w:type="dxa" w:w="1038"/>
          </w:tcPr>
          <w:p/>
        </w:tc>
        <w:tc>
          <w:tcPr>
            <w:tcW w:type="dxa" w:w="1038"/>
          </w:tcPr>
          <w:p>
            <w:pPr>
              <w:pStyle w:val="null3"/>
            </w:pPr>
            <w:r>
              <w:rPr/>
              <w:t>严格前后风道设计</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接口要求</w:t>
            </w:r>
          </w:p>
        </w:tc>
        <w:tc>
          <w:tcPr>
            <w:tcW w:type="dxa" w:w="1038"/>
          </w:tcPr>
          <w:p/>
        </w:tc>
        <w:tc>
          <w:tcPr>
            <w:tcW w:type="dxa" w:w="1038"/>
          </w:tcPr>
          <w:p>
            <w:pPr>
              <w:pStyle w:val="null3"/>
            </w:pPr>
            <w:r>
              <w:rPr/>
              <w:t>实配≥100端口100G以太网光接口，≥48端口10G以太网光接口，≥48端口1G以太网光接口，≥48端口1G以太网电接口，满配100G MPO口多模光模块，满配千兆及万兆多模光模块</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实配可插拔冗余风扇框模块，实配可插拔冗余电源模块</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支持硬件BFD；支持跨设备链路聚合功能（M-LAG/DRNI/vPC）</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支持热补丁功能，可在线进行补丁升级</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可靠性</w:t>
            </w:r>
          </w:p>
        </w:tc>
        <w:tc>
          <w:tcPr>
            <w:tcW w:type="dxa" w:w="1038"/>
          </w:tcPr>
          <w:p/>
        </w:tc>
        <w:tc>
          <w:tcPr>
            <w:tcW w:type="dxa" w:w="1038"/>
          </w:tcPr>
          <w:p>
            <w:pPr>
              <w:pStyle w:val="null3"/>
            </w:pPr>
            <w:r>
              <w:rPr/>
              <w:t>所有组件均支持热插拔</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网络基础</w:t>
            </w:r>
          </w:p>
        </w:tc>
        <w:tc>
          <w:tcPr>
            <w:tcW w:type="dxa" w:w="1038"/>
          </w:tcPr>
          <w:p/>
        </w:tc>
        <w:tc>
          <w:tcPr>
            <w:tcW w:type="dxa" w:w="1038"/>
          </w:tcPr>
          <w:p>
            <w:pPr>
              <w:pStyle w:val="null3"/>
            </w:pPr>
            <w:r>
              <w:rPr/>
              <w:t>实配支持静态路由、RIP、OSPF、BGP，实配支持等价路由、路由策略、VRRP、策略路由，实配支持OSPF、BGPv4的明文认证和MD5密文认证；</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功能</w:t>
            </w:r>
          </w:p>
        </w:tc>
        <w:tc>
          <w:tcPr>
            <w:tcW w:type="dxa" w:w="1038"/>
          </w:tcPr>
          <w:p/>
        </w:tc>
        <w:tc>
          <w:tcPr>
            <w:tcW w:type="dxa" w:w="1038"/>
          </w:tcPr>
          <w:p>
            <w:pPr>
              <w:pStyle w:val="null3"/>
            </w:pPr>
            <w:r>
              <w:rPr/>
              <w:t>实配支持STP/RSTP/MSTP协议，实配支持BPDUGuard功能；</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功能</w:t>
            </w:r>
          </w:p>
        </w:tc>
        <w:tc>
          <w:tcPr>
            <w:tcW w:type="dxa" w:w="1038"/>
          </w:tcPr>
          <w:p/>
        </w:tc>
        <w:tc>
          <w:tcPr>
            <w:tcW w:type="dxa" w:w="1038"/>
          </w:tcPr>
          <w:p>
            <w:pPr>
              <w:pStyle w:val="null3"/>
            </w:pPr>
            <w:r>
              <w:rPr/>
              <w:t>实配支持IPV4/IPV6双栈；</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每端口支持8个优先级队列，支持SP、WRR、SP+WRR三种队列调度算法；</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实配支持流量整形Shapping；实配支持WRED拥塞避免；</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QOS</w:t>
            </w:r>
          </w:p>
        </w:tc>
        <w:tc>
          <w:tcPr>
            <w:tcW w:type="dxa" w:w="1038"/>
          </w:tcPr>
          <w:p/>
        </w:tc>
        <w:tc>
          <w:tcPr>
            <w:tcW w:type="dxa" w:w="1038"/>
          </w:tcPr>
          <w:p>
            <w:pPr>
              <w:pStyle w:val="null3"/>
            </w:pPr>
            <w:r>
              <w:rPr/>
              <w:t>实配支持802.1p、TOS、DSCP、EXP优先级映射；</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DC特性</w:t>
            </w:r>
          </w:p>
        </w:tc>
        <w:tc>
          <w:tcPr>
            <w:tcW w:type="dxa" w:w="1038"/>
          </w:tcPr>
          <w:p/>
        </w:tc>
        <w:tc>
          <w:tcPr>
            <w:tcW w:type="dxa" w:w="1038"/>
          </w:tcPr>
          <w:p>
            <w:pPr>
              <w:pStyle w:val="null3"/>
            </w:pPr>
            <w:r>
              <w:rPr/>
              <w:t>支持EVPN功能</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DC特性</w:t>
            </w:r>
          </w:p>
        </w:tc>
        <w:tc>
          <w:tcPr>
            <w:tcW w:type="dxa" w:w="1038"/>
          </w:tcPr>
          <w:p/>
        </w:tc>
        <w:tc>
          <w:tcPr>
            <w:tcW w:type="dxa" w:w="1038"/>
          </w:tcPr>
          <w:p>
            <w:pPr>
              <w:pStyle w:val="null3"/>
            </w:pPr>
            <w:r>
              <w:rPr/>
              <w:t>支持VXLAN二、三层网关功能</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DC特性</w:t>
            </w:r>
          </w:p>
        </w:tc>
        <w:tc>
          <w:tcPr>
            <w:tcW w:type="dxa" w:w="1038"/>
          </w:tcPr>
          <w:p/>
        </w:tc>
        <w:tc>
          <w:tcPr>
            <w:tcW w:type="dxa" w:w="1038"/>
          </w:tcPr>
          <w:p>
            <w:pPr>
              <w:pStyle w:val="null3"/>
            </w:pPr>
            <w:r>
              <w:rPr/>
              <w:t>支持BGP-LS、netconf协议，可被所投产品制造商数据中心SDN控制器纳管。</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支持ARP/DHCP/ICMP等攻击防御，支持CPU保护</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支持SNMPv1/v2/v3</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支持端口镜像/流镜像</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支持全端口MACsec加密技术，密钥长度为256bit</w:t>
            </w:r>
          </w:p>
        </w:tc>
        <w:tc>
          <w:tcPr>
            <w:tcW w:type="dxa" w:w="1038"/>
          </w:tcPr>
          <w:p>
            <w:pPr>
              <w:pStyle w:val="null3"/>
            </w:pPr>
            <w:r>
              <w:rPr/>
              <w:t>是</w:t>
            </w:r>
          </w:p>
        </w:tc>
        <w:tc>
          <w:tcPr>
            <w:tcW w:type="dxa" w:w="1038"/>
          </w:tcPr>
          <w:p>
            <w:pPr>
              <w:pStyle w:val="null3"/>
            </w:pPr>
            <w:r>
              <w:rPr/>
              <w:t>提供带CMA红章，CNAS标识的检测报告证明</w:t>
            </w:r>
          </w:p>
        </w:tc>
      </w:tr>
      <w:tr>
        <w:tc>
          <w:tcPr>
            <w:tcW w:type="dxa" w:w="1038"/>
          </w:tcPr>
          <w:p>
            <w:pPr>
              <w:pStyle w:val="null3"/>
            </w:pPr>
            <w:r>
              <w:rPr/>
              <w:t>81</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安全性</w:t>
            </w:r>
          </w:p>
        </w:tc>
        <w:tc>
          <w:tcPr>
            <w:tcW w:type="dxa" w:w="1038"/>
          </w:tcPr>
          <w:p/>
        </w:tc>
        <w:tc>
          <w:tcPr>
            <w:tcW w:type="dxa" w:w="1038"/>
          </w:tcPr>
          <w:p>
            <w:pPr>
              <w:pStyle w:val="null3"/>
            </w:pPr>
            <w:r>
              <w:rPr/>
              <w:t>设备支持协议报文限速功能</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实配支持Console/Telnet/SSH2.0；</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实配支持SNMPv2/v3；</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支持网络流量特征的统计功能（如Netstream/Netflow/IPFIX）；</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网络管理</w:t>
            </w:r>
          </w:p>
        </w:tc>
        <w:tc>
          <w:tcPr>
            <w:tcW w:type="dxa" w:w="1038"/>
          </w:tcPr>
          <w:p/>
        </w:tc>
        <w:tc>
          <w:tcPr>
            <w:tcW w:type="dxa" w:w="1038"/>
          </w:tcPr>
          <w:p>
            <w:pPr>
              <w:pStyle w:val="null3"/>
            </w:pPr>
            <w:r>
              <w:rPr/>
              <w:t>实配支持端口流量镜像；</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资质证书</w:t>
            </w:r>
          </w:p>
        </w:tc>
        <w:tc>
          <w:tcPr>
            <w:tcW w:type="dxa" w:w="1038"/>
          </w:tcPr>
          <w:p/>
        </w:tc>
        <w:tc>
          <w:tcPr>
            <w:tcW w:type="dxa" w:w="1038"/>
          </w:tcPr>
          <w:p>
            <w:pPr>
              <w:pStyle w:val="null3"/>
            </w:pPr>
            <w:r>
              <w:rPr/>
              <w:t>提供工信部入网许可证</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汇聚交换机</w:t>
            </w:r>
          </w:p>
        </w:tc>
        <w:tc>
          <w:tcPr>
            <w:tcW w:type="dxa" w:w="1038"/>
          </w:tcPr>
          <w:p>
            <w:pPr>
              <w:pStyle w:val="null3"/>
            </w:pPr>
            <w:r>
              <w:rPr/>
              <w:t>★</w:t>
            </w:r>
          </w:p>
        </w:tc>
        <w:tc>
          <w:tcPr>
            <w:tcW w:type="dxa" w:w="1038"/>
          </w:tcPr>
          <w:p>
            <w:pPr>
              <w:pStyle w:val="null3"/>
            </w:pPr>
            <w:r>
              <w:rPr/>
              <w:t>兼容性</w:t>
            </w:r>
          </w:p>
        </w:tc>
        <w:tc>
          <w:tcPr>
            <w:tcW w:type="dxa" w:w="1038"/>
          </w:tcPr>
          <w:p/>
        </w:tc>
        <w:tc>
          <w:tcPr>
            <w:tcW w:type="dxa" w:w="1038"/>
          </w:tcPr>
          <w:p>
            <w:pPr>
              <w:pStyle w:val="null3"/>
            </w:pPr>
            <w:r>
              <w:rPr/>
              <w:t>新设备需要满足在不增加其他系统资源情况下兼容现有的SDN环境，能被现有SDN控制器直接管理。供应商须提供详细的解决方案，该解决方案不增加其他系统资源，不影响系统正常运行。配置相关SDN纳管授权。</w:t>
            </w:r>
          </w:p>
        </w:tc>
        <w:tc>
          <w:tcPr>
            <w:tcW w:type="dxa" w:w="1038"/>
          </w:tcPr>
          <w:p>
            <w:pPr>
              <w:pStyle w:val="null3"/>
            </w:pPr>
            <w:r>
              <w:rPr/>
              <w:t>否</w:t>
            </w:r>
          </w:p>
        </w:tc>
        <w:tc>
          <w:tcPr>
            <w:tcW w:type="dxa" w:w="1038"/>
          </w:tcPr>
          <w:p/>
        </w:tc>
      </w:tr>
    </w:tbl>
    <w:p>
      <w:pPr>
        <w:pStyle w:val="null3"/>
        <w:jc w:val="both"/>
      </w:pPr>
      <w:r>
        <w:rPr/>
        <w:t>本商务要求共有“★”指标17个，”#”指标3个，“▲”指标5个。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如果投标人在投标过程中出现以下所列任何行为：（1）在投标文件中承诺满足招标文件要求，但经专家评审或经过后期使用发现不能满足招标文件要求的情况；（2）在投标文件中以欺骗评审专家及反洗钱中心为目的，提供虚假数据或虚假信息，使提供服务能满足招标文件要求的情况；（3）评审专家认定的其它欺骗或不良行为。 一经发现，有权取消其投标资格或中标候选人资格；如果已经签订合同，反洗钱中心保留终止合同的权利，且由此对反洗钱中心造成的损失由投标人负责。</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投标货物应由原厂提供下述服务: （1）根据反洗钱中心需求提供原厂技术服务，技术服务内容包括原厂安装调试服务、质量保证期内配套技术服务等。 （2）反洗钱中心后续购置本项目采购之服务，原厂商须提供所需服务，且服务报价不得高于本次报价。同时，后续维保服务报价不得超过本次投标货物总报价的20%。 （3）自甲方出具《最终验收合格单》（加盖甲乙双方公章）之日起，原厂商提供5年的备品备件服务。</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投标人以中文方式提供所投产品的全部文档（可为电子版）（包括但不限于技术手册、使用手册、维护手册）</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基本要求</w:t>
            </w:r>
          </w:p>
        </w:tc>
        <w:tc>
          <w:tcPr>
            <w:tcW w:type="dxa" w:w="1038"/>
          </w:tcPr>
          <w:p/>
        </w:tc>
        <w:tc>
          <w:tcPr>
            <w:tcW w:type="dxa" w:w="1038"/>
          </w:tcPr>
          <w:p>
            <w:pPr>
              <w:pStyle w:val="null3"/>
            </w:pPr>
            <w:r>
              <w:rPr/>
              <w:t>供应商提供的产品应为具有合法版权或使用权的正版产品且无质量瑕疵，且为该产品的当前最新版本或最适合用户的版本。同时所投产品的使用期限为“永久期限”</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集成实施服务</w:t>
            </w:r>
          </w:p>
        </w:tc>
        <w:tc>
          <w:tcPr>
            <w:tcW w:type="dxa" w:w="1038"/>
          </w:tcPr>
          <w:p/>
        </w:tc>
        <w:tc>
          <w:tcPr>
            <w:tcW w:type="dxa" w:w="1038"/>
          </w:tcPr>
          <w:p>
            <w:pPr>
              <w:pStyle w:val="null3"/>
            </w:pPr>
            <w:r>
              <w:rPr/>
              <w:t>集成实施总体目标 ：该项目为采购的62台网络交换机提供基础软硬件集成服务，包括但不限于：基础软硬件安装配置、性能调优、数据备份、恢复策略、同城灾备、应急演练等制定详细方案并进行实施。</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原厂维保服务要求</w:t>
            </w:r>
          </w:p>
        </w:tc>
        <w:tc>
          <w:tcPr>
            <w:tcW w:type="dxa" w:w="1038"/>
          </w:tcPr>
          <w:p/>
        </w:tc>
        <w:tc>
          <w:tcPr>
            <w:tcW w:type="dxa" w:w="1038"/>
          </w:tcPr>
          <w:p>
            <w:pPr>
              <w:pStyle w:val="null3"/>
            </w:pPr>
            <w:r>
              <w:rPr/>
              <w:t>1. 技术服务提供商提供的软硬件产品的原厂维保服务是指标准服务和 7×24 紧急救援服务。 2. 所投软硬件产品标准服务包括现场支持和远程支持两部分。 3. 所投软硬件产品标准服务中的远程支持是技术服务提供商服务人员应在收到用户需求的电话后需要及时给出响应，尽快提供解决办法并远程指导用户进行解决；若电话等支持不能解决的问题，需要现场响应并及时解决。用户需求包括但不限于下述内容：问题、故障的诊断与排除，系统配置、辅助应用系统部署、各种突发事件的应急策略等。 4. 所投软硬件产品标准服务中的现场支持主要包括巡检服务和免费提供必要的软硬件升级与补丁更新。巡检服务包括季度例行巡检和关键服务期的巡检。巡检应全面进行健康性检查，检查并分析系统日志，发现并排除错误和安全隐患，检查空间使用情况，协助进行空间规划管理，检查备份和灾备的完整性和有效性，并提供巡检报告。 5. 所投软硬件产品紧急救援服务是指技术服务提供商提供的相关软硬件产品出现故障（如服务中断、数据丢失、性能下降、无法正常启动或关闭等）时，所投软硬件产品原厂商须为反洗钱中心提供其软硬件故障分析、故障解决的服务。 6. 根据产品故障对系统的影响，分为宕机故障和非宕机故障。当发生宕机故障时，原厂商应在接到反洗钱中心申请后30分钟内做出实质性反应（实质性反应是指原厂商工程师与甲方取得联系，就问题情况进行沟通），并派出合格工程师在1小时内到达现场处理产品故障并解决故障问题。当发生非宕机故障时，原厂商应在接到反洗钱中心申请后1小时内做出实质性反应（实质性反应是指原厂商工程师与甲方取得联系，就问题情况进行沟通），并派出合格工程师在4小时内到达现场处理产品故障并解决故障问题。 7. 维保服务结束时，技术服务提供商服务人员需对技术支持过程进行详细记录并提交反洗钱中心。 8. 服务时间要求服务时效：四年期服务，开始时间：自本项目到货验收通过后，开始服务时段：7*24 9. 免费维保期外的所投软硬件产品原厂维保服务报价不得超过本次投标相关产品报价的 20%。</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备品备件要求</w:t>
            </w:r>
          </w:p>
        </w:tc>
        <w:tc>
          <w:tcPr>
            <w:tcW w:type="dxa" w:w="1038"/>
          </w:tcPr>
          <w:p/>
        </w:tc>
        <w:tc>
          <w:tcPr>
            <w:tcW w:type="dxa" w:w="1038"/>
          </w:tcPr>
          <w:p>
            <w:pPr>
              <w:pStyle w:val="null3"/>
            </w:pPr>
            <w:r>
              <w:rPr/>
              <w:t>提供自签发《最终验收合格单》之日起5年的备品备件更换服务。</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同类项目经验</w:t>
            </w:r>
          </w:p>
        </w:tc>
        <w:tc>
          <w:tcPr>
            <w:tcW w:type="dxa" w:w="1038"/>
          </w:tcPr>
          <w:p/>
        </w:tc>
        <w:tc>
          <w:tcPr>
            <w:tcW w:type="dxa" w:w="1038"/>
          </w:tcPr>
          <w:p>
            <w:pPr>
              <w:pStyle w:val="null3"/>
            </w:pPr>
            <w:r>
              <w:rPr/>
              <w:t>分别提供2024年1月1日至本次投标截止日前（以合同签字日期为准）与本次投标汇聚交换机同品牌同型号产品成功案例。评标时将根据所提供的证明材料，给予打分。每个案例须至少提供案例的合同复印件（至少包括首页、合同标的、盖章页、产品说明一览表等能够说明合同内容的信息）。合同主体应为投标人或核心产品原厂商。</w:t>
            </w:r>
          </w:p>
        </w:tc>
        <w:tc>
          <w:tcPr>
            <w:tcW w:type="dxa" w:w="1038"/>
          </w:tcPr>
          <w:p>
            <w:pPr>
              <w:pStyle w:val="null3"/>
            </w:pPr>
            <w:r>
              <w:rPr/>
              <w:t>是</w:t>
            </w:r>
          </w:p>
        </w:tc>
        <w:tc>
          <w:tcPr>
            <w:tcW w:type="dxa" w:w="1038"/>
          </w:tcPr>
          <w:p>
            <w:pPr>
              <w:pStyle w:val="null3"/>
            </w:pPr>
            <w:r>
              <w:rPr/>
              <w:t>提供合同复印件</w:t>
            </w: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团队人员</w:t>
            </w:r>
          </w:p>
        </w:tc>
        <w:tc>
          <w:tcPr>
            <w:tcW w:type="dxa" w:w="1038"/>
          </w:tcPr>
          <w:p/>
        </w:tc>
        <w:tc>
          <w:tcPr>
            <w:tcW w:type="dxa" w:w="1038"/>
          </w:tcPr>
          <w:p>
            <w:pPr>
              <w:pStyle w:val="null3"/>
            </w:pPr>
            <w:r>
              <w:rPr/>
              <w:t>供应商须协调技术服务提供商针对反洗钱中心使用的本项目软硬件产品派遣有经验、负责任的工程师和项目经理参与本项目工作，除项目经历外，熟悉本项目中采购的各个软硬件产品的专业技术工程师至少2人以上，并将小组成员名单、联系方式、职责、专长等体现在投标文件中。其中2人为固定联系人，用户可通过电话、电子邮件等各种方式提出支持请求，固定联系人须负责协调、组织并跟踪故障处理全过程，向用户及时反馈问题处理情况。用户有权要求更换服务人员。如因特殊情况有人员变动，供应商应提前书面通知用户并在取得用户的同意后更换人员。投标人需将小组成员名单、联系方式、职责、专长等体现在投标文件中，评标时将根据项目团队成员的从业经历进行评分。</w:t>
            </w:r>
          </w:p>
        </w:tc>
        <w:tc>
          <w:tcPr>
            <w:tcW w:type="dxa" w:w="1038"/>
          </w:tcPr>
          <w:p>
            <w:pPr>
              <w:pStyle w:val="null3"/>
            </w:pPr>
            <w:r>
              <w:rPr/>
              <w:t>是</w:t>
            </w:r>
          </w:p>
        </w:tc>
        <w:tc>
          <w:tcPr>
            <w:tcW w:type="dxa" w:w="1038"/>
          </w:tcPr>
          <w:p>
            <w:pPr>
              <w:pStyle w:val="null3"/>
            </w:pPr>
            <w:r>
              <w:rPr/>
              <w:t>投标人提供项目团队所有人员简历（包含本项目涉及到的原厂服务人员）</w:t>
            </w: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核心产品原厂商资质</w:t>
            </w:r>
          </w:p>
        </w:tc>
        <w:tc>
          <w:tcPr>
            <w:tcW w:type="dxa" w:w="1038"/>
          </w:tcPr>
          <w:p/>
        </w:tc>
        <w:tc>
          <w:tcPr>
            <w:tcW w:type="dxa" w:w="1038"/>
          </w:tcPr>
          <w:p>
            <w:pPr>
              <w:pStyle w:val="null3"/>
            </w:pPr>
            <w:r>
              <w:rPr/>
              <w:t>取得ISO9001质量管理体系认证；</w:t>
            </w:r>
          </w:p>
        </w:tc>
        <w:tc>
          <w:tcPr>
            <w:tcW w:type="dxa" w:w="1038"/>
          </w:tcPr>
          <w:p>
            <w:pPr>
              <w:pStyle w:val="null3"/>
            </w:pPr>
            <w:r>
              <w:rPr/>
              <w:t>是</w:t>
            </w:r>
          </w:p>
        </w:tc>
        <w:tc>
          <w:tcPr>
            <w:tcW w:type="dxa" w:w="1038"/>
          </w:tcPr>
          <w:p>
            <w:pPr>
              <w:pStyle w:val="null3"/>
            </w:pPr>
            <w:r>
              <w:rPr/>
              <w:t>提供资质证明</w:t>
            </w: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核心产品原厂商资质</w:t>
            </w:r>
          </w:p>
        </w:tc>
        <w:tc>
          <w:tcPr>
            <w:tcW w:type="dxa" w:w="1038"/>
          </w:tcPr>
          <w:p/>
        </w:tc>
        <w:tc>
          <w:tcPr>
            <w:tcW w:type="dxa" w:w="1038"/>
          </w:tcPr>
          <w:p>
            <w:pPr>
              <w:pStyle w:val="null3"/>
            </w:pPr>
            <w:r>
              <w:rPr/>
              <w:t>取得ISO20000IT服务管理体系认证；</w:t>
            </w:r>
          </w:p>
        </w:tc>
        <w:tc>
          <w:tcPr>
            <w:tcW w:type="dxa" w:w="1038"/>
          </w:tcPr>
          <w:p>
            <w:pPr>
              <w:pStyle w:val="null3"/>
            </w:pPr>
            <w:r>
              <w:rPr/>
              <w:t>是</w:t>
            </w:r>
          </w:p>
        </w:tc>
        <w:tc>
          <w:tcPr>
            <w:tcW w:type="dxa" w:w="1038"/>
          </w:tcPr>
          <w:p>
            <w:pPr>
              <w:pStyle w:val="null3"/>
            </w:pPr>
            <w:r>
              <w:rPr/>
              <w:t>提供资质证明</w:t>
            </w:r>
          </w:p>
        </w:tc>
      </w:tr>
      <w:tr>
        <w:tc>
          <w:tcPr>
            <w:tcW w:type="dxa" w:w="1038"/>
          </w:tcPr>
          <w:p>
            <w:pPr>
              <w:pStyle w:val="null3"/>
            </w:pPr>
            <w:r>
              <w:rPr/>
              <w:t>12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核心产品原厂商资质</w:t>
            </w:r>
          </w:p>
        </w:tc>
        <w:tc>
          <w:tcPr>
            <w:tcW w:type="dxa" w:w="1038"/>
          </w:tcPr>
          <w:p/>
        </w:tc>
        <w:tc>
          <w:tcPr>
            <w:tcW w:type="dxa" w:w="1038"/>
          </w:tcPr>
          <w:p>
            <w:pPr>
              <w:pStyle w:val="null3"/>
            </w:pPr>
            <w:r>
              <w:rPr/>
              <w:t>取得ISO27001信息安全管理体系认证；</w:t>
            </w:r>
          </w:p>
        </w:tc>
        <w:tc>
          <w:tcPr>
            <w:tcW w:type="dxa" w:w="1038"/>
          </w:tcPr>
          <w:p>
            <w:pPr>
              <w:pStyle w:val="null3"/>
            </w:pPr>
            <w:r>
              <w:rPr/>
              <w:t>是</w:t>
            </w:r>
          </w:p>
        </w:tc>
        <w:tc>
          <w:tcPr>
            <w:tcW w:type="dxa" w:w="1038"/>
          </w:tcPr>
          <w:p>
            <w:pPr>
              <w:pStyle w:val="null3"/>
            </w:pPr>
            <w:r>
              <w:rPr/>
              <w:t>提供资质证明</w:t>
            </w:r>
          </w:p>
        </w:tc>
      </w:tr>
      <w:tr>
        <w:tc>
          <w:tcPr>
            <w:tcW w:type="dxa" w:w="1038"/>
          </w:tcPr>
          <w:p>
            <w:pPr>
              <w:pStyle w:val="null3"/>
            </w:pPr>
            <w:r>
              <w:rPr/>
              <w:t>13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制造商授权</w:t>
            </w:r>
          </w:p>
        </w:tc>
        <w:tc>
          <w:tcPr>
            <w:tcW w:type="dxa" w:w="1038"/>
          </w:tcPr>
          <w:p/>
        </w:tc>
        <w:tc>
          <w:tcPr>
            <w:tcW w:type="dxa" w:w="1038"/>
          </w:tcPr>
          <w:p>
            <w:pPr>
              <w:pStyle w:val="null3"/>
            </w:pPr>
            <w:r>
              <w:rPr/>
              <w:t>投标人为所有投标货物的原厂商或原厂商授权代理商，给与加分。注：如投标人为代理商需提供生产厂家提供的授权函原件（不接受转授权），加盖投标人公章，否则不得分。</w:t>
            </w:r>
          </w:p>
        </w:tc>
        <w:tc>
          <w:tcPr>
            <w:tcW w:type="dxa" w:w="1038"/>
          </w:tcPr>
          <w:p>
            <w:pPr>
              <w:pStyle w:val="null3"/>
            </w:pPr>
            <w:r>
              <w:rPr/>
              <w:t>是</w:t>
            </w:r>
          </w:p>
        </w:tc>
        <w:tc>
          <w:tcPr>
            <w:tcW w:type="dxa" w:w="1038"/>
          </w:tcPr>
          <w:p>
            <w:pPr>
              <w:pStyle w:val="null3"/>
            </w:pPr>
            <w:r>
              <w:rPr/>
              <w:t>提供授权函</w:t>
            </w:r>
          </w:p>
        </w:tc>
      </w:tr>
      <w:tr>
        <w:tc>
          <w:tcPr>
            <w:tcW w:type="dxa" w:w="1038"/>
          </w:tcPr>
          <w:p>
            <w:pPr>
              <w:pStyle w:val="null3"/>
            </w:pPr>
            <w:r>
              <w:rPr/>
              <w:t>14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产品认证</w:t>
            </w:r>
          </w:p>
        </w:tc>
        <w:tc>
          <w:tcPr>
            <w:tcW w:type="dxa" w:w="1038"/>
          </w:tcPr>
          <w:p/>
        </w:tc>
        <w:tc>
          <w:tcPr>
            <w:tcW w:type="dxa" w:w="1038"/>
          </w:tcPr>
          <w:p>
            <w:pPr>
              <w:pStyle w:val="null3"/>
            </w:pPr>
            <w:r>
              <w:rPr/>
              <w:t>所有交换机产品须通过环境标志产品认证。</w:t>
            </w:r>
          </w:p>
        </w:tc>
        <w:tc>
          <w:tcPr>
            <w:tcW w:type="dxa" w:w="1038"/>
          </w:tcPr>
          <w:p>
            <w:pPr>
              <w:pStyle w:val="null3"/>
            </w:pPr>
            <w:r>
              <w:rPr/>
              <w:t>是</w:t>
            </w:r>
          </w:p>
        </w:tc>
        <w:tc>
          <w:tcPr>
            <w:tcW w:type="dxa" w:w="1038"/>
          </w:tcPr>
          <w:p>
            <w:pPr>
              <w:pStyle w:val="null3"/>
            </w:pPr>
            <w:r>
              <w:rPr/>
              <w:t>应出具依据国家确定的认证机构出具的、处于有效期之内的环境标志产品认证证书或复印件并加盖投标人公章。</w:t>
            </w:r>
          </w:p>
        </w:tc>
      </w:tr>
      <w:tr>
        <w:tc>
          <w:tcPr>
            <w:tcW w:type="dxa" w:w="1038"/>
          </w:tcPr>
          <w:p>
            <w:pPr>
              <w:pStyle w:val="null3"/>
            </w:pPr>
            <w:r>
              <w:rPr/>
              <w:t>15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投标人应提供针对于本项目采购的所有软硬件提供四年免费原厂维保服务，包括不限于7*24小时紧急救援服务；免费提供软硬件升级与补丁更新；在节假日也需履行。</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投标人应提供针对于本项目采购的软硬件产品提供免费的原厂技术培训。</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供应商应详细阐述技术支持服务期内的技术支持服务的内容、方式与范围，并指出在技术支持服务期内免费和收费服务内容，对于收费服务，供应商应列出费用，并计入报价。</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技术支持与服务</w:t>
            </w:r>
          </w:p>
        </w:tc>
        <w:tc>
          <w:tcPr>
            <w:tcW w:type="dxa" w:w="1038"/>
          </w:tcPr>
          <w:p/>
        </w:tc>
        <w:tc>
          <w:tcPr>
            <w:tcW w:type="dxa" w:w="1038"/>
          </w:tcPr>
          <w:p>
            <w:pPr>
              <w:pStyle w:val="null3"/>
            </w:pPr>
            <w:r>
              <w:rPr/>
              <w:t>供应商应提供技术支持服务方案，至少包括包括项目需求理解、售后服务方案、集成实施方案、质量保障方案等内容，将根据内容完整性和方案合理性进行指标。</w:t>
            </w:r>
          </w:p>
        </w:tc>
        <w:tc>
          <w:tcPr>
            <w:tcW w:type="dxa" w:w="1038"/>
          </w:tcPr>
          <w:p>
            <w:pPr>
              <w:pStyle w:val="null3"/>
            </w:pPr>
            <w:r>
              <w:rPr/>
              <w:t>是</w:t>
            </w:r>
          </w:p>
        </w:tc>
        <w:tc>
          <w:tcPr>
            <w:tcW w:type="dxa" w:w="1038"/>
          </w:tcPr>
          <w:p>
            <w:pPr>
              <w:pStyle w:val="null3"/>
            </w:pPr>
            <w:r>
              <w:rPr/>
              <w:t>提供对应方案</w:t>
            </w:r>
          </w:p>
        </w:tc>
      </w:tr>
      <w:tr>
        <w:tc>
          <w:tcPr>
            <w:tcW w:type="dxa" w:w="1038"/>
          </w:tcPr>
          <w:p>
            <w:pPr>
              <w:pStyle w:val="null3"/>
            </w:pPr>
            <w:r>
              <w:rPr/>
              <w:t>19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到货要求</w:t>
            </w:r>
          </w:p>
        </w:tc>
        <w:tc>
          <w:tcPr>
            <w:tcW w:type="dxa" w:w="1038"/>
          </w:tcPr>
          <w:p/>
        </w:tc>
        <w:tc>
          <w:tcPr>
            <w:tcW w:type="dxa" w:w="1038"/>
          </w:tcPr>
          <w:p>
            <w:pPr>
              <w:pStyle w:val="null3"/>
            </w:pPr>
            <w:r>
              <w:rPr/>
              <w:t>1.投标人应负责本采购文件中要求的所有货物运输、交验、保险等一切费用。 2. 投标人提供的货物应与反洗钱中心已有软件、系统和设备有良好的兼容性。 3. 本次采购货物的到货验收地点为北京市西城区成方街32号或反洗钱中心指定的北京市辖区内办公区域或机房。投标人应在合同签订并接到反洗钱中心通知后十（10）个工作日内向甲方交付全部合同货物，并提前五（5）个日历日将到货时间告知甲方。如果投标人在履行合同时不能按承诺的时间到货，将以合同违约处理，并追究投标人的有关责任。</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软硬件产品安装部署</w:t>
            </w:r>
          </w:p>
        </w:tc>
        <w:tc>
          <w:tcPr>
            <w:tcW w:type="dxa" w:w="1038"/>
          </w:tcPr>
          <w:p/>
        </w:tc>
        <w:tc>
          <w:tcPr>
            <w:tcW w:type="dxa" w:w="1038"/>
          </w:tcPr>
          <w:p>
            <w:pPr>
              <w:pStyle w:val="null3"/>
            </w:pPr>
            <w:r>
              <w:rPr/>
              <w:t>1.基本要求 1.1 软硬件产品安装、调试、系统集成等事项由中标人总负责，原厂商配合完成。 1.2 应在最终用户方要求时间以前完成本次投标软硬件产品的安装、调试、系统集成工作。本次投标软硬件产品安装、调试、系统集成的主要目标是完成软硬件的安装、调试，使相关软硬件能够在最终用户现有环境里正常运行，并完成楼层间综合布线。 2具体任务 2.1 软硬件产品安装、调试、集成的主要内容包括：制定集成计划与方案；负责货物的安装调试，并按反洗钱中心要求进行初始参数设置；对反洗钱监测分析二代系统的集成提供现场技术支持；负责货物初步验收前的初期维护。 2.2 中标人应在安装前到安装现场了解安装环境及其它系统现状；与反洗钱监测分析二代系统的相关建设单位进行积极主动的合作；应服从反洗钱中心的统一协调，在实施方案设计、产品安装、调试、集成、技术支持、运行维护等方面给予配合；应熟悉反洗钱中心现有系统或类似系统的运行情况。</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项目验收</w:t>
            </w:r>
          </w:p>
        </w:tc>
        <w:tc>
          <w:tcPr>
            <w:tcW w:type="dxa" w:w="1038"/>
          </w:tcPr>
          <w:p/>
        </w:tc>
        <w:tc>
          <w:tcPr>
            <w:tcW w:type="dxa" w:w="1038"/>
          </w:tcPr>
          <w:p>
            <w:pPr>
              <w:pStyle w:val="null3"/>
            </w:pPr>
            <w:r>
              <w:rPr/>
              <w:t>1.总体要求 1.1. 验收工作由项目单位组织实施，由项目单位、中标人共同完成。中标人应配合完成各阶段的验收工作，必要时由中标人或第三方机构按照验收要求完成测试，提交项目验收相关文档，经项目单位确认后进行项目验收。 1.2. 中标人应在项目验收、测试时提供相关的测试环境及必要的设备和工具，使用的各类支撑工具应保证项目单位在全系统合法免费使用，中标人承担由于知识产权等纠纷导致的所有责任。需要委托第三方机构进行测试的，费用由中标人承担。 1.3. 产品到货后，中标人负责验收配合性工作，包括数量清点、外观检查、开箱检验、到货记录等工作，验收工作由反洗钱中心和中标人共同完成。中标人应按照反洗钱中心订货要求进行检查、核对，提交产品到货验收相关文档，经反洗钱中心确认后进行验收。 1.4. 中标人提供的各类文档应内容完整、描述清晰、版本最新，各类方案要求实现目标明确、工作措施得力、可操作性强、具有前瞻性。产出物应提供电子和纸质两种介质，并保持版本一致。 1.5. 对验收中发现的问题，中标人应提出有效解决办法和应对措施，经项目单位确认后实施。 2.到货验收 2.1 中标人应在合同规定的交货期内提供所有产品，在反洗钱中心指定的地点进行产品交付，中标人必须保证到货的软硬件产品为采购合同中指定的版本，并在产品到货后配合反洗钱中心进行开箱检查。中标人所交付的产品应符合以下要求：（1）应包括全部的介质、配件、软件、相关资料（应包括：产品说明书、产品操作手册、产品维护手册、故障诊断手册、开发手册等）以及装箱单等。（2）必须同时持有该产品合法的正式使用许可授权，其授权数应与反洗钱中心要求相一致。 2.2 货物开箱后,目测产品应无损伤，反洗钱中心依采购合同要求核对货物清单,对货物的版本、组成、数量、包装及资料、文件（如装箱单、保修单、随箱介质等）进行到货验收。当出现上述证明文件不完整或相关手续不全、货物不符合合同要求等严重质量问题时，反洗钱中心保留索赔及退货权利。 2.3 当出现货物及介质损坏、数量不全或产品不符等问题时，由投标人负责免费解决。 2.4 货物检验/检测（包括但不限于到货、部署、加电、兼容性检测）通过后，由反洗钱中心开具《产品到货验收合格单》。 2.5 项目生产环境、灾备环境到货验收通过后，由用户开具生产环境和灾备环境《到货验收合格单》，并进入项目质量保证期，质量保证期为自签发《到货验收合格单》后的4年时间。 3初步验收 3.1 初步验收包括对生产环境和灾备环境已集成且安装部署的货物和对配套服务成果的验收。 3.2 在本项目所采购的货物安装部署到位，且全部完成本章节所列系统上线前需完成的技术支持服务任务，生产和灾备环境部署运行，由中标人提出申请，反洗钱中心组织进行初步验收。初步验收的具体时间，由中标人和反洗钱中心根据配套服务的具体进度商定。 3.3 中标人提供相关文档（如《硬件安装部署方案》、等），最终用户单位组织验收小组进行验收测试评审，若评审结论和评审意见均通过，则视为初步验收通过。 3.4 初步验收通过后，由反洗钱中心开具生产和灾备《项目初步验收合格单》。 3.5 在货物的测试或配套服务成果的验收中出现性能指标或功能上不符合要求的，或出现严重产品质量问题时，视为未通过初步验收。 3.6 如果货物或配套服务的成果未能通过初验，中标人将采取一切补救措施以使初步验收测试能够在最终用户要求的期限内进行。再次进行初步验收测试所需的一切费用由中标人负担，并且中标人应对再次初验造成的反洗钱中心的损失向反洗钱中心进行赔偿。 4.试运行 4.1 初步验收后，自反洗钱生产应用系统完成适配，网络交换机开始承接生产业务之日进入试运行阶段，连续试运行时间不少于三个月。 4.2 试运行期间，若发现网络交换机产品存在问题，中标人应及时予以解决。 5最终验收 5.1 试运行期届满后，灾备环境网络交换机具备切换条件后，由反洗钱中心对软硬件产品进行最终验收。最终验收的具体时间，由中标人和用户根据系统试运行的情况商定。 5.2反洗钱中心组织成立项目验收小组对网络交换机的试运行情况进行逐项最终验收评审，并提出最终验收评审意见。若逐项验收评审意见均为通过，则最终验收通过。 5.3 如果网络交换机不能通过最终验收，中标人将采取一切补救措施以使最终验收测试能够尽快再次进行，再次进行最终验收测试所需的一切费用由中标人负担。中标人应对再次终验造成的反洗钱中心的损失向反洗钱中心进行赔偿。</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项目技术文档要求</w:t>
            </w:r>
          </w:p>
        </w:tc>
        <w:tc>
          <w:tcPr>
            <w:tcW w:type="dxa" w:w="1038"/>
          </w:tcPr>
          <w:p/>
        </w:tc>
        <w:tc>
          <w:tcPr>
            <w:tcW w:type="dxa" w:w="1038"/>
          </w:tcPr>
          <w:p>
            <w:pPr>
              <w:pStyle w:val="null3"/>
            </w:pPr>
            <w:r>
              <w:rPr/>
              <w:t>中标人须根据需要将网络交换机相关的知识和技能通过培训和文档的形式转移给项目单位。 1. 中标人应在到货时向甲方随货物交付完整的技术文档，提交的技术文档的内容必须与所提供的产品相一致，并应尽可能详细。 2. 所提交的技术文档必须是正式出版和装订的原件，复印件无效，其费用应包括在该品目的基本报价中。为了培训的目的，甲方有权复制这些资料而不受限制或另付费用。 3. 所有技术文档包括但不限于如下内容： 1) 对产品各项技术指标的测试报告、产品合格证明书和反洗钱中心使用授权。 2) 技术文件：产品说明书、产品操作手册、产品维护手册、故障诊断手册、开发手册等。 3) 系统配置说明书：中标人应提供一个系统配置说明书，包括配置图和配件/模块清单。 4) 验收文档。 4. 中标人应向反洗钱中心提供安装调试过程中的各种文档资料,以便反洗钱中心能掌握操作方法和维护方法。例如： 1) 软硬件产品的安装、调试过程文档； 2) 软硬件的升级、补丁等说明文档； 3) 软硬件产品日常维护、技术交流和管理使用建议； 4) 各类系统应急、运行维护、巡检等操作文档； 5) 使用过程中所出现过的问题、解决方法、系统所需的关键信息等文档。 6) 产品基本参数情况、软硬件配置优化和修改指引等文档。有关货物资料要以易理解的方式（包括详细说明及图示）形成中文文档，交于反洗钱中心。</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损失处理</w:t>
            </w:r>
          </w:p>
        </w:tc>
        <w:tc>
          <w:tcPr>
            <w:tcW w:type="dxa" w:w="1038"/>
          </w:tcPr>
          <w:p/>
        </w:tc>
        <w:tc>
          <w:tcPr>
            <w:tcW w:type="dxa" w:w="1038"/>
          </w:tcPr>
          <w:p>
            <w:pPr>
              <w:pStyle w:val="null3"/>
            </w:pPr>
            <w:r>
              <w:rPr/>
              <w:t>中标供应商项目人员（包括原厂人员）在提供技术支持服务过程中由于操作失误而对项目建设单位运行正常的系统或硬件造成损坏的，应由中标人负责解决系统问题，免费对损坏的系统或硬件进行修复或更换，确保反洗钱中心的正常使用。 如果由于原厂商项目人员技术服务失误或所提供的产品出现故障而造成反洗钱中心损失，中标人除承担赔偿外，还要提供处理办法。</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知识产权要求</w:t>
            </w:r>
          </w:p>
        </w:tc>
        <w:tc>
          <w:tcPr>
            <w:tcW w:type="dxa" w:w="1038"/>
          </w:tcPr>
          <w:p/>
        </w:tc>
        <w:tc>
          <w:tcPr>
            <w:tcW w:type="dxa" w:w="1038"/>
          </w:tcPr>
          <w:p>
            <w:pPr>
              <w:pStyle w:val="null3"/>
            </w:pPr>
            <w:r>
              <w:rPr/>
              <w:t>1.项目单位（反洗钱中心）对项目实施过程中所产生的所有成果（包括发明、发现、可运行系统、源代码及相关技术资料、文档等）享有所有权，包括但不限于永久使用权、复制权和修改权。除本项目工作所需外，未经项目单位书面同意，中标人不得擅自使用、复制项目单位的商标、标志、数据信息、文档及其他资料。 2.中标人应保证在本项目中所有预装和为本项目安装的软硬件为在中国境内具有合法版权或永久使用权的正版产品且无质量瑕疵。 3.中标人保证所提供的产品及服务不侵犯第三方的知识产权，否则，由此给项目单位造成的一切损失由中标人承担。 4.中标人承诺对项目实施过程中所产生的所有成果（包括发明、发现、可运行系统、源代码及相关技术资料、文档等）不得有知识产权纠纷。</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保密要求</w:t>
            </w:r>
          </w:p>
        </w:tc>
        <w:tc>
          <w:tcPr>
            <w:tcW w:type="dxa" w:w="1038"/>
          </w:tcPr>
          <w:p/>
        </w:tc>
        <w:tc>
          <w:tcPr>
            <w:tcW w:type="dxa" w:w="1038"/>
          </w:tcPr>
          <w:p>
            <w:pPr>
              <w:pStyle w:val="null3"/>
            </w:pPr>
            <w:r>
              <w:rPr/>
              <w:t>中标人在签订服务合同的同时签署保密协议和保证函（详见附件）。中标人项目人员必须严格遵守所签署的保密协议，防止反洗钱中心涉密信息外泄。</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w:t>
            </w:r>
          </w:p>
        </w:tc>
        <w:tc>
          <w:tcPr>
            <w:tcW w:type="dxa" w:w="1384"/>
          </w:tcPr>
          <w:p>
            <w:pPr>
              <w:pStyle w:val="null3"/>
              <w:jc w:val="left"/>
            </w:pPr>
            <w:r>
              <w:rPr/>
              <w:t>合同所列全部货物到达甲方指定地点，通过甲方到货验收，并由甲方出具生产环境和灾备环境《到货验收合格单》（应加盖双方公章）后</w:t>
            </w:r>
          </w:p>
        </w:tc>
        <w:tc>
          <w:tcPr>
            <w:tcW w:type="dxa" w:w="1384"/>
          </w:tcPr>
          <w:p>
            <w:pPr>
              <w:pStyle w:val="null3"/>
              <w:jc w:val="left"/>
            </w:pPr>
            <w:r>
              <w:rPr/>
              <w:t>30.00</w:t>
            </w:r>
            <w:r>
              <w:rPr/>
              <w:t>%</w:t>
            </w:r>
          </w:p>
        </w:tc>
        <w:tc>
          <w:tcPr>
            <w:tcW w:type="dxa" w:w="1384"/>
          </w:tcPr>
          <w:p>
            <w:pPr>
              <w:pStyle w:val="null3"/>
              <w:jc w:val="left"/>
            </w:pPr>
            <w:r>
              <w:rPr/>
              <w:t>甲方收到乙方提供的付款申请和与本阶段付款金额等值的正式合格有效发票后十（10）个工作日内付款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w:t>
            </w:r>
          </w:p>
        </w:tc>
        <w:tc>
          <w:tcPr>
            <w:tcW w:type="dxa" w:w="1384"/>
          </w:tcPr>
          <w:p>
            <w:pPr>
              <w:pStyle w:val="null3"/>
              <w:jc w:val="left"/>
            </w:pPr>
            <w:r>
              <w:rPr/>
              <w:t>自货物完成到货验收、完成生产和灾备环境软硬件安装调试，通过甲方组织的初步验收，并由甲方出具生产环境和灾备环境《初步验收合格单》（加盖双方公章）后</w:t>
            </w:r>
          </w:p>
        </w:tc>
        <w:tc>
          <w:tcPr>
            <w:tcW w:type="dxa" w:w="1384"/>
          </w:tcPr>
          <w:p>
            <w:pPr>
              <w:pStyle w:val="null3"/>
              <w:jc w:val="left"/>
            </w:pPr>
            <w:r>
              <w:rPr/>
              <w:t>40.00</w:t>
            </w:r>
            <w:r>
              <w:rPr/>
              <w:t>%</w:t>
            </w:r>
          </w:p>
        </w:tc>
        <w:tc>
          <w:tcPr>
            <w:tcW w:type="dxa" w:w="1384"/>
          </w:tcPr>
          <w:p>
            <w:pPr>
              <w:pStyle w:val="null3"/>
              <w:jc w:val="left"/>
            </w:pPr>
            <w:r>
              <w:rPr/>
              <w:t>甲方收到乙方提供的付款申请和与本阶段付款金额等值的正式合格有效发票后十（10）个工作日内付款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最终付款</w:t>
            </w:r>
          </w:p>
        </w:tc>
        <w:tc>
          <w:tcPr>
            <w:tcW w:type="dxa" w:w="1384"/>
          </w:tcPr>
          <w:p>
            <w:pPr>
              <w:pStyle w:val="null3"/>
              <w:jc w:val="left"/>
            </w:pPr>
            <w:r>
              <w:rPr/>
              <w:t>自生产环境应用系统适配投产，网络交换机满足试运行要求，灾备环境具备切换条件，通过甲方最终验收，甲方出具生产环境和灾备环境《最终验收合格单》（加盖双方公章）后</w:t>
            </w:r>
          </w:p>
        </w:tc>
        <w:tc>
          <w:tcPr>
            <w:tcW w:type="dxa" w:w="1384"/>
          </w:tcPr>
          <w:p>
            <w:pPr>
              <w:pStyle w:val="null3"/>
              <w:jc w:val="left"/>
            </w:pPr>
            <w:r>
              <w:rPr/>
              <w:t>30.00</w:t>
            </w:r>
            <w:r>
              <w:rPr/>
              <w:t>%</w:t>
            </w:r>
          </w:p>
        </w:tc>
        <w:tc>
          <w:tcPr>
            <w:tcW w:type="dxa" w:w="1384"/>
          </w:tcPr>
          <w:p>
            <w:pPr>
              <w:pStyle w:val="null3"/>
              <w:jc w:val="left"/>
            </w:pPr>
            <w:r>
              <w:rPr/>
              <w:t>甲方收到乙方提供的付款申请和与本阶段付款金额等值的正式合格有效发票后十（10）个工作日内付款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中国反洗钱监测分析中心</w:t>
      </w:r>
    </w:p>
    <w:p>
      <w:pPr>
        <w:pStyle w:val="null3"/>
        <w:jc w:val="both"/>
      </w:pPr>
      <w:r>
        <w:rPr/>
        <w:t>采购人（需求部门）拟邀请（</w:t>
      </w:r>
      <w:r>
        <w:rPr/>
        <w:t>项目供应商</w:t>
      </w:r>
      <w:r>
        <w:rPr/>
        <w:t>）</w:t>
      </w:r>
    </w:p>
    <w:p>
      <w:pPr>
        <w:pStyle w:val="null3"/>
        <w:jc w:val="both"/>
      </w:pPr>
      <w:r>
        <w:rPr/>
        <w:t>（2）验收时间</w:t>
      </w:r>
      <w:r>
        <w:rPr>
          <w:u w:val="single"/>
        </w:rPr>
        <w:t>交货时间：货物应于合同生效后甲方指定日期内完成供货。 初步验收时间：自货物完成到货验收，生产和灾备环境完成软硬件安装调试起30个日历天数内。 最终验收时间：自货物及相关软硬件部署完成并平稳试运行连续满3个月，灾备环境也具备切换条件且符合合同规定要求起30个日历天数内。</w:t>
      </w:r>
    </w:p>
    <w:p>
      <w:pPr>
        <w:pStyle w:val="null3"/>
        <w:jc w:val="both"/>
      </w:pPr>
      <w:r>
        <w:rPr/>
        <w:t>（3）验收方式</w:t>
      </w:r>
      <w:r>
        <w:rPr>
          <w:u w:val="single"/>
        </w:rPr>
        <w:t>分阶段验收</w:t>
      </w:r>
    </w:p>
    <w:p>
      <w:pPr>
        <w:pStyle w:val="null3"/>
        <w:jc w:val="both"/>
      </w:pPr>
      <w:r>
        <w:rPr/>
        <w:t>（4）验收程序</w:t>
      </w:r>
      <w:r>
        <w:rPr>
          <w:u w:val="single"/>
        </w:rPr>
        <w:t>用户单位组织验收小组进行验收评审，若评审结论意见均通过，则视为验收通过</w:t>
      </w:r>
    </w:p>
    <w:p>
      <w:pPr>
        <w:pStyle w:val="null3"/>
        <w:jc w:val="both"/>
      </w:pPr>
      <w:r>
        <w:rPr/>
        <w:t>（5）验收内容</w:t>
      </w:r>
      <w:r>
        <w:rPr>
          <w:u w:val="single"/>
        </w:rPr>
        <w:t>产品数量、运行情况、集成服务技术实现、数据迁移服务实现、文档提交及商务履约情况</w:t>
      </w:r>
    </w:p>
    <w:p>
      <w:pPr>
        <w:pStyle w:val="null3"/>
        <w:jc w:val="both"/>
      </w:pPr>
      <w:r>
        <w:rPr/>
        <w:t>（6）验收标准</w:t>
      </w:r>
      <w:r>
        <w:rPr>
          <w:u w:val="single"/>
        </w:rPr>
        <w:t>详见《采购需求》商务要求部分第21条项目验收</w:t>
      </w:r>
    </w:p>
    <w:p>
      <w:pPr>
        <w:pStyle w:val="null3"/>
        <w:jc w:val="both"/>
      </w:pPr>
      <w:r>
        <w:rPr/>
        <w:t>（7）其他事项（如有）</w:t>
      </w:r>
      <w:r>
        <w:rPr>
          <w:u w:val="single"/>
        </w:rPr>
        <w:t>详见附件合同文本</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技术部分40.00分</w:t>
            </w:r>
          </w:p>
          <w:p>
            <w:pPr>
              <w:pStyle w:val="null3"/>
              <w:jc w:val="left"/>
            </w:pPr>
            <w:r>
              <w:rPr/>
              <w:t>商务部分30.00分</w:t>
            </w:r>
          </w:p>
          <w:p>
            <w:pPr>
              <w:pStyle w:val="null3"/>
              <w:jc w:val="left"/>
            </w:pPr>
            <w:r>
              <w:rPr/>
              <w:t>报价得分30.00分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jc w:val="left"/>
            </w:pPr>
            <w:r>
              <w:rPr/>
              <w:t>技术评审</w:t>
            </w:r>
          </w:p>
        </w:tc>
        <w:tc>
          <w:tcPr>
            <w:tcW w:type="dxa" w:w="2076"/>
          </w:tcPr>
          <w:p>
            <w:pPr>
              <w:pStyle w:val="null3"/>
              <w:jc w:val="left"/>
            </w:pPr>
            <w:r>
              <w:rPr/>
              <w:t>技术需求部分应答</w:t>
            </w:r>
          </w:p>
        </w:tc>
        <w:tc>
          <w:tcPr>
            <w:tcW w:type="dxa" w:w="2769"/>
          </w:tcPr>
          <w:p>
            <w:pPr>
              <w:pStyle w:val="null3"/>
              <w:jc w:val="left"/>
            </w:pPr>
            <w:r>
              <w:rPr/>
              <w:t>满足技术需求文件中技术要求的全部指标得满分。 “★”号项代表关键指标，不满足该指标项将导致投标被拒绝；“#”号项为重要指标，共9项 ，每满足一项加2分；“△”号项为一般指标，共8项 ，每满足一项加1分，总计26分。</w:t>
            </w:r>
          </w:p>
        </w:tc>
        <w:tc>
          <w:tcPr>
            <w:tcW w:type="dxa" w:w="692"/>
          </w:tcPr>
          <w:p>
            <w:pPr>
              <w:pStyle w:val="null3"/>
              <w:jc w:val="right"/>
            </w:pPr>
            <w:r>
              <w:rPr/>
              <w:t>26.00</w:t>
            </w:r>
          </w:p>
        </w:tc>
        <w:tc>
          <w:tcPr>
            <w:tcW w:type="dxa" w:w="692"/>
          </w:tcPr>
          <w:p>
            <w:pPr>
              <w:pStyle w:val="null3"/>
              <w:jc w:val="left"/>
            </w:pPr>
            <w:r>
              <w:rPr/>
              <w:t>客观</w:t>
            </w:r>
          </w:p>
        </w:tc>
      </w:tr>
      <w:tr>
        <w:tc>
          <w:tcPr>
            <w:tcW w:type="dxa" w:w="692"/>
            <w:vMerge/>
          </w:tcPr>
          <w:p/>
        </w:tc>
        <w:tc>
          <w:tcPr>
            <w:tcW w:type="dxa" w:w="2076"/>
          </w:tcPr>
          <w:p>
            <w:pPr>
              <w:pStyle w:val="null3"/>
              <w:jc w:val="left"/>
            </w:pPr>
            <w:r>
              <w:rPr/>
              <w:t>服务方案内容完整性</w:t>
            </w:r>
          </w:p>
        </w:tc>
        <w:tc>
          <w:tcPr>
            <w:tcW w:type="dxa" w:w="2769"/>
          </w:tcPr>
          <w:p>
            <w:pPr>
              <w:pStyle w:val="null3"/>
              <w:jc w:val="left"/>
            </w:pPr>
            <w:r>
              <w:rPr/>
              <w:t>技术支持服务方案全部包含下述内容得4分，每包含1项加1分，没有不加分。 （1）项目需求理解 （2）售后服务方案 （3）集成实施方案 （4）质量保障方案</w:t>
            </w:r>
          </w:p>
        </w:tc>
        <w:tc>
          <w:tcPr>
            <w:tcW w:type="dxa" w:w="692"/>
          </w:tcPr>
          <w:p>
            <w:pPr>
              <w:pStyle w:val="null3"/>
              <w:jc w:val="right"/>
            </w:pPr>
            <w:r>
              <w:rPr/>
              <w:t>4.00</w:t>
            </w:r>
          </w:p>
        </w:tc>
        <w:tc>
          <w:tcPr>
            <w:tcW w:type="dxa" w:w="692"/>
          </w:tcPr>
          <w:p>
            <w:pPr>
              <w:pStyle w:val="null3"/>
              <w:jc w:val="left"/>
            </w:pPr>
            <w:r>
              <w:rPr/>
              <w:t>客观</w:t>
            </w:r>
          </w:p>
        </w:tc>
      </w:tr>
      <w:tr>
        <w:tc>
          <w:tcPr>
            <w:tcW w:type="dxa" w:w="692"/>
            <w:vMerge/>
          </w:tcPr>
          <w:p/>
        </w:tc>
        <w:tc>
          <w:tcPr>
            <w:tcW w:type="dxa" w:w="2076"/>
          </w:tcPr>
          <w:p>
            <w:pPr>
              <w:pStyle w:val="null3"/>
              <w:jc w:val="left"/>
            </w:pPr>
            <w:r>
              <w:rPr/>
              <w:t>服务方案合理性</w:t>
            </w:r>
          </w:p>
        </w:tc>
        <w:tc>
          <w:tcPr>
            <w:tcW w:type="dxa" w:w="2769"/>
          </w:tcPr>
          <w:p>
            <w:pPr>
              <w:pStyle w:val="null3"/>
              <w:jc w:val="left"/>
            </w:pPr>
            <w:r>
              <w:rPr/>
              <w:t>投标文件编制的整体实施方案完整且切实可行，实施规划科学合理，优化建议具有极强的可操作性，资源保障充足，风险防控及应急保障措施完善、针对性强；同时，方案与采购人现网SDN网络完全兼容，能被现网SDN控制器直接管理与平滑接管，且在部署及运行过程中不增加采购人任何其他系统资源，亦不影响现网业务及系统的正常安全稳定运行，得10分。 投标文件编制的整体实施方案较完整且基本可行，实施规划、优化建议、资源保障、风险防控及应急保障措施基本满足项目需求，但针对性或细节论述稍显不足；同时，方案与采购人现网SDN网络完全兼容，能被现网SDN控制器直接管理，不影响现网业务及系统的正常运行，但在资源占用或平滑过渡层面论述不够深入，得5分。 投标文件编制的整体实施方案存在较多缺项或流于形式，实施规划、资源保障、风险及应急措施可操作性较差；且方案仅声明兼容现网SDN，未能提供充分的适配、管理解决方案或技术证明文件，可能对采购人现网系统资源或稳定运行带来潜在风险，得3分。 投标文件整体实施方案存在明显缺失，核心实施流程、资源配置、风险防控、应急保障等关键内容单薄、落地性弱，仅具备基础框架，无法充分支撑项目落地；方案仅说明适配现网SDN网络，但无具体适配方案、对接逻辑及技术佐证，无法保障现网SDN控制器稳定接管，存在一定现网业务干扰、资源占用隐患。得1分 投标文件编制的整体实施方案存在严重缺失，无实质性应急及保障措施；且方案不兼容采购人现网SDN网络（或无法被现网SDN控制器直接管理），无法满足现网技术架构要求，得0分。</w:t>
            </w:r>
          </w:p>
        </w:tc>
        <w:tc>
          <w:tcPr>
            <w:tcW w:type="dxa" w:w="692"/>
          </w:tcPr>
          <w:p>
            <w:pPr>
              <w:pStyle w:val="null3"/>
              <w:jc w:val="right"/>
            </w:pPr>
            <w:r>
              <w:rPr/>
              <w:t>10.00</w:t>
            </w:r>
          </w:p>
        </w:tc>
        <w:tc>
          <w:tcPr>
            <w:tcW w:type="dxa" w:w="692"/>
          </w:tcPr>
          <w:p>
            <w:pPr>
              <w:pStyle w:val="null3"/>
              <w:jc w:val="left"/>
            </w:pPr>
            <w:r>
              <w:rPr/>
              <w:t>主观</w:t>
            </w:r>
          </w:p>
        </w:tc>
      </w:tr>
      <w:tr>
        <w:tc>
          <w:tcPr>
            <w:tcW w:type="dxa" w:w="692"/>
            <w:vMerge w:val="restart"/>
          </w:tcPr>
          <w:p>
            <w:pPr>
              <w:pStyle w:val="null3"/>
              <w:jc w:val="left"/>
            </w:pPr>
            <w:r>
              <w:rPr/>
              <w:t>商务评审</w:t>
            </w:r>
          </w:p>
        </w:tc>
        <w:tc>
          <w:tcPr>
            <w:tcW w:type="dxa" w:w="2076"/>
          </w:tcPr>
          <w:p>
            <w:pPr>
              <w:pStyle w:val="null3"/>
              <w:jc w:val="left"/>
            </w:pPr>
            <w:r>
              <w:rPr/>
              <w:t>商务需求部分应答</w:t>
            </w:r>
          </w:p>
        </w:tc>
        <w:tc>
          <w:tcPr>
            <w:tcW w:type="dxa" w:w="2769"/>
          </w:tcPr>
          <w:p>
            <w:pPr>
              <w:pStyle w:val="null3"/>
              <w:jc w:val="left"/>
            </w:pPr>
            <w:r>
              <w:rPr/>
              <w:t>商务需求文件中，投标人必须满足全部“★”号项（代表关键指标），不满足“★”号项将导致投标被拒绝；“△”号项为一般指标，共5项 ，投标人每满足一项加2分，共10分。</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同类项目经验</w:t>
            </w:r>
          </w:p>
        </w:tc>
        <w:tc>
          <w:tcPr>
            <w:tcW w:type="dxa" w:w="2769"/>
          </w:tcPr>
          <w:p>
            <w:pPr>
              <w:pStyle w:val="null3"/>
              <w:jc w:val="left"/>
            </w:pPr>
            <w:r>
              <w:rPr/>
              <w:t>根据投标人提供案例进行评价： 分别提供2024年1月1日至本次投标截止日前（以合同签字日期为准）与本次投标汇聚交换机同品牌同型号产品成功案例。根据成功案例，每一项得2分，总分最高得10分。 说明： 1. 以上提供的所有案例须提供合同关键页复印件等证明材料（加盖投标人公章），否则不予认可。合同关键页复印件至少包含封面页（需体现合同名称以及甲乙双方名称）、合同内容（需体现合同详细货物或服务内容，没有详细列出货物或服务内容的合同应附货物或服务清单，合同金额可隐藏）、盖章页（需体现合同日期以及甲乙双方签字盖章）。所提供复印或扫描页应清晰可见。 2. 同一案例不可重复记分，即一个案例只可针对一类产品计分，且同类产品案例同一甲方不重复记分。合同乙方可以不是投标人。</w:t>
            </w:r>
          </w:p>
        </w:tc>
        <w:tc>
          <w:tcPr>
            <w:tcW w:type="dxa" w:w="692"/>
          </w:tcPr>
          <w:p>
            <w:pPr>
              <w:pStyle w:val="null3"/>
              <w:jc w:val="right"/>
            </w:pPr>
            <w:r>
              <w:rPr/>
              <w:t>10.00</w:t>
            </w:r>
          </w:p>
        </w:tc>
        <w:tc>
          <w:tcPr>
            <w:tcW w:type="dxa" w:w="692"/>
          </w:tcPr>
          <w:p>
            <w:pPr>
              <w:pStyle w:val="null3"/>
              <w:jc w:val="left"/>
            </w:pPr>
            <w:r>
              <w:rPr/>
              <w:t>客观</w:t>
            </w:r>
          </w:p>
        </w:tc>
      </w:tr>
      <w:tr>
        <w:tc>
          <w:tcPr>
            <w:tcW w:type="dxa" w:w="692"/>
            <w:vMerge/>
          </w:tcPr>
          <w:p/>
        </w:tc>
        <w:tc>
          <w:tcPr>
            <w:tcW w:type="dxa" w:w="2076"/>
          </w:tcPr>
          <w:p>
            <w:pPr>
              <w:pStyle w:val="null3"/>
              <w:jc w:val="left"/>
            </w:pPr>
            <w:r>
              <w:rPr/>
              <w:t>团队人员</w:t>
            </w:r>
          </w:p>
        </w:tc>
        <w:tc>
          <w:tcPr>
            <w:tcW w:type="dxa" w:w="2769"/>
          </w:tcPr>
          <w:p>
            <w:pPr>
              <w:pStyle w:val="null3"/>
              <w:jc w:val="left"/>
            </w:pPr>
            <w:r>
              <w:rPr/>
              <w:t>投标人项目团队中，从业经历超过10年的项目团队成员（含项目经理）占比50%及以上的得10分，大于等于20%小于50%得5分，大于等于10%小于20%得2分，10%以下不得分（从业经历为工作简历中的工作年限，包含在其他单位的工作年限）。</w:t>
            </w:r>
          </w:p>
        </w:tc>
        <w:tc>
          <w:tcPr>
            <w:tcW w:type="dxa" w:w="692"/>
          </w:tcPr>
          <w:p>
            <w:pPr>
              <w:pStyle w:val="null3"/>
              <w:jc w:val="right"/>
            </w:pPr>
            <w:r>
              <w:rPr/>
              <w:t>5.00</w:t>
            </w:r>
          </w:p>
        </w:tc>
        <w:tc>
          <w:tcPr>
            <w:tcW w:type="dxa" w:w="692"/>
          </w:tcPr>
          <w:p>
            <w:pPr>
              <w:pStyle w:val="null3"/>
              <w:jc w:val="left"/>
            </w:pPr>
            <w:r>
              <w:rPr/>
              <w:t>客观</w:t>
            </w:r>
          </w:p>
        </w:tc>
      </w:tr>
      <w:tr>
        <w:tc>
          <w:tcPr>
            <w:tcW w:type="dxa" w:w="692"/>
            <w:vMerge/>
          </w:tcPr>
          <w:p/>
        </w:tc>
        <w:tc>
          <w:tcPr>
            <w:tcW w:type="dxa" w:w="2076"/>
          </w:tcPr>
          <w:p>
            <w:pPr>
              <w:pStyle w:val="null3"/>
              <w:jc w:val="left"/>
            </w:pPr>
            <w:r>
              <w:rPr/>
              <w:t>项目经理</w:t>
            </w:r>
          </w:p>
        </w:tc>
        <w:tc>
          <w:tcPr>
            <w:tcW w:type="dxa" w:w="2769"/>
          </w:tcPr>
          <w:p>
            <w:pPr>
              <w:pStyle w:val="null3"/>
              <w:jc w:val="left"/>
            </w:pPr>
            <w:r>
              <w:rPr/>
              <w:t>中标人应指定名项目经理负责实施期间的整体管理工作，包括：根据招标人的要求制定详细的项目实施计划，组织项目实施、对工作进度及工作质量进行监督、协调解决问题，向招标人提交工作报告等。 项目经理要求：应具有5年以上信息化项目管理工作经验，具有由中华人民共和国人力资源和社会保障部、工业和信息化部批准颁发的计算机技术与软件专业技术资格（信息系统项目管理师专业）证书。得2分 项目经理须为投标人正式员工，并提供项目经理近六个月中任意一个月由投标人单位缴纳的社保证明材料。 投标人应将项目经理姓名、联系方式、过往信息化项目经历等以简历的形式体现在投标文件中。得1分 安装调试团队成员中应包括每家制造商的原厂工程师至少各1人，并具备3年以上相关项目工作经验。得2分</w:t>
            </w:r>
          </w:p>
        </w:tc>
        <w:tc>
          <w:tcPr>
            <w:tcW w:type="dxa" w:w="692"/>
          </w:tcPr>
          <w:p>
            <w:pPr>
              <w:pStyle w:val="null3"/>
              <w:jc w:val="right"/>
            </w:pPr>
            <w:r>
              <w:rPr/>
              <w:t>5.00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经评审符合招标文件要求且投标价格最低的投标报价为评标基准价，其价格为满分。 其它投标人的投标报价得分=（评标基准价/投标报价）×30%×100。 价格调整： 1. 未预留份额专门面向中小企业采购的采购项目，以及预留份额项目中的非预留部分采购包，对符合《政府采购促进中小企业发展管理办法》规定的小微企业报价给予15%的扣除，用扣除后的价格参加评审。残疾人福利性单位、监狱企业视同小型、微型企业，享受评审中价格扣除的政府采购政策。 2. 价格扣除比例或者价格分加分比例对小型企业和微型企业同等对待，不做区分。 注：分数计算保留到小数点后两位。</w:t>
            </w:r>
          </w:p>
        </w:tc>
        <w:tc>
          <w:tcPr>
            <w:tcW w:type="dxa" w:w="692"/>
          </w:tcPr>
          <w:p>
            <w:pPr>
              <w:pStyle w:val="null3"/>
              <w:jc w:val="right"/>
            </w:pPr>
            <w:r>
              <w:rPr/>
              <w:t>30.00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1"/>
          </w:tcPr>
          <w:p>
            <w:pPr>
              <w:pStyle w:val="null3"/>
              <w:jc w:val="left"/>
            </w:pPr>
            <w:r>
              <w:rPr/>
              <w:t>1</w:t>
            </w:r>
          </w:p>
        </w:tc>
        <w:tc>
          <w:tcPr>
            <w:tcW w:type="dxa" w:w="1661"/>
          </w:tcPr>
          <w:p>
            <w:pPr>
              <w:pStyle w:val="null3"/>
              <w:jc w:val="left"/>
            </w:pPr>
            <w:r>
              <w:rPr/>
              <w:t>落实本国产品标准及相关政策</w:t>
            </w:r>
          </w:p>
        </w:tc>
        <w:tc>
          <w:tcPr>
            <w:tcW w:type="dxa" w:w="1661"/>
          </w:tcPr>
          <w:p/>
        </w:tc>
        <w:tc>
          <w:tcPr>
            <w:tcW w:type="dxa" w:w="831"/>
          </w:tcPr>
          <w:p>
            <w:pPr>
              <w:pStyle w:val="null3"/>
              <w:jc w:val="right"/>
            </w:pPr>
            <w:r>
              <w:rPr/>
              <w:t>20.00%</w:t>
            </w:r>
          </w:p>
        </w:tc>
        <w:tc>
          <w:tcPr>
            <w:tcW w:type="dxa" w:w="3322"/>
          </w:tcPr>
          <w:p>
            <w:pPr>
              <w:pStyle w:val="null3"/>
              <w:jc w:val="left"/>
            </w:pPr>
            <w:r>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注：本国产品标准适用于货物，包括政府采购货物项目和服务项目中涉及的货物</w:t>
            </w:r>
          </w:p>
        </w:tc>
      </w:tr>
    </w:tbl>
    <w:p>
      <w:pPr>
        <w:pStyle w:val="null3"/>
        <w:jc w:val="left"/>
        <w:outlineLvl w:val="2"/>
      </w:pPr>
      <w:r>
        <w:rPr>
          <w:sz w:val="28"/>
          <w:b/>
        </w:rPr>
        <w:t>5.6 确定中标程序</w:t>
      </w:r>
    </w:p>
    <w:p>
      <w:pPr>
        <w:pStyle w:val="null3"/>
        <w:jc w:val="both"/>
      </w:pPr>
      <w:r>
        <w:rPr/>
        <w:t>一、公示中标候选人</w:t>
      </w:r>
    </w:p>
    <w:p>
      <w:pPr>
        <w:pStyle w:val="null3"/>
        <w:jc w:val="both"/>
      </w:pPr>
      <w:r>
        <w:rPr/>
        <w:t>其他</w:t>
      </w:r>
    </w:p>
    <w:p>
      <w:pPr>
        <w:pStyle w:val="null3"/>
        <w:jc w:val="both"/>
      </w:pPr>
      <w:r>
        <w:rPr/>
        <w:t>二、确定中标方式</w:t>
      </w:r>
    </w:p>
    <w:p>
      <w:pPr>
        <w:pStyle w:val="null3"/>
        <w:jc w:val="both"/>
      </w:pPr>
      <w:r>
        <w:rPr/>
        <w:t>确定中标方式详见本招标文件第二章投标人须知前格式中“确认中标方式”。</w:t>
      </w:r>
    </w:p>
    <w:p>
      <w:pPr>
        <w:pStyle w:val="null3"/>
        <w:jc w:val="both"/>
      </w:pPr>
      <w:r>
        <w:rPr/>
        <w:t>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详见附件：技术条款第3条证明文件</w:t>
      </w:r>
    </w:p>
    <w:p>
      <w:pPr>
        <w:pStyle w:val="null3"/>
        <w:ind w:firstLine="960"/>
      </w:pPr>
      <w:r>
        <w:rPr/>
        <w:t>详见附件：技术条款第13条证明文件</w:t>
      </w:r>
    </w:p>
    <w:p>
      <w:pPr>
        <w:pStyle w:val="null3"/>
        <w:ind w:firstLine="960"/>
      </w:pPr>
      <w:r>
        <w:rPr/>
        <w:t>详见附件：技术条款第22条证明文件</w:t>
      </w:r>
    </w:p>
    <w:p>
      <w:pPr>
        <w:pStyle w:val="null3"/>
        <w:ind w:firstLine="960"/>
      </w:pPr>
      <w:r>
        <w:rPr/>
        <w:t>详见附件：技术条款第28条证明文件</w:t>
      </w:r>
    </w:p>
    <w:p>
      <w:pPr>
        <w:pStyle w:val="null3"/>
        <w:ind w:firstLine="960"/>
      </w:pPr>
      <w:r>
        <w:rPr/>
        <w:t>详见附件：技术条款第32条证明文件</w:t>
      </w:r>
    </w:p>
    <w:p>
      <w:pPr>
        <w:pStyle w:val="null3"/>
        <w:ind w:firstLine="960"/>
      </w:pPr>
      <w:r>
        <w:rPr/>
        <w:t>详见附件：技术条款第48条证明文件</w:t>
      </w:r>
    </w:p>
    <w:p>
      <w:pPr>
        <w:pStyle w:val="null3"/>
        <w:ind w:firstLine="960"/>
      </w:pPr>
      <w:r>
        <w:rPr/>
        <w:t>详见附件：技术条款第56条证明文件</w:t>
      </w:r>
    </w:p>
    <w:p>
      <w:pPr>
        <w:pStyle w:val="null3"/>
        <w:ind w:firstLine="960"/>
      </w:pPr>
      <w:r>
        <w:rPr/>
        <w:t>详见附件：技术条款第80条证明文件</w:t>
      </w:r>
    </w:p>
    <w:p>
      <w:pPr>
        <w:pStyle w:val="null3"/>
        <w:ind w:firstLine="960"/>
      </w:pPr>
      <w:r>
        <w:rPr/>
        <w:t>详见附件：商务条款第8条证明文件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详见附件：商务条款第18条证明文件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详见附件：08.国家反洗钱数据库网络交换机合同文本-20260617.docx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本招标文件未尽事宜 </w:t>
      </w:r>
      <w:r>
        <w:rPr/>
        <w:t>按照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