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中国人民银行征信中心2026年度图数据库软件采购项目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049GSH2026054</w:t>
      </w:r>
      <w:r>
        <w:br/>
      </w:r>
      <w:r>
        <w:br/>
      </w:r>
      <w:r>
        <w:br/>
      </w:r>
    </w:p>
    <w:p>
      <w:pPr>
        <w:pStyle w:val="null3"/>
        <w:jc w:val="center"/>
      </w:pPr>
      <w:r>
        <w:rPr/>
        <w:t>中国人民银行集中采购中心</w:t>
      </w:r>
    </w:p>
    <w:p>
      <w:pPr>
        <w:pStyle w:val="null3"/>
        <w:jc w:val="center"/>
      </w:pPr>
      <w:r>
        <w:rPr/>
        <w:t>2026年06月25日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中国人民银行征信中心2026年度图数据库软件采购项目</w:t>
      </w:r>
      <w:r>
        <w:rPr/>
        <w:t xml:space="preserve"> ”（项目编号： </w:t>
      </w:r>
      <w:r>
        <w:rPr/>
        <w:t>049GSH2026054</w:t>
      </w:r>
      <w:r>
        <w:rPr/>
        <w:t xml:space="preserve"> ）邀请合格投标人进行密封投标。本项目 </w:t>
      </w:r>
      <w:r>
        <w:rPr/>
        <w:t>落实</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1,200,000.00</w:t>
      </w:r>
    </w:p>
    <w:p>
      <w:pPr>
        <w:pStyle w:val="null3"/>
        <w:jc w:val="left"/>
      </w:pPr>
      <w:r>
        <w:rPr/>
        <w:t>采购包最高限价（元）: 1,200,000.00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图数据库</w:t>
            </w:r>
          </w:p>
        </w:tc>
        <w:tc>
          <w:tcPr>
            <w:tcW w:type="dxa" w:w="593"/>
          </w:tcPr>
          <w:p>
            <w:pPr>
              <w:pStyle w:val="null3"/>
              <w:jc w:val="left"/>
            </w:pPr>
            <w:r>
              <w:rPr/>
              <w:t>A08060301 基础软件</w:t>
            </w:r>
          </w:p>
        </w:tc>
        <w:tc>
          <w:tcPr>
            <w:tcW w:type="dxa" w:w="593"/>
          </w:tcPr>
          <w:p>
            <w:pPr>
              <w:pStyle w:val="null3"/>
              <w:jc w:val="left"/>
            </w:pPr>
            <w:r>
              <w:rPr/>
              <w:t>A08060301</w:t>
            </w:r>
          </w:p>
        </w:tc>
        <w:tc>
          <w:tcPr>
            <w:tcW w:type="dxa" w:w="593"/>
          </w:tcPr>
          <w:p>
            <w:pPr>
              <w:pStyle w:val="null3"/>
              <w:jc w:val="left"/>
            </w:pPr>
            <w:r>
              <w:rPr/>
              <w:t>货物</w:t>
            </w:r>
          </w:p>
        </w:tc>
        <w:tc>
          <w:tcPr>
            <w:tcW w:type="dxa" w:w="593"/>
          </w:tcPr>
          <w:p>
            <w:pPr>
              <w:pStyle w:val="null3"/>
              <w:jc w:val="left"/>
            </w:pPr>
            <w:r>
              <w:rPr/>
              <w:t>节点</w:t>
            </w:r>
          </w:p>
        </w:tc>
        <w:tc>
          <w:tcPr>
            <w:tcW w:type="dxa" w:w="593"/>
          </w:tcPr>
          <w:p>
            <w:pPr>
              <w:pStyle w:val="null3"/>
              <w:jc w:val="right"/>
            </w:pPr>
            <w:r>
              <w:rPr/>
              <w:t>3.00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1,200,000.00</w:t>
            </w:r>
          </w:p>
        </w:tc>
        <w:tc>
          <w:tcPr>
            <w:tcW w:type="dxa" w:w="593"/>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失信主体名单、政府采购严重违法失信行为记录名单的投标人，否则其投标将被拒绝。以开标后招标人或者采购代理机构资格审查时的查验结果为准。</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财务状况报告，依法缴纳税收和社会保障资金的相关材料；(投标人应提供书面承诺)</w:t>
            </w:r>
          </w:p>
        </w:tc>
        <w:tc>
          <w:tcPr>
            <w:tcW w:type="dxa" w:w="4153"/>
          </w:tcPr>
          <w:p>
            <w:pPr>
              <w:pStyle w:val="null3"/>
              <w:jc w:val="left"/>
            </w:pPr>
            <w:r>
              <w:rPr/>
              <w:t>财务状况报告，依法缴纳税收和社会保障资金的相关材料；(投标人应提供书面承诺)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具备履行合同所必需的设备和专业技术能力的证明材料；(投标人应提供书面承诺)</w:t>
            </w:r>
          </w:p>
        </w:tc>
        <w:tc>
          <w:tcPr>
            <w:tcW w:type="dxa" w:w="4153"/>
          </w:tcPr>
          <w:p>
            <w:pPr>
              <w:pStyle w:val="null3"/>
              <w:jc w:val="left"/>
            </w:pPr>
            <w:r>
              <w:rPr/>
              <w:t>具备履行合同所必需的设备和专业技术能力的证明材料；(投标人应提供书面承诺)</w:t>
            </w:r>
          </w:p>
        </w:tc>
      </w:tr>
      <w:tr>
        <w:tc>
          <w:tcPr>
            <w:tcW w:type="dxa" w:w="831"/>
          </w:tcPr>
          <w:p>
            <w:pPr>
              <w:pStyle w:val="null3"/>
              <w:jc w:val="left"/>
            </w:pPr>
            <w:r>
              <w:rPr/>
              <w:t>5</w:t>
            </w:r>
          </w:p>
        </w:tc>
        <w:tc>
          <w:tcPr>
            <w:tcW w:type="dxa" w:w="3322"/>
          </w:tcPr>
          <w:p>
            <w:pPr>
              <w:pStyle w:val="null3"/>
              <w:jc w:val="left"/>
            </w:pPr>
            <w:r>
              <w:rPr/>
              <w:t>参加政府采购活动前三年内，在经营活动中没有重大违法记录；(投标人应提供书面承诺)</w:t>
            </w:r>
          </w:p>
        </w:tc>
        <w:tc>
          <w:tcPr>
            <w:tcW w:type="dxa" w:w="4153"/>
          </w:tcPr>
          <w:p>
            <w:pPr>
              <w:pStyle w:val="null3"/>
              <w:jc w:val="left"/>
            </w:pPr>
            <w:r>
              <w:rPr/>
              <w:t>参加政府采购活动前三年内，在经营活动中没有重大违法记录；(投标人应提供书面承诺)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1"/>
          </w:tcPr>
          <w:p>
            <w:pPr>
              <w:pStyle w:val="null3"/>
              <w:jc w:val="left"/>
            </w:pPr>
            <w:r>
              <w:rPr/>
              <w:t>1</w:t>
            </w:r>
          </w:p>
        </w:tc>
        <w:tc>
          <w:tcPr>
            <w:tcW w:type="dxa" w:w="2076"/>
          </w:tcPr>
          <w:p>
            <w:pPr>
              <w:pStyle w:val="null3"/>
              <w:jc w:val="left"/>
            </w:pPr>
            <w:r>
              <w:rPr/>
              <w:t>近三年（从2023年1月1日至今）投标人不得存在下述行为，否则其投标将被拒绝：</w:t>
            </w:r>
          </w:p>
        </w:tc>
        <w:tc>
          <w:tcPr>
            <w:tcW w:type="dxa" w:w="2907"/>
          </w:tcPr>
          <w:p>
            <w:pPr>
              <w:pStyle w:val="null3"/>
              <w:jc w:val="left"/>
            </w:pPr>
            <w:r>
              <w:rPr/>
              <w:t>（1）采取不正当手段诋毁、排挤其他投标人的行为；(投标人应提供书面承诺) （2）与招标人、其他投标人恶意串通的行为；(投标人应提供书面承诺) （3）向招标人行贿或者提供其他不正当利益的行为；(投标人应提供书面承诺) （4）在招标采购过程中与招标人进行协商谈判的行为。(投标人应提供书面承诺)</w:t>
            </w:r>
          </w:p>
        </w:tc>
        <w:tc>
          <w:tcPr>
            <w:tcW w:type="dxa" w:w="1246"/>
          </w:tcPr>
          <w:p>
            <w:pPr>
              <w:pStyle w:val="null3"/>
              <w:jc w:val="left"/>
            </w:pPr>
            <w:r>
              <w:rPr/>
              <w:t>是</w:t>
            </w:r>
          </w:p>
        </w:tc>
        <w:tc>
          <w:tcPr>
            <w:tcW w:type="dxa" w:w="1246"/>
          </w:tcPr>
          <w:p>
            <w:pPr>
              <w:pStyle w:val="null3"/>
              <w:jc w:val="left"/>
            </w:pPr>
            <w:r>
              <w:rPr/>
              <w:t>书面承诺</w:t>
            </w:r>
          </w:p>
        </w:tc>
      </w:tr>
      <w:tr>
        <w:tc>
          <w:tcPr>
            <w:tcW w:type="dxa" w:w="831"/>
          </w:tcPr>
          <w:p>
            <w:pPr>
              <w:pStyle w:val="null3"/>
              <w:jc w:val="left"/>
            </w:pPr>
            <w:r>
              <w:rPr/>
              <w:t>2</w:t>
            </w:r>
          </w:p>
        </w:tc>
        <w:tc>
          <w:tcPr>
            <w:tcW w:type="dxa" w:w="2076"/>
          </w:tcPr>
          <w:p>
            <w:pPr>
              <w:pStyle w:val="null3"/>
              <w:jc w:val="left"/>
            </w:pPr>
            <w:r>
              <w:rPr/>
              <w:t>网络安全审查承诺</w:t>
            </w:r>
          </w:p>
        </w:tc>
        <w:tc>
          <w:tcPr>
            <w:tcW w:type="dxa" w:w="2907"/>
          </w:tcPr>
          <w:p>
            <w:pPr>
              <w:pStyle w:val="null3"/>
              <w:jc w:val="left"/>
            </w:pPr>
            <w:r>
              <w:rPr/>
              <w:t>投标人须出具网络安全审查承诺函并加盖投标人公章。网络安全审查承诺函内容包括但不限于：承诺配合网络安全审查；承诺自2022年至2026年未发生过未通过网络安全审查的情形；承诺不利用提供产品和服务的便利条件非法获取用户数据、非法控制和操纵用户设备，无正当理由不中断产品供应或必要的技术支持服务等。</w:t>
            </w:r>
          </w:p>
        </w:tc>
        <w:tc>
          <w:tcPr>
            <w:tcW w:type="dxa" w:w="1246"/>
          </w:tcPr>
          <w:p>
            <w:pPr>
              <w:pStyle w:val="null3"/>
              <w:jc w:val="left"/>
            </w:pPr>
            <w:r>
              <w:rPr/>
              <w:t>是</w:t>
            </w:r>
          </w:p>
        </w:tc>
        <w:tc>
          <w:tcPr>
            <w:tcW w:type="dxa" w:w="1246"/>
          </w:tcPr>
          <w:p>
            <w:pPr>
              <w:pStyle w:val="null3"/>
              <w:jc w:val="left"/>
            </w:pPr>
            <w:r>
              <w:rPr/>
              <w:t>书面承诺</w:t>
            </w:r>
          </w:p>
        </w:tc>
      </w:tr>
      <w:tr>
        <w:tc>
          <w:tcPr>
            <w:tcW w:type="dxa" w:w="831"/>
          </w:tcPr>
          <w:p>
            <w:pPr>
              <w:pStyle w:val="null3"/>
              <w:jc w:val="left"/>
            </w:pPr>
            <w:r>
              <w:rPr/>
              <w:t>3</w:t>
            </w:r>
          </w:p>
        </w:tc>
        <w:tc>
          <w:tcPr>
            <w:tcW w:type="dxa" w:w="2076"/>
          </w:tcPr>
          <w:p>
            <w:pPr>
              <w:pStyle w:val="null3"/>
              <w:jc w:val="left"/>
            </w:pPr>
            <w:r>
              <w:rPr/>
              <w:t>本项目不接受联合体投标。(投标人应提供书面承诺)</w:t>
            </w:r>
          </w:p>
        </w:tc>
        <w:tc>
          <w:tcPr>
            <w:tcW w:type="dxa" w:w="2907"/>
          </w:tcPr>
          <w:p>
            <w:pPr>
              <w:pStyle w:val="null3"/>
              <w:jc w:val="left"/>
            </w:pPr>
            <w:r>
              <w:rPr/>
              <w:t>本项目不接受联合体投标。(投标人应提供书面承诺)</w:t>
            </w:r>
          </w:p>
        </w:tc>
        <w:tc>
          <w:tcPr>
            <w:tcW w:type="dxa" w:w="1246"/>
          </w:tcPr>
          <w:p>
            <w:pPr>
              <w:pStyle w:val="null3"/>
              <w:jc w:val="left"/>
            </w:pPr>
            <w:r>
              <w:rPr/>
              <w:t>是</w:t>
            </w:r>
          </w:p>
        </w:tc>
        <w:tc>
          <w:tcPr>
            <w:tcW w:type="dxa" w:w="1246"/>
          </w:tcPr>
          <w:p>
            <w:pPr>
              <w:pStyle w:val="null3"/>
              <w:jc w:val="left"/>
            </w:pPr>
            <w:r>
              <w:rPr/>
              <w:t>书面承诺</w:t>
            </w:r>
          </w:p>
        </w:tc>
      </w:tr>
      <w:tr>
        <w:tc>
          <w:tcPr>
            <w:tcW w:type="dxa" w:w="831"/>
          </w:tcPr>
          <w:p>
            <w:pPr>
              <w:pStyle w:val="null3"/>
              <w:jc w:val="left"/>
            </w:pPr>
            <w:r>
              <w:rPr/>
              <w:t>4</w:t>
            </w:r>
          </w:p>
        </w:tc>
        <w:tc>
          <w:tcPr>
            <w:tcW w:type="dxa" w:w="2076"/>
          </w:tcPr>
          <w:p>
            <w:pPr>
              <w:pStyle w:val="null3"/>
              <w:jc w:val="left"/>
            </w:pPr>
            <w:r>
              <w:rPr/>
              <w:t>投标人不得以任何形式将本项目转包和分包。(投标人应提供书面承诺)</w:t>
            </w:r>
          </w:p>
        </w:tc>
        <w:tc>
          <w:tcPr>
            <w:tcW w:type="dxa" w:w="2907"/>
          </w:tcPr>
          <w:p>
            <w:pPr>
              <w:pStyle w:val="null3"/>
              <w:jc w:val="left"/>
            </w:pPr>
            <w:r>
              <w:rPr/>
              <w:t>投标人不得以任何形式将本项目转包和分包。(投标人应提供书面承诺)</w:t>
            </w:r>
          </w:p>
        </w:tc>
        <w:tc>
          <w:tcPr>
            <w:tcW w:type="dxa" w:w="1246"/>
          </w:tcPr>
          <w:p>
            <w:pPr>
              <w:pStyle w:val="null3"/>
              <w:jc w:val="left"/>
            </w:pPr>
            <w:r>
              <w:rPr/>
              <w:t>是</w:t>
            </w:r>
          </w:p>
        </w:tc>
        <w:tc>
          <w:tcPr>
            <w:tcW w:type="dxa" w:w="1246"/>
          </w:tcPr>
          <w:p>
            <w:pPr>
              <w:pStyle w:val="null3"/>
              <w:jc w:val="left"/>
            </w:pPr>
            <w:r>
              <w:rPr/>
              <w:t>书面承诺</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中国人民银行征信中心</w:t>
      </w:r>
    </w:p>
    <w:p>
      <w:pPr>
        <w:pStyle w:val="null3"/>
        <w:jc w:val="left"/>
      </w:pPr>
      <w:r>
        <w:rPr/>
        <w:t xml:space="preserve"> 地址： </w:t>
      </w:r>
      <w:r>
        <w:rPr/>
        <w:t>上海市浦东新区繁昌路298号</w:t>
      </w:r>
    </w:p>
    <w:p>
      <w:pPr>
        <w:pStyle w:val="null3"/>
        <w:jc w:val="left"/>
      </w:pPr>
      <w:r>
        <w:rPr/>
        <w:t xml:space="preserve"> 邮编： </w:t>
      </w:r>
      <w:r>
        <w:rPr/>
        <w:t>201201</w:t>
      </w:r>
    </w:p>
    <w:p>
      <w:pPr>
        <w:pStyle w:val="null3"/>
        <w:jc w:val="left"/>
      </w:pPr>
      <w:r>
        <w:rPr/>
        <w:t xml:space="preserve"> 联系人： </w:t>
      </w:r>
      <w:r>
        <w:rPr/>
        <w:t>孟先生</w:t>
      </w:r>
    </w:p>
    <w:p>
      <w:pPr>
        <w:pStyle w:val="null3"/>
        <w:jc w:val="left"/>
      </w:pPr>
      <w:r>
        <w:rPr/>
        <w:t xml:space="preserve"> 联系电话： </w:t>
      </w:r>
      <w:r>
        <w:rPr/>
        <w:t>021-20679654</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冯先生</w:t>
      </w:r>
    </w:p>
    <w:p>
      <w:pPr>
        <w:pStyle w:val="null3"/>
        <w:jc w:val="left"/>
      </w:pPr>
      <w:r>
        <w:rPr/>
        <w:t xml:space="preserve"> 联系电话（开、评标咨询）： </w:t>
      </w:r>
      <w:r>
        <w:rPr/>
        <w:t>010-66194772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 xml:space="preserve"> 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中标人签订采购合同时，应向采购人提交金额为合同总金额的5.0%的履约保证金。</w:t>
            </w:r>
          </w:p>
          <w:p>
            <w:pPr>
              <w:pStyle w:val="null3"/>
            </w:pPr>
            <w:r>
              <w:rPr/>
              <w:t>详见合同文本。</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w:t>
            </w:r>
          </w:p>
          <w:p>
            <w:pPr>
              <w:pStyle w:val="null3"/>
            </w:pPr>
            <w:r>
              <w:rPr/>
              <w:t xml:space="preserve"> 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为满足信息化项目建设需要</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中心签报、会议纪要、项目任务书</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采购满足指标的软件</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图数据库3节点</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本技术要求共有“★”指标38个，”#”指标11个，“▲”指标0个。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基本要求</w:t>
            </w:r>
          </w:p>
        </w:tc>
        <w:tc>
          <w:tcPr>
            <w:tcW w:type="dxa" w:w="1038"/>
          </w:tcPr>
          <w:p>
            <w:pPr>
              <w:pStyle w:val="null3"/>
            </w:pPr>
            <w:r>
              <w:rPr/>
              <w:t>操作系统兼容</w:t>
            </w:r>
          </w:p>
        </w:tc>
        <w:tc>
          <w:tcPr>
            <w:tcW w:type="dxa" w:w="1038"/>
          </w:tcPr>
          <w:p>
            <w:pPr>
              <w:pStyle w:val="null3"/>
            </w:pPr>
            <w:r>
              <w:rPr/>
              <w:t>a)支持麒麟和统信操作系统； b)支持Linux操作系统。</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基本要求</w:t>
            </w:r>
          </w:p>
        </w:tc>
        <w:tc>
          <w:tcPr>
            <w:tcW w:type="dxa" w:w="1038"/>
          </w:tcPr>
          <w:p>
            <w:pPr>
              <w:pStyle w:val="null3"/>
            </w:pPr>
            <w:r>
              <w:rPr/>
              <w:t>硬件平台兼容</w:t>
            </w:r>
          </w:p>
        </w:tc>
        <w:tc>
          <w:tcPr>
            <w:tcW w:type="dxa" w:w="1038"/>
          </w:tcPr>
          <w:p>
            <w:pPr>
              <w:pStyle w:val="null3"/>
            </w:pPr>
            <w:r>
              <w:rPr/>
              <w:t>支持ARM与X86两种CPU平台架构。</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安装与升级</w:t>
            </w:r>
          </w:p>
        </w:tc>
        <w:tc>
          <w:tcPr>
            <w:tcW w:type="dxa" w:w="1038"/>
          </w:tcPr>
          <w:p>
            <w:pPr>
              <w:pStyle w:val="null3"/>
            </w:pPr>
            <w:r>
              <w:rPr/>
              <w:t>数据库安装</w:t>
            </w:r>
          </w:p>
        </w:tc>
        <w:tc>
          <w:tcPr>
            <w:tcW w:type="dxa" w:w="1038"/>
          </w:tcPr>
          <w:p>
            <w:pPr>
              <w:pStyle w:val="null3"/>
            </w:pPr>
            <w:r>
              <w:rPr/>
              <w:t>a)支持命令行或图形化的安装； b)支持命令行或图形化的可配置安装能力； c)依据安装环境提供相应的初始化参数配置值； d)提供图形化软件组件管理向导工具。</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安装与升级</w:t>
            </w:r>
          </w:p>
        </w:tc>
        <w:tc>
          <w:tcPr>
            <w:tcW w:type="dxa" w:w="1038"/>
          </w:tcPr>
          <w:p>
            <w:pPr>
              <w:pStyle w:val="null3"/>
            </w:pPr>
            <w:r>
              <w:rPr/>
              <w:t>数据库重启</w:t>
            </w:r>
          </w:p>
        </w:tc>
        <w:tc>
          <w:tcPr>
            <w:tcW w:type="dxa" w:w="1038"/>
          </w:tcPr>
          <w:p>
            <w:pPr>
              <w:pStyle w:val="null3"/>
            </w:pPr>
            <w:r>
              <w:rPr/>
              <w:t>a)支持命令行或图形化的方式关闭和启动服务； b)关闭服务后，再启动服务，服务正常。</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安装与升级</w:t>
            </w:r>
          </w:p>
        </w:tc>
        <w:tc>
          <w:tcPr>
            <w:tcW w:type="dxa" w:w="1038"/>
          </w:tcPr>
          <w:p>
            <w:pPr>
              <w:pStyle w:val="null3"/>
            </w:pPr>
            <w:r>
              <w:rPr/>
              <w:t>安装配置日志</w:t>
            </w:r>
          </w:p>
        </w:tc>
        <w:tc>
          <w:tcPr>
            <w:tcW w:type="dxa" w:w="1038"/>
          </w:tcPr>
          <w:p>
            <w:pPr>
              <w:pStyle w:val="null3"/>
            </w:pPr>
            <w:r>
              <w:rPr/>
              <w:t>a)提供软件安装的日志记录功能； b)记录的软件安装信息完整正确； c)提供安装配置操作的日志记录功能； d)记录的配置操作信息完整正确。</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安装与升级</w:t>
            </w:r>
          </w:p>
        </w:tc>
        <w:tc>
          <w:tcPr>
            <w:tcW w:type="dxa" w:w="1038"/>
          </w:tcPr>
          <w:p>
            <w:pPr>
              <w:pStyle w:val="null3"/>
            </w:pPr>
            <w:r>
              <w:rPr/>
              <w:t>升级维护</w:t>
            </w:r>
          </w:p>
        </w:tc>
        <w:tc>
          <w:tcPr>
            <w:tcW w:type="dxa" w:w="1038"/>
          </w:tcPr>
          <w:p>
            <w:pPr>
              <w:pStyle w:val="null3"/>
            </w:pPr>
            <w:r>
              <w:rPr/>
              <w:t>a)支持版本升级，保证版本间功能和数据的兼容性； b)厂商提供当前版本与历史版本的差异说明文档，包含新版本对软件和硬件的支持情况。</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安装与升级</w:t>
            </w:r>
          </w:p>
        </w:tc>
        <w:tc>
          <w:tcPr>
            <w:tcW w:type="dxa" w:w="1038"/>
          </w:tcPr>
          <w:p>
            <w:pPr>
              <w:pStyle w:val="null3"/>
            </w:pPr>
            <w:r>
              <w:rPr/>
              <w:t>本地化部署</w:t>
            </w:r>
          </w:p>
        </w:tc>
        <w:tc>
          <w:tcPr>
            <w:tcW w:type="dxa" w:w="1038"/>
          </w:tcPr>
          <w:p>
            <w:pPr>
              <w:pStyle w:val="null3"/>
            </w:pPr>
            <w:r>
              <w:rPr/>
              <w:t>支持本地化部署。</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基础数据类型</w:t>
            </w:r>
          </w:p>
        </w:tc>
        <w:tc>
          <w:tcPr>
            <w:tcW w:type="dxa" w:w="1038"/>
          </w:tcPr>
          <w:p>
            <w:pPr>
              <w:pStyle w:val="null3"/>
            </w:pPr>
            <w:r>
              <w:rPr/>
              <w:t>a)支持数值类型； b)支持字符类型； c)支持日期和时间类型； d)支持布尔类型； e)支持数组类型。</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其他数据类型</w:t>
            </w:r>
          </w:p>
        </w:tc>
        <w:tc>
          <w:tcPr>
            <w:tcW w:type="dxa" w:w="1038"/>
          </w:tcPr>
          <w:p>
            <w:pPr>
              <w:pStyle w:val="null3"/>
            </w:pPr>
            <w:r>
              <w:rPr/>
              <w:t>支持Bigdecimal数据类型。</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数据操作</w:t>
            </w:r>
          </w:p>
        </w:tc>
        <w:tc>
          <w:tcPr>
            <w:tcW w:type="dxa" w:w="1038"/>
          </w:tcPr>
          <w:p>
            <w:pPr>
              <w:pStyle w:val="null3"/>
            </w:pPr>
            <w:r>
              <w:rPr/>
              <w:t>a)支持图内包含多种不同类型与属性的点、边数据； b)支持两个节点间同类型边存储多条边数据； c)支持动态图，点边更新变更多版本查询； d)支持标准的图查询语言,如ISO-GQL、Cypher、OpenCypher、Gremlin等图数据库查询语言； e)支持图查询语言使用运算符、函数、子句、索引、数据类型等操作； f)支持跨图查询； g)支持自定义存储过程； h)支持数据回收站。</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数据索引</w:t>
            </w:r>
          </w:p>
        </w:tc>
        <w:tc>
          <w:tcPr>
            <w:tcW w:type="dxa" w:w="1038"/>
          </w:tcPr>
          <w:p>
            <w:pPr>
              <w:pStyle w:val="null3"/>
            </w:pPr>
            <w:r>
              <w:rPr/>
              <w:t>支持对图数据创建索引，如唯一索引、组合索引、范围索引等。</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全文索引</w:t>
            </w:r>
          </w:p>
        </w:tc>
        <w:tc>
          <w:tcPr>
            <w:tcW w:type="dxa" w:w="1038"/>
          </w:tcPr>
          <w:p>
            <w:pPr>
              <w:pStyle w:val="null3"/>
            </w:pPr>
            <w:r>
              <w:rPr/>
              <w:t>支持全文索引。</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图算法</w:t>
            </w:r>
          </w:p>
        </w:tc>
        <w:tc>
          <w:tcPr>
            <w:tcW w:type="dxa" w:w="1038"/>
          </w:tcPr>
          <w:p>
            <w:pPr>
              <w:pStyle w:val="null3"/>
            </w:pPr>
            <w:r>
              <w:rPr/>
              <w:t>a)内置常见的图分析算法，包括但不限于PageRank、单源最短路径SSSP、弱联通分量WCC、标签传播、聚集系数等； b)支持可视化方式的图分析算法模型创建、调度; c)支持图算法结果直接回写图数据库，不依赖外部图计算框架。</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自定义函数</w:t>
            </w:r>
          </w:p>
        </w:tc>
        <w:tc>
          <w:tcPr>
            <w:tcW w:type="dxa" w:w="1038"/>
          </w:tcPr>
          <w:p>
            <w:pPr>
              <w:pStyle w:val="null3"/>
            </w:pPr>
            <w:r>
              <w:rPr/>
              <w:t>支持Java实现自定义函数作为插件，在图库启动时加载，并可以作为自定义CQL方法或API接口方式调用。</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数据导入</w:t>
            </w:r>
          </w:p>
        </w:tc>
        <w:tc>
          <w:tcPr>
            <w:tcW w:type="dxa" w:w="1038"/>
          </w:tcPr>
          <w:p>
            <w:pPr>
              <w:pStyle w:val="null3"/>
            </w:pPr>
            <w:r>
              <w:rPr/>
              <w:t>a)支持数据源包括MySQL、Oracle、DB2、PostgreSQL等关系型数据库； b)支持数据源包括Hive、HDFS等大数据存储及Kafka消息队列; c)支持数据源包括CSV、JSON等文件格式。</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数据导出</w:t>
            </w:r>
          </w:p>
        </w:tc>
        <w:tc>
          <w:tcPr>
            <w:tcW w:type="dxa" w:w="1038"/>
          </w:tcPr>
          <w:p>
            <w:pPr>
              <w:pStyle w:val="null3"/>
            </w:pPr>
            <w:r>
              <w:rPr/>
              <w:t>a)支持图数据导出，支持查询结果导出; b)支持导出为本地文件，输出形式包括不限于CSV、JSON等。</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实时数据查询</w:t>
            </w:r>
          </w:p>
        </w:tc>
        <w:tc>
          <w:tcPr>
            <w:tcW w:type="dxa" w:w="1038"/>
          </w:tcPr>
          <w:p>
            <w:pPr>
              <w:pStyle w:val="null3"/>
            </w:pPr>
            <w:r>
              <w:rPr/>
              <w:t>支持数据实时更新与查询。</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基础功能</w:t>
            </w:r>
          </w:p>
        </w:tc>
        <w:tc>
          <w:tcPr>
            <w:tcW w:type="dxa" w:w="1038"/>
          </w:tcPr>
          <w:p>
            <w:pPr>
              <w:pStyle w:val="null3"/>
            </w:pPr>
            <w:r>
              <w:rPr/>
              <w:t>其他导入导出</w:t>
            </w:r>
          </w:p>
        </w:tc>
        <w:tc>
          <w:tcPr>
            <w:tcW w:type="dxa" w:w="1038"/>
          </w:tcPr>
          <w:p>
            <w:pPr>
              <w:pStyle w:val="null3"/>
            </w:pPr>
            <w:r>
              <w:rPr/>
              <w:t>支持从Kafka、Flink等系统实时抽取数据导入和数据导出。</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可视化</w:t>
            </w:r>
          </w:p>
        </w:tc>
        <w:tc>
          <w:tcPr>
            <w:tcW w:type="dxa" w:w="1038"/>
          </w:tcPr>
          <w:p>
            <w:pPr>
              <w:pStyle w:val="null3"/>
            </w:pPr>
            <w:r>
              <w:rPr/>
              <w:t>图构建可视化</w:t>
            </w:r>
          </w:p>
        </w:tc>
        <w:tc>
          <w:tcPr>
            <w:tcW w:type="dxa" w:w="1038"/>
          </w:tcPr>
          <w:p>
            <w:pPr>
              <w:pStyle w:val="null3"/>
            </w:pPr>
            <w:r>
              <w:rPr/>
              <w:t>支持可视化方式构建图模型，包括点、边、属性、索引、TTL等增删改查，支持发起点边数量统计。</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可视化</w:t>
            </w:r>
          </w:p>
        </w:tc>
        <w:tc>
          <w:tcPr>
            <w:tcW w:type="dxa" w:w="1038"/>
          </w:tcPr>
          <w:p>
            <w:pPr>
              <w:pStyle w:val="null3"/>
            </w:pPr>
            <w:r>
              <w:rPr/>
              <w:t>图查询可视化</w:t>
            </w:r>
          </w:p>
        </w:tc>
        <w:tc>
          <w:tcPr>
            <w:tcW w:type="dxa" w:w="1038"/>
          </w:tcPr>
          <w:p>
            <w:pPr>
              <w:pStyle w:val="null3"/>
            </w:pPr>
            <w:r>
              <w:rPr/>
              <w:t>a)支持可视化界面反馈查询结果； b)支持3D展示上万点、边； c)支持JSON视图、JSON文本、点边列表和点边视图等展示方式； d)支持拖拉拽、图布局切换、动态展示的效果； e)支持可视化图算法结果。</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可视化</w:t>
            </w:r>
          </w:p>
        </w:tc>
        <w:tc>
          <w:tcPr>
            <w:tcW w:type="dxa" w:w="1038"/>
          </w:tcPr>
          <w:p>
            <w:pPr>
              <w:pStyle w:val="null3"/>
            </w:pPr>
            <w:r>
              <w:rPr/>
              <w:t>图分析可视化</w:t>
            </w:r>
          </w:p>
        </w:tc>
        <w:tc>
          <w:tcPr>
            <w:tcW w:type="dxa" w:w="1038"/>
          </w:tcPr>
          <w:p>
            <w:pPr>
              <w:pStyle w:val="null3"/>
            </w:pPr>
            <w:r>
              <w:rPr/>
              <w:t>a)支持多种查询方式，比如语句查询、模板查询、配置查询等； b)支持对展示内容进行定位搜索、缩放、过滤、高亮、锁定、对点边进行拖动等； c)支持对画布展示点边外观进行个性化配置； d)支持展示节点和边的详细信息，包括类型、属性值等； e)支持对展示点边进行分组、聚合、扩展、边合并等，并支持扩散度数、边方向、属性过滤； f)支持对展示点边的分析，比如节点重要性、路径分析、共同邻居、模式匹配等； g)支持布局功能，比如力导向图、圆形布局、网络布局等。</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可靠性</w:t>
            </w:r>
          </w:p>
        </w:tc>
        <w:tc>
          <w:tcPr>
            <w:tcW w:type="dxa" w:w="1038"/>
          </w:tcPr>
          <w:p>
            <w:pPr>
              <w:pStyle w:val="null3"/>
            </w:pPr>
            <w:r>
              <w:rPr/>
              <w:t>部署模式</w:t>
            </w:r>
          </w:p>
        </w:tc>
        <w:tc>
          <w:tcPr>
            <w:tcW w:type="dxa" w:w="1038"/>
          </w:tcPr>
          <w:p>
            <w:pPr>
              <w:pStyle w:val="null3"/>
            </w:pPr>
            <w:r>
              <w:rPr/>
              <w:t>支持分布式部署，支持数据多副本存储。</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可靠性</w:t>
            </w:r>
          </w:p>
        </w:tc>
        <w:tc>
          <w:tcPr>
            <w:tcW w:type="dxa" w:w="1038"/>
          </w:tcPr>
          <w:p>
            <w:pPr>
              <w:pStyle w:val="null3"/>
            </w:pPr>
            <w:r>
              <w:rPr/>
              <w:t>分布式一致性协议</w:t>
            </w:r>
          </w:p>
        </w:tc>
        <w:tc>
          <w:tcPr>
            <w:tcW w:type="dxa" w:w="1038"/>
          </w:tcPr>
          <w:p>
            <w:pPr>
              <w:pStyle w:val="null3"/>
            </w:pPr>
            <w:r>
              <w:rPr/>
              <w:t>支持图数据库存储引擎通过Raft协议来保证数据一致性和高可用性。</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可靠性</w:t>
            </w:r>
          </w:p>
        </w:tc>
        <w:tc>
          <w:tcPr>
            <w:tcW w:type="dxa" w:w="1038"/>
          </w:tcPr>
          <w:p>
            <w:pPr>
              <w:pStyle w:val="null3"/>
            </w:pPr>
            <w:r>
              <w:rPr/>
              <w:t>高可用</w:t>
            </w:r>
          </w:p>
        </w:tc>
        <w:tc>
          <w:tcPr>
            <w:tcW w:type="dxa" w:w="1038"/>
          </w:tcPr>
          <w:p>
            <w:pPr>
              <w:pStyle w:val="null3"/>
            </w:pPr>
            <w:r>
              <w:rPr/>
              <w:t>a)支持图数据各组件、服务无单点故障； b)支持可视化平台的启停不影响图数据库的正常访问。</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可靠性</w:t>
            </w:r>
          </w:p>
        </w:tc>
        <w:tc>
          <w:tcPr>
            <w:tcW w:type="dxa" w:w="1038"/>
          </w:tcPr>
          <w:p>
            <w:pPr>
              <w:pStyle w:val="null3"/>
            </w:pPr>
            <w:r>
              <w:rPr/>
              <w:t>稳定运行</w:t>
            </w:r>
          </w:p>
        </w:tc>
        <w:tc>
          <w:tcPr>
            <w:tcW w:type="dxa" w:w="1038"/>
          </w:tcPr>
          <w:p>
            <w:pPr>
              <w:pStyle w:val="null3"/>
            </w:pPr>
            <w:r>
              <w:rPr/>
              <w:t>支持连续稳定运行。</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可靠性</w:t>
            </w:r>
          </w:p>
        </w:tc>
        <w:tc>
          <w:tcPr>
            <w:tcW w:type="dxa" w:w="1038"/>
          </w:tcPr>
          <w:p>
            <w:pPr>
              <w:pStyle w:val="null3"/>
            </w:pPr>
            <w:r>
              <w:rPr/>
              <w:t>故障切换</w:t>
            </w:r>
          </w:p>
        </w:tc>
        <w:tc>
          <w:tcPr>
            <w:tcW w:type="dxa" w:w="1038"/>
          </w:tcPr>
          <w:p>
            <w:pPr>
              <w:pStyle w:val="null3"/>
            </w:pPr>
            <w:r>
              <w:rPr/>
              <w:t>a)支持快速切换，在集群节点出现故障时，能够快速被其他节点接管，保障业务运行； b)支持无断点恢复能力。</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可靠性</w:t>
            </w:r>
          </w:p>
        </w:tc>
        <w:tc>
          <w:tcPr>
            <w:tcW w:type="dxa" w:w="1038"/>
          </w:tcPr>
          <w:p>
            <w:pPr>
              <w:pStyle w:val="null3"/>
            </w:pPr>
            <w:r>
              <w:rPr/>
              <w:t>内存保护</w:t>
            </w:r>
          </w:p>
        </w:tc>
        <w:tc>
          <w:tcPr>
            <w:tcW w:type="dxa" w:w="1038"/>
          </w:tcPr>
          <w:p>
            <w:pPr>
              <w:pStyle w:val="null3"/>
            </w:pPr>
            <w:r>
              <w:rPr/>
              <w:t>具备内存保护机制，任务内存占用异常时可自动kill该任务，从而不影响服务的整体运行。</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原生图存储</w:t>
            </w:r>
          </w:p>
        </w:tc>
        <w:tc>
          <w:tcPr>
            <w:tcW w:type="dxa" w:w="1038"/>
          </w:tcPr>
          <w:p>
            <w:pPr>
              <w:pStyle w:val="null3"/>
            </w:pPr>
            <w:r>
              <w:rPr/>
              <w:t>支持原生图存储，存储系统不依赖第三方开源或闭源存储系统，包括但不限于关系型数据库、键值库、NOSQL库等，如MySQL、RocksDB、HBase等。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数据重分布</w:t>
            </w:r>
          </w:p>
        </w:tc>
        <w:tc>
          <w:tcPr>
            <w:tcW w:type="dxa" w:w="1038"/>
          </w:tcPr>
          <w:p>
            <w:pPr>
              <w:pStyle w:val="null3"/>
            </w:pPr>
            <w:r>
              <w:rPr/>
              <w:t>支持存储硬件扩容后数据的自动或手动重分布。</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空间压缩</w:t>
            </w:r>
          </w:p>
        </w:tc>
        <w:tc>
          <w:tcPr>
            <w:tcW w:type="dxa" w:w="1038"/>
          </w:tcPr>
          <w:p>
            <w:pPr>
              <w:pStyle w:val="null3"/>
            </w:pPr>
            <w:r>
              <w:rPr/>
              <w:t>支持存储空间压缩，具备压缩算法减少磁盘和内存的使用量。</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海量数据支持</w:t>
            </w:r>
          </w:p>
        </w:tc>
        <w:tc>
          <w:tcPr>
            <w:tcW w:type="dxa" w:w="1038"/>
          </w:tcPr>
          <w:p>
            <w:pPr>
              <w:pStyle w:val="null3"/>
            </w:pPr>
            <w:r>
              <w:rPr/>
              <w:t>支持存储户万亿级、PB 级点边数据量。</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存储策略</w:t>
            </w:r>
          </w:p>
        </w:tc>
        <w:tc>
          <w:tcPr>
            <w:tcW w:type="dxa" w:w="1038"/>
          </w:tcPr>
          <w:p>
            <w:pPr>
              <w:pStyle w:val="null3"/>
            </w:pPr>
            <w:r>
              <w:rPr/>
              <w:t>基于图分区算法，图数据可按策略分散存储于集群中。</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权限管理</w:t>
            </w:r>
          </w:p>
        </w:tc>
        <w:tc>
          <w:tcPr>
            <w:tcW w:type="dxa" w:w="1038"/>
          </w:tcPr>
          <w:p>
            <w:pPr>
              <w:pStyle w:val="null3"/>
            </w:pPr>
            <w:r>
              <w:rPr/>
              <w:t>权限设置</w:t>
            </w:r>
          </w:p>
        </w:tc>
        <w:tc>
          <w:tcPr>
            <w:tcW w:type="dxa" w:w="1038"/>
          </w:tcPr>
          <w:p>
            <w:pPr>
              <w:pStyle w:val="null3"/>
            </w:pPr>
            <w:r>
              <w:rPr/>
              <w:t>a)支持配置用户、用户组对图的读写权限； b)支持图、标签和属性级别的权限控制，可以控制用户访问特定图、特定标签、特定属性； c)支持配置用户、用户组对图的存储资源管控。</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权限管理</w:t>
            </w:r>
          </w:p>
        </w:tc>
        <w:tc>
          <w:tcPr>
            <w:tcW w:type="dxa" w:w="1038"/>
          </w:tcPr>
          <w:p>
            <w:pPr>
              <w:pStyle w:val="null3"/>
            </w:pPr>
            <w:r>
              <w:rPr/>
              <w:t>资源管控</w:t>
            </w:r>
          </w:p>
        </w:tc>
        <w:tc>
          <w:tcPr>
            <w:tcW w:type="dxa" w:w="1038"/>
          </w:tcPr>
          <w:p>
            <w:pPr>
              <w:pStyle w:val="null3"/>
            </w:pPr>
            <w:r>
              <w:rPr/>
              <w:t>a)支持配置用户、用户组对图的存储资源管控； b)支持配置用户、用户组对查询的计算资源管控； c)同一份计算资源池下，支持配置任务不同优先级的规则。</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运维管理</w:t>
            </w:r>
          </w:p>
        </w:tc>
        <w:tc>
          <w:tcPr>
            <w:tcW w:type="dxa" w:w="1038"/>
          </w:tcPr>
          <w:p>
            <w:pPr>
              <w:pStyle w:val="null3"/>
            </w:pPr>
            <w:r>
              <w:rPr/>
              <w:t>系统部署</w:t>
            </w:r>
          </w:p>
        </w:tc>
        <w:tc>
          <w:tcPr>
            <w:tcW w:type="dxa" w:w="1038"/>
          </w:tcPr>
          <w:p>
            <w:pPr>
              <w:pStyle w:val="null3"/>
            </w:pPr>
            <w:r>
              <w:rPr/>
              <w:t>支持容器化Docker环境部署。</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运维管理</w:t>
            </w:r>
          </w:p>
        </w:tc>
        <w:tc>
          <w:tcPr>
            <w:tcW w:type="dxa" w:w="1038"/>
          </w:tcPr>
          <w:p>
            <w:pPr>
              <w:pStyle w:val="null3"/>
            </w:pPr>
            <w:r>
              <w:rPr/>
              <w:t>实时监控</w:t>
            </w:r>
          </w:p>
        </w:tc>
        <w:tc>
          <w:tcPr>
            <w:tcW w:type="dxa" w:w="1038"/>
          </w:tcPr>
          <w:p>
            <w:pPr>
              <w:pStyle w:val="null3"/>
            </w:pPr>
            <w:r>
              <w:rPr/>
              <w:t>a)支持图库状态监控可视化，包含正常、告警、故障等状态； b)支持集群日常状态、节点性能监控可视化； c)支持集群服务器状态监控可视化，针对不健康的集群可以进行提示、以及自动切流。</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运维管理</w:t>
            </w:r>
          </w:p>
        </w:tc>
        <w:tc>
          <w:tcPr>
            <w:tcW w:type="dxa" w:w="1038"/>
          </w:tcPr>
          <w:p>
            <w:pPr>
              <w:pStyle w:val="null3"/>
            </w:pPr>
            <w:r>
              <w:rPr/>
              <w:t>集群启停</w:t>
            </w:r>
          </w:p>
        </w:tc>
        <w:tc>
          <w:tcPr>
            <w:tcW w:type="dxa" w:w="1038"/>
          </w:tcPr>
          <w:p>
            <w:pPr>
              <w:pStyle w:val="null3"/>
            </w:pPr>
            <w:r>
              <w:rPr/>
              <w:t>支持一键启停集群所有服务，以及一键启停节点所有角色。</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运维管理</w:t>
            </w:r>
          </w:p>
        </w:tc>
        <w:tc>
          <w:tcPr>
            <w:tcW w:type="dxa" w:w="1038"/>
          </w:tcPr>
          <w:p>
            <w:pPr>
              <w:pStyle w:val="null3"/>
            </w:pPr>
            <w:r>
              <w:rPr/>
              <w:t>配置管理</w:t>
            </w:r>
          </w:p>
        </w:tc>
        <w:tc>
          <w:tcPr>
            <w:tcW w:type="dxa" w:w="1038"/>
          </w:tcPr>
          <w:p>
            <w:pPr>
              <w:pStyle w:val="null3"/>
            </w:pPr>
            <w:r>
              <w:rPr/>
              <w:t>a)支持依据工作负载和运行环境，提供配置参数修改的能力； b)支持修改数据库配置参数后，配置参数立即生效或数据库重新启动生效，立即生效的配置参数和需要数据库重新启动方可生效的配置参数在相关文档中明确； c)支持可视化方式调整产品的参数，包括但不限于存储引擎、查询引擎、数据集成等。</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运维管理</w:t>
            </w:r>
          </w:p>
        </w:tc>
        <w:tc>
          <w:tcPr>
            <w:tcW w:type="dxa" w:w="1038"/>
          </w:tcPr>
          <w:p>
            <w:pPr>
              <w:pStyle w:val="null3"/>
            </w:pPr>
            <w:r>
              <w:rPr/>
              <w:t>扩容缩容</w:t>
            </w:r>
          </w:p>
        </w:tc>
        <w:tc>
          <w:tcPr>
            <w:tcW w:type="dxa" w:w="1038"/>
          </w:tcPr>
          <w:p>
            <w:pPr>
              <w:pStyle w:val="null3"/>
            </w:pPr>
            <w:r>
              <w:rPr/>
              <w:t>支持在不停服务的情况下在线扩容和缩容。</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运维管理</w:t>
            </w:r>
          </w:p>
        </w:tc>
        <w:tc>
          <w:tcPr>
            <w:tcW w:type="dxa" w:w="1038"/>
          </w:tcPr>
          <w:p>
            <w:pPr>
              <w:pStyle w:val="null3"/>
            </w:pPr>
            <w:r>
              <w:rPr/>
              <w:t>版本升级</w:t>
            </w:r>
          </w:p>
        </w:tc>
        <w:tc>
          <w:tcPr>
            <w:tcW w:type="dxa" w:w="1038"/>
          </w:tcPr>
          <w:p>
            <w:pPr>
              <w:pStyle w:val="null3"/>
            </w:pPr>
            <w:r>
              <w:rPr/>
              <w:t>支持在不停服务情况下在线升级，支持系统的多版本管理，支持版本回退。</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运维管理</w:t>
            </w:r>
          </w:p>
        </w:tc>
        <w:tc>
          <w:tcPr>
            <w:tcW w:type="dxa" w:w="1038"/>
          </w:tcPr>
          <w:p>
            <w:pPr>
              <w:pStyle w:val="null3"/>
            </w:pPr>
            <w:r>
              <w:rPr/>
              <w:t>备份恢复</w:t>
            </w:r>
          </w:p>
        </w:tc>
        <w:tc>
          <w:tcPr>
            <w:tcW w:type="dxa" w:w="1038"/>
          </w:tcPr>
          <w:p>
            <w:pPr>
              <w:pStyle w:val="null3"/>
            </w:pPr>
            <w:r>
              <w:rPr/>
              <w:t>a)支持在可视化平台进行在线全量和增量备份； b)支持将数据从备份中进行恢复； c)支持恢复集群架构与备份集群架构不同的情况。</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容灾能力</w:t>
            </w:r>
          </w:p>
        </w:tc>
        <w:tc>
          <w:tcPr>
            <w:tcW w:type="dxa" w:w="1038"/>
          </w:tcPr>
          <w:p>
            <w:pPr>
              <w:pStyle w:val="null3"/>
            </w:pPr>
            <w:r>
              <w:rPr/>
              <w:t>主备备份</w:t>
            </w:r>
          </w:p>
        </w:tc>
        <w:tc>
          <w:tcPr>
            <w:tcW w:type="dxa" w:w="1038"/>
          </w:tcPr>
          <w:p>
            <w:pPr>
              <w:pStyle w:val="null3"/>
            </w:pPr>
            <w:r>
              <w:rPr/>
              <w:t>a)支持多副本，支持主副本与从副本之间的数据同步，最低时延由生产厂商提供； b)提供数据库复制技术，包括基于日志的备用数据库远程数据库备份技术，并具备数据副本间的复制能力。</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容灾能力</w:t>
            </w:r>
          </w:p>
        </w:tc>
        <w:tc>
          <w:tcPr>
            <w:tcW w:type="dxa" w:w="1038"/>
          </w:tcPr>
          <w:p>
            <w:pPr>
              <w:pStyle w:val="null3"/>
            </w:pPr>
            <w:r>
              <w:rPr/>
              <w:t>实例容灾</w:t>
            </w:r>
          </w:p>
        </w:tc>
        <w:tc>
          <w:tcPr>
            <w:tcW w:type="dxa" w:w="1038"/>
          </w:tcPr>
          <w:p>
            <w:pPr>
              <w:pStyle w:val="null3"/>
            </w:pPr>
            <w:r>
              <w:rPr/>
              <w:t>a)在任意数据库实例出现故障时，集群内服务正常运行，数据不丢失，集群整体业务可用; b)在实例故障、节点故障等单数据库实例故障时，RPO时间等于0，RTO时间小于30s。</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容灾能力</w:t>
            </w:r>
          </w:p>
        </w:tc>
        <w:tc>
          <w:tcPr>
            <w:tcW w:type="dxa" w:w="1038"/>
          </w:tcPr>
          <w:p>
            <w:pPr>
              <w:pStyle w:val="null3"/>
            </w:pPr>
            <w:r>
              <w:rPr/>
              <w:t>容灾部署</w:t>
            </w:r>
          </w:p>
        </w:tc>
        <w:tc>
          <w:tcPr>
            <w:tcW w:type="dxa" w:w="1038"/>
          </w:tcPr>
          <w:p>
            <w:pPr>
              <w:pStyle w:val="null3"/>
            </w:pPr>
            <w:r>
              <w:rPr/>
              <w:t>a)提供远程容灾部署与管理功能； b)提供生产中心与备份中心之间的容灾部署与管理功能。</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容灾能力</w:t>
            </w:r>
          </w:p>
        </w:tc>
        <w:tc>
          <w:tcPr>
            <w:tcW w:type="dxa" w:w="1038"/>
          </w:tcPr>
          <w:p>
            <w:pPr>
              <w:pStyle w:val="null3"/>
            </w:pPr>
            <w:r>
              <w:rPr/>
              <w:t>同城容灾</w:t>
            </w:r>
          </w:p>
        </w:tc>
        <w:tc>
          <w:tcPr>
            <w:tcW w:type="dxa" w:w="1038"/>
          </w:tcPr>
          <w:p>
            <w:pPr>
              <w:pStyle w:val="null3"/>
            </w:pPr>
            <w:r>
              <w:rPr/>
              <w:t>a)支持同城双中心部署，当主中心故障时，业务切换到备中心； b)由于网络、供电等原因造成的可用区级故障，触发集群计划外停机，在同城多可用区场景下，RPO时间等于O，RTO时间小于1分钟。</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容灾能力</w:t>
            </w:r>
          </w:p>
        </w:tc>
        <w:tc>
          <w:tcPr>
            <w:tcW w:type="dxa" w:w="1038"/>
          </w:tcPr>
          <w:p>
            <w:pPr>
              <w:pStyle w:val="null3"/>
            </w:pPr>
            <w:r>
              <w:rPr/>
              <w:t>异地容灾</w:t>
            </w:r>
          </w:p>
        </w:tc>
        <w:tc>
          <w:tcPr>
            <w:tcW w:type="dxa" w:w="1038"/>
          </w:tcPr>
          <w:p>
            <w:pPr>
              <w:pStyle w:val="null3"/>
            </w:pPr>
            <w:r>
              <w:rPr/>
              <w:t>a)城市级故障，比如地震，业务可以切换到异地； b)异地灾备场景支持两地三中心部署架构，在本地建立同城灾备中心，在异地建立异地灾备中心，RPO时间小于1分钟，RTO时间小于10分钟。</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容灾能力</w:t>
            </w:r>
          </w:p>
        </w:tc>
        <w:tc>
          <w:tcPr>
            <w:tcW w:type="dxa" w:w="1038"/>
          </w:tcPr>
          <w:p>
            <w:pPr>
              <w:pStyle w:val="null3"/>
            </w:pPr>
            <w:r>
              <w:rPr/>
              <w:t>跨中心数据复制</w:t>
            </w:r>
          </w:p>
        </w:tc>
        <w:tc>
          <w:tcPr>
            <w:tcW w:type="dxa" w:w="1038"/>
          </w:tcPr>
          <w:p>
            <w:pPr>
              <w:pStyle w:val="null3"/>
            </w:pPr>
            <w:r>
              <w:rPr/>
              <w:t>数据库应自带支持以下功能的跨中心数据复制组件或工具: a)支持全量同步和增量同步； b)支持同步中断故障解决后，自动从断点续传数据； c)若为独立的工具需支持高可用部署。</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容灾能力</w:t>
            </w:r>
          </w:p>
        </w:tc>
        <w:tc>
          <w:tcPr>
            <w:tcW w:type="dxa" w:w="1038"/>
          </w:tcPr>
          <w:p>
            <w:pPr>
              <w:pStyle w:val="null3"/>
            </w:pPr>
            <w:r>
              <w:rPr/>
              <w:t>主备切换和状态检查</w:t>
            </w:r>
          </w:p>
        </w:tc>
        <w:tc>
          <w:tcPr>
            <w:tcW w:type="dxa" w:w="1038"/>
          </w:tcPr>
          <w:p>
            <w:pPr>
              <w:pStyle w:val="null3"/>
            </w:pPr>
            <w:r>
              <w:rPr/>
              <w:t>a)支持命令行主备切换和状态检查功能，并提供可供外部程序调用的接口; b)支持跨中心的双向切换，在备中心接管主中心对外提供服务后，若主中心故障已修复，无需数据库重建即可直接进行从备中心到主中心的回切。</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图数据库</w:t>
            </w:r>
          </w:p>
        </w:tc>
        <w:tc>
          <w:tcPr>
            <w:tcW w:type="dxa" w:w="1038"/>
          </w:tcPr>
          <w:p>
            <w:pPr>
              <w:pStyle w:val="null3"/>
            </w:pPr>
            <w:r>
              <w:rPr/>
              <w:t>★</w:t>
            </w:r>
          </w:p>
        </w:tc>
        <w:tc>
          <w:tcPr>
            <w:tcW w:type="dxa" w:w="1038"/>
          </w:tcPr>
          <w:p>
            <w:pPr>
              <w:pStyle w:val="null3"/>
            </w:pPr>
            <w:r>
              <w:rPr/>
              <w:t>许可要求</w:t>
            </w:r>
          </w:p>
        </w:tc>
        <w:tc>
          <w:tcPr>
            <w:tcW w:type="dxa" w:w="1038"/>
          </w:tcPr>
          <w:p>
            <w:pPr>
              <w:pStyle w:val="null3"/>
            </w:pPr>
            <w:r>
              <w:rPr/>
              <w:t>许可要求</w:t>
            </w:r>
          </w:p>
        </w:tc>
        <w:tc>
          <w:tcPr>
            <w:tcW w:type="dxa" w:w="1038"/>
          </w:tcPr>
          <w:p>
            <w:pPr>
              <w:pStyle w:val="null3"/>
            </w:pPr>
            <w:r>
              <w:rPr/>
              <w:t>投标人提供满足本采购需求书技术指标要求的软件，且提供的软件授权应为永久。</w:t>
            </w:r>
          </w:p>
        </w:tc>
        <w:tc>
          <w:tcPr>
            <w:tcW w:type="dxa" w:w="1038"/>
          </w:tcPr>
          <w:p>
            <w:pPr>
              <w:pStyle w:val="null3"/>
            </w:pPr>
            <w:r>
              <w:rPr/>
              <w:t>否</w:t>
            </w:r>
          </w:p>
        </w:tc>
        <w:tc>
          <w:tcPr>
            <w:tcW w:type="dxa" w:w="1038"/>
          </w:tcPr>
          <w:p/>
        </w:tc>
      </w:tr>
    </w:tbl>
    <w:p>
      <w:pPr>
        <w:pStyle w:val="null3"/>
        <w:jc w:val="both"/>
      </w:pPr>
      <w:r>
        <w:rPr/>
        <w:t>本商务要求共有“★”指标25个，”#”指标4个，“▲”指标0个。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货物交付与到货验收要求</w:t>
            </w:r>
          </w:p>
        </w:tc>
        <w:tc>
          <w:tcPr>
            <w:tcW w:type="dxa" w:w="1038"/>
          </w:tcPr>
          <w:p>
            <w:pPr>
              <w:pStyle w:val="null3"/>
            </w:pPr>
            <w:r>
              <w:rPr/>
              <w:t>★</w:t>
            </w:r>
          </w:p>
        </w:tc>
        <w:tc>
          <w:tcPr>
            <w:tcW w:type="dxa" w:w="1038"/>
          </w:tcPr>
          <w:p>
            <w:pPr>
              <w:pStyle w:val="null3"/>
            </w:pPr>
            <w:r>
              <w:rPr/>
              <w:t>货物交付与到货验收要求</w:t>
            </w:r>
          </w:p>
        </w:tc>
        <w:tc>
          <w:tcPr>
            <w:tcW w:type="dxa" w:w="1038"/>
          </w:tcPr>
          <w:p>
            <w:pPr>
              <w:pStyle w:val="null3"/>
            </w:pPr>
            <w:r>
              <w:rPr/>
              <w:t>到货时间与地点要求</w:t>
            </w:r>
          </w:p>
        </w:tc>
        <w:tc>
          <w:tcPr>
            <w:tcW w:type="dxa" w:w="1038"/>
          </w:tcPr>
          <w:p>
            <w:pPr>
              <w:pStyle w:val="null3"/>
            </w:pPr>
            <w:r>
              <w:rPr/>
              <w:t>到货时间：中标人应在收到招标人通知后的30个日历日内，根据招标人要求完成到货，具体时间以招标人通知为准，招标人有权根据实际情况对到货安排进行调整。 到货地点：上海、天津两地的招标人指定场所。 中标人在中标后应按合同中规定的到货时间和地点完成所有货物的到货。</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货物交付与到货验收要求</w:t>
            </w:r>
          </w:p>
        </w:tc>
        <w:tc>
          <w:tcPr>
            <w:tcW w:type="dxa" w:w="1038"/>
          </w:tcPr>
          <w:p>
            <w:pPr>
              <w:pStyle w:val="null3"/>
            </w:pPr>
            <w:r>
              <w:rPr/>
              <w:t>★</w:t>
            </w:r>
          </w:p>
        </w:tc>
        <w:tc>
          <w:tcPr>
            <w:tcW w:type="dxa" w:w="1038"/>
          </w:tcPr>
          <w:p>
            <w:pPr>
              <w:pStyle w:val="null3"/>
            </w:pPr>
            <w:r>
              <w:rPr/>
              <w:t>软件产品交付要求</w:t>
            </w:r>
          </w:p>
        </w:tc>
        <w:tc>
          <w:tcPr>
            <w:tcW w:type="dxa" w:w="1038"/>
          </w:tcPr>
          <w:p>
            <w:pPr>
              <w:pStyle w:val="null3"/>
            </w:pPr>
            <w:r>
              <w:rPr/>
              <w:t>软件产品交付要求</w:t>
            </w:r>
          </w:p>
        </w:tc>
        <w:tc>
          <w:tcPr>
            <w:tcW w:type="dxa" w:w="1038"/>
          </w:tcPr>
          <w:p>
            <w:pPr>
              <w:pStyle w:val="null3"/>
            </w:pPr>
            <w:r>
              <w:rPr/>
              <w:t>软件到货验收须交付软件使用许可证明文件（纸质版原件并加盖原厂商公章）、软件安装介质（以光盘、便携式移动设备、镜像文件、在线下载等交付方式提供产品交付物），以及配套的技术资料，包括但不限于系统说明文件、用户手册（用户安装、操作、维护、故障排除）等。</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货物交付与到货验收要求</w:t>
            </w:r>
          </w:p>
        </w:tc>
        <w:tc>
          <w:tcPr>
            <w:tcW w:type="dxa" w:w="1038"/>
          </w:tcPr>
          <w:p>
            <w:pPr>
              <w:pStyle w:val="null3"/>
            </w:pPr>
            <w:r>
              <w:rPr/>
              <w:t>★</w:t>
            </w:r>
          </w:p>
        </w:tc>
        <w:tc>
          <w:tcPr>
            <w:tcW w:type="dxa" w:w="1038"/>
          </w:tcPr>
          <w:p>
            <w:pPr>
              <w:pStyle w:val="null3"/>
            </w:pPr>
            <w:r>
              <w:rPr/>
              <w:t>货物到货验收要求</w:t>
            </w:r>
          </w:p>
        </w:tc>
        <w:tc>
          <w:tcPr>
            <w:tcW w:type="dxa" w:w="1038"/>
          </w:tcPr>
          <w:p>
            <w:pPr>
              <w:pStyle w:val="null3"/>
            </w:pPr>
            <w:r>
              <w:rPr/>
              <w:t>货物到货验收要求</w:t>
            </w:r>
          </w:p>
        </w:tc>
        <w:tc>
          <w:tcPr>
            <w:tcW w:type="dxa" w:w="1038"/>
          </w:tcPr>
          <w:p>
            <w:pPr>
              <w:pStyle w:val="null3"/>
            </w:pPr>
            <w:r>
              <w:rPr/>
              <w:t>货物到货后，由招标人依合同文件要求对所供全部软件的型号、数量、外形、包装、资料、文件组织到货验收。 若验收过程中发现问题，由中标人负责免费解决，招标人保留退货及索赔权利。 货物验收合格后，由招标人开具合同验收单，双方签字盖章。</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货物交付与到货验收要求</w:t>
            </w:r>
          </w:p>
        </w:tc>
        <w:tc>
          <w:tcPr>
            <w:tcW w:type="dxa" w:w="1038"/>
          </w:tcPr>
          <w:p>
            <w:pPr>
              <w:pStyle w:val="null3"/>
            </w:pPr>
            <w:r>
              <w:rPr/>
              <w:t>★</w:t>
            </w:r>
          </w:p>
        </w:tc>
        <w:tc>
          <w:tcPr>
            <w:tcW w:type="dxa" w:w="1038"/>
          </w:tcPr>
          <w:p>
            <w:pPr>
              <w:pStyle w:val="null3"/>
            </w:pPr>
            <w:r>
              <w:rPr/>
              <w:t>软件到货验收标准</w:t>
            </w:r>
          </w:p>
        </w:tc>
        <w:tc>
          <w:tcPr>
            <w:tcW w:type="dxa" w:w="1038"/>
          </w:tcPr>
          <w:p>
            <w:pPr>
              <w:pStyle w:val="null3"/>
            </w:pPr>
            <w:r>
              <w:rPr/>
              <w:t>软件到货验收标准</w:t>
            </w:r>
          </w:p>
        </w:tc>
        <w:tc>
          <w:tcPr>
            <w:tcW w:type="dxa" w:w="1038"/>
          </w:tcPr>
          <w:p>
            <w:pPr>
              <w:pStyle w:val="null3"/>
            </w:pPr>
            <w:r>
              <w:rPr/>
              <w:t>到货验收合格必须至少满足以下要求： 1.交付软件的版本、使用许可应与合同一致。 2.软件在指定环境中完成安装，并且能够正常运行使用。</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实施 要求</w:t>
            </w:r>
          </w:p>
        </w:tc>
        <w:tc>
          <w:tcPr>
            <w:tcW w:type="dxa" w:w="1038"/>
          </w:tcPr>
          <w:p>
            <w:pPr>
              <w:pStyle w:val="null3"/>
            </w:pPr>
            <w:r>
              <w:rPr/>
              <w:t>实施 要求</w:t>
            </w:r>
          </w:p>
        </w:tc>
        <w:tc>
          <w:tcPr>
            <w:tcW w:type="dxa" w:w="1038"/>
          </w:tcPr>
          <w:p>
            <w:pPr>
              <w:pStyle w:val="null3"/>
            </w:pPr>
            <w:r>
              <w:rPr/>
              <w:t>1.自到货验收合格日起，中标人应会同原厂商按照招标人要求在90个日历日内完成软件调试、调优以及与上层软件联调测试等工作，确保本项目所采购的软件以及构建于其上的软件系统能够正常运行。数据迁移过程中如有问题，中标人应会同相关原厂商协助招标人解决。 2.实施过程中，中标人应配合招标人完成对货物的功能测试、性能测试、漏洞扫描等工作。 3.实施过程中若发现货物不满足合同要求，由中标人负责免费解决。 4.当出现以下情形时，招标人有权退货并保留索赔的权利。 a)货物更换2次（含2次）以上,仍不能完全满足合同要求； b）未能在规定时间内完成实施且超出规定时间30个日历日。</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实施团队要求</w:t>
            </w:r>
          </w:p>
        </w:tc>
        <w:tc>
          <w:tcPr>
            <w:tcW w:type="dxa" w:w="1038"/>
          </w:tcPr>
          <w:p>
            <w:pPr>
              <w:pStyle w:val="null3"/>
            </w:pPr>
            <w:r>
              <w:rPr/>
              <w:t>实施团队要求</w:t>
            </w:r>
          </w:p>
        </w:tc>
        <w:tc>
          <w:tcPr>
            <w:tcW w:type="dxa" w:w="1038"/>
          </w:tcPr>
          <w:p>
            <w:pPr>
              <w:pStyle w:val="null3"/>
              <w:jc w:val="left"/>
            </w:pPr>
            <w:r>
              <w:rPr>
                <w:rFonts w:ascii="仿宋" w:hAnsi="仿宋" w:cs="仿宋" w:eastAsia="仿宋"/>
                <w:sz w:val="24"/>
              </w:rPr>
              <w:t>中标人应指定</w:t>
            </w:r>
            <w:r>
              <w:rPr>
                <w:rFonts w:ascii="仿宋" w:hAnsi="仿宋" w:cs="仿宋" w:eastAsia="仿宋"/>
                <w:sz w:val="24"/>
              </w:rPr>
              <w:t>1</w:t>
            </w:r>
            <w:r>
              <w:rPr>
                <w:rFonts w:ascii="仿宋" w:hAnsi="仿宋" w:cs="仿宋" w:eastAsia="仿宋"/>
                <w:sz w:val="24"/>
              </w:rPr>
              <w:t>名项目经理负责实施期间的整体管理工作，包括：根据招标人的要求制定详细的项目实施计划，组织项目实施、对工作进度及工作质量进行监督、协调解决问题，并向招标人提交工作报告等。</w:t>
            </w:r>
            <w:r>
              <w:rPr>
                <w:rFonts w:ascii="仿宋" w:hAnsi="仿宋" w:cs="仿宋" w:eastAsia="仿宋"/>
                <w:sz w:val="24"/>
              </w:rPr>
              <w:t>项目经理应具有</w:t>
            </w:r>
            <w:r>
              <w:rPr>
                <w:rFonts w:ascii="仿宋" w:hAnsi="仿宋" w:cs="仿宋" w:eastAsia="仿宋"/>
                <w:sz w:val="24"/>
              </w:rPr>
              <w:t>5年以上信息化项目管理工作经验</w:t>
            </w:r>
            <w:r>
              <w:rPr>
                <w:rFonts w:ascii="仿宋" w:hAnsi="仿宋" w:cs="仿宋" w:eastAsia="仿宋"/>
                <w:sz w:val="24"/>
              </w:rPr>
              <w:t>，</w:t>
            </w:r>
            <w:r>
              <w:rPr>
                <w:rFonts w:ascii="仿宋" w:hAnsi="仿宋" w:cs="仿宋" w:eastAsia="仿宋"/>
                <w:sz w:val="24"/>
              </w:rPr>
              <w:t>并</w:t>
            </w:r>
            <w:r>
              <w:rPr>
                <w:rFonts w:ascii="仿宋" w:hAnsi="仿宋" w:cs="仿宋" w:eastAsia="仿宋"/>
                <w:sz w:val="24"/>
              </w:rPr>
              <w:t>在</w:t>
            </w:r>
            <w:r>
              <w:rPr>
                <w:rFonts w:ascii="仿宋" w:hAnsi="仿宋" w:cs="仿宋" w:eastAsia="仿宋"/>
                <w:sz w:val="24"/>
              </w:rPr>
              <w:t>简历中</w:t>
            </w:r>
            <w:r>
              <w:rPr>
                <w:rFonts w:ascii="仿宋" w:hAnsi="仿宋" w:cs="仿宋" w:eastAsia="仿宋"/>
                <w:sz w:val="24"/>
              </w:rPr>
              <w:t>体现</w:t>
            </w:r>
            <w:r>
              <w:rPr>
                <w:rFonts w:ascii="仿宋" w:hAnsi="仿宋" w:cs="仿宋" w:eastAsia="仿宋"/>
                <w:sz w:val="24"/>
              </w:rPr>
              <w:t>。</w:t>
            </w:r>
          </w:p>
          <w:p>
            <w:pPr>
              <w:pStyle w:val="null3"/>
              <w:spacing w:after="120"/>
              <w:jc w:val="both"/>
            </w:pPr>
            <w:r>
              <w:rPr>
                <w:rFonts w:ascii="仿宋" w:hAnsi="仿宋" w:cs="仿宋" w:eastAsia="仿宋"/>
                <w:sz w:val="24"/>
                <w:b/>
              </w:rPr>
              <w:t>项目经理必须为投标人正式员工，并提供项目经理近六个月中任意一个月由投标人单位缴纳的社保证明材料。</w:t>
            </w:r>
          </w:p>
          <w:p>
            <w:pPr>
              <w:pStyle w:val="null3"/>
            </w:pPr>
            <w:r>
              <w:rPr>
                <w:rFonts w:ascii="仿宋" w:hAnsi="仿宋" w:cs="仿宋" w:eastAsia="仿宋"/>
                <w:sz w:val="24"/>
                <w:b/>
              </w:rPr>
              <w:t>投标人应将项目经理姓名、联系方式、</w:t>
            </w:r>
            <w:r>
              <w:rPr>
                <w:rFonts w:ascii="仿宋" w:hAnsi="仿宋" w:cs="仿宋" w:eastAsia="仿宋"/>
                <w:sz w:val="24"/>
                <w:b/>
              </w:rPr>
              <w:t>项目经验年限</w:t>
            </w:r>
            <w:r>
              <w:rPr>
                <w:rFonts w:ascii="仿宋" w:hAnsi="仿宋" w:cs="仿宋" w:eastAsia="仿宋"/>
                <w:sz w:val="24"/>
                <w:b/>
              </w:rPr>
              <w:t>、</w:t>
            </w:r>
            <w:r>
              <w:rPr>
                <w:rFonts w:ascii="仿宋" w:hAnsi="仿宋" w:cs="仿宋" w:eastAsia="仿宋"/>
                <w:sz w:val="24"/>
                <w:b/>
              </w:rPr>
              <w:t>过往</w:t>
            </w:r>
            <w:r>
              <w:rPr>
                <w:rFonts w:ascii="仿宋" w:hAnsi="仿宋" w:cs="仿宋" w:eastAsia="仿宋"/>
                <w:sz w:val="24"/>
                <w:b/>
              </w:rPr>
              <w:t>信息化项目管理工作经</w:t>
            </w:r>
            <w:r>
              <w:rPr>
                <w:rFonts w:ascii="仿宋" w:hAnsi="仿宋" w:cs="仿宋" w:eastAsia="仿宋"/>
                <w:sz w:val="24"/>
                <w:b/>
              </w:rPr>
              <w:t>历</w:t>
            </w:r>
            <w:r>
              <w:rPr>
                <w:rFonts w:ascii="仿宋" w:hAnsi="仿宋" w:cs="仿宋" w:eastAsia="仿宋"/>
                <w:sz w:val="24"/>
                <w:b/>
              </w:rPr>
              <w:t>等以简历的形式体现在投标文件中。</w:t>
            </w:r>
          </w:p>
        </w:tc>
        <w:tc>
          <w:tcPr>
            <w:tcW w:type="dxa" w:w="1038"/>
          </w:tcPr>
          <w:p>
            <w:pPr>
              <w:pStyle w:val="null3"/>
            </w:pPr>
            <w:r>
              <w:rPr/>
              <w:t>是</w:t>
            </w:r>
          </w:p>
        </w:tc>
        <w:tc>
          <w:tcPr>
            <w:tcW w:type="dxa" w:w="1038"/>
          </w:tcPr>
          <w:p>
            <w:pPr>
              <w:pStyle w:val="null3"/>
            </w:pPr>
            <w:r>
              <w:rPr/>
              <w:t>是，提供项目经理简历（简历中需包含项目经理姓名、联系方式、项目经验年限、过往信息化项目管理工作经历等）以及近六个月中任意一个月由投标人单位缴纳的社保证明材料，并加盖投标人公章。</w:t>
            </w:r>
          </w:p>
        </w:tc>
      </w:tr>
      <w:tr>
        <w:tc>
          <w:tcPr>
            <w:tcW w:type="dxa" w:w="1038"/>
          </w:tcPr>
          <w:p>
            <w:pPr>
              <w:pStyle w:val="null3"/>
            </w:pPr>
            <w:r>
              <w:rPr/>
              <w:t>7</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实施团队要求</w:t>
            </w:r>
          </w:p>
        </w:tc>
        <w:tc>
          <w:tcPr>
            <w:tcW w:type="dxa" w:w="1038"/>
          </w:tcPr>
          <w:p>
            <w:pPr>
              <w:pStyle w:val="null3"/>
            </w:pPr>
            <w:r>
              <w:rPr/>
              <w:t>实施团队要求</w:t>
            </w:r>
          </w:p>
        </w:tc>
        <w:tc>
          <w:tcPr>
            <w:tcW w:type="dxa" w:w="1038"/>
          </w:tcPr>
          <w:p>
            <w:pPr>
              <w:pStyle w:val="null3"/>
            </w:pPr>
            <w:r>
              <w:rPr>
                <w:rFonts w:ascii="仿宋" w:hAnsi="仿宋" w:cs="仿宋" w:eastAsia="仿宋"/>
                <w:sz w:val="24"/>
              </w:rPr>
              <w:t>项目经理具有由</w:t>
            </w:r>
            <w:r>
              <w:rPr>
                <w:rFonts w:ascii="仿宋" w:hAnsi="仿宋" w:cs="仿宋" w:eastAsia="仿宋"/>
                <w:sz w:val="24"/>
              </w:rPr>
              <w:t>中华人民共和国</w:t>
            </w:r>
            <w:r>
              <w:rPr>
                <w:rFonts w:ascii="仿宋" w:hAnsi="仿宋" w:cs="仿宋" w:eastAsia="仿宋"/>
                <w:sz w:val="24"/>
              </w:rPr>
              <w:t>人事部和国务院电子信息系统推广应用办公室或者</w:t>
            </w:r>
            <w:r>
              <w:rPr>
                <w:rFonts w:ascii="仿宋" w:hAnsi="仿宋" w:cs="仿宋" w:eastAsia="仿宋"/>
                <w:sz w:val="24"/>
              </w:rPr>
              <w:t>中华人民共和国</w:t>
            </w:r>
            <w:r>
              <w:rPr>
                <w:rFonts w:ascii="仿宋" w:hAnsi="仿宋" w:cs="仿宋" w:eastAsia="仿宋"/>
                <w:sz w:val="24"/>
              </w:rPr>
              <w:t>人事部或者</w:t>
            </w:r>
            <w:r>
              <w:rPr>
                <w:rFonts w:ascii="仿宋" w:hAnsi="仿宋" w:cs="仿宋" w:eastAsia="仿宋"/>
                <w:sz w:val="24"/>
              </w:rPr>
              <w:t>中华人民共和国</w:t>
            </w:r>
            <w:r>
              <w:rPr>
                <w:rFonts w:ascii="仿宋" w:hAnsi="仿宋" w:cs="仿宋" w:eastAsia="仿宋"/>
                <w:sz w:val="24"/>
              </w:rPr>
              <w:t>信息产业部或者</w:t>
            </w:r>
            <w:r>
              <w:rPr>
                <w:rFonts w:ascii="仿宋" w:hAnsi="仿宋" w:cs="仿宋" w:eastAsia="仿宋"/>
                <w:sz w:val="24"/>
              </w:rPr>
              <w:t>中华人民共和国人力资源和社会保障部、工业和信息化部或者省级及以上人力资源和社会保障部门批准颁发的计算机技术与软件专业技术资格（信息系统项目管理师专业）证书。</w:t>
            </w:r>
          </w:p>
        </w:tc>
        <w:tc>
          <w:tcPr>
            <w:tcW w:type="dxa" w:w="1038"/>
          </w:tcPr>
          <w:p>
            <w:pPr>
              <w:pStyle w:val="null3"/>
            </w:pPr>
            <w:r>
              <w:rPr/>
              <w:t>是</w:t>
            </w:r>
          </w:p>
        </w:tc>
        <w:tc>
          <w:tcPr>
            <w:tcW w:type="dxa" w:w="1038"/>
          </w:tcPr>
          <w:p>
            <w:pPr>
              <w:pStyle w:val="null3"/>
            </w:pPr>
            <w:r>
              <w:rPr/>
              <w:t>是，提供项目经理有效期内的证书复印件并加盖投标人公章。</w:t>
            </w:r>
          </w:p>
        </w:tc>
      </w:tr>
      <w:tr>
        <w:tc>
          <w:tcPr>
            <w:tcW w:type="dxa" w:w="1038"/>
          </w:tcPr>
          <w:p>
            <w:pPr>
              <w:pStyle w:val="null3"/>
            </w:pPr>
            <w:r>
              <w:rPr/>
              <w:t>8</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实施团队要求</w:t>
            </w:r>
          </w:p>
        </w:tc>
        <w:tc>
          <w:tcPr>
            <w:tcW w:type="dxa" w:w="1038"/>
          </w:tcPr>
          <w:p>
            <w:pPr>
              <w:pStyle w:val="null3"/>
            </w:pPr>
            <w:r>
              <w:rPr/>
              <w:t>实施团队要求</w:t>
            </w:r>
          </w:p>
        </w:tc>
        <w:tc>
          <w:tcPr>
            <w:tcW w:type="dxa" w:w="1038"/>
          </w:tcPr>
          <w:p>
            <w:pPr>
              <w:pStyle w:val="null3"/>
            </w:pPr>
            <w:r>
              <w:rPr/>
              <w:t>中标人应成立专门团队负责软件调试、调优以及与上层软件联调测试等工作。 实施团队成员不得少于2人（其中原厂工程师不少于1人），具备3年以上相关项目工作经验。 投标人应将团队人员名单体现在投标文件中，团队人员过往项目经验以个人简历的形式体现在投标文件中。</w:t>
            </w:r>
          </w:p>
        </w:tc>
        <w:tc>
          <w:tcPr>
            <w:tcW w:type="dxa" w:w="1038"/>
          </w:tcPr>
          <w:p>
            <w:pPr>
              <w:pStyle w:val="null3"/>
            </w:pPr>
            <w:r>
              <w:rPr/>
              <w:t>是</w:t>
            </w:r>
          </w:p>
        </w:tc>
        <w:tc>
          <w:tcPr>
            <w:tcW w:type="dxa" w:w="1038"/>
          </w:tcPr>
          <w:p>
            <w:pPr>
              <w:pStyle w:val="null3"/>
            </w:pPr>
            <w:r>
              <w:rPr/>
              <w:t>是，投标人提供团队人员简历，简历中需包含姓名、过往项目经验，并加盖投标人公章。</w:t>
            </w:r>
          </w:p>
        </w:tc>
      </w:tr>
      <w:tr>
        <w:tc>
          <w:tcPr>
            <w:tcW w:type="dxa" w:w="1038"/>
          </w:tcPr>
          <w:p>
            <w:pPr>
              <w:pStyle w:val="null3"/>
            </w:pPr>
            <w:r>
              <w:rPr/>
              <w:t>9</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培训服务</w:t>
            </w:r>
          </w:p>
        </w:tc>
        <w:tc>
          <w:tcPr>
            <w:tcW w:type="dxa" w:w="1038"/>
          </w:tcPr>
          <w:p>
            <w:pPr>
              <w:pStyle w:val="null3"/>
            </w:pPr>
            <w:r>
              <w:rPr/>
              <w:t>培训服务</w:t>
            </w:r>
          </w:p>
        </w:tc>
        <w:tc>
          <w:tcPr>
            <w:tcW w:type="dxa" w:w="1038"/>
          </w:tcPr>
          <w:p>
            <w:pPr>
              <w:pStyle w:val="null3"/>
            </w:pPr>
            <w:r>
              <w:rPr/>
              <w:t>中标人应提供培训材料、产品手册、培训视频等培训相关内容。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初步验收要求</w:t>
            </w:r>
          </w:p>
        </w:tc>
        <w:tc>
          <w:tcPr>
            <w:tcW w:type="dxa" w:w="1038"/>
          </w:tcPr>
          <w:p>
            <w:pPr>
              <w:pStyle w:val="null3"/>
            </w:pPr>
            <w:r>
              <w:rPr/>
              <w:t>初步验收要求</w:t>
            </w:r>
          </w:p>
        </w:tc>
        <w:tc>
          <w:tcPr>
            <w:tcW w:type="dxa" w:w="1038"/>
          </w:tcPr>
          <w:p>
            <w:pPr>
              <w:pStyle w:val="null3"/>
            </w:pPr>
            <w:r>
              <w:rPr/>
              <w:t>实施完成后由招标人组织初步验收，中标人应提供相关材料，并配合招标人做好验收工作。 若验收过程中发现问题，由中标人负责免费解决，招标人保留退货及索赔权利。 货物验收合格后，由招标人开具合同验收单，双方签字盖章。</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初步验收标准</w:t>
            </w:r>
          </w:p>
        </w:tc>
        <w:tc>
          <w:tcPr>
            <w:tcW w:type="dxa" w:w="1038"/>
          </w:tcPr>
          <w:p>
            <w:pPr>
              <w:pStyle w:val="null3"/>
            </w:pPr>
            <w:r>
              <w:rPr/>
              <w:t>初步验收标准</w:t>
            </w:r>
          </w:p>
        </w:tc>
        <w:tc>
          <w:tcPr>
            <w:tcW w:type="dxa" w:w="1038"/>
          </w:tcPr>
          <w:p>
            <w:pPr>
              <w:pStyle w:val="null3"/>
            </w:pPr>
            <w:r>
              <w:rPr/>
              <w:t>初步验收合格必须至少满足以下要求： 1.完成软件调试、调优等工作，软件能够正常运行，满足合同要求。 2.构建于本项目所采购的软件之上的软件系统能够正常运行。 3.按照合同文件要求提供了培训服务。</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试运行与最终验收要求</w:t>
            </w:r>
          </w:p>
        </w:tc>
        <w:tc>
          <w:tcPr>
            <w:tcW w:type="dxa" w:w="1038"/>
          </w:tcPr>
          <w:p>
            <w:pPr>
              <w:pStyle w:val="null3"/>
            </w:pPr>
            <w:r>
              <w:rPr/>
              <w:t>★</w:t>
            </w:r>
          </w:p>
        </w:tc>
        <w:tc>
          <w:tcPr>
            <w:tcW w:type="dxa" w:w="1038"/>
          </w:tcPr>
          <w:p>
            <w:pPr>
              <w:pStyle w:val="null3"/>
            </w:pPr>
            <w:r>
              <w:rPr/>
              <w:t>试运行要求</w:t>
            </w:r>
          </w:p>
        </w:tc>
        <w:tc>
          <w:tcPr>
            <w:tcW w:type="dxa" w:w="1038"/>
          </w:tcPr>
          <w:p>
            <w:pPr>
              <w:pStyle w:val="null3"/>
            </w:pPr>
            <w:r>
              <w:rPr/>
              <w:t>试运行要求</w:t>
            </w:r>
          </w:p>
        </w:tc>
        <w:tc>
          <w:tcPr>
            <w:tcW w:type="dxa" w:w="1038"/>
          </w:tcPr>
          <w:p>
            <w:pPr>
              <w:pStyle w:val="null3"/>
            </w:pPr>
            <w:r>
              <w:rPr/>
              <w:t>货物通过初步验收后，进入3个月的连续试运行。如果货物在试运行期间出现故障或者达不到合同要求，则应在修复之后由招标人、中标人及制造商等共同确定再一次连续试运行开始日期。 若连续2次试运行均存在问题且无法修复，则视为产品不合格，招标人有权退货并保留要求赔偿的权利。 整个试运行含问题整改时间不得超过7个月，否则视为产品不合格，招标人有权退货并保留要求赔偿的权利。</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试运行与最终验收要求</w:t>
            </w:r>
          </w:p>
        </w:tc>
        <w:tc>
          <w:tcPr>
            <w:tcW w:type="dxa" w:w="1038"/>
          </w:tcPr>
          <w:p>
            <w:pPr>
              <w:pStyle w:val="null3"/>
            </w:pPr>
            <w:r>
              <w:rPr/>
              <w:t>★</w:t>
            </w:r>
          </w:p>
        </w:tc>
        <w:tc>
          <w:tcPr>
            <w:tcW w:type="dxa" w:w="1038"/>
          </w:tcPr>
          <w:p>
            <w:pPr>
              <w:pStyle w:val="null3"/>
            </w:pPr>
            <w:r>
              <w:rPr/>
              <w:t>最终验收要求</w:t>
            </w:r>
          </w:p>
        </w:tc>
        <w:tc>
          <w:tcPr>
            <w:tcW w:type="dxa" w:w="1038"/>
          </w:tcPr>
          <w:p>
            <w:pPr>
              <w:pStyle w:val="null3"/>
            </w:pPr>
            <w:r>
              <w:rPr/>
              <w:t>最终验收要求</w:t>
            </w:r>
          </w:p>
        </w:tc>
        <w:tc>
          <w:tcPr>
            <w:tcW w:type="dxa" w:w="1038"/>
          </w:tcPr>
          <w:p>
            <w:pPr>
              <w:pStyle w:val="null3"/>
            </w:pPr>
            <w:r>
              <w:rPr/>
              <w:t>试运行通过后由招标人组织最终验收。 若验收过程中发现问题，由中标人负责免费解决，招标人保留退货及索赔权利。 货物验收合格后，由招标人开具合同验收单，双方签字盖章。</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试运行与最终验收要求</w:t>
            </w:r>
          </w:p>
        </w:tc>
        <w:tc>
          <w:tcPr>
            <w:tcW w:type="dxa" w:w="1038"/>
          </w:tcPr>
          <w:p>
            <w:pPr>
              <w:pStyle w:val="null3"/>
            </w:pPr>
            <w:r>
              <w:rPr/>
              <w:t>★</w:t>
            </w:r>
          </w:p>
        </w:tc>
        <w:tc>
          <w:tcPr>
            <w:tcW w:type="dxa" w:w="1038"/>
          </w:tcPr>
          <w:p>
            <w:pPr>
              <w:pStyle w:val="null3"/>
            </w:pPr>
            <w:r>
              <w:rPr/>
              <w:t>最终验收标准</w:t>
            </w:r>
          </w:p>
        </w:tc>
        <w:tc>
          <w:tcPr>
            <w:tcW w:type="dxa" w:w="1038"/>
          </w:tcPr>
          <w:p>
            <w:pPr>
              <w:pStyle w:val="null3"/>
            </w:pPr>
            <w:r>
              <w:rPr/>
              <w:t>最终验收标准</w:t>
            </w:r>
          </w:p>
        </w:tc>
        <w:tc>
          <w:tcPr>
            <w:tcW w:type="dxa" w:w="1038"/>
          </w:tcPr>
          <w:p>
            <w:pPr>
              <w:pStyle w:val="null3"/>
            </w:pPr>
            <w:r>
              <w:rPr/>
              <w:t>最终验收合格必须至少满足以下要求： 1.已按合同要求提供了全部货物和资料； 2.软件在试运行期间满足合同要求； 3.中标人和制造商按合同要求提供了技术支持服务，且试运行期间出现的问题已被解决； 4.中标人向招标人提交了加盖原厂商公章的《原厂足期维保承诺函》原件（样式详见附件1）。</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试运行与最终验收要求</w:t>
            </w:r>
          </w:p>
        </w:tc>
        <w:tc>
          <w:tcPr>
            <w:tcW w:type="dxa" w:w="1038"/>
          </w:tcPr>
          <w:p>
            <w:pPr>
              <w:pStyle w:val="null3"/>
            </w:pPr>
            <w:r>
              <w:rPr/>
              <w:t>#</w:t>
            </w:r>
          </w:p>
        </w:tc>
        <w:tc>
          <w:tcPr>
            <w:tcW w:type="dxa" w:w="1038"/>
          </w:tcPr>
          <w:p>
            <w:pPr>
              <w:pStyle w:val="null3"/>
            </w:pPr>
            <w:r>
              <w:rPr/>
              <w:t>技术文档要求</w:t>
            </w:r>
          </w:p>
        </w:tc>
        <w:tc>
          <w:tcPr>
            <w:tcW w:type="dxa" w:w="1038"/>
          </w:tcPr>
          <w:p>
            <w:pPr>
              <w:pStyle w:val="null3"/>
            </w:pPr>
            <w:r>
              <w:rPr/>
              <w:t>技术文档要求</w:t>
            </w:r>
          </w:p>
        </w:tc>
        <w:tc>
          <w:tcPr>
            <w:tcW w:type="dxa" w:w="1038"/>
          </w:tcPr>
          <w:p>
            <w:pPr>
              <w:pStyle w:val="null3"/>
            </w:pPr>
            <w:r>
              <w:rPr/>
              <w:t>中标人所提交的技术文档必须是正式出版和装订的(可以为电子版)，电子文档交付格式要求：WORD、EXCEL、POWERPOINT、VISIO、MS PROJECT等原始电子文档形式，对于关键性的电子文档，同时提交PDF文件，其费用应包括在该品目的基本报价中。为了培训的目的，招标人有权复制这些资料而不受限制和另付费用。所有技术文档以实际需求为准，包括但不限于如下内容： 1.安装指南：中标人应向招标人提供安装调试过程中的各种文档资料,以便招标人能掌握操作方法和维护方法。有关产品正确安装与详细配置（包括安装方法、安装步骤及各种配置参数等）资料要以易理解的方式（包括详细说明及图示）形成中文文档，交于招标人。 2.技术文件：产品说明书、产品维护手册（包括故障诊断指南）等。</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技术支持服务要求</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质量保障服务期为3年，质量保障期自合同验收单中最终验收日期之日起开始计算。 质量保障期内的服务要求详见下文，相关服务的报价都应计入投标总价中，未单独报价的则被视为免费服务或已含在其他报价项中。</w:t>
            </w:r>
          </w:p>
        </w:tc>
        <w:tc>
          <w:tcPr>
            <w:tcW w:type="dxa" w:w="1038"/>
          </w:tcPr>
          <w:p>
            <w:pPr>
              <w:pStyle w:val="null3"/>
            </w:pPr>
            <w:r>
              <w:rPr/>
              <w:t>是</w:t>
            </w:r>
          </w:p>
        </w:tc>
        <w:tc>
          <w:tcPr>
            <w:tcW w:type="dxa" w:w="1038"/>
          </w:tcPr>
          <w:p>
            <w:pPr>
              <w:pStyle w:val="null3"/>
            </w:pPr>
            <w:r>
              <w:rPr/>
              <w:t>是，投标人提供原厂3年服务承诺并加盖投标人公章。</w:t>
            </w:r>
          </w:p>
        </w:tc>
      </w:tr>
      <w:tr>
        <w:tc>
          <w:tcPr>
            <w:tcW w:type="dxa" w:w="1038"/>
          </w:tcPr>
          <w:p>
            <w:pPr>
              <w:pStyle w:val="null3"/>
            </w:pPr>
            <w:r>
              <w:rPr/>
              <w:t>17</w:t>
            </w:r>
          </w:p>
        </w:tc>
        <w:tc>
          <w:tcPr>
            <w:tcW w:type="dxa" w:w="1038"/>
          </w:tcPr>
          <w:p>
            <w:pPr>
              <w:pStyle w:val="null3"/>
            </w:pPr>
            <w:r>
              <w:rPr/>
              <w:t>技术支持服务要求</w:t>
            </w:r>
          </w:p>
        </w:tc>
        <w:tc>
          <w:tcPr>
            <w:tcW w:type="dxa" w:w="1038"/>
          </w:tcPr>
          <w:p>
            <w:pPr>
              <w:pStyle w:val="null3"/>
            </w:pPr>
            <w:r>
              <w:rPr/>
              <w:t>★</w:t>
            </w:r>
          </w:p>
        </w:tc>
        <w:tc>
          <w:tcPr>
            <w:tcW w:type="dxa" w:w="1038"/>
          </w:tcPr>
          <w:p>
            <w:pPr>
              <w:pStyle w:val="null3"/>
            </w:pPr>
            <w:r>
              <w:rPr/>
              <w:t>试运行期及质量保障期内的技术支持及售后服务</w:t>
            </w:r>
          </w:p>
        </w:tc>
        <w:tc>
          <w:tcPr>
            <w:tcW w:type="dxa" w:w="1038"/>
          </w:tcPr>
          <w:p>
            <w:pPr>
              <w:pStyle w:val="null3"/>
            </w:pPr>
            <w:r>
              <w:rPr/>
              <w:t>试运行期及质量保障期内的技术支持及售后服务</w:t>
            </w:r>
          </w:p>
        </w:tc>
        <w:tc>
          <w:tcPr>
            <w:tcW w:type="dxa" w:w="1038"/>
          </w:tcPr>
          <w:p>
            <w:pPr>
              <w:pStyle w:val="null3"/>
            </w:pPr>
            <w:r>
              <w:rPr/>
              <w:t>试运行期及质量保障期内的技术支持和售后服务的提供商在“技术支持及售后服务”一节中所包含的文字部分简称为“技术服务提供商”。本次采购软件的技术服务提供商必须为制造商。</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技术支持服务要求</w:t>
            </w:r>
          </w:p>
        </w:tc>
        <w:tc>
          <w:tcPr>
            <w:tcW w:type="dxa" w:w="1038"/>
          </w:tcPr>
          <w:p>
            <w:pPr>
              <w:pStyle w:val="null3"/>
            </w:pPr>
            <w:r>
              <w:rPr/>
              <w:t>★</w:t>
            </w:r>
          </w:p>
        </w:tc>
        <w:tc>
          <w:tcPr>
            <w:tcW w:type="dxa" w:w="1038"/>
          </w:tcPr>
          <w:p>
            <w:pPr>
              <w:pStyle w:val="null3"/>
            </w:pPr>
            <w:r>
              <w:rPr/>
              <w:t>试运行期及质量保障期内的技术支持及售后服务</w:t>
            </w:r>
          </w:p>
        </w:tc>
        <w:tc>
          <w:tcPr>
            <w:tcW w:type="dxa" w:w="1038"/>
          </w:tcPr>
          <w:p>
            <w:pPr>
              <w:pStyle w:val="null3"/>
            </w:pPr>
            <w:r>
              <w:rPr/>
              <w:t>试运行期及质量保障期内的技术支持及售后服务</w:t>
            </w:r>
          </w:p>
        </w:tc>
        <w:tc>
          <w:tcPr>
            <w:tcW w:type="dxa" w:w="1038"/>
          </w:tcPr>
          <w:p>
            <w:pPr>
              <w:pStyle w:val="null3"/>
            </w:pPr>
            <w:r>
              <w:rPr/>
              <w:t>试运行期及质量保障期内的技术支持与售后服务内容应包括但不限于下述内容：技术咨询服务、维护服务、版本升级服务、巡检服务、性能调优、漏洞修复、电话支持、电子邮件支持、故障排除等，其中：定期巡检至少每季度提供1次。技术支持与售后服务的所有报价都需要计入投标总价中，否则未单独报价的视为免费已含在其他报价项中。 1.技术咨询服务：提供产品终身的技术咨询服务，包括新产品新技术通报，技术咨询，系统改进意见，提供技术方案，项目长远规划，研究解决技术难题，在线问题反馈等。 2.维护服务：技术服务提供商应协助招标人完成日常系统及应用的维护工作，保证系统的正常运行。 3.版本升级服务：技术服务提供商应配合招标人分析软件运行状态，提出修正性的软件版本升级的建议，提供软件升级报告及升级方案，并在质量保障期内提供软件版本升级服务。 4.巡检服务：技术服务提供商定期派合格工程师到招标人现场对软件进行巡检，全面检查软件的运行情况，记录软件的错误，排除故障隐患。在质量保障期内，巡检频率为1次/季度。每次巡检，技术服务提供商须分析软件运行情况，提供系统日常运行维护建议并形成巡检报告提交给招标人。 5.补丁安装：技术服务提供商应为用户的软件版本更新信息提供通知及安装服务，对软件的新发现的缺陷或漏洞、新发布的修复更新和面临的风险隐患进行及时的通知，防止因未及时修复缺陷或漏洞从而造成招标人整体系统运行风险隐患，甚至导致信息安全事件的发生。补丁安装须提供以下信息：漏洞描述、修复目标、修复计划、影响分析、准备工作、修复步骤、修复测试结果。 6.性能调优：性能调优指当招标人软件出现运行不能达到预期目标时，技术服务提供商应为招标人提供性能优化服务直至软件运行达到较佳水平。性能调优服务包括为招标人建立性能基线、分析软硬件历史正常运行数据、对软硬件配置提出优化建议等。 7.故障修复：①故障修复指当招标人的软件出现故障（如服务中断、数据丢失、软件不能正常工作等）时，技术服务提供商须为招标人提供软件故障排除的服务。 ②技术服务提供商应为招标人提供7*24的故障修复服务。当软件发生故障时，技术服务提供商应在接到招标人申请后1小时内作出实质性反应，并派出工程师在2小时内到达现场。 ③技术服务提供商应以书面形式告知招标人故障申请的方式、申请的流程，以及申请过程中需要招标人准备的软件产品信息。 ④当软件发生故障时，技术服务提供商需在6小时内修复故障，如6小时内未能修复故障，则须在此6小时内提出解决此类问题的紧急预案方案，以恢复系统的正常运行。 ⑤当软件发生故障时，技术服务提供商须启动公司的多层技术资源支持，帮助招标人排查问题，直到问题最终获得妥善处理。对于招标人系统的重要问题，至少每天汇报一次问题解决情况，须协助招标人进行问题定位，就解决问题所需要相关系统信息的收集方法，指导招标人的技术人员。 ⑥技术服务提供商须帮助招标人进行问题根源的分析和诊断，提出解决问题的建议方案。 8.电话支持服务：技术服务提供商应为招标人提供7*24的电话支持服务，受理故障报修，解答招标人技术人员的技术咨询问题。技术服务提供商须以书面形式告知招标人有效的支持服务联系电话，以及提供支持服务过程中需要招标人准备的产品信息（如产品序列号等）。服务支持联系电话除指定一个固定电话号码外，须另提供一个手机号码。如电话号码有变动，技术服务提供商须提前以书面形式通知招标人。电话支持服务内容包含软件所有问题。 9.电子邮件支持服务：技术服务提供商应为招标人提供7*24的电子邮件支持服务，以书面形式告知招标人有效的支持服务电子邮箱，以及提供支持服务过程中需要招标人准备的信息（如产品序列号等），如电子邮箱有变动须提前书面通知招标人。电子邮件支持服务内容包含软件所有问题。</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技术支持服务要求</w:t>
            </w:r>
          </w:p>
        </w:tc>
        <w:tc>
          <w:tcPr>
            <w:tcW w:type="dxa" w:w="1038"/>
          </w:tcPr>
          <w:p>
            <w:pPr>
              <w:pStyle w:val="null3"/>
            </w:pPr>
            <w:r>
              <w:rPr/>
              <w:t>#</w:t>
            </w:r>
          </w:p>
        </w:tc>
        <w:tc>
          <w:tcPr>
            <w:tcW w:type="dxa" w:w="1038"/>
          </w:tcPr>
          <w:p>
            <w:pPr>
              <w:pStyle w:val="null3"/>
            </w:pPr>
            <w:r>
              <w:rPr/>
              <w:t>试运行期及质量保障期内的技术支持及售后服务</w:t>
            </w:r>
          </w:p>
        </w:tc>
        <w:tc>
          <w:tcPr>
            <w:tcW w:type="dxa" w:w="1038"/>
          </w:tcPr>
          <w:p>
            <w:pPr>
              <w:pStyle w:val="null3"/>
            </w:pPr>
            <w:r>
              <w:rPr/>
              <w:t>试运行期及质量保障期内的技术支持及售后服务</w:t>
            </w:r>
          </w:p>
        </w:tc>
        <w:tc>
          <w:tcPr>
            <w:tcW w:type="dxa" w:w="1038"/>
          </w:tcPr>
          <w:p>
            <w:pPr>
              <w:pStyle w:val="null3"/>
            </w:pPr>
            <w:r>
              <w:rPr/>
              <w:t>如果本项目所采购软件与其它软硬件设备无法共同正常稳定运行，技术服务提供商应积极配合其它软硬件设备的提供商分析解决问题，并根据招标人要求提供免费的现场服务。</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技术支持服务要求</w:t>
            </w:r>
          </w:p>
        </w:tc>
        <w:tc>
          <w:tcPr>
            <w:tcW w:type="dxa" w:w="1038"/>
          </w:tcPr>
          <w:p>
            <w:pPr>
              <w:pStyle w:val="null3"/>
            </w:pPr>
            <w:r>
              <w:rPr/>
              <w:t>★</w:t>
            </w:r>
          </w:p>
        </w:tc>
        <w:tc>
          <w:tcPr>
            <w:tcW w:type="dxa" w:w="1038"/>
          </w:tcPr>
          <w:p>
            <w:pPr>
              <w:pStyle w:val="null3"/>
            </w:pPr>
            <w:r>
              <w:rPr/>
              <w:t>维修服务的质量保障</w:t>
            </w:r>
          </w:p>
        </w:tc>
        <w:tc>
          <w:tcPr>
            <w:tcW w:type="dxa" w:w="1038"/>
          </w:tcPr>
          <w:p>
            <w:pPr>
              <w:pStyle w:val="null3"/>
            </w:pPr>
            <w:r>
              <w:rPr/>
              <w:t>维修服务的质量保障</w:t>
            </w:r>
          </w:p>
        </w:tc>
        <w:tc>
          <w:tcPr>
            <w:tcW w:type="dxa" w:w="1038"/>
          </w:tcPr>
          <w:p>
            <w:pPr>
              <w:pStyle w:val="null3"/>
            </w:pPr>
            <w:r>
              <w:rPr/>
              <w:t>如果由于维修服务失误或产品故障造成招标人损失，除承担赔偿外，还要提供处理办法。</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案例要求</w:t>
            </w:r>
          </w:p>
        </w:tc>
        <w:tc>
          <w:tcPr>
            <w:tcW w:type="dxa" w:w="1038"/>
          </w:tcPr>
          <w:p>
            <w:pPr>
              <w:pStyle w:val="null3"/>
            </w:pPr>
            <w:r>
              <w:rPr/>
              <w:t>案例要求</w:t>
            </w:r>
          </w:p>
        </w:tc>
        <w:tc>
          <w:tcPr>
            <w:tcW w:type="dxa" w:w="1038"/>
          </w:tcPr>
          <w:p>
            <w:pPr>
              <w:pStyle w:val="null3"/>
            </w:pPr>
            <w:r>
              <w:rPr>
                <w:rFonts w:ascii="仿宋" w:hAnsi="仿宋" w:cs="仿宋" w:eastAsia="仿宋"/>
                <w:sz w:val="24"/>
              </w:rPr>
              <w:t>投标人提供</w:t>
            </w:r>
            <w:r>
              <w:rPr>
                <w:rFonts w:ascii="仿宋" w:hAnsi="仿宋" w:cs="仿宋" w:eastAsia="仿宋"/>
                <w:sz w:val="24"/>
              </w:rPr>
              <w:t>2024年1月1日至本次投标截止日前（以合同签字日期为准）与本次投标产品同品牌同型号产品成功案例</w:t>
            </w:r>
            <w:r>
              <w:rPr>
                <w:rFonts w:ascii="仿宋" w:hAnsi="仿宋" w:cs="仿宋" w:eastAsia="仿宋"/>
                <w:sz w:val="24"/>
              </w:rPr>
              <w:t>。</w:t>
            </w:r>
          </w:p>
        </w:tc>
        <w:tc>
          <w:tcPr>
            <w:tcW w:type="dxa" w:w="1038"/>
          </w:tcPr>
          <w:p>
            <w:pPr>
              <w:pStyle w:val="null3"/>
            </w:pPr>
            <w:r>
              <w:rPr/>
              <w:t>是</w:t>
            </w:r>
          </w:p>
        </w:tc>
        <w:tc>
          <w:tcPr>
            <w:tcW w:type="dxa" w:w="1038"/>
          </w:tcPr>
          <w:p>
            <w:pPr>
              <w:pStyle w:val="null3"/>
            </w:pPr>
            <w:r>
              <w:rPr/>
              <w:t>是，投标人提供相关案例，并加盖投标人公章。</w:t>
            </w:r>
          </w:p>
        </w:tc>
      </w:tr>
      <w:tr>
        <w:tc>
          <w:tcPr>
            <w:tcW w:type="dxa" w:w="1038"/>
          </w:tcPr>
          <w:p>
            <w:pPr>
              <w:pStyle w:val="null3"/>
            </w:pPr>
            <w:r>
              <w:rPr/>
              <w:t>22</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项目配合要求</w:t>
            </w:r>
          </w:p>
        </w:tc>
        <w:tc>
          <w:tcPr>
            <w:tcW w:type="dxa" w:w="1038"/>
          </w:tcPr>
          <w:p>
            <w:pPr>
              <w:pStyle w:val="null3"/>
            </w:pPr>
            <w:r>
              <w:rPr/>
              <w:t>项目配合要求</w:t>
            </w:r>
          </w:p>
        </w:tc>
        <w:tc>
          <w:tcPr>
            <w:tcW w:type="dxa" w:w="1038"/>
          </w:tcPr>
          <w:p>
            <w:pPr>
              <w:pStyle w:val="null3"/>
            </w:pPr>
            <w:r>
              <w:rPr/>
              <w:t>对中标人及制造商的配合要求包括： 1.在工程实施过程中，服从招标人的统一管理，严格执行中国人民银行征信中心的相关管理制度和标准规范。 2.完成招标人提出的与本项目有关的其他任务。</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保密要求</w:t>
            </w:r>
          </w:p>
        </w:tc>
        <w:tc>
          <w:tcPr>
            <w:tcW w:type="dxa" w:w="1038"/>
          </w:tcPr>
          <w:p>
            <w:pPr>
              <w:pStyle w:val="null3"/>
            </w:pPr>
            <w:r>
              <w:rPr/>
              <w:t>保密要求</w:t>
            </w:r>
          </w:p>
        </w:tc>
        <w:tc>
          <w:tcPr>
            <w:tcW w:type="dxa" w:w="1038"/>
          </w:tcPr>
          <w:p>
            <w:pPr>
              <w:pStyle w:val="null3"/>
            </w:pPr>
            <w:r>
              <w:rPr/>
              <w:t>中标人和制造商均应严守招标人的机密，不经招标人批准不得以任何的形式将招标人资料及信息带出工作现场及透露给第三方。</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保密要求</w:t>
            </w:r>
          </w:p>
        </w:tc>
        <w:tc>
          <w:tcPr>
            <w:tcW w:type="dxa" w:w="1038"/>
          </w:tcPr>
          <w:p>
            <w:pPr>
              <w:pStyle w:val="null3"/>
            </w:pPr>
            <w:r>
              <w:rPr/>
              <w:t>保密要求</w:t>
            </w:r>
          </w:p>
        </w:tc>
        <w:tc>
          <w:tcPr>
            <w:tcW w:type="dxa" w:w="1038"/>
          </w:tcPr>
          <w:p>
            <w:pPr>
              <w:pStyle w:val="null3"/>
            </w:pPr>
            <w:r>
              <w:rPr/>
              <w:t>中标人和制造商应与招标人签订保密协议，在招标人规定的保密期内不发生失泄密。如果参与人员在规定的保密期内发生失泄密行为，中标人及制造商应承担全部责任。</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开发测试环境支持</w:t>
            </w:r>
          </w:p>
        </w:tc>
        <w:tc>
          <w:tcPr>
            <w:tcW w:type="dxa" w:w="1038"/>
          </w:tcPr>
          <w:p>
            <w:pPr>
              <w:pStyle w:val="null3"/>
            </w:pPr>
            <w:r>
              <w:rPr/>
              <w:t>开发测试环境支持</w:t>
            </w:r>
          </w:p>
        </w:tc>
        <w:tc>
          <w:tcPr>
            <w:tcW w:type="dxa" w:w="1038"/>
          </w:tcPr>
          <w:p>
            <w:pPr>
              <w:pStyle w:val="null3"/>
            </w:pPr>
            <w:r>
              <w:rPr/>
              <w:t>提供与投标产品相同版本的软件永久使用许可供招标人搭建开发及测试环境。</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法律限制性规定</w:t>
            </w:r>
          </w:p>
        </w:tc>
        <w:tc>
          <w:tcPr>
            <w:tcW w:type="dxa" w:w="1038"/>
          </w:tcPr>
          <w:p>
            <w:pPr>
              <w:pStyle w:val="null3"/>
            </w:pPr>
            <w:r>
              <w:rPr/>
              <w:t>法律限制性规定</w:t>
            </w:r>
          </w:p>
        </w:tc>
        <w:tc>
          <w:tcPr>
            <w:tcW w:type="dxa" w:w="1038"/>
          </w:tcPr>
          <w:p>
            <w:pPr>
              <w:pStyle w:val="null3"/>
            </w:pPr>
            <w:r>
              <w:rPr/>
              <w:t>单位负责人为同一人或者存在直接控股或管理关系的不同单位，不得参加同一包件的投标或者未划分包件的同一招标项目的投标。 投标人在投标文件中提供“单位负责人为同一人或者存在直接控股、管理关系的不同供应商”名单。 评审环节将根据名单对所有投标人进行符合性审查，如存在上述情况的两家及以上投标人，将同时按投标无效处理。 备注： 1、单位负责人，是指单位法定代表人或法律、行政法规规定代表单位行使职权的主要负责人。法定代表人，是指由法律或者法人组织章程规定，代表法人对外行使民事权利、履行民事义务的负责人。 2、控股股东，是指其出资额占有限责任公司资本总额百分之五十以上或其持有的股份占股份有限公司股本总额百分之五十以上的股东；出资额或持有股份比例虽不足百分之五十，但依其出资额或持有的股份所享有的表决权已足以对股东会、股东大会的决议产生重大影响的股东。 3、管理关系，是指不具有出资持股关系的其它单位之间存在的管理与被管理关系，如上下级的事业单位和团体组织。 4、本条所规定的控股、管理关系仅限于直接控股、直接管理关系，而不包括间接的控股或管理关系。</w:t>
            </w:r>
          </w:p>
        </w:tc>
        <w:tc>
          <w:tcPr>
            <w:tcW w:type="dxa" w:w="1038"/>
          </w:tcPr>
          <w:p>
            <w:pPr>
              <w:pStyle w:val="null3"/>
            </w:pPr>
            <w:r>
              <w:rPr/>
              <w:t>是</w:t>
            </w:r>
          </w:p>
        </w:tc>
        <w:tc>
          <w:tcPr>
            <w:tcW w:type="dxa" w:w="1038"/>
          </w:tcPr>
          <w:p>
            <w:pPr>
              <w:pStyle w:val="null3"/>
            </w:pPr>
            <w:r>
              <w:rPr/>
              <w:t>是，投标人在投标文件中提供“单位负责人为同一人或者存在直接控股、管理关系的不同供应商”名单。</w:t>
            </w:r>
          </w:p>
        </w:tc>
      </w:tr>
      <w:tr>
        <w:tc>
          <w:tcPr>
            <w:tcW w:type="dxa" w:w="1038"/>
          </w:tcPr>
          <w:p>
            <w:pPr>
              <w:pStyle w:val="null3"/>
            </w:pPr>
            <w:r>
              <w:rPr/>
              <w:t>27</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到货验收付款条件</w:t>
            </w:r>
          </w:p>
        </w:tc>
        <w:tc>
          <w:tcPr>
            <w:tcW w:type="dxa" w:w="1038"/>
          </w:tcPr>
          <w:p>
            <w:pPr>
              <w:pStyle w:val="null3"/>
            </w:pPr>
            <w:r>
              <w:rPr/>
              <w:t>到货验收付款条件</w:t>
            </w:r>
          </w:p>
        </w:tc>
        <w:tc>
          <w:tcPr>
            <w:tcW w:type="dxa" w:w="1038"/>
          </w:tcPr>
          <w:p>
            <w:pPr>
              <w:pStyle w:val="null3"/>
            </w:pPr>
            <w:r>
              <w:rPr>
                <w:rFonts w:ascii="仿宋" w:hAnsi="仿宋" w:cs="仿宋" w:eastAsia="仿宋"/>
                <w:sz w:val="24"/>
              </w:rPr>
              <w:t>到货验收通过，双方出具合同验收单，且甲方收到乙方提供的与本阶段付款金额等值的正式发票以及乙方加盖单位公章的《付款申请》后</w:t>
            </w:r>
            <w:r>
              <w:rPr>
                <w:rFonts w:ascii="仿宋" w:hAnsi="仿宋" w:cs="仿宋" w:eastAsia="仿宋"/>
                <w:sz w:val="24"/>
              </w:rPr>
              <w:t>十（</w:t>
            </w:r>
            <w:r>
              <w:rPr>
                <w:rFonts w:ascii="仿宋" w:hAnsi="仿宋" w:cs="仿宋" w:eastAsia="仿宋"/>
                <w:sz w:val="24"/>
              </w:rPr>
              <w:t>10）个工作日内，向乙方支付合同总</w:t>
            </w:r>
            <w:r>
              <w:rPr>
                <w:rFonts w:ascii="仿宋" w:hAnsi="仿宋" w:cs="仿宋" w:eastAsia="仿宋"/>
                <w:sz w:val="24"/>
              </w:rPr>
              <w:t>金额</w:t>
            </w:r>
            <w:r>
              <w:rPr>
                <w:rFonts w:ascii="仿宋" w:hAnsi="仿宋" w:cs="仿宋" w:eastAsia="仿宋"/>
                <w:sz w:val="24"/>
              </w:rPr>
              <w:t>的</w:t>
            </w:r>
            <w:r>
              <w:rPr>
                <w:rFonts w:ascii="仿宋" w:hAnsi="仿宋" w:cs="仿宋" w:eastAsia="仿宋"/>
                <w:sz w:val="24"/>
              </w:rPr>
              <w:t>30</w:t>
            </w:r>
            <w:r>
              <w:rPr>
                <w:rFonts w:ascii="仿宋" w:hAnsi="仿宋" w:cs="仿宋" w:eastAsia="仿宋"/>
                <w:sz w:val="24"/>
              </w:rPr>
              <w:t>%（百分之</w:t>
            </w:r>
            <w:r>
              <w:rPr>
                <w:rFonts w:ascii="仿宋" w:hAnsi="仿宋" w:cs="仿宋" w:eastAsia="仿宋"/>
                <w:sz w:val="24"/>
              </w:rPr>
              <w:t>三十</w:t>
            </w:r>
            <w:r>
              <w:rPr>
                <w:rFonts w:ascii="仿宋" w:hAnsi="仿宋" w:cs="仿宋" w:eastAsia="仿宋"/>
                <w:sz w:val="24"/>
              </w:rPr>
              <w:t>）</w:t>
            </w:r>
            <w:r>
              <w:rPr>
                <w:rFonts w:ascii="仿宋" w:hAnsi="仿宋" w:cs="仿宋" w:eastAsia="仿宋"/>
                <w:sz w:val="24"/>
              </w:rPr>
              <w:t>。</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初步验收付款条件</w:t>
            </w:r>
          </w:p>
        </w:tc>
        <w:tc>
          <w:tcPr>
            <w:tcW w:type="dxa" w:w="1038"/>
          </w:tcPr>
          <w:p>
            <w:pPr>
              <w:pStyle w:val="null3"/>
            </w:pPr>
            <w:r>
              <w:rPr/>
              <w:t>初步验收付款条件</w:t>
            </w:r>
          </w:p>
        </w:tc>
        <w:tc>
          <w:tcPr>
            <w:tcW w:type="dxa" w:w="1038"/>
          </w:tcPr>
          <w:p>
            <w:pPr>
              <w:pStyle w:val="null3"/>
            </w:pPr>
            <w:r>
              <w:rPr>
                <w:rFonts w:ascii="仿宋" w:hAnsi="仿宋" w:cs="仿宋" w:eastAsia="仿宋"/>
                <w:sz w:val="24"/>
              </w:rPr>
              <w:t>初步验收通过，双方出具合同验收单，且甲方收到乙方提供的与本阶段付款金额等值的正式发票以及乙方加盖单位公章的《付款申请》后</w:t>
            </w:r>
            <w:r>
              <w:rPr>
                <w:rFonts w:ascii="仿宋" w:hAnsi="仿宋" w:cs="仿宋" w:eastAsia="仿宋"/>
                <w:sz w:val="24"/>
              </w:rPr>
              <w:t>十（</w:t>
            </w:r>
            <w:r>
              <w:rPr>
                <w:rFonts w:ascii="仿宋" w:hAnsi="仿宋" w:cs="仿宋" w:eastAsia="仿宋"/>
                <w:sz w:val="24"/>
              </w:rPr>
              <w:t>10）</w:t>
            </w:r>
            <w:r>
              <w:rPr>
                <w:rFonts w:ascii="仿宋" w:hAnsi="仿宋" w:cs="仿宋" w:eastAsia="仿宋"/>
                <w:sz w:val="24"/>
              </w:rPr>
              <w:t>个工作日内，</w:t>
            </w:r>
            <w:r>
              <w:rPr>
                <w:rFonts w:ascii="仿宋" w:hAnsi="仿宋" w:cs="仿宋" w:eastAsia="仿宋"/>
                <w:sz w:val="24"/>
              </w:rPr>
              <w:t>向乙方支付合同总</w:t>
            </w:r>
            <w:r>
              <w:rPr>
                <w:rFonts w:ascii="仿宋" w:hAnsi="仿宋" w:cs="仿宋" w:eastAsia="仿宋"/>
                <w:sz w:val="24"/>
              </w:rPr>
              <w:t>金额</w:t>
            </w:r>
            <w:r>
              <w:rPr>
                <w:rFonts w:ascii="仿宋" w:hAnsi="仿宋" w:cs="仿宋" w:eastAsia="仿宋"/>
                <w:sz w:val="24"/>
              </w:rPr>
              <w:t>的</w:t>
            </w:r>
            <w:r>
              <w:rPr>
                <w:rFonts w:ascii="仿宋" w:hAnsi="仿宋" w:cs="仿宋" w:eastAsia="仿宋"/>
                <w:sz w:val="24"/>
              </w:rPr>
              <w:t>40</w:t>
            </w:r>
            <w:r>
              <w:rPr>
                <w:rFonts w:ascii="仿宋" w:hAnsi="仿宋" w:cs="仿宋" w:eastAsia="仿宋"/>
                <w:sz w:val="24"/>
              </w:rPr>
              <w:t>%（百分之</w:t>
            </w:r>
            <w:r>
              <w:rPr>
                <w:rFonts w:ascii="仿宋" w:hAnsi="仿宋" w:cs="仿宋" w:eastAsia="仿宋"/>
                <w:sz w:val="24"/>
              </w:rPr>
              <w:t>四十</w:t>
            </w:r>
            <w:r>
              <w:rPr>
                <w:rFonts w:ascii="仿宋" w:hAnsi="仿宋" w:cs="仿宋" w:eastAsia="仿宋"/>
                <w:sz w:val="24"/>
              </w:rPr>
              <w:t>）</w:t>
            </w:r>
            <w:r>
              <w:rPr>
                <w:rFonts w:ascii="仿宋" w:hAnsi="仿宋" w:cs="仿宋" w:eastAsia="仿宋"/>
                <w:sz w:val="24"/>
              </w:rPr>
              <w:t>。</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最终验收付款条件</w:t>
            </w:r>
          </w:p>
        </w:tc>
        <w:tc>
          <w:tcPr>
            <w:tcW w:type="dxa" w:w="1038"/>
          </w:tcPr>
          <w:p>
            <w:pPr>
              <w:pStyle w:val="null3"/>
            </w:pPr>
            <w:r>
              <w:rPr/>
              <w:t>最终验收付款条件</w:t>
            </w:r>
          </w:p>
        </w:tc>
        <w:tc>
          <w:tcPr>
            <w:tcW w:type="dxa" w:w="1038"/>
          </w:tcPr>
          <w:p>
            <w:pPr>
              <w:pStyle w:val="null3"/>
            </w:pPr>
            <w:r>
              <w:rPr>
                <w:rFonts w:ascii="仿宋" w:hAnsi="仿宋" w:cs="仿宋" w:eastAsia="仿宋"/>
                <w:sz w:val="24"/>
              </w:rPr>
              <w:t>最终验收通过，双方出具合同验收单，原厂商出具了《原厂足期维保承诺函》原件，且甲方收到乙方提供的与本阶段付款金额等值的正式发票以及乙方加盖单位公章的《付款申请》后</w:t>
            </w:r>
            <w:r>
              <w:rPr>
                <w:rFonts w:ascii="仿宋" w:hAnsi="仿宋" w:cs="仿宋" w:eastAsia="仿宋"/>
                <w:sz w:val="24"/>
              </w:rPr>
              <w:t>十（</w:t>
            </w:r>
            <w:r>
              <w:rPr>
                <w:rFonts w:ascii="仿宋" w:hAnsi="仿宋" w:cs="仿宋" w:eastAsia="仿宋"/>
                <w:sz w:val="24"/>
              </w:rPr>
              <w:t>10）</w:t>
            </w:r>
            <w:r>
              <w:rPr>
                <w:rFonts w:ascii="仿宋" w:hAnsi="仿宋" w:cs="仿宋" w:eastAsia="仿宋"/>
                <w:sz w:val="24"/>
              </w:rPr>
              <w:t>个工作日内，</w:t>
            </w:r>
            <w:r>
              <w:rPr>
                <w:rFonts w:ascii="仿宋" w:hAnsi="仿宋" w:cs="仿宋" w:eastAsia="仿宋"/>
                <w:sz w:val="24"/>
              </w:rPr>
              <w:t>向乙方支付合同总</w:t>
            </w:r>
            <w:r>
              <w:rPr>
                <w:rFonts w:ascii="仿宋" w:hAnsi="仿宋" w:cs="仿宋" w:eastAsia="仿宋"/>
                <w:sz w:val="24"/>
              </w:rPr>
              <w:t>金额</w:t>
            </w:r>
            <w:r>
              <w:rPr>
                <w:rFonts w:ascii="仿宋" w:hAnsi="仿宋" w:cs="仿宋" w:eastAsia="仿宋"/>
                <w:sz w:val="24"/>
              </w:rPr>
              <w:t>的</w:t>
            </w:r>
            <w:r>
              <w:rPr>
                <w:rFonts w:ascii="仿宋" w:hAnsi="仿宋" w:cs="仿宋" w:eastAsia="仿宋"/>
                <w:sz w:val="24"/>
              </w:rPr>
              <w:t>30</w:t>
            </w:r>
            <w:r>
              <w:rPr>
                <w:rFonts w:ascii="仿宋" w:hAnsi="仿宋" w:cs="仿宋" w:eastAsia="仿宋"/>
                <w:sz w:val="24"/>
              </w:rPr>
              <w:t>%（百分之</w:t>
            </w:r>
            <w:r>
              <w:rPr>
                <w:rFonts w:ascii="仿宋" w:hAnsi="仿宋" w:cs="仿宋" w:eastAsia="仿宋"/>
                <w:sz w:val="24"/>
              </w:rPr>
              <w:t>三十</w:t>
            </w:r>
            <w:r>
              <w:rPr>
                <w:rFonts w:ascii="仿宋" w:hAnsi="仿宋" w:cs="仿宋" w:eastAsia="仿宋"/>
                <w:sz w:val="24"/>
              </w:rPr>
              <w:t>）</w:t>
            </w:r>
            <w:r>
              <w:rPr>
                <w:rFonts w:ascii="仿宋" w:hAnsi="仿宋" w:cs="仿宋" w:eastAsia="仿宋"/>
                <w:sz w:val="24"/>
              </w:rPr>
              <w:t>。</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货物通过到货验收后</w:t>
            </w:r>
          </w:p>
        </w:tc>
        <w:tc>
          <w:tcPr>
            <w:tcW w:type="dxa" w:w="1384"/>
          </w:tcPr>
          <w:p>
            <w:pPr>
              <w:pStyle w:val="null3"/>
              <w:jc w:val="left"/>
            </w:pPr>
            <w:r>
              <w:rPr/>
              <w:t>详见商务要求</w:t>
            </w:r>
          </w:p>
        </w:tc>
        <w:tc>
          <w:tcPr>
            <w:tcW w:type="dxa" w:w="1384"/>
          </w:tcPr>
          <w:p>
            <w:pPr>
              <w:pStyle w:val="null3"/>
              <w:jc w:val="left"/>
            </w:pPr>
            <w:r>
              <w:rPr/>
              <w:t>30.00</w:t>
            </w:r>
            <w:r>
              <w:rPr/>
              <w:t>%</w:t>
            </w:r>
          </w:p>
        </w:tc>
        <w:tc>
          <w:tcPr>
            <w:tcW w:type="dxa" w:w="1384"/>
          </w:tcPr>
          <w:p>
            <w:pPr>
              <w:pStyle w:val="null3"/>
              <w:jc w:val="left"/>
            </w:pPr>
            <w:r>
              <w:rPr/>
              <w:t>汇款</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货物通过初步验收后</w:t>
            </w:r>
          </w:p>
        </w:tc>
        <w:tc>
          <w:tcPr>
            <w:tcW w:type="dxa" w:w="1384"/>
          </w:tcPr>
          <w:p>
            <w:pPr>
              <w:pStyle w:val="null3"/>
              <w:jc w:val="left"/>
            </w:pPr>
            <w:r>
              <w:rPr/>
              <w:t>详见商务要求</w:t>
            </w:r>
          </w:p>
        </w:tc>
        <w:tc>
          <w:tcPr>
            <w:tcW w:type="dxa" w:w="1384"/>
          </w:tcPr>
          <w:p>
            <w:pPr>
              <w:pStyle w:val="null3"/>
              <w:jc w:val="left"/>
            </w:pPr>
            <w:r>
              <w:rPr/>
              <w:t>40.00</w:t>
            </w:r>
            <w:r>
              <w:rPr/>
              <w:t>%</w:t>
            </w:r>
          </w:p>
        </w:tc>
        <w:tc>
          <w:tcPr>
            <w:tcW w:type="dxa" w:w="1384"/>
          </w:tcPr>
          <w:p>
            <w:pPr>
              <w:pStyle w:val="null3"/>
              <w:jc w:val="left"/>
            </w:pPr>
            <w:r>
              <w:rPr/>
              <w:t>汇款</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货物通过最终验收后</w:t>
            </w:r>
          </w:p>
        </w:tc>
        <w:tc>
          <w:tcPr>
            <w:tcW w:type="dxa" w:w="1384"/>
          </w:tcPr>
          <w:p>
            <w:pPr>
              <w:pStyle w:val="null3"/>
              <w:jc w:val="left"/>
            </w:pPr>
            <w:r>
              <w:rPr/>
              <w:t>详见商务要求</w:t>
            </w:r>
          </w:p>
        </w:tc>
        <w:tc>
          <w:tcPr>
            <w:tcW w:type="dxa" w:w="1384"/>
          </w:tcPr>
          <w:p>
            <w:pPr>
              <w:pStyle w:val="null3"/>
              <w:jc w:val="left"/>
            </w:pPr>
            <w:r>
              <w:rPr/>
              <w:t>30.00</w:t>
            </w:r>
            <w:r>
              <w:rPr/>
              <w:t>%</w:t>
            </w:r>
          </w:p>
        </w:tc>
        <w:tc>
          <w:tcPr>
            <w:tcW w:type="dxa" w:w="1384"/>
          </w:tcPr>
          <w:p>
            <w:pPr>
              <w:pStyle w:val="null3"/>
              <w:jc w:val="left"/>
            </w:pPr>
            <w:r>
              <w:rPr/>
              <w:t>汇款</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中国人民银行征信中心</w:t>
      </w:r>
    </w:p>
    <w:p>
      <w:pPr>
        <w:pStyle w:val="null3"/>
        <w:jc w:val="both"/>
      </w:pPr>
      <w:r>
        <w:rPr/>
        <w:t>采购人（需求部门）拟邀请（</w:t>
      </w:r>
      <w:r>
        <w:rPr/>
        <w:t>）</w:t>
      </w:r>
    </w:p>
    <w:p>
      <w:pPr>
        <w:pStyle w:val="null3"/>
        <w:jc w:val="both"/>
      </w:pPr>
      <w:r>
        <w:rPr/>
        <w:t>（2）验收时间</w:t>
      </w:r>
      <w:r>
        <w:rPr>
          <w:u w:val="single"/>
        </w:rPr>
        <w:t>交货时间：乙方应在收到甲方通知后的30个日历日内，根据甲方要求完成到货，具体时间以甲方通知为准，到货完成后（以甲方出具的技术服务评价报告签字日期为准）60个日历日内完成到货验收。 初步验收时间：货物自到货验收合格起90个日历日内完成安装与调试等工作。安装调试完成后（以甲方出具的技术服务评价报告签字日期为准）60个日历日内完成初步验收。 最终验收时间：货物自初步验收合格起进入为期3个月的试运行阶段，试运行结束后60个日历日内完成最终验收。 免费质量保障期：软件自合同验收单中最终验收日期之日起3年。 合同履行期限：自合同签订之日至合同全部权利义务履行完毕之日止。</w:t>
      </w:r>
    </w:p>
    <w:p>
      <w:pPr>
        <w:pStyle w:val="null3"/>
        <w:jc w:val="both"/>
      </w:pPr>
      <w:r>
        <w:rPr/>
        <w:t>（3）验收方式</w:t>
      </w:r>
      <w:r>
        <w:rPr>
          <w:u w:val="single"/>
        </w:rPr>
        <w:t>分阶段验收</w:t>
      </w:r>
    </w:p>
    <w:p>
      <w:pPr>
        <w:pStyle w:val="null3"/>
        <w:jc w:val="both"/>
      </w:pPr>
      <w:r>
        <w:rPr/>
        <w:t>（4）验收程序</w:t>
      </w:r>
      <w:r>
        <w:rPr>
          <w:u w:val="single"/>
        </w:rPr>
        <w:t>到货验收程序：乙方将本合同项下软件产品、授权许可以及相关技术资料交付至甲方指定地点，甲方当场清点，核对。 初步验收程序：乙方按照甲方的标准和要求派遣实施团队到现场实施技术服务，安装调试完成后，由甲方组织初步验收。 最终验收程序：试运行期满且乙方提供的软件产品稳定运行，由甲方组织最终验收。</w:t>
      </w:r>
    </w:p>
    <w:p>
      <w:pPr>
        <w:pStyle w:val="null3"/>
        <w:jc w:val="both"/>
      </w:pPr>
      <w:r>
        <w:rPr/>
        <w:t>（5）验收内容</w:t>
      </w:r>
      <w:r>
        <w:rPr>
          <w:u w:val="single"/>
        </w:rPr>
        <w:t>到货验收内容：甲方确认交货软件产品数量、型号、版本等内容与合同清单中一致并且正常运行。 初步验收内容：乙方完成对软件产品安装、调试和调优服务、设备更新等工作后，甲方依照合同要求查看是否满足建设目标。 最终验收内容：经甲方查验乙方提供的软件产品是否存在宕机等影响系统运行的异常情况，并依照合同查看乙方是否完成合同约定的全部工作。</w:t>
      </w:r>
    </w:p>
    <w:p>
      <w:pPr>
        <w:pStyle w:val="null3"/>
        <w:jc w:val="both"/>
      </w:pPr>
      <w:r>
        <w:rPr/>
        <w:t>（6）验收标准</w:t>
      </w:r>
      <w:r>
        <w:rPr>
          <w:u w:val="single"/>
        </w:rPr>
        <w:t>到货验收标准：1）乙方交付软件的版本、使用许可应与合同一致；2）软件在指定环境中完成安装，并且能够正常运行使用。 初步验收标准：1）完成软件调试、调优等工作，软件能够正常运行，满足合同要求；2）构建于本项目所采购的软件之上的软件系统能够正常运行；3）按照合同文件要求提供了培训服务。 最终验收标准：1）已按合同要求提供了全部货物和资料；2）软件在试运行期间满足合同要求；3）乙方和制造商按合同要求提供了技术支持服务，且试运行期间出现的问题已被解决；4）乙方向甲方提交了加盖原厂商公章的《原厂足期维保承诺函》。</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rFonts w:ascii="仿宋" w:hAnsi="仿宋" w:cs="仿宋" w:eastAsia="仿宋"/>
          <w:sz w:val="28"/>
        </w:rPr>
        <w:t>附件</w:t>
      </w:r>
      <w:r>
        <w:rPr>
          <w:rFonts w:ascii="仿宋" w:hAnsi="仿宋" w:cs="仿宋" w:eastAsia="仿宋"/>
          <w:sz w:val="28"/>
        </w:rPr>
        <w:t>1</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宋体" w:hAnsi="宋体" w:cs="宋体" w:eastAsia="宋体"/>
                <w:sz w:val="32"/>
                <w:b/>
              </w:rPr>
              <w:t>原厂足期维保承诺函</w:t>
            </w:r>
          </w:p>
          <w:p>
            <w:pPr>
              <w:pStyle w:val="null3"/>
              <w:jc w:val="both"/>
            </w:pPr>
            <w:r>
              <w:rPr>
                <w:rFonts w:ascii="宋体" w:hAnsi="宋体" w:cs="宋体" w:eastAsia="宋体"/>
                <w:sz w:val="24"/>
              </w:rPr>
              <w:t>致中国人民银行征信中心：</w:t>
            </w:r>
          </w:p>
          <w:p>
            <w:pPr>
              <w:pStyle w:val="null3"/>
              <w:ind w:firstLine="465"/>
              <w:jc w:val="both"/>
            </w:pPr>
            <w:r>
              <w:rPr>
                <w:rFonts w:ascii="宋体" w:hAnsi="宋体" w:cs="宋体" w:eastAsia="宋体"/>
                <w:sz w:val="24"/>
              </w:rPr>
              <w:t>我司承诺为本合同（合同编号、合同名称）中</w:t>
            </w:r>
            <w:r>
              <w:rPr>
                <w:rFonts w:ascii="calibri" w:hAnsi="calibri" w:cs="calibri" w:eastAsia="calibri"/>
                <w:sz w:val="21"/>
                <w:u w:val="single"/>
              </w:rPr>
              <w:t xml:space="preserve">                   </w:t>
            </w:r>
            <w:r>
              <w:rPr>
                <w:rFonts w:ascii="宋体" w:hAnsi="宋体" w:cs="宋体" w:eastAsia="宋体"/>
                <w:sz w:val="24"/>
              </w:rPr>
              <w:t>等产品软件，自</w:t>
            </w:r>
            <w:r>
              <w:rPr>
                <w:rFonts w:ascii="calibri" w:hAnsi="calibri" w:cs="calibri" w:eastAsia="calibri"/>
                <w:sz w:val="21"/>
                <w:u w:val="single"/>
              </w:rPr>
              <w:t xml:space="preserve">    </w:t>
            </w:r>
            <w:r>
              <w:rPr>
                <w:rFonts w:ascii="宋体" w:hAnsi="宋体" w:cs="宋体" w:eastAsia="宋体"/>
                <w:sz w:val="24"/>
              </w:rPr>
              <w:t>年</w:t>
            </w:r>
            <w:r>
              <w:rPr>
                <w:rFonts w:ascii="calibri" w:hAnsi="calibri" w:cs="calibri" w:eastAsia="calibri"/>
                <w:sz w:val="21"/>
                <w:u w:val="single"/>
              </w:rPr>
              <w:t xml:space="preserve">    </w:t>
            </w:r>
            <w:r>
              <w:rPr>
                <w:rFonts w:ascii="宋体" w:hAnsi="宋体" w:cs="宋体" w:eastAsia="宋体"/>
                <w:sz w:val="24"/>
              </w:rPr>
              <w:t>月</w:t>
            </w:r>
            <w:r>
              <w:rPr>
                <w:rFonts w:ascii="calibri" w:hAnsi="calibri" w:cs="calibri" w:eastAsia="calibri"/>
                <w:sz w:val="21"/>
                <w:u w:val="single"/>
              </w:rPr>
              <w:t xml:space="preserve">    </w:t>
            </w:r>
            <w:r>
              <w:rPr>
                <w:rFonts w:ascii="宋体" w:hAnsi="宋体" w:cs="宋体" w:eastAsia="宋体"/>
                <w:sz w:val="24"/>
              </w:rPr>
              <w:t>日起免费提供</w:t>
            </w:r>
            <w:r>
              <w:rPr>
                <w:rFonts w:ascii="calibri" w:hAnsi="calibri" w:cs="calibri" w:eastAsia="calibri"/>
                <w:sz w:val="21"/>
                <w:u w:val="single"/>
              </w:rPr>
              <w:t xml:space="preserve">    </w:t>
            </w:r>
            <w:r>
              <w:rPr>
                <w:rFonts w:ascii="宋体" w:hAnsi="宋体" w:cs="宋体" w:eastAsia="宋体"/>
                <w:sz w:val="24"/>
              </w:rPr>
              <w:t>年软件质量保</w:t>
            </w:r>
            <w:r>
              <w:rPr>
                <w:rFonts w:ascii="仿宋" w:hAnsi="仿宋" w:cs="仿宋" w:eastAsia="仿宋"/>
                <w:sz w:val="24"/>
              </w:rPr>
              <w:t>障</w:t>
            </w:r>
            <w:r>
              <w:rPr>
                <w:rFonts w:ascii="宋体" w:hAnsi="宋体" w:cs="宋体" w:eastAsia="宋体"/>
                <w:sz w:val="24"/>
              </w:rPr>
              <w:t>期售后服务。具体明细详见清单：</w:t>
            </w:r>
          </w:p>
          <w:tbl>
            <w:tblPr>
              <w:tblBorders>
                <w:top w:val="none" w:color="000000" w:sz="4"/>
                <w:left w:val="none" w:color="000000" w:sz="4"/>
                <w:bottom w:val="none" w:color="000000" w:sz="4"/>
                <w:right w:val="none" w:color="000000" w:sz="4"/>
                <w:insideH w:val="none"/>
                <w:insideV w:val="none"/>
              </w:tblBorders>
            </w:tblPr>
            <w:tblGrid>
              <w:gridCol w:w="706"/>
              <w:gridCol w:w="677"/>
              <w:gridCol w:w="544"/>
              <w:gridCol w:w="971"/>
              <w:gridCol w:w="691"/>
              <w:gridCol w:w="1250"/>
              <w:gridCol w:w="824"/>
              <w:gridCol w:w="1250"/>
              <w:gridCol w:w="1177"/>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类别</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品牌</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软件</w:t>
                  </w:r>
                </w:p>
                <w:p>
                  <w:pPr>
                    <w:pStyle w:val="null3"/>
                    <w:jc w:val="center"/>
                  </w:pPr>
                  <w:r>
                    <w:rPr>
                      <w:rFonts w:ascii="宋体" w:hAnsi="宋体" w:cs="宋体" w:eastAsia="宋体"/>
                      <w:sz w:val="24"/>
                    </w:rPr>
                    <w:t>名称</w:t>
                  </w:r>
                </w:p>
              </w:tc>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型号</w:t>
                  </w:r>
                </w:p>
              </w:tc>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序列号</w:t>
                  </w:r>
                </w:p>
              </w:tc>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数量</w:t>
                  </w:r>
                </w:p>
              </w:tc>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质保期起始时间</w:t>
                  </w:r>
                </w:p>
              </w:tc>
              <w:tc>
                <w:tcPr>
                  <w:tcW w:type="dxa" w:w="1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质保期截止时间</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宋体" w:hAnsi="宋体" w:cs="宋体" w:eastAsia="宋体"/>
                <w:sz w:val="24"/>
              </w:rPr>
              <w:t>……</w:t>
            </w:r>
          </w:p>
          <w:p>
            <w:pPr>
              <w:pStyle w:val="null3"/>
              <w:ind w:firstLine="465"/>
              <w:jc w:val="both"/>
            </w:pPr>
            <w:r>
              <w:rPr>
                <w:rFonts w:ascii="宋体" w:hAnsi="宋体" w:cs="宋体" w:eastAsia="宋体"/>
                <w:sz w:val="24"/>
              </w:rPr>
              <w:t>注：原则上应按照上述要求出具《原厂足期维保承诺函》，并按照承诺函提供售后服务。</w:t>
            </w:r>
          </w:p>
          <w:p>
            <w:pPr>
              <w:pStyle w:val="null3"/>
              <w:ind w:firstLine="465"/>
              <w:jc w:val="both"/>
            </w:pPr>
            <w:r>
              <w:rPr>
                <w:rFonts w:ascii="宋体" w:hAnsi="宋体" w:cs="宋体" w:eastAsia="宋体"/>
                <w:sz w:val="24"/>
              </w:rPr>
              <w:t>（盖章）原厂</w:t>
            </w:r>
            <w:r>
              <w:rPr>
                <w:rFonts w:ascii="宋体" w:hAnsi="宋体" w:cs="宋体" w:eastAsia="宋体"/>
                <w:sz w:val="24"/>
              </w:rPr>
              <w:t>XXX</w:t>
            </w:r>
            <w:r>
              <w:rPr>
                <w:rFonts w:ascii="宋体" w:hAnsi="宋体" w:cs="宋体" w:eastAsia="宋体"/>
                <w:sz w:val="24"/>
              </w:rPr>
              <w:t>公司</w:t>
            </w:r>
          </w:p>
          <w:p>
            <w:pPr>
              <w:pStyle w:val="null3"/>
              <w:ind w:firstLine="465"/>
              <w:jc w:val="right"/>
            </w:pPr>
            <w:r>
              <w:rPr>
                <w:rFonts w:ascii="宋体" w:hAnsi="宋体" w:cs="宋体" w:eastAsia="宋体"/>
                <w:sz w:val="24"/>
              </w:rPr>
              <w:t>落款日期</w:t>
            </w:r>
          </w:p>
        </w:tc>
      </w:tr>
    </w:tbl>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技术部分56.00分</w:t>
            </w:r>
          </w:p>
          <w:p>
            <w:pPr>
              <w:pStyle w:val="null3"/>
              <w:jc w:val="left"/>
            </w:pPr>
            <w:r>
              <w:rPr/>
              <w:t>商务部分10.00分</w:t>
            </w:r>
          </w:p>
          <w:p>
            <w:pPr>
              <w:pStyle w:val="null3"/>
              <w:jc w:val="left"/>
            </w:pPr>
            <w:r>
              <w:rPr/>
              <w:t>报价得分34.00分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jc w:val="left"/>
            </w:pPr>
            <w:r>
              <w:rPr/>
              <w:t>技术评审</w:t>
            </w:r>
          </w:p>
        </w:tc>
        <w:tc>
          <w:tcPr>
            <w:tcW w:type="dxa" w:w="2076"/>
          </w:tcPr>
          <w:p>
            <w:pPr>
              <w:pStyle w:val="null3"/>
              <w:jc w:val="left"/>
            </w:pPr>
            <w:r>
              <w:rPr/>
              <w:t>技术和商务要求应答评价</w:t>
            </w:r>
          </w:p>
        </w:tc>
        <w:tc>
          <w:tcPr>
            <w:tcW w:type="dxa" w:w="2769"/>
          </w:tcPr>
          <w:p>
            <w:pPr>
              <w:pStyle w:val="null3"/>
              <w:jc w:val="left"/>
            </w:pPr>
            <w:r>
              <w:rPr/>
              <w:t>根据投标人提供的《采购需求及技术要求应答表》相关情况打分，如发现《采购需求及技术要求应答表》内容和投标人提供的其他技术应答材料不一致时，以二者响应较低的内容为准进行评审。 针对采购需求第三章需求清单技术要求中“#”重要指标和商务要求中“#”重要指标进行打分，共14项（除采购需求第三章需求清单商务要求中第21项外），每满足一项得4分，最高56分。</w:t>
            </w:r>
          </w:p>
        </w:tc>
        <w:tc>
          <w:tcPr>
            <w:tcW w:type="dxa" w:w="692"/>
          </w:tcPr>
          <w:p>
            <w:pPr>
              <w:pStyle w:val="null3"/>
              <w:jc w:val="right"/>
            </w:pPr>
            <w:r>
              <w:rPr/>
              <w:t>56.00</w:t>
            </w:r>
          </w:p>
        </w:tc>
        <w:tc>
          <w:tcPr>
            <w:tcW w:type="dxa" w:w="692"/>
          </w:tcPr>
          <w:p>
            <w:pPr>
              <w:pStyle w:val="null3"/>
              <w:jc w:val="left"/>
            </w:pPr>
            <w:r>
              <w:rPr/>
              <w:t>客观</w:t>
            </w:r>
          </w:p>
        </w:tc>
      </w:tr>
      <w:tr>
        <w:tc>
          <w:tcPr>
            <w:tcW w:type="dxa" w:w="692"/>
          </w:tcPr>
          <w:p>
            <w:pPr>
              <w:pStyle w:val="null3"/>
              <w:jc w:val="left"/>
            </w:pPr>
            <w:r>
              <w:rPr/>
              <w:t>商务评审</w:t>
            </w:r>
          </w:p>
        </w:tc>
        <w:tc>
          <w:tcPr>
            <w:tcW w:type="dxa" w:w="2076"/>
          </w:tcPr>
          <w:p>
            <w:pPr>
              <w:pStyle w:val="null3"/>
              <w:jc w:val="left"/>
            </w:pPr>
            <w:r>
              <w:rPr/>
              <w:t>投标人所投产品成功/成熟实施案例</w:t>
            </w:r>
          </w:p>
        </w:tc>
        <w:tc>
          <w:tcPr>
            <w:tcW w:type="dxa" w:w="2769"/>
          </w:tcPr>
          <w:p>
            <w:pPr>
              <w:pStyle w:val="null3"/>
              <w:jc w:val="left"/>
            </w:pPr>
            <w:r>
              <w:rPr/>
              <w:t>根据投标人提供案例进行评价： 提供2024年1月1日至本次投标截止日前（以合同签字日期为准）与本次投标同品牌同型号产品成功案例。每提供一个成功案例得1分，满分10分。 说明： 1.以上提供的所有案例须提供合同关键页复印件等证明材料（加盖投标人公章），否则不予认可。合同关键页复印件至少包含封面页（需体现合同名称以及甲乙双方名称）、合同内容（需体现合同详细货物或服务内容，合同金额可隐藏）、盖章页（需体现合同日期以及甲乙双方的签字和盖章信息），证明材料不全无法确定为相关业绩的不予认可。所提供复印或扫描页应清晰可见，以上材料需加盖投标人公章。 2.同一案例不可重复记分，即一个案例只可针对一类产品计分，且同一甲方不重复记分，合同乙方可以不是投标人。 3.针对所提供案例，投标人应清晰的列出本案例对应本项目所投产品的品牌、型号。</w:t>
            </w:r>
          </w:p>
        </w:tc>
        <w:tc>
          <w:tcPr>
            <w:tcW w:type="dxa" w:w="692"/>
          </w:tcPr>
          <w:p>
            <w:pPr>
              <w:pStyle w:val="null3"/>
              <w:jc w:val="right"/>
            </w:pPr>
            <w:r>
              <w:rPr/>
              <w:t>10.00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根据投标人投标总价进行评估。综合评分法中的价格分采用低价优先法计算，即满足招标文件要求且投标价格最低的投标总价为评标基准价，其价格分为满分。其他投标人的价格分统一按照下列公式计算： 投标人投标总价得分＝（评标基准价/投标总价）×价格权值×100； 本项目中价格权值＝34％。 符合财政部、工信部文件（财库[2020]46号）、（财库[2022]19号）规定的小微企业可享受10%的价格扣除。符合财政部、司法部文件（财库[2014]68号）规定的监狱企业及符合财政部、民政部、中国残联文件（财库[2017]141号）规定的残疾人福利性单位亦可享受前述扶持政策。 投标人为小型、微型企业的，须附《中小企业声明函》作为证明文件；监狱和戒毒企业（以下简称监狱企业）视同小型、微型企业。投标人须提供由省级以上监狱管理局、戒毒管理局（含新疆生产建设兵团）出具的属于监狱企业的证明文件；残疾人福利性单位视同小型、微型企业，投标人须附《残疾人福利性单位声明函》作为证明文件。上述3种情况不重复享受政策。 根据《国务院办公厅关于在政府采购中实施本国产品标准及相关政策的通知》（国办发〔2025〕34号），本项目采购标的图数据库，不属于本国产品的适用范围。</w:t>
            </w:r>
          </w:p>
        </w:tc>
        <w:tc>
          <w:tcPr>
            <w:tcW w:type="dxa" w:w="692"/>
          </w:tcPr>
          <w:p>
            <w:pPr>
              <w:pStyle w:val="null3"/>
              <w:jc w:val="right"/>
            </w:pPr>
            <w:r>
              <w:rPr/>
              <w:t>34.00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1"/>
          </w:tcPr>
          <w:p>
            <w:pPr>
              <w:pStyle w:val="null3"/>
              <w:jc w:val="left"/>
            </w:pPr>
            <w:r>
              <w:rPr/>
              <w:t>1</w:t>
            </w:r>
          </w:p>
        </w:tc>
        <w:tc>
          <w:tcPr>
            <w:tcW w:type="dxa" w:w="1661"/>
          </w:tcPr>
          <w:p>
            <w:pPr>
              <w:pStyle w:val="null3"/>
              <w:jc w:val="left"/>
            </w:pPr>
            <w:r>
              <w:rPr/>
              <w:t>促进中小企业发展相关政策</w:t>
            </w:r>
          </w:p>
        </w:tc>
        <w:tc>
          <w:tcPr>
            <w:tcW w:type="dxa" w:w="1661"/>
          </w:tcPr>
          <w:p/>
        </w:tc>
        <w:tc>
          <w:tcPr>
            <w:tcW w:type="dxa" w:w="831"/>
          </w:tcPr>
          <w:p>
            <w:pPr>
              <w:pStyle w:val="null3"/>
              <w:jc w:val="right"/>
            </w:pPr>
            <w:r>
              <w:rPr/>
              <w:t>10.00%</w:t>
            </w:r>
          </w:p>
        </w:tc>
        <w:tc>
          <w:tcPr>
            <w:tcW w:type="dxa" w:w="3322"/>
          </w:tcPr>
          <w:p>
            <w:pPr>
              <w:pStyle w:val="null3"/>
              <w:jc w:val="left"/>
            </w:pPr>
            <w:r>
              <w:rPr/>
              <w:t>符合财政部、工信部文件（财库[2020]46号）、（财库[2022]19号）规定的小微企业可享受10%的价格扣除。符合财政部、司法部文件（财库[2014]68号）规定的监狱企业及符合财政部、民政部、中国残联文件（财库[2017]141号）规定的残疾人福利性单位亦可享受前述扶持政策。 投标人为小型、微型企业的，须附《中小企业声明函》作为证明文件；监狱和戒毒企业（以下简称监狱企业）视同小型、微型企业。投标人须提供由省级以上监狱管理局、戒毒管理局（含新疆生产建设兵团）出具的属于监狱企业的证明文件；残疾人福利性单位视同小型、微型企业，投标人须附《残疾人福利性单位声明函》作为证明文件。上述3种情况不重复享受政策。</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无</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详见附件：异常低价情形第3项的相关书面说明及必要的证明材料</w:t>
      </w:r>
    </w:p>
    <w:p>
      <w:pPr>
        <w:pStyle w:val="null3"/>
        <w:ind w:firstLine="960"/>
      </w:pPr>
      <w:r>
        <w:rPr/>
        <w:t>详见附件：商务条款第6条证明文件</w:t>
      </w:r>
    </w:p>
    <w:p>
      <w:pPr>
        <w:pStyle w:val="null3"/>
        <w:ind w:firstLine="960"/>
      </w:pPr>
      <w:r>
        <w:rPr/>
        <w:t>详见附件：商务条款第7条证明文件</w:t>
      </w:r>
    </w:p>
    <w:p>
      <w:pPr>
        <w:pStyle w:val="null3"/>
        <w:ind w:firstLine="960"/>
      </w:pPr>
      <w:r>
        <w:rPr/>
        <w:t>详见附件：商务条款第8条证明文件</w:t>
      </w:r>
    </w:p>
    <w:p>
      <w:pPr>
        <w:pStyle w:val="null3"/>
        <w:ind w:firstLine="960"/>
      </w:pPr>
      <w:r>
        <w:rPr/>
        <w:t>详见附件：商务条款第16条证明文件</w:t>
      </w:r>
    </w:p>
    <w:p>
      <w:pPr>
        <w:pStyle w:val="null3"/>
        <w:ind w:firstLine="960"/>
      </w:pPr>
      <w:r>
        <w:rPr/>
        <w:t>详见附件：商务条款第21条证明文件</w:t>
      </w:r>
    </w:p>
    <w:p>
      <w:pPr>
        <w:pStyle w:val="null3"/>
        <w:ind w:firstLine="960"/>
      </w:pPr>
      <w:r>
        <w:rPr/>
        <w:t>详见附件：商务条款第26条证明文件</w:t>
      </w:r>
    </w:p>
    <w:p>
      <w:pPr>
        <w:pStyle w:val="null3"/>
        <w:ind w:firstLine="960"/>
      </w:pPr>
      <w:r>
        <w:rPr/>
        <w:t>详见附件：需求单位要求的资格条件第1条证明文件</w:t>
      </w:r>
    </w:p>
    <w:p>
      <w:pPr>
        <w:pStyle w:val="null3"/>
        <w:ind w:firstLine="960"/>
      </w:pPr>
      <w:r>
        <w:rPr/>
        <w:t>详见附件：需求单位要求的资格条件第2条证明文件</w:t>
      </w:r>
    </w:p>
    <w:p>
      <w:pPr>
        <w:pStyle w:val="null3"/>
        <w:ind w:firstLine="960"/>
      </w:pPr>
      <w:r>
        <w:rPr/>
        <w:t>详见附件：需求单位要求的资格条件第3条证明文件</w:t>
      </w:r>
    </w:p>
    <w:p>
      <w:pPr>
        <w:pStyle w:val="null3"/>
        <w:ind w:firstLine="960"/>
      </w:pPr>
      <w:r>
        <w:rPr/>
        <w:t>详见附件：需求单位要求的资格条件第4条证明文件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详见附件：中国人民银行征信中心2026年度图数据库软件采购项目合同.docx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按照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