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2026年度容器平台采购项目</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049GSH2026052</w:t>
      </w:r>
      <w:r>
        <w:br/>
      </w:r>
      <w:r>
        <w:br/>
      </w:r>
      <w:r>
        <w:br/>
      </w:r>
    </w:p>
    <w:p>
      <w:pPr>
        <w:pStyle w:val="null3"/>
        <w:jc w:val="center"/>
      </w:pPr>
      <w:r>
        <w:rPr/>
        <w:t>中国人民银行集中采购中心</w:t>
      </w:r>
    </w:p>
    <w:p>
      <w:pPr>
        <w:pStyle w:val="null3"/>
        <w:jc w:val="center"/>
      </w:pPr>
      <w:r>
        <w:rPr/>
        <w:t>2026年06月03日</w:t>
      </w:r>
    </w:p>
    <w:p>
      <w:pPr>
        <w:pStyle w:val="null3"/>
      </w:pPr>
      <w:r>
        <w:rPr/>
        <w:t xml:space="preserve"> </w:t>
      </w:r>
    </w:p>
    <w:p>
      <w:pPr>
        <w:pStyle w:val="null3"/>
        <w:jc w:val="center"/>
        <w:outlineLvl w:val="1"/>
      </w:pPr>
      <w:r>
        <w:rPr>
          <w:sz w:val="36"/>
          <w:b/>
        </w:rPr>
        <w:t>第一章 投标邀请</w:t>
      </w:r>
    </w:p>
    <w:p>
      <w:pPr>
        <w:pStyle w:val="null3"/>
        <w:jc w:val="left"/>
      </w:pPr>
      <w:r>
        <w:rPr/>
        <w:t xml:space="preserve">中国人民银行集中采购中心现采取公开招标的方式，就“ </w:t>
      </w:r>
      <w:r>
        <w:rPr/>
        <w:t>2026年度容器平台采购项目</w:t>
      </w:r>
      <w:r>
        <w:rPr/>
        <w:t xml:space="preserve"> ”（项目编号： </w:t>
      </w:r>
      <w:r>
        <w:rPr/>
        <w:t>049GSH2026052</w:t>
      </w:r>
      <w:r>
        <w:rPr/>
        <w:t xml:space="preserve"> ）邀请合格投标人进行密封投标。本项目 </w:t>
      </w:r>
      <w:r>
        <w:rPr/>
        <w:t>落实</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1,200,000.00</w:t>
      </w:r>
    </w:p>
    <w:p>
      <w:pPr>
        <w:pStyle w:val="null3"/>
        <w:jc w:val="left"/>
      </w:pPr>
      <w:r>
        <w:rPr/>
        <w:t>采购包最高限价（元）: 1,200,000.00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容器平台</w:t>
            </w:r>
          </w:p>
        </w:tc>
        <w:tc>
          <w:tcPr>
            <w:tcW w:type="dxa" w:w="593"/>
          </w:tcPr>
          <w:p>
            <w:pPr>
              <w:pStyle w:val="null3"/>
              <w:jc w:val="left"/>
            </w:pPr>
            <w:r>
              <w:rPr/>
              <w:t>A08060399 其他计算机软件</w:t>
            </w:r>
          </w:p>
        </w:tc>
        <w:tc>
          <w:tcPr>
            <w:tcW w:type="dxa" w:w="593"/>
          </w:tcPr>
          <w:p>
            <w:pPr>
              <w:pStyle w:val="null3"/>
              <w:jc w:val="left"/>
            </w:pPr>
            <w:r>
              <w:rPr/>
              <w:t>A08060399</w:t>
            </w:r>
          </w:p>
        </w:tc>
        <w:tc>
          <w:tcPr>
            <w:tcW w:type="dxa" w:w="593"/>
          </w:tcPr>
          <w:p>
            <w:pPr>
              <w:pStyle w:val="null3"/>
              <w:jc w:val="left"/>
            </w:pPr>
            <w:r>
              <w:rPr/>
              <w:t>货物</w:t>
            </w:r>
          </w:p>
        </w:tc>
        <w:tc>
          <w:tcPr>
            <w:tcW w:type="dxa" w:w="593"/>
          </w:tcPr>
          <w:p>
            <w:pPr>
              <w:pStyle w:val="null3"/>
              <w:jc w:val="left"/>
            </w:pPr>
            <w:r>
              <w:rPr/>
              <w:t>套</w:t>
            </w:r>
          </w:p>
        </w:tc>
        <w:tc>
          <w:tcPr>
            <w:tcW w:type="dxa" w:w="593"/>
          </w:tcPr>
          <w:p>
            <w:pPr>
              <w:pStyle w:val="null3"/>
              <w:jc w:val="right"/>
            </w:pPr>
            <w:r>
              <w:rPr/>
              <w:t>1.00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1,080,000.00</w:t>
            </w:r>
          </w:p>
        </w:tc>
        <w:tc>
          <w:tcPr>
            <w:tcW w:type="dxa" w:w="593"/>
          </w:tcPr>
          <w:p/>
        </w:tc>
      </w:tr>
      <w:tr>
        <w:tc>
          <w:tcPr>
            <w:tcW w:type="dxa" w:w="593"/>
          </w:tcPr>
          <w:p>
            <w:pPr>
              <w:pStyle w:val="null3"/>
              <w:jc w:val="left"/>
            </w:pPr>
            <w:r>
              <w:rPr/>
              <w:t>2</w:t>
            </w:r>
          </w:p>
        </w:tc>
        <w:tc>
          <w:tcPr>
            <w:tcW w:type="dxa" w:w="593"/>
          </w:tcPr>
          <w:p>
            <w:pPr>
              <w:pStyle w:val="null3"/>
              <w:jc w:val="left"/>
            </w:pPr>
            <w:r>
              <w:rPr/>
              <w:t>现场人天服务</w:t>
            </w:r>
          </w:p>
        </w:tc>
        <w:tc>
          <w:tcPr>
            <w:tcW w:type="dxa" w:w="593"/>
          </w:tcPr>
          <w:p>
            <w:pPr>
              <w:pStyle w:val="null3"/>
              <w:jc w:val="left"/>
            </w:pPr>
            <w:r>
              <w:rPr/>
              <w:t>C16070300 软件运维服务</w:t>
            </w:r>
          </w:p>
        </w:tc>
        <w:tc>
          <w:tcPr>
            <w:tcW w:type="dxa" w:w="593"/>
          </w:tcPr>
          <w:p>
            <w:pPr>
              <w:pStyle w:val="null3"/>
              <w:jc w:val="left"/>
            </w:pPr>
            <w:r>
              <w:rPr/>
              <w:t>C16070300</w:t>
            </w:r>
          </w:p>
        </w:tc>
        <w:tc>
          <w:tcPr>
            <w:tcW w:type="dxa" w:w="593"/>
          </w:tcPr>
          <w:p>
            <w:pPr>
              <w:pStyle w:val="null3"/>
              <w:jc w:val="left"/>
            </w:pPr>
            <w:r>
              <w:rPr/>
              <w:t>服务</w:t>
            </w:r>
          </w:p>
        </w:tc>
        <w:tc>
          <w:tcPr>
            <w:tcW w:type="dxa" w:w="593"/>
          </w:tcPr>
          <w:p>
            <w:pPr>
              <w:pStyle w:val="null3"/>
              <w:jc w:val="left"/>
            </w:pPr>
            <w:r>
              <w:rPr/>
              <w:t>人天</w:t>
            </w:r>
          </w:p>
        </w:tc>
        <w:tc>
          <w:tcPr>
            <w:tcW w:type="dxa" w:w="593"/>
          </w:tcPr>
          <w:p>
            <w:pPr>
              <w:pStyle w:val="null3"/>
              <w:jc w:val="right"/>
            </w:pPr>
            <w:r>
              <w:rPr/>
              <w:t>30.00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120,000.00</w:t>
            </w:r>
          </w:p>
        </w:tc>
        <w:tc>
          <w:tcPr>
            <w:tcW w:type="dxa" w:w="593"/>
          </w:tcPr>
          <w:p/>
        </w:tc>
      </w:tr>
    </w:tbl>
    <w:p>
      <w:pPr>
        <w:pStyle w:val="null3"/>
        <w:jc w:val="left"/>
      </w:pPr>
      <w:r>
        <w:rPr/>
        <w:t xml:space="preserve">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失信主体名单、政府采购严重违法失信行为记录名单的投标人，否则其投标将被拒绝。以开标后招标人或者采购代理机构资格审查时的查验结果为准</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法人或者其他组织的营业执照等证明文件，自然人的身份证明；(需加盖投标人公章)</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财务状况报告，依法缴纳税收和社会保障资金的相关材料；(投标人应提供书面承诺)</w:t>
            </w:r>
          </w:p>
        </w:tc>
        <w:tc>
          <w:tcPr>
            <w:tcW w:type="dxa" w:w="4153"/>
          </w:tcPr>
          <w:p>
            <w:pPr>
              <w:pStyle w:val="null3"/>
              <w:jc w:val="left"/>
            </w:pPr>
            <w:r>
              <w:rPr/>
              <w:t>财务状况报告，依法缴纳税收和社会保障资金的相关材料；(投标人应提供书面承诺，并加盖投标人公章)</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具备履行合同所必需的设备和专业技术能力的证明材料；(投标人应提供书面承诺)</w:t>
            </w:r>
          </w:p>
        </w:tc>
        <w:tc>
          <w:tcPr>
            <w:tcW w:type="dxa" w:w="4153"/>
          </w:tcPr>
          <w:p>
            <w:pPr>
              <w:pStyle w:val="null3"/>
              <w:jc w:val="left"/>
            </w:pPr>
            <w:r>
              <w:rPr/>
              <w:t>具备履行合同所必需的设备和专业技术能力的证明材料；(投标人应提供书面承诺，并加盖投标人公章)</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参加政府采购活动前3年内在经营活动中没有重大违法记录的书面声明；(投标人应提供书面承诺)</w:t>
            </w:r>
          </w:p>
        </w:tc>
        <w:tc>
          <w:tcPr>
            <w:tcW w:type="dxa" w:w="4153"/>
          </w:tcPr>
          <w:p>
            <w:pPr>
              <w:pStyle w:val="null3"/>
              <w:jc w:val="left"/>
            </w:pPr>
            <w:r>
              <w:rPr/>
              <w:t>参加政府采购活动前3年内在经营活动中没有重大违法记录的书面声明；(投标人应提供书面承诺，并加盖投标人公章)</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具备法律、行政法规规定的其他条件的证明材料。（需加盖投标人公章）</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1"/>
          </w:tcPr>
          <w:p>
            <w:pPr>
              <w:pStyle w:val="null3"/>
              <w:jc w:val="left"/>
            </w:pPr>
            <w:r>
              <w:rPr/>
              <w:t>1</w:t>
            </w:r>
          </w:p>
        </w:tc>
        <w:tc>
          <w:tcPr>
            <w:tcW w:type="dxa" w:w="2076"/>
          </w:tcPr>
          <w:p>
            <w:pPr>
              <w:pStyle w:val="null3"/>
              <w:jc w:val="left"/>
            </w:pPr>
            <w:r>
              <w:rPr/>
              <w:t>近三年（从2023年1月1日至今）投标人不得存在下述行为，否则其投标将被拒绝：</w:t>
            </w:r>
          </w:p>
        </w:tc>
        <w:tc>
          <w:tcPr>
            <w:tcW w:type="dxa" w:w="2907"/>
          </w:tcPr>
          <w:p>
            <w:pPr>
              <w:pStyle w:val="null3"/>
              <w:jc w:val="left"/>
            </w:pPr>
            <w:r>
              <w:rPr/>
              <w:t>（1）采取不正当手段诋毁、排挤其他投标人的行为；(投标人应提供书面承诺，并加盖公章) （2）与招标人、其他投标人恶意串通的行为；(投标人应提供书面承诺，并加盖公章) （3）向招标人行贿或者提供其他不正当利益的行为；(投标人应提供书面承诺，并加盖公章) （4）在招标采购过程中与招标人进行协商谈判的行为。(投标人应提供书面承诺，并加盖公章)</w:t>
            </w:r>
          </w:p>
        </w:tc>
        <w:tc>
          <w:tcPr>
            <w:tcW w:type="dxa" w:w="1246"/>
          </w:tcPr>
          <w:p>
            <w:pPr>
              <w:pStyle w:val="null3"/>
              <w:jc w:val="left"/>
            </w:pPr>
            <w:r>
              <w:rPr/>
              <w:t>是</w:t>
            </w:r>
          </w:p>
        </w:tc>
        <w:tc>
          <w:tcPr>
            <w:tcW w:type="dxa" w:w="1246"/>
          </w:tcPr>
          <w:p>
            <w:pPr>
              <w:pStyle w:val="null3"/>
              <w:jc w:val="left"/>
            </w:pPr>
            <w:r>
              <w:rPr/>
              <w:t>承诺函</w:t>
            </w:r>
          </w:p>
        </w:tc>
      </w:tr>
      <w:tr>
        <w:tc>
          <w:tcPr>
            <w:tcW w:type="dxa" w:w="831"/>
          </w:tcPr>
          <w:p>
            <w:pPr>
              <w:pStyle w:val="null3"/>
              <w:jc w:val="left"/>
            </w:pPr>
            <w:r>
              <w:rPr/>
              <w:t>2</w:t>
            </w:r>
          </w:p>
        </w:tc>
        <w:tc>
          <w:tcPr>
            <w:tcW w:type="dxa" w:w="2076"/>
          </w:tcPr>
          <w:p>
            <w:pPr>
              <w:pStyle w:val="null3"/>
              <w:jc w:val="left"/>
            </w:pPr>
            <w:r>
              <w:rPr/>
              <w:t>网络安全审查承诺函</w:t>
            </w:r>
          </w:p>
        </w:tc>
        <w:tc>
          <w:tcPr>
            <w:tcW w:type="dxa" w:w="2907"/>
          </w:tcPr>
          <w:p>
            <w:pPr>
              <w:pStyle w:val="null3"/>
              <w:jc w:val="left"/>
            </w:pPr>
            <w:r>
              <w:rPr/>
              <w:t>投标人须出具网络安全审查承诺函并加盖投标人公章，原件须封装在投标文件正本中递交。网络安全审查承诺函内容包括但不限于：承诺配合网络安全审查；承诺自2022年至2025年未发生过未通过网络安全审查的情形；承诺不利用提供产品和服务的便利条件非法获取用户数据、非法控制和操纵用户设备，无正当理由不中断产品供应或必要的技术支持服务等。</w:t>
            </w:r>
          </w:p>
        </w:tc>
        <w:tc>
          <w:tcPr>
            <w:tcW w:type="dxa" w:w="1246"/>
          </w:tcPr>
          <w:p>
            <w:pPr>
              <w:pStyle w:val="null3"/>
              <w:jc w:val="left"/>
            </w:pPr>
            <w:r>
              <w:rPr/>
              <w:t>是</w:t>
            </w:r>
          </w:p>
        </w:tc>
        <w:tc>
          <w:tcPr>
            <w:tcW w:type="dxa" w:w="1246"/>
          </w:tcPr>
          <w:p>
            <w:pPr>
              <w:pStyle w:val="null3"/>
              <w:jc w:val="left"/>
            </w:pPr>
            <w:r>
              <w:rPr/>
              <w:t>承诺函</w:t>
            </w:r>
          </w:p>
        </w:tc>
      </w:tr>
      <w:tr>
        <w:tc>
          <w:tcPr>
            <w:tcW w:type="dxa" w:w="831"/>
          </w:tcPr>
          <w:p>
            <w:pPr>
              <w:pStyle w:val="null3"/>
              <w:jc w:val="left"/>
            </w:pPr>
            <w:r>
              <w:rPr/>
              <w:t>3</w:t>
            </w:r>
          </w:p>
        </w:tc>
        <w:tc>
          <w:tcPr>
            <w:tcW w:type="dxa" w:w="2076"/>
          </w:tcPr>
          <w:p>
            <w:pPr>
              <w:pStyle w:val="null3"/>
              <w:jc w:val="left"/>
            </w:pPr>
            <w:r>
              <w:rPr/>
              <w:t>本项目不接受联合体投标。(投标人应提供书面承诺)</w:t>
            </w:r>
          </w:p>
        </w:tc>
        <w:tc>
          <w:tcPr>
            <w:tcW w:type="dxa" w:w="2907"/>
          </w:tcPr>
          <w:p>
            <w:pPr>
              <w:pStyle w:val="null3"/>
              <w:jc w:val="left"/>
            </w:pPr>
            <w:r>
              <w:rPr/>
              <w:t>本项目不接受联合体投标。(投标人应提供书面承诺，并加盖公章)</w:t>
            </w:r>
          </w:p>
        </w:tc>
        <w:tc>
          <w:tcPr>
            <w:tcW w:type="dxa" w:w="1246"/>
          </w:tcPr>
          <w:p>
            <w:pPr>
              <w:pStyle w:val="null3"/>
              <w:jc w:val="left"/>
            </w:pPr>
            <w:r>
              <w:rPr/>
              <w:t>是</w:t>
            </w:r>
          </w:p>
        </w:tc>
        <w:tc>
          <w:tcPr>
            <w:tcW w:type="dxa" w:w="1246"/>
          </w:tcPr>
          <w:p>
            <w:pPr>
              <w:pStyle w:val="null3"/>
              <w:jc w:val="left"/>
            </w:pPr>
            <w:r>
              <w:rPr/>
              <w:t>承诺函</w:t>
            </w:r>
          </w:p>
        </w:tc>
      </w:tr>
      <w:tr>
        <w:tc>
          <w:tcPr>
            <w:tcW w:type="dxa" w:w="831"/>
          </w:tcPr>
          <w:p>
            <w:pPr>
              <w:pStyle w:val="null3"/>
              <w:jc w:val="left"/>
            </w:pPr>
            <w:r>
              <w:rPr/>
              <w:t>4</w:t>
            </w:r>
          </w:p>
        </w:tc>
        <w:tc>
          <w:tcPr>
            <w:tcW w:type="dxa" w:w="2076"/>
          </w:tcPr>
          <w:p>
            <w:pPr>
              <w:pStyle w:val="null3"/>
              <w:jc w:val="left"/>
            </w:pPr>
            <w:r>
              <w:rPr/>
              <w:t>投标人不得以任何形式将本项目转包和分包。(投标人应提供书面承诺)</w:t>
            </w:r>
          </w:p>
        </w:tc>
        <w:tc>
          <w:tcPr>
            <w:tcW w:type="dxa" w:w="2907"/>
          </w:tcPr>
          <w:p>
            <w:pPr>
              <w:pStyle w:val="null3"/>
              <w:jc w:val="left"/>
            </w:pPr>
            <w:r>
              <w:rPr/>
              <w:t>投标人不得以任何形式将本项目转包和分包。(投标人应提供书面承诺，并加盖公章)</w:t>
            </w:r>
          </w:p>
        </w:tc>
        <w:tc>
          <w:tcPr>
            <w:tcW w:type="dxa" w:w="1246"/>
          </w:tcPr>
          <w:p>
            <w:pPr>
              <w:pStyle w:val="null3"/>
              <w:jc w:val="left"/>
            </w:pPr>
            <w:r>
              <w:rPr/>
              <w:t>是</w:t>
            </w:r>
          </w:p>
        </w:tc>
        <w:tc>
          <w:tcPr>
            <w:tcW w:type="dxa" w:w="1246"/>
          </w:tcPr>
          <w:p>
            <w:pPr>
              <w:pStyle w:val="null3"/>
              <w:jc w:val="left"/>
            </w:pPr>
            <w:r>
              <w:rPr/>
              <w:t>承诺函</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中国人民银行征信中心</w:t>
      </w:r>
    </w:p>
    <w:p>
      <w:pPr>
        <w:pStyle w:val="null3"/>
        <w:jc w:val="left"/>
      </w:pPr>
      <w:r>
        <w:rPr/>
        <w:t xml:space="preserve"> 地址： </w:t>
      </w:r>
      <w:r>
        <w:rPr/>
        <w:t>上海市浦东新区繁昌路298号</w:t>
      </w:r>
    </w:p>
    <w:p>
      <w:pPr>
        <w:pStyle w:val="null3"/>
        <w:jc w:val="left"/>
      </w:pPr>
      <w:r>
        <w:rPr/>
        <w:t xml:space="preserve"> 邮编： </w:t>
      </w:r>
      <w:r>
        <w:rPr/>
        <w:t>201201</w:t>
      </w:r>
    </w:p>
    <w:p>
      <w:pPr>
        <w:pStyle w:val="null3"/>
        <w:jc w:val="left"/>
      </w:pPr>
      <w:r>
        <w:rPr/>
        <w:t xml:space="preserve"> 联系人： </w:t>
      </w:r>
      <w:r>
        <w:rPr/>
        <w:t>顾女士</w:t>
      </w:r>
    </w:p>
    <w:p>
      <w:pPr>
        <w:pStyle w:val="null3"/>
        <w:jc w:val="left"/>
      </w:pPr>
      <w:r>
        <w:rPr/>
        <w:t xml:space="preserve"> 联系电话： </w:t>
      </w:r>
      <w:r>
        <w:rPr/>
        <w:t>021-20679657</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100033</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010-66195317</w:t>
      </w:r>
    </w:p>
    <w:p>
      <w:pPr>
        <w:pStyle w:val="null3"/>
        <w:jc w:val="left"/>
      </w:pPr>
      <w:r>
        <w:rPr/>
        <w:t xml:space="preserve"> 联系人（开、评标咨询）： </w:t>
      </w:r>
      <w:r>
        <w:rPr/>
        <w:t>赵女士</w:t>
      </w:r>
    </w:p>
    <w:p>
      <w:pPr>
        <w:pStyle w:val="null3"/>
        <w:jc w:val="left"/>
      </w:pPr>
      <w:r>
        <w:rPr/>
        <w:t xml:space="preserve"> 联系电话（开、评标咨询）： </w:t>
      </w:r>
      <w:r>
        <w:rPr/>
        <w:t>010-66195465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 xml:space="preserve"> 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中标人签订采购合同时，应向采购人提交金额为合同总金额的5.0%的履约保证金。</w:t>
            </w:r>
          </w:p>
          <w:p>
            <w:pPr>
              <w:pStyle w:val="null3"/>
            </w:pPr>
            <w:r>
              <w:rPr/>
              <w:t>详见合同。</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 xml:space="preserve"> 交易系统发生故障（包括感染病毒、应用或数据库出错）而无法正常使用的；</w:t>
            </w:r>
          </w:p>
          <w:p>
            <w:pPr>
              <w:pStyle w:val="null3"/>
            </w:pPr>
            <w:r>
              <w:rPr/>
              <w:t xml:space="preserve"> 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为满足互联网信用信息服务平台升级和手机APP服务渠道建设需求</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中心签报、会议纪要、项目任务书</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采购满足需求的容器平台</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1套容器平台以及现场30人天服务</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本技术要求共有“★”指标66个，”#”指标39个，“▲”指标0个。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容器产品需兼容鲲鹏、海光等CPU芯片。</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支持对麒麟、统信、欧拉等操作系统环境进行部署。</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1.支持可视化创建Kubernetes集群，支持Kubernetes 1.21及以上多版本（如1.22, 1.26, 1.29等）。 2.支持运行基于jdk8及以上版本内嵌中间件应用制作的容器镜像。</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支持纳管第三方已有Kubernetes集群（包括开源K8s集群）。</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支持集群信息的统一展示与管理。</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支持集群配置更新、升级、删除等全生命周期操作。</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支持集群节点规模的弹性扩容与缩容。</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集群采用“管控集群+业务集群”或“主控节点（Master）+工作节点（Worker）”架构。</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主控节点（或管控集群）支持高可用部署，确保控制面稳定性。</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支持单集群从轻量三节点至数千节点的大规模扩展。</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支持节点的添加、删除、重启、密码修改等功能。</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支持通过前台界面或图形化操作进行节点管理。</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支持为节点设置标签（Label）和污点（Taint），并支持批量管理。</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支持通过标签实现工作负载的定向调度。</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支持在集群、分区（或项目）、租户、应用等多层级进行资源（CPU、内存、存储等）配额分配与管理。</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支持命名空间的创建、删除，作为资源隔离的基本单元。</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支持为命名空间设置资源配额（Resource Quota）和限制范围（Limit Range）。</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节点有故障自愈功能，可查看自愈通知及自愈执行历史记录。</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创建集群时，支持配置k8s版本、集群架构、运行时类型、容器数据盘和本地卷数据盘等。</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支持拓扑感知调度，支持 Pod 指定 NUMA node，指定核心，独占核心等精细调度方法，在延迟敏感的场景下，为Pod分配拓扑最优的节点和硬件，以提升硬件利用率和程序性能。</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基础与架构要求</w:t>
            </w:r>
          </w:p>
        </w:tc>
        <w:tc>
          <w:tcPr>
            <w:tcW w:type="dxa" w:w="1038"/>
          </w:tcPr>
          <w:p>
            <w:pPr>
              <w:pStyle w:val="null3"/>
            </w:pPr>
            <w:r>
              <w:rPr/>
              <w:t>基础与架构要求</w:t>
            </w:r>
          </w:p>
        </w:tc>
        <w:tc>
          <w:tcPr>
            <w:tcW w:type="dxa" w:w="1038"/>
          </w:tcPr>
          <w:p>
            <w:pPr>
              <w:pStyle w:val="null3"/>
            </w:pPr>
            <w:r>
              <w:rPr/>
              <w:t>支持对集群按需开启容器GPU虚拟化功能，通过多个容器共享GPU卡来提高利用率；提供不少于三种隔离策略进行选择：包括争抢模式、固定配额、保证配额加弹性能力。 容器GPU虚拟化方案需要具备以下特性：强隔离（支持显存、算力、故障的精准隔离）、灵活性（精细切分GPU算力及显存）、兼容性（业务无感知、CUDA不替换、不重编）、高性能（GPU驱动层虚拟化，近零损耗）。</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支持在创建集群时或创建集群后通过图形化界面选择多种主流CNI插件，如Calico、Flannel、Cilium等，支持按照IP形式导入节点信息，支持单个或批量添加节点。</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支持集群自动化部署所选CNI插件。</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支持Overlay和Underlay两种主流网络模式。</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支持基于Kubernetes NetworkPolicy实现命名空间和工作负载级别的网络微隔离。</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支持按命名空间或自定义规则配置网络策略，控制出入流量。</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支持配置不同租户间的网络访问策略，实现租户级网络隔离。</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支持Kubernetes原生Service类型：ClusterIP、NodePort、LoadBalancer。</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提供Service的可视化创建与管理。</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投标人满足以下要求： 1.支持Kubernetes Ingress，提供HTTP/HTTPS路由、SSL终止和负载均衡功能。 2.支持通过图形化界面配置Ingress规则（域名、路径、后端服务）。</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支持创建和管理四层（TCP/UDP）负载均衡器。</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支持创建和管理七层（HTTP/HTTPS）负载均衡器，支持高级路由策略与会话保持。</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投标人满足以下要求： 1.支持通过图形化拖拽的方式设置同一个应用里面不同的工作负载之间的依赖关系，包括依赖和被依赖关系。 2.在同一个集群中，可以使用多种网络方案，包括overlay和underlay类型，并可以在集群创建完成后，根据实际需求进行增加。</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支持创建4层负载均衡实例时指定负载均衡集群及指定VIP地址，提供精细的流量监控。</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支持用户自定义创建路由控制器（Ingress Controller）及指定VIP地址，满足业务独占Ingress Controller需求。</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租户级负载均衡支持租户添加自己的负载均衡器，一个租户可添加多个，每个负载均衡器可关联一个或多个应用。</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支持单个容器同时配置IPv4+IPv6地址，保证应用在IPv4或IPv6环境中自适应。</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支持服务容器实例IP地址固定，不会随着重启或漂移发生变化。</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支持子网保留IP、查看IP资源分配记录，满足网络IP审计要求。</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支持为子网创建集中式或分布式网关，支持子网出网流量的NAT策略。</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支持Pod级别SNAT功能，一组Pod可以共享一个IP地址对外访问。</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支持容器内访问外部物理数据库，外部服务调用容器中服务，需要非NAT的IP直通。</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网络与负载均衡</w:t>
            </w:r>
          </w:p>
        </w:tc>
        <w:tc>
          <w:tcPr>
            <w:tcW w:type="dxa" w:w="1038"/>
          </w:tcPr>
          <w:p>
            <w:pPr>
              <w:pStyle w:val="null3"/>
            </w:pPr>
            <w:r>
              <w:rPr/>
              <w:t>网络与负载均衡</w:t>
            </w:r>
          </w:p>
        </w:tc>
        <w:tc>
          <w:tcPr>
            <w:tcW w:type="dxa" w:w="1038"/>
          </w:tcPr>
          <w:p>
            <w:pPr>
              <w:pStyle w:val="null3"/>
            </w:pPr>
            <w:r>
              <w:rPr/>
              <w:t>提供基于eBPF实现的高性能四层负载均衡，支持源IP可见。</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存储管理</w:t>
            </w:r>
          </w:p>
        </w:tc>
        <w:tc>
          <w:tcPr>
            <w:tcW w:type="dxa" w:w="1038"/>
          </w:tcPr>
          <w:p>
            <w:pPr>
              <w:pStyle w:val="null3"/>
            </w:pPr>
            <w:r>
              <w:rPr/>
              <w:t>支持创建和管理存储池，实现持久卷（PV）的动态供给（Dynamic Provisioning）。</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存储管理</w:t>
            </w:r>
          </w:p>
        </w:tc>
        <w:tc>
          <w:tcPr>
            <w:tcW w:type="dxa" w:w="1038"/>
          </w:tcPr>
          <w:p>
            <w:pPr>
              <w:pStyle w:val="null3"/>
            </w:pPr>
            <w:r>
              <w:rPr/>
              <w:t>支持PVC和PV的全生命周期可视化管理（创建、绑定、删除、查看状态）。</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存储管理</w:t>
            </w:r>
          </w:p>
        </w:tc>
        <w:tc>
          <w:tcPr>
            <w:tcW w:type="dxa" w:w="1038"/>
          </w:tcPr>
          <w:p>
            <w:pPr>
              <w:pStyle w:val="null3"/>
            </w:pPr>
            <w:r>
              <w:rPr/>
              <w:t>支持PVC的在线扩容。</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存储管理</w:t>
            </w:r>
          </w:p>
        </w:tc>
        <w:tc>
          <w:tcPr>
            <w:tcW w:type="dxa" w:w="1038"/>
          </w:tcPr>
          <w:p>
            <w:pPr>
              <w:pStyle w:val="null3"/>
            </w:pPr>
            <w:r>
              <w:rPr/>
              <w:t>支持对接NFS、Ceph等主流存储系统。</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存储管理</w:t>
            </w:r>
          </w:p>
        </w:tc>
        <w:tc>
          <w:tcPr>
            <w:tcW w:type="dxa" w:w="1038"/>
          </w:tcPr>
          <w:p>
            <w:pPr>
              <w:pStyle w:val="null3"/>
            </w:pPr>
            <w:r>
              <w:rPr/>
              <w:t>支持CSI标准，可扩展对接符合CSI接口的第三方存储。</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存储管理</w:t>
            </w:r>
          </w:p>
        </w:tc>
        <w:tc>
          <w:tcPr>
            <w:tcW w:type="dxa" w:w="1038"/>
          </w:tcPr>
          <w:p>
            <w:pPr>
              <w:pStyle w:val="null3"/>
            </w:pPr>
            <w:r>
              <w:rPr/>
              <w:t>支持使用本地持久卷，满足低延迟、高吞吐需求。</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存储管理</w:t>
            </w:r>
          </w:p>
        </w:tc>
        <w:tc>
          <w:tcPr>
            <w:tcW w:type="dxa" w:w="1038"/>
          </w:tcPr>
          <w:p>
            <w:pPr>
              <w:pStyle w:val="null3"/>
            </w:pPr>
            <w:r>
              <w:rPr/>
              <w:t>提供基于LVM的Kubernetes本地持久化存储管理能力，自动化管理节点本地磁盘。</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存储管理</w:t>
            </w:r>
          </w:p>
        </w:tc>
        <w:tc>
          <w:tcPr>
            <w:tcW w:type="dxa" w:w="1038"/>
          </w:tcPr>
          <w:p>
            <w:pPr>
              <w:pStyle w:val="null3"/>
            </w:pPr>
            <w:r>
              <w:rPr/>
              <w:t>存储管理</w:t>
            </w:r>
          </w:p>
        </w:tc>
        <w:tc>
          <w:tcPr>
            <w:tcW w:type="dxa" w:w="1038"/>
          </w:tcPr>
          <w:p>
            <w:pPr>
              <w:pStyle w:val="null3"/>
            </w:pPr>
            <w:r>
              <w:rPr/>
              <w:t>支持容量配额和基于策略清理的高级临时卷，适用于存放日志的场景；支持两种回收方式：工作负载删除后立即回收、根据系统策略回收。</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支持Kubernetes原生工作负载：Deployment、StatefulSet、DaemonSet、Job、CronJob的可视化创建与管理。</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支持设置容器镜像、资源限制、环境变量、健康检查、数据卷挂载等。</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支持配置与管理ConfigMap和Secret。</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支持工作负载的水平自动伸缩（HPA），可基于CPU、内存等指标。</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支持滚动更新、蓝绿发布等应用更新策略。</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支持版本回滚。</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支持基于节点标签、污点的调度。</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支持Pod间亲和性与反亲和性（Affinity/Anti-affinity）调度。</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1.支持通过exec命令，可以在Web控制台窗口中进入容器实例进行命令行操作。 2.支持使用文件传输功能，方便地上传和下载容器中的文件和日志，以调试容器。</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平台支持集成 Registry、Harbor 镜像仓库，由平台管理员统一添加仓库，不同租户通过独立 Harbor 账号集成，兼容http和https协议，且仓库访问地址支持域名输入。</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投标人满足以下要求： 1.支持多仓库管理及多仓库关联至同一集群，可修改仓库信息。 2.支持镜像上传、下载、推送至目标仓库及从目标仓库拉取，可捕获运行中容器生成镜像；支持对镜像设置标签、标识（最新 / 被使用 / 下线），并能一键复制镜像名称及版本号，同时可按标识快速查询镜像。 3.支持公共镜像与私有镜像，私有镜像按租户隔离；提供镜像安全扫描功能，并支持对镜像版本进行锁定 / 解锁（含批量操作），锁定后禁止覆盖与删除；支持手动或自动归档镜像，以及手动批量清理镜像版本。</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支持对Pod进行原地升配，不需要重建Pod。</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支持固定Pod IP、Pod原地升级，更新工作负载时支持分批升级（手动分批更新和自动分批更新）。</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投标人满足以下要求： 1.支持镜像回收策略，默认保留最新10个版本，策略类型可按时间或版本数量设置。 2.提供多维度镜像图表统计，包括按目录统计、仓库总数、镜像总数、已扫描/未扫描数量及下载次数等。</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支持多集群工作负载的生命周期管理，类型包括Deployment、StatefulSet；支持跨集群调度的分发策略，包括按集群权重比例分发和复制分发。</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应用与工作负载管理</w:t>
            </w:r>
          </w:p>
        </w:tc>
        <w:tc>
          <w:tcPr>
            <w:tcW w:type="dxa" w:w="1038"/>
          </w:tcPr>
          <w:p>
            <w:pPr>
              <w:pStyle w:val="null3"/>
            </w:pPr>
            <w:r>
              <w:rPr/>
              <w:t>应用与工作负载管理</w:t>
            </w:r>
          </w:p>
        </w:tc>
        <w:tc>
          <w:tcPr>
            <w:tcW w:type="dxa" w:w="1038"/>
          </w:tcPr>
          <w:p>
            <w:pPr>
              <w:pStyle w:val="null3"/>
            </w:pPr>
            <w:r>
              <w:rPr/>
              <w:t>支持应用可视化编排，提供不少于两种类型的应用模板，包含：支持基于社区标准规范OAM模型实现界面可视化编排容器应用以及与数据库/中间件的混合编排；以及支持社区标准规范Helm Chart。</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安全与权限管理</w:t>
            </w:r>
          </w:p>
        </w:tc>
        <w:tc>
          <w:tcPr>
            <w:tcW w:type="dxa" w:w="1038"/>
          </w:tcPr>
          <w:p>
            <w:pPr>
              <w:pStyle w:val="null3"/>
            </w:pPr>
            <w:r>
              <w:rPr/>
              <w:t>安全与权限管理</w:t>
            </w:r>
          </w:p>
        </w:tc>
        <w:tc>
          <w:tcPr>
            <w:tcW w:type="dxa" w:w="1038"/>
          </w:tcPr>
          <w:p>
            <w:pPr>
              <w:pStyle w:val="null3"/>
            </w:pPr>
            <w:r>
              <w:rPr/>
              <w:t>支持多租户模型，实现租户间的资源与权限隔离。</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安全与权限管理</w:t>
            </w:r>
          </w:p>
        </w:tc>
        <w:tc>
          <w:tcPr>
            <w:tcW w:type="dxa" w:w="1038"/>
          </w:tcPr>
          <w:p>
            <w:pPr>
              <w:pStyle w:val="null3"/>
            </w:pPr>
            <w:r>
              <w:rPr/>
              <w:t>安全与权限管理</w:t>
            </w:r>
          </w:p>
        </w:tc>
        <w:tc>
          <w:tcPr>
            <w:tcW w:type="dxa" w:w="1038"/>
          </w:tcPr>
          <w:p>
            <w:pPr>
              <w:pStyle w:val="null3"/>
            </w:pPr>
            <w:r>
              <w:rPr/>
              <w:t>支持项目的创建与管理，作为租户内资源分组和权限控制的单元。</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安全与权限管理</w:t>
            </w:r>
          </w:p>
        </w:tc>
        <w:tc>
          <w:tcPr>
            <w:tcW w:type="dxa" w:w="1038"/>
          </w:tcPr>
          <w:p>
            <w:pPr>
              <w:pStyle w:val="null3"/>
            </w:pPr>
            <w:r>
              <w:rPr/>
              <w:t>安全与权限管理</w:t>
            </w:r>
          </w:p>
        </w:tc>
        <w:tc>
          <w:tcPr>
            <w:tcW w:type="dxa" w:w="1038"/>
          </w:tcPr>
          <w:p>
            <w:pPr>
              <w:pStyle w:val="null3"/>
            </w:pPr>
            <w:r>
              <w:rPr/>
              <w:t>提供基于角色的访问控制（RBAC），支持系统内置角色和自定义角色。</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安全与权限管理</w:t>
            </w:r>
          </w:p>
        </w:tc>
        <w:tc>
          <w:tcPr>
            <w:tcW w:type="dxa" w:w="1038"/>
          </w:tcPr>
          <w:p>
            <w:pPr>
              <w:pStyle w:val="null3"/>
            </w:pPr>
            <w:r>
              <w:rPr/>
              <w:t>安全与权限管理</w:t>
            </w:r>
          </w:p>
        </w:tc>
        <w:tc>
          <w:tcPr>
            <w:tcW w:type="dxa" w:w="1038"/>
          </w:tcPr>
          <w:p>
            <w:pPr>
              <w:pStyle w:val="null3"/>
            </w:pPr>
            <w:r>
              <w:rPr/>
              <w:t>支持用户、用户组管理，支持与LDAP等外部身份源集成。</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安全与权限管理</w:t>
            </w:r>
          </w:p>
        </w:tc>
        <w:tc>
          <w:tcPr>
            <w:tcW w:type="dxa" w:w="1038"/>
          </w:tcPr>
          <w:p>
            <w:pPr>
              <w:pStyle w:val="null3"/>
            </w:pPr>
            <w:r>
              <w:rPr/>
              <w:t>安全与权限管理</w:t>
            </w:r>
          </w:p>
        </w:tc>
        <w:tc>
          <w:tcPr>
            <w:tcW w:type="dxa" w:w="1038"/>
          </w:tcPr>
          <w:p>
            <w:pPr>
              <w:pStyle w:val="null3"/>
            </w:pPr>
            <w:r>
              <w:rPr/>
              <w:t>支持可视化创建cluster级别和namespace级别的kubeconfig文件，为用户登录集群提供相关登录权限，并支持禁用/启用、下载、删除config文件。</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安全与权限管理</w:t>
            </w:r>
          </w:p>
        </w:tc>
        <w:tc>
          <w:tcPr>
            <w:tcW w:type="dxa" w:w="1038"/>
          </w:tcPr>
          <w:p>
            <w:pPr>
              <w:pStyle w:val="null3"/>
            </w:pPr>
            <w:r>
              <w:rPr/>
              <w:t>安全与权限管理</w:t>
            </w:r>
          </w:p>
        </w:tc>
        <w:tc>
          <w:tcPr>
            <w:tcW w:type="dxa" w:w="1038"/>
          </w:tcPr>
          <w:p>
            <w:pPr>
              <w:pStyle w:val="null3"/>
            </w:pPr>
            <w:r>
              <w:rPr/>
              <w:t>投标人满足以下要求： 1.支持通过后台模式配置容器安全策略，对容器进行安全管控，例如限制启动特权容器、限制容器使用主机IPC模式、主机网络模式等。 2.支持配置用户密码安全（强制定期更改密码）、用户禁用（禁用长期不活动的账户）、登录失败锁定、双因素认证等用户安全策略。</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安全与权限管理</w:t>
            </w:r>
          </w:p>
        </w:tc>
        <w:tc>
          <w:tcPr>
            <w:tcW w:type="dxa" w:w="1038"/>
          </w:tcPr>
          <w:p>
            <w:pPr>
              <w:pStyle w:val="null3"/>
            </w:pPr>
            <w:r>
              <w:rPr/>
              <w:t>安全与权限管理</w:t>
            </w:r>
          </w:p>
        </w:tc>
        <w:tc>
          <w:tcPr>
            <w:tcW w:type="dxa" w:w="1038"/>
          </w:tcPr>
          <w:p>
            <w:pPr>
              <w:pStyle w:val="null3"/>
            </w:pPr>
            <w:r>
              <w:rPr/>
              <w:t>支持对镜像进行漏洞（CVE）扫描，并生成扫描报告。</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安全与权限管理</w:t>
            </w:r>
          </w:p>
        </w:tc>
        <w:tc>
          <w:tcPr>
            <w:tcW w:type="dxa" w:w="1038"/>
          </w:tcPr>
          <w:p>
            <w:pPr>
              <w:pStyle w:val="null3"/>
            </w:pPr>
            <w:r>
              <w:rPr/>
              <w:t>安全与权限管理</w:t>
            </w:r>
          </w:p>
        </w:tc>
        <w:tc>
          <w:tcPr>
            <w:tcW w:type="dxa" w:w="1038"/>
          </w:tcPr>
          <w:p>
            <w:pPr>
              <w:pStyle w:val="null3"/>
            </w:pPr>
            <w:r>
              <w:rPr/>
              <w:t>支持对Kubernetes集群进行安全配置扫描与漏洞扫描。</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提供集群、节点、Pod、容器等多层级的CPU、内存、磁盘、网络等核心指标监控。</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支持按Master节点、Worker节点维度查看监控数据。</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支持对Kubernetes核心组件（apiserver、controller-manager、scheduler、etcd）的运行状态与指标进行监控展示。</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提供统一的日志查询界面，支持按应用、服务、实例、关键词等进行检索。</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支持对监控指标（如CPU使用率）设置告警规则与阈值。</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支持告警历史记录的查询。</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支持接入第三方监控工具告警，如zabbix、Prometheus等。</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记录平台用户的关键操作行为，并提供查询功能，用于安全审计与追溯。</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投标人满足以下要求： 1.支持日志归档方案，支持将日志转储至外部存储。 2.支持ES和Clickhouse作为平台日志存储的后端组件，可按集群选择部署。</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告警策略：支持基于指标或事件创建告警策略，可指定告警名称、告警等级。针对指标规则，可以设置静态阈值/动态阈值（跟某一历史基线值）、单指标告警/多指标组合告警、设置指标或事件规则的持续时间，提供默认告警策略，开箱即用。</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支持对容器平台和业务集群进行巡检，巡检项包含集群、主机、容器平台组件、Pod、镜像仓库、license证书、备份任务等。</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支持创建巡检任务时自主选择巡检指标和自定义巡检指标项阈值，支持手动或周期性巡检。</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投标人满足以下要求： 1.支持成本管理与优化，监控、分析和可视化集群内资源消耗的成本分布。 2.支持容器规格智能推荐，基于历史数据推荐合理资源规格，一键修正，支持POD资源规格和副本数量智能推荐。</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支持通过图形化拖拽的方式设置同一个应用里面不同的工作负载之间的依赖关系，包括依赖和被依赖关系。</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支持应用状态诊断，显示应用各组件的真实状态，并提供修复建议。</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运维与可观测性</w:t>
            </w:r>
          </w:p>
        </w:tc>
        <w:tc>
          <w:tcPr>
            <w:tcW w:type="dxa" w:w="1038"/>
          </w:tcPr>
          <w:p>
            <w:pPr>
              <w:pStyle w:val="null3"/>
            </w:pPr>
            <w:r>
              <w:rPr/>
              <w:t>运维与可观测性</w:t>
            </w:r>
          </w:p>
        </w:tc>
        <w:tc>
          <w:tcPr>
            <w:tcW w:type="dxa" w:w="1038"/>
          </w:tcPr>
          <w:p>
            <w:pPr>
              <w:pStyle w:val="null3"/>
            </w:pPr>
            <w:r>
              <w:rPr/>
              <w:t>告警策略：支持基于指标或事件创建告警策略，可指定告警名称、告警等级。针对指标规则，可以设置静态阈值/动态阈值（跟某一历史基线值）、单指标告警/多指标组合告警、设置指标或事件规则的持续时间，提供默认告警策略，开箱即用。</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高可用与灾备</w:t>
            </w:r>
          </w:p>
        </w:tc>
        <w:tc>
          <w:tcPr>
            <w:tcW w:type="dxa" w:w="1038"/>
          </w:tcPr>
          <w:p>
            <w:pPr>
              <w:pStyle w:val="null3"/>
            </w:pPr>
            <w:r>
              <w:rPr/>
              <w:t>高可用与灾备</w:t>
            </w:r>
          </w:p>
        </w:tc>
        <w:tc>
          <w:tcPr>
            <w:tcW w:type="dxa" w:w="1038"/>
          </w:tcPr>
          <w:p>
            <w:pPr>
              <w:pStyle w:val="null3"/>
            </w:pPr>
            <w:r>
              <w:rPr/>
              <w:t>支持对集群的Kubernetes资源及配置进行备份，并可基于备份恢复或创建新集群。</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高可用与灾备</w:t>
            </w:r>
          </w:p>
        </w:tc>
        <w:tc>
          <w:tcPr>
            <w:tcW w:type="dxa" w:w="1038"/>
          </w:tcPr>
          <w:p>
            <w:pPr>
              <w:pStyle w:val="null3"/>
            </w:pPr>
            <w:r>
              <w:rPr/>
              <w:t>高可用与灾备</w:t>
            </w:r>
          </w:p>
        </w:tc>
        <w:tc>
          <w:tcPr>
            <w:tcW w:type="dxa" w:w="1038"/>
          </w:tcPr>
          <w:p>
            <w:pPr>
              <w:pStyle w:val="null3"/>
            </w:pPr>
            <w:r>
              <w:rPr/>
              <w:t>支持基础的备份策略管理（手动/定期）。</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高可用与灾备</w:t>
            </w:r>
          </w:p>
        </w:tc>
        <w:tc>
          <w:tcPr>
            <w:tcW w:type="dxa" w:w="1038"/>
          </w:tcPr>
          <w:p>
            <w:pPr>
              <w:pStyle w:val="null3"/>
            </w:pPr>
            <w:r>
              <w:rPr/>
              <w:t>高可用与灾备</w:t>
            </w:r>
          </w:p>
        </w:tc>
        <w:tc>
          <w:tcPr>
            <w:tcW w:type="dxa" w:w="1038"/>
          </w:tcPr>
          <w:p>
            <w:pPr>
              <w:pStyle w:val="null3"/>
            </w:pPr>
            <w:r>
              <w:rPr/>
              <w:t>提供备份中心功能，可以备份平台中管控集群和业务子集群中各种资源配置和存储数据，支持按需添加备份存储。</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高可用与灾备</w:t>
            </w:r>
          </w:p>
        </w:tc>
        <w:tc>
          <w:tcPr>
            <w:tcW w:type="dxa" w:w="1038"/>
          </w:tcPr>
          <w:p>
            <w:pPr>
              <w:pStyle w:val="null3"/>
            </w:pPr>
            <w:r>
              <w:rPr/>
              <w:t>高可用与灾备</w:t>
            </w:r>
          </w:p>
        </w:tc>
        <w:tc>
          <w:tcPr>
            <w:tcW w:type="dxa" w:w="1038"/>
          </w:tcPr>
          <w:p>
            <w:pPr>
              <w:pStyle w:val="null3"/>
            </w:pPr>
            <w:r>
              <w:rPr/>
              <w:t>支持通过原生Velero格式的备份数据在平台上恢复成新的业务集群；恢复K8S资源和工作负载时，提供忽略和覆盖两种选项。</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高可用与灾备</w:t>
            </w:r>
          </w:p>
        </w:tc>
        <w:tc>
          <w:tcPr>
            <w:tcW w:type="dxa" w:w="1038"/>
          </w:tcPr>
          <w:p>
            <w:pPr>
              <w:pStyle w:val="null3"/>
            </w:pPr>
            <w:r>
              <w:rPr/>
              <w:t>高可用与灾备</w:t>
            </w:r>
          </w:p>
        </w:tc>
        <w:tc>
          <w:tcPr>
            <w:tcW w:type="dxa" w:w="1038"/>
          </w:tcPr>
          <w:p>
            <w:pPr>
              <w:pStyle w:val="null3"/>
            </w:pPr>
            <w:r>
              <w:rPr/>
              <w:t>支持跨LTS版本升级，基于声明式运维理念，通过预检、自动化编排和状态监控确保升级过程高可用。</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高可用与灾备</w:t>
            </w:r>
          </w:p>
        </w:tc>
        <w:tc>
          <w:tcPr>
            <w:tcW w:type="dxa" w:w="1038"/>
          </w:tcPr>
          <w:p>
            <w:pPr>
              <w:pStyle w:val="null3"/>
            </w:pPr>
            <w:r>
              <w:rPr/>
              <w:t>高可用与灾备</w:t>
            </w:r>
          </w:p>
        </w:tc>
        <w:tc>
          <w:tcPr>
            <w:tcW w:type="dxa" w:w="1038"/>
          </w:tcPr>
          <w:p>
            <w:pPr>
              <w:pStyle w:val="null3"/>
            </w:pPr>
            <w:r>
              <w:rPr/>
              <w:t>支持快速、可靠的平台回滚机制，当升级后出现未预期问题时能够迅速回退至稳定状态。</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高可用与灾备</w:t>
            </w:r>
          </w:p>
        </w:tc>
        <w:tc>
          <w:tcPr>
            <w:tcW w:type="dxa" w:w="1038"/>
          </w:tcPr>
          <w:p>
            <w:pPr>
              <w:pStyle w:val="null3"/>
            </w:pPr>
            <w:r>
              <w:rPr/>
              <w:t>高可用与灾备</w:t>
            </w:r>
          </w:p>
        </w:tc>
        <w:tc>
          <w:tcPr>
            <w:tcW w:type="dxa" w:w="1038"/>
          </w:tcPr>
          <w:p>
            <w:pPr>
              <w:pStyle w:val="null3"/>
            </w:pPr>
            <w:r>
              <w:rPr/>
              <w:t>支持平台级灾备恢复方案，能够在主站点发生故障时，将业务快速切换到备站点。</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高可用与灾备</w:t>
            </w:r>
          </w:p>
        </w:tc>
        <w:tc>
          <w:tcPr>
            <w:tcW w:type="dxa" w:w="1038"/>
          </w:tcPr>
          <w:p>
            <w:pPr>
              <w:pStyle w:val="null3"/>
            </w:pPr>
            <w:r>
              <w:rPr/>
              <w:t>高可用与灾备</w:t>
            </w:r>
          </w:p>
        </w:tc>
        <w:tc>
          <w:tcPr>
            <w:tcW w:type="dxa" w:w="1038"/>
          </w:tcPr>
          <w:p>
            <w:pPr>
              <w:pStyle w:val="null3"/>
            </w:pPr>
            <w:r>
              <w:rPr/>
              <w:t>支持重调度，可将部分不合理的 Pod 重新调度到合适的节点上，提升资源利用率。</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高可用与灾备</w:t>
            </w:r>
          </w:p>
        </w:tc>
        <w:tc>
          <w:tcPr>
            <w:tcW w:type="dxa" w:w="1038"/>
          </w:tcPr>
          <w:p>
            <w:pPr>
              <w:pStyle w:val="null3"/>
            </w:pPr>
            <w:r>
              <w:rPr/>
              <w:t>高可用与灾备</w:t>
            </w:r>
          </w:p>
        </w:tc>
        <w:tc>
          <w:tcPr>
            <w:tcW w:type="dxa" w:w="1038"/>
          </w:tcPr>
          <w:p>
            <w:pPr>
              <w:pStyle w:val="null3"/>
            </w:pPr>
            <w:r>
              <w:rPr/>
              <w:t>支持动态调度，调度时感知 pod 的真实负载以平衡节点之间的负载，提升稳定性，避免原生调度器基于资源请求调度可能造成的节点负载不均匀。</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许可</w:t>
            </w:r>
          </w:p>
        </w:tc>
        <w:tc>
          <w:tcPr>
            <w:tcW w:type="dxa" w:w="1038"/>
          </w:tcPr>
          <w:p>
            <w:pPr>
              <w:pStyle w:val="null3"/>
            </w:pPr>
            <w:r>
              <w:rPr/>
              <w:t>许可</w:t>
            </w:r>
          </w:p>
        </w:tc>
        <w:tc>
          <w:tcPr>
            <w:tcW w:type="dxa" w:w="1038"/>
          </w:tcPr>
          <w:p>
            <w:pPr>
              <w:pStyle w:val="null3"/>
            </w:pPr>
            <w:r>
              <w:rPr/>
              <w:t>提供生产环境不少于1440C的work节点永久授权许可（至少提供2个物理隔离的集群，master许可不受限制），部署的集群数由招标人自由分配。</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容器平台</w:t>
            </w:r>
          </w:p>
        </w:tc>
        <w:tc>
          <w:tcPr>
            <w:tcW w:type="dxa" w:w="1038"/>
          </w:tcPr>
          <w:p>
            <w:pPr>
              <w:pStyle w:val="null3"/>
            </w:pPr>
            <w:r>
              <w:rPr/>
              <w:t>★</w:t>
            </w:r>
          </w:p>
        </w:tc>
        <w:tc>
          <w:tcPr>
            <w:tcW w:type="dxa" w:w="1038"/>
          </w:tcPr>
          <w:p>
            <w:pPr>
              <w:pStyle w:val="null3"/>
            </w:pPr>
            <w:r>
              <w:rPr/>
              <w:t>许可</w:t>
            </w:r>
          </w:p>
        </w:tc>
        <w:tc>
          <w:tcPr>
            <w:tcW w:type="dxa" w:w="1038"/>
          </w:tcPr>
          <w:p>
            <w:pPr>
              <w:pStyle w:val="null3"/>
            </w:pPr>
            <w:r>
              <w:rPr/>
              <w:t>许可</w:t>
            </w:r>
          </w:p>
        </w:tc>
        <w:tc>
          <w:tcPr>
            <w:tcW w:type="dxa" w:w="1038"/>
          </w:tcPr>
          <w:p>
            <w:pPr>
              <w:pStyle w:val="null3"/>
            </w:pPr>
            <w:r>
              <w:rPr/>
              <w:t>提供与所投产品相同版本的软件永久使用许可供招标人搭建开发及测试环境，每个环境不少于1440C许可授权。</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现场人天服务</w:t>
            </w:r>
          </w:p>
        </w:tc>
        <w:tc>
          <w:tcPr>
            <w:tcW w:type="dxa" w:w="1038"/>
          </w:tcPr>
          <w:p>
            <w:pPr>
              <w:pStyle w:val="null3"/>
            </w:pPr>
            <w:r>
              <w:rPr/>
              <w:t>★</w:t>
            </w:r>
          </w:p>
        </w:tc>
        <w:tc>
          <w:tcPr>
            <w:tcW w:type="dxa" w:w="1038"/>
          </w:tcPr>
          <w:p>
            <w:pPr>
              <w:pStyle w:val="null3"/>
            </w:pPr>
            <w:r>
              <w:rPr/>
              <w:t>基本要求</w:t>
            </w:r>
          </w:p>
        </w:tc>
        <w:tc>
          <w:tcPr>
            <w:tcW w:type="dxa" w:w="1038"/>
          </w:tcPr>
          <w:p>
            <w:pPr>
              <w:pStyle w:val="null3"/>
            </w:pPr>
            <w:r>
              <w:rPr/>
              <w:t>基本要求</w:t>
            </w:r>
          </w:p>
        </w:tc>
        <w:tc>
          <w:tcPr>
            <w:tcW w:type="dxa" w:w="1038"/>
          </w:tcPr>
          <w:p>
            <w:pPr>
              <w:pStyle w:val="null3"/>
            </w:pPr>
            <w:r>
              <w:rPr/>
              <w:t>1.由原厂工程师提供的30现场人天服务，根据人天使用情况据实结算，且通过最终验收前的现场服务不占用人天服务。 2.服务内容包括但不限于现场技术支持、节假日及重点保障时期现场值守及软件预防性维护等。 3.现场技术支持服务的工程师应需具备丰富的与本次采购产品相关的问题处理经验，若提供服务的工程师未能有效解决问题，则本次服务不计入人天使用量，且招标人有权要求更换能够解决问题的资深专家。 4.按照工程师在招标人现场的实际有效工作时间计算人天，原则上8小时为1人天。</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现场人天服务</w:t>
            </w:r>
          </w:p>
        </w:tc>
        <w:tc>
          <w:tcPr>
            <w:tcW w:type="dxa" w:w="1038"/>
          </w:tcPr>
          <w:p>
            <w:pPr>
              <w:pStyle w:val="null3"/>
            </w:pPr>
            <w:r>
              <w:rPr/>
              <w:t>★</w:t>
            </w:r>
          </w:p>
        </w:tc>
        <w:tc>
          <w:tcPr>
            <w:tcW w:type="dxa" w:w="1038"/>
          </w:tcPr>
          <w:p>
            <w:pPr>
              <w:pStyle w:val="null3"/>
            </w:pPr>
            <w:r>
              <w:rPr/>
              <w:t>验收要求</w:t>
            </w:r>
          </w:p>
        </w:tc>
        <w:tc>
          <w:tcPr>
            <w:tcW w:type="dxa" w:w="1038"/>
          </w:tcPr>
          <w:p>
            <w:pPr>
              <w:pStyle w:val="null3"/>
            </w:pPr>
            <w:r>
              <w:rPr/>
              <w:t>验收要求</w:t>
            </w:r>
          </w:p>
        </w:tc>
        <w:tc>
          <w:tcPr>
            <w:tcW w:type="dxa" w:w="1038"/>
          </w:tcPr>
          <w:p>
            <w:pPr>
              <w:pStyle w:val="null3"/>
            </w:pPr>
            <w:r>
              <w:rPr/>
              <w:t>1.质量保障服务期开始后，招标人每6个月开展一次现场人天服务验收，验收合格后,由招标人开具验收单，中标人对验收单进行书面认定（即其法定代表人或授权代表签字且加盖单位公章），且当中标人拒绝书面认定验收单时，即视为同意验收单内容。 2.招标人在每6个月服务周期结束后60个日历日内完成阶段验收。</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现场人天服务</w:t>
            </w:r>
          </w:p>
        </w:tc>
        <w:tc>
          <w:tcPr>
            <w:tcW w:type="dxa" w:w="1038"/>
          </w:tcPr>
          <w:p>
            <w:pPr>
              <w:pStyle w:val="null3"/>
            </w:pPr>
            <w:r>
              <w:rPr/>
              <w:t>★</w:t>
            </w:r>
          </w:p>
        </w:tc>
        <w:tc>
          <w:tcPr>
            <w:tcW w:type="dxa" w:w="1038"/>
          </w:tcPr>
          <w:p>
            <w:pPr>
              <w:pStyle w:val="null3"/>
            </w:pPr>
            <w:r>
              <w:rPr/>
              <w:t>验收标准</w:t>
            </w:r>
          </w:p>
        </w:tc>
        <w:tc>
          <w:tcPr>
            <w:tcW w:type="dxa" w:w="1038"/>
          </w:tcPr>
          <w:p>
            <w:pPr>
              <w:pStyle w:val="null3"/>
            </w:pPr>
            <w:r>
              <w:rPr/>
              <w:t>验收标准</w:t>
            </w:r>
          </w:p>
        </w:tc>
        <w:tc>
          <w:tcPr>
            <w:tcW w:type="dxa" w:w="1038"/>
          </w:tcPr>
          <w:p>
            <w:pPr>
              <w:pStyle w:val="null3"/>
            </w:pPr>
            <w:r>
              <w:rPr/>
              <w:t>现场人天服务验收合格必须至少满足以下要求： 1.中标人已按合同要求完成现场技术支持、节假日及重点保障时期现场值守及软件预防性维护等相关工作，且出现的问题已被解决。 2.中标人已按合同要求提供了相关产物资料。</w:t>
            </w:r>
          </w:p>
        </w:tc>
        <w:tc>
          <w:tcPr>
            <w:tcW w:type="dxa" w:w="1038"/>
          </w:tcPr>
          <w:p>
            <w:pPr>
              <w:pStyle w:val="null3"/>
            </w:pPr>
            <w:r>
              <w:rPr/>
              <w:t>否</w:t>
            </w:r>
          </w:p>
        </w:tc>
        <w:tc>
          <w:tcPr>
            <w:tcW w:type="dxa" w:w="1038"/>
          </w:tcPr>
          <w:p/>
        </w:tc>
      </w:tr>
    </w:tbl>
    <w:p>
      <w:pPr>
        <w:pStyle w:val="null3"/>
        <w:jc w:val="both"/>
      </w:pPr>
      <w:r>
        <w:rPr/>
        <w:t>本商务要求共有“★”指标26个，”#”指标2个，“▲”指标0个。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货物交付与到货验收要求</w:t>
            </w:r>
          </w:p>
        </w:tc>
        <w:tc>
          <w:tcPr>
            <w:tcW w:type="dxa" w:w="1038"/>
          </w:tcPr>
          <w:p>
            <w:pPr>
              <w:pStyle w:val="null3"/>
            </w:pPr>
            <w:r>
              <w:rPr/>
              <w:t>★</w:t>
            </w:r>
          </w:p>
        </w:tc>
        <w:tc>
          <w:tcPr>
            <w:tcW w:type="dxa" w:w="1038"/>
          </w:tcPr>
          <w:p>
            <w:pPr>
              <w:pStyle w:val="null3"/>
            </w:pPr>
            <w:r>
              <w:rPr/>
              <w:t>到货时间与地点要求</w:t>
            </w:r>
          </w:p>
        </w:tc>
        <w:tc>
          <w:tcPr>
            <w:tcW w:type="dxa" w:w="1038"/>
          </w:tcPr>
          <w:p>
            <w:pPr>
              <w:pStyle w:val="null3"/>
            </w:pPr>
            <w:r>
              <w:rPr/>
              <w:t>到货时间与地点要求</w:t>
            </w:r>
          </w:p>
        </w:tc>
        <w:tc>
          <w:tcPr>
            <w:tcW w:type="dxa" w:w="1038"/>
          </w:tcPr>
          <w:p>
            <w:pPr>
              <w:pStyle w:val="null3"/>
              <w:jc w:val="both"/>
            </w:pPr>
            <w:r>
              <w:rPr>
                <w:rFonts w:ascii="仿宋" w:hAnsi="仿宋" w:cs="仿宋" w:eastAsia="仿宋"/>
                <w:sz w:val="24"/>
              </w:rPr>
              <w:t>到货时间：中标人应在收到招标人通知后的</w:t>
            </w:r>
            <w:r>
              <w:rPr>
                <w:rFonts w:ascii="仿宋" w:hAnsi="仿宋" w:cs="仿宋" w:eastAsia="仿宋"/>
                <w:sz w:val="24"/>
              </w:rPr>
              <w:t>30个日历日内，根据招标人要求完成到货，具体时间以招标人通知为准，招标人有权根据实际情况对到货安排进行调整。</w:t>
            </w:r>
          </w:p>
          <w:p>
            <w:pPr>
              <w:pStyle w:val="null3"/>
              <w:jc w:val="both"/>
            </w:pPr>
            <w:r>
              <w:rPr>
                <w:rFonts w:ascii="仿宋" w:hAnsi="仿宋" w:cs="仿宋" w:eastAsia="仿宋"/>
                <w:sz w:val="24"/>
              </w:rPr>
              <w:t>到货地点：上海、天津两地的招标人指定场所。</w:t>
            </w:r>
          </w:p>
          <w:p>
            <w:pPr>
              <w:pStyle w:val="null3"/>
            </w:pPr>
            <w:r>
              <w:rPr>
                <w:rFonts w:ascii="仿宋" w:hAnsi="仿宋" w:cs="仿宋" w:eastAsia="仿宋"/>
                <w:sz w:val="24"/>
              </w:rPr>
              <w:t>中标人在中标后应按合同中规定的到货时间和地点完成所有货物的到货。</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货物交付与到货验收要求</w:t>
            </w:r>
          </w:p>
        </w:tc>
        <w:tc>
          <w:tcPr>
            <w:tcW w:type="dxa" w:w="1038"/>
          </w:tcPr>
          <w:p>
            <w:pPr>
              <w:pStyle w:val="null3"/>
            </w:pPr>
            <w:r>
              <w:rPr/>
              <w:t>★</w:t>
            </w:r>
          </w:p>
        </w:tc>
        <w:tc>
          <w:tcPr>
            <w:tcW w:type="dxa" w:w="1038"/>
          </w:tcPr>
          <w:p>
            <w:pPr>
              <w:pStyle w:val="null3"/>
            </w:pPr>
            <w:r>
              <w:rPr/>
              <w:t>软件产品交付要求</w:t>
            </w:r>
          </w:p>
        </w:tc>
        <w:tc>
          <w:tcPr>
            <w:tcW w:type="dxa" w:w="1038"/>
          </w:tcPr>
          <w:p>
            <w:pPr>
              <w:pStyle w:val="null3"/>
            </w:pPr>
            <w:r>
              <w:rPr/>
              <w:t>软件产品交付要求</w:t>
            </w:r>
          </w:p>
        </w:tc>
        <w:tc>
          <w:tcPr>
            <w:tcW w:type="dxa" w:w="1038"/>
          </w:tcPr>
          <w:p>
            <w:pPr>
              <w:pStyle w:val="null3"/>
            </w:pPr>
            <w:r>
              <w:rPr>
                <w:rFonts w:ascii="仿宋" w:hAnsi="仿宋" w:cs="仿宋" w:eastAsia="仿宋"/>
                <w:sz w:val="24"/>
              </w:rPr>
              <w:t>软件到货验收须交付软件使用许可证明文件（纸质版原件并加盖原厂商公章）、软件安装介质（以光盘、便携式移动设备、镜像文件、在线下载等交付方式提供产品交付物），以及配套的技术资料，包括但不限于系统说明文件、用户手册（用户安装、操作、维护、故障排除）等。</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货物交付与到货验收要求</w:t>
            </w:r>
          </w:p>
        </w:tc>
        <w:tc>
          <w:tcPr>
            <w:tcW w:type="dxa" w:w="1038"/>
          </w:tcPr>
          <w:p>
            <w:pPr>
              <w:pStyle w:val="null3"/>
            </w:pPr>
            <w:r>
              <w:rPr/>
              <w:t>★</w:t>
            </w:r>
          </w:p>
        </w:tc>
        <w:tc>
          <w:tcPr>
            <w:tcW w:type="dxa" w:w="1038"/>
          </w:tcPr>
          <w:p>
            <w:pPr>
              <w:pStyle w:val="null3"/>
            </w:pPr>
            <w:r>
              <w:rPr/>
              <w:t>货物到货验收要求</w:t>
            </w:r>
          </w:p>
        </w:tc>
        <w:tc>
          <w:tcPr>
            <w:tcW w:type="dxa" w:w="1038"/>
          </w:tcPr>
          <w:p>
            <w:pPr>
              <w:pStyle w:val="null3"/>
            </w:pPr>
            <w:r>
              <w:rPr/>
              <w:t>货物到货验收要求</w:t>
            </w:r>
          </w:p>
        </w:tc>
        <w:tc>
          <w:tcPr>
            <w:tcW w:type="dxa" w:w="1038"/>
          </w:tcPr>
          <w:p>
            <w:pPr>
              <w:pStyle w:val="null3"/>
              <w:jc w:val="both"/>
            </w:pPr>
            <w:r>
              <w:rPr>
                <w:rFonts w:ascii="仿宋" w:hAnsi="仿宋" w:cs="仿宋" w:eastAsia="仿宋"/>
                <w:sz w:val="24"/>
              </w:rPr>
              <w:t>货物到货后，由招标人依合同文件要求对所供全部软件的型号、数量、外形、包装、资料、文件组织到货验收。</w:t>
            </w:r>
          </w:p>
          <w:p>
            <w:pPr>
              <w:pStyle w:val="null3"/>
              <w:jc w:val="both"/>
            </w:pPr>
            <w:r>
              <w:rPr>
                <w:rFonts w:ascii="仿宋" w:hAnsi="仿宋" w:cs="仿宋" w:eastAsia="仿宋"/>
                <w:sz w:val="24"/>
              </w:rPr>
              <w:t>若验收过程中发现问题，由中标人负责免费解决，招标人保留退货及索赔权利。</w:t>
            </w:r>
          </w:p>
          <w:p>
            <w:pPr>
              <w:pStyle w:val="null3"/>
            </w:pPr>
            <w:r>
              <w:rPr>
                <w:rFonts w:ascii="仿宋" w:hAnsi="仿宋" w:cs="仿宋" w:eastAsia="仿宋"/>
                <w:sz w:val="24"/>
              </w:rPr>
              <w:t>货物验收合格后，</w:t>
            </w:r>
            <w:r>
              <w:rPr>
                <w:rFonts w:ascii="仿宋" w:hAnsi="仿宋" w:cs="仿宋" w:eastAsia="仿宋"/>
                <w:sz w:val="24"/>
              </w:rPr>
              <w:t>由招标人开具</w:t>
            </w:r>
            <w:r>
              <w:rPr>
                <w:rFonts w:ascii="仿宋" w:hAnsi="仿宋" w:cs="仿宋" w:eastAsia="仿宋"/>
                <w:sz w:val="24"/>
              </w:rPr>
              <w:t>合同验收单</w:t>
            </w:r>
            <w:r>
              <w:rPr>
                <w:rFonts w:ascii="仿宋" w:hAnsi="仿宋" w:cs="仿宋" w:eastAsia="仿宋"/>
                <w:sz w:val="24"/>
              </w:rPr>
              <w:t>，双方签字盖章</w:t>
            </w:r>
            <w:r>
              <w:rPr>
                <w:rFonts w:ascii="仿宋" w:hAnsi="仿宋" w:cs="仿宋" w:eastAsia="仿宋"/>
                <w:sz w:val="24"/>
              </w:rPr>
              <w:t>。</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货物交付与到货验收要求</w:t>
            </w:r>
          </w:p>
        </w:tc>
        <w:tc>
          <w:tcPr>
            <w:tcW w:type="dxa" w:w="1038"/>
          </w:tcPr>
          <w:p>
            <w:pPr>
              <w:pStyle w:val="null3"/>
            </w:pPr>
            <w:r>
              <w:rPr/>
              <w:t>★</w:t>
            </w:r>
          </w:p>
        </w:tc>
        <w:tc>
          <w:tcPr>
            <w:tcW w:type="dxa" w:w="1038"/>
          </w:tcPr>
          <w:p>
            <w:pPr>
              <w:pStyle w:val="null3"/>
            </w:pPr>
            <w:r>
              <w:rPr/>
              <w:t>软件到货验收标准</w:t>
            </w:r>
          </w:p>
        </w:tc>
        <w:tc>
          <w:tcPr>
            <w:tcW w:type="dxa" w:w="1038"/>
          </w:tcPr>
          <w:p>
            <w:pPr>
              <w:pStyle w:val="null3"/>
            </w:pPr>
            <w:r>
              <w:rPr/>
              <w:t>软件到货验收标准</w:t>
            </w:r>
          </w:p>
        </w:tc>
        <w:tc>
          <w:tcPr>
            <w:tcW w:type="dxa" w:w="1038"/>
          </w:tcPr>
          <w:p>
            <w:pPr>
              <w:pStyle w:val="null3"/>
              <w:jc w:val="both"/>
            </w:pPr>
            <w:r>
              <w:rPr>
                <w:rFonts w:ascii="仿宋" w:hAnsi="仿宋" w:cs="仿宋" w:eastAsia="仿宋"/>
                <w:sz w:val="24"/>
              </w:rPr>
              <w:t>到货验收合格必须至少满足以下要求：</w:t>
            </w:r>
          </w:p>
          <w:p>
            <w:pPr>
              <w:pStyle w:val="null3"/>
              <w:jc w:val="both"/>
            </w:pPr>
            <w:r>
              <w:rPr>
                <w:rFonts w:ascii="仿宋" w:hAnsi="仿宋" w:cs="仿宋" w:eastAsia="仿宋"/>
                <w:sz w:val="24"/>
              </w:rPr>
              <w:t>1.</w:t>
            </w:r>
            <w:r>
              <w:rPr>
                <w:rFonts w:ascii="仿宋" w:hAnsi="仿宋" w:cs="仿宋" w:eastAsia="仿宋"/>
                <w:sz w:val="24"/>
              </w:rPr>
              <w:t>交付软件的版本、使用许可应与合同一致。</w:t>
            </w:r>
          </w:p>
          <w:p>
            <w:pPr>
              <w:pStyle w:val="null3"/>
            </w:pPr>
            <w:r>
              <w:rPr>
                <w:rFonts w:ascii="仿宋" w:hAnsi="仿宋" w:cs="仿宋" w:eastAsia="仿宋"/>
                <w:sz w:val="24"/>
              </w:rPr>
              <w:t>2.</w:t>
            </w:r>
            <w:r>
              <w:rPr>
                <w:rFonts w:ascii="仿宋" w:hAnsi="仿宋" w:cs="仿宋" w:eastAsia="仿宋"/>
                <w:sz w:val="24"/>
              </w:rPr>
              <w:t>软件在指定环境中完成安装，并且能够正常运行使用。</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实施要求</w:t>
            </w:r>
          </w:p>
        </w:tc>
        <w:tc>
          <w:tcPr>
            <w:tcW w:type="dxa" w:w="1038"/>
          </w:tcPr>
          <w:p>
            <w:pPr>
              <w:pStyle w:val="null3"/>
            </w:pPr>
            <w:r>
              <w:rPr/>
              <w:t>实施要求</w:t>
            </w:r>
          </w:p>
        </w:tc>
        <w:tc>
          <w:tcPr>
            <w:tcW w:type="dxa" w:w="1038"/>
          </w:tcPr>
          <w:p>
            <w:pPr>
              <w:pStyle w:val="null3"/>
              <w:jc w:val="left"/>
            </w:pPr>
            <w:r>
              <w:rPr>
                <w:rFonts w:ascii="仿宋" w:hAnsi="仿宋" w:cs="仿宋" w:eastAsia="仿宋"/>
                <w:sz w:val="24"/>
              </w:rPr>
              <w:t>1.</w:t>
            </w:r>
            <w:r>
              <w:rPr>
                <w:rFonts w:ascii="仿宋" w:hAnsi="仿宋" w:cs="仿宋" w:eastAsia="仿宋"/>
                <w:sz w:val="24"/>
              </w:rPr>
              <w:t>自到货验收合格日起，中标人应会同原厂商按照招标人要求在</w:t>
            </w:r>
            <w:r>
              <w:rPr>
                <w:rFonts w:ascii="仿宋" w:hAnsi="仿宋" w:cs="仿宋" w:eastAsia="仿宋"/>
                <w:sz w:val="24"/>
              </w:rPr>
              <w:t>9</w:t>
            </w:r>
            <w:r>
              <w:rPr>
                <w:rFonts w:ascii="仿宋" w:hAnsi="仿宋" w:cs="仿宋" w:eastAsia="仿宋"/>
                <w:sz w:val="24"/>
              </w:rPr>
              <w:t>0</w:t>
            </w:r>
            <w:r>
              <w:rPr>
                <w:rFonts w:ascii="仿宋" w:hAnsi="仿宋" w:cs="仿宋" w:eastAsia="仿宋"/>
                <w:sz w:val="24"/>
              </w:rPr>
              <w:t>个日历日内完成软件调试、调优以及与上层软件联调测试等工作，确保本项目所采购的软件以及构建于其上的软件系统能够正常运行。</w:t>
            </w:r>
          </w:p>
          <w:p>
            <w:pPr>
              <w:pStyle w:val="null3"/>
              <w:jc w:val="both"/>
            </w:pPr>
            <w:r>
              <w:rPr>
                <w:rFonts w:ascii="仿宋" w:hAnsi="仿宋" w:cs="仿宋" w:eastAsia="仿宋"/>
                <w:sz w:val="24"/>
              </w:rPr>
              <w:t>2.</w:t>
            </w:r>
            <w:r>
              <w:rPr>
                <w:rFonts w:ascii="仿宋" w:hAnsi="仿宋" w:cs="仿宋" w:eastAsia="仿宋"/>
                <w:sz w:val="24"/>
              </w:rPr>
              <w:t>实施过程中，中标人应配合招标人完成对货物的功能测试、性能测试、漏洞扫描等工作。</w:t>
            </w:r>
          </w:p>
          <w:p>
            <w:pPr>
              <w:pStyle w:val="null3"/>
              <w:jc w:val="both"/>
            </w:pPr>
            <w:r>
              <w:rPr>
                <w:rFonts w:ascii="仿宋" w:hAnsi="仿宋" w:cs="仿宋" w:eastAsia="仿宋"/>
                <w:sz w:val="24"/>
              </w:rPr>
              <w:t>3.</w:t>
            </w:r>
            <w:r>
              <w:rPr>
                <w:rFonts w:ascii="仿宋" w:hAnsi="仿宋" w:cs="仿宋" w:eastAsia="仿宋"/>
                <w:sz w:val="24"/>
              </w:rPr>
              <w:t>实施过程中若发现货物不满足合同要求，由中标人负责免费解决。</w:t>
            </w:r>
          </w:p>
          <w:p>
            <w:pPr>
              <w:pStyle w:val="null3"/>
              <w:jc w:val="both"/>
            </w:pPr>
            <w:r>
              <w:rPr>
                <w:rFonts w:ascii="仿宋" w:hAnsi="仿宋" w:cs="仿宋" w:eastAsia="仿宋"/>
                <w:sz w:val="24"/>
              </w:rPr>
              <w:t>4.</w:t>
            </w:r>
            <w:r>
              <w:rPr>
                <w:rFonts w:ascii="仿宋" w:hAnsi="仿宋" w:cs="仿宋" w:eastAsia="仿宋"/>
                <w:sz w:val="24"/>
              </w:rPr>
              <w:t>当出现以下情形时，招标人有权退货并保留索赔的权利。</w:t>
            </w:r>
          </w:p>
          <w:p>
            <w:pPr>
              <w:pStyle w:val="null3"/>
              <w:jc w:val="both"/>
            </w:pPr>
            <w:r>
              <w:rPr>
                <w:rFonts w:ascii="仿宋" w:hAnsi="仿宋" w:cs="仿宋" w:eastAsia="仿宋"/>
                <w:sz w:val="24"/>
              </w:rPr>
              <w:t>a)</w:t>
            </w:r>
            <w:r>
              <w:rPr>
                <w:rFonts w:ascii="仿宋" w:hAnsi="仿宋" w:cs="仿宋" w:eastAsia="仿宋"/>
                <w:sz w:val="24"/>
              </w:rPr>
              <w:t>货物更换</w:t>
            </w:r>
            <w:r>
              <w:rPr>
                <w:rFonts w:ascii="仿宋" w:hAnsi="仿宋" w:cs="仿宋" w:eastAsia="仿宋"/>
                <w:sz w:val="24"/>
              </w:rPr>
              <w:t>2</w:t>
            </w:r>
            <w:r>
              <w:rPr>
                <w:rFonts w:ascii="仿宋" w:hAnsi="仿宋" w:cs="仿宋" w:eastAsia="仿宋"/>
                <w:sz w:val="24"/>
              </w:rPr>
              <w:t>次（含</w:t>
            </w:r>
            <w:r>
              <w:rPr>
                <w:rFonts w:ascii="仿宋" w:hAnsi="仿宋" w:cs="仿宋" w:eastAsia="仿宋"/>
                <w:sz w:val="24"/>
              </w:rPr>
              <w:t>2</w:t>
            </w:r>
            <w:r>
              <w:rPr>
                <w:rFonts w:ascii="仿宋" w:hAnsi="仿宋" w:cs="仿宋" w:eastAsia="仿宋"/>
                <w:sz w:val="24"/>
              </w:rPr>
              <w:t>次）以上</w:t>
            </w:r>
            <w:r>
              <w:rPr>
                <w:rFonts w:ascii="仿宋" w:hAnsi="仿宋" w:cs="仿宋" w:eastAsia="仿宋"/>
                <w:sz w:val="24"/>
              </w:rPr>
              <w:t>,</w:t>
            </w:r>
            <w:r>
              <w:rPr>
                <w:rFonts w:ascii="仿宋" w:hAnsi="仿宋" w:cs="仿宋" w:eastAsia="仿宋"/>
                <w:sz w:val="24"/>
              </w:rPr>
              <w:t>仍不能完全满足合同要求；</w:t>
            </w:r>
          </w:p>
          <w:p>
            <w:pPr>
              <w:pStyle w:val="null3"/>
            </w:pPr>
            <w:r>
              <w:rPr>
                <w:rFonts w:ascii="仿宋" w:hAnsi="仿宋" w:cs="仿宋" w:eastAsia="仿宋"/>
                <w:sz w:val="24"/>
              </w:rPr>
              <w:t>b</w:t>
            </w:r>
            <w:r>
              <w:rPr>
                <w:rFonts w:ascii="仿宋" w:hAnsi="仿宋" w:cs="仿宋" w:eastAsia="仿宋"/>
                <w:sz w:val="24"/>
              </w:rPr>
              <w:t>）未能在规定时间内完成实施且超出规定时间</w:t>
            </w:r>
            <w:r>
              <w:rPr>
                <w:rFonts w:ascii="仿宋" w:hAnsi="仿宋" w:cs="仿宋" w:eastAsia="仿宋"/>
                <w:sz w:val="24"/>
              </w:rPr>
              <w:t>30</w:t>
            </w:r>
            <w:r>
              <w:rPr>
                <w:rFonts w:ascii="仿宋" w:hAnsi="仿宋" w:cs="仿宋" w:eastAsia="仿宋"/>
                <w:sz w:val="24"/>
              </w:rPr>
              <w:t>个日历日。</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实施团队要求</w:t>
            </w:r>
          </w:p>
        </w:tc>
        <w:tc>
          <w:tcPr>
            <w:tcW w:type="dxa" w:w="1038"/>
          </w:tcPr>
          <w:p>
            <w:pPr>
              <w:pStyle w:val="null3"/>
            </w:pPr>
            <w:r>
              <w:rPr/>
              <w:t>实施团队要求</w:t>
            </w:r>
          </w:p>
        </w:tc>
        <w:tc>
          <w:tcPr>
            <w:tcW w:type="dxa" w:w="1038"/>
          </w:tcPr>
          <w:p>
            <w:pPr>
              <w:pStyle w:val="null3"/>
              <w:jc w:val="left"/>
            </w:pPr>
            <w:r>
              <w:rPr>
                <w:rFonts w:ascii="仿宋" w:hAnsi="仿宋" w:cs="仿宋" w:eastAsia="仿宋"/>
                <w:sz w:val="24"/>
              </w:rPr>
              <w:t>中标人应指定</w:t>
            </w:r>
            <w:r>
              <w:rPr>
                <w:rFonts w:ascii="仿宋" w:hAnsi="仿宋" w:cs="仿宋" w:eastAsia="仿宋"/>
                <w:sz w:val="24"/>
              </w:rPr>
              <w:t>1</w:t>
            </w:r>
            <w:r>
              <w:rPr>
                <w:rFonts w:ascii="仿宋" w:hAnsi="仿宋" w:cs="仿宋" w:eastAsia="仿宋"/>
                <w:sz w:val="24"/>
              </w:rPr>
              <w:t>名项目经理负责实施期间的整体管理工作，包括：根据招标人的要求制定详细的项目实施计划，组织项目实施、对工作进度及工作质量进行监督、协调解决问题，并向招标人提交工作报告等。</w:t>
            </w:r>
            <w:r>
              <w:rPr>
                <w:rFonts w:ascii="仿宋" w:hAnsi="仿宋" w:cs="仿宋" w:eastAsia="仿宋"/>
                <w:sz w:val="24"/>
              </w:rPr>
              <w:t>项目经理应具有</w:t>
            </w:r>
            <w:r>
              <w:rPr>
                <w:rFonts w:ascii="仿宋" w:hAnsi="仿宋" w:cs="仿宋" w:eastAsia="仿宋"/>
                <w:sz w:val="24"/>
              </w:rPr>
              <w:t>5年以上信息化项目管理工作经验。</w:t>
            </w:r>
          </w:p>
          <w:p>
            <w:pPr>
              <w:pStyle w:val="null3"/>
              <w:spacing w:after="120"/>
              <w:jc w:val="both"/>
            </w:pPr>
            <w:r>
              <w:rPr>
                <w:rFonts w:ascii="仿宋" w:hAnsi="仿宋" w:cs="仿宋" w:eastAsia="仿宋"/>
                <w:sz w:val="24"/>
                <w:b/>
              </w:rPr>
              <w:t>项目经理必须为投标人正式员工，并提供项目经理近六个月中任意一个月由投标人单位缴纳的社保证明材料。</w:t>
            </w:r>
          </w:p>
          <w:p>
            <w:pPr>
              <w:pStyle w:val="null3"/>
            </w:pPr>
            <w:r>
              <w:rPr>
                <w:rFonts w:ascii="仿宋" w:hAnsi="仿宋" w:cs="仿宋" w:eastAsia="仿宋"/>
                <w:sz w:val="24"/>
                <w:b/>
              </w:rPr>
              <w:t>投标人应将项目经理姓名、联系方式、过往信息化项目经历等以简历的形式体现在投标文件中。</w:t>
            </w:r>
          </w:p>
        </w:tc>
        <w:tc>
          <w:tcPr>
            <w:tcW w:type="dxa" w:w="1038"/>
          </w:tcPr>
          <w:p>
            <w:pPr>
              <w:pStyle w:val="null3"/>
            </w:pPr>
            <w:r>
              <w:rPr/>
              <w:t>是</w:t>
            </w:r>
          </w:p>
        </w:tc>
        <w:tc>
          <w:tcPr>
            <w:tcW w:type="dxa" w:w="1038"/>
          </w:tcPr>
          <w:p>
            <w:pPr>
              <w:pStyle w:val="null3"/>
            </w:pPr>
            <w:r>
              <w:rPr/>
              <w:t>是，提供项目经理简历（简历中需包含项目经理姓名、联系方式、过往信息化项目经历）以及近六个月中任意一个月由投标人单位缴纳的社保证明材料，并加盖投标人公章。</w:t>
            </w:r>
          </w:p>
        </w:tc>
      </w:tr>
      <w:tr>
        <w:tc>
          <w:tcPr>
            <w:tcW w:type="dxa" w:w="1038"/>
          </w:tcPr>
          <w:p>
            <w:pPr>
              <w:pStyle w:val="null3"/>
            </w:pPr>
            <w:r>
              <w:rPr/>
              <w:t>7</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实施团队要求</w:t>
            </w:r>
          </w:p>
        </w:tc>
        <w:tc>
          <w:tcPr>
            <w:tcW w:type="dxa" w:w="1038"/>
          </w:tcPr>
          <w:p>
            <w:pPr>
              <w:pStyle w:val="null3"/>
            </w:pPr>
            <w:r>
              <w:rPr/>
              <w:t>实施团队要求</w:t>
            </w:r>
          </w:p>
        </w:tc>
        <w:tc>
          <w:tcPr>
            <w:tcW w:type="dxa" w:w="1038"/>
          </w:tcPr>
          <w:p>
            <w:pPr>
              <w:pStyle w:val="null3"/>
            </w:pPr>
            <w:r>
              <w:rPr>
                <w:rFonts w:ascii="仿宋" w:hAnsi="仿宋" w:cs="仿宋" w:eastAsia="仿宋"/>
                <w:sz w:val="24"/>
              </w:rPr>
              <w:t>项目经理具有</w:t>
            </w:r>
            <w:r>
              <w:rPr>
                <w:rFonts w:ascii="仿宋" w:hAnsi="仿宋" w:cs="仿宋" w:eastAsia="仿宋"/>
                <w:sz w:val="24"/>
              </w:rPr>
              <w:t>由</w:t>
            </w:r>
            <w:r>
              <w:rPr>
                <w:rFonts w:ascii="仿宋" w:hAnsi="仿宋" w:cs="仿宋" w:eastAsia="仿宋"/>
                <w:sz w:val="24"/>
              </w:rPr>
              <w:t>中华人民共和国</w:t>
            </w:r>
            <w:r>
              <w:rPr>
                <w:rFonts w:ascii="仿宋" w:hAnsi="仿宋" w:cs="仿宋" w:eastAsia="仿宋"/>
                <w:sz w:val="24"/>
              </w:rPr>
              <w:t>人事</w:t>
            </w:r>
            <w:r>
              <w:rPr>
                <w:rFonts w:ascii="仿宋" w:hAnsi="仿宋" w:cs="仿宋" w:eastAsia="仿宋"/>
                <w:sz w:val="24"/>
              </w:rPr>
              <w:t>部和</w:t>
            </w:r>
            <w:r>
              <w:rPr>
                <w:rFonts w:ascii="仿宋" w:hAnsi="仿宋" w:cs="仿宋" w:eastAsia="仿宋"/>
                <w:sz w:val="24"/>
              </w:rPr>
              <w:t>国务</w:t>
            </w:r>
            <w:r>
              <w:rPr>
                <w:rFonts w:ascii="仿宋" w:hAnsi="仿宋" w:cs="仿宋" w:eastAsia="仿宋"/>
                <w:sz w:val="24"/>
              </w:rPr>
              <w:t>院</w:t>
            </w:r>
            <w:r>
              <w:rPr>
                <w:rFonts w:ascii="仿宋" w:hAnsi="仿宋" w:cs="仿宋" w:eastAsia="仿宋"/>
                <w:sz w:val="24"/>
              </w:rPr>
              <w:t>电</w:t>
            </w:r>
            <w:r>
              <w:rPr>
                <w:rFonts w:ascii="仿宋" w:hAnsi="仿宋" w:cs="仿宋" w:eastAsia="仿宋"/>
                <w:sz w:val="24"/>
              </w:rPr>
              <w:t>子</w:t>
            </w:r>
            <w:r>
              <w:rPr>
                <w:rFonts w:ascii="仿宋" w:hAnsi="仿宋" w:cs="仿宋" w:eastAsia="仿宋"/>
                <w:sz w:val="24"/>
              </w:rPr>
              <w:t>信息</w:t>
            </w:r>
            <w:r>
              <w:rPr>
                <w:rFonts w:ascii="仿宋" w:hAnsi="仿宋" w:cs="仿宋" w:eastAsia="仿宋"/>
                <w:sz w:val="24"/>
              </w:rPr>
              <w:t>系统</w:t>
            </w:r>
            <w:r>
              <w:rPr>
                <w:rFonts w:ascii="仿宋" w:hAnsi="仿宋" w:cs="仿宋" w:eastAsia="仿宋"/>
                <w:sz w:val="24"/>
              </w:rPr>
              <w:t>推</w:t>
            </w:r>
            <w:r>
              <w:rPr>
                <w:rFonts w:ascii="仿宋" w:hAnsi="仿宋" w:cs="仿宋" w:eastAsia="仿宋"/>
                <w:sz w:val="24"/>
              </w:rPr>
              <w:t>广</w:t>
            </w:r>
            <w:r>
              <w:rPr>
                <w:rFonts w:ascii="仿宋" w:hAnsi="仿宋" w:cs="仿宋" w:eastAsia="仿宋"/>
                <w:sz w:val="24"/>
              </w:rPr>
              <w:t>应用</w:t>
            </w:r>
            <w:r>
              <w:rPr>
                <w:rFonts w:ascii="仿宋" w:hAnsi="仿宋" w:cs="仿宋" w:eastAsia="仿宋"/>
                <w:sz w:val="24"/>
              </w:rPr>
              <w:t>办公</w:t>
            </w:r>
            <w:r>
              <w:rPr>
                <w:rFonts w:ascii="仿宋" w:hAnsi="仿宋" w:cs="仿宋" w:eastAsia="仿宋"/>
                <w:sz w:val="24"/>
              </w:rPr>
              <w:t>室</w:t>
            </w:r>
            <w:r>
              <w:rPr>
                <w:rFonts w:ascii="仿宋" w:hAnsi="仿宋" w:cs="仿宋" w:eastAsia="仿宋"/>
                <w:sz w:val="24"/>
              </w:rPr>
              <w:t>或</w:t>
            </w:r>
            <w:r>
              <w:rPr>
                <w:rFonts w:ascii="仿宋" w:hAnsi="仿宋" w:cs="仿宋" w:eastAsia="仿宋"/>
                <w:sz w:val="24"/>
              </w:rPr>
              <w:t>者</w:t>
            </w:r>
            <w:r>
              <w:rPr>
                <w:rFonts w:ascii="仿宋" w:hAnsi="仿宋" w:cs="仿宋" w:eastAsia="仿宋"/>
                <w:sz w:val="24"/>
              </w:rPr>
              <w:t>中华人民共和国</w:t>
            </w:r>
            <w:r>
              <w:rPr>
                <w:rFonts w:ascii="仿宋" w:hAnsi="仿宋" w:cs="仿宋" w:eastAsia="仿宋"/>
                <w:sz w:val="24"/>
              </w:rPr>
              <w:t>人</w:t>
            </w:r>
            <w:r>
              <w:rPr>
                <w:rFonts w:ascii="仿宋" w:hAnsi="仿宋" w:cs="仿宋" w:eastAsia="仿宋"/>
                <w:sz w:val="24"/>
              </w:rPr>
              <w:t>事部</w:t>
            </w:r>
            <w:r>
              <w:rPr>
                <w:rFonts w:ascii="仿宋" w:hAnsi="仿宋" w:cs="仿宋" w:eastAsia="仿宋"/>
                <w:sz w:val="24"/>
              </w:rPr>
              <w:t>或者</w:t>
            </w:r>
            <w:r>
              <w:rPr>
                <w:rFonts w:ascii="仿宋" w:hAnsi="仿宋" w:cs="仿宋" w:eastAsia="仿宋"/>
                <w:sz w:val="24"/>
              </w:rPr>
              <w:t>中华人民共和国</w:t>
            </w:r>
            <w:r>
              <w:rPr>
                <w:rFonts w:ascii="仿宋" w:hAnsi="仿宋" w:cs="仿宋" w:eastAsia="仿宋"/>
                <w:sz w:val="24"/>
              </w:rPr>
              <w:t>信息</w:t>
            </w:r>
            <w:r>
              <w:rPr>
                <w:rFonts w:ascii="仿宋" w:hAnsi="仿宋" w:cs="仿宋" w:eastAsia="仿宋"/>
                <w:sz w:val="24"/>
              </w:rPr>
              <w:t>产业</w:t>
            </w:r>
            <w:r>
              <w:rPr>
                <w:rFonts w:ascii="仿宋" w:hAnsi="仿宋" w:cs="仿宋" w:eastAsia="仿宋"/>
                <w:sz w:val="24"/>
              </w:rPr>
              <w:t>部</w:t>
            </w:r>
            <w:r>
              <w:rPr>
                <w:rFonts w:ascii="仿宋" w:hAnsi="仿宋" w:cs="仿宋" w:eastAsia="仿宋"/>
                <w:sz w:val="24"/>
              </w:rPr>
              <w:t>或者</w:t>
            </w:r>
            <w:r>
              <w:rPr>
                <w:rFonts w:ascii="仿宋" w:hAnsi="仿宋" w:cs="仿宋" w:eastAsia="仿宋"/>
                <w:sz w:val="24"/>
              </w:rPr>
              <w:t>中华人民共和国人力资源和社会保障部、工业和信息化部批准颁发的</w:t>
            </w:r>
            <w:r>
              <w:rPr>
                <w:rFonts w:ascii="仿宋" w:hAnsi="仿宋" w:cs="仿宋" w:eastAsia="仿宋"/>
                <w:sz w:val="24"/>
              </w:rPr>
              <w:t>计算机技术与软件专业技术资格（信息系统项目管理师专业）证书。</w:t>
            </w:r>
          </w:p>
        </w:tc>
        <w:tc>
          <w:tcPr>
            <w:tcW w:type="dxa" w:w="1038"/>
          </w:tcPr>
          <w:p>
            <w:pPr>
              <w:pStyle w:val="null3"/>
            </w:pPr>
            <w:r>
              <w:rPr/>
              <w:t>是</w:t>
            </w:r>
          </w:p>
        </w:tc>
        <w:tc>
          <w:tcPr>
            <w:tcW w:type="dxa" w:w="1038"/>
          </w:tcPr>
          <w:p>
            <w:pPr>
              <w:pStyle w:val="null3"/>
            </w:pPr>
            <w:r>
              <w:rPr/>
              <w:t>是，提供项目经理有效期内的证书复印件并加盖投标人公章。</w:t>
            </w:r>
          </w:p>
        </w:tc>
      </w:tr>
      <w:tr>
        <w:tc>
          <w:tcPr>
            <w:tcW w:type="dxa" w:w="1038"/>
          </w:tcPr>
          <w:p>
            <w:pPr>
              <w:pStyle w:val="null3"/>
            </w:pPr>
            <w:r>
              <w:rPr/>
              <w:t>8</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实施团队要求</w:t>
            </w:r>
          </w:p>
        </w:tc>
        <w:tc>
          <w:tcPr>
            <w:tcW w:type="dxa" w:w="1038"/>
          </w:tcPr>
          <w:p>
            <w:pPr>
              <w:pStyle w:val="null3"/>
            </w:pPr>
            <w:r>
              <w:rPr/>
              <w:t>实施团队要求</w:t>
            </w:r>
          </w:p>
        </w:tc>
        <w:tc>
          <w:tcPr>
            <w:tcW w:type="dxa" w:w="1038"/>
          </w:tcPr>
          <w:p>
            <w:pPr>
              <w:pStyle w:val="null3"/>
              <w:jc w:val="left"/>
            </w:pPr>
            <w:r>
              <w:rPr>
                <w:rFonts w:ascii="仿宋" w:hAnsi="仿宋" w:cs="仿宋" w:eastAsia="仿宋"/>
                <w:sz w:val="24"/>
              </w:rPr>
              <w:t>中标人应成立专门团队负责软件调试、调优以及与上层软件联调测试等工作。</w:t>
            </w:r>
          </w:p>
          <w:p>
            <w:pPr>
              <w:pStyle w:val="null3"/>
              <w:jc w:val="left"/>
            </w:pPr>
            <w:r>
              <w:rPr>
                <w:rFonts w:ascii="仿宋" w:hAnsi="仿宋" w:cs="仿宋" w:eastAsia="仿宋"/>
                <w:sz w:val="24"/>
              </w:rPr>
              <w:t>实施团队成员不得少于</w:t>
            </w:r>
            <w:r>
              <w:rPr>
                <w:rFonts w:ascii="仿宋" w:hAnsi="仿宋" w:cs="仿宋" w:eastAsia="仿宋"/>
                <w:sz w:val="24"/>
              </w:rPr>
              <w:t>2人（至少含1名原厂工程师），具备3年以上</w:t>
            </w:r>
            <w:r>
              <w:rPr>
                <w:rFonts w:ascii="仿宋" w:hAnsi="仿宋" w:cs="仿宋" w:eastAsia="仿宋"/>
                <w:sz w:val="24"/>
              </w:rPr>
              <w:t>容</w:t>
            </w:r>
            <w:r>
              <w:rPr>
                <w:rFonts w:ascii="仿宋" w:hAnsi="仿宋" w:cs="仿宋" w:eastAsia="仿宋"/>
                <w:sz w:val="24"/>
              </w:rPr>
              <w:t>器</w:t>
            </w:r>
            <w:r>
              <w:rPr>
                <w:rFonts w:ascii="仿宋" w:hAnsi="仿宋" w:cs="仿宋" w:eastAsia="仿宋"/>
                <w:sz w:val="24"/>
              </w:rPr>
              <w:t>平</w:t>
            </w:r>
            <w:r>
              <w:rPr>
                <w:rFonts w:ascii="仿宋" w:hAnsi="仿宋" w:cs="仿宋" w:eastAsia="仿宋"/>
                <w:sz w:val="24"/>
              </w:rPr>
              <w:t>台</w:t>
            </w:r>
            <w:r>
              <w:rPr>
                <w:rFonts w:ascii="仿宋" w:hAnsi="仿宋" w:cs="仿宋" w:eastAsia="仿宋"/>
                <w:sz w:val="24"/>
              </w:rPr>
              <w:t>相</w:t>
            </w:r>
            <w:r>
              <w:rPr>
                <w:rFonts w:ascii="仿宋" w:hAnsi="仿宋" w:cs="仿宋" w:eastAsia="仿宋"/>
                <w:sz w:val="24"/>
              </w:rPr>
              <w:t>关</w:t>
            </w:r>
            <w:r>
              <w:rPr>
                <w:rFonts w:ascii="仿宋" w:hAnsi="仿宋" w:cs="仿宋" w:eastAsia="仿宋"/>
                <w:sz w:val="24"/>
              </w:rPr>
              <w:t>实施工作</w:t>
            </w:r>
            <w:r>
              <w:rPr>
                <w:rFonts w:ascii="仿宋" w:hAnsi="仿宋" w:cs="仿宋" w:eastAsia="仿宋"/>
                <w:sz w:val="24"/>
              </w:rPr>
              <w:t>经验</w:t>
            </w:r>
            <w:r>
              <w:rPr>
                <w:rFonts w:ascii="仿宋" w:hAnsi="仿宋" w:cs="仿宋" w:eastAsia="仿宋"/>
                <w:sz w:val="24"/>
              </w:rPr>
              <w:t>。</w:t>
            </w:r>
          </w:p>
          <w:p>
            <w:pPr>
              <w:pStyle w:val="null3"/>
            </w:pPr>
            <w:r>
              <w:rPr>
                <w:rFonts w:ascii="仿宋" w:hAnsi="仿宋" w:cs="仿宋" w:eastAsia="仿宋"/>
                <w:sz w:val="24"/>
                <w:b/>
              </w:rPr>
              <w:t>投标人应将团队人员名单体现在投标文件中，团队人员过往项目经验以个人简历的形式体现在投标文件中。</w:t>
            </w:r>
          </w:p>
        </w:tc>
        <w:tc>
          <w:tcPr>
            <w:tcW w:type="dxa" w:w="1038"/>
          </w:tcPr>
          <w:p>
            <w:pPr>
              <w:pStyle w:val="null3"/>
            </w:pPr>
            <w:r>
              <w:rPr/>
              <w:t>是</w:t>
            </w:r>
          </w:p>
        </w:tc>
        <w:tc>
          <w:tcPr>
            <w:tcW w:type="dxa" w:w="1038"/>
          </w:tcPr>
          <w:p>
            <w:pPr>
              <w:pStyle w:val="null3"/>
            </w:pPr>
            <w:r>
              <w:rPr/>
              <w:t>是，投标人提供团队人员简历，简历中需包含姓名、过往项目经验，并加盖投标人公章。</w:t>
            </w:r>
          </w:p>
        </w:tc>
      </w:tr>
      <w:tr>
        <w:tc>
          <w:tcPr>
            <w:tcW w:type="dxa" w:w="1038"/>
          </w:tcPr>
          <w:p>
            <w:pPr>
              <w:pStyle w:val="null3"/>
            </w:pPr>
            <w:r>
              <w:rPr/>
              <w:t>9</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培训服务</w:t>
            </w:r>
          </w:p>
        </w:tc>
        <w:tc>
          <w:tcPr>
            <w:tcW w:type="dxa" w:w="1038"/>
          </w:tcPr>
          <w:p>
            <w:pPr>
              <w:pStyle w:val="null3"/>
            </w:pPr>
            <w:r>
              <w:rPr/>
              <w:t>培训服务</w:t>
            </w:r>
          </w:p>
        </w:tc>
        <w:tc>
          <w:tcPr>
            <w:tcW w:type="dxa" w:w="1038"/>
          </w:tcPr>
          <w:p>
            <w:pPr>
              <w:pStyle w:val="null3"/>
            </w:pPr>
            <w:r>
              <w:rPr>
                <w:rFonts w:ascii="仿宋" w:hAnsi="仿宋" w:cs="仿宋" w:eastAsia="仿宋"/>
                <w:sz w:val="24"/>
              </w:rPr>
              <w:t>中标人应提供培训材料、产品手册等培训相关内容。</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初步验收 要求</w:t>
            </w:r>
          </w:p>
        </w:tc>
        <w:tc>
          <w:tcPr>
            <w:tcW w:type="dxa" w:w="1038"/>
          </w:tcPr>
          <w:p>
            <w:pPr>
              <w:pStyle w:val="null3"/>
            </w:pPr>
            <w:r>
              <w:rPr/>
              <w:t>初步验收 要求</w:t>
            </w:r>
          </w:p>
        </w:tc>
        <w:tc>
          <w:tcPr>
            <w:tcW w:type="dxa" w:w="1038"/>
          </w:tcPr>
          <w:p>
            <w:pPr>
              <w:pStyle w:val="null3"/>
              <w:jc w:val="both"/>
            </w:pPr>
            <w:r>
              <w:rPr>
                <w:rFonts w:ascii="仿宋" w:hAnsi="仿宋" w:cs="仿宋" w:eastAsia="仿宋"/>
                <w:sz w:val="24"/>
              </w:rPr>
              <w:t>实施完成后由招标人组织初步验收，中标人应提供相关材料，并配合招标人做好验收工作。</w:t>
            </w:r>
          </w:p>
          <w:p>
            <w:pPr>
              <w:pStyle w:val="null3"/>
              <w:jc w:val="both"/>
            </w:pPr>
            <w:r>
              <w:rPr>
                <w:rFonts w:ascii="仿宋" w:hAnsi="仿宋" w:cs="仿宋" w:eastAsia="仿宋"/>
                <w:sz w:val="24"/>
              </w:rPr>
              <w:t>若验收过程中发现问题，由中标人负责免费解决，招标人保留退货及索赔权利。</w:t>
            </w:r>
          </w:p>
          <w:p>
            <w:pPr>
              <w:pStyle w:val="null3"/>
            </w:pPr>
            <w:r>
              <w:rPr>
                <w:rFonts w:ascii="仿宋" w:hAnsi="仿宋" w:cs="仿宋" w:eastAsia="仿宋"/>
                <w:sz w:val="24"/>
              </w:rPr>
              <w:t>货物验收合格后，</w:t>
            </w:r>
            <w:r>
              <w:rPr>
                <w:rFonts w:ascii="仿宋" w:hAnsi="仿宋" w:cs="仿宋" w:eastAsia="仿宋"/>
                <w:sz w:val="24"/>
              </w:rPr>
              <w:t>由招标人开具</w:t>
            </w:r>
            <w:r>
              <w:rPr>
                <w:rFonts w:ascii="仿宋" w:hAnsi="仿宋" w:cs="仿宋" w:eastAsia="仿宋"/>
                <w:sz w:val="24"/>
              </w:rPr>
              <w:t>合同验收单</w:t>
            </w:r>
            <w:r>
              <w:rPr>
                <w:rFonts w:ascii="仿宋" w:hAnsi="仿宋" w:cs="仿宋" w:eastAsia="仿宋"/>
                <w:sz w:val="24"/>
              </w:rPr>
              <w:t>，双方签字盖章</w:t>
            </w:r>
            <w:r>
              <w:rPr>
                <w:rFonts w:ascii="仿宋" w:hAnsi="仿宋" w:cs="仿宋" w:eastAsia="仿宋"/>
                <w:sz w:val="24"/>
              </w:rPr>
              <w:t>。</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初步验收 标准</w:t>
            </w:r>
          </w:p>
        </w:tc>
        <w:tc>
          <w:tcPr>
            <w:tcW w:type="dxa" w:w="1038"/>
          </w:tcPr>
          <w:p>
            <w:pPr>
              <w:pStyle w:val="null3"/>
            </w:pPr>
            <w:r>
              <w:rPr/>
              <w:t>初步验收 标准</w:t>
            </w:r>
          </w:p>
        </w:tc>
        <w:tc>
          <w:tcPr>
            <w:tcW w:type="dxa" w:w="1038"/>
          </w:tcPr>
          <w:p>
            <w:pPr>
              <w:pStyle w:val="null3"/>
              <w:jc w:val="both"/>
            </w:pPr>
            <w:r>
              <w:rPr>
                <w:rFonts w:ascii="仿宋" w:hAnsi="仿宋" w:cs="仿宋" w:eastAsia="仿宋"/>
                <w:sz w:val="24"/>
              </w:rPr>
              <w:t>初步验收合格必须至少满足以下要求：</w:t>
            </w:r>
          </w:p>
          <w:p>
            <w:pPr>
              <w:pStyle w:val="null3"/>
              <w:jc w:val="both"/>
            </w:pPr>
            <w:r>
              <w:rPr>
                <w:rFonts w:ascii="仿宋" w:hAnsi="仿宋" w:cs="仿宋" w:eastAsia="仿宋"/>
                <w:sz w:val="24"/>
              </w:rPr>
              <w:t>1.</w:t>
            </w:r>
            <w:r>
              <w:rPr>
                <w:rFonts w:ascii="仿宋" w:hAnsi="仿宋" w:cs="仿宋" w:eastAsia="仿宋"/>
                <w:sz w:val="24"/>
              </w:rPr>
              <w:t>完成软件调试、调优等工作，软件能够正常运行，满足合同要求。</w:t>
            </w:r>
          </w:p>
          <w:p>
            <w:pPr>
              <w:pStyle w:val="null3"/>
              <w:jc w:val="both"/>
            </w:pPr>
            <w:r>
              <w:rPr>
                <w:rFonts w:ascii="仿宋" w:hAnsi="仿宋" w:cs="仿宋" w:eastAsia="仿宋"/>
                <w:sz w:val="24"/>
              </w:rPr>
              <w:t>2.</w:t>
            </w:r>
            <w:r>
              <w:rPr>
                <w:rFonts w:ascii="仿宋" w:hAnsi="仿宋" w:cs="仿宋" w:eastAsia="仿宋"/>
                <w:sz w:val="24"/>
              </w:rPr>
              <w:t>构建于本项目所采购的软件之上的软件系统能够正常运行。</w:t>
            </w:r>
          </w:p>
          <w:p>
            <w:pPr>
              <w:pStyle w:val="null3"/>
            </w:pPr>
            <w:r>
              <w:rPr>
                <w:rFonts w:ascii="仿宋" w:hAnsi="仿宋" w:cs="仿宋" w:eastAsia="仿宋"/>
                <w:sz w:val="24"/>
              </w:rPr>
              <w:t>3.按照合同文件要求提供了培训服务。</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试运行与最终验收要求</w:t>
            </w:r>
          </w:p>
        </w:tc>
        <w:tc>
          <w:tcPr>
            <w:tcW w:type="dxa" w:w="1038"/>
          </w:tcPr>
          <w:p>
            <w:pPr>
              <w:pStyle w:val="null3"/>
            </w:pPr>
            <w:r>
              <w:rPr/>
              <w:t>★</w:t>
            </w:r>
          </w:p>
        </w:tc>
        <w:tc>
          <w:tcPr>
            <w:tcW w:type="dxa" w:w="1038"/>
          </w:tcPr>
          <w:p>
            <w:pPr>
              <w:pStyle w:val="null3"/>
            </w:pPr>
            <w:r>
              <w:rPr/>
              <w:t>试运行要求</w:t>
            </w:r>
          </w:p>
        </w:tc>
        <w:tc>
          <w:tcPr>
            <w:tcW w:type="dxa" w:w="1038"/>
          </w:tcPr>
          <w:p>
            <w:pPr>
              <w:pStyle w:val="null3"/>
            </w:pPr>
            <w:r>
              <w:rPr/>
              <w:t>试运行要求</w:t>
            </w:r>
          </w:p>
        </w:tc>
        <w:tc>
          <w:tcPr>
            <w:tcW w:type="dxa" w:w="1038"/>
          </w:tcPr>
          <w:p>
            <w:pPr>
              <w:pStyle w:val="null3"/>
              <w:jc w:val="both"/>
            </w:pPr>
            <w:r>
              <w:rPr>
                <w:rFonts w:ascii="仿宋" w:hAnsi="仿宋" w:cs="仿宋" w:eastAsia="仿宋"/>
                <w:sz w:val="24"/>
              </w:rPr>
              <w:t>货物通过初步验收后，进入</w:t>
            </w:r>
            <w:r>
              <w:rPr>
                <w:rFonts w:ascii="仿宋" w:hAnsi="仿宋" w:cs="仿宋" w:eastAsia="仿宋"/>
                <w:sz w:val="24"/>
              </w:rPr>
              <w:t>3个月的</w:t>
            </w:r>
            <w:r>
              <w:rPr>
                <w:rFonts w:ascii="仿宋" w:hAnsi="仿宋" w:cs="仿宋" w:eastAsia="仿宋"/>
                <w:sz w:val="24"/>
              </w:rPr>
              <w:t>连续</w:t>
            </w:r>
            <w:r>
              <w:rPr>
                <w:rFonts w:ascii="仿宋" w:hAnsi="仿宋" w:cs="仿宋" w:eastAsia="仿宋"/>
                <w:sz w:val="24"/>
              </w:rPr>
              <w:t>试运行。如果货物在试运行期间出现故障或者达不到</w:t>
            </w:r>
            <w:r>
              <w:rPr>
                <w:rFonts w:ascii="仿宋" w:hAnsi="仿宋" w:cs="仿宋" w:eastAsia="仿宋"/>
                <w:sz w:val="24"/>
              </w:rPr>
              <w:t>合同</w:t>
            </w:r>
            <w:r>
              <w:rPr>
                <w:rFonts w:ascii="仿宋" w:hAnsi="仿宋" w:cs="仿宋" w:eastAsia="仿宋"/>
                <w:sz w:val="24"/>
              </w:rPr>
              <w:t>要求，则应在修复之后由</w:t>
            </w:r>
            <w:r>
              <w:rPr>
                <w:rFonts w:ascii="仿宋" w:hAnsi="仿宋" w:cs="仿宋" w:eastAsia="仿宋"/>
                <w:sz w:val="24"/>
              </w:rPr>
              <w:t>招标人</w:t>
            </w:r>
            <w:r>
              <w:rPr>
                <w:rFonts w:ascii="仿宋" w:hAnsi="仿宋" w:cs="仿宋" w:eastAsia="仿宋"/>
                <w:sz w:val="24"/>
              </w:rPr>
              <w:t>、</w:t>
            </w:r>
            <w:r>
              <w:rPr>
                <w:rFonts w:ascii="仿宋" w:hAnsi="仿宋" w:cs="仿宋" w:eastAsia="仿宋"/>
                <w:sz w:val="24"/>
              </w:rPr>
              <w:t>中标人</w:t>
            </w:r>
            <w:r>
              <w:rPr>
                <w:rFonts w:ascii="仿宋" w:hAnsi="仿宋" w:cs="仿宋" w:eastAsia="仿宋"/>
                <w:sz w:val="24"/>
              </w:rPr>
              <w:t>及制造商等共同确定再一次连续试运行开始日期。</w:t>
            </w:r>
            <w:r>
              <w:br/>
            </w:r>
            <w:r>
              <w:rPr>
                <w:rFonts w:ascii="仿宋" w:hAnsi="仿宋" w:cs="仿宋" w:eastAsia="仿宋"/>
                <w:sz w:val="24"/>
              </w:rPr>
              <w:t>若连续</w:t>
            </w:r>
            <w:r>
              <w:rPr>
                <w:rFonts w:ascii="仿宋" w:hAnsi="仿宋" w:cs="仿宋" w:eastAsia="仿宋"/>
                <w:sz w:val="24"/>
              </w:rPr>
              <w:t>2次试运行均存在问题且无法修复，则视为产品不合格，</w:t>
            </w:r>
            <w:r>
              <w:rPr>
                <w:rFonts w:ascii="仿宋" w:hAnsi="仿宋" w:cs="仿宋" w:eastAsia="仿宋"/>
                <w:sz w:val="24"/>
              </w:rPr>
              <w:t>招标人</w:t>
            </w:r>
            <w:r>
              <w:rPr>
                <w:rFonts w:ascii="仿宋" w:hAnsi="仿宋" w:cs="仿宋" w:eastAsia="仿宋"/>
                <w:sz w:val="24"/>
              </w:rPr>
              <w:t>有权退货并保留要求赔偿的权利。</w:t>
            </w:r>
          </w:p>
          <w:p>
            <w:pPr>
              <w:pStyle w:val="null3"/>
            </w:pPr>
            <w:r>
              <w:rPr>
                <w:rFonts w:ascii="仿宋" w:hAnsi="仿宋" w:cs="仿宋" w:eastAsia="仿宋"/>
                <w:sz w:val="24"/>
              </w:rPr>
              <w:t>整个试运行含问题整改时间不得超过</w:t>
            </w:r>
            <w:r>
              <w:rPr>
                <w:rFonts w:ascii="仿宋" w:hAnsi="仿宋" w:cs="仿宋" w:eastAsia="仿宋"/>
                <w:sz w:val="24"/>
              </w:rPr>
              <w:t>7个月，否则视为产品不合格，招标人有权退货并保留要求赔偿的权利。</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最终验收 要求</w:t>
            </w:r>
          </w:p>
        </w:tc>
        <w:tc>
          <w:tcPr>
            <w:tcW w:type="dxa" w:w="1038"/>
          </w:tcPr>
          <w:p>
            <w:pPr>
              <w:pStyle w:val="null3"/>
            </w:pPr>
            <w:r>
              <w:rPr/>
              <w:t>最终验收 要求</w:t>
            </w:r>
          </w:p>
        </w:tc>
        <w:tc>
          <w:tcPr>
            <w:tcW w:type="dxa" w:w="1038"/>
          </w:tcPr>
          <w:p>
            <w:pPr>
              <w:pStyle w:val="null3"/>
              <w:jc w:val="both"/>
            </w:pPr>
            <w:r>
              <w:rPr>
                <w:rFonts w:ascii="仿宋" w:hAnsi="仿宋" w:cs="仿宋" w:eastAsia="仿宋"/>
                <w:sz w:val="24"/>
              </w:rPr>
              <w:t>试运行通过后由招标人组织最终验收。</w:t>
            </w:r>
          </w:p>
          <w:p>
            <w:pPr>
              <w:pStyle w:val="null3"/>
              <w:jc w:val="both"/>
            </w:pPr>
            <w:r>
              <w:rPr>
                <w:rFonts w:ascii="仿宋" w:hAnsi="仿宋" w:cs="仿宋" w:eastAsia="仿宋"/>
                <w:sz w:val="24"/>
              </w:rPr>
              <w:t>若验收过程中发现问题，由中标人负责免费解决，招标人保留退货及索赔权利。</w:t>
            </w:r>
          </w:p>
          <w:p>
            <w:pPr>
              <w:pStyle w:val="null3"/>
            </w:pPr>
            <w:r>
              <w:rPr>
                <w:rFonts w:ascii="仿宋" w:hAnsi="仿宋" w:cs="仿宋" w:eastAsia="仿宋"/>
                <w:sz w:val="24"/>
              </w:rPr>
              <w:t>货物验收合格后，</w:t>
            </w:r>
            <w:r>
              <w:rPr>
                <w:rFonts w:ascii="仿宋" w:hAnsi="仿宋" w:cs="仿宋" w:eastAsia="仿宋"/>
                <w:sz w:val="24"/>
              </w:rPr>
              <w:t>由招标人开具</w:t>
            </w:r>
            <w:r>
              <w:rPr>
                <w:rFonts w:ascii="仿宋" w:hAnsi="仿宋" w:cs="仿宋" w:eastAsia="仿宋"/>
                <w:sz w:val="24"/>
              </w:rPr>
              <w:t>合同验收单</w:t>
            </w:r>
            <w:r>
              <w:rPr>
                <w:rFonts w:ascii="仿宋" w:hAnsi="仿宋" w:cs="仿宋" w:eastAsia="仿宋"/>
                <w:sz w:val="24"/>
              </w:rPr>
              <w:t>，双方签字盖章</w:t>
            </w:r>
            <w:r>
              <w:rPr>
                <w:rFonts w:ascii="仿宋" w:hAnsi="仿宋" w:cs="仿宋" w:eastAsia="仿宋"/>
                <w:sz w:val="24"/>
              </w:rPr>
              <w:t>。</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最终验收 标准</w:t>
            </w:r>
          </w:p>
        </w:tc>
        <w:tc>
          <w:tcPr>
            <w:tcW w:type="dxa" w:w="1038"/>
          </w:tcPr>
          <w:p>
            <w:pPr>
              <w:pStyle w:val="null3"/>
            </w:pPr>
            <w:r>
              <w:rPr/>
              <w:t>★</w:t>
            </w:r>
          </w:p>
        </w:tc>
        <w:tc>
          <w:tcPr>
            <w:tcW w:type="dxa" w:w="1038"/>
          </w:tcPr>
          <w:p>
            <w:pPr>
              <w:pStyle w:val="null3"/>
            </w:pPr>
            <w:r>
              <w:rPr/>
              <w:t>最终验收 标准</w:t>
            </w:r>
          </w:p>
        </w:tc>
        <w:tc>
          <w:tcPr>
            <w:tcW w:type="dxa" w:w="1038"/>
          </w:tcPr>
          <w:p>
            <w:pPr>
              <w:pStyle w:val="null3"/>
            </w:pPr>
            <w:r>
              <w:rPr/>
              <w:t>最终验收 标准</w:t>
            </w:r>
          </w:p>
        </w:tc>
        <w:tc>
          <w:tcPr>
            <w:tcW w:type="dxa" w:w="1038"/>
          </w:tcPr>
          <w:p>
            <w:pPr>
              <w:pStyle w:val="null3"/>
            </w:pPr>
            <w:r>
              <w:rPr>
                <w:rFonts w:ascii="仿宋" w:hAnsi="仿宋" w:cs="仿宋" w:eastAsia="仿宋"/>
                <w:sz w:val="24"/>
              </w:rPr>
              <w:t>最终验收合格必须至少满足以下要求：</w:t>
            </w:r>
            <w:r>
              <w:br/>
            </w:r>
            <w:r>
              <w:rPr>
                <w:rFonts w:ascii="仿宋" w:hAnsi="仿宋" w:cs="仿宋" w:eastAsia="仿宋"/>
                <w:sz w:val="24"/>
              </w:rPr>
              <w:t>1.</w:t>
            </w:r>
            <w:r>
              <w:rPr>
                <w:rFonts w:ascii="仿宋" w:hAnsi="仿宋" w:cs="仿宋" w:eastAsia="仿宋"/>
                <w:sz w:val="24"/>
              </w:rPr>
              <w:t>已按合同要求提供了全部货物和资料；</w:t>
            </w:r>
            <w:r>
              <w:br/>
            </w:r>
            <w:r>
              <w:rPr>
                <w:rFonts w:ascii="仿宋" w:hAnsi="仿宋" w:cs="仿宋" w:eastAsia="仿宋"/>
                <w:sz w:val="24"/>
              </w:rPr>
              <w:t>2.</w:t>
            </w:r>
            <w:r>
              <w:rPr>
                <w:rFonts w:ascii="仿宋" w:hAnsi="仿宋" w:cs="仿宋" w:eastAsia="仿宋"/>
                <w:sz w:val="24"/>
              </w:rPr>
              <w:t>软件在试运行期间满足合同要求；</w:t>
            </w:r>
            <w:r>
              <w:br/>
            </w:r>
            <w:r>
              <w:rPr>
                <w:rFonts w:ascii="仿宋" w:hAnsi="仿宋" w:cs="仿宋" w:eastAsia="仿宋"/>
                <w:sz w:val="24"/>
              </w:rPr>
              <w:t>3.</w:t>
            </w:r>
            <w:r>
              <w:rPr>
                <w:rFonts w:ascii="仿宋" w:hAnsi="仿宋" w:cs="仿宋" w:eastAsia="仿宋"/>
                <w:sz w:val="24"/>
              </w:rPr>
              <w:t>中标人和制造商按合同要求提供了技术支持服务，且试运行期间出现的问题已被解决；</w:t>
            </w:r>
            <w:r>
              <w:br/>
            </w:r>
            <w:r>
              <w:rPr>
                <w:rFonts w:ascii="仿宋" w:hAnsi="仿宋" w:cs="仿宋" w:eastAsia="仿宋"/>
                <w:sz w:val="24"/>
              </w:rPr>
              <w:t>4.</w:t>
            </w:r>
            <w:r>
              <w:rPr>
                <w:rFonts w:ascii="仿宋" w:hAnsi="仿宋" w:cs="仿宋" w:eastAsia="仿宋"/>
                <w:sz w:val="24"/>
              </w:rPr>
              <w:t>中标人向招标人提交了加盖原厂商公章的《原厂足期维保承诺函》原件（样式详见附件</w:t>
            </w:r>
            <w:r>
              <w:rPr>
                <w:rFonts w:ascii="仿宋" w:hAnsi="仿宋" w:cs="仿宋" w:eastAsia="仿宋"/>
                <w:sz w:val="24"/>
              </w:rPr>
              <w:t>1</w:t>
            </w:r>
            <w:r>
              <w:rPr>
                <w:rFonts w:ascii="仿宋" w:hAnsi="仿宋" w:cs="仿宋" w:eastAsia="仿宋"/>
                <w:sz w:val="24"/>
              </w:rPr>
              <w:t>）。</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技术文档 要求</w:t>
            </w:r>
          </w:p>
        </w:tc>
        <w:tc>
          <w:tcPr>
            <w:tcW w:type="dxa" w:w="1038"/>
          </w:tcPr>
          <w:p>
            <w:pPr>
              <w:pStyle w:val="null3"/>
            </w:pPr>
            <w:r>
              <w:rPr/>
              <w:t>技术文档 要求</w:t>
            </w:r>
          </w:p>
        </w:tc>
        <w:tc>
          <w:tcPr>
            <w:tcW w:type="dxa" w:w="1038"/>
          </w:tcPr>
          <w:p>
            <w:pPr>
              <w:pStyle w:val="null3"/>
              <w:spacing w:before="150"/>
              <w:jc w:val="both"/>
            </w:pPr>
            <w:r>
              <w:rPr>
                <w:rFonts w:ascii="仿宋" w:hAnsi="仿宋" w:cs="仿宋" w:eastAsia="仿宋"/>
                <w:sz w:val="24"/>
              </w:rPr>
              <w:t>中标人所提交的技术文档必须是正式出版和装订的</w:t>
            </w:r>
            <w:r>
              <w:rPr>
                <w:rFonts w:ascii="仿宋" w:hAnsi="仿宋" w:cs="仿宋" w:eastAsia="仿宋"/>
                <w:sz w:val="24"/>
              </w:rPr>
              <w:t>(</w:t>
            </w:r>
            <w:r>
              <w:rPr>
                <w:rFonts w:ascii="仿宋" w:hAnsi="仿宋" w:cs="仿宋" w:eastAsia="仿宋"/>
                <w:sz w:val="24"/>
              </w:rPr>
              <w:t>可以为电子版</w:t>
            </w:r>
            <w:r>
              <w:rPr>
                <w:rFonts w:ascii="仿宋" w:hAnsi="仿宋" w:cs="仿宋" w:eastAsia="仿宋"/>
                <w:sz w:val="24"/>
              </w:rPr>
              <w:t>)</w:t>
            </w:r>
            <w:r>
              <w:rPr>
                <w:rFonts w:ascii="仿宋" w:hAnsi="仿宋" w:cs="仿宋" w:eastAsia="仿宋"/>
                <w:sz w:val="24"/>
              </w:rPr>
              <w:t>，电子文档交付格式要求：</w:t>
            </w:r>
            <w:r>
              <w:rPr>
                <w:rFonts w:ascii="仿宋" w:hAnsi="仿宋" w:cs="仿宋" w:eastAsia="仿宋"/>
                <w:sz w:val="24"/>
              </w:rPr>
              <w:t>WORD</w:t>
            </w:r>
            <w:r>
              <w:rPr>
                <w:rFonts w:ascii="仿宋" w:hAnsi="仿宋" w:cs="仿宋" w:eastAsia="仿宋"/>
                <w:sz w:val="24"/>
              </w:rPr>
              <w:t>、</w:t>
            </w:r>
            <w:r>
              <w:rPr>
                <w:rFonts w:ascii="仿宋" w:hAnsi="仿宋" w:cs="仿宋" w:eastAsia="仿宋"/>
                <w:sz w:val="24"/>
              </w:rPr>
              <w:t>EXCEL</w:t>
            </w:r>
            <w:r>
              <w:rPr>
                <w:rFonts w:ascii="仿宋" w:hAnsi="仿宋" w:cs="仿宋" w:eastAsia="仿宋"/>
                <w:sz w:val="24"/>
              </w:rPr>
              <w:t>、</w:t>
            </w:r>
            <w:r>
              <w:rPr>
                <w:rFonts w:ascii="仿宋" w:hAnsi="仿宋" w:cs="仿宋" w:eastAsia="仿宋"/>
                <w:sz w:val="24"/>
              </w:rPr>
              <w:t>POWERPOINT</w:t>
            </w:r>
            <w:r>
              <w:rPr>
                <w:rFonts w:ascii="仿宋" w:hAnsi="仿宋" w:cs="仿宋" w:eastAsia="仿宋"/>
                <w:sz w:val="24"/>
              </w:rPr>
              <w:t>、</w:t>
            </w:r>
            <w:r>
              <w:rPr>
                <w:rFonts w:ascii="仿宋" w:hAnsi="仿宋" w:cs="仿宋" w:eastAsia="仿宋"/>
                <w:sz w:val="24"/>
              </w:rPr>
              <w:t>VISIO</w:t>
            </w:r>
            <w:r>
              <w:rPr>
                <w:rFonts w:ascii="仿宋" w:hAnsi="仿宋" w:cs="仿宋" w:eastAsia="仿宋"/>
                <w:sz w:val="24"/>
              </w:rPr>
              <w:t>、</w:t>
            </w:r>
            <w:r>
              <w:rPr>
                <w:rFonts w:ascii="仿宋" w:hAnsi="仿宋" w:cs="仿宋" w:eastAsia="仿宋"/>
                <w:sz w:val="24"/>
              </w:rPr>
              <w:t>MS PROJECT</w:t>
            </w:r>
            <w:r>
              <w:rPr>
                <w:rFonts w:ascii="仿宋" w:hAnsi="仿宋" w:cs="仿宋" w:eastAsia="仿宋"/>
                <w:sz w:val="24"/>
              </w:rPr>
              <w:t>等原始电子文档形式，对于关键性的电子文档，同时提交</w:t>
            </w:r>
            <w:r>
              <w:rPr>
                <w:rFonts w:ascii="仿宋" w:hAnsi="仿宋" w:cs="仿宋" w:eastAsia="仿宋"/>
                <w:sz w:val="24"/>
              </w:rPr>
              <w:t>PDF</w:t>
            </w:r>
            <w:r>
              <w:rPr>
                <w:rFonts w:ascii="仿宋" w:hAnsi="仿宋" w:cs="仿宋" w:eastAsia="仿宋"/>
                <w:sz w:val="24"/>
              </w:rPr>
              <w:t>文件，其费用应包括在该品目的基本报价中。为了培训的目的，招标人有权复制这些资料而不受限制和另付费用。所有技术文档以实际需求为准，包括但不限于如下内容：</w:t>
            </w:r>
          </w:p>
          <w:p>
            <w:pPr>
              <w:pStyle w:val="null3"/>
              <w:spacing w:before="150"/>
              <w:jc w:val="both"/>
            </w:pPr>
            <w:r>
              <w:rPr>
                <w:rFonts w:ascii="仿宋" w:hAnsi="仿宋" w:cs="仿宋" w:eastAsia="仿宋"/>
                <w:sz w:val="24"/>
              </w:rPr>
              <w:t>1.</w:t>
            </w:r>
            <w:r>
              <w:rPr>
                <w:rFonts w:ascii="仿宋" w:hAnsi="仿宋" w:cs="仿宋" w:eastAsia="仿宋"/>
                <w:sz w:val="24"/>
              </w:rPr>
              <w:t>安装指南：中标人应向招标人提供安装调试过程中的各种文档资料</w:t>
            </w:r>
            <w:r>
              <w:rPr>
                <w:rFonts w:ascii="仿宋" w:hAnsi="仿宋" w:cs="仿宋" w:eastAsia="仿宋"/>
                <w:sz w:val="24"/>
              </w:rPr>
              <w:t>,</w:t>
            </w:r>
            <w:r>
              <w:rPr>
                <w:rFonts w:ascii="仿宋" w:hAnsi="仿宋" w:cs="仿宋" w:eastAsia="仿宋"/>
                <w:sz w:val="24"/>
              </w:rPr>
              <w:t>以便招标人能掌握操作方法和维护方法。有关产品正确安装与详细配置（包括安装方法、安装步骤及各种配置参数等）资料要以易理解的方式（包括详细说明及图示）形成中文文档，交于招标人。</w:t>
            </w:r>
          </w:p>
          <w:p>
            <w:pPr>
              <w:pStyle w:val="null3"/>
            </w:pPr>
            <w:r>
              <w:rPr>
                <w:rFonts w:ascii="仿宋" w:hAnsi="仿宋" w:cs="仿宋" w:eastAsia="仿宋"/>
                <w:sz w:val="24"/>
              </w:rPr>
              <w:t>2.</w:t>
            </w:r>
            <w:r>
              <w:rPr>
                <w:rFonts w:ascii="仿宋" w:hAnsi="仿宋" w:cs="仿宋" w:eastAsia="仿宋"/>
                <w:sz w:val="24"/>
              </w:rPr>
              <w:t>技术文件：产品说明书、产品维护手册（包括故障诊断指南）等。</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技术支持服务要求</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jc w:val="both"/>
            </w:pPr>
            <w:r>
              <w:rPr>
                <w:rFonts w:ascii="仿宋" w:hAnsi="仿宋" w:cs="仿宋" w:eastAsia="仿宋"/>
                <w:sz w:val="24"/>
              </w:rPr>
              <w:t>质量保障服务期为</w:t>
            </w:r>
            <w:r>
              <w:rPr>
                <w:rFonts w:ascii="仿宋" w:hAnsi="仿宋" w:cs="仿宋" w:eastAsia="仿宋"/>
                <w:sz w:val="24"/>
              </w:rPr>
              <w:t>3</w:t>
            </w:r>
            <w:r>
              <w:rPr>
                <w:rFonts w:ascii="仿宋" w:hAnsi="仿宋" w:cs="仿宋" w:eastAsia="仿宋"/>
                <w:sz w:val="24"/>
              </w:rPr>
              <w:t>年，质量保障期自</w:t>
            </w:r>
            <w:r>
              <w:rPr>
                <w:rFonts w:ascii="仿宋" w:hAnsi="仿宋" w:cs="仿宋" w:eastAsia="仿宋"/>
                <w:sz w:val="24"/>
              </w:rPr>
              <w:t>合同验收单</w:t>
            </w:r>
            <w:r>
              <w:rPr>
                <w:rFonts w:ascii="仿宋" w:hAnsi="仿宋" w:cs="仿宋" w:eastAsia="仿宋"/>
                <w:sz w:val="24"/>
              </w:rPr>
              <w:t>中最终验收日期之日起开始计算。</w:t>
            </w:r>
          </w:p>
          <w:p>
            <w:pPr>
              <w:pStyle w:val="null3"/>
            </w:pPr>
            <w:r>
              <w:rPr>
                <w:rFonts w:ascii="仿宋" w:hAnsi="仿宋" w:cs="仿宋" w:eastAsia="仿宋"/>
                <w:sz w:val="24"/>
              </w:rPr>
              <w:t>质量保障期内的服务要求详见下文，相关服务的报价都应计入报价总价中，未单独报价的则被视为免费服务或已含在其他报价项中。</w:t>
            </w:r>
          </w:p>
        </w:tc>
        <w:tc>
          <w:tcPr>
            <w:tcW w:type="dxa" w:w="1038"/>
          </w:tcPr>
          <w:p>
            <w:pPr>
              <w:pStyle w:val="null3"/>
            </w:pPr>
            <w:r>
              <w:rPr/>
              <w:t>是</w:t>
            </w:r>
          </w:p>
        </w:tc>
        <w:tc>
          <w:tcPr>
            <w:tcW w:type="dxa" w:w="1038"/>
          </w:tcPr>
          <w:p>
            <w:pPr>
              <w:pStyle w:val="null3"/>
            </w:pPr>
            <w:r>
              <w:rPr/>
              <w:t>是，投标人提供原厂3年服务承诺并加盖投标人公章。</w:t>
            </w:r>
          </w:p>
        </w:tc>
      </w:tr>
      <w:tr>
        <w:tc>
          <w:tcPr>
            <w:tcW w:type="dxa" w:w="1038"/>
          </w:tcPr>
          <w:p>
            <w:pPr>
              <w:pStyle w:val="null3"/>
            </w:pPr>
            <w:r>
              <w:rPr/>
              <w:t>17</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试运行期及质量保障期内的技术支持及售后服务</w:t>
            </w:r>
          </w:p>
        </w:tc>
        <w:tc>
          <w:tcPr>
            <w:tcW w:type="dxa" w:w="1038"/>
          </w:tcPr>
          <w:p>
            <w:pPr>
              <w:pStyle w:val="null3"/>
            </w:pPr>
            <w:r>
              <w:rPr/>
              <w:t>试运行期及质量保障期内的技术支持及售后服务</w:t>
            </w:r>
          </w:p>
        </w:tc>
        <w:tc>
          <w:tcPr>
            <w:tcW w:type="dxa" w:w="1038"/>
          </w:tcPr>
          <w:p>
            <w:pPr>
              <w:pStyle w:val="null3"/>
            </w:pPr>
            <w:r>
              <w:rPr>
                <w:rFonts w:ascii="仿宋" w:hAnsi="仿宋" w:cs="仿宋" w:eastAsia="仿宋"/>
                <w:sz w:val="24"/>
              </w:rPr>
              <w:t>试运行期及质量保障期内的技术支持和售后服务的提供商在</w:t>
            </w:r>
            <w:r>
              <w:rPr>
                <w:rFonts w:ascii="仿宋" w:hAnsi="仿宋" w:cs="仿宋" w:eastAsia="仿宋"/>
                <w:sz w:val="24"/>
              </w:rPr>
              <w:t>“技术支持及售后服务”一节中所包含的文字部分简称为“技术服务提供商”。本次采购软件的技术服务提供商必须为软件制造商。</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试运行期及质量保障期内的技术支持及售后服务</w:t>
            </w:r>
          </w:p>
        </w:tc>
        <w:tc>
          <w:tcPr>
            <w:tcW w:type="dxa" w:w="1038"/>
          </w:tcPr>
          <w:p>
            <w:pPr>
              <w:pStyle w:val="null3"/>
            </w:pPr>
            <w:r>
              <w:rPr/>
              <w:t>试运行期及质量保障期内的技术支持及售后服务</w:t>
            </w:r>
          </w:p>
        </w:tc>
        <w:tc>
          <w:tcPr>
            <w:tcW w:type="dxa" w:w="1038"/>
          </w:tcPr>
          <w:p>
            <w:pPr>
              <w:pStyle w:val="null3"/>
            </w:pPr>
            <w:r>
              <w:rPr>
                <w:rFonts w:ascii="仿宋" w:hAnsi="仿宋" w:cs="仿宋" w:eastAsia="仿宋"/>
                <w:sz w:val="24"/>
              </w:rPr>
              <w:t>试运行期及质量保障期内的技术支持与售后服务内容应包括但不限于下述内容：技术咨询服务、维护服务、版本升级服务、巡检服务、性能调优、漏洞修复、电话支持、电子邮件支持、故障排除等，其中：定期巡检至少每季度提供</w:t>
            </w:r>
            <w:r>
              <w:rPr>
                <w:rFonts w:ascii="仿宋" w:hAnsi="仿宋" w:cs="仿宋" w:eastAsia="仿宋"/>
                <w:sz w:val="24"/>
              </w:rPr>
              <w:t>1</w:t>
            </w:r>
            <w:r>
              <w:rPr>
                <w:rFonts w:ascii="仿宋" w:hAnsi="仿宋" w:cs="仿宋" w:eastAsia="仿宋"/>
                <w:sz w:val="24"/>
              </w:rPr>
              <w:t>次。技术支持与售后服务的所有报价都需要计入报价总价中，否则未单独报价的视为免费已含在其他报价项中。</w:t>
            </w:r>
            <w:r>
              <w:br/>
            </w:r>
            <w:r>
              <w:rPr>
                <w:rFonts w:ascii="仿宋" w:hAnsi="仿宋" w:cs="仿宋" w:eastAsia="仿宋"/>
                <w:sz w:val="24"/>
              </w:rPr>
              <w:t>1.</w:t>
            </w:r>
            <w:r>
              <w:rPr>
                <w:rFonts w:ascii="仿宋" w:hAnsi="仿宋" w:cs="仿宋" w:eastAsia="仿宋"/>
                <w:sz w:val="24"/>
              </w:rPr>
              <w:t>技术咨询服务：提供产品终身的技术咨询服务，包括新产品新技术通报，技术咨询，系统改进意见，提供技术方案，项目长远规划，研究解决技术难题，</w:t>
            </w:r>
            <w:r>
              <w:rPr>
                <w:rFonts w:ascii="仿宋" w:hAnsi="仿宋" w:cs="仿宋" w:eastAsia="仿宋"/>
                <w:sz w:val="24"/>
                <w:color w:val="000000"/>
              </w:rPr>
              <w:t>在线问题反馈</w:t>
            </w:r>
            <w:r>
              <w:rPr>
                <w:rFonts w:ascii="仿宋" w:hAnsi="仿宋" w:cs="仿宋" w:eastAsia="仿宋"/>
                <w:sz w:val="24"/>
              </w:rPr>
              <w:t>等。</w:t>
            </w:r>
            <w:r>
              <w:br/>
            </w:r>
            <w:r>
              <w:rPr>
                <w:rFonts w:ascii="仿宋" w:hAnsi="仿宋" w:cs="仿宋" w:eastAsia="仿宋"/>
                <w:sz w:val="24"/>
              </w:rPr>
              <w:t>2.</w:t>
            </w:r>
            <w:r>
              <w:rPr>
                <w:rFonts w:ascii="仿宋" w:hAnsi="仿宋" w:cs="仿宋" w:eastAsia="仿宋"/>
                <w:sz w:val="24"/>
              </w:rPr>
              <w:t>维护服务：技术服务提供商应协助招标人完成日常系统及应用的维护工作，保证系统的正常运行。</w:t>
            </w:r>
            <w:r>
              <w:br/>
            </w:r>
            <w:r>
              <w:rPr>
                <w:rFonts w:ascii="仿宋" w:hAnsi="仿宋" w:cs="仿宋" w:eastAsia="仿宋"/>
                <w:sz w:val="24"/>
              </w:rPr>
              <w:t>3.</w:t>
            </w:r>
            <w:r>
              <w:rPr>
                <w:rFonts w:ascii="仿宋" w:hAnsi="仿宋" w:cs="仿宋" w:eastAsia="仿宋"/>
                <w:sz w:val="24"/>
              </w:rPr>
              <w:t>版本升级服务：技术服务提供商应配合招标人分析软件运行状态，提出修正性的软件版本升级的建议，提供软件升级报告及升级方案，并在质量保障期内提供软件版本升级服务。</w:t>
            </w:r>
            <w:r>
              <w:br/>
            </w:r>
            <w:r>
              <w:rPr>
                <w:rFonts w:ascii="仿宋" w:hAnsi="仿宋" w:cs="仿宋" w:eastAsia="仿宋"/>
                <w:sz w:val="24"/>
              </w:rPr>
              <w:t>4.</w:t>
            </w:r>
            <w:r>
              <w:rPr>
                <w:rFonts w:ascii="仿宋" w:hAnsi="仿宋" w:cs="仿宋" w:eastAsia="仿宋"/>
                <w:sz w:val="24"/>
              </w:rPr>
              <w:t>巡检服务：技术服务提供商定期派合格工程师到招标人现场对软件进行巡检，全面检查软件的运行情况，记录软件的错误，排除故障隐患。在质量保障期内，巡检频率为</w:t>
            </w:r>
            <w:r>
              <w:rPr>
                <w:rFonts w:ascii="仿宋" w:hAnsi="仿宋" w:cs="仿宋" w:eastAsia="仿宋"/>
                <w:sz w:val="24"/>
              </w:rPr>
              <w:t>1</w:t>
            </w:r>
            <w:r>
              <w:rPr>
                <w:rFonts w:ascii="仿宋" w:hAnsi="仿宋" w:cs="仿宋" w:eastAsia="仿宋"/>
                <w:sz w:val="24"/>
              </w:rPr>
              <w:t>次</w:t>
            </w:r>
            <w:r>
              <w:rPr>
                <w:rFonts w:ascii="仿宋" w:hAnsi="仿宋" w:cs="仿宋" w:eastAsia="仿宋"/>
                <w:sz w:val="24"/>
              </w:rPr>
              <w:t>/</w:t>
            </w:r>
            <w:r>
              <w:rPr>
                <w:rFonts w:ascii="仿宋" w:hAnsi="仿宋" w:cs="仿宋" w:eastAsia="仿宋"/>
                <w:sz w:val="24"/>
              </w:rPr>
              <w:t>季度。每次巡检，技术服务提供商须分析软件运行情况，提供系统日常运行维护建议并形成巡检报告提交给招标人。</w:t>
            </w:r>
            <w:r>
              <w:br/>
            </w:r>
            <w:r>
              <w:rPr>
                <w:rFonts w:ascii="仿宋" w:hAnsi="仿宋" w:cs="仿宋" w:eastAsia="仿宋"/>
                <w:sz w:val="24"/>
              </w:rPr>
              <w:t>5.</w:t>
            </w:r>
            <w:r>
              <w:rPr>
                <w:rFonts w:ascii="仿宋" w:hAnsi="仿宋" w:cs="仿宋" w:eastAsia="仿宋"/>
                <w:sz w:val="24"/>
              </w:rPr>
              <w:t>补丁安装：技术服务提供商应为用户的软件版本更新信息提供通知及安装服务，对软件的新发现的缺陷或漏洞、新发布的修复更新和面临的风险隐患进行及时的通知，防止因未及时修复缺陷或漏洞从而造成招标人整体系统运行风险隐患，甚至导致信息安全事件的发生。补丁安装须提供以下信息：漏洞描述、修复目标、修复计划、影响分析、准备工作、修复步骤、修复测试结果。</w:t>
            </w:r>
            <w:r>
              <w:br/>
            </w:r>
            <w:r>
              <w:rPr>
                <w:rFonts w:ascii="仿宋" w:hAnsi="仿宋" w:cs="仿宋" w:eastAsia="仿宋"/>
                <w:sz w:val="24"/>
              </w:rPr>
              <w:t>6.</w:t>
            </w:r>
            <w:r>
              <w:rPr>
                <w:rFonts w:ascii="仿宋" w:hAnsi="仿宋" w:cs="仿宋" w:eastAsia="仿宋"/>
                <w:sz w:val="24"/>
              </w:rPr>
              <w:t>性能调优：性能调优指当招标人软件出现运行不能达到预期目标时，技术服务提供商应为招标人提供性能优化服务直至软件运行达到较佳水平。性能调优服务包括为招标人建立性能基线、分析软硬件历史正常运行数据、对软硬件配置提出优化建议等。</w:t>
            </w:r>
            <w:r>
              <w:br/>
            </w:r>
            <w:r>
              <w:rPr>
                <w:rFonts w:ascii="仿宋" w:hAnsi="仿宋" w:cs="仿宋" w:eastAsia="仿宋"/>
                <w:sz w:val="24"/>
              </w:rPr>
              <w:t>7.</w:t>
            </w:r>
            <w:r>
              <w:rPr>
                <w:rFonts w:ascii="仿宋" w:hAnsi="仿宋" w:cs="仿宋" w:eastAsia="仿宋"/>
                <w:sz w:val="24"/>
              </w:rPr>
              <w:t>故障修复：</w:t>
            </w:r>
            <w:r>
              <w:rPr>
                <w:rFonts w:ascii="仿宋" w:hAnsi="仿宋" w:cs="仿宋" w:eastAsia="仿宋"/>
                <w:sz w:val="24"/>
              </w:rPr>
              <w:t>①故障修复指当招标人的软件出现故障（如服务中断、数据丢失、软件不能正常工作等）时，技术服务提供商须为招标人提供软件故障排除的服务。</w:t>
            </w:r>
            <w:r>
              <w:br/>
            </w:r>
            <w:r>
              <w:rPr>
                <w:rFonts w:ascii="仿宋" w:hAnsi="仿宋" w:cs="仿宋" w:eastAsia="仿宋"/>
                <w:sz w:val="24"/>
              </w:rPr>
              <w:t>②技术服务提供商应为招标人提供</w:t>
            </w:r>
            <w:r>
              <w:rPr>
                <w:rFonts w:ascii="仿宋" w:hAnsi="仿宋" w:cs="仿宋" w:eastAsia="仿宋"/>
                <w:sz w:val="24"/>
              </w:rPr>
              <w:t>7*24</w:t>
            </w:r>
            <w:r>
              <w:rPr>
                <w:rFonts w:ascii="仿宋" w:hAnsi="仿宋" w:cs="仿宋" w:eastAsia="仿宋"/>
                <w:sz w:val="24"/>
              </w:rPr>
              <w:t>的故障修复服务。当软件发生故障时，技术服务提供商应在接到招标人申请后</w:t>
            </w:r>
            <w:r>
              <w:rPr>
                <w:rFonts w:ascii="仿宋" w:hAnsi="仿宋" w:cs="仿宋" w:eastAsia="仿宋"/>
                <w:sz w:val="24"/>
              </w:rPr>
              <w:t>1</w:t>
            </w:r>
            <w:r>
              <w:rPr>
                <w:rFonts w:ascii="仿宋" w:hAnsi="仿宋" w:cs="仿宋" w:eastAsia="仿宋"/>
                <w:sz w:val="24"/>
              </w:rPr>
              <w:t>小时内作出实质性反应，并派出工程师在</w:t>
            </w:r>
            <w:r>
              <w:rPr>
                <w:rFonts w:ascii="仿宋" w:hAnsi="仿宋" w:cs="仿宋" w:eastAsia="仿宋"/>
                <w:sz w:val="24"/>
              </w:rPr>
              <w:t>2</w:t>
            </w:r>
            <w:r>
              <w:rPr>
                <w:rFonts w:ascii="仿宋" w:hAnsi="仿宋" w:cs="仿宋" w:eastAsia="仿宋"/>
                <w:sz w:val="24"/>
              </w:rPr>
              <w:t>小时内到达现场。</w:t>
            </w:r>
            <w:r>
              <w:br/>
            </w:r>
            <w:r>
              <w:rPr>
                <w:rFonts w:ascii="仿宋" w:hAnsi="仿宋" w:cs="仿宋" w:eastAsia="仿宋"/>
                <w:sz w:val="24"/>
              </w:rPr>
              <w:t>③技术服务提供商应以书面形式告知招标人故障申请的方式、申请的流程，以及申请过程中需要招标人准备的软件产品信息。</w:t>
            </w:r>
            <w:r>
              <w:br/>
            </w:r>
            <w:r>
              <w:rPr>
                <w:rFonts w:ascii="仿宋" w:hAnsi="仿宋" w:cs="仿宋" w:eastAsia="仿宋"/>
                <w:sz w:val="24"/>
              </w:rPr>
              <w:t>④当软件发生故障时，技术服务提供商需在</w:t>
            </w:r>
            <w:r>
              <w:rPr>
                <w:rFonts w:ascii="仿宋" w:hAnsi="仿宋" w:cs="仿宋" w:eastAsia="仿宋"/>
                <w:sz w:val="24"/>
              </w:rPr>
              <w:t>6</w:t>
            </w:r>
            <w:r>
              <w:rPr>
                <w:rFonts w:ascii="仿宋" w:hAnsi="仿宋" w:cs="仿宋" w:eastAsia="仿宋"/>
                <w:sz w:val="24"/>
              </w:rPr>
              <w:t>小时内修复故障，如</w:t>
            </w:r>
            <w:r>
              <w:rPr>
                <w:rFonts w:ascii="仿宋" w:hAnsi="仿宋" w:cs="仿宋" w:eastAsia="仿宋"/>
                <w:sz w:val="24"/>
              </w:rPr>
              <w:t>6</w:t>
            </w:r>
            <w:r>
              <w:rPr>
                <w:rFonts w:ascii="仿宋" w:hAnsi="仿宋" w:cs="仿宋" w:eastAsia="仿宋"/>
                <w:sz w:val="24"/>
              </w:rPr>
              <w:t>小时内未能修复故障，则须在此</w:t>
            </w:r>
            <w:r>
              <w:rPr>
                <w:rFonts w:ascii="仿宋" w:hAnsi="仿宋" w:cs="仿宋" w:eastAsia="仿宋"/>
                <w:sz w:val="24"/>
              </w:rPr>
              <w:t>6</w:t>
            </w:r>
            <w:r>
              <w:rPr>
                <w:rFonts w:ascii="仿宋" w:hAnsi="仿宋" w:cs="仿宋" w:eastAsia="仿宋"/>
                <w:sz w:val="24"/>
              </w:rPr>
              <w:t>小时内提出解决此类问题的紧急预案方案，以恢复系统的正常运行。</w:t>
            </w:r>
            <w:r>
              <w:br/>
            </w:r>
            <w:r>
              <w:rPr>
                <w:rFonts w:ascii="仿宋" w:hAnsi="仿宋" w:cs="仿宋" w:eastAsia="仿宋"/>
                <w:sz w:val="24"/>
              </w:rPr>
              <w:t>⑤当软件发生故障时，技术服务提供商须启动公司的多层技术资源支持，帮助招标人排查问题，直到问题最终获得妥善处理。对于招标人系统的重要问题，至少每天汇报一次问题解决情况，须协助招标人进行问题定位，就解决问题所需要相关系统信息的收集方法，指导招标人的技术人员。</w:t>
            </w:r>
            <w:r>
              <w:br/>
            </w:r>
            <w:r>
              <w:rPr>
                <w:rFonts w:ascii="仿宋" w:hAnsi="仿宋" w:cs="仿宋" w:eastAsia="仿宋"/>
                <w:sz w:val="24"/>
              </w:rPr>
              <w:t>⑥技术服务提供商须帮助招标人进行问题根源的分析和诊断，提出解决问题的建议方案。</w:t>
            </w:r>
            <w:r>
              <w:br/>
            </w:r>
            <w:r>
              <w:rPr>
                <w:rFonts w:ascii="仿宋" w:hAnsi="仿宋" w:cs="仿宋" w:eastAsia="仿宋"/>
                <w:sz w:val="24"/>
              </w:rPr>
              <w:t>8.</w:t>
            </w:r>
            <w:r>
              <w:rPr>
                <w:rFonts w:ascii="仿宋" w:hAnsi="仿宋" w:cs="仿宋" w:eastAsia="仿宋"/>
                <w:sz w:val="24"/>
              </w:rPr>
              <w:t>电话支持服务：技术服务提供商应为招标人提供</w:t>
            </w:r>
            <w:r>
              <w:rPr>
                <w:rFonts w:ascii="仿宋" w:hAnsi="仿宋" w:cs="仿宋" w:eastAsia="仿宋"/>
                <w:sz w:val="24"/>
              </w:rPr>
              <w:t>7*24</w:t>
            </w:r>
            <w:r>
              <w:rPr>
                <w:rFonts w:ascii="仿宋" w:hAnsi="仿宋" w:cs="仿宋" w:eastAsia="仿宋"/>
                <w:sz w:val="24"/>
              </w:rPr>
              <w:t>的电话支持服务，受理故障报修，解答招标人技术人员的技术咨询问题。技术服务提供商须以书面形式告知招标人有效的支持服务联系电话，以及提供支持服务过程中需要招标人准备的产品信息（如产品序列号等）。服务支持联系电话除指定一个固定电话号码外，须另提供一个手机号码。如电话号码有变动，技术服务提供商须提前以书面形式通知招标人。电话支持服务内容包含软件所有问题。</w:t>
            </w:r>
            <w:r>
              <w:br/>
            </w:r>
            <w:r>
              <w:rPr>
                <w:rFonts w:ascii="仿宋" w:hAnsi="仿宋" w:cs="仿宋" w:eastAsia="仿宋"/>
                <w:sz w:val="24"/>
              </w:rPr>
              <w:t>9.</w:t>
            </w:r>
            <w:r>
              <w:rPr>
                <w:rFonts w:ascii="仿宋" w:hAnsi="仿宋" w:cs="仿宋" w:eastAsia="仿宋"/>
                <w:sz w:val="24"/>
              </w:rPr>
              <w:t>电子邮件支持服务：技术服务提供商应为招标人提供</w:t>
            </w:r>
            <w:r>
              <w:rPr>
                <w:rFonts w:ascii="仿宋" w:hAnsi="仿宋" w:cs="仿宋" w:eastAsia="仿宋"/>
                <w:sz w:val="24"/>
              </w:rPr>
              <w:t>7*24</w:t>
            </w:r>
            <w:r>
              <w:rPr>
                <w:rFonts w:ascii="仿宋" w:hAnsi="仿宋" w:cs="仿宋" w:eastAsia="仿宋"/>
                <w:sz w:val="24"/>
              </w:rPr>
              <w:t>的电子邮件支持服务，以书面形式告知招标人有效的支持服务电子邮箱，以及提供支持服务过程中需要招标人准备的信息（如产品序列号等），如电子邮箱有变动须提前书面通知招标人。电子邮件支持服务内容包含软件所有问题。</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维修服务的质量保障</w:t>
            </w:r>
          </w:p>
        </w:tc>
        <w:tc>
          <w:tcPr>
            <w:tcW w:type="dxa" w:w="1038"/>
          </w:tcPr>
          <w:p>
            <w:pPr>
              <w:pStyle w:val="null3"/>
            </w:pPr>
            <w:r>
              <w:rPr/>
              <w:t>维修服务的质量保障</w:t>
            </w:r>
          </w:p>
        </w:tc>
        <w:tc>
          <w:tcPr>
            <w:tcW w:type="dxa" w:w="1038"/>
          </w:tcPr>
          <w:p>
            <w:pPr>
              <w:pStyle w:val="null3"/>
            </w:pPr>
            <w:r>
              <w:rPr>
                <w:rFonts w:ascii="仿宋" w:hAnsi="仿宋" w:cs="仿宋" w:eastAsia="仿宋"/>
                <w:sz w:val="24"/>
              </w:rPr>
              <w:t>如果由于维修服务失误或产品故障造成招标人损失，除承担赔偿外，还要提供处理办法。</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案例要求</w:t>
            </w:r>
          </w:p>
        </w:tc>
        <w:tc>
          <w:tcPr>
            <w:tcW w:type="dxa" w:w="1038"/>
          </w:tcPr>
          <w:p>
            <w:pPr>
              <w:pStyle w:val="null3"/>
            </w:pPr>
            <w:r>
              <w:rPr/>
              <w:t>案例要求</w:t>
            </w:r>
          </w:p>
        </w:tc>
        <w:tc>
          <w:tcPr>
            <w:tcW w:type="dxa" w:w="1038"/>
          </w:tcPr>
          <w:p>
            <w:pPr>
              <w:pStyle w:val="null3"/>
            </w:pPr>
            <w:r>
              <w:rPr>
                <w:rFonts w:ascii="仿宋" w:hAnsi="仿宋" w:cs="仿宋" w:eastAsia="仿宋"/>
                <w:sz w:val="24"/>
              </w:rPr>
              <w:t>投标人提供</w:t>
            </w:r>
            <w:r>
              <w:rPr>
                <w:rFonts w:ascii="仿宋" w:hAnsi="仿宋" w:cs="仿宋" w:eastAsia="仿宋"/>
                <w:sz w:val="24"/>
              </w:rPr>
              <w:t>2024年1月1日至本次投标截止日前（以合同签字日期为准）与本次投标同品牌同型号产品成功案例或提供与本次所投产品同</w:t>
            </w:r>
            <w:r>
              <w:rPr>
                <w:rFonts w:ascii="仿宋" w:hAnsi="仿宋" w:cs="仿宋" w:eastAsia="仿宋"/>
                <w:sz w:val="24"/>
              </w:rPr>
              <w:t>品牌</w:t>
            </w:r>
            <w:r>
              <w:rPr>
                <w:rFonts w:ascii="仿宋" w:hAnsi="仿宋" w:cs="仿宋" w:eastAsia="仿宋"/>
                <w:sz w:val="24"/>
              </w:rPr>
              <w:t>迭代产品案例，需提供新旧软件版本技术关联性证明，迭代期不超过2年。</w:t>
            </w:r>
          </w:p>
        </w:tc>
        <w:tc>
          <w:tcPr>
            <w:tcW w:type="dxa" w:w="1038"/>
          </w:tcPr>
          <w:p>
            <w:pPr>
              <w:pStyle w:val="null3"/>
            </w:pPr>
            <w:r>
              <w:rPr/>
              <w:t>是</w:t>
            </w:r>
          </w:p>
        </w:tc>
        <w:tc>
          <w:tcPr>
            <w:tcW w:type="dxa" w:w="1038"/>
          </w:tcPr>
          <w:p>
            <w:pPr>
              <w:pStyle w:val="null3"/>
            </w:pPr>
            <w:r>
              <w:rPr/>
              <w:t>是，投标人提供相关案例，若是同品牌迭代产品案例，还需提供新旧软件版本技术关联性证明，并加盖投标人公章。</w:t>
            </w:r>
          </w:p>
        </w:tc>
      </w:tr>
      <w:tr>
        <w:tc>
          <w:tcPr>
            <w:tcW w:type="dxa" w:w="1038"/>
          </w:tcPr>
          <w:p>
            <w:pPr>
              <w:pStyle w:val="null3"/>
            </w:pPr>
            <w:r>
              <w:rPr/>
              <w:t>21</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项目配合 要求</w:t>
            </w:r>
          </w:p>
        </w:tc>
        <w:tc>
          <w:tcPr>
            <w:tcW w:type="dxa" w:w="1038"/>
          </w:tcPr>
          <w:p>
            <w:pPr>
              <w:pStyle w:val="null3"/>
            </w:pPr>
            <w:r>
              <w:rPr/>
              <w:t>项目配合 要求</w:t>
            </w:r>
          </w:p>
        </w:tc>
        <w:tc>
          <w:tcPr>
            <w:tcW w:type="dxa" w:w="1038"/>
          </w:tcPr>
          <w:p>
            <w:pPr>
              <w:pStyle w:val="null3"/>
              <w:jc w:val="both"/>
            </w:pPr>
            <w:r>
              <w:rPr>
                <w:rFonts w:ascii="仿宋" w:hAnsi="仿宋" w:cs="仿宋" w:eastAsia="仿宋"/>
                <w:sz w:val="24"/>
              </w:rPr>
              <w:t>对中标人及相关设备制造商的配合要求包括：</w:t>
            </w:r>
          </w:p>
          <w:p>
            <w:pPr>
              <w:pStyle w:val="null3"/>
            </w:pPr>
            <w:r>
              <w:rPr>
                <w:rFonts w:ascii="仿宋" w:hAnsi="仿宋" w:cs="仿宋" w:eastAsia="仿宋"/>
                <w:sz w:val="24"/>
              </w:rPr>
              <w:t>1.</w:t>
            </w:r>
            <w:r>
              <w:rPr>
                <w:rFonts w:ascii="仿宋" w:hAnsi="仿宋" w:cs="仿宋" w:eastAsia="仿宋"/>
                <w:sz w:val="24"/>
              </w:rPr>
              <w:t>在工程实施过程中，服从招标人的统一管理，严格执行中国人民银行征信中心的相关管理制度和标准规范。</w:t>
            </w:r>
            <w:r>
              <w:br/>
            </w:r>
            <w:r>
              <w:rPr>
                <w:rFonts w:ascii="仿宋" w:hAnsi="仿宋" w:cs="仿宋" w:eastAsia="仿宋"/>
                <w:sz w:val="24"/>
              </w:rPr>
              <w:t>2.</w:t>
            </w:r>
            <w:r>
              <w:rPr>
                <w:rFonts w:ascii="仿宋" w:hAnsi="仿宋" w:cs="仿宋" w:eastAsia="仿宋"/>
                <w:sz w:val="24"/>
              </w:rPr>
              <w:t>完成招标人提出的与本项目有关的其他任务。</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保密要求</w:t>
            </w:r>
          </w:p>
        </w:tc>
        <w:tc>
          <w:tcPr>
            <w:tcW w:type="dxa" w:w="1038"/>
          </w:tcPr>
          <w:p>
            <w:pPr>
              <w:pStyle w:val="null3"/>
            </w:pPr>
            <w:r>
              <w:rPr/>
              <w:t>保密要求</w:t>
            </w:r>
          </w:p>
        </w:tc>
        <w:tc>
          <w:tcPr>
            <w:tcW w:type="dxa" w:w="1038"/>
          </w:tcPr>
          <w:p>
            <w:pPr>
              <w:pStyle w:val="null3"/>
            </w:pPr>
            <w:r>
              <w:rPr>
                <w:rFonts w:ascii="仿宋" w:hAnsi="仿宋" w:cs="仿宋" w:eastAsia="仿宋"/>
                <w:sz w:val="24"/>
              </w:rPr>
              <w:t>中标人和制造商均应严守招标人的机密，不经招标人批准不得以任何的形式将招标人资料及信息带出工作现场及透露给第三方。</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保密要求</w:t>
            </w:r>
          </w:p>
        </w:tc>
        <w:tc>
          <w:tcPr>
            <w:tcW w:type="dxa" w:w="1038"/>
          </w:tcPr>
          <w:p>
            <w:pPr>
              <w:pStyle w:val="null3"/>
            </w:pPr>
            <w:r>
              <w:rPr/>
              <w:t>保密要求</w:t>
            </w:r>
          </w:p>
        </w:tc>
        <w:tc>
          <w:tcPr>
            <w:tcW w:type="dxa" w:w="1038"/>
          </w:tcPr>
          <w:p>
            <w:pPr>
              <w:pStyle w:val="null3"/>
            </w:pPr>
            <w:r>
              <w:rPr>
                <w:rFonts w:ascii="仿宋" w:hAnsi="仿宋" w:cs="仿宋" w:eastAsia="仿宋"/>
                <w:sz w:val="24"/>
              </w:rPr>
              <w:t>中标人和制造商应与招标人签订保密协议，在招标人规定的保密期内不发生失泄密。如果参与人员在规定的保密期内发生失泄密行为，中标人及制造商应承担全部责任。</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法律限制性规定</w:t>
            </w:r>
          </w:p>
        </w:tc>
        <w:tc>
          <w:tcPr>
            <w:tcW w:type="dxa" w:w="1038"/>
          </w:tcPr>
          <w:p>
            <w:pPr>
              <w:pStyle w:val="null3"/>
            </w:pPr>
            <w:r>
              <w:rPr/>
              <w:t>法律限制性规定</w:t>
            </w:r>
          </w:p>
        </w:tc>
        <w:tc>
          <w:tcPr>
            <w:tcW w:type="dxa" w:w="1038"/>
          </w:tcPr>
          <w:p>
            <w:pPr>
              <w:pStyle w:val="null3"/>
              <w:jc w:val="both"/>
            </w:pPr>
            <w:r>
              <w:rPr>
                <w:rFonts w:ascii="仿宋" w:hAnsi="仿宋" w:cs="仿宋" w:eastAsia="仿宋"/>
                <w:sz w:val="24"/>
              </w:rPr>
              <w:t>单位负责人为同一人或者存在直接控股或管理关系的不同单位，不得参加同一包件的投标或者未划分包件的同一招标项目的投标。</w:t>
            </w:r>
          </w:p>
          <w:p>
            <w:pPr>
              <w:pStyle w:val="null3"/>
              <w:jc w:val="both"/>
            </w:pPr>
            <w:r>
              <w:rPr>
                <w:rFonts w:ascii="仿宋" w:hAnsi="仿宋" w:cs="仿宋" w:eastAsia="仿宋"/>
                <w:sz w:val="24"/>
              </w:rPr>
              <w:t>投标人在投标文件中提供</w:t>
            </w:r>
            <w:r>
              <w:rPr>
                <w:rFonts w:ascii="仿宋" w:hAnsi="仿宋" w:cs="仿宋" w:eastAsia="仿宋"/>
                <w:sz w:val="24"/>
              </w:rPr>
              <w:t>“单位负责人为同一人或者存在直接控股、管理关系的不同供应商”名单。</w:t>
            </w:r>
          </w:p>
          <w:p>
            <w:pPr>
              <w:pStyle w:val="null3"/>
              <w:jc w:val="both"/>
            </w:pPr>
            <w:r>
              <w:rPr>
                <w:rFonts w:ascii="仿宋" w:hAnsi="仿宋" w:cs="仿宋" w:eastAsia="仿宋"/>
                <w:sz w:val="24"/>
              </w:rPr>
              <w:t>评审环节将根据名单对所有投标人进行符合性审查，如存在上述情况的两家及以上投标人，将同时按投标无效处理。</w:t>
            </w:r>
          </w:p>
          <w:p>
            <w:pPr>
              <w:pStyle w:val="null3"/>
              <w:jc w:val="both"/>
            </w:pPr>
            <w:r>
              <w:rPr>
                <w:rFonts w:ascii="仿宋" w:hAnsi="仿宋" w:cs="仿宋" w:eastAsia="仿宋"/>
                <w:sz w:val="24"/>
              </w:rPr>
              <w:t>备注：</w:t>
            </w:r>
          </w:p>
          <w:p>
            <w:pPr>
              <w:pStyle w:val="null3"/>
              <w:jc w:val="both"/>
            </w:pPr>
            <w:r>
              <w:rPr>
                <w:rFonts w:ascii="仿宋" w:hAnsi="仿宋" w:cs="仿宋" w:eastAsia="仿宋"/>
                <w:sz w:val="24"/>
              </w:rPr>
              <w:t>1</w:t>
            </w:r>
            <w:r>
              <w:rPr>
                <w:rFonts w:ascii="仿宋" w:hAnsi="仿宋" w:cs="仿宋" w:eastAsia="仿宋"/>
                <w:sz w:val="24"/>
              </w:rPr>
              <w:t>、单位负责人，是指单位法定代表人或法律、行政法规规定代表单位行使职权的主要负责人。法定代表人，是指由法律或者法人组织章程规定，代表法人对外行使民事权利、履行民事义务的负责人。</w:t>
            </w:r>
          </w:p>
          <w:p>
            <w:pPr>
              <w:pStyle w:val="null3"/>
              <w:jc w:val="both"/>
            </w:pPr>
            <w:r>
              <w:rPr>
                <w:rFonts w:ascii="仿宋" w:hAnsi="仿宋" w:cs="仿宋" w:eastAsia="仿宋"/>
                <w:sz w:val="24"/>
              </w:rPr>
              <w:t>2</w:t>
            </w:r>
            <w:r>
              <w:rPr>
                <w:rFonts w:ascii="仿宋" w:hAnsi="仿宋" w:cs="仿宋" w:eastAsia="仿宋"/>
                <w:sz w:val="24"/>
              </w:rPr>
              <w:t>、控股股东，是指其出资额占有限责任公司指标总额百分之五十以上或其持有的股份占股份有限公司股本总额百分之五十以上的股东；出资额或持有股份比例虽不足百分之五十，但依其出资额或持有的股份所享有的表决权已足以对股东会、股东大会的决议产生重大影响的股东。</w:t>
            </w:r>
          </w:p>
          <w:p>
            <w:pPr>
              <w:pStyle w:val="null3"/>
              <w:jc w:val="both"/>
            </w:pPr>
            <w:r>
              <w:rPr>
                <w:rFonts w:ascii="仿宋" w:hAnsi="仿宋" w:cs="仿宋" w:eastAsia="仿宋"/>
                <w:sz w:val="24"/>
              </w:rPr>
              <w:t>3</w:t>
            </w:r>
            <w:r>
              <w:rPr>
                <w:rFonts w:ascii="仿宋" w:hAnsi="仿宋" w:cs="仿宋" w:eastAsia="仿宋"/>
                <w:sz w:val="24"/>
              </w:rPr>
              <w:t>、管理关系，是指不具有出资持股关系的其它单位之间存在的管理与被管理关系，如上下级的事业单位和团体组织。</w:t>
            </w:r>
          </w:p>
          <w:p>
            <w:pPr>
              <w:pStyle w:val="null3"/>
            </w:pPr>
            <w:r>
              <w:rPr>
                <w:rFonts w:ascii="仿宋" w:hAnsi="仿宋" w:cs="仿宋" w:eastAsia="仿宋"/>
                <w:sz w:val="24"/>
              </w:rPr>
              <w:t>4</w:t>
            </w:r>
            <w:r>
              <w:rPr>
                <w:rFonts w:ascii="仿宋" w:hAnsi="仿宋" w:cs="仿宋" w:eastAsia="仿宋"/>
                <w:sz w:val="24"/>
              </w:rPr>
              <w:t>、本条所规定的控股、管理关系仅限于直接控股、直接管理关系，而不包括间接的控股或管理关系。</w:t>
            </w:r>
          </w:p>
        </w:tc>
        <w:tc>
          <w:tcPr>
            <w:tcW w:type="dxa" w:w="1038"/>
          </w:tcPr>
          <w:p>
            <w:pPr>
              <w:pStyle w:val="null3"/>
            </w:pPr>
            <w:r>
              <w:rPr/>
              <w:t>是</w:t>
            </w:r>
          </w:p>
        </w:tc>
        <w:tc>
          <w:tcPr>
            <w:tcW w:type="dxa" w:w="1038"/>
          </w:tcPr>
          <w:p>
            <w:pPr>
              <w:pStyle w:val="null3"/>
            </w:pPr>
            <w:r>
              <w:rPr/>
              <w:t>是，投标人在投标文件中提供“单位负责人为同一人或者存在直接控股、管理关系的不同供应商”名单。</w:t>
            </w:r>
          </w:p>
        </w:tc>
      </w:tr>
      <w:tr>
        <w:tc>
          <w:tcPr>
            <w:tcW w:type="dxa" w:w="1038"/>
          </w:tcPr>
          <w:p>
            <w:pPr>
              <w:pStyle w:val="null3"/>
            </w:pPr>
            <w:r>
              <w:rPr/>
              <w:t>25</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到货验收付款条件</w:t>
            </w:r>
          </w:p>
        </w:tc>
        <w:tc>
          <w:tcPr>
            <w:tcW w:type="dxa" w:w="1038"/>
          </w:tcPr>
          <w:p>
            <w:pPr>
              <w:pStyle w:val="null3"/>
            </w:pPr>
            <w:r>
              <w:rPr/>
              <w:t>到货验收付款条件</w:t>
            </w:r>
          </w:p>
        </w:tc>
        <w:tc>
          <w:tcPr>
            <w:tcW w:type="dxa" w:w="1038"/>
          </w:tcPr>
          <w:p>
            <w:pPr>
              <w:pStyle w:val="null3"/>
            </w:pPr>
            <w:r>
              <w:rPr>
                <w:rFonts w:ascii="仿宋" w:hAnsi="仿宋" w:cs="仿宋" w:eastAsia="仿宋"/>
                <w:sz w:val="24"/>
              </w:rPr>
              <w:t>到货验收通过，双方出具</w:t>
            </w:r>
            <w:r>
              <w:rPr>
                <w:rFonts w:ascii="仿宋" w:hAnsi="仿宋" w:cs="仿宋" w:eastAsia="仿宋"/>
                <w:sz w:val="24"/>
              </w:rPr>
              <w:t>合同验收单</w:t>
            </w:r>
            <w:r>
              <w:rPr>
                <w:rFonts w:ascii="仿宋" w:hAnsi="仿宋" w:cs="仿宋" w:eastAsia="仿宋"/>
                <w:sz w:val="24"/>
              </w:rPr>
              <w:t>，且甲方收到乙方提供的与本阶段付款金额等值的正式发票以及乙方加盖单位公章的《付款申请》后。</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初步验收 付款条件</w:t>
            </w:r>
          </w:p>
        </w:tc>
        <w:tc>
          <w:tcPr>
            <w:tcW w:type="dxa" w:w="1038"/>
          </w:tcPr>
          <w:p>
            <w:pPr>
              <w:pStyle w:val="null3"/>
            </w:pPr>
            <w:r>
              <w:rPr/>
              <w:t>初步验收 付款条件</w:t>
            </w:r>
          </w:p>
        </w:tc>
        <w:tc>
          <w:tcPr>
            <w:tcW w:type="dxa" w:w="1038"/>
          </w:tcPr>
          <w:p>
            <w:pPr>
              <w:pStyle w:val="null3"/>
            </w:pPr>
            <w:r>
              <w:rPr>
                <w:rFonts w:ascii="仿宋" w:hAnsi="仿宋" w:cs="仿宋" w:eastAsia="仿宋"/>
                <w:sz w:val="24"/>
              </w:rPr>
              <w:t>初步验收通过，双方出具</w:t>
            </w:r>
            <w:r>
              <w:rPr>
                <w:rFonts w:ascii="仿宋" w:hAnsi="仿宋" w:cs="仿宋" w:eastAsia="仿宋"/>
                <w:sz w:val="24"/>
              </w:rPr>
              <w:t>合同验收单</w:t>
            </w:r>
            <w:r>
              <w:rPr>
                <w:rFonts w:ascii="仿宋" w:hAnsi="仿宋" w:cs="仿宋" w:eastAsia="仿宋"/>
                <w:sz w:val="24"/>
              </w:rPr>
              <w:t>，且甲方收到乙方提供的与本阶段付款金额等值的正式发票以及乙方加盖单位公章的《付款申请》后。</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最终验收付款条件</w:t>
            </w:r>
          </w:p>
        </w:tc>
        <w:tc>
          <w:tcPr>
            <w:tcW w:type="dxa" w:w="1038"/>
          </w:tcPr>
          <w:p>
            <w:pPr>
              <w:pStyle w:val="null3"/>
            </w:pPr>
            <w:r>
              <w:rPr/>
              <w:t>最终验收付款条件</w:t>
            </w:r>
          </w:p>
        </w:tc>
        <w:tc>
          <w:tcPr>
            <w:tcW w:type="dxa" w:w="1038"/>
          </w:tcPr>
          <w:p>
            <w:pPr>
              <w:pStyle w:val="null3"/>
            </w:pPr>
            <w:r>
              <w:rPr>
                <w:rFonts w:ascii="仿宋" w:hAnsi="仿宋" w:cs="仿宋" w:eastAsia="仿宋"/>
                <w:sz w:val="24"/>
              </w:rPr>
              <w:t>最终验收通过，双方出具</w:t>
            </w:r>
            <w:r>
              <w:rPr>
                <w:rFonts w:ascii="仿宋" w:hAnsi="仿宋" w:cs="仿宋" w:eastAsia="仿宋"/>
                <w:sz w:val="24"/>
              </w:rPr>
              <w:t>合同验收单</w:t>
            </w:r>
            <w:r>
              <w:rPr>
                <w:rFonts w:ascii="仿宋" w:hAnsi="仿宋" w:cs="仿宋" w:eastAsia="仿宋"/>
                <w:sz w:val="24"/>
              </w:rPr>
              <w:t>，原厂商出具了《原厂足期维保承诺函》原件，且甲方收到乙方提供的与本阶段付款金额等值的正式发票以及乙方加盖单位公章的《付款申请》后。</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安装实施与初步验收要求</w:t>
            </w:r>
          </w:p>
        </w:tc>
        <w:tc>
          <w:tcPr>
            <w:tcW w:type="dxa" w:w="1038"/>
          </w:tcPr>
          <w:p>
            <w:pPr>
              <w:pStyle w:val="null3"/>
            </w:pPr>
            <w:r>
              <w:rPr/>
              <w:t>★</w:t>
            </w:r>
          </w:p>
        </w:tc>
        <w:tc>
          <w:tcPr>
            <w:tcW w:type="dxa" w:w="1038"/>
          </w:tcPr>
          <w:p>
            <w:pPr>
              <w:pStyle w:val="null3"/>
            </w:pPr>
            <w:r>
              <w:rPr/>
              <w:t>现场人天服务验收付款条件</w:t>
            </w:r>
          </w:p>
        </w:tc>
        <w:tc>
          <w:tcPr>
            <w:tcW w:type="dxa" w:w="1038"/>
          </w:tcPr>
          <w:p>
            <w:pPr>
              <w:pStyle w:val="null3"/>
            </w:pPr>
            <w:r>
              <w:rPr/>
              <w:t>现场人天服务验收付款条件</w:t>
            </w:r>
          </w:p>
        </w:tc>
        <w:tc>
          <w:tcPr>
            <w:tcW w:type="dxa" w:w="1038"/>
          </w:tcPr>
          <w:p>
            <w:pPr>
              <w:pStyle w:val="null3"/>
            </w:pPr>
            <w:r>
              <w:rPr>
                <w:rFonts w:ascii="仿宋" w:hAnsi="仿宋" w:cs="仿宋" w:eastAsia="仿宋"/>
                <w:sz w:val="24"/>
              </w:rPr>
              <w:t>质量保障服务期开始后</w:t>
            </w:r>
            <w:r>
              <w:rPr>
                <w:rFonts w:ascii="仿宋" w:hAnsi="仿宋" w:cs="仿宋" w:eastAsia="仿宋"/>
                <w:sz w:val="24"/>
              </w:rPr>
              <w:t>，</w:t>
            </w:r>
            <w:r>
              <w:rPr>
                <w:rFonts w:ascii="仿宋" w:hAnsi="仿宋" w:cs="仿宋" w:eastAsia="仿宋"/>
                <w:sz w:val="24"/>
              </w:rPr>
              <w:t>甲方每</w:t>
            </w:r>
            <w:r>
              <w:rPr>
                <w:rFonts w:ascii="仿宋" w:hAnsi="仿宋" w:cs="仿宋" w:eastAsia="仿宋"/>
                <w:sz w:val="24"/>
              </w:rPr>
              <w:t>6个月开展一次</w:t>
            </w:r>
            <w:r>
              <w:rPr>
                <w:rFonts w:ascii="仿宋" w:hAnsi="仿宋" w:cs="仿宋" w:eastAsia="仿宋"/>
                <w:sz w:val="24"/>
              </w:rPr>
              <w:t>现场人天服务</w:t>
            </w:r>
            <w:r>
              <w:rPr>
                <w:rFonts w:ascii="仿宋" w:hAnsi="仿宋" w:cs="仿宋" w:eastAsia="仿宋"/>
                <w:sz w:val="24"/>
              </w:rPr>
              <w:t>验收，</w:t>
            </w:r>
            <w:r>
              <w:rPr>
                <w:rFonts w:ascii="仿宋" w:hAnsi="仿宋" w:cs="仿宋" w:eastAsia="仿宋"/>
                <w:sz w:val="24"/>
              </w:rPr>
              <w:t>验收</w:t>
            </w:r>
            <w:r>
              <w:rPr>
                <w:rFonts w:ascii="仿宋" w:hAnsi="仿宋" w:cs="仿宋" w:eastAsia="仿宋"/>
                <w:sz w:val="24"/>
              </w:rPr>
              <w:t>通过</w:t>
            </w:r>
            <w:r>
              <w:rPr>
                <w:rFonts w:ascii="仿宋" w:hAnsi="仿宋" w:cs="仿宋" w:eastAsia="仿宋"/>
                <w:sz w:val="24"/>
              </w:rPr>
              <w:t>后</w:t>
            </w:r>
            <w:r>
              <w:rPr>
                <w:rFonts w:ascii="仿宋" w:hAnsi="仿宋" w:cs="仿宋" w:eastAsia="仿宋"/>
                <w:sz w:val="24"/>
              </w:rPr>
              <w:t>,</w:t>
            </w:r>
            <w:r>
              <w:rPr>
                <w:rFonts w:ascii="仿宋" w:hAnsi="仿宋" w:cs="仿宋" w:eastAsia="仿宋"/>
                <w:sz w:val="24"/>
              </w:rPr>
              <w:t>双方出具合同验收单，且甲方收到乙方提供的与本阶段付款金额等值的正式发票以及乙方加盖单位公章的《付款申请》后</w:t>
            </w:r>
            <w:r>
              <w:rPr>
                <w:rFonts w:ascii="仿宋" w:hAnsi="仿宋" w:cs="仿宋" w:eastAsia="仿宋"/>
                <w:sz w:val="24"/>
              </w:rPr>
              <w:t>。</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货物通过到货验收后</w:t>
            </w:r>
          </w:p>
        </w:tc>
        <w:tc>
          <w:tcPr>
            <w:tcW w:type="dxa" w:w="1384"/>
          </w:tcPr>
          <w:p>
            <w:pPr>
              <w:pStyle w:val="null3"/>
              <w:jc w:val="left"/>
            </w:pPr>
            <w:r>
              <w:rPr/>
              <w:t>详见商务要求</w:t>
            </w:r>
          </w:p>
        </w:tc>
        <w:tc>
          <w:tcPr>
            <w:tcW w:type="dxa" w:w="1384"/>
          </w:tcPr>
          <w:p>
            <w:pPr>
              <w:pStyle w:val="null3"/>
              <w:jc w:val="left"/>
            </w:pPr>
            <w:r>
              <w:rPr/>
              <w:t>30.00</w:t>
            </w:r>
            <w:r>
              <w:rPr/>
              <w:t>%</w:t>
            </w:r>
          </w:p>
        </w:tc>
        <w:tc>
          <w:tcPr>
            <w:tcW w:type="dxa" w:w="1384"/>
          </w:tcPr>
          <w:p>
            <w:pPr>
              <w:pStyle w:val="null3"/>
              <w:jc w:val="left"/>
            </w:pPr>
            <w:r>
              <w:rPr/>
              <w:t>汇款</w:t>
            </w:r>
          </w:p>
        </w:tc>
        <w:tc>
          <w:tcPr>
            <w:tcW w:type="dxa" w:w="1384"/>
          </w:tcPr>
          <w:p>
            <w:pPr>
              <w:pStyle w:val="null3"/>
              <w:jc w:val="left"/>
            </w:pPr>
            <w:r>
              <w:rPr/>
              <w:t>不允许负偏离，按合同固定金额的30%支付</w:t>
            </w:r>
          </w:p>
        </w:tc>
      </w:tr>
      <w:tr>
        <w:tc>
          <w:tcPr>
            <w:tcW w:type="dxa" w:w="1384"/>
          </w:tcPr>
          <w:p>
            <w:pPr>
              <w:pStyle w:val="null3"/>
              <w:jc w:val="left"/>
            </w:pPr>
            <w:r>
              <w:rPr/>
              <w:t>2</w:t>
            </w:r>
          </w:p>
        </w:tc>
        <w:tc>
          <w:tcPr>
            <w:tcW w:type="dxa" w:w="1384"/>
          </w:tcPr>
          <w:p>
            <w:pPr>
              <w:pStyle w:val="null3"/>
              <w:jc w:val="left"/>
            </w:pPr>
            <w:r>
              <w:rPr/>
              <w:t>货物通过初步验收后</w:t>
            </w:r>
          </w:p>
        </w:tc>
        <w:tc>
          <w:tcPr>
            <w:tcW w:type="dxa" w:w="1384"/>
          </w:tcPr>
          <w:p>
            <w:pPr>
              <w:pStyle w:val="null3"/>
              <w:jc w:val="left"/>
            </w:pPr>
            <w:r>
              <w:rPr/>
              <w:t>详见商务要求</w:t>
            </w:r>
          </w:p>
        </w:tc>
        <w:tc>
          <w:tcPr>
            <w:tcW w:type="dxa" w:w="1384"/>
          </w:tcPr>
          <w:p>
            <w:pPr>
              <w:pStyle w:val="null3"/>
              <w:jc w:val="left"/>
            </w:pPr>
            <w:r>
              <w:rPr/>
              <w:t>40.00</w:t>
            </w:r>
            <w:r>
              <w:rPr/>
              <w:t>%</w:t>
            </w:r>
          </w:p>
        </w:tc>
        <w:tc>
          <w:tcPr>
            <w:tcW w:type="dxa" w:w="1384"/>
          </w:tcPr>
          <w:p>
            <w:pPr>
              <w:pStyle w:val="null3"/>
              <w:jc w:val="left"/>
            </w:pPr>
            <w:r>
              <w:rPr/>
              <w:t>汇款</w:t>
            </w:r>
          </w:p>
        </w:tc>
        <w:tc>
          <w:tcPr>
            <w:tcW w:type="dxa" w:w="1384"/>
          </w:tcPr>
          <w:p>
            <w:pPr>
              <w:pStyle w:val="null3"/>
              <w:jc w:val="left"/>
            </w:pPr>
            <w:r>
              <w:rPr/>
              <w:t>不允许负偏离，按合同固定金额的40%支付</w:t>
            </w:r>
          </w:p>
        </w:tc>
      </w:tr>
      <w:tr>
        <w:tc>
          <w:tcPr>
            <w:tcW w:type="dxa" w:w="1384"/>
          </w:tcPr>
          <w:p>
            <w:pPr>
              <w:pStyle w:val="null3"/>
              <w:jc w:val="left"/>
            </w:pPr>
            <w:r>
              <w:rPr/>
              <w:t>3</w:t>
            </w:r>
          </w:p>
        </w:tc>
        <w:tc>
          <w:tcPr>
            <w:tcW w:type="dxa" w:w="1384"/>
          </w:tcPr>
          <w:p>
            <w:pPr>
              <w:pStyle w:val="null3"/>
              <w:jc w:val="left"/>
            </w:pPr>
            <w:r>
              <w:rPr/>
              <w:t>3.1货物通过最终验收后 3.2现场人天服务阶段验收通过后</w:t>
            </w:r>
          </w:p>
        </w:tc>
        <w:tc>
          <w:tcPr>
            <w:tcW w:type="dxa" w:w="1384"/>
          </w:tcPr>
          <w:p>
            <w:pPr>
              <w:pStyle w:val="null3"/>
              <w:jc w:val="left"/>
            </w:pPr>
            <w:r>
              <w:rPr/>
              <w:t>详见商务要求</w:t>
            </w:r>
          </w:p>
        </w:tc>
        <w:tc>
          <w:tcPr>
            <w:tcW w:type="dxa" w:w="1384"/>
          </w:tcPr>
          <w:p>
            <w:pPr>
              <w:pStyle w:val="null3"/>
              <w:jc w:val="left"/>
            </w:pPr>
            <w:r>
              <w:rPr/>
              <w:t>30.00</w:t>
            </w:r>
            <w:r>
              <w:rPr/>
              <w:t>%</w:t>
            </w:r>
          </w:p>
        </w:tc>
        <w:tc>
          <w:tcPr>
            <w:tcW w:type="dxa" w:w="1384"/>
          </w:tcPr>
          <w:p>
            <w:pPr>
              <w:pStyle w:val="null3"/>
              <w:jc w:val="left"/>
            </w:pPr>
            <w:r>
              <w:rPr/>
              <w:t>汇款</w:t>
            </w:r>
          </w:p>
        </w:tc>
        <w:tc>
          <w:tcPr>
            <w:tcW w:type="dxa" w:w="1384"/>
          </w:tcPr>
          <w:p>
            <w:pPr>
              <w:pStyle w:val="null3"/>
              <w:jc w:val="left"/>
            </w:pPr>
            <w:r>
              <w:rPr/>
              <w:t>不允许负偏离，3.1按合同固定金额的30%支付，3.2现场人天服务按实际使用的人天据实结算</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中国人民银行征信中心</w:t>
      </w:r>
    </w:p>
    <w:p>
      <w:pPr>
        <w:pStyle w:val="null3"/>
        <w:jc w:val="both"/>
      </w:pPr>
      <w:r>
        <w:rPr/>
        <w:t>采购人（需求部门）拟邀请（</w:t>
      </w:r>
      <w:r>
        <w:rPr/>
        <w:t>）</w:t>
      </w:r>
    </w:p>
    <w:p>
      <w:pPr>
        <w:pStyle w:val="null3"/>
        <w:jc w:val="both"/>
      </w:pPr>
      <w:r>
        <w:rPr/>
        <w:t>（2）验收时间</w:t>
      </w:r>
      <w:r>
        <w:rPr>
          <w:u w:val="single"/>
        </w:rPr>
        <w:t>交货时间：乙方应在收到甲方通知后的30个日历日内，根据甲方要求完成到货，具体时间以甲方通知为准，到货完成后（以甲方出具的技术服务评价报告签字日期为准）60个日历日内完成到货验收。 初步验收时间：货物自到货验收合格起90个日历日内完成安装与调试等工作。安装调试完成后（以甲方出具的技术服务评价报告签字日期为准）60个日历日内完成初步验收。 最终验收时间：货物自初步验收合格起进入为期3个月的试运行阶段，试运行结束后60个日历日内完成最终验收。 现场人天服务阶段验收：质量保障服务期开始后，甲方在每6个月服务周期结束后60个日历日内完成现场人天服务阶段验收。 免费质量保障期：软件自合同验收单中最终验收日期之日起3年。 合同履行期限：自合同签订之日至合同全部权利义务履行完毕之日止。</w:t>
      </w:r>
    </w:p>
    <w:p>
      <w:pPr>
        <w:pStyle w:val="null3"/>
        <w:jc w:val="both"/>
      </w:pPr>
      <w:r>
        <w:rPr/>
        <w:t>（3）验收方式</w:t>
      </w:r>
      <w:r>
        <w:rPr>
          <w:u w:val="single"/>
        </w:rPr>
        <w:t>分阶段验收</w:t>
      </w:r>
    </w:p>
    <w:p>
      <w:pPr>
        <w:pStyle w:val="null3"/>
        <w:jc w:val="both"/>
      </w:pPr>
      <w:r>
        <w:rPr/>
        <w:t>（4）验收程序</w:t>
      </w:r>
      <w:r>
        <w:rPr>
          <w:u w:val="single"/>
        </w:rPr>
        <w:t>到货验收程序：乙方将本合同项下软件产品、授权许可以及相关技术资料交付至甲方指定地点，甲方当场清点，核对。 初步验收程序：乙方按照甲方的标准和要求派遣实施团队到现场实施技术服务，安装调试完成后，由甲方组织初步验收。 最终验收程序：试运行期满且乙方提供的软件产品稳定运行，由甲方组织最终验收。 现场人天服务阶段验收程序：乙方已按合同要求完成现场技术支持、节假日及重点保障时期现场值守及软件预防性维护等相关工作，出现的问题已被解决，并且按合同要求提供了相关产物资料，由甲方组织最终验收。</w:t>
      </w:r>
    </w:p>
    <w:p>
      <w:pPr>
        <w:pStyle w:val="null3"/>
        <w:jc w:val="both"/>
      </w:pPr>
      <w:r>
        <w:rPr/>
        <w:t>（5）验收内容</w:t>
      </w:r>
      <w:r>
        <w:rPr>
          <w:u w:val="single"/>
        </w:rPr>
        <w:t>到货验收内容：甲方确认交货软件产品数量、型号、版本等内容与合同清单中一致并且正常运行。 初步验收内容：乙方完成对软件产品安装、调试和调优服务、设备更新等工作后，甲方依照合同要求查看是否满足建设目标。 最终验收内容：经甲方查验乙方提供的软件产品是否存在宕机等影响系统运行的异常情况，并依照合同查看乙方是否完成合同约定的全部工作。 现场人天服务阶段验收内容：乙方已按合同要求完成现场技术支持、节假日及重点保障时期现场值守及软件预防性维护等相关工作，出现的问题已被解决，并且按合同要求提供了相关产物资料。</w:t>
      </w:r>
    </w:p>
    <w:p>
      <w:pPr>
        <w:pStyle w:val="null3"/>
        <w:jc w:val="both"/>
      </w:pPr>
      <w:r>
        <w:rPr/>
        <w:t>（6）验收标准</w:t>
      </w:r>
      <w:r>
        <w:rPr>
          <w:u w:val="single"/>
        </w:rPr>
        <w:t>到货验收标准：1）乙方交付软件的版本、使用许可应与合同一致；2）软件在指定环境中完成安装，并且能够正常运行使用。 初步验收标准：1）完成软件调试、调优等工作，软件能够正常运行，满足合同要求；2）构建于本项目所采购的软件之上的软件系统能够正常运行；3）按照合同文件要求提供了培训服务。 最终验收标准：1）已按合同要求提供了全部货物和资料；2）软件在试运行期间满足合同要求；3）乙方和制造商按合同要求提供了技术支持服务，且试运行期间出现的问题已被解决；4）乙方向甲方提交了加盖原厂商公章的《原厂足期维保承诺函》。 现场人天服务阶段验收标准：1）乙方已按合同要求完成现场技术支持、节假日及重点保障时期现场值守及软件预防性维护等相关工作，2）出现的问题已被解决，并且按合同要求提供了相关产物资料。</w:t>
      </w:r>
    </w:p>
    <w:p>
      <w:pPr>
        <w:pStyle w:val="null3"/>
        <w:jc w:val="both"/>
      </w:pPr>
      <w:r>
        <w:rPr/>
        <w:t>（7）其他事项（如有）</w:t>
      </w:r>
      <w:r>
        <w:rPr>
          <w:u w:val="single"/>
        </w:rPr>
        <w:t>无</w:t>
      </w:r>
      <w:r>
        <w:br/>
      </w:r>
    </w:p>
    <w:p>
      <w:pPr>
        <w:pStyle w:val="null3"/>
        <w:jc w:val="left"/>
        <w:outlineLvl w:val="2"/>
      </w:pPr>
      <w:r>
        <w:rPr>
          <w:sz w:val="28"/>
          <w:b/>
        </w:rPr>
        <w:t>3.5 其他</w:t>
      </w:r>
    </w:p>
    <w:p>
      <w:pPr>
        <w:pStyle w:val="null3"/>
        <w:jc w:val="both"/>
      </w:pPr>
      <w:r>
        <w:rPr/>
        <w:t>付款申请：到货验收是付款合同固定金额的30%； 初步验收是付款合同固定金额的40%； 最终验收是付款合同固定金额的30%。</w:t>
      </w:r>
    </w:p>
    <w:p>
      <w:pPr>
        <w:pStyle w:val="null3"/>
      </w:pPr>
      <w:r>
        <w:rPr/>
        <w:t>现场人天服务阶段验收通过后：据实结算。</w:t>
      </w:r>
    </w:p>
    <w:p>
      <w:pPr>
        <w:pStyle w:val="null3"/>
      </w:pPr>
      <w:r>
        <w:rPr/>
        <w:t>附件1</w:t>
      </w:r>
    </w:p>
    <w:tbl>
      <w:tblPr>
        <w:tblW w:w="0" w:type="auto"/>
        <w:tblBorders>
          <w:top w:val="single"/>
          <w:left w:val="single"/>
          <w:bottom w:val="single"/>
          <w:right w:val="single"/>
          <w:insideH w:val="single"/>
          <w:insideV w:val="single"/>
        </w:tblBorders>
      </w:tblPr>
      <w:tblGrid>
        <w:gridCol w:w="8306"/>
      </w:tblGrid>
      <w:tr>
        <w:tc>
          <w:tcPr>
            <w:tcW w:type="dxa" w:w="8306"/>
            <w:tcMar>
              <w:top w:type="dxa" w:w="0"/>
              <w:left w:type="dxa" w:w="105"/>
              <w:bottom w:type="dxa" w:w="0"/>
              <w:right w:type="dxa" w:w="105"/>
            </w:tcMar>
            <w:vAlign w:val="top"/>
          </w:tcPr>
          <w:p>
            <w:pPr>
              <w:pStyle w:val="null3"/>
              <w:jc w:val="center"/>
            </w:pPr>
            <w:r>
              <w:rPr>
                <w:rFonts w:ascii="宋体" w:hAnsi="宋体" w:cs="宋体" w:eastAsia="宋体"/>
                <w:sz w:val="32"/>
                <w:b/>
              </w:rPr>
              <w:t>原厂足期维保承诺函</w:t>
            </w:r>
          </w:p>
          <w:p>
            <w:pPr>
              <w:pStyle w:val="null3"/>
              <w:jc w:val="both"/>
            </w:pPr>
            <w:r>
              <w:rPr>
                <w:rFonts w:ascii="宋体" w:hAnsi="宋体" w:cs="宋体" w:eastAsia="宋体"/>
                <w:sz w:val="24"/>
              </w:rPr>
              <w:t>致中国人民银行征信中心：</w:t>
            </w:r>
          </w:p>
          <w:p>
            <w:pPr>
              <w:pStyle w:val="null3"/>
              <w:ind w:firstLine="465"/>
              <w:jc w:val="both"/>
            </w:pPr>
            <w:r>
              <w:rPr>
                <w:rFonts w:ascii="宋体" w:hAnsi="宋体" w:cs="宋体" w:eastAsia="宋体"/>
                <w:sz w:val="24"/>
              </w:rPr>
              <w:t>我司承诺为本合同（合同编号、合同名称）中</w:t>
            </w:r>
            <w:r>
              <w:rPr>
                <w:rFonts w:ascii="宋体" w:hAnsi="宋体" w:cs="宋体" w:eastAsia="宋体"/>
                <w:sz w:val="24"/>
                <w:u w:val="single"/>
              </w:rPr>
              <w:t xml:space="preserve">                   </w:t>
            </w:r>
            <w:r>
              <w:rPr>
                <w:rFonts w:ascii="宋体" w:hAnsi="宋体" w:cs="宋体" w:eastAsia="宋体"/>
                <w:sz w:val="24"/>
              </w:rPr>
              <w:t>等产品软件，自</w:t>
            </w:r>
            <w:r>
              <w:rPr>
                <w:rFonts w:ascii="宋体" w:hAnsi="宋体" w:cs="宋体" w:eastAsia="宋体"/>
                <w:sz w:val="24"/>
                <w:u w:val="single"/>
              </w:rPr>
              <w:t xml:space="preserve">    </w:t>
            </w:r>
            <w:r>
              <w:rPr>
                <w:rFonts w:ascii="宋体" w:hAnsi="宋体" w:cs="宋体" w:eastAsia="宋体"/>
                <w:sz w:val="24"/>
              </w:rPr>
              <w:t>年</w:t>
            </w:r>
            <w:r>
              <w:rPr>
                <w:rFonts w:ascii="宋体" w:hAnsi="宋体" w:cs="宋体" w:eastAsia="宋体"/>
                <w:sz w:val="24"/>
                <w:u w:val="single"/>
              </w:rPr>
              <w:t xml:space="preserve">    </w:t>
            </w:r>
            <w:r>
              <w:rPr>
                <w:rFonts w:ascii="宋体" w:hAnsi="宋体" w:cs="宋体" w:eastAsia="宋体"/>
                <w:sz w:val="24"/>
              </w:rPr>
              <w:t>月</w:t>
            </w:r>
            <w:r>
              <w:rPr>
                <w:rFonts w:ascii="宋体" w:hAnsi="宋体" w:cs="宋体" w:eastAsia="宋体"/>
                <w:sz w:val="24"/>
                <w:u w:val="single"/>
              </w:rPr>
              <w:t xml:space="preserve">    </w:t>
            </w:r>
            <w:r>
              <w:rPr>
                <w:rFonts w:ascii="宋体" w:hAnsi="宋体" w:cs="宋体" w:eastAsia="宋体"/>
                <w:sz w:val="24"/>
              </w:rPr>
              <w:t>日起免费提供</w:t>
            </w:r>
            <w:r>
              <w:rPr>
                <w:rFonts w:ascii="宋体" w:hAnsi="宋体" w:cs="宋体" w:eastAsia="宋体"/>
                <w:sz w:val="24"/>
                <w:u w:val="single"/>
              </w:rPr>
              <w:t xml:space="preserve">    </w:t>
            </w:r>
            <w:r>
              <w:rPr>
                <w:rFonts w:ascii="宋体" w:hAnsi="宋体" w:cs="宋体" w:eastAsia="宋体"/>
                <w:sz w:val="24"/>
              </w:rPr>
              <w:t>年软件质量保障期售后服务。具体明细详见清单：</w:t>
            </w:r>
          </w:p>
          <w:tbl>
            <w:tblPr>
              <w:tblBorders>
                <w:top w:val="none" w:color="000000" w:sz="4"/>
                <w:left w:val="none" w:color="000000" w:sz="4"/>
                <w:bottom w:val="none" w:color="000000" w:sz="4"/>
                <w:right w:val="none" w:color="000000" w:sz="4"/>
                <w:insideH w:val="none"/>
                <w:insideV w:val="none"/>
              </w:tblBorders>
            </w:tblPr>
            <w:tblGrid>
              <w:gridCol w:w="702"/>
              <w:gridCol w:w="679"/>
              <w:gridCol w:w="550"/>
              <w:gridCol w:w="972"/>
              <w:gridCol w:w="691"/>
              <w:gridCol w:w="1241"/>
              <w:gridCol w:w="831"/>
              <w:gridCol w:w="1241"/>
              <w:gridCol w:w="1182"/>
            </w:tblGrid>
            <w:tr>
              <w:tc>
                <w:tcPr>
                  <w:tcW w:type="dxa" w:w="70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rPr>
                    <w:t>序号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rPr>
                    <w:t>类别</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rPr>
                    <w:t>品牌</w:t>
                  </w:r>
                </w:p>
              </w:tc>
              <w:tc>
                <w:tcPr>
                  <w:tcW w:type="dxa" w:w="9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rPr>
                    <w:t>软件</w:t>
                  </w:r>
                </w:p>
                <w:p>
                  <w:pPr>
                    <w:pStyle w:val="null3"/>
                    <w:jc w:val="center"/>
                  </w:pPr>
                  <w:r>
                    <w:rPr>
                      <w:rFonts w:ascii="宋体" w:hAnsi="宋体" w:cs="宋体" w:eastAsia="宋体"/>
                      <w:sz w:val="24"/>
                    </w:rPr>
                    <w:t>名称</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rPr>
                    <w:t>型号</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rPr>
                    <w:t>序列号</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rPr>
                    <w:t>数量</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rPr>
                    <w:t>质保期起始时间</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rPr>
                    <w:t>质保期截止时间</w:t>
                  </w: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宋体" w:hAnsi="宋体" w:cs="宋体" w:eastAsia="宋体"/>
                <w:sz w:val="24"/>
              </w:rPr>
              <w:t>……</w:t>
            </w:r>
          </w:p>
          <w:p>
            <w:pPr>
              <w:pStyle w:val="null3"/>
              <w:ind w:firstLine="465"/>
              <w:jc w:val="both"/>
            </w:pPr>
            <w:r>
              <w:rPr>
                <w:rFonts w:ascii="宋体" w:hAnsi="宋体" w:cs="宋体" w:eastAsia="宋体"/>
                <w:sz w:val="24"/>
              </w:rPr>
              <w:t>注：原则上应按照上述要求出具《原厂足期维保承诺函》，并按照承诺函提供售后服务。</w:t>
            </w:r>
          </w:p>
          <w:p>
            <w:pPr>
              <w:pStyle w:val="null3"/>
              <w:ind w:firstLine="465"/>
              <w:jc w:val="both"/>
            </w:pPr>
            <w:r>
              <w:rPr>
                <w:rFonts w:ascii="宋体" w:hAnsi="宋体" w:cs="宋体" w:eastAsia="宋体"/>
                <w:sz w:val="24"/>
              </w:rPr>
              <w:t>（盖章）原厂XXX公司</w:t>
            </w:r>
          </w:p>
          <w:p>
            <w:pPr>
              <w:pStyle w:val="null3"/>
              <w:ind w:firstLine="465"/>
              <w:jc w:val="right"/>
            </w:pPr>
            <w:r>
              <w:rPr>
                <w:rFonts w:ascii="宋体" w:hAnsi="宋体" w:cs="宋体" w:eastAsia="宋体"/>
                <w:sz w:val="24"/>
              </w:rPr>
              <w:t>落款日期</w:t>
            </w:r>
          </w:p>
        </w:tc>
      </w:tr>
    </w:tbl>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t xml:space="preserve"> </w:t>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技术部分60.00分</w:t>
            </w:r>
          </w:p>
          <w:p>
            <w:pPr>
              <w:pStyle w:val="null3"/>
              <w:jc w:val="left"/>
            </w:pPr>
            <w:r>
              <w:rPr/>
              <w:t>商务部分10.00分</w:t>
            </w:r>
          </w:p>
          <w:p>
            <w:pPr>
              <w:pStyle w:val="null3"/>
              <w:jc w:val="left"/>
            </w:pPr>
            <w:r>
              <w:rPr/>
              <w:t>报价得分30.00分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tcPr>
          <w:p>
            <w:pPr>
              <w:pStyle w:val="null3"/>
              <w:jc w:val="left"/>
            </w:pPr>
            <w:r>
              <w:rPr/>
              <w:t>技术评审</w:t>
            </w:r>
          </w:p>
        </w:tc>
        <w:tc>
          <w:tcPr>
            <w:tcW w:type="dxa" w:w="2076"/>
          </w:tcPr>
          <w:p>
            <w:pPr>
              <w:pStyle w:val="null3"/>
              <w:jc w:val="left"/>
            </w:pPr>
            <w:r>
              <w:rPr/>
              <w:t>采购需求第三章需求清单技术要求中“#”重要指标和商务要求中“#”重要指标进行打分</w:t>
            </w:r>
          </w:p>
        </w:tc>
        <w:tc>
          <w:tcPr>
            <w:tcW w:type="dxa" w:w="2769"/>
          </w:tcPr>
          <w:p>
            <w:pPr>
              <w:pStyle w:val="null3"/>
              <w:jc w:val="left"/>
            </w:pPr>
            <w:r>
              <w:rPr/>
              <w:t>根据投标人提供的《采购需求及技术要求应答表》相关情况打分，如发现《采购需求及技术要求应答表》内容和投标人提供的其他技术应答材料不一致时，以二者响应较低的内容为准进行评审。 （1）针对采购需求第三章需求清单技术要求中“#”重要指标和商务要求中“#”重要指标进行打分，共40项（除采购需求第三章需求清单商务要求中第20项外），每满足一项得1.5分，最高60分。</w:t>
            </w:r>
          </w:p>
        </w:tc>
        <w:tc>
          <w:tcPr>
            <w:tcW w:type="dxa" w:w="692"/>
          </w:tcPr>
          <w:p>
            <w:pPr>
              <w:pStyle w:val="null3"/>
              <w:jc w:val="right"/>
            </w:pPr>
            <w:r>
              <w:rPr/>
              <w:t>60.00</w:t>
            </w:r>
          </w:p>
        </w:tc>
        <w:tc>
          <w:tcPr>
            <w:tcW w:type="dxa" w:w="692"/>
          </w:tcPr>
          <w:p>
            <w:pPr>
              <w:pStyle w:val="null3"/>
              <w:jc w:val="left"/>
            </w:pPr>
            <w:r>
              <w:rPr/>
              <w:t>客观</w:t>
            </w:r>
          </w:p>
        </w:tc>
      </w:tr>
      <w:tr>
        <w:tc>
          <w:tcPr>
            <w:tcW w:type="dxa" w:w="692"/>
          </w:tcPr>
          <w:p>
            <w:pPr>
              <w:pStyle w:val="null3"/>
              <w:jc w:val="left"/>
            </w:pPr>
            <w:r>
              <w:rPr/>
              <w:t>商务评审</w:t>
            </w:r>
          </w:p>
        </w:tc>
        <w:tc>
          <w:tcPr>
            <w:tcW w:type="dxa" w:w="2076"/>
          </w:tcPr>
          <w:p>
            <w:pPr>
              <w:pStyle w:val="null3"/>
              <w:jc w:val="left"/>
            </w:pPr>
            <w:r>
              <w:rPr/>
              <w:t>投标人所投产品成功/成熟实施案例</w:t>
            </w:r>
          </w:p>
        </w:tc>
        <w:tc>
          <w:tcPr>
            <w:tcW w:type="dxa" w:w="2769"/>
          </w:tcPr>
          <w:p>
            <w:pPr>
              <w:pStyle w:val="null3"/>
              <w:jc w:val="left"/>
            </w:pPr>
            <w:r>
              <w:rPr/>
              <w:t>根据投标人提供案例进行评价： 1.提供2024年1月1日至本次投标截止日前（以合同签字日期为准）与本次投标同品牌同型号产品成功案例或提供与本次所投产品同品牌迭代产品案例，需提供新旧软件版本技术关联性证明，迭代期不超过2年。每提供一个成功案例得1分，满分10分。 说明： 1.以上提供的所有案例须提供合同关键页复印件等证明材料（加盖投标人公章），否则不予认可。合同关键页复印件至少包含封面页（需体现合同名称以及甲乙双方名称）、合同内容（需体现合同详细货物或服务内容，合同金额可隐藏）、盖章页（需体现合同日期以及甲乙双方签字盖章），证明材料不全无法确定为相关业绩的不予认可。所提供复印或扫描页应清晰可见，以上材料需加盖投标人公章。 2.同一案例不可重复记分，即一个案例只可针对一类产品计分，且同一甲方不重复记分（总公司与分公司属于同一甲方），合同乙方可以不是投标人。 3.针对所提供案例，投标人应清晰的列出本案例对应本项目所投产品的品牌、型号。</w:t>
            </w:r>
          </w:p>
        </w:tc>
        <w:tc>
          <w:tcPr>
            <w:tcW w:type="dxa" w:w="692"/>
          </w:tcPr>
          <w:p>
            <w:pPr>
              <w:pStyle w:val="null3"/>
              <w:jc w:val="right"/>
            </w:pPr>
            <w:r>
              <w:rPr/>
              <w:t>10.00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根据投标人投标总价进行评估。综合评分法中的价格分采用低价优先法计算，即满足招标文件要求且投标价格最低的投标总价为评标基准价，其价格分为满分。其他投标人的价格分统一按照下列公式计算： 投标人投标总价得分＝（评标基准价/投标总价）×价格权值×100； 本项目中价格权值＝30％。 符合财政部、工信部文件（财库[2020]46号）、（财库[2022]19号）规定的小微企业可享受10%的价格扣除。符合财政部、司法部文件（财库[2014]68号）规定的监狱企业及符合财政部、民政部、中国残联文件（财库[2017]141号）规定的残疾人福利性单位亦可享受前述扶持政策。 投标人为小型、微型企业的，须附《中小企业声明函》作为证明文件；监狱和戒毒企业（以下简称监狱企业）视同小型、微型企业。投标人须提供由省级以上监狱管理局、戒毒管理局（含新疆生产建设兵团）出具的属于监狱企业的证明文件；残疾人福利性单位视同小型、微型企业，投标人须附《残疾人福利性单位声明函》作为证明文件。上述3种情况不重复享受政策。 本项目属于无形资产，不适用本国产品优惠政策范围。</w:t>
            </w:r>
          </w:p>
        </w:tc>
        <w:tc>
          <w:tcPr>
            <w:tcW w:type="dxa" w:w="692"/>
          </w:tcPr>
          <w:p>
            <w:pPr>
              <w:pStyle w:val="null3"/>
              <w:jc w:val="right"/>
            </w:pPr>
            <w:r>
              <w:rPr/>
              <w:t>30.00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1"/>
          </w:tcPr>
          <w:p>
            <w:pPr>
              <w:pStyle w:val="null3"/>
              <w:jc w:val="left"/>
            </w:pPr>
            <w:r>
              <w:rPr/>
              <w:t>1</w:t>
            </w:r>
          </w:p>
        </w:tc>
        <w:tc>
          <w:tcPr>
            <w:tcW w:type="dxa" w:w="1661"/>
          </w:tcPr>
          <w:p>
            <w:pPr>
              <w:pStyle w:val="null3"/>
              <w:jc w:val="left"/>
            </w:pPr>
            <w:r>
              <w:rPr/>
              <w:t>促进中小企业发展相关政策</w:t>
            </w:r>
          </w:p>
        </w:tc>
        <w:tc>
          <w:tcPr>
            <w:tcW w:type="dxa" w:w="1661"/>
          </w:tcPr>
          <w:p>
            <w:pPr>
              <w:pStyle w:val="null3"/>
              <w:jc w:val="left"/>
            </w:pPr>
            <w:r>
              <w:rPr/>
              <w:t>投标人或联合体成员均为小型、微型企业</w:t>
            </w:r>
          </w:p>
        </w:tc>
        <w:tc>
          <w:tcPr>
            <w:tcW w:type="dxa" w:w="831"/>
          </w:tcPr>
          <w:p>
            <w:pPr>
              <w:pStyle w:val="null3"/>
              <w:jc w:val="right"/>
            </w:pPr>
            <w:r>
              <w:rPr/>
              <w:t>10.00%</w:t>
            </w:r>
          </w:p>
        </w:tc>
        <w:tc>
          <w:tcPr>
            <w:tcW w:type="dxa" w:w="3322"/>
          </w:tcPr>
          <w:p>
            <w:pPr>
              <w:pStyle w:val="null3"/>
              <w:jc w:val="left"/>
            </w:pPr>
            <w:r>
              <w:rPr/>
              <w:t>符合财政部、工信部文件（财库[2020]46号）、（财库[2022]19号）规定的小微企业可享受10%的价格扣除。符合财政部、司法部文件（财库[2014]68号）规定的监狱企业及符合财政部、民政部、中国残联文件（财库[2017]141号）规定的残疾人福利性单位亦可享受前述扶持政策。 投标人为小型、微型企业的，须附《中小企业声明函》作为证明文件；监狱和戒毒企业（以下简称监狱企业）视同小型、微型企业。投标人须提供由省级以上监狱管理局、戒毒管理局（含新疆生产建设兵团）出具的属于监狱企业的证明文件；残疾人福利性单位视同小型、微型企业，投标人须附《残疾人福利性单位声明函》作为证明文件。上述3种情况不重复享受政策。</w:t>
            </w:r>
          </w:p>
        </w:tc>
      </w:tr>
    </w:tbl>
    <w:p>
      <w:pPr>
        <w:pStyle w:val="null3"/>
        <w:jc w:val="left"/>
        <w:outlineLvl w:val="2"/>
      </w:pPr>
      <w:r>
        <w:rPr>
          <w:sz w:val="28"/>
          <w:b/>
        </w:rPr>
        <w:t>5.6 确定中标程序</w:t>
      </w:r>
    </w:p>
    <w:p>
      <w:pPr>
        <w:pStyle w:val="null3"/>
        <w:jc w:val="both"/>
      </w:pPr>
      <w:r>
        <w:rPr/>
        <w:t>一、公示中标候选人</w:t>
      </w:r>
    </w:p>
    <w:p>
      <w:pPr>
        <w:pStyle w:val="null3"/>
        <w:jc w:val="both"/>
      </w:pPr>
      <w:r>
        <w:rPr/>
        <w:t>无</w:t>
      </w:r>
    </w:p>
    <w:p>
      <w:pPr>
        <w:pStyle w:val="null3"/>
        <w:jc w:val="both"/>
      </w:pPr>
      <w:r>
        <w:rPr/>
        <w:t>二、确定中标方式</w:t>
      </w:r>
    </w:p>
    <w:p>
      <w:pPr>
        <w:pStyle w:val="null3"/>
        <w:jc w:val="both"/>
      </w:pPr>
      <w:r>
        <w:rPr/>
        <w:t>确定中标方式详见本招标文件第二章投标人须知前格式中“确认中标方式”。</w:t>
      </w:r>
    </w:p>
    <w:p>
      <w:pPr>
        <w:pStyle w:val="null3"/>
        <w:jc w:val="both"/>
      </w:pPr>
      <w:r>
        <w:rPr/>
        <w:t>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详见附件：异常低价情形第3项的相关书面说明及必要的证明材料</w:t>
      </w:r>
    </w:p>
    <w:p>
      <w:pPr>
        <w:pStyle w:val="null3"/>
        <w:ind w:firstLine="960"/>
      </w:pPr>
      <w:r>
        <w:rPr/>
        <w:t>详见附件：商务条款第6条证明文件</w:t>
      </w:r>
    </w:p>
    <w:p>
      <w:pPr>
        <w:pStyle w:val="null3"/>
        <w:ind w:firstLine="960"/>
      </w:pPr>
      <w:r>
        <w:rPr/>
        <w:t>详见附件：商务条款第7条证明文件</w:t>
      </w:r>
    </w:p>
    <w:p>
      <w:pPr>
        <w:pStyle w:val="null3"/>
        <w:ind w:firstLine="960"/>
      </w:pPr>
      <w:r>
        <w:rPr/>
        <w:t>详见附件：商务条款第8条证明文件</w:t>
      </w:r>
    </w:p>
    <w:p>
      <w:pPr>
        <w:pStyle w:val="null3"/>
        <w:ind w:firstLine="960"/>
      </w:pPr>
      <w:r>
        <w:rPr/>
        <w:t>详见附件：商务条款第16条证明文件</w:t>
      </w:r>
    </w:p>
    <w:p>
      <w:pPr>
        <w:pStyle w:val="null3"/>
        <w:ind w:firstLine="960"/>
      </w:pPr>
      <w:r>
        <w:rPr/>
        <w:t>详见附件：商务条款第20条证明文件</w:t>
      </w:r>
    </w:p>
    <w:p>
      <w:pPr>
        <w:pStyle w:val="null3"/>
        <w:ind w:firstLine="960"/>
      </w:pPr>
      <w:r>
        <w:rPr/>
        <w:t>详见附件：商务条款第24条证明文件</w:t>
      </w:r>
    </w:p>
    <w:p>
      <w:pPr>
        <w:pStyle w:val="null3"/>
        <w:ind w:firstLine="960"/>
      </w:pPr>
      <w:r>
        <w:rPr/>
        <w:t>详见附件：需求单位要求的资格条件第1条证明文件</w:t>
      </w:r>
    </w:p>
    <w:p>
      <w:pPr>
        <w:pStyle w:val="null3"/>
        <w:ind w:firstLine="960"/>
      </w:pPr>
      <w:r>
        <w:rPr/>
        <w:t>详见附件：需求单位要求的资格条件第2条证明文件</w:t>
      </w:r>
    </w:p>
    <w:p>
      <w:pPr>
        <w:pStyle w:val="null3"/>
        <w:ind w:firstLine="960"/>
      </w:pPr>
      <w:r>
        <w:rPr/>
        <w:t>详见附件：需求单位要求的资格条件第3条证明文件</w:t>
      </w:r>
    </w:p>
    <w:p>
      <w:pPr>
        <w:pStyle w:val="null3"/>
        <w:ind w:firstLine="960"/>
      </w:pPr>
      <w:r>
        <w:rPr/>
        <w:t>详见附件：需求单位要求的资格条件第4条证明文件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详见附件：中国人民银行征信中心2026年度容器平台采购项目合同.docx</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本招标文件未尽事宜 </w:t>
      </w:r>
      <w:r>
        <w:rPr/>
        <w:t>按照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