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中国人民银行电子印章公共服务平台建设</w:t>
      </w:r>
    </w:p>
    <w:p>
      <w:pPr>
        <w:pStyle w:val="null3"/>
        <w:jc w:val="center"/>
        <w:outlineLvl w:val="0"/>
      </w:pPr>
      <w:r>
        <w:rPr>
          <w:sz w:val="48"/>
          <w:b/>
        </w:rPr>
        <w:t>公开招标文件</w:t>
      </w:r>
    </w:p>
    <w:p>
      <w:pPr>
        <w:pStyle w:val="null3"/>
        <w:jc w:val="center"/>
        <w:outlineLvl w:val="0"/>
      </w:pPr>
      <w:r>
        <w:rPr>
          <w:sz w:val="48"/>
          <w:b/>
        </w:rPr>
        <w:t>（服务类）</w:t>
      </w:r>
      <w:r>
        <w:br/>
      </w:r>
    </w:p>
    <w:p>
      <w:pPr>
        <w:pStyle w:val="null3"/>
        <w:jc w:val="center"/>
      </w:pPr>
      <w:r>
        <w:rPr>
          <w:b/>
        </w:rPr>
        <w:t xml:space="preserve">采购项目编号： </w:t>
      </w:r>
      <w:r>
        <w:rPr>
          <w:b/>
        </w:rPr>
        <w:t>001GSF2026056</w:t>
      </w:r>
      <w:r>
        <w:br/>
      </w:r>
      <w:r>
        <w:br/>
      </w:r>
      <w:r>
        <w:br/>
      </w:r>
    </w:p>
    <w:p>
      <w:pPr>
        <w:pStyle w:val="null3"/>
        <w:jc w:val="center"/>
      </w:pPr>
      <w:r>
        <w:rPr/>
        <w:t>中国人民银行集中采购中心</w:t>
      </w:r>
    </w:p>
    <w:p>
      <w:pPr>
        <w:pStyle w:val="null3"/>
        <w:jc w:val="center"/>
      </w:pPr>
      <w:r>
        <w:rPr/>
        <w:t>2026年06月05日</w:t>
      </w:r>
    </w:p>
    <w:p>
      <w:pPr>
        <w:pStyle w:val="null3"/>
      </w:pPr>
      <w:r>
        <w:rPr/>
        <w:t xml:space="preserve"> </w:t>
      </w:r>
    </w:p>
    <w:p>
      <w:pPr>
        <w:pStyle w:val="null3"/>
        <w:jc w:val="center"/>
        <w:outlineLvl w:val="1"/>
      </w:pPr>
      <w:r>
        <w:rPr>
          <w:sz w:val="36"/>
          <w:b/>
        </w:rPr>
        <w:t>第一章 投标邀请</w:t>
      </w:r>
    </w:p>
    <w:p>
      <w:pPr>
        <w:pStyle w:val="null3"/>
        <w:jc w:val="left"/>
      </w:pPr>
      <w:r>
        <w:rPr/>
        <w:t xml:space="preserve">中国人民银行集中采购中心现采取公开招标的方式，就“ </w:t>
      </w:r>
      <w:r>
        <w:rPr/>
        <w:t>中国人民银行电子印章公共服务平台建设</w:t>
      </w:r>
      <w:r>
        <w:rPr/>
        <w:t xml:space="preserve"> ”（项目编号： </w:t>
      </w:r>
      <w:r>
        <w:rPr/>
        <w:t>001GSF2026056</w:t>
      </w:r>
      <w:r>
        <w:rPr/>
        <w:t xml:space="preserve"> ）邀请合格投标人进行密封投标。本项目 </w:t>
      </w:r>
      <w:r>
        <w:rPr/>
        <w:t>落实</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jc w:val="left"/>
      </w:pPr>
      <w:r>
        <w:rPr/>
        <w:t>采购包预算金额（元）: 1,210,005.00</w:t>
      </w:r>
    </w:p>
    <w:p>
      <w:pPr>
        <w:pStyle w:val="null3"/>
        <w:jc w:val="left"/>
      </w:pPr>
      <w:r>
        <w:rPr/>
        <w:t>采购包最高限价（元）: 1,210,005.00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t>序号</w:t>
            </w:r>
          </w:p>
        </w:tc>
        <w:tc>
          <w:tcPr>
            <w:tcW w:type="dxa" w:w="831"/>
          </w:tcPr>
          <w:p>
            <w:pPr>
              <w:pStyle w:val="null3"/>
              <w:jc w:val="left"/>
            </w:pPr>
            <w:r>
              <w:rPr/>
              <w:t>标的名称</w:t>
            </w:r>
          </w:p>
        </w:tc>
        <w:tc>
          <w:tcPr>
            <w:tcW w:type="dxa" w:w="831"/>
          </w:tcPr>
          <w:p>
            <w:pPr>
              <w:pStyle w:val="null3"/>
              <w:jc w:val="left"/>
            </w:pPr>
            <w:r>
              <w:rPr/>
              <w:t>品目名称</w:t>
            </w:r>
          </w:p>
        </w:tc>
        <w:tc>
          <w:tcPr>
            <w:tcW w:type="dxa" w:w="831"/>
          </w:tcPr>
          <w:p>
            <w:pPr>
              <w:pStyle w:val="null3"/>
              <w:jc w:val="left"/>
            </w:pPr>
            <w:r>
              <w:rPr/>
              <w:t>品目分类编码</w:t>
            </w:r>
          </w:p>
        </w:tc>
        <w:tc>
          <w:tcPr>
            <w:tcW w:type="dxa" w:w="831"/>
          </w:tcPr>
          <w:p>
            <w:pPr>
              <w:pStyle w:val="null3"/>
              <w:jc w:val="left"/>
            </w:pPr>
            <w:r>
              <w:rPr/>
              <w:t>标的类别</w:t>
            </w:r>
          </w:p>
        </w:tc>
        <w:tc>
          <w:tcPr>
            <w:tcW w:type="dxa" w:w="831"/>
          </w:tcPr>
          <w:p>
            <w:pPr>
              <w:pStyle w:val="null3"/>
              <w:jc w:val="left"/>
            </w:pPr>
            <w:r>
              <w:rPr/>
              <w:t>计量单位</w:t>
            </w:r>
          </w:p>
        </w:tc>
        <w:tc>
          <w:tcPr>
            <w:tcW w:type="dxa" w:w="831"/>
          </w:tcPr>
          <w:p>
            <w:pPr>
              <w:pStyle w:val="null3"/>
              <w:jc w:val="left"/>
            </w:pPr>
            <w:r>
              <w:rPr/>
              <w:t>数量</w:t>
            </w:r>
          </w:p>
        </w:tc>
        <w:tc>
          <w:tcPr>
            <w:tcW w:type="dxa" w:w="831"/>
          </w:tcPr>
          <w:p>
            <w:pPr>
              <w:pStyle w:val="null3"/>
              <w:jc w:val="left"/>
            </w:pPr>
            <w:r>
              <w:rPr/>
              <w:t>是否允许进口产品</w:t>
            </w:r>
          </w:p>
        </w:tc>
        <w:tc>
          <w:tcPr>
            <w:tcW w:type="dxa" w:w="831"/>
          </w:tcPr>
          <w:p>
            <w:pPr>
              <w:pStyle w:val="null3"/>
              <w:jc w:val="left"/>
            </w:pPr>
            <w:r>
              <w:rPr/>
              <w:t>最高限价</w:t>
            </w:r>
          </w:p>
        </w:tc>
        <w:tc>
          <w:tcPr>
            <w:tcW w:type="dxa" w:w="831"/>
          </w:tcPr>
          <w:p>
            <w:pPr>
              <w:pStyle w:val="null3"/>
              <w:jc w:val="left"/>
            </w:pPr>
            <w:r>
              <w:rPr/>
              <w:t>备注</w:t>
            </w:r>
          </w:p>
        </w:tc>
      </w:tr>
      <w:tr>
        <w:tc>
          <w:tcPr>
            <w:tcW w:type="dxa" w:w="831"/>
          </w:tcPr>
          <w:p>
            <w:pPr>
              <w:pStyle w:val="null3"/>
              <w:jc w:val="left"/>
            </w:pPr>
            <w:r>
              <w:rPr/>
              <w:t>1</w:t>
            </w:r>
          </w:p>
        </w:tc>
        <w:tc>
          <w:tcPr>
            <w:tcW w:type="dxa" w:w="831"/>
          </w:tcPr>
          <w:p>
            <w:pPr>
              <w:pStyle w:val="null3"/>
              <w:jc w:val="left"/>
            </w:pPr>
            <w:r>
              <w:rPr/>
              <w:t>中国人民银行电子印章公共服务平台建设</w:t>
            </w:r>
          </w:p>
        </w:tc>
        <w:tc>
          <w:tcPr>
            <w:tcW w:type="dxa" w:w="831"/>
          </w:tcPr>
          <w:p>
            <w:pPr>
              <w:pStyle w:val="null3"/>
              <w:jc w:val="left"/>
            </w:pPr>
            <w:r>
              <w:rPr/>
              <w:t>C16010302 行业应用软件开发服务</w:t>
            </w:r>
          </w:p>
        </w:tc>
        <w:tc>
          <w:tcPr>
            <w:tcW w:type="dxa" w:w="831"/>
          </w:tcPr>
          <w:p>
            <w:pPr>
              <w:pStyle w:val="null3"/>
              <w:jc w:val="left"/>
            </w:pPr>
            <w:r>
              <w:rPr/>
              <w:t>C16010302</w:t>
            </w:r>
          </w:p>
        </w:tc>
        <w:tc>
          <w:tcPr>
            <w:tcW w:type="dxa" w:w="831"/>
          </w:tcPr>
          <w:p>
            <w:pPr>
              <w:pStyle w:val="null3"/>
              <w:jc w:val="left"/>
            </w:pPr>
            <w:r>
              <w:rPr/>
              <w:t>服务</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left"/>
            </w:pPr>
            <w:r>
              <w:rPr/>
              <w:t>否</w:t>
            </w:r>
          </w:p>
        </w:tc>
        <w:tc>
          <w:tcPr>
            <w:tcW w:type="dxa" w:w="831"/>
          </w:tcPr>
          <w:p>
            <w:pPr>
              <w:pStyle w:val="null3"/>
              <w:jc w:val="right"/>
            </w:pPr>
            <w:r>
              <w:rPr/>
              <w:t>1,210,005.00</w:t>
            </w:r>
          </w:p>
        </w:tc>
        <w:tc>
          <w:tcPr>
            <w:tcW w:type="dxa" w:w="831"/>
          </w:tcPr>
          <w:p/>
        </w:tc>
      </w:tr>
    </w:tbl>
    <w:p>
      <w:pPr>
        <w:pStyle w:val="null3"/>
        <w:jc w:val="left"/>
      </w:pPr>
      <w:r>
        <w:rPr/>
        <w:t xml:space="preserve">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根据《国务院办公厅关于在政府采购中实施本国产品标准及相关政策的通知》实施本国产品标准： </w:t>
      </w:r>
      <w:r>
        <w:rPr/>
        <w:t>是</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 xml:space="preserve">本项目对应的中小企业划分标准所属行业(服务类): </w:t>
      </w:r>
      <w:r>
        <w:rPr/>
        <w:t>软件和信息技术服务业</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讲标时间：详见采购公告或邀请书</w:t>
      </w:r>
    </w:p>
    <w:p>
      <w:pPr>
        <w:pStyle w:val="null3"/>
        <w:jc w:val="left"/>
      </w:pPr>
      <w:r>
        <w:rPr/>
        <w:t>讲标地点：详见采购公告或邀请书</w:t>
      </w:r>
    </w:p>
    <w:p>
      <w:pPr>
        <w:pStyle w:val="null3"/>
        <w:jc w:val="left"/>
      </w:pPr>
      <w:r>
        <w:rPr/>
        <w:t>讲标内容：投标人应提供总时长不超过15分钟的demo演示，包括以下功能点：分级管理、印模管理、印章申请、印章制作、印章备案、印章注销、印章有效期、签章标准化接口、签章形式、签章方式、报表统计、用户管理、机构管理、角色管理。</w:t>
      </w:r>
    </w:p>
    <w:p>
      <w:pPr>
        <w:pStyle w:val="null3"/>
        <w:jc w:val="left"/>
      </w:pPr>
      <w:r>
        <w:rPr/>
        <w:t>讲标要求：1、 进入评标现场的人员不能携带手机等任何电子设备进入评标现场； 如有携带， 必须交给评标现场工作人员保管。 2、 讲标人员如需PPT辅助讲标， 需提前将文件电子版存入U盘或光盘， 使用评标现场电脑播放。</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中国人民银行</w:t>
      </w:r>
    </w:p>
    <w:p>
      <w:pPr>
        <w:pStyle w:val="null3"/>
        <w:jc w:val="left"/>
      </w:pPr>
      <w:r>
        <w:rPr/>
        <w:t xml:space="preserve"> 地址： </w:t>
      </w:r>
      <w:r>
        <w:rPr/>
        <w:t>北京市西城区成方街32号</w:t>
      </w:r>
    </w:p>
    <w:p>
      <w:pPr>
        <w:pStyle w:val="null3"/>
        <w:jc w:val="left"/>
      </w:pPr>
      <w:r>
        <w:rPr/>
        <w:t xml:space="preserve"> 邮编： </w:t>
      </w:r>
      <w:r>
        <w:rPr/>
        <w:t>100800</w:t>
      </w:r>
    </w:p>
    <w:p>
      <w:pPr>
        <w:pStyle w:val="null3"/>
        <w:jc w:val="left"/>
      </w:pPr>
      <w:r>
        <w:rPr/>
        <w:t xml:space="preserve"> 联系人： </w:t>
      </w:r>
      <w:r>
        <w:rPr/>
        <w:t>宋路</w:t>
      </w:r>
    </w:p>
    <w:p>
      <w:pPr>
        <w:pStyle w:val="null3"/>
        <w:jc w:val="left"/>
      </w:pPr>
      <w:r>
        <w:rPr/>
        <w:t xml:space="preserve"> 联系电话： </w:t>
      </w:r>
      <w:r>
        <w:rPr/>
        <w:t>66194183</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北京北京市西城区北京市西城区成方街32号</w:t>
      </w:r>
    </w:p>
    <w:p>
      <w:pPr>
        <w:pStyle w:val="null3"/>
        <w:jc w:val="left"/>
      </w:pPr>
      <w:r>
        <w:rPr/>
        <w:t xml:space="preserve"> 邮编： </w:t>
      </w:r>
      <w:r>
        <w:rPr/>
        <w:t>100032</w:t>
      </w:r>
    </w:p>
    <w:p>
      <w:pPr>
        <w:pStyle w:val="null3"/>
        <w:jc w:val="left"/>
      </w:pPr>
      <w:r>
        <w:rPr/>
        <w:t xml:space="preserve"> 联系人（文件发放、开标前咨询）： </w:t>
      </w:r>
      <w:r>
        <w:rPr/>
        <w:t xml:space="preserve"> 李先生</w:t>
      </w:r>
    </w:p>
    <w:p>
      <w:pPr>
        <w:pStyle w:val="null3"/>
        <w:jc w:val="left"/>
      </w:pPr>
      <w:r>
        <w:rPr/>
        <w:t xml:space="preserve"> 联系电话（文件发放、开标前咨询）： </w:t>
      </w:r>
      <w:r>
        <w:rPr/>
        <w:t xml:space="preserve"> 66195317</w:t>
      </w:r>
    </w:p>
    <w:p>
      <w:pPr>
        <w:pStyle w:val="null3"/>
        <w:jc w:val="left"/>
      </w:pPr>
      <w:r>
        <w:rPr/>
        <w:t xml:space="preserve"> 联系人（开、评标咨询）： </w:t>
      </w:r>
      <w:r>
        <w:rPr/>
        <w:t>李女士</w:t>
      </w:r>
    </w:p>
    <w:p>
      <w:pPr>
        <w:pStyle w:val="null3"/>
        <w:jc w:val="left"/>
      </w:pPr>
      <w:r>
        <w:rPr/>
        <w:t xml:space="preserve"> 联系电话（开、评标咨询）： </w:t>
      </w:r>
      <w:r>
        <w:rPr/>
        <w:t>66194516</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共5人，</w:t>
            </w:r>
            <w:r>
              <w:rPr/>
              <w:t>其中评审专家4人，</w:t>
            </w:r>
            <w:r>
              <w:rPr/>
              <w:t>采购人代表1人。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9</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10</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11</w:t>
            </w:r>
          </w:p>
        </w:tc>
        <w:tc>
          <w:tcPr>
            <w:tcW w:type="dxa" w:w="1804"/>
          </w:tcPr>
          <w:p>
            <w:pPr>
              <w:pStyle w:val="null3"/>
            </w:pPr>
            <w:r>
              <w:rPr/>
              <w:t>确认中标方式</w:t>
            </w:r>
          </w:p>
        </w:tc>
        <w:tc>
          <w:tcPr>
            <w:tcW w:type="dxa" w:w="5935"/>
          </w:tcPr>
          <w:p>
            <w:pPr>
              <w:pStyle w:val="null3"/>
            </w:pPr>
            <w:r>
              <w:rPr/>
              <w:t>采购人授权评标委员会按照评审原则直接确定中标供应商。</w:t>
            </w:r>
          </w:p>
          <w:p>
            <w:pPr>
              <w:pStyle w:val="null3"/>
            </w:pPr>
            <w:r>
              <w:rPr/>
              <w:t>评标委员会按照评审报告中推荐的中标候选人顺序确定第一中标候选人为中标人。</w:t>
            </w:r>
          </w:p>
          <w:p>
            <w:pPr>
              <w:pStyle w:val="null3"/>
            </w:pPr>
          </w:p>
        </w:tc>
      </w:tr>
      <w:tr>
        <w:tc>
          <w:tcPr>
            <w:tcW w:type="dxa" w:w="567"/>
          </w:tcPr>
          <w:p>
            <w:pPr>
              <w:pStyle w:val="null3"/>
            </w:pPr>
            <w:r>
              <w:rPr/>
              <w:t>12</w:t>
            </w:r>
          </w:p>
        </w:tc>
        <w:tc>
          <w:tcPr>
            <w:tcW w:type="dxa" w:w="1804"/>
          </w:tcPr>
          <w:p>
            <w:pPr>
              <w:pStyle w:val="null3"/>
            </w:pPr>
            <w:r>
              <w:rPr/>
              <w:t>信息公示渠道</w:t>
            </w:r>
          </w:p>
        </w:tc>
        <w:tc>
          <w:tcPr>
            <w:tcW w:type="dxa" w:w="5935"/>
          </w:tcPr>
          <w:p>
            <w:pPr>
              <w:pStyle w:val="null3"/>
            </w:pPr>
            <w:r>
              <w:rPr/>
              <w:t>中国政府采购网</w:t>
            </w:r>
            <w:r>
              <w:rPr/>
              <w:t>、</w:t>
            </w:r>
            <w:r>
              <w:rPr/>
              <w:t>中国人民银行集中采购中心互联网采购交易系统</w:t>
            </w:r>
          </w:p>
        </w:tc>
      </w:tr>
      <w:tr>
        <w:tc>
          <w:tcPr>
            <w:tcW w:type="dxa" w:w="567"/>
          </w:tcPr>
          <w:p>
            <w:pPr>
              <w:pStyle w:val="null3"/>
            </w:pPr>
            <w:r>
              <w:rPr/>
              <w:t>13</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14</w:t>
            </w:r>
          </w:p>
        </w:tc>
        <w:tc>
          <w:tcPr>
            <w:tcW w:type="dxa" w:w="1804"/>
          </w:tcPr>
          <w:p>
            <w:pPr>
              <w:pStyle w:val="null3"/>
            </w:pPr>
            <w:r>
              <w:rPr/>
              <w:t>是否为“一签三年”项目</w:t>
            </w:r>
          </w:p>
        </w:tc>
        <w:tc>
          <w:tcPr>
            <w:tcW w:type="dxa" w:w="5935"/>
          </w:tcPr>
          <w:p>
            <w:pPr>
              <w:pStyle w:val="null3"/>
            </w:pPr>
            <w:r>
              <w:rPr/>
              <w:t>本次不是一签三年项目。</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 xml:space="preserve"> 交易系统发生故障（包括感染病毒、应用或数据库出错）而无法正常使用的；如启用纸质响应文件，则以纸质响应文件为准。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投标文件具体内容详见第六章。</w:t>
      </w:r>
    </w:p>
    <w:p>
      <w:pPr>
        <w:pStyle w:val="null3"/>
        <w:jc w:val="left"/>
        <w:outlineLvl w:val="3"/>
      </w:pPr>
      <w:r>
        <w:rPr>
          <w:sz w:val="24"/>
          <w:b/>
        </w:rPr>
        <w:t>2.4.6投标文件格式</w:t>
      </w:r>
    </w:p>
    <w:p>
      <w:pPr>
        <w:pStyle w:val="null3"/>
        <w:jc w:val="both"/>
      </w:pPr>
      <w:r>
        <w:rPr/>
        <w:t>一、投标人应按照招标文件第六章中提供的“投标文件格式”填写相关内容。投标文件格式中签字、盖章等具体要求的，从其要求后，扫描成电子版，再纳入投标文件。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一、投标人的投标报价应为投标人响应招标项目要求的全部工作内容的价格体现，包括投标人完成本项目所需的一切费用的最终报价。</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 查询及使用信用记录</w:t>
      </w:r>
    </w:p>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jc w:val="left"/>
        <w:outlineLvl w:val="3"/>
      </w:pPr>
      <w:r>
        <w:rPr>
          <w:sz w:val="24"/>
          <w:b/>
        </w:rPr>
        <w:t>2.5.3资格审查</w:t>
      </w:r>
    </w:p>
    <w:p>
      <w:pPr>
        <w:pStyle w:val="null3"/>
        <w:jc w:val="both"/>
      </w:pPr>
      <w:r>
        <w:rPr/>
        <w:t>详见本招标文件第一章“1.2投标人资格要求”</w:t>
      </w:r>
    </w:p>
    <w:p>
      <w:pPr>
        <w:pStyle w:val="null3"/>
        <w:jc w:val="left"/>
        <w:outlineLvl w:val="3"/>
      </w:pPr>
      <w:r>
        <w:rPr>
          <w:sz w:val="24"/>
          <w:b/>
        </w:rPr>
        <w:t>2.5.4评标</w:t>
      </w:r>
    </w:p>
    <w:p>
      <w:pPr>
        <w:pStyle w:val="null3"/>
        <w:jc w:val="both"/>
      </w:pPr>
      <w:r>
        <w:rPr/>
        <w:t>详见本招标文件第五章。</w:t>
      </w:r>
    </w:p>
    <w:p>
      <w:pPr>
        <w:pStyle w:val="null3"/>
        <w:jc w:val="left"/>
        <w:outlineLvl w:val="3"/>
      </w:pPr>
      <w:r>
        <w:rPr>
          <w:sz w:val="24"/>
          <w:b/>
        </w:rPr>
        <w:t>2.5.5中标通知书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随着2025年9月27日国务院办公厅印发《电子印章管理办法》中规范了电子印章的使用及管理要求，根据总行关于数字央行建设规划及关于信创商业密码应用等政策，需要统一建设电子印章公共服务平台，来实现人民银行垂直管理体系的电子印章全生命周期的管控。</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项目编号：P2026006</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为贯彻落实国务院办公厅《电子印章管理办法》（国办发〔2025〕33号）要求，规范人民银行系统电子印章全生命周期管理，推动电子印章跨地区、跨部门互相互认，现需新建服务人民银行总行各部门、地市级（含）以上分行、各所属单位统一使用的电子印章公共服务平台（签、印一体化），用于管理全系统电子印章及提供电子签章服务，提高全系统电子印章管理效率，增强电子印章的安全性，减少重复建设成本，既贯彻落实了国办《电子印章管理办法》，又符合数字央行建设规划，平台建设后将支持云计算环境下的弹性部署与扩展能力，针对于电子印章具有全生命周期和安全管控能力，可作为公共服务平台基础系统，独立于其他业务系统存在，提供业务系统的快速集成能力，具备高性能、高并发、高可用的电子印章用印能力。</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建设人民银行银行电子印章公共服务平台，实现以下功能： 1、电子印章管理单元 （1）组织管理：系统应支持多级组织树（多层级），可灵活创建总行、分行、地市分行、所属单位等机构，并支持批量导入、编辑、移动组织。权限管理应将系统管理员、业务管理员等角色权限下放到二级管理员，实现分级管控。 （2）印章管理：电子印章申请、制作、审批、注册、备案、状态查询等功能。电子印章可制作至UKEY中，用于其他系统使用，用印记录可回传至印章系统中。电子印章申请可进行流程定制化，满足用户个性化需求。 （3）用印日志：系统应提供多维度的印章使用记录查询与统计，可按印章名称、用印人、时间范围等条件筛选，并支持导出Excel。印章日志应记录所有印章操作（申请、授权、变更、使用等），满足合规审计要求。用印日志应包括印章名称、用印人、用印时间、用印次数、签署文件等信息，并支持与电子档案系统对接归档。 2、电子签章管理单元 （1）电子签章提供标准化接口，支持http、POST接口，采用松耦合可供其他应用系统调用。同时提供多种签章形式，可支持多种应用场景，多种应用模式：支持客户端签章与服务端签章、可视化托拉拽签章、文件关键字签章、文件坐标位置签章、文件模板批量盖章等。生成的签章文件可支持OFD、pdf等格式文件。 （2）电子签章管理单元对所有签章操作执行全流程、无遗漏的规范化记录，不仅完整留存签章时间、签章人员等基础要素，还可同步备案至印章中心形成可追溯、可审计的标准化操作台账。 （3）电子签章应当使用有效的电子印章，遵照国家有关法律法规和标准规范，保证电子签章数据的真实性，完整性和不可否认性。电子签章过程信息应当被记录并保存，实现电子签章行为可追溯、可任责。 （4）电子签章生成的签章文件验证按照国家有关标准规范核验电子签章数据的真实性、完整性和不可否认性，并核验电子印章在电子签名时的有效性。 （5）经电子签章的电子文件归档时，应符合电子档案管理有关规定和标准规范。</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中国人民银行电子印章公共服务平台建设</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随着2025年9月27日国办印发《电子印章管理办法》中规范了电子印章的使用及管理要求，根据总行关于数字央行建设规划及关于信创商业密码应用等政策，需建设电子印章服务中心，来实现人民银行垂直体系的电子印章全生命周期的管控。 本次建设统一的签印一体化平台，是数字化转型中构建可信基础环境的关键一环，可实现电子印章的集中管理和控制，提高用印的安全性和效率，减少重复建设成本，同时满足合规要求，并实现数字化的文件签署流程，减少纸质文件的使用和处理成本，同时可以提高签章过程的安全性和效率，减少潜在的风险和错误。</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无</w:t>
            </w:r>
          </w:p>
        </w:tc>
      </w:tr>
    </w:tbl>
    <w:p>
      <w:pPr>
        <w:pStyle w:val="null3"/>
        <w:jc w:val="left"/>
        <w:outlineLvl w:val="2"/>
      </w:pPr>
      <w:r>
        <w:rPr>
          <w:sz w:val="28"/>
          <w:b/>
        </w:rPr>
        <w:t>3.2 技术及商务要求</w:t>
      </w:r>
    </w:p>
    <w:p>
      <w:pPr>
        <w:pStyle w:val="null3"/>
        <w:jc w:val="both"/>
      </w:pPr>
      <w:r>
        <w:rPr/>
        <w:t>本技术要求共有“★”指标14个，”#”指标6个，“▲”指标0个。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软件要求</w:t>
            </w:r>
          </w:p>
        </w:tc>
        <w:tc>
          <w:tcPr>
            <w:tcW w:type="dxa" w:w="1038"/>
          </w:tcPr>
          <w:p/>
        </w:tc>
        <w:tc>
          <w:tcPr>
            <w:tcW w:type="dxa" w:w="1038"/>
          </w:tcPr>
          <w:p>
            <w:pPr>
              <w:pStyle w:val="null3"/>
              <w:numPr>
                <w:ilvl w:val="0"/>
                <w:numId w:val="1"/>
              </w:numPr>
              <w:jc w:val="left"/>
            </w:pPr>
            <w:r>
              <w:rPr>
                <w:rFonts w:ascii="仿宋" w:hAnsi="仿宋" w:cs="仿宋" w:eastAsia="仿宋"/>
                <w:sz w:val="24"/>
              </w:rPr>
              <w:t>提供</w:t>
            </w:r>
            <w:r>
              <w:rPr>
                <w:rFonts w:ascii="仿宋" w:hAnsi="仿宋" w:cs="仿宋" w:eastAsia="仿宋"/>
                <w:sz w:val="24"/>
              </w:rPr>
              <w:t>电子印章公共服务</w:t>
            </w:r>
            <w:r>
              <w:rPr>
                <w:rFonts w:ascii="仿宋" w:hAnsi="仿宋" w:cs="仿宋" w:eastAsia="仿宋"/>
                <w:sz w:val="24"/>
              </w:rPr>
              <w:t>平台</w:t>
            </w:r>
            <w:r>
              <w:rPr>
                <w:rFonts w:ascii="仿宋" w:hAnsi="仿宋" w:cs="仿宋" w:eastAsia="仿宋"/>
                <w:sz w:val="24"/>
              </w:rPr>
              <w:t>软件，可实现电子印章全生命周期管理及电子签章服务。</w:t>
            </w:r>
          </w:p>
          <w:p>
            <w:pPr>
              <w:pStyle w:val="null3"/>
              <w:numPr>
                <w:ilvl w:val="0"/>
                <w:numId w:val="1"/>
              </w:numPr>
              <w:jc w:val="left"/>
            </w:pPr>
            <w:r>
              <w:rPr>
                <w:rFonts w:ascii="仿宋" w:hAnsi="仿宋" w:cs="仿宋" w:eastAsia="仿宋"/>
                <w:sz w:val="24"/>
              </w:rPr>
              <w:t>电子印章管理和电子签章管理均需支持私有化独立部署。</w:t>
            </w:r>
          </w:p>
          <w:p>
            <w:pPr>
              <w:pStyle w:val="null3"/>
              <w:numPr>
                <w:ilvl w:val="0"/>
                <w:numId w:val="1"/>
              </w:numPr>
              <w:jc w:val="left"/>
            </w:pPr>
            <w:r>
              <w:rPr>
                <w:rFonts w:ascii="仿宋" w:hAnsi="仿宋" w:cs="仿宋" w:eastAsia="仿宋"/>
                <w:sz w:val="24"/>
              </w:rPr>
              <w:t>提供不限制数量用户永久授权。</w:t>
            </w:r>
          </w:p>
        </w:tc>
        <w:tc>
          <w:tcPr>
            <w:tcW w:type="dxa" w:w="1038"/>
          </w:tcPr>
          <w:p>
            <w:pPr>
              <w:pStyle w:val="null3"/>
            </w:pPr>
            <w:r>
              <w:rPr/>
              <w:t>是</w:t>
            </w:r>
          </w:p>
        </w:tc>
        <w:tc>
          <w:tcPr>
            <w:tcW w:type="dxa" w:w="1038"/>
          </w:tcPr>
          <w:p>
            <w:pPr>
              <w:pStyle w:val="null3"/>
            </w:pPr>
            <w:r>
              <w:rPr/>
              <w:t>是，提供加盖公章的软件著作权复印件</w:t>
            </w:r>
          </w:p>
        </w:tc>
      </w:tr>
      <w:tr>
        <w:tc>
          <w:tcPr>
            <w:tcW w:type="dxa" w:w="1038"/>
          </w:tcPr>
          <w:p>
            <w:pPr>
              <w:pStyle w:val="null3"/>
            </w:pPr>
            <w:r>
              <w:rPr/>
              <w:t>2</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兼容性要求</w:t>
            </w:r>
          </w:p>
        </w:tc>
        <w:tc>
          <w:tcPr>
            <w:tcW w:type="dxa" w:w="1038"/>
          </w:tcPr>
          <w:p/>
        </w:tc>
        <w:tc>
          <w:tcPr>
            <w:tcW w:type="dxa" w:w="1038"/>
          </w:tcPr>
          <w:p>
            <w:pPr>
              <w:pStyle w:val="null3"/>
              <w:numPr>
                <w:ilvl w:val="0"/>
                <w:numId w:val="1"/>
              </w:numPr>
              <w:jc w:val="left"/>
            </w:pPr>
            <w:r>
              <w:rPr>
                <w:rFonts w:ascii="仿宋" w:hAnsi="仿宋" w:cs="仿宋" w:eastAsia="仿宋"/>
                <w:sz w:val="24"/>
              </w:rPr>
              <w:t>产品支持部署在信创基础环境，服务器支持麒麟、统信等主流国产操作系统，客户端兼容</w:t>
            </w:r>
            <w:r>
              <w:rPr>
                <w:rFonts w:ascii="仿宋" w:hAnsi="仿宋" w:cs="仿宋" w:eastAsia="仿宋"/>
                <w:sz w:val="24"/>
              </w:rPr>
              <w:t>Windows和主流信创操作系统；</w:t>
            </w:r>
          </w:p>
          <w:p>
            <w:pPr>
              <w:pStyle w:val="null3"/>
              <w:numPr>
                <w:ilvl w:val="0"/>
                <w:numId w:val="1"/>
              </w:numPr>
              <w:jc w:val="left"/>
            </w:pPr>
            <w:r>
              <w:rPr>
                <w:rFonts w:ascii="仿宋" w:hAnsi="仿宋" w:cs="仿宋" w:eastAsia="仿宋"/>
                <w:sz w:val="24"/>
              </w:rPr>
              <w:t>支持达梦、人大金仓、</w:t>
            </w:r>
            <w:r>
              <w:rPr>
                <w:rFonts w:ascii="仿宋" w:hAnsi="仿宋" w:cs="仿宋" w:eastAsia="仿宋"/>
                <w:sz w:val="24"/>
              </w:rPr>
              <w:t>TDsql等主流国产数据库。</w:t>
            </w:r>
          </w:p>
          <w:p>
            <w:pPr>
              <w:pStyle w:val="null3"/>
              <w:numPr>
                <w:ilvl w:val="0"/>
                <w:numId w:val="1"/>
              </w:numPr>
              <w:jc w:val="left"/>
            </w:pPr>
            <w:r>
              <w:rPr>
                <w:rFonts w:ascii="仿宋" w:hAnsi="仿宋" w:cs="仿宋" w:eastAsia="仿宋"/>
                <w:sz w:val="24"/>
              </w:rPr>
              <w:t>支持东方通、金蝶、</w:t>
            </w:r>
            <w:r>
              <w:rPr>
                <w:rFonts w:ascii="仿宋" w:hAnsi="仿宋" w:cs="仿宋" w:eastAsia="仿宋"/>
                <w:sz w:val="24"/>
                <w:color w:val="333333"/>
                <w:shd w:fill="FFFFFF" w:val="clear"/>
              </w:rPr>
              <w:t>宝兰德</w:t>
            </w:r>
            <w:r>
              <w:rPr>
                <w:rFonts w:ascii="仿宋" w:hAnsi="仿宋" w:cs="仿宋" w:eastAsia="仿宋"/>
                <w:sz w:val="24"/>
              </w:rPr>
              <w:t>等主流国产中间件。</w:t>
            </w:r>
          </w:p>
          <w:p>
            <w:pPr>
              <w:pStyle w:val="null3"/>
              <w:numPr>
                <w:ilvl w:val="0"/>
                <w:numId w:val="1"/>
              </w:numPr>
              <w:jc w:val="left"/>
            </w:pPr>
            <w:r>
              <w:rPr>
                <w:rFonts w:ascii="仿宋" w:hAnsi="仿宋" w:cs="仿宋" w:eastAsia="仿宋"/>
                <w:sz w:val="24"/>
              </w:rPr>
              <w:t>应能兼容国产信创浏览器</w:t>
            </w:r>
            <w:r>
              <w:rPr>
                <w:rFonts w:ascii="仿宋" w:hAnsi="仿宋" w:cs="仿宋" w:eastAsia="仿宋"/>
                <w:sz w:val="24"/>
              </w:rPr>
              <w:t>(360安全浏览器、奇安信可信浏览器、火狐浏览器等)和主流浏览器(IE10、谷歌及其他以IE为内核的浏览器)。</w:t>
            </w:r>
          </w:p>
          <w:p>
            <w:pPr>
              <w:pStyle w:val="null3"/>
              <w:numPr>
                <w:ilvl w:val="0"/>
                <w:numId w:val="1"/>
              </w:numPr>
              <w:jc w:val="left"/>
            </w:pPr>
            <w:r>
              <w:rPr>
                <w:rFonts w:ascii="仿宋" w:hAnsi="仿宋" w:cs="仿宋" w:eastAsia="仿宋"/>
                <w:sz w:val="24"/>
              </w:rPr>
              <w:t>支持</w:t>
            </w:r>
            <w:r>
              <w:rPr>
                <w:rFonts w:ascii="仿宋" w:hAnsi="仿宋" w:cs="仿宋" w:eastAsia="仿宋"/>
                <w:sz w:val="24"/>
              </w:rPr>
              <w:t>IPV4、IPV6网络配置。</w:t>
            </w:r>
          </w:p>
          <w:p>
            <w:pPr>
              <w:pStyle w:val="null3"/>
              <w:numPr>
                <w:ilvl w:val="0"/>
                <w:numId w:val="1"/>
              </w:numPr>
              <w:jc w:val="left"/>
            </w:pPr>
            <w:r>
              <w:rPr>
                <w:rFonts w:ascii="仿宋" w:hAnsi="仿宋" w:cs="仿宋" w:eastAsia="仿宋"/>
                <w:sz w:val="24"/>
              </w:rPr>
              <w:t>支持</w:t>
            </w:r>
            <w:r>
              <w:rPr>
                <w:rFonts w:ascii="仿宋" w:hAnsi="仿宋" w:cs="仿宋" w:eastAsia="仿宋"/>
                <w:sz w:val="24"/>
              </w:rPr>
              <w:t>http、https网站协议。</w:t>
            </w:r>
          </w:p>
          <w:p>
            <w:pPr>
              <w:pStyle w:val="null3"/>
              <w:numPr>
                <w:ilvl w:val="0"/>
                <w:numId w:val="1"/>
              </w:numPr>
              <w:jc w:val="left"/>
            </w:pPr>
            <w:r>
              <w:rPr>
                <w:rFonts w:ascii="仿宋" w:hAnsi="仿宋" w:cs="仿宋" w:eastAsia="仿宋"/>
                <w:sz w:val="24"/>
              </w:rPr>
              <w:t>兼容主流防病毒软件及入侵检测软件，如</w:t>
            </w:r>
            <w:r>
              <w:rPr>
                <w:rFonts w:ascii="仿宋" w:hAnsi="仿宋" w:cs="仿宋" w:eastAsia="仿宋"/>
                <w:sz w:val="24"/>
              </w:rPr>
              <w:t>360杀毒、瑞星、HIDS等，如遇不兼容的情况，需提供技术支持服务对相关问题进行整改。</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电子印章功能要求</w:t>
            </w:r>
          </w:p>
        </w:tc>
        <w:tc>
          <w:tcPr>
            <w:tcW w:type="dxa" w:w="1038"/>
          </w:tcPr>
          <w:p/>
        </w:tc>
        <w:tc>
          <w:tcPr>
            <w:tcW w:type="dxa" w:w="1038"/>
          </w:tcPr>
          <w:p>
            <w:pPr>
              <w:pStyle w:val="null3"/>
              <w:numPr>
                <w:ilvl w:val="0"/>
                <w:numId w:val="1"/>
              </w:numPr>
              <w:jc w:val="left"/>
            </w:pPr>
            <w:r>
              <w:rPr>
                <w:rFonts w:ascii="仿宋" w:hAnsi="仿宋" w:cs="仿宋" w:eastAsia="仿宋"/>
                <w:sz w:val="24"/>
              </w:rPr>
              <w:t>分级管理：系统应支持多级组织树（至少支持三级），可灵活创建各级组织机构，并支持批量导入、编辑、移动组织树。权限管理应将系统管理员、业务管理员等角色权限下放到二级管理员，实现分级管控。数据权限应精确控制各级管理员仅能管理本级及下级组织的数据</w:t>
            </w:r>
            <w:r>
              <w:rPr>
                <w:rFonts w:ascii="仿宋" w:hAnsi="仿宋" w:cs="仿宋" w:eastAsia="仿宋"/>
                <w:sz w:val="24"/>
              </w:rPr>
              <w:t>。</w:t>
            </w:r>
          </w:p>
          <w:p>
            <w:pPr>
              <w:pStyle w:val="null3"/>
              <w:numPr>
                <w:ilvl w:val="0"/>
                <w:numId w:val="1"/>
              </w:numPr>
              <w:jc w:val="left"/>
            </w:pPr>
            <w:r>
              <w:rPr>
                <w:rFonts w:ascii="仿宋" w:hAnsi="仿宋" w:cs="仿宋" w:eastAsia="仿宋"/>
                <w:sz w:val="24"/>
              </w:rPr>
              <w:t>印模管理：系统应支持上传本地图片作为印模，并提供内置样式模板快速生成印章；同时支持图片优化处理（如去除背景、自动调整尺寸），满足个性化印模需求。</w:t>
            </w:r>
          </w:p>
          <w:p>
            <w:pPr>
              <w:pStyle w:val="null3"/>
              <w:numPr>
                <w:ilvl w:val="0"/>
                <w:numId w:val="1"/>
              </w:numPr>
              <w:jc w:val="left"/>
            </w:pPr>
            <w:r>
              <w:rPr>
                <w:rFonts w:ascii="仿宋" w:hAnsi="仿宋" w:cs="仿宋" w:eastAsia="仿宋"/>
                <w:sz w:val="24"/>
              </w:rPr>
              <w:t>印章申请：电子印章申请可流程定制化，申请表单字段可灵活配置，满足用户个性化需求。同时支持通过</w:t>
            </w:r>
            <w:r>
              <w:rPr>
                <w:rFonts w:ascii="仿宋" w:hAnsi="仿宋" w:cs="仿宋" w:eastAsia="仿宋"/>
                <w:sz w:val="24"/>
              </w:rPr>
              <w:t>API集成外部系统提交申请。印章申请过程中，系统应自动校验印章名称的唯一性，避免重复创建。</w:t>
            </w:r>
          </w:p>
          <w:p>
            <w:pPr>
              <w:pStyle w:val="null3"/>
              <w:numPr>
                <w:ilvl w:val="0"/>
                <w:numId w:val="1"/>
              </w:numPr>
              <w:jc w:val="left"/>
            </w:pPr>
            <w:r>
              <w:rPr>
                <w:rFonts w:ascii="仿宋" w:hAnsi="仿宋" w:cs="仿宋" w:eastAsia="仿宋"/>
                <w:sz w:val="24"/>
              </w:rPr>
              <w:t>电子</w:t>
            </w:r>
            <w:r>
              <w:rPr>
                <w:rFonts w:ascii="仿宋" w:hAnsi="仿宋" w:cs="仿宋" w:eastAsia="仿宋"/>
                <w:sz w:val="24"/>
              </w:rPr>
              <w:t>印章制作：</w:t>
            </w:r>
            <w:r>
              <w:rPr>
                <w:rFonts w:ascii="仿宋" w:hAnsi="仿宋" w:cs="仿宋" w:eastAsia="仿宋"/>
                <w:sz w:val="24"/>
              </w:rPr>
              <w:t>电子印章数据生成流程应当符合</w:t>
            </w:r>
            <w:r>
              <w:rPr>
                <w:rFonts w:ascii="仿宋" w:hAnsi="仿宋" w:cs="仿宋" w:eastAsia="仿宋"/>
                <w:sz w:val="24"/>
              </w:rPr>
              <w:t>GB/T38540《信息安全技术 安全电子签章密码技术规范》及其后续修订版本的要求；电子印章的应用接口应符合GB/T33481《党政机关电子印章应用规范》及其手续修订版本的要求。</w:t>
            </w:r>
            <w:r>
              <w:rPr>
                <w:rFonts w:ascii="仿宋" w:hAnsi="仿宋" w:cs="仿宋" w:eastAsia="仿宋"/>
                <w:sz w:val="24"/>
              </w:rPr>
              <w:t>电子印章制作可满足多个应用场景：如签名验签服务器制章或服务端集中管理印章数据或</w:t>
            </w:r>
            <w:r>
              <w:rPr>
                <w:rFonts w:ascii="仿宋" w:hAnsi="仿宋" w:cs="仿宋" w:eastAsia="仿宋"/>
                <w:sz w:val="24"/>
              </w:rPr>
              <w:t>UKEY保存印章等；UKEY印章管理应支持将电子印章制作至UKEY设备，并授权给指定人员在其他系统使用；所有用印记录应可回传至电子印章管理单元，供审计查询；对于UKEY印章，系统可提供UKEY驱动下载，支持多种型号UKEY设备的接入。</w:t>
            </w:r>
          </w:p>
          <w:p>
            <w:pPr>
              <w:pStyle w:val="null3"/>
              <w:numPr>
                <w:ilvl w:val="0"/>
                <w:numId w:val="1"/>
              </w:numPr>
              <w:jc w:val="left"/>
            </w:pPr>
            <w:r>
              <w:rPr>
                <w:rFonts w:ascii="仿宋" w:hAnsi="仿宋" w:cs="仿宋" w:eastAsia="仿宋"/>
                <w:sz w:val="24"/>
              </w:rPr>
              <w:t>电子印章备案要求：提供电子印章备案功能，可将电子印章所有者信息、编码、有效期、状态信息等同步至电子印章制作管理单位建设的有关信息系统进行备案。</w:t>
            </w:r>
          </w:p>
          <w:p>
            <w:pPr>
              <w:pStyle w:val="null3"/>
              <w:numPr>
                <w:ilvl w:val="0"/>
                <w:numId w:val="1"/>
              </w:numPr>
              <w:jc w:val="left"/>
            </w:pPr>
            <w:r>
              <w:rPr>
                <w:rFonts w:ascii="仿宋" w:hAnsi="仿宋" w:cs="仿宋" w:eastAsia="仿宋"/>
                <w:sz w:val="24"/>
              </w:rPr>
              <w:t>电子印章状态信息查询功能，可对外提供电子印章状态信息查询服务。</w:t>
            </w:r>
          </w:p>
          <w:p>
            <w:pPr>
              <w:pStyle w:val="null3"/>
              <w:numPr>
                <w:ilvl w:val="0"/>
                <w:numId w:val="1"/>
              </w:numPr>
              <w:jc w:val="left"/>
            </w:pPr>
            <w:r>
              <w:rPr>
                <w:rFonts w:ascii="仿宋" w:hAnsi="仿宋" w:cs="仿宋" w:eastAsia="仿宋"/>
                <w:sz w:val="24"/>
              </w:rPr>
              <w:t>电子印章变更、重新制作、注销功能要求：可发起电子印章变更、重新制作、注销等电子印章流程，可对需注销的电子印章进行注销备案，在相关信息系统中将电子印章状态标识为</w:t>
            </w:r>
            <w:r>
              <w:rPr>
                <w:rFonts w:ascii="仿宋" w:hAnsi="仿宋" w:cs="仿宋" w:eastAsia="仿宋"/>
                <w:sz w:val="24"/>
              </w:rPr>
              <w:t>“无效</w:t>
            </w:r>
          </w:p>
          <w:p>
            <w:pPr>
              <w:pStyle w:val="null3"/>
              <w:numPr>
                <w:ilvl w:val="0"/>
                <w:numId w:val="1"/>
              </w:numPr>
              <w:jc w:val="left"/>
            </w:pPr>
            <w:r>
              <w:rPr>
                <w:rFonts w:ascii="仿宋" w:hAnsi="仿宋" w:cs="仿宋" w:eastAsia="仿宋"/>
                <w:sz w:val="24"/>
              </w:rPr>
              <w:t>支持证书到期自动提醒及在线更新</w:t>
            </w:r>
            <w:r>
              <w:rPr>
                <w:rFonts w:ascii="仿宋" w:hAnsi="仿宋" w:cs="仿宋" w:eastAsia="仿宋"/>
                <w:sz w:val="24"/>
              </w:rPr>
              <w:t>功能。</w:t>
            </w:r>
          </w:p>
          <w:p>
            <w:pPr>
              <w:pStyle w:val="null3"/>
              <w:numPr>
                <w:ilvl w:val="0"/>
                <w:numId w:val="1"/>
              </w:numPr>
              <w:jc w:val="left"/>
            </w:pPr>
            <w:r>
              <w:rPr>
                <w:rFonts w:ascii="仿宋" w:hAnsi="仿宋" w:cs="仿宋" w:eastAsia="仿宋"/>
                <w:sz w:val="24"/>
              </w:rPr>
              <w:t>电子印章信息查询功能：提供每枚电子电子印章可查询其管理者，使用者，印章证书、所使用的信息系统等功能。</w:t>
            </w:r>
          </w:p>
          <w:p>
            <w:pPr>
              <w:pStyle w:val="null3"/>
              <w:numPr>
                <w:ilvl w:val="0"/>
                <w:numId w:val="1"/>
              </w:numPr>
              <w:jc w:val="left"/>
            </w:pPr>
            <w:r>
              <w:rPr>
                <w:rFonts w:ascii="仿宋" w:hAnsi="仿宋" w:cs="仿宋" w:eastAsia="仿宋"/>
                <w:sz w:val="24"/>
              </w:rPr>
              <w:t>支持印章有效期的设定</w:t>
            </w:r>
            <w:r>
              <w:rPr>
                <w:rFonts w:ascii="仿宋" w:hAnsi="仿宋" w:cs="仿宋" w:eastAsia="仿宋"/>
                <w:sz w:val="24"/>
              </w:rPr>
              <w:t>功能</w:t>
            </w:r>
            <w:r>
              <w:rPr>
                <w:rFonts w:ascii="仿宋" w:hAnsi="仿宋" w:cs="仿宋" w:eastAsia="仿宋"/>
                <w:sz w:val="24"/>
              </w:rPr>
              <w:t>。支持印章有效期的设定。</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电子签章功能要求</w:t>
            </w:r>
          </w:p>
        </w:tc>
        <w:tc>
          <w:tcPr>
            <w:tcW w:type="dxa" w:w="1038"/>
          </w:tcPr>
          <w:p/>
        </w:tc>
        <w:tc>
          <w:tcPr>
            <w:tcW w:type="dxa" w:w="1038"/>
          </w:tcPr>
          <w:p>
            <w:pPr>
              <w:pStyle w:val="null3"/>
              <w:numPr>
                <w:ilvl w:val="0"/>
                <w:numId w:val="1"/>
              </w:numPr>
              <w:jc w:val="left"/>
            </w:pPr>
            <w:r>
              <w:rPr>
                <w:rFonts w:ascii="仿宋" w:hAnsi="仿宋" w:cs="仿宋" w:eastAsia="仿宋"/>
                <w:sz w:val="24"/>
              </w:rPr>
              <w:t>支持在线签章、离线签章。</w:t>
            </w:r>
          </w:p>
          <w:p>
            <w:pPr>
              <w:pStyle w:val="null3"/>
              <w:numPr>
                <w:ilvl w:val="0"/>
                <w:numId w:val="1"/>
              </w:numPr>
              <w:jc w:val="left"/>
            </w:pPr>
            <w:r>
              <w:rPr>
                <w:rFonts w:ascii="仿宋" w:hAnsi="仿宋" w:cs="仿宋" w:eastAsia="仿宋"/>
                <w:sz w:val="24"/>
              </w:rPr>
              <w:t>提供标准化接口，可供其他业务系统调用。</w:t>
            </w:r>
          </w:p>
          <w:p>
            <w:pPr>
              <w:pStyle w:val="null3"/>
              <w:numPr>
                <w:ilvl w:val="0"/>
                <w:numId w:val="1"/>
              </w:numPr>
              <w:jc w:val="left"/>
            </w:pPr>
            <w:r>
              <w:rPr>
                <w:rFonts w:ascii="仿宋" w:hAnsi="仿宋" w:cs="仿宋" w:eastAsia="仿宋"/>
                <w:sz w:val="24"/>
              </w:rPr>
              <w:t>可支持</w:t>
            </w:r>
            <w:r>
              <w:rPr>
                <w:rFonts w:ascii="仿宋" w:hAnsi="仿宋" w:cs="仿宋" w:eastAsia="仿宋"/>
                <w:sz w:val="24"/>
              </w:rPr>
              <w:t>OFD、PDF格式文件的签章，并支持单页签、多页签、骑缝章等多种签章形式。</w:t>
            </w:r>
          </w:p>
          <w:p>
            <w:pPr>
              <w:pStyle w:val="null3"/>
              <w:numPr>
                <w:ilvl w:val="0"/>
                <w:numId w:val="1"/>
              </w:numPr>
              <w:jc w:val="left"/>
            </w:pPr>
            <w:r>
              <w:rPr>
                <w:rFonts w:ascii="仿宋" w:hAnsi="仿宋" w:cs="仿宋" w:eastAsia="仿宋"/>
                <w:sz w:val="24"/>
              </w:rPr>
              <w:t>可进行可视化拖拉拽盖章、定位符盖章、坐标位置盖章、关键字盖章、加盖骑缝章等多种签章</w:t>
            </w:r>
            <w:r>
              <w:rPr>
                <w:rFonts w:ascii="仿宋" w:hAnsi="仿宋" w:cs="仿宋" w:eastAsia="仿宋"/>
                <w:sz w:val="24"/>
              </w:rPr>
              <w:t>方</w:t>
            </w:r>
            <w:r>
              <w:rPr>
                <w:rFonts w:ascii="仿宋" w:hAnsi="仿宋" w:cs="仿宋" w:eastAsia="仿宋"/>
                <w:sz w:val="24"/>
              </w:rPr>
              <w:t>式。</w:t>
            </w:r>
          </w:p>
          <w:p>
            <w:pPr>
              <w:pStyle w:val="null3"/>
              <w:numPr>
                <w:ilvl w:val="0"/>
                <w:numId w:val="1"/>
              </w:numPr>
              <w:jc w:val="left"/>
            </w:pPr>
            <w:r>
              <w:rPr>
                <w:rFonts w:ascii="仿宋" w:hAnsi="仿宋" w:cs="仿宋" w:eastAsia="仿宋"/>
                <w:sz w:val="24"/>
              </w:rPr>
              <w:t>电子签章信息记录要求，需记录电子签章操作者、授权情况、操作时间、操作设备、签章的电子文件标识或杂凑值等电子签章过程信息。</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报表统计</w:t>
            </w:r>
          </w:p>
        </w:tc>
        <w:tc>
          <w:tcPr>
            <w:tcW w:type="dxa" w:w="1038"/>
          </w:tcPr>
          <w:p/>
        </w:tc>
        <w:tc>
          <w:tcPr>
            <w:tcW w:type="dxa" w:w="1038"/>
          </w:tcPr>
          <w:p>
            <w:pPr>
              <w:pStyle w:val="null3"/>
            </w:pPr>
            <w:r>
              <w:rPr>
                <w:rFonts w:ascii="仿宋" w:hAnsi="仿宋" w:cs="仿宋" w:eastAsia="仿宋"/>
                <w:sz w:val="24"/>
              </w:rPr>
              <w:t>支持多维度用印统计与印章使用情况分析</w:t>
            </w:r>
            <w:r>
              <w:rPr>
                <w:rFonts w:ascii="仿宋" w:hAnsi="仿宋" w:cs="仿宋" w:eastAsia="仿宋"/>
                <w:sz w:val="24"/>
              </w:rPr>
              <w:t>。</w:t>
            </w:r>
            <w:r>
              <w:rPr>
                <w:rFonts w:ascii="仿宋" w:hAnsi="仿宋" w:cs="仿宋" w:eastAsia="仿宋"/>
                <w:sz w:val="24"/>
              </w:rPr>
              <w:t>可按印章名称、用印人、</w:t>
            </w:r>
            <w:r>
              <w:rPr>
                <w:rFonts w:ascii="仿宋" w:hAnsi="仿宋" w:cs="仿宋" w:eastAsia="仿宋"/>
                <w:sz w:val="24"/>
              </w:rPr>
              <w:t>业务系统、</w:t>
            </w:r>
            <w:r>
              <w:rPr>
                <w:rFonts w:ascii="仿宋" w:hAnsi="仿宋" w:cs="仿宋" w:eastAsia="仿宋"/>
                <w:sz w:val="24"/>
              </w:rPr>
              <w:t>时间范围等条件筛选，并支持</w:t>
            </w:r>
            <w:r>
              <w:rPr>
                <w:rFonts w:ascii="仿宋" w:hAnsi="仿宋" w:cs="仿宋" w:eastAsia="仿宋"/>
                <w:sz w:val="24"/>
              </w:rPr>
              <w:t>文件</w:t>
            </w:r>
            <w:r>
              <w:rPr>
                <w:rFonts w:ascii="仿宋" w:hAnsi="仿宋" w:cs="仿宋" w:eastAsia="仿宋"/>
                <w:sz w:val="24"/>
              </w:rPr>
              <w:t>导出</w:t>
            </w:r>
            <w:r>
              <w:rPr>
                <w:rFonts w:ascii="仿宋" w:hAnsi="仿宋" w:cs="仿宋" w:eastAsia="仿宋"/>
                <w:sz w:val="24"/>
              </w:rPr>
              <w:t>。</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文件验证功能</w:t>
            </w:r>
          </w:p>
        </w:tc>
        <w:tc>
          <w:tcPr>
            <w:tcW w:type="dxa" w:w="1038"/>
          </w:tcPr>
          <w:p/>
        </w:tc>
        <w:tc>
          <w:tcPr>
            <w:tcW w:type="dxa" w:w="1038"/>
          </w:tcPr>
          <w:p>
            <w:pPr>
              <w:pStyle w:val="null3"/>
            </w:pPr>
            <w:r>
              <w:rPr>
                <w:rFonts w:ascii="仿宋" w:hAnsi="仿宋" w:cs="仿宋" w:eastAsia="仿宋"/>
                <w:sz w:val="24"/>
              </w:rPr>
              <w:t>针对加盖电子印章的文件提供全流程有效性核验服务，核心围绕电子印章有效期、签章行为有效性、数字证书有效性、文件签章后完整性以及用印全流程记录完整性等关键维度开展校验，可通过技术手段确认签章行为的合法授权属性、文件内容未被篡改及用印流程合规性，验证电子文件的真实性与有效性。</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管理功能</w:t>
            </w:r>
          </w:p>
        </w:tc>
        <w:tc>
          <w:tcPr>
            <w:tcW w:type="dxa" w:w="1038"/>
          </w:tcPr>
          <w:p/>
        </w:tc>
        <w:tc>
          <w:tcPr>
            <w:tcW w:type="dxa" w:w="1038"/>
          </w:tcPr>
          <w:p>
            <w:pPr>
              <w:pStyle w:val="null3"/>
              <w:numPr>
                <w:ilvl w:val="0"/>
                <w:numId w:val="1"/>
              </w:numPr>
              <w:ind w:left="30"/>
              <w:jc w:val="left"/>
            </w:pPr>
            <w:r>
              <w:rPr>
                <w:rFonts w:ascii="仿宋" w:hAnsi="仿宋" w:cs="仿宋" w:eastAsia="仿宋"/>
                <w:sz w:val="24"/>
              </w:rPr>
              <w:t>实现对系统用户信息进行管理，实现用户与角色授权关系，实现不同角色的操作权限管理，角色支持系统管理员、</w:t>
            </w:r>
            <w:r>
              <w:rPr>
                <w:rFonts w:ascii="仿宋" w:hAnsi="仿宋" w:cs="仿宋" w:eastAsia="仿宋"/>
                <w:sz w:val="24"/>
              </w:rPr>
              <w:t>印章管理员、</w:t>
            </w:r>
            <w:r>
              <w:rPr>
                <w:rFonts w:ascii="仿宋" w:hAnsi="仿宋" w:cs="仿宋" w:eastAsia="仿宋"/>
                <w:sz w:val="24"/>
              </w:rPr>
              <w:t>普通用户、审计员等。系统管理员用户用于对用户的管理，包括增加、删除、冻结等用户，用户的权限设置，用户的密码策略等；普通用户用于日常的使用；审计用户用于对应用日志的审计。用户登录时系统必须严格确认身份，包括初次登录软件页面时要重置密码，用户密码满足密码复杂度要求，定期修改密码等。</w:t>
            </w:r>
          </w:p>
          <w:p>
            <w:pPr>
              <w:pStyle w:val="null3"/>
              <w:numPr>
                <w:ilvl w:val="0"/>
                <w:numId w:val="1"/>
              </w:numPr>
              <w:ind w:left="30"/>
              <w:jc w:val="left"/>
            </w:pPr>
            <w:r>
              <w:rPr>
                <w:rFonts w:ascii="仿宋" w:hAnsi="仿宋" w:cs="仿宋" w:eastAsia="仿宋"/>
                <w:sz w:val="24"/>
              </w:rPr>
              <w:t>实现对机构的管理</w:t>
            </w:r>
            <w:r>
              <w:rPr>
                <w:rFonts w:ascii="仿宋" w:hAnsi="仿宋" w:cs="仿宋" w:eastAsia="仿宋"/>
                <w:sz w:val="24"/>
              </w:rPr>
              <w:t>,包括对机构的新增、修改、机构内用户的管理等。</w:t>
            </w:r>
          </w:p>
          <w:p>
            <w:pPr>
              <w:pStyle w:val="null3"/>
              <w:numPr>
                <w:ilvl w:val="0"/>
                <w:numId w:val="1"/>
              </w:numPr>
              <w:ind w:left="30"/>
              <w:jc w:val="left"/>
            </w:pPr>
            <w:r>
              <w:rPr>
                <w:rFonts w:ascii="仿宋" w:hAnsi="仿宋" w:cs="仿宋" w:eastAsia="仿宋"/>
                <w:sz w:val="24"/>
              </w:rPr>
              <w:t>对系统中的用户信息进行管理，功能包含新建、修改、查询、查看、删除、停用、启用、解锁、重置密码、分配角色、证书绑定等。</w:t>
            </w:r>
          </w:p>
          <w:p>
            <w:pPr>
              <w:pStyle w:val="null3"/>
              <w:numPr>
                <w:ilvl w:val="0"/>
                <w:numId w:val="1"/>
              </w:numPr>
              <w:ind w:left="30"/>
              <w:jc w:val="left"/>
            </w:pPr>
            <w:r>
              <w:rPr>
                <w:rFonts w:ascii="仿宋" w:hAnsi="仿宋" w:cs="仿宋" w:eastAsia="仿宋"/>
                <w:sz w:val="24"/>
              </w:rPr>
              <w:t>用户的业务操作功能通过角色赋予，系统对用户按照角色进行访问控制。实现对角色信息的新建、修改、查询、查看、删除、停用、启用、分配权限。</w:t>
            </w:r>
          </w:p>
          <w:p>
            <w:pPr>
              <w:pStyle w:val="null3"/>
              <w:numPr>
                <w:ilvl w:val="0"/>
                <w:numId w:val="1"/>
              </w:numPr>
              <w:ind w:left="30"/>
              <w:jc w:val="left"/>
            </w:pPr>
            <w:r>
              <w:rPr>
                <w:rFonts w:ascii="仿宋" w:hAnsi="仿宋" w:cs="仿宋" w:eastAsia="仿宋"/>
                <w:sz w:val="24"/>
              </w:rPr>
              <w:t>具备记录详细审计日志能力，包括日志采集、查询、查看、导出、自动备份等功能，提供多维度的印章使用记录查询与统计，可按印章名称、用印人、时间范围等条件筛选，并支持导出</w:t>
            </w:r>
            <w:r>
              <w:rPr>
                <w:rFonts w:ascii="仿宋" w:hAnsi="仿宋" w:cs="仿宋" w:eastAsia="仿宋"/>
                <w:sz w:val="24"/>
              </w:rPr>
              <w:t>Excel。印章日志应记录所有印章操作（申请、授权、变更、使用等），满足合规审计要求。用印日志应包括印章名称、用印人、用印时间、用印次数、签署文件等信息。各类日志应至少保存12个月。</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电子签名认证证书要求</w:t>
            </w:r>
          </w:p>
        </w:tc>
        <w:tc>
          <w:tcPr>
            <w:tcW w:type="dxa" w:w="1038"/>
          </w:tcPr>
          <w:p/>
        </w:tc>
        <w:tc>
          <w:tcPr>
            <w:tcW w:type="dxa" w:w="1038"/>
          </w:tcPr>
          <w:p>
            <w:pPr>
              <w:pStyle w:val="null3"/>
              <w:numPr>
                <w:ilvl w:val="0"/>
                <w:numId w:val="1"/>
              </w:numPr>
              <w:jc w:val="left"/>
            </w:pPr>
            <w:r>
              <w:rPr>
                <w:rFonts w:ascii="仿宋" w:hAnsi="仿宋" w:cs="仿宋" w:eastAsia="仿宋"/>
                <w:sz w:val="24"/>
              </w:rPr>
              <w:t>提供电子签名认证证书，须合法有效，符合《电子印章管理办法》第十六条要求：</w:t>
            </w:r>
            <w:r>
              <w:rPr>
                <w:rFonts w:ascii="仿宋" w:hAnsi="仿宋" w:cs="仿宋" w:eastAsia="仿宋"/>
                <w:sz w:val="24"/>
              </w:rPr>
              <w:t>“（一）电子印章的电子签名认证证书应当合法有效，由依法设立的电子政务电子认证服务机构或者电子认证服务机构签发”。</w:t>
            </w:r>
          </w:p>
          <w:p>
            <w:pPr>
              <w:pStyle w:val="null3"/>
              <w:numPr>
                <w:ilvl w:val="0"/>
                <w:numId w:val="1"/>
              </w:numPr>
              <w:jc w:val="left"/>
            </w:pPr>
            <w:r>
              <w:rPr>
                <w:rFonts w:ascii="仿宋" w:hAnsi="仿宋" w:cs="仿宋" w:eastAsia="仿宋"/>
                <w:sz w:val="24"/>
              </w:rPr>
              <w:t>须通过标准化接口无缝对接</w:t>
            </w:r>
            <w:r>
              <w:rPr>
                <w:rFonts w:ascii="仿宋" w:hAnsi="仿宋" w:cs="仿宋" w:eastAsia="仿宋"/>
                <w:sz w:val="24"/>
              </w:rPr>
              <w:t>CA证书，完成数字证书的在线申请、签发、更新、吊销等全生命周期管理。</w:t>
            </w:r>
          </w:p>
          <w:p>
            <w:pPr>
              <w:pStyle w:val="null3"/>
              <w:numPr>
                <w:ilvl w:val="0"/>
                <w:numId w:val="1"/>
              </w:numPr>
              <w:jc w:val="left"/>
            </w:pPr>
            <w:r>
              <w:rPr>
                <w:rFonts w:ascii="仿宋" w:hAnsi="仿宋" w:cs="仿宋" w:eastAsia="仿宋"/>
                <w:sz w:val="24"/>
              </w:rPr>
              <w:t>系统生成</w:t>
            </w:r>
            <w:r>
              <w:rPr>
                <w:rFonts w:ascii="仿宋" w:hAnsi="仿宋" w:cs="仿宋" w:eastAsia="仿宋"/>
                <w:sz w:val="24"/>
              </w:rPr>
              <w:t>P10证书请求文件，提交至CA审核签发后导入系统。</w:t>
            </w:r>
          </w:p>
          <w:p>
            <w:pPr>
              <w:pStyle w:val="null3"/>
              <w:numPr>
                <w:ilvl w:val="0"/>
                <w:numId w:val="1"/>
              </w:numPr>
              <w:jc w:val="left"/>
            </w:pPr>
            <w:r>
              <w:rPr>
                <w:rFonts w:ascii="仿宋" w:hAnsi="仿宋" w:cs="仿宋" w:eastAsia="仿宋"/>
                <w:sz w:val="24"/>
              </w:rPr>
              <w:t>须确保私钥全程不离开</w:t>
            </w:r>
            <w:r>
              <w:rPr>
                <w:rFonts w:ascii="仿宋" w:hAnsi="仿宋" w:cs="仿宋" w:eastAsia="仿宋"/>
                <w:sz w:val="24"/>
              </w:rPr>
              <w:t>CA环境的硬件加密设备。</w:t>
            </w:r>
          </w:p>
          <w:p>
            <w:pPr>
              <w:pStyle w:val="null3"/>
              <w:numPr>
                <w:ilvl w:val="0"/>
                <w:numId w:val="1"/>
              </w:numPr>
              <w:jc w:val="left"/>
            </w:pPr>
            <w:r>
              <w:rPr>
                <w:rFonts w:ascii="仿宋" w:hAnsi="仿宋" w:cs="仿宋" w:eastAsia="仿宋"/>
                <w:sz w:val="24"/>
              </w:rPr>
              <w:t>系统须全面支持</w:t>
            </w:r>
            <w:r>
              <w:rPr>
                <w:rFonts w:ascii="仿宋" w:hAnsi="仿宋" w:cs="仿宋" w:eastAsia="仿宋"/>
                <w:sz w:val="24"/>
              </w:rPr>
              <w:t>SM2/SM3/SM4国密算法，支持国密数字证书。</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性能要求</w:t>
            </w:r>
          </w:p>
        </w:tc>
        <w:tc>
          <w:tcPr>
            <w:tcW w:type="dxa" w:w="1038"/>
          </w:tcPr>
          <w:p/>
        </w:tc>
        <w:tc>
          <w:tcPr>
            <w:tcW w:type="dxa" w:w="1038"/>
          </w:tcPr>
          <w:p>
            <w:pPr>
              <w:pStyle w:val="null3"/>
              <w:numPr>
                <w:ilvl w:val="0"/>
                <w:numId w:val="1"/>
              </w:numPr>
              <w:jc w:val="left"/>
            </w:pPr>
            <w:r>
              <w:rPr>
                <w:rFonts w:ascii="仿宋" w:hAnsi="仿宋" w:cs="仿宋" w:eastAsia="仿宋"/>
                <w:sz w:val="24"/>
              </w:rPr>
              <w:t>支持在线用户数不低于</w:t>
            </w:r>
            <w:r>
              <w:rPr>
                <w:rFonts w:ascii="仿宋" w:hAnsi="仿宋" w:cs="仿宋" w:eastAsia="仿宋"/>
                <w:sz w:val="24"/>
              </w:rPr>
              <w:t>5000人。</w:t>
            </w:r>
          </w:p>
          <w:p>
            <w:pPr>
              <w:pStyle w:val="null3"/>
              <w:numPr>
                <w:ilvl w:val="0"/>
                <w:numId w:val="1"/>
              </w:numPr>
              <w:jc w:val="left"/>
            </w:pPr>
            <w:r>
              <w:rPr>
                <w:rFonts w:ascii="仿宋" w:hAnsi="仿宋" w:cs="仿宋" w:eastAsia="仿宋"/>
                <w:sz w:val="24"/>
              </w:rPr>
              <w:t>并发高峰期系统交互一般性操作处理或响应不超过</w:t>
            </w:r>
            <w:r>
              <w:rPr>
                <w:rFonts w:ascii="仿宋" w:hAnsi="仿宋" w:cs="仿宋" w:eastAsia="仿宋"/>
                <w:sz w:val="24"/>
              </w:rPr>
              <w:t>10秒。</w:t>
            </w:r>
          </w:p>
          <w:p>
            <w:pPr>
              <w:pStyle w:val="null3"/>
              <w:numPr>
                <w:ilvl w:val="0"/>
                <w:numId w:val="1"/>
              </w:numPr>
              <w:jc w:val="left"/>
            </w:pPr>
            <w:r>
              <w:rPr>
                <w:rFonts w:ascii="仿宋" w:hAnsi="仿宋" w:cs="仿宋" w:eastAsia="仿宋"/>
                <w:sz w:val="24"/>
              </w:rPr>
              <w:t>具备高性能处理能力，支持大文件（如</w:t>
            </w:r>
            <w:r>
              <w:rPr>
                <w:rFonts w:ascii="仿宋" w:hAnsi="仿宋" w:cs="仿宋" w:eastAsia="仿宋"/>
                <w:sz w:val="24"/>
              </w:rPr>
              <w:t>200M/500页文件）的签署，支持高并发场景（如200并发签署10M/100页文件），签署过程响应时间应在可接受范围内。</w:t>
            </w:r>
          </w:p>
          <w:p>
            <w:pPr>
              <w:pStyle w:val="null3"/>
              <w:numPr>
                <w:ilvl w:val="0"/>
                <w:numId w:val="1"/>
              </w:numPr>
              <w:jc w:val="left"/>
            </w:pPr>
            <w:r>
              <w:rPr>
                <w:rFonts w:ascii="仿宋" w:hAnsi="仿宋" w:cs="仿宋" w:eastAsia="仿宋"/>
                <w:sz w:val="24"/>
              </w:rPr>
              <w:t>支持异步处理机制，避免长时间占用连接。</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安全机制</w:t>
            </w:r>
          </w:p>
        </w:tc>
        <w:tc>
          <w:tcPr>
            <w:tcW w:type="dxa" w:w="1038"/>
          </w:tcPr>
          <w:p/>
        </w:tc>
        <w:tc>
          <w:tcPr>
            <w:tcW w:type="dxa" w:w="1038"/>
          </w:tcPr>
          <w:p>
            <w:pPr>
              <w:pStyle w:val="null3"/>
              <w:numPr>
                <w:ilvl w:val="0"/>
                <w:numId w:val="1"/>
              </w:numPr>
              <w:jc w:val="left"/>
            </w:pPr>
            <w:r>
              <w:rPr>
                <w:rFonts w:ascii="仿宋" w:hAnsi="仿宋" w:cs="仿宋" w:eastAsia="仿宋"/>
                <w:sz w:val="24"/>
              </w:rPr>
              <w:t>加密存储：为了保证系统数据的安全，系统中的敏感信息必须以加密方式存放。</w:t>
            </w:r>
          </w:p>
          <w:p>
            <w:pPr>
              <w:pStyle w:val="null3"/>
              <w:numPr>
                <w:ilvl w:val="0"/>
                <w:numId w:val="1"/>
              </w:numPr>
              <w:jc w:val="left"/>
            </w:pPr>
            <w:r>
              <w:rPr>
                <w:rFonts w:ascii="仿宋" w:hAnsi="仿宋" w:cs="仿宋" w:eastAsia="仿宋"/>
                <w:sz w:val="24"/>
              </w:rPr>
              <w:t>身份认证：用户登录时系统必须严格确认身份，</w:t>
            </w:r>
            <w:r>
              <w:rPr>
                <w:rFonts w:ascii="仿宋" w:hAnsi="仿宋" w:cs="仿宋" w:eastAsia="仿宋"/>
                <w:sz w:val="24"/>
              </w:rPr>
              <w:t>支持</w:t>
            </w:r>
            <w:r>
              <w:rPr>
                <w:rFonts w:ascii="仿宋" w:hAnsi="仿宋" w:cs="仿宋" w:eastAsia="仿宋"/>
                <w:sz w:val="24"/>
              </w:rPr>
              <w:t>通过</w:t>
            </w:r>
            <w:r>
              <w:rPr>
                <w:rFonts w:ascii="仿宋" w:hAnsi="仿宋" w:cs="仿宋" w:eastAsia="仿宋"/>
                <w:sz w:val="24"/>
              </w:rPr>
              <w:t>双因子</w:t>
            </w:r>
            <w:r>
              <w:rPr>
                <w:rFonts w:ascii="仿宋" w:hAnsi="仿宋" w:cs="仿宋" w:eastAsia="仿宋"/>
                <w:sz w:val="24"/>
              </w:rPr>
              <w:t>进行身份鉴别，用户密码采用国密算法加密存储。</w:t>
            </w:r>
          </w:p>
          <w:p>
            <w:pPr>
              <w:pStyle w:val="null3"/>
              <w:numPr>
                <w:ilvl w:val="0"/>
                <w:numId w:val="1"/>
              </w:numPr>
              <w:jc w:val="left"/>
            </w:pPr>
            <w:r>
              <w:rPr>
                <w:rFonts w:ascii="仿宋" w:hAnsi="仿宋" w:cs="仿宋" w:eastAsia="仿宋"/>
                <w:sz w:val="24"/>
              </w:rPr>
              <w:t>自动退出：当用户超过一定时间不进行操作时，系统强制用户自动退出，需由用户重新登录后方能进入系统，继续操作。</w:t>
            </w:r>
          </w:p>
          <w:p>
            <w:pPr>
              <w:pStyle w:val="null3"/>
              <w:numPr>
                <w:ilvl w:val="0"/>
                <w:numId w:val="1"/>
              </w:numPr>
              <w:jc w:val="left"/>
            </w:pPr>
            <w:r>
              <w:rPr>
                <w:rFonts w:ascii="仿宋" w:hAnsi="仿宋" w:cs="仿宋" w:eastAsia="仿宋"/>
                <w:sz w:val="24"/>
              </w:rPr>
              <w:t>认证限制：具备密码复杂度、错误次数、历史密码重复次数等多种密码策略控制能力。</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数据接口要求</w:t>
            </w:r>
          </w:p>
        </w:tc>
        <w:tc>
          <w:tcPr>
            <w:tcW w:type="dxa" w:w="1038"/>
          </w:tcPr>
          <w:p/>
        </w:tc>
        <w:tc>
          <w:tcPr>
            <w:tcW w:type="dxa" w:w="1038"/>
          </w:tcPr>
          <w:p>
            <w:pPr>
              <w:pStyle w:val="null3"/>
              <w:numPr>
                <w:ilvl w:val="0"/>
                <w:numId w:val="1"/>
              </w:numPr>
              <w:jc w:val="left"/>
            </w:pPr>
            <w:r>
              <w:rPr>
                <w:rFonts w:ascii="仿宋" w:hAnsi="仿宋" w:cs="仿宋" w:eastAsia="仿宋"/>
                <w:sz w:val="24"/>
              </w:rPr>
              <w:t>电子印章管理</w:t>
            </w:r>
            <w:r>
              <w:rPr>
                <w:rFonts w:ascii="仿宋" w:hAnsi="仿宋" w:cs="仿宋" w:eastAsia="仿宋"/>
                <w:sz w:val="24"/>
              </w:rPr>
              <w:t>单元</w:t>
            </w:r>
            <w:r>
              <w:rPr>
                <w:rFonts w:ascii="仿宋" w:hAnsi="仿宋" w:cs="仿宋" w:eastAsia="仿宋"/>
                <w:sz w:val="24"/>
              </w:rPr>
              <w:t>支持</w:t>
            </w:r>
            <w:r>
              <w:rPr>
                <w:rFonts w:ascii="仿宋" w:hAnsi="仿宋" w:cs="仿宋" w:eastAsia="仿宋"/>
                <w:sz w:val="24"/>
              </w:rPr>
              <w:t>调用用户的统一身份认证</w:t>
            </w:r>
            <w:r>
              <w:rPr>
                <w:rFonts w:ascii="仿宋" w:hAnsi="仿宋" w:cs="仿宋" w:eastAsia="仿宋"/>
                <w:sz w:val="24"/>
              </w:rPr>
              <w:t>接口</w:t>
            </w:r>
            <w:r>
              <w:rPr>
                <w:rFonts w:ascii="仿宋" w:hAnsi="仿宋" w:cs="仿宋" w:eastAsia="仿宋"/>
                <w:sz w:val="24"/>
              </w:rPr>
              <w:t>。</w:t>
            </w:r>
          </w:p>
          <w:p>
            <w:pPr>
              <w:pStyle w:val="null3"/>
              <w:numPr>
                <w:ilvl w:val="0"/>
                <w:numId w:val="1"/>
              </w:numPr>
              <w:jc w:val="left"/>
            </w:pPr>
            <w:r>
              <w:rPr>
                <w:rFonts w:ascii="仿宋" w:hAnsi="仿宋" w:cs="仿宋" w:eastAsia="仿宋"/>
                <w:sz w:val="24"/>
              </w:rPr>
              <w:t>电子印章管理</w:t>
            </w:r>
            <w:r>
              <w:rPr>
                <w:rFonts w:ascii="仿宋" w:hAnsi="仿宋" w:cs="仿宋" w:eastAsia="仿宋"/>
                <w:sz w:val="24"/>
              </w:rPr>
              <w:t>单元</w:t>
            </w:r>
            <w:r>
              <w:rPr>
                <w:rFonts w:ascii="仿宋" w:hAnsi="仿宋" w:cs="仿宋" w:eastAsia="仿宋"/>
                <w:sz w:val="24"/>
              </w:rPr>
              <w:t>支持</w:t>
            </w:r>
            <w:r>
              <w:rPr>
                <w:rFonts w:ascii="仿宋" w:hAnsi="仿宋" w:cs="仿宋" w:eastAsia="仿宋"/>
                <w:sz w:val="24"/>
              </w:rPr>
              <w:t>调用</w:t>
            </w:r>
            <w:r>
              <w:rPr>
                <w:rFonts w:ascii="仿宋" w:hAnsi="仿宋" w:cs="仿宋" w:eastAsia="仿宋"/>
                <w:sz w:val="24"/>
              </w:rPr>
              <w:t>CA系统</w:t>
            </w:r>
            <w:r>
              <w:rPr>
                <w:rFonts w:ascii="仿宋" w:hAnsi="仿宋" w:cs="仿宋" w:eastAsia="仿宋"/>
                <w:sz w:val="24"/>
              </w:rPr>
              <w:t>接口</w:t>
            </w:r>
            <w:r>
              <w:rPr>
                <w:rFonts w:ascii="仿宋" w:hAnsi="仿宋" w:cs="仿宋" w:eastAsia="仿宋"/>
                <w:sz w:val="24"/>
              </w:rPr>
              <w:t>，</w:t>
            </w:r>
            <w:r>
              <w:rPr>
                <w:rFonts w:ascii="仿宋" w:hAnsi="仿宋" w:cs="仿宋" w:eastAsia="仿宋"/>
                <w:sz w:val="24"/>
              </w:rPr>
              <w:t>实现证书签发。</w:t>
            </w:r>
          </w:p>
          <w:p>
            <w:pPr>
              <w:pStyle w:val="null3"/>
              <w:numPr>
                <w:ilvl w:val="0"/>
                <w:numId w:val="1"/>
              </w:numPr>
              <w:jc w:val="left"/>
            </w:pPr>
            <w:r>
              <w:rPr>
                <w:rFonts w:ascii="仿宋" w:hAnsi="仿宋" w:cs="仿宋" w:eastAsia="仿宋"/>
                <w:sz w:val="24"/>
              </w:rPr>
              <w:t>电子印章管理</w:t>
            </w:r>
            <w:r>
              <w:rPr>
                <w:rFonts w:ascii="仿宋" w:hAnsi="仿宋" w:cs="仿宋" w:eastAsia="仿宋"/>
                <w:sz w:val="24"/>
              </w:rPr>
              <w:t>单元</w:t>
            </w:r>
            <w:r>
              <w:rPr>
                <w:rFonts w:ascii="仿宋" w:hAnsi="仿宋" w:cs="仿宋" w:eastAsia="仿宋"/>
                <w:sz w:val="24"/>
              </w:rPr>
              <w:t>支持</w:t>
            </w:r>
            <w:r>
              <w:rPr>
                <w:rFonts w:ascii="仿宋" w:hAnsi="仿宋" w:cs="仿宋" w:eastAsia="仿宋"/>
                <w:sz w:val="24"/>
              </w:rPr>
              <w:t>调用</w:t>
            </w:r>
            <w:r>
              <w:rPr>
                <w:rFonts w:ascii="仿宋" w:hAnsi="仿宋" w:cs="仿宋" w:eastAsia="仿宋"/>
                <w:sz w:val="24"/>
              </w:rPr>
              <w:t>加密机</w:t>
            </w:r>
            <w:r>
              <w:rPr>
                <w:rFonts w:ascii="仿宋" w:hAnsi="仿宋" w:cs="仿宋" w:eastAsia="仿宋"/>
                <w:sz w:val="24"/>
              </w:rPr>
              <w:t>接口</w:t>
            </w:r>
            <w:r>
              <w:rPr>
                <w:rFonts w:ascii="仿宋" w:hAnsi="仿宋" w:cs="仿宋" w:eastAsia="仿宋"/>
                <w:sz w:val="24"/>
              </w:rPr>
              <w:t>，</w:t>
            </w:r>
            <w:r>
              <w:rPr>
                <w:rFonts w:ascii="仿宋" w:hAnsi="仿宋" w:cs="仿宋" w:eastAsia="仿宋"/>
                <w:sz w:val="24"/>
              </w:rPr>
              <w:t>实现重要数据加解密。</w:t>
            </w:r>
          </w:p>
          <w:p>
            <w:pPr>
              <w:pStyle w:val="null3"/>
              <w:numPr>
                <w:ilvl w:val="0"/>
                <w:numId w:val="1"/>
              </w:numPr>
              <w:jc w:val="left"/>
            </w:pPr>
            <w:r>
              <w:rPr>
                <w:rFonts w:ascii="仿宋" w:hAnsi="仿宋" w:cs="仿宋" w:eastAsia="仿宋"/>
                <w:sz w:val="24"/>
              </w:rPr>
              <w:t>电子印章管理</w:t>
            </w:r>
            <w:r>
              <w:rPr>
                <w:rFonts w:ascii="仿宋" w:hAnsi="仿宋" w:cs="仿宋" w:eastAsia="仿宋"/>
                <w:sz w:val="24"/>
              </w:rPr>
              <w:t>单元</w:t>
            </w:r>
            <w:r>
              <w:rPr>
                <w:rFonts w:ascii="仿宋" w:hAnsi="仿宋" w:cs="仿宋" w:eastAsia="仿宋"/>
                <w:sz w:val="24"/>
              </w:rPr>
              <w:t>支持</w:t>
            </w:r>
            <w:r>
              <w:rPr>
                <w:rFonts w:ascii="仿宋" w:hAnsi="仿宋" w:cs="仿宋" w:eastAsia="仿宋"/>
                <w:sz w:val="24"/>
              </w:rPr>
              <w:t>调用</w:t>
            </w:r>
            <w:r>
              <w:rPr>
                <w:rFonts w:ascii="仿宋" w:hAnsi="仿宋" w:cs="仿宋" w:eastAsia="仿宋"/>
                <w:sz w:val="24"/>
              </w:rPr>
              <w:t>签名验签服务器</w:t>
            </w:r>
            <w:r>
              <w:rPr>
                <w:rFonts w:ascii="仿宋" w:hAnsi="仿宋" w:cs="仿宋" w:eastAsia="仿宋"/>
                <w:sz w:val="24"/>
              </w:rPr>
              <w:t>，</w:t>
            </w:r>
            <w:r>
              <w:rPr>
                <w:rFonts w:ascii="仿宋" w:hAnsi="仿宋" w:cs="仿宋" w:eastAsia="仿宋"/>
                <w:sz w:val="24"/>
              </w:rPr>
              <w:t>实现签章、验章密钥生成、密钥管理</w:t>
            </w:r>
            <w:r>
              <w:rPr>
                <w:rFonts w:ascii="仿宋" w:hAnsi="仿宋" w:cs="仿宋" w:eastAsia="仿宋"/>
                <w:sz w:val="24"/>
              </w:rPr>
              <w:t>。</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个性化定制开发</w:t>
            </w:r>
          </w:p>
        </w:tc>
        <w:tc>
          <w:tcPr>
            <w:tcW w:type="dxa" w:w="1038"/>
          </w:tcPr>
          <w:p/>
        </w:tc>
        <w:tc>
          <w:tcPr>
            <w:tcW w:type="dxa" w:w="1038"/>
          </w:tcPr>
          <w:p>
            <w:pPr>
              <w:pStyle w:val="null3"/>
            </w:pPr>
            <w:r>
              <w:rPr>
                <w:rFonts w:ascii="仿宋" w:hAnsi="仿宋" w:cs="仿宋" w:eastAsia="仿宋"/>
                <w:sz w:val="24"/>
              </w:rPr>
              <w:t>根据用户实际需求在软件标准产品基础上进行定制开发，以满足个性化的功能要求。</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监控需求</w:t>
            </w:r>
          </w:p>
        </w:tc>
        <w:tc>
          <w:tcPr>
            <w:tcW w:type="dxa" w:w="1038"/>
          </w:tcPr>
          <w:p/>
        </w:tc>
        <w:tc>
          <w:tcPr>
            <w:tcW w:type="dxa" w:w="1038"/>
          </w:tcPr>
          <w:p>
            <w:pPr>
              <w:pStyle w:val="null3"/>
              <w:numPr>
                <w:ilvl w:val="0"/>
                <w:numId w:val="1"/>
              </w:numPr>
              <w:jc w:val="left"/>
            </w:pPr>
            <w:r>
              <w:rPr>
                <w:rFonts w:ascii="仿宋" w:hAnsi="仿宋" w:cs="仿宋" w:eastAsia="仿宋"/>
                <w:sz w:val="24"/>
              </w:rPr>
              <w:t>实现系统作业状态监控。</w:t>
            </w:r>
          </w:p>
          <w:p>
            <w:pPr>
              <w:pStyle w:val="null3"/>
              <w:numPr>
                <w:ilvl w:val="0"/>
                <w:numId w:val="1"/>
              </w:numPr>
              <w:jc w:val="left"/>
            </w:pPr>
            <w:r>
              <w:rPr>
                <w:rFonts w:ascii="仿宋" w:hAnsi="仿宋" w:cs="仿宋" w:eastAsia="仿宋"/>
                <w:sz w:val="24"/>
              </w:rPr>
              <w:t>实现用户并发、访问量、访问响应时间各状态监控。</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文档要求</w:t>
            </w:r>
          </w:p>
        </w:tc>
        <w:tc>
          <w:tcPr>
            <w:tcW w:type="dxa" w:w="1038"/>
          </w:tcPr>
          <w:p/>
        </w:tc>
        <w:tc>
          <w:tcPr>
            <w:tcW w:type="dxa" w:w="1038"/>
          </w:tcPr>
          <w:p>
            <w:pPr>
              <w:pStyle w:val="null3"/>
            </w:pPr>
            <w:r>
              <w:rPr>
                <w:rFonts w:ascii="仿宋" w:hAnsi="仿宋" w:cs="仿宋" w:eastAsia="仿宋"/>
                <w:sz w:val="24"/>
                <w:color w:val="000000"/>
              </w:rPr>
              <w:t>供应商提供文档包括但不限于：</w:t>
            </w:r>
            <w:r>
              <w:rPr>
                <w:rFonts w:ascii="仿宋" w:hAnsi="仿宋" w:cs="仿宋" w:eastAsia="仿宋"/>
                <w:sz w:val="24"/>
                <w:color w:val="000000"/>
              </w:rPr>
              <w:t>需求规格说明书</w:t>
            </w:r>
            <w:r>
              <w:rPr>
                <w:rFonts w:ascii="仿宋" w:hAnsi="仿宋" w:cs="仿宋" w:eastAsia="仿宋"/>
                <w:sz w:val="24"/>
                <w:color w:val="000000"/>
              </w:rPr>
              <w:t>、</w:t>
            </w:r>
            <w:r>
              <w:rPr>
                <w:rFonts w:ascii="仿宋" w:hAnsi="仿宋" w:cs="仿宋" w:eastAsia="仿宋"/>
                <w:sz w:val="24"/>
                <w:color w:val="000000"/>
              </w:rPr>
              <w:t>系统架构设计文档</w:t>
            </w:r>
            <w:r>
              <w:rPr>
                <w:rFonts w:ascii="仿宋" w:hAnsi="仿宋" w:cs="仿宋" w:eastAsia="仿宋"/>
                <w:sz w:val="24"/>
                <w:color w:val="000000"/>
              </w:rPr>
              <w:t>、</w:t>
            </w:r>
            <w:r>
              <w:rPr>
                <w:rFonts w:ascii="仿宋" w:hAnsi="仿宋" w:cs="仿宋" w:eastAsia="仿宋"/>
                <w:sz w:val="24"/>
                <w:color w:val="000000"/>
              </w:rPr>
              <w:t>API接口文档</w:t>
            </w:r>
            <w:r>
              <w:rPr>
                <w:rFonts w:ascii="仿宋" w:hAnsi="仿宋" w:cs="仿宋" w:eastAsia="仿宋"/>
                <w:sz w:val="24"/>
                <w:color w:val="000000"/>
              </w:rPr>
              <w:t>、</w:t>
            </w:r>
            <w:r>
              <w:rPr>
                <w:rFonts w:ascii="仿宋" w:hAnsi="仿宋" w:cs="仿宋" w:eastAsia="仿宋"/>
                <w:sz w:val="24"/>
                <w:color w:val="000000"/>
              </w:rPr>
              <w:t>详细设计文档（含数据库设计）</w:t>
            </w:r>
            <w:r>
              <w:rPr>
                <w:rFonts w:ascii="仿宋" w:hAnsi="仿宋" w:cs="仿宋" w:eastAsia="仿宋"/>
                <w:sz w:val="24"/>
                <w:color w:val="000000"/>
              </w:rPr>
              <w:t>、</w:t>
            </w:r>
            <w:r>
              <w:rPr>
                <w:rFonts w:ascii="仿宋" w:hAnsi="仿宋" w:cs="仿宋" w:eastAsia="仿宋"/>
                <w:sz w:val="24"/>
                <w:color w:val="000000"/>
              </w:rPr>
              <w:t>实施方案、</w:t>
            </w:r>
            <w:r>
              <w:rPr>
                <w:rFonts w:ascii="仿宋" w:hAnsi="仿宋" w:cs="仿宋" w:eastAsia="仿宋"/>
                <w:sz w:val="24"/>
                <w:color w:val="000000"/>
              </w:rPr>
              <w:t>用户操作手册</w:t>
            </w:r>
            <w:r>
              <w:rPr>
                <w:rFonts w:ascii="仿宋" w:hAnsi="仿宋" w:cs="仿宋" w:eastAsia="仿宋"/>
                <w:sz w:val="24"/>
                <w:color w:val="000000"/>
              </w:rPr>
              <w:t>、</w:t>
            </w:r>
            <w:r>
              <w:rPr>
                <w:rFonts w:ascii="仿宋" w:hAnsi="仿宋" w:cs="仿宋" w:eastAsia="仿宋"/>
                <w:sz w:val="24"/>
                <w:color w:val="000000"/>
              </w:rPr>
              <w:t>系统管理员手册</w:t>
            </w:r>
            <w:r>
              <w:rPr>
                <w:rFonts w:ascii="仿宋" w:hAnsi="仿宋" w:cs="仿宋" w:eastAsia="仿宋"/>
                <w:sz w:val="24"/>
                <w:color w:val="000000"/>
              </w:rPr>
              <w:t>、</w:t>
            </w:r>
            <w:r>
              <w:rPr>
                <w:rFonts w:ascii="仿宋" w:hAnsi="仿宋" w:cs="仿宋" w:eastAsia="仿宋"/>
                <w:sz w:val="24"/>
                <w:color w:val="000000"/>
              </w:rPr>
              <w:t>系统</w:t>
            </w:r>
            <w:r>
              <w:rPr>
                <w:rFonts w:ascii="仿宋" w:hAnsi="仿宋" w:cs="仿宋" w:eastAsia="仿宋"/>
                <w:sz w:val="24"/>
                <w:color w:val="000000"/>
              </w:rPr>
              <w:t>运维手册、部署手册、应急预案、</w:t>
            </w:r>
            <w:r>
              <w:rPr>
                <w:rFonts w:ascii="仿宋" w:hAnsi="仿宋" w:cs="仿宋" w:eastAsia="仿宋"/>
                <w:sz w:val="24"/>
                <w:color w:val="000000"/>
              </w:rPr>
              <w:t>测试报告</w:t>
            </w:r>
            <w:r>
              <w:rPr>
                <w:rFonts w:ascii="仿宋" w:hAnsi="仿宋" w:cs="仿宋" w:eastAsia="仿宋"/>
                <w:sz w:val="24"/>
                <w:color w:val="000000"/>
              </w:rPr>
              <w:t>、</w:t>
            </w:r>
            <w:r>
              <w:rPr>
                <w:rFonts w:ascii="仿宋" w:hAnsi="仿宋" w:cs="仿宋" w:eastAsia="仿宋"/>
                <w:sz w:val="24"/>
                <w:color w:val="000000"/>
              </w:rPr>
              <w:t>源代码安全审计报告等</w:t>
            </w:r>
            <w:r>
              <w:rPr>
                <w:rFonts w:ascii="仿宋" w:hAnsi="仿宋" w:cs="仿宋" w:eastAsia="仿宋"/>
                <w:sz w:val="24"/>
              </w:rPr>
              <w:t>。</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系统演示</w:t>
            </w:r>
          </w:p>
        </w:tc>
        <w:tc>
          <w:tcPr>
            <w:tcW w:type="dxa" w:w="1038"/>
          </w:tcPr>
          <w:p/>
        </w:tc>
        <w:tc>
          <w:tcPr>
            <w:tcW w:type="dxa" w:w="1038"/>
          </w:tcPr>
          <w:p>
            <w:pPr>
              <w:pStyle w:val="null3"/>
            </w:pPr>
            <w:r>
              <w:rPr>
                <w:rFonts w:ascii="仿宋" w:hAnsi="仿宋" w:cs="仿宋" w:eastAsia="仿宋"/>
                <w:sz w:val="24"/>
              </w:rPr>
              <w:t>投标人提供时间不超过</w:t>
            </w:r>
            <w:r>
              <w:rPr>
                <w:rFonts w:ascii="仿宋" w:hAnsi="仿宋" w:cs="仿宋" w:eastAsia="仿宋"/>
                <w:sz w:val="24"/>
              </w:rPr>
              <w:t>15分钟的demo及相关</w:t>
            </w:r>
            <w:r>
              <w:rPr>
                <w:rFonts w:ascii="仿宋" w:hAnsi="仿宋" w:cs="仿宋" w:eastAsia="仿宋"/>
                <w:sz w:val="24"/>
              </w:rPr>
              <w:t>功能</w:t>
            </w:r>
            <w:r>
              <w:rPr>
                <w:rFonts w:ascii="仿宋" w:hAnsi="仿宋" w:cs="仿宋" w:eastAsia="仿宋"/>
                <w:sz w:val="24"/>
              </w:rPr>
              <w:t>系统截图，演示所有功能设计要求的实现情况。</w:t>
            </w:r>
          </w:p>
        </w:tc>
        <w:tc>
          <w:tcPr>
            <w:tcW w:type="dxa" w:w="1038"/>
          </w:tcPr>
          <w:p>
            <w:pPr>
              <w:pStyle w:val="null3"/>
            </w:pPr>
            <w:r>
              <w:rPr/>
              <w:t>是</w:t>
            </w:r>
          </w:p>
        </w:tc>
        <w:tc>
          <w:tcPr>
            <w:tcW w:type="dxa" w:w="1038"/>
          </w:tcPr>
          <w:p>
            <w:pPr>
              <w:pStyle w:val="null3"/>
            </w:pPr>
            <w:r>
              <w:rPr/>
              <w:t>提供演示demo和与demo演示一致的系统功能清晰截图</w:t>
            </w:r>
          </w:p>
        </w:tc>
      </w:tr>
      <w:tr>
        <w:tc>
          <w:tcPr>
            <w:tcW w:type="dxa" w:w="1038"/>
          </w:tcPr>
          <w:p>
            <w:pPr>
              <w:pStyle w:val="null3"/>
            </w:pPr>
            <w:r>
              <w:rPr/>
              <w:t>16</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系统等保级别</w:t>
            </w:r>
          </w:p>
        </w:tc>
        <w:tc>
          <w:tcPr>
            <w:tcW w:type="dxa" w:w="1038"/>
          </w:tcPr>
          <w:p/>
        </w:tc>
        <w:tc>
          <w:tcPr>
            <w:tcW w:type="dxa" w:w="1038"/>
          </w:tcPr>
          <w:p>
            <w:pPr>
              <w:pStyle w:val="null3"/>
            </w:pPr>
            <w:r>
              <w:rPr>
                <w:rFonts w:ascii="仿宋" w:hAnsi="仿宋" w:cs="仿宋" w:eastAsia="仿宋"/>
                <w:sz w:val="24"/>
              </w:rPr>
              <w:t>供应商开发产品系统通过信息系统安全等级保护第三级认证，具备数据加密、访问控制、安全审计机制等安全防护措施。</w:t>
            </w:r>
          </w:p>
        </w:tc>
        <w:tc>
          <w:tcPr>
            <w:tcW w:type="dxa" w:w="1038"/>
          </w:tcPr>
          <w:p>
            <w:pPr>
              <w:pStyle w:val="null3"/>
            </w:pPr>
            <w:r>
              <w:rPr/>
              <w:t>是</w:t>
            </w:r>
          </w:p>
        </w:tc>
        <w:tc>
          <w:tcPr>
            <w:tcW w:type="dxa" w:w="1038"/>
          </w:tcPr>
          <w:p>
            <w:pPr>
              <w:pStyle w:val="null3"/>
            </w:pPr>
            <w:r>
              <w:rPr/>
              <w:t>提供加盖公章的系统等保级别认证复印件</w:t>
            </w:r>
          </w:p>
        </w:tc>
      </w:tr>
      <w:tr>
        <w:tc>
          <w:tcPr>
            <w:tcW w:type="dxa" w:w="1038"/>
          </w:tcPr>
          <w:p>
            <w:pPr>
              <w:pStyle w:val="null3"/>
            </w:pPr>
            <w:r>
              <w:rPr/>
              <w:t>17</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文件格式转换</w:t>
            </w:r>
          </w:p>
        </w:tc>
        <w:tc>
          <w:tcPr>
            <w:tcW w:type="dxa" w:w="1038"/>
          </w:tcPr>
          <w:p/>
        </w:tc>
        <w:tc>
          <w:tcPr>
            <w:tcW w:type="dxa" w:w="1038"/>
          </w:tcPr>
          <w:p>
            <w:pPr>
              <w:pStyle w:val="null3"/>
            </w:pPr>
            <w:r>
              <w:rPr>
                <w:rFonts w:ascii="仿宋" w:hAnsi="仿宋" w:cs="仿宋" w:eastAsia="仿宋"/>
                <w:sz w:val="24"/>
              </w:rPr>
              <w:t>支持</w:t>
            </w:r>
            <w:r>
              <w:rPr>
                <w:rFonts w:ascii="仿宋" w:hAnsi="仿宋" w:cs="仿宋" w:eastAsia="仿宋"/>
                <w:sz w:val="24"/>
              </w:rPr>
              <w:t>Office文件（Word、Excel等）自动转PDF/OFD后调用签章</w:t>
            </w:r>
            <w:r>
              <w:rPr>
                <w:rFonts w:ascii="仿宋" w:hAnsi="仿宋" w:cs="仿宋" w:eastAsia="仿宋"/>
                <w:sz w:val="24"/>
              </w:rPr>
              <w:t>。</w:t>
            </w:r>
          </w:p>
        </w:tc>
        <w:tc>
          <w:tcPr>
            <w:tcW w:type="dxa" w:w="1038"/>
          </w:tcPr>
          <w:p>
            <w:pPr>
              <w:pStyle w:val="null3"/>
            </w:pPr>
            <w:r>
              <w:rPr/>
              <w:t>是</w:t>
            </w:r>
          </w:p>
        </w:tc>
        <w:tc>
          <w:tcPr>
            <w:tcW w:type="dxa" w:w="1038"/>
          </w:tcPr>
          <w:p>
            <w:pPr>
              <w:pStyle w:val="null3"/>
            </w:pPr>
            <w:r>
              <w:rPr/>
              <w:t>提供加盖公章的服务承诺书</w:t>
            </w:r>
          </w:p>
        </w:tc>
      </w:tr>
      <w:tr>
        <w:tc>
          <w:tcPr>
            <w:tcW w:type="dxa" w:w="1038"/>
          </w:tcPr>
          <w:p>
            <w:pPr>
              <w:pStyle w:val="null3"/>
            </w:pPr>
            <w:r>
              <w:rPr/>
              <w:t>18</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电子印章到期提醒</w:t>
            </w:r>
          </w:p>
        </w:tc>
        <w:tc>
          <w:tcPr>
            <w:tcW w:type="dxa" w:w="1038"/>
          </w:tcPr>
          <w:p/>
        </w:tc>
        <w:tc>
          <w:tcPr>
            <w:tcW w:type="dxa" w:w="1038"/>
          </w:tcPr>
          <w:p>
            <w:pPr>
              <w:pStyle w:val="null3"/>
            </w:pPr>
            <w:r>
              <w:rPr>
                <w:rFonts w:ascii="仿宋" w:hAnsi="仿宋" w:cs="仿宋" w:eastAsia="仿宋"/>
                <w:sz w:val="24"/>
              </w:rPr>
              <w:t>支持证书到期提醒及在线更新功能，电子印章有效期的截止时间不超过电子印章所有者电子签名认证证书有效期的截止时间。</w:t>
            </w:r>
          </w:p>
        </w:tc>
        <w:tc>
          <w:tcPr>
            <w:tcW w:type="dxa" w:w="1038"/>
          </w:tcPr>
          <w:p>
            <w:pPr>
              <w:pStyle w:val="null3"/>
            </w:pPr>
            <w:r>
              <w:rPr/>
              <w:t>是</w:t>
            </w:r>
          </w:p>
        </w:tc>
        <w:tc>
          <w:tcPr>
            <w:tcW w:type="dxa" w:w="1038"/>
          </w:tcPr>
          <w:p>
            <w:pPr>
              <w:pStyle w:val="null3"/>
            </w:pPr>
            <w:r>
              <w:rPr/>
              <w:t>提供加盖公章的服务承诺书</w:t>
            </w:r>
          </w:p>
        </w:tc>
      </w:tr>
      <w:tr>
        <w:tc>
          <w:tcPr>
            <w:tcW w:type="dxa" w:w="1038"/>
          </w:tcPr>
          <w:p>
            <w:pPr>
              <w:pStyle w:val="null3"/>
            </w:pPr>
            <w:r>
              <w:rPr/>
              <w:t>19</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自动盖章</w:t>
            </w:r>
          </w:p>
        </w:tc>
        <w:tc>
          <w:tcPr>
            <w:tcW w:type="dxa" w:w="1038"/>
          </w:tcPr>
          <w:p/>
        </w:tc>
        <w:tc>
          <w:tcPr>
            <w:tcW w:type="dxa" w:w="1038"/>
          </w:tcPr>
          <w:p>
            <w:pPr>
              <w:pStyle w:val="null3"/>
            </w:pPr>
            <w:r>
              <w:rPr>
                <w:rFonts w:ascii="仿宋" w:hAnsi="仿宋" w:cs="仿宋" w:eastAsia="仿宋"/>
                <w:sz w:val="24"/>
              </w:rPr>
              <w:t>电子签章支持自动静默盖章，根据用户设置模板自动盖章。</w:t>
            </w:r>
          </w:p>
        </w:tc>
        <w:tc>
          <w:tcPr>
            <w:tcW w:type="dxa" w:w="1038"/>
          </w:tcPr>
          <w:p>
            <w:pPr>
              <w:pStyle w:val="null3"/>
            </w:pPr>
            <w:r>
              <w:rPr/>
              <w:t>是</w:t>
            </w:r>
          </w:p>
        </w:tc>
        <w:tc>
          <w:tcPr>
            <w:tcW w:type="dxa" w:w="1038"/>
          </w:tcPr>
          <w:p>
            <w:pPr>
              <w:pStyle w:val="null3"/>
            </w:pPr>
            <w:r>
              <w:rPr/>
              <w:t>提供加盖公章的服务承诺书</w:t>
            </w:r>
          </w:p>
        </w:tc>
      </w:tr>
      <w:tr>
        <w:tc>
          <w:tcPr>
            <w:tcW w:type="dxa" w:w="1038"/>
          </w:tcPr>
          <w:p>
            <w:pPr>
              <w:pStyle w:val="null3"/>
            </w:pPr>
            <w:r>
              <w:rPr/>
              <w:t>20</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部署方式</w:t>
            </w:r>
          </w:p>
        </w:tc>
        <w:tc>
          <w:tcPr>
            <w:tcW w:type="dxa" w:w="1038"/>
          </w:tcPr>
          <w:p/>
        </w:tc>
        <w:tc>
          <w:tcPr>
            <w:tcW w:type="dxa" w:w="1038"/>
          </w:tcPr>
          <w:p>
            <w:pPr>
              <w:pStyle w:val="null3"/>
            </w:pPr>
            <w:r>
              <w:rPr>
                <w:rFonts w:ascii="仿宋" w:hAnsi="仿宋" w:cs="仿宋" w:eastAsia="仿宋"/>
                <w:sz w:val="24"/>
              </w:rPr>
              <w:t>支持容器化部署。</w:t>
            </w:r>
          </w:p>
        </w:tc>
        <w:tc>
          <w:tcPr>
            <w:tcW w:type="dxa" w:w="1038"/>
          </w:tcPr>
          <w:p>
            <w:pPr>
              <w:pStyle w:val="null3"/>
            </w:pPr>
            <w:r>
              <w:rPr/>
              <w:t>是</w:t>
            </w:r>
          </w:p>
        </w:tc>
        <w:tc>
          <w:tcPr>
            <w:tcW w:type="dxa" w:w="1038"/>
          </w:tcPr>
          <w:p>
            <w:pPr>
              <w:pStyle w:val="null3"/>
            </w:pPr>
            <w:r>
              <w:rPr/>
              <w:t>提供加盖公章的服务承诺书</w:t>
            </w:r>
          </w:p>
        </w:tc>
      </w:tr>
    </w:tbl>
    <w:p>
      <w:pPr>
        <w:pStyle w:val="null3"/>
        <w:jc w:val="both"/>
      </w:pPr>
      <w:r>
        <w:rPr/>
        <w:t>本商务要求共有“★”指标7个，”#”指标7个，“▲”指标0个。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以往业绩</w:t>
            </w:r>
          </w:p>
        </w:tc>
        <w:tc>
          <w:tcPr>
            <w:tcW w:type="dxa" w:w="1038"/>
          </w:tcPr>
          <w:p/>
        </w:tc>
        <w:tc>
          <w:tcPr>
            <w:tcW w:type="dxa" w:w="1038"/>
          </w:tcPr>
          <w:p>
            <w:pPr>
              <w:pStyle w:val="null3"/>
            </w:pPr>
            <w:r>
              <w:rPr>
                <w:rFonts w:ascii="仿宋" w:hAnsi="仿宋" w:cs="仿宋" w:eastAsia="仿宋"/>
                <w:sz w:val="24"/>
              </w:rPr>
              <w:t>供应商需提供</w:t>
            </w:r>
            <w:r>
              <w:rPr>
                <w:rFonts w:ascii="仿宋" w:hAnsi="仿宋" w:cs="仿宋" w:eastAsia="仿宋"/>
                <w:sz w:val="24"/>
                <w:color w:val="000000"/>
              </w:rPr>
              <w:t>自</w:t>
            </w:r>
            <w:r>
              <w:rPr>
                <w:rFonts w:ascii="仿宋" w:hAnsi="仿宋" w:cs="仿宋" w:eastAsia="仿宋"/>
                <w:sz w:val="24"/>
                <w:color w:val="000000"/>
              </w:rPr>
              <w:t>2021年1月1日起</w:t>
            </w:r>
            <w:r>
              <w:rPr>
                <w:rFonts w:ascii="仿宋" w:hAnsi="仿宋" w:cs="仿宋" w:eastAsia="仿宋"/>
                <w:sz w:val="24"/>
              </w:rPr>
              <w:t>电子</w:t>
            </w:r>
            <w:r>
              <w:rPr>
                <w:rFonts w:ascii="仿宋" w:hAnsi="仿宋" w:cs="仿宋" w:eastAsia="仿宋"/>
                <w:sz w:val="24"/>
              </w:rPr>
              <w:t>印章平台</w:t>
            </w:r>
            <w:r>
              <w:rPr>
                <w:rFonts w:ascii="仿宋" w:hAnsi="仿宋" w:cs="仿宋" w:eastAsia="仿宋"/>
                <w:sz w:val="24"/>
              </w:rPr>
              <w:t>私有化部署</w:t>
            </w:r>
            <w:r>
              <w:rPr>
                <w:rFonts w:ascii="仿宋" w:hAnsi="仿宋" w:cs="仿宋" w:eastAsia="仿宋"/>
                <w:sz w:val="24"/>
              </w:rPr>
              <w:t>或含定制开发服务的</w:t>
            </w:r>
            <w:r>
              <w:rPr>
                <w:rFonts w:ascii="仿宋" w:hAnsi="仿宋" w:cs="仿宋" w:eastAsia="仿宋"/>
                <w:sz w:val="24"/>
              </w:rPr>
              <w:t>客户案例。</w:t>
            </w:r>
          </w:p>
        </w:tc>
        <w:tc>
          <w:tcPr>
            <w:tcW w:type="dxa" w:w="1038"/>
          </w:tcPr>
          <w:p>
            <w:pPr>
              <w:pStyle w:val="null3"/>
            </w:pPr>
            <w:r>
              <w:rPr/>
              <w:t>是</w:t>
            </w:r>
          </w:p>
        </w:tc>
        <w:tc>
          <w:tcPr>
            <w:tcW w:type="dxa" w:w="1038"/>
          </w:tcPr>
          <w:p>
            <w:pPr>
              <w:pStyle w:val="null3"/>
            </w:pPr>
            <w:r>
              <w:rPr/>
              <w:t>投标人须提供主要业绩的服务合同首页、体现服务标的（内容）关键页、金额页、合同双方签字盖章页并加盖公章等页面的复印件，不满足要求或因项目信息不全而不能体现案例情况的证明材料，不予认可。</w:t>
            </w:r>
          </w:p>
        </w:tc>
      </w:tr>
      <w:tr>
        <w:tc>
          <w:tcPr>
            <w:tcW w:type="dxa" w:w="1038"/>
          </w:tcPr>
          <w:p>
            <w:pPr>
              <w:pStyle w:val="null3"/>
            </w:pPr>
            <w:r>
              <w:rPr/>
              <w:t>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保密要求</w:t>
            </w:r>
          </w:p>
        </w:tc>
        <w:tc>
          <w:tcPr>
            <w:tcW w:type="dxa" w:w="1038"/>
          </w:tcPr>
          <w:p/>
        </w:tc>
        <w:tc>
          <w:tcPr>
            <w:tcW w:type="dxa" w:w="1038"/>
          </w:tcPr>
          <w:p>
            <w:pPr>
              <w:pStyle w:val="null3"/>
              <w:numPr>
                <w:ilvl w:val="0"/>
                <w:numId w:val="1"/>
              </w:numPr>
              <w:jc w:val="both"/>
            </w:pPr>
            <w:r>
              <w:rPr>
                <w:rFonts w:ascii="仿宋" w:hAnsi="仿宋" w:cs="仿宋" w:eastAsia="仿宋"/>
                <w:sz w:val="24"/>
              </w:rPr>
              <w:t>供应商应严守用户的秘密，不经招标人批准，不得以任何形式将招标人资料及信息带出工作现场或透露给第三方。</w:t>
            </w:r>
          </w:p>
          <w:p>
            <w:pPr>
              <w:pStyle w:val="null3"/>
              <w:numPr>
                <w:ilvl w:val="0"/>
                <w:numId w:val="1"/>
              </w:numPr>
              <w:jc w:val="both"/>
            </w:pPr>
            <w:r>
              <w:rPr>
                <w:rFonts w:ascii="仿宋" w:hAnsi="仿宋" w:cs="仿宋" w:eastAsia="仿宋"/>
                <w:sz w:val="24"/>
              </w:rPr>
              <w:t>供应商应与人民银行签订保密协议，服务人员在人民银行规定的保密期内发生泄密行为的，服务提供方应承担全部责任。</w:t>
            </w:r>
          </w:p>
        </w:tc>
        <w:tc>
          <w:tcPr>
            <w:tcW w:type="dxa" w:w="1038"/>
          </w:tcPr>
          <w:p>
            <w:pPr>
              <w:pStyle w:val="null3"/>
            </w:pPr>
            <w:r>
              <w:rPr/>
              <w:t>是</w:t>
            </w:r>
          </w:p>
        </w:tc>
        <w:tc>
          <w:tcPr>
            <w:tcW w:type="dxa" w:w="1038"/>
          </w:tcPr>
          <w:p>
            <w:pPr>
              <w:pStyle w:val="null3"/>
            </w:pPr>
            <w:r>
              <w:rPr/>
              <w:t>提供保密承诺</w:t>
            </w:r>
          </w:p>
        </w:tc>
      </w:tr>
      <w:tr>
        <w:tc>
          <w:tcPr>
            <w:tcW w:type="dxa" w:w="1038"/>
          </w:tcPr>
          <w:p>
            <w:pPr>
              <w:pStyle w:val="null3"/>
            </w:pPr>
            <w:r>
              <w:rPr/>
              <w:t>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技术支持要求</w:t>
            </w:r>
          </w:p>
        </w:tc>
        <w:tc>
          <w:tcPr>
            <w:tcW w:type="dxa" w:w="1038"/>
          </w:tcPr>
          <w:p/>
        </w:tc>
        <w:tc>
          <w:tcPr>
            <w:tcW w:type="dxa" w:w="1038"/>
          </w:tcPr>
          <w:p>
            <w:pPr>
              <w:pStyle w:val="null3"/>
              <w:numPr>
                <w:ilvl w:val="0"/>
                <w:numId w:val="1"/>
              </w:numPr>
              <w:jc w:val="both"/>
            </w:pPr>
            <w:r>
              <w:rPr>
                <w:rFonts w:ascii="仿宋" w:hAnsi="仿宋" w:cs="仿宋" w:eastAsia="仿宋"/>
                <w:sz w:val="24"/>
              </w:rPr>
              <w:t>供应商</w:t>
            </w:r>
            <w:r>
              <w:rPr>
                <w:rFonts w:ascii="仿宋" w:hAnsi="仿宋" w:cs="仿宋" w:eastAsia="仿宋"/>
                <w:sz w:val="24"/>
              </w:rPr>
              <w:t>应提供</w:t>
            </w:r>
            <w:r>
              <w:rPr>
                <w:rFonts w:ascii="仿宋" w:hAnsi="仿宋" w:cs="仿宋" w:eastAsia="仿宋"/>
                <w:sz w:val="24"/>
              </w:rPr>
              <w:t>7</w:t>
            </w:r>
            <w:r>
              <w:rPr>
                <w:rFonts w:ascii="仿宋" w:hAnsi="仿宋" w:cs="仿宋" w:eastAsia="仿宋"/>
                <w:sz w:val="24"/>
              </w:rPr>
              <w:t>×</w:t>
            </w:r>
            <w:r>
              <w:rPr>
                <w:rFonts w:ascii="仿宋" w:hAnsi="仿宋" w:cs="仿宋" w:eastAsia="仿宋"/>
                <w:sz w:val="24"/>
              </w:rPr>
              <w:t>24</w:t>
            </w:r>
            <w:r>
              <w:rPr>
                <w:rFonts w:ascii="仿宋" w:hAnsi="仿宋" w:cs="仿宋" w:eastAsia="仿宋"/>
                <w:sz w:val="24"/>
              </w:rPr>
              <w:t>小时的</w:t>
            </w:r>
            <w:r>
              <w:rPr>
                <w:rFonts w:ascii="仿宋" w:hAnsi="仿宋" w:cs="仿宋" w:eastAsia="仿宋"/>
                <w:sz w:val="24"/>
              </w:rPr>
              <w:t>电话、</w:t>
            </w:r>
            <w:r>
              <w:rPr>
                <w:rFonts w:ascii="仿宋" w:hAnsi="仿宋" w:cs="仿宋" w:eastAsia="仿宋"/>
                <w:sz w:val="24"/>
              </w:rPr>
              <w:t>电子邮件等方式的非现场技术支持服务，对人民银行总行信息系统相关的技术支持服务请求（信息咨询、故障申报）及时予以响应。</w:t>
            </w:r>
          </w:p>
          <w:p>
            <w:pPr>
              <w:pStyle w:val="null3"/>
              <w:numPr>
                <w:ilvl w:val="0"/>
                <w:numId w:val="1"/>
              </w:numPr>
              <w:jc w:val="both"/>
            </w:pPr>
            <w:r>
              <w:rPr>
                <w:rFonts w:ascii="仿宋" w:hAnsi="仿宋" w:cs="仿宋" w:eastAsia="仿宋"/>
                <w:sz w:val="24"/>
              </w:rPr>
              <w:t>在项目实施过程中</w:t>
            </w:r>
            <w:r>
              <w:rPr>
                <w:rFonts w:ascii="仿宋" w:hAnsi="仿宋" w:cs="仿宋" w:eastAsia="仿宋"/>
                <w:sz w:val="24"/>
              </w:rPr>
              <w:t>，供应商应根据用户需求安排人员</w:t>
            </w:r>
            <w:r>
              <w:rPr>
                <w:rFonts w:ascii="仿宋" w:hAnsi="仿宋" w:cs="仿宋" w:eastAsia="仿宋"/>
                <w:sz w:val="24"/>
              </w:rPr>
              <w:t>到达用户现场开展需求调研、集成部署、上线保障、问题处理等工作。</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服务承诺要求</w:t>
            </w:r>
          </w:p>
        </w:tc>
        <w:tc>
          <w:tcPr>
            <w:tcW w:type="dxa" w:w="1038"/>
          </w:tcPr>
          <w:p/>
        </w:tc>
        <w:tc>
          <w:tcPr>
            <w:tcW w:type="dxa" w:w="1038"/>
          </w:tcPr>
          <w:p>
            <w:pPr>
              <w:pStyle w:val="null3"/>
            </w:pPr>
            <w:r>
              <w:rPr>
                <w:rFonts w:ascii="仿宋" w:hAnsi="仿宋" w:cs="仿宋" w:eastAsia="仿宋"/>
                <w:sz w:val="24"/>
              </w:rPr>
              <w:t>供应商应对本项目服务情况进行承诺，包括但不限于：人员保障、服务能力、服务质量、服务进度、更新迭代、保密要求等方面。</w:t>
            </w:r>
          </w:p>
        </w:tc>
        <w:tc>
          <w:tcPr>
            <w:tcW w:type="dxa" w:w="1038"/>
          </w:tcPr>
          <w:p>
            <w:pPr>
              <w:pStyle w:val="null3"/>
            </w:pPr>
            <w:r>
              <w:rPr/>
              <w:t>是</w:t>
            </w:r>
          </w:p>
        </w:tc>
        <w:tc>
          <w:tcPr>
            <w:tcW w:type="dxa" w:w="1038"/>
          </w:tcPr>
          <w:p>
            <w:pPr>
              <w:pStyle w:val="null3"/>
            </w:pPr>
            <w:r>
              <w:rPr/>
              <w:t>提供加盖公章的服务承诺书</w:t>
            </w:r>
          </w:p>
        </w:tc>
      </w:tr>
      <w:tr>
        <w:tc>
          <w:tcPr>
            <w:tcW w:type="dxa" w:w="1038"/>
          </w:tcPr>
          <w:p>
            <w:pPr>
              <w:pStyle w:val="null3"/>
            </w:pPr>
            <w:r>
              <w:rPr/>
              <w:t>5</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投标文件编制</w:t>
            </w:r>
          </w:p>
        </w:tc>
        <w:tc>
          <w:tcPr>
            <w:tcW w:type="dxa" w:w="1038"/>
          </w:tcPr>
          <w:p/>
        </w:tc>
        <w:tc>
          <w:tcPr>
            <w:tcW w:type="dxa" w:w="1038"/>
          </w:tcPr>
          <w:p>
            <w:pPr>
              <w:pStyle w:val="null3"/>
            </w:pPr>
            <w:r>
              <w:rPr>
                <w:rFonts w:ascii="仿宋" w:hAnsi="仿宋" w:cs="仿宋" w:eastAsia="仿宋"/>
                <w:sz w:val="24"/>
              </w:rPr>
              <w:t>供应商提供的投标文件应具备有效的目录索引、页码连续无错乱、排版整齐、证书复印清晰、内容完整。</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项目团队要求</w:t>
            </w:r>
          </w:p>
        </w:tc>
        <w:tc>
          <w:tcPr>
            <w:tcW w:type="dxa" w:w="1038"/>
          </w:tcPr>
          <w:p/>
        </w:tc>
        <w:tc>
          <w:tcPr>
            <w:tcW w:type="dxa" w:w="1038"/>
          </w:tcPr>
          <w:p>
            <w:pPr>
              <w:pStyle w:val="null3"/>
              <w:numPr>
                <w:ilvl w:val="0"/>
                <w:numId w:val="1"/>
              </w:numPr>
              <w:jc w:val="both"/>
            </w:pPr>
            <w:r>
              <w:rPr>
                <w:rFonts w:ascii="仿宋" w:hAnsi="仿宋" w:cs="仿宋" w:eastAsia="仿宋"/>
                <w:sz w:val="24"/>
              </w:rPr>
              <w:t>投标人应组建稳定的项目团队，团队核心成员应具备人力资源（和）社会保障部颁发或认可的项目管理、系统运维、系统集成、软件开发、系统分析相关技术资格证书。</w:t>
            </w:r>
          </w:p>
          <w:p>
            <w:pPr>
              <w:pStyle w:val="null3"/>
              <w:numPr>
                <w:ilvl w:val="0"/>
                <w:numId w:val="1"/>
              </w:numPr>
              <w:jc w:val="both"/>
            </w:pPr>
            <w:r>
              <w:rPr>
                <w:rFonts w:ascii="仿宋" w:hAnsi="仿宋" w:cs="仿宋" w:eastAsia="仿宋"/>
                <w:sz w:val="24"/>
              </w:rPr>
              <w:t>团队核心人员应为</w:t>
            </w:r>
            <w:r>
              <w:rPr>
                <w:rFonts w:ascii="仿宋" w:hAnsi="仿宋" w:cs="仿宋" w:eastAsia="仿宋"/>
                <w:sz w:val="24"/>
              </w:rPr>
              <w:t>10人及以上（需提供社保缴纳证明并加盖公章），并应承诺服务地点在北京。</w:t>
            </w:r>
          </w:p>
          <w:p>
            <w:pPr>
              <w:pStyle w:val="null3"/>
              <w:numPr>
                <w:ilvl w:val="0"/>
                <w:numId w:val="1"/>
              </w:numPr>
              <w:jc w:val="both"/>
            </w:pPr>
            <w:r>
              <w:rPr>
                <w:rFonts w:ascii="仿宋" w:hAnsi="仿宋" w:cs="仿宋" w:eastAsia="仿宋"/>
                <w:sz w:val="24"/>
              </w:rPr>
              <w:t>项目经理需有</w:t>
            </w:r>
            <w:r>
              <w:rPr>
                <w:rFonts w:ascii="仿宋" w:hAnsi="仿宋" w:cs="仿宋" w:eastAsia="仿宋"/>
                <w:sz w:val="24"/>
              </w:rPr>
              <w:t>3年及以上项目开发管理经验。</w:t>
            </w:r>
          </w:p>
          <w:p>
            <w:pPr>
              <w:pStyle w:val="null3"/>
              <w:numPr>
                <w:ilvl w:val="0"/>
                <w:numId w:val="1"/>
              </w:numPr>
              <w:jc w:val="both"/>
            </w:pPr>
            <w:r>
              <w:rPr>
                <w:rFonts w:ascii="仿宋" w:hAnsi="仿宋" w:cs="仿宋" w:eastAsia="仿宋"/>
                <w:sz w:val="24"/>
              </w:rPr>
              <w:t>投标人应制定完备、专业的项目管理措施（包括但不限于项目进度管理、质量管理、风险管理、成本管理、人员管理、缺陷管理等）。</w:t>
            </w:r>
          </w:p>
        </w:tc>
        <w:tc>
          <w:tcPr>
            <w:tcW w:type="dxa" w:w="1038"/>
          </w:tcPr>
          <w:p>
            <w:pPr>
              <w:pStyle w:val="null3"/>
            </w:pPr>
            <w:r>
              <w:rPr/>
              <w:t>是</w:t>
            </w:r>
          </w:p>
        </w:tc>
        <w:tc>
          <w:tcPr>
            <w:tcW w:type="dxa" w:w="1038"/>
          </w:tcPr>
          <w:p>
            <w:pPr>
              <w:pStyle w:val="null3"/>
            </w:pPr>
            <w:r>
              <w:rPr/>
              <w:t>提供团队人员社保缴纳证明、简历及学历证书复印件、相关资质证书复印件并加盖公章。 2.提供常驻北京成员的承诺书并加盖公章，并在承诺书中明确常驻人员（如有）</w:t>
            </w:r>
          </w:p>
        </w:tc>
      </w:tr>
      <w:tr>
        <w:tc>
          <w:tcPr>
            <w:tcW w:type="dxa" w:w="1038"/>
          </w:tcPr>
          <w:p>
            <w:pPr>
              <w:pStyle w:val="null3"/>
            </w:pPr>
            <w:r>
              <w:rPr/>
              <w:t>7</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技术方案</w:t>
            </w:r>
          </w:p>
        </w:tc>
        <w:tc>
          <w:tcPr>
            <w:tcW w:type="dxa" w:w="1038"/>
          </w:tcPr>
          <w:p/>
        </w:tc>
        <w:tc>
          <w:tcPr>
            <w:tcW w:type="dxa" w:w="1038"/>
          </w:tcPr>
          <w:p>
            <w:pPr>
              <w:pStyle w:val="null3"/>
            </w:pPr>
            <w:r>
              <w:rPr>
                <w:rFonts w:ascii="仿宋" w:hAnsi="仿宋" w:cs="仿宋" w:eastAsia="仿宋"/>
                <w:sz w:val="24"/>
              </w:rPr>
              <w:t>供应商需对项目需求充分理解，对照技术要求充分阐述，对关键点的分析能完全覆盖需求要求。</w:t>
            </w:r>
          </w:p>
        </w:tc>
        <w:tc>
          <w:tcPr>
            <w:tcW w:type="dxa" w:w="1038"/>
          </w:tcPr>
          <w:p>
            <w:pPr>
              <w:pStyle w:val="null3"/>
            </w:pPr>
            <w:r>
              <w:rPr/>
              <w:t>是</w:t>
            </w:r>
          </w:p>
        </w:tc>
        <w:tc>
          <w:tcPr>
            <w:tcW w:type="dxa" w:w="1038"/>
          </w:tcPr>
          <w:p>
            <w:pPr>
              <w:pStyle w:val="null3"/>
            </w:pPr>
            <w:r>
              <w:rPr/>
              <w:t>提供技术方案</w:t>
            </w:r>
          </w:p>
        </w:tc>
      </w:tr>
      <w:tr>
        <w:tc>
          <w:tcPr>
            <w:tcW w:type="dxa" w:w="1038"/>
          </w:tcPr>
          <w:p>
            <w:pPr>
              <w:pStyle w:val="null3"/>
            </w:pPr>
            <w:r>
              <w:rPr/>
              <w:t>8</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服务方案</w:t>
            </w:r>
          </w:p>
        </w:tc>
        <w:tc>
          <w:tcPr>
            <w:tcW w:type="dxa" w:w="1038"/>
          </w:tcPr>
          <w:p/>
        </w:tc>
        <w:tc>
          <w:tcPr>
            <w:tcW w:type="dxa" w:w="1038"/>
          </w:tcPr>
          <w:p>
            <w:pPr>
              <w:pStyle w:val="null3"/>
            </w:pPr>
            <w:r>
              <w:rPr>
                <w:rFonts w:ascii="仿宋" w:hAnsi="仿宋" w:cs="仿宋" w:eastAsia="仿宋"/>
                <w:sz w:val="24"/>
              </w:rPr>
              <w:t>供应商需提供完整的服务方案，内容包括总体目标、项目进度安排、质量保障方案、本项目的重点及难点解析、维保服务方案等。</w:t>
            </w:r>
          </w:p>
        </w:tc>
        <w:tc>
          <w:tcPr>
            <w:tcW w:type="dxa" w:w="1038"/>
          </w:tcPr>
          <w:p>
            <w:pPr>
              <w:pStyle w:val="null3"/>
            </w:pPr>
            <w:r>
              <w:rPr/>
              <w:t>是</w:t>
            </w:r>
          </w:p>
        </w:tc>
        <w:tc>
          <w:tcPr>
            <w:tcW w:type="dxa" w:w="1038"/>
          </w:tcPr>
          <w:p>
            <w:pPr>
              <w:pStyle w:val="null3"/>
            </w:pPr>
            <w:r>
              <w:rPr/>
              <w:t>提供服务方案</w:t>
            </w:r>
          </w:p>
        </w:tc>
      </w:tr>
      <w:tr>
        <w:tc>
          <w:tcPr>
            <w:tcW w:type="dxa" w:w="1038"/>
          </w:tcPr>
          <w:p>
            <w:pPr>
              <w:pStyle w:val="null3"/>
            </w:pPr>
            <w:r>
              <w:rPr/>
              <w:t>9</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应急预案</w:t>
            </w:r>
          </w:p>
        </w:tc>
        <w:tc>
          <w:tcPr>
            <w:tcW w:type="dxa" w:w="1038"/>
          </w:tcPr>
          <w:p/>
        </w:tc>
        <w:tc>
          <w:tcPr>
            <w:tcW w:type="dxa" w:w="1038"/>
          </w:tcPr>
          <w:p>
            <w:pPr>
              <w:pStyle w:val="null3"/>
            </w:pPr>
            <w:r>
              <w:rPr>
                <w:rFonts w:ascii="仿宋" w:hAnsi="仿宋" w:cs="仿宋" w:eastAsia="仿宋"/>
                <w:sz w:val="24"/>
              </w:rPr>
              <w:t>供应商需提供完备的应急措施方案，内容包括项目风险预测、风险识别与评估、应急预案制定与更新、技术和人员保障等。</w:t>
            </w:r>
          </w:p>
        </w:tc>
        <w:tc>
          <w:tcPr>
            <w:tcW w:type="dxa" w:w="1038"/>
          </w:tcPr>
          <w:p>
            <w:pPr>
              <w:pStyle w:val="null3"/>
            </w:pPr>
            <w:r>
              <w:rPr/>
              <w:t>是</w:t>
            </w:r>
          </w:p>
        </w:tc>
        <w:tc>
          <w:tcPr>
            <w:tcW w:type="dxa" w:w="1038"/>
          </w:tcPr>
          <w:p>
            <w:pPr>
              <w:pStyle w:val="null3"/>
            </w:pPr>
            <w:r>
              <w:rPr/>
              <w:t>提供应急预案</w:t>
            </w:r>
          </w:p>
        </w:tc>
      </w:tr>
      <w:tr>
        <w:tc>
          <w:tcPr>
            <w:tcW w:type="dxa" w:w="1038"/>
          </w:tcPr>
          <w:p>
            <w:pPr>
              <w:pStyle w:val="null3"/>
            </w:pPr>
            <w:r>
              <w:rPr/>
              <w:t>10</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保密方案</w:t>
            </w:r>
          </w:p>
        </w:tc>
        <w:tc>
          <w:tcPr>
            <w:tcW w:type="dxa" w:w="1038"/>
          </w:tcPr>
          <w:p/>
        </w:tc>
        <w:tc>
          <w:tcPr>
            <w:tcW w:type="dxa" w:w="1038"/>
          </w:tcPr>
          <w:p>
            <w:pPr>
              <w:pStyle w:val="null3"/>
            </w:pPr>
            <w:r>
              <w:rPr>
                <w:rFonts w:ascii="仿宋" w:hAnsi="仿宋" w:cs="仿宋" w:eastAsia="仿宋"/>
                <w:sz w:val="24"/>
              </w:rPr>
              <w:t>供应商需提供针对本项目的保密方案，内容包括保密管理体系建设、人员保密制度建设、数据安全管理、泄密惩罚制度等。</w:t>
            </w:r>
          </w:p>
        </w:tc>
        <w:tc>
          <w:tcPr>
            <w:tcW w:type="dxa" w:w="1038"/>
          </w:tcPr>
          <w:p>
            <w:pPr>
              <w:pStyle w:val="null3"/>
            </w:pPr>
            <w:r>
              <w:rPr/>
              <w:t>是</w:t>
            </w:r>
          </w:p>
        </w:tc>
        <w:tc>
          <w:tcPr>
            <w:tcW w:type="dxa" w:w="1038"/>
          </w:tcPr>
          <w:p>
            <w:pPr>
              <w:pStyle w:val="null3"/>
            </w:pPr>
            <w:r>
              <w:rPr/>
              <w:t>提供保密方案</w:t>
            </w:r>
          </w:p>
        </w:tc>
      </w:tr>
      <w:tr>
        <w:tc>
          <w:tcPr>
            <w:tcW w:type="dxa" w:w="1038"/>
          </w:tcPr>
          <w:p>
            <w:pPr>
              <w:pStyle w:val="null3"/>
            </w:pPr>
            <w:r>
              <w:rPr/>
              <w:t>11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培训要求</w:t>
            </w:r>
          </w:p>
        </w:tc>
        <w:tc>
          <w:tcPr>
            <w:tcW w:type="dxa" w:w="1038"/>
          </w:tcPr>
          <w:p/>
        </w:tc>
        <w:tc>
          <w:tcPr>
            <w:tcW w:type="dxa" w:w="1038"/>
          </w:tcPr>
          <w:p>
            <w:pPr>
              <w:pStyle w:val="null3"/>
            </w:pPr>
            <w:r>
              <w:rPr>
                <w:rFonts w:ascii="仿宋" w:hAnsi="仿宋" w:cs="仿宋" w:eastAsia="仿宋"/>
                <w:sz w:val="24"/>
              </w:rPr>
              <w:t>供应商需按照用户要求提供技术培训和业务培训服务，根据用户要求到达指定地点，培训内容包括但不限于：软件安装部署、运行维护、常见问题处理、软件使用操作等，若产生的培训相关费用由供应商承担。</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投产支持服务</w:t>
            </w:r>
          </w:p>
        </w:tc>
        <w:tc>
          <w:tcPr>
            <w:tcW w:type="dxa" w:w="1038"/>
          </w:tcPr>
          <w:p/>
        </w:tc>
        <w:tc>
          <w:tcPr>
            <w:tcW w:type="dxa" w:w="1038"/>
          </w:tcPr>
          <w:p>
            <w:pPr>
              <w:pStyle w:val="null3"/>
              <w:numPr>
                <w:ilvl w:val="0"/>
                <w:numId w:val="1"/>
              </w:numPr>
              <w:jc w:val="both"/>
            </w:pPr>
            <w:r>
              <w:rPr>
                <w:rFonts w:ascii="仿宋" w:hAnsi="仿宋" w:cs="仿宋" w:eastAsia="仿宋"/>
                <w:sz w:val="24"/>
              </w:rPr>
              <w:t>供应商应安排人员到用户现场开展投产上线期间的保障支持，解决系统上线前的所有问题。</w:t>
            </w:r>
          </w:p>
          <w:p>
            <w:pPr>
              <w:pStyle w:val="null3"/>
              <w:numPr>
                <w:ilvl w:val="0"/>
                <w:numId w:val="1"/>
              </w:numPr>
              <w:jc w:val="both"/>
            </w:pPr>
            <w:r>
              <w:rPr>
                <w:rFonts w:ascii="仿宋" w:hAnsi="仿宋" w:cs="仿宋" w:eastAsia="仿宋"/>
                <w:sz w:val="24"/>
              </w:rPr>
              <w:t>根据系统投产前的漏洞扫描、渗透测试、安全检查等各类安全测试结果及系统网络安全等级保护测评结果，就系统发现的相关安全问题及时整改，保证系统安全。</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维保服务</w:t>
            </w:r>
          </w:p>
        </w:tc>
        <w:tc>
          <w:tcPr>
            <w:tcW w:type="dxa" w:w="1038"/>
          </w:tcPr>
          <w:p/>
        </w:tc>
        <w:tc>
          <w:tcPr>
            <w:tcW w:type="dxa" w:w="1038"/>
          </w:tcPr>
          <w:p>
            <w:pPr>
              <w:pStyle w:val="null3"/>
              <w:jc w:val="both"/>
            </w:pPr>
            <w:r>
              <w:rPr>
                <w:rFonts w:ascii="仿宋" w:hAnsi="仿宋" w:cs="仿宋" w:eastAsia="仿宋"/>
                <w:sz w:val="24"/>
                <w:color w:val="000000"/>
              </w:rPr>
              <w:t>提供自通过终验之日起</w:t>
            </w:r>
            <w:r>
              <w:rPr>
                <w:rFonts w:ascii="仿宋" w:hAnsi="仿宋" w:cs="仿宋" w:eastAsia="仿宋"/>
                <w:sz w:val="24"/>
                <w:color w:val="000000"/>
              </w:rPr>
              <w:t>1年7×24小时技术支持服务</w:t>
            </w:r>
            <w:r>
              <w:rPr>
                <w:rFonts w:ascii="仿宋" w:hAnsi="仿宋" w:cs="仿宋" w:eastAsia="仿宋"/>
                <w:sz w:val="24"/>
                <w:color w:val="000000"/>
              </w:rPr>
              <w:t>，</w:t>
            </w:r>
            <w:r>
              <w:rPr>
                <w:rFonts w:ascii="仿宋" w:hAnsi="仿宋" w:cs="仿宋" w:eastAsia="仿宋"/>
                <w:sz w:val="24"/>
                <w:color w:val="000000"/>
              </w:rPr>
              <w:t>包括但不限于：</w:t>
            </w:r>
          </w:p>
          <w:p>
            <w:pPr>
              <w:pStyle w:val="null3"/>
              <w:jc w:val="both"/>
            </w:pPr>
            <w:r>
              <w:rPr>
                <w:rFonts w:ascii="仿宋" w:hAnsi="仿宋" w:cs="仿宋" w:eastAsia="仿宋"/>
                <w:sz w:val="24"/>
                <w:color w:val="000000"/>
              </w:rPr>
              <w:t>1、技术支持服务</w:t>
            </w:r>
          </w:p>
          <w:p>
            <w:pPr>
              <w:pStyle w:val="null3"/>
              <w:numPr>
                <w:ilvl w:val="0"/>
                <w:numId w:val="1"/>
              </w:numPr>
              <w:jc w:val="both"/>
            </w:pPr>
            <w:r>
              <w:rPr>
                <w:rFonts w:ascii="仿宋" w:hAnsi="仿宋" w:cs="仿宋" w:eastAsia="仿宋"/>
                <w:sz w:val="24"/>
                <w:color w:val="000000"/>
              </w:rPr>
              <w:t>系统运行过程中，如果发生故障，供应商需启动公司的多层技术资源支持，协助用户排查问题，直到问题最终获得妥善处理。</w:t>
            </w:r>
          </w:p>
          <w:p>
            <w:pPr>
              <w:pStyle w:val="null3"/>
              <w:numPr>
                <w:ilvl w:val="0"/>
                <w:numId w:val="1"/>
              </w:numPr>
              <w:jc w:val="both"/>
            </w:pPr>
            <w:r>
              <w:rPr>
                <w:rFonts w:ascii="仿宋" w:hAnsi="仿宋" w:cs="仿宋" w:eastAsia="仿宋"/>
                <w:sz w:val="24"/>
                <w:color w:val="000000"/>
              </w:rPr>
              <w:t>故障处理完成后</w:t>
            </w:r>
            <w:r>
              <w:rPr>
                <w:rFonts w:ascii="仿宋" w:hAnsi="仿宋" w:cs="仿宋" w:eastAsia="仿宋"/>
                <w:sz w:val="24"/>
                <w:color w:val="000000"/>
              </w:rPr>
              <w:t>2个工作日内，需提供故障处置报告。</w:t>
            </w:r>
          </w:p>
          <w:p>
            <w:pPr>
              <w:pStyle w:val="null3"/>
              <w:numPr>
                <w:ilvl w:val="0"/>
                <w:numId w:val="1"/>
              </w:numPr>
              <w:jc w:val="both"/>
            </w:pPr>
            <w:r>
              <w:rPr>
                <w:rFonts w:ascii="仿宋" w:hAnsi="仿宋" w:cs="仿宋" w:eastAsia="仿宋"/>
                <w:sz w:val="24"/>
                <w:color w:val="000000"/>
              </w:rPr>
              <w:t>供应商</w:t>
            </w:r>
            <w:r>
              <w:rPr>
                <w:rFonts w:ascii="仿宋" w:hAnsi="仿宋" w:cs="仿宋" w:eastAsia="仿宋"/>
                <w:sz w:val="24"/>
                <w:color w:val="000000"/>
              </w:rPr>
              <w:t>需</w:t>
            </w:r>
            <w:r>
              <w:rPr>
                <w:rFonts w:ascii="仿宋" w:hAnsi="仿宋" w:cs="仿宋" w:eastAsia="仿宋"/>
                <w:sz w:val="24"/>
                <w:color w:val="000000"/>
              </w:rPr>
              <w:t>协助用户进行问题定位，就解决问题所需相关系统信息的收集方法，指导用户的技术人员。</w:t>
            </w:r>
          </w:p>
          <w:p>
            <w:pPr>
              <w:pStyle w:val="null3"/>
              <w:numPr>
                <w:ilvl w:val="0"/>
                <w:numId w:val="1"/>
              </w:numPr>
              <w:jc w:val="both"/>
            </w:pPr>
            <w:r>
              <w:rPr>
                <w:rFonts w:ascii="仿宋" w:hAnsi="仿宋" w:cs="仿宋" w:eastAsia="仿宋"/>
                <w:sz w:val="24"/>
                <w:color w:val="000000"/>
              </w:rPr>
              <w:t>供应商需帮助用户进行问题根源的分析和诊断，提出解决问题的建议方案。</w:t>
            </w:r>
          </w:p>
          <w:p>
            <w:pPr>
              <w:pStyle w:val="null3"/>
              <w:numPr>
                <w:ilvl w:val="0"/>
                <w:numId w:val="1"/>
              </w:numPr>
              <w:jc w:val="both"/>
            </w:pPr>
            <w:r>
              <w:rPr>
                <w:rFonts w:ascii="仿宋" w:hAnsi="仿宋" w:cs="仿宋" w:eastAsia="仿宋"/>
                <w:sz w:val="24"/>
                <w:color w:val="000000"/>
              </w:rPr>
              <w:t>对于曾发生过的重大技术问题，供应商应及时与用户进行交流，跟踪问题的进展。</w:t>
            </w:r>
          </w:p>
          <w:p>
            <w:pPr>
              <w:pStyle w:val="null3"/>
              <w:numPr>
                <w:ilvl w:val="0"/>
                <w:numId w:val="1"/>
              </w:numPr>
              <w:jc w:val="both"/>
            </w:pPr>
            <w:r>
              <w:rPr>
                <w:rFonts w:ascii="仿宋" w:hAnsi="仿宋" w:cs="仿宋" w:eastAsia="仿宋"/>
                <w:sz w:val="24"/>
                <w:color w:val="000000"/>
              </w:rPr>
              <w:t>对于需要与其他厂商配合提出解决方案的需求，供应商须在规定的时间内提出方案建议，并保证用户的应用要求。</w:t>
            </w:r>
          </w:p>
          <w:p>
            <w:pPr>
              <w:pStyle w:val="null3"/>
              <w:numPr>
                <w:ilvl w:val="0"/>
                <w:numId w:val="1"/>
              </w:numPr>
              <w:jc w:val="both"/>
            </w:pPr>
            <w:r>
              <w:rPr>
                <w:rFonts w:ascii="仿宋" w:hAnsi="仿宋" w:cs="仿宋" w:eastAsia="仿宋"/>
                <w:sz w:val="24"/>
                <w:color w:val="000000"/>
              </w:rPr>
              <w:t>供应商须提供在指定软硬件环境上安装产品运行必需的其他软件（含应用系统）、硬件（含配件）的技术支持服务，并配合完成产品与相关软件（含应用系统）、硬件（含配件）的集成。</w:t>
            </w:r>
          </w:p>
          <w:p>
            <w:pPr>
              <w:pStyle w:val="null3"/>
              <w:numPr>
                <w:ilvl w:val="0"/>
                <w:numId w:val="1"/>
              </w:numPr>
              <w:jc w:val="both"/>
            </w:pPr>
            <w:r>
              <w:rPr>
                <w:rFonts w:ascii="仿宋" w:hAnsi="仿宋" w:cs="仿宋" w:eastAsia="仿宋"/>
                <w:sz w:val="24"/>
                <w:color w:val="000000"/>
              </w:rPr>
              <w:t>供应商应组织技术支持专家会与用户详细讨论技术支持方案，为用户制定完全支持用户实际业务的服务计划。</w:t>
            </w:r>
          </w:p>
          <w:p>
            <w:pPr>
              <w:pStyle w:val="null3"/>
              <w:numPr>
                <w:ilvl w:val="0"/>
                <w:numId w:val="1"/>
              </w:numPr>
              <w:jc w:val="both"/>
            </w:pPr>
            <w:r>
              <w:rPr>
                <w:rFonts w:ascii="仿宋" w:hAnsi="仿宋" w:cs="仿宋" w:eastAsia="仿宋"/>
                <w:sz w:val="24"/>
                <w:color w:val="000000"/>
              </w:rPr>
              <w:t>不定期</w:t>
            </w:r>
            <w:r>
              <w:rPr>
                <w:rFonts w:ascii="仿宋" w:hAnsi="仿宋" w:cs="仿宋" w:eastAsia="仿宋"/>
                <w:sz w:val="24"/>
                <w:color w:val="000000"/>
              </w:rPr>
              <w:t>地</w:t>
            </w:r>
            <w:r>
              <w:rPr>
                <w:rFonts w:ascii="仿宋" w:hAnsi="仿宋" w:cs="仿宋" w:eastAsia="仿宋"/>
                <w:sz w:val="24"/>
                <w:color w:val="000000"/>
              </w:rPr>
              <w:t>组织向用户管理人员、技术人员提供技术交流，包括产品的运行管理、操作、维护、故障分析处理等内容。</w:t>
            </w:r>
          </w:p>
          <w:p>
            <w:pPr>
              <w:pStyle w:val="null3"/>
              <w:numPr>
                <w:ilvl w:val="0"/>
                <w:numId w:val="1"/>
              </w:numPr>
              <w:jc w:val="both"/>
            </w:pPr>
            <w:r>
              <w:rPr>
                <w:rFonts w:ascii="仿宋" w:hAnsi="仿宋" w:cs="仿宋" w:eastAsia="仿宋"/>
                <w:sz w:val="24"/>
                <w:color w:val="000000"/>
              </w:rPr>
              <w:t>技术支持服务以远程支持方式为主，如遇在规定时间内远程支持无法解决问题时，需派技术工程师以现场方式提供支持</w:t>
            </w:r>
            <w:r>
              <w:rPr>
                <w:rFonts w:ascii="仿宋" w:hAnsi="仿宋" w:cs="仿宋" w:eastAsia="仿宋"/>
                <w:sz w:val="24"/>
                <w:color w:val="000000"/>
              </w:rPr>
              <w:t>。</w:t>
            </w:r>
          </w:p>
          <w:p>
            <w:pPr>
              <w:pStyle w:val="null3"/>
              <w:jc w:val="both"/>
            </w:pPr>
            <w:r>
              <w:rPr>
                <w:rFonts w:ascii="仿宋" w:hAnsi="仿宋" w:cs="仿宋" w:eastAsia="仿宋"/>
                <w:sz w:val="24"/>
                <w:color w:val="000000"/>
              </w:rPr>
              <w:t>2、系统优化服务</w:t>
            </w:r>
          </w:p>
          <w:p>
            <w:pPr>
              <w:pStyle w:val="null3"/>
              <w:numPr>
                <w:ilvl w:val="0"/>
                <w:numId w:val="1"/>
              </w:numPr>
              <w:jc w:val="both"/>
            </w:pPr>
            <w:r>
              <w:rPr>
                <w:rFonts w:ascii="仿宋" w:hAnsi="仿宋" w:cs="仿宋" w:eastAsia="仿宋"/>
                <w:sz w:val="24"/>
                <w:color w:val="000000"/>
              </w:rPr>
              <w:t>根据安全规范、安全评测等指导意见，合理优化完善系统。</w:t>
            </w:r>
          </w:p>
          <w:p>
            <w:pPr>
              <w:pStyle w:val="null3"/>
              <w:numPr>
                <w:ilvl w:val="0"/>
                <w:numId w:val="1"/>
              </w:numPr>
              <w:jc w:val="both"/>
            </w:pPr>
            <w:r>
              <w:rPr>
                <w:rFonts w:ascii="仿宋" w:hAnsi="仿宋" w:cs="仿宋" w:eastAsia="仿宋"/>
                <w:sz w:val="24"/>
                <w:color w:val="000000"/>
              </w:rPr>
              <w:t>根据双方协商适时完善优化系统现有功能。</w:t>
            </w:r>
          </w:p>
          <w:p>
            <w:pPr>
              <w:pStyle w:val="null3"/>
              <w:numPr>
                <w:ilvl w:val="0"/>
                <w:numId w:val="1"/>
              </w:numPr>
              <w:jc w:val="both"/>
            </w:pPr>
            <w:r>
              <w:rPr>
                <w:rFonts w:ascii="仿宋" w:hAnsi="仿宋" w:cs="仿宋" w:eastAsia="仿宋"/>
                <w:sz w:val="24"/>
                <w:color w:val="000000"/>
              </w:rPr>
              <w:t>供应商应做好源代码安全保护，配合用户做好供应链安全管理，如发现产品安全漏洞，应及时通知用户并提供漏洞整改方案。</w:t>
            </w:r>
          </w:p>
          <w:p>
            <w:pPr>
              <w:pStyle w:val="null3"/>
              <w:numPr>
                <w:ilvl w:val="0"/>
                <w:numId w:val="1"/>
              </w:numPr>
              <w:jc w:val="both"/>
            </w:pPr>
            <w:r>
              <w:rPr>
                <w:rFonts w:ascii="仿宋" w:hAnsi="仿宋" w:cs="仿宋" w:eastAsia="仿宋"/>
                <w:sz w:val="24"/>
                <w:color w:val="000000"/>
              </w:rPr>
              <w:t>供应商应把测试稳定的版本、说明文档（如补丁说明、新增功能说明、对应用的影响说明等文档）分发给用户。</w:t>
            </w:r>
          </w:p>
          <w:p>
            <w:pPr>
              <w:pStyle w:val="null3"/>
              <w:numPr>
                <w:ilvl w:val="0"/>
                <w:numId w:val="1"/>
              </w:numPr>
              <w:jc w:val="both"/>
            </w:pPr>
            <w:r>
              <w:rPr>
                <w:rFonts w:ascii="仿宋" w:hAnsi="仿宋" w:cs="仿宋" w:eastAsia="仿宋"/>
                <w:sz w:val="24"/>
                <w:color w:val="000000"/>
              </w:rPr>
              <w:t>供应商应到用户现场协助用户进行升级的测试、安装、调试，保证系统稳定正常运行。</w:t>
            </w:r>
          </w:p>
          <w:p>
            <w:pPr>
              <w:pStyle w:val="null3"/>
              <w:jc w:val="both"/>
            </w:pPr>
            <w:r>
              <w:rPr>
                <w:rFonts w:ascii="仿宋" w:hAnsi="仿宋" w:cs="仿宋" w:eastAsia="仿宋"/>
                <w:sz w:val="24"/>
                <w:color w:val="000000"/>
              </w:rPr>
              <w:t>3、软件版本升级服务</w:t>
            </w:r>
          </w:p>
          <w:p>
            <w:pPr>
              <w:pStyle w:val="null3"/>
              <w:jc w:val="both"/>
            </w:pPr>
            <w:r>
              <w:rPr>
                <w:rFonts w:ascii="仿宋" w:hAnsi="仿宋" w:cs="仿宋" w:eastAsia="仿宋"/>
                <w:sz w:val="24"/>
                <w:color w:val="000000"/>
              </w:rPr>
              <w:t>供应商应免费提供软件小版本升级补丁和升级支持服务。</w:t>
            </w:r>
          </w:p>
          <w:p>
            <w:pPr>
              <w:pStyle w:val="null3"/>
              <w:jc w:val="both"/>
            </w:pPr>
            <w:r>
              <w:rPr>
                <w:rFonts w:ascii="仿宋" w:hAnsi="仿宋" w:cs="仿宋" w:eastAsia="仿宋"/>
                <w:sz w:val="24"/>
                <w:color w:val="000000"/>
              </w:rPr>
              <w:t>4、系统巡检服务</w:t>
            </w:r>
          </w:p>
          <w:p>
            <w:pPr>
              <w:pStyle w:val="null3"/>
              <w:numPr>
                <w:ilvl w:val="0"/>
                <w:numId w:val="1"/>
              </w:numPr>
              <w:jc w:val="both"/>
            </w:pPr>
            <w:r>
              <w:rPr>
                <w:rFonts w:ascii="仿宋" w:hAnsi="仿宋" w:cs="仿宋" w:eastAsia="仿宋"/>
                <w:sz w:val="24"/>
                <w:color w:val="000000"/>
              </w:rPr>
              <w:t>到用户现场检查特定系统工作情况，每季度至少一次，检查系统是否存在问题、系统参数设置是否合理并调整等，根据检查情况对配置参数进行合理调整，确保系统良好运转。</w:t>
            </w:r>
          </w:p>
          <w:p>
            <w:pPr>
              <w:pStyle w:val="null3"/>
              <w:numPr>
                <w:ilvl w:val="0"/>
                <w:numId w:val="1"/>
              </w:numPr>
              <w:jc w:val="both"/>
            </w:pPr>
            <w:r>
              <w:rPr>
                <w:rFonts w:ascii="仿宋" w:hAnsi="仿宋" w:cs="仿宋" w:eastAsia="仿宋"/>
                <w:sz w:val="24"/>
                <w:color w:val="000000"/>
              </w:rPr>
              <w:t>所有的检查情况应记录在案，在巡检后</w:t>
            </w:r>
            <w:r>
              <w:rPr>
                <w:rFonts w:ascii="仿宋" w:hAnsi="仿宋" w:cs="仿宋" w:eastAsia="仿宋"/>
                <w:sz w:val="24"/>
                <w:color w:val="000000"/>
              </w:rPr>
              <w:t>2个工作日内提交巡检报告，若检查过程中发现问题，应将建议写入巡检报告中。</w:t>
            </w:r>
          </w:p>
          <w:p>
            <w:pPr>
              <w:pStyle w:val="null3"/>
              <w:jc w:val="both"/>
            </w:pPr>
            <w:r>
              <w:rPr>
                <w:rFonts w:ascii="仿宋" w:hAnsi="仿宋" w:cs="仿宋" w:eastAsia="仿宋"/>
                <w:sz w:val="24"/>
                <w:color w:val="000000"/>
              </w:rPr>
              <w:t>5、响应速度要求</w:t>
            </w:r>
          </w:p>
          <w:p>
            <w:pPr>
              <w:pStyle w:val="null3"/>
              <w:numPr>
                <w:ilvl w:val="0"/>
                <w:numId w:val="1"/>
              </w:numPr>
              <w:jc w:val="both"/>
            </w:pPr>
            <w:r>
              <w:rPr>
                <w:rFonts w:ascii="仿宋" w:hAnsi="仿宋" w:cs="仿宋" w:eastAsia="仿宋"/>
                <w:sz w:val="24"/>
                <w:color w:val="000000"/>
              </w:rPr>
              <w:t>对于故障性维护要求，供应商应在接到报修</w:t>
            </w:r>
            <w:r>
              <w:rPr>
                <w:rFonts w:ascii="仿宋" w:hAnsi="仿宋" w:cs="仿宋" w:eastAsia="仿宋"/>
                <w:sz w:val="24"/>
                <w:color w:val="000000"/>
              </w:rPr>
              <w:t>30分钟内做出响应，给出初步处理意见或排查方向；对于预防性维护要求，供应商应在2小时内做出响应，如后续工作安排等。</w:t>
            </w:r>
          </w:p>
          <w:p>
            <w:pPr>
              <w:pStyle w:val="null3"/>
              <w:numPr>
                <w:ilvl w:val="0"/>
                <w:numId w:val="1"/>
              </w:numPr>
              <w:jc w:val="both"/>
            </w:pPr>
            <w:r>
              <w:rPr>
                <w:rFonts w:ascii="仿宋" w:hAnsi="仿宋" w:cs="仿宋" w:eastAsia="仿宋"/>
                <w:sz w:val="24"/>
                <w:color w:val="000000"/>
              </w:rPr>
              <w:t>系统运行过程中，如果出现技术故障（如系统崩溃、无法启动、服务中断、数据丢失、主要功能不能正常工作等）或与其他产品发生冲突，在</w:t>
            </w:r>
            <w:r>
              <w:rPr>
                <w:rFonts w:ascii="仿宋" w:hAnsi="仿宋" w:cs="仿宋" w:eastAsia="仿宋"/>
                <w:sz w:val="24"/>
                <w:color w:val="000000"/>
              </w:rPr>
              <w:t>2小时内给出故障原因，提出故障的解决方案；对于不影响系统正常使用的一般性问题，供应商应在2个工作日内提供解决问题的建议方案。</w:t>
            </w:r>
          </w:p>
          <w:p>
            <w:pPr>
              <w:pStyle w:val="null3"/>
              <w:numPr>
                <w:ilvl w:val="0"/>
                <w:numId w:val="1"/>
              </w:numPr>
              <w:jc w:val="both"/>
            </w:pPr>
            <w:r>
              <w:rPr>
                <w:rFonts w:ascii="仿宋" w:hAnsi="仿宋" w:cs="仿宋" w:eastAsia="仿宋"/>
                <w:sz w:val="24"/>
                <w:color w:val="000000"/>
              </w:rPr>
              <w:t>对于影响系统正常使用的紧急故障，供应商须派技术人员在接到故障通知后</w:t>
            </w:r>
            <w:r>
              <w:rPr>
                <w:rFonts w:ascii="仿宋" w:hAnsi="仿宋" w:cs="仿宋" w:eastAsia="仿宋"/>
                <w:sz w:val="24"/>
                <w:color w:val="000000"/>
              </w:rPr>
              <w:t>2小时内到达现场。</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后续维保费用</w:t>
            </w:r>
          </w:p>
        </w:tc>
        <w:tc>
          <w:tcPr>
            <w:tcW w:type="dxa" w:w="1038"/>
          </w:tcPr>
          <w:p/>
        </w:tc>
        <w:tc>
          <w:tcPr>
            <w:tcW w:type="dxa" w:w="1038"/>
          </w:tcPr>
          <w:p>
            <w:pPr>
              <w:pStyle w:val="null3"/>
            </w:pPr>
            <w:r>
              <w:rPr>
                <w:rFonts w:ascii="仿宋" w:hAnsi="仿宋" w:cs="仿宋" w:eastAsia="仿宋"/>
                <w:sz w:val="24"/>
                <w:color w:val="000000"/>
              </w:rPr>
              <w:t>本合同结束后，如需继续采购维保服务，服务方需承诺每年维保费用不超过本项目合同中软件及相关开发服务费用的</w:t>
            </w:r>
            <w:r>
              <w:rPr>
                <w:rFonts w:ascii="仿宋" w:hAnsi="仿宋" w:cs="仿宋" w:eastAsia="仿宋"/>
                <w:sz w:val="24"/>
                <w:color w:val="000000"/>
              </w:rPr>
              <w:t>15%。</w:t>
            </w:r>
          </w:p>
        </w:tc>
        <w:tc>
          <w:tcPr>
            <w:tcW w:type="dxa" w:w="1038"/>
          </w:tcPr>
          <w:p>
            <w:pPr>
              <w:pStyle w:val="null3"/>
            </w:pPr>
            <w:r>
              <w:rPr/>
              <w:t>是</w:t>
            </w:r>
          </w:p>
        </w:tc>
        <w:tc>
          <w:tcPr>
            <w:tcW w:type="dxa" w:w="1038"/>
          </w:tcPr>
          <w:p>
            <w:pPr>
              <w:pStyle w:val="null3"/>
            </w:pPr>
            <w:r>
              <w:rPr/>
              <w:t>书面说明后续维保的比例</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 xml:space="preserve"> 序号</w:t>
            </w:r>
          </w:p>
        </w:tc>
        <w:tc>
          <w:tcPr>
            <w:tcW w:type="dxa" w:w="1384"/>
          </w:tcPr>
          <w:p>
            <w:pPr>
              <w:pStyle w:val="null3"/>
            </w:pPr>
            <w:r>
              <w:rPr/>
              <w:t xml:space="preserve"> 付款节点(进度)</w:t>
            </w:r>
          </w:p>
        </w:tc>
        <w:tc>
          <w:tcPr>
            <w:tcW w:type="dxa" w:w="1384"/>
          </w:tcPr>
          <w:p>
            <w:pPr>
              <w:pStyle w:val="null3"/>
            </w:pPr>
            <w:r>
              <w:rPr/>
              <w:t xml:space="preserve"> 付款条件</w:t>
            </w:r>
          </w:p>
        </w:tc>
        <w:tc>
          <w:tcPr>
            <w:tcW w:type="dxa" w:w="1384"/>
          </w:tcPr>
          <w:p>
            <w:pPr>
              <w:pStyle w:val="null3"/>
            </w:pPr>
            <w:r>
              <w:rPr/>
              <w:t xml:space="preserve"> 付款比例(或金额)</w:t>
            </w:r>
          </w:p>
        </w:tc>
        <w:tc>
          <w:tcPr>
            <w:tcW w:type="dxa" w:w="1384"/>
          </w:tcPr>
          <w:p>
            <w:pPr>
              <w:pStyle w:val="null3"/>
            </w:pPr>
            <w:r>
              <w:rPr/>
              <w:t xml:space="preserve"> 资金支付方式</w:t>
            </w:r>
          </w:p>
        </w:tc>
        <w:tc>
          <w:tcPr>
            <w:tcW w:type="dxa" w:w="1384"/>
          </w:tcPr>
          <w:p>
            <w:pPr>
              <w:pStyle w:val="null3"/>
            </w:pPr>
            <w:r>
              <w:rPr/>
              <w:t xml:space="preserve"> 备注</w:t>
            </w:r>
          </w:p>
        </w:tc>
      </w:tr>
      <w:tr>
        <w:tc>
          <w:tcPr>
            <w:tcW w:type="dxa" w:w="1384"/>
          </w:tcPr>
          <w:p>
            <w:pPr>
              <w:pStyle w:val="null3"/>
            </w:pPr>
            <w:r>
              <w:rPr/>
              <w:t>1</w:t>
            </w:r>
          </w:p>
        </w:tc>
        <w:tc>
          <w:tcPr>
            <w:tcW w:type="dxa" w:w="1384"/>
          </w:tcPr>
          <w:p>
            <w:pPr>
              <w:pStyle w:val="null3"/>
            </w:pPr>
            <w:r>
              <w:rPr/>
              <w:t>首笔付款</w:t>
            </w:r>
          </w:p>
        </w:tc>
        <w:tc>
          <w:tcPr>
            <w:tcW w:type="dxa" w:w="1384"/>
          </w:tcPr>
          <w:p>
            <w:pPr>
              <w:pStyle w:val="null3"/>
            </w:pPr>
            <w:r>
              <w:rPr/>
              <w:t>合同正式签订后，采购需求部门收到乙方开具的合规且足额增值税发票、付款申请后10个工作日内，向合同乙方支付合同总金额的30%。</w:t>
            </w:r>
          </w:p>
        </w:tc>
        <w:tc>
          <w:tcPr>
            <w:tcW w:type="dxa" w:w="1384"/>
          </w:tcPr>
          <w:p>
            <w:pPr>
              <w:pStyle w:val="null3"/>
            </w:pPr>
            <w:r>
              <w:rPr/>
              <w:t>30.00</w:t>
            </w:r>
            <w:r>
              <w:rPr/>
              <w:t>%</w:t>
            </w:r>
          </w:p>
        </w:tc>
        <w:tc>
          <w:tcPr>
            <w:tcW w:type="dxa" w:w="1384"/>
          </w:tcPr>
          <w:p>
            <w:pPr>
              <w:pStyle w:val="null3"/>
            </w:pPr>
            <w:r>
              <w:rPr/>
              <w:t>汇款</w:t>
            </w:r>
          </w:p>
        </w:tc>
        <w:tc>
          <w:tcPr>
            <w:tcW w:type="dxa" w:w="1384"/>
          </w:tcPr>
          <w:p>
            <w:pPr>
              <w:pStyle w:val="null3"/>
            </w:pPr>
            <w:r>
              <w:rPr/>
              <w:t>无</w:t>
            </w:r>
          </w:p>
        </w:tc>
      </w:tr>
      <w:tr>
        <w:tc>
          <w:tcPr>
            <w:tcW w:type="dxa" w:w="1384"/>
          </w:tcPr>
          <w:p>
            <w:pPr>
              <w:pStyle w:val="null3"/>
            </w:pPr>
            <w:r>
              <w:rPr/>
              <w:t>2</w:t>
            </w:r>
          </w:p>
        </w:tc>
        <w:tc>
          <w:tcPr>
            <w:tcW w:type="dxa" w:w="1384"/>
          </w:tcPr>
          <w:p>
            <w:pPr>
              <w:pStyle w:val="null3"/>
            </w:pPr>
            <w:r>
              <w:rPr/>
              <w:t>初验付款</w:t>
            </w:r>
          </w:p>
        </w:tc>
        <w:tc>
          <w:tcPr>
            <w:tcW w:type="dxa" w:w="1384"/>
          </w:tcPr>
          <w:p>
            <w:pPr>
              <w:pStyle w:val="null3"/>
            </w:pPr>
            <w:r>
              <w:rPr/>
              <w:t>系统投产上线且初步验收合格后，采购需求部门收到乙方开具的合规且足额增值税发票、付款申请后10个工作日内，向合同乙方支付合同总金额的40%。</w:t>
            </w:r>
          </w:p>
        </w:tc>
        <w:tc>
          <w:tcPr>
            <w:tcW w:type="dxa" w:w="1384"/>
          </w:tcPr>
          <w:p>
            <w:pPr>
              <w:pStyle w:val="null3"/>
            </w:pPr>
            <w:r>
              <w:rPr/>
              <w:t>40.00</w:t>
            </w:r>
            <w:r>
              <w:rPr/>
              <w:t>%</w:t>
            </w:r>
          </w:p>
        </w:tc>
        <w:tc>
          <w:tcPr>
            <w:tcW w:type="dxa" w:w="1384"/>
          </w:tcPr>
          <w:p>
            <w:pPr>
              <w:pStyle w:val="null3"/>
            </w:pPr>
            <w:r>
              <w:rPr/>
              <w:t>汇款</w:t>
            </w:r>
          </w:p>
        </w:tc>
        <w:tc>
          <w:tcPr>
            <w:tcW w:type="dxa" w:w="1384"/>
          </w:tcPr>
          <w:p>
            <w:pPr>
              <w:pStyle w:val="null3"/>
            </w:pPr>
            <w:r>
              <w:rPr/>
              <w:t>无</w:t>
            </w:r>
          </w:p>
        </w:tc>
      </w:tr>
      <w:tr>
        <w:tc>
          <w:tcPr>
            <w:tcW w:type="dxa" w:w="1384"/>
          </w:tcPr>
          <w:p>
            <w:pPr>
              <w:pStyle w:val="null3"/>
            </w:pPr>
            <w:r>
              <w:rPr/>
              <w:t>3</w:t>
            </w:r>
          </w:p>
        </w:tc>
        <w:tc>
          <w:tcPr>
            <w:tcW w:type="dxa" w:w="1384"/>
          </w:tcPr>
          <w:p>
            <w:pPr>
              <w:pStyle w:val="null3"/>
            </w:pPr>
            <w:r>
              <w:rPr/>
              <w:t>终验付款</w:t>
            </w:r>
          </w:p>
        </w:tc>
        <w:tc>
          <w:tcPr>
            <w:tcW w:type="dxa" w:w="1384"/>
          </w:tcPr>
          <w:p>
            <w:pPr>
              <w:pStyle w:val="null3"/>
            </w:pPr>
            <w:r>
              <w:rPr/>
              <w:t>系统上线通过试运行期且最终验收合格后，采购需求部门收到乙方开具的合规且足额增值税发票、付款申请后10个工作日内，向合同乙方支付合同总金额的30%。</w:t>
            </w:r>
          </w:p>
        </w:tc>
        <w:tc>
          <w:tcPr>
            <w:tcW w:type="dxa" w:w="1384"/>
          </w:tcPr>
          <w:p>
            <w:pPr>
              <w:pStyle w:val="null3"/>
            </w:pPr>
            <w:r>
              <w:rPr/>
              <w:t>20.00</w:t>
            </w:r>
            <w:r>
              <w:rPr/>
              <w:t>%</w:t>
            </w:r>
          </w:p>
        </w:tc>
        <w:tc>
          <w:tcPr>
            <w:tcW w:type="dxa" w:w="1384"/>
          </w:tcPr>
          <w:p>
            <w:pPr>
              <w:pStyle w:val="null3"/>
            </w:pPr>
            <w:r>
              <w:rPr/>
              <w:t>汇款</w:t>
            </w:r>
          </w:p>
        </w:tc>
        <w:tc>
          <w:tcPr>
            <w:tcW w:type="dxa" w:w="1384"/>
          </w:tcPr>
          <w:p>
            <w:pPr>
              <w:pStyle w:val="null3"/>
            </w:pPr>
            <w:r>
              <w:rPr/>
              <w:t>无</w:t>
            </w:r>
          </w:p>
        </w:tc>
      </w:tr>
      <w:tr>
        <w:tc>
          <w:tcPr>
            <w:tcW w:type="dxa" w:w="1384"/>
          </w:tcPr>
          <w:p>
            <w:pPr>
              <w:pStyle w:val="null3"/>
            </w:pPr>
            <w:r>
              <w:rPr/>
              <w:t>4</w:t>
            </w:r>
          </w:p>
        </w:tc>
        <w:tc>
          <w:tcPr>
            <w:tcW w:type="dxa" w:w="1384"/>
          </w:tcPr>
          <w:p>
            <w:pPr>
              <w:pStyle w:val="null3"/>
            </w:pPr>
            <w:r>
              <w:rPr/>
              <w:t>尾款</w:t>
            </w:r>
          </w:p>
        </w:tc>
        <w:tc>
          <w:tcPr>
            <w:tcW w:type="dxa" w:w="1384"/>
          </w:tcPr>
          <w:p>
            <w:pPr>
              <w:pStyle w:val="null3"/>
            </w:pPr>
            <w:r>
              <w:rPr/>
              <w:t>完成质量保质期验收后，采购需求部门收到乙方开具的合规且足额增值税发票、付款申请后10个工作日内，向合同乙方支付合同总金额的10%。</w:t>
            </w:r>
          </w:p>
        </w:tc>
        <w:tc>
          <w:tcPr>
            <w:tcW w:type="dxa" w:w="1384"/>
          </w:tcPr>
          <w:p>
            <w:pPr>
              <w:pStyle w:val="null3"/>
            </w:pPr>
            <w:r>
              <w:rPr/>
              <w:t>10.00</w:t>
            </w:r>
            <w:r>
              <w:rPr/>
              <w:t>%</w:t>
            </w:r>
          </w:p>
        </w:tc>
        <w:tc>
          <w:tcPr>
            <w:tcW w:type="dxa" w:w="1384"/>
          </w:tcPr>
          <w:p>
            <w:pPr>
              <w:pStyle w:val="null3"/>
            </w:pPr>
            <w:r>
              <w:rPr/>
              <w:t>汇款</w:t>
            </w:r>
          </w:p>
        </w:tc>
        <w:tc>
          <w:tcPr>
            <w:tcW w:type="dxa" w:w="1384"/>
          </w:tcPr>
          <w:p>
            <w:pPr>
              <w:pStyle w:val="null3"/>
            </w:pPr>
            <w:r>
              <w:rPr/>
              <w:t>无</w:t>
            </w:r>
          </w:p>
        </w:tc>
      </w:tr>
    </w:tbl>
    <w:p>
      <w:pPr>
        <w:pStyle w:val="null3"/>
        <w:jc w:val="left"/>
        <w:outlineLvl w:val="2"/>
      </w:pPr>
      <w:r>
        <w:rPr>
          <w:sz w:val="28"/>
          <w:b/>
        </w:rPr>
        <w:t>3.4 履约验收方案</w:t>
      </w:r>
    </w:p>
    <w:p>
      <w:pPr>
        <w:pStyle w:val="null3"/>
        <w:jc w:val="both"/>
      </w:pPr>
      <w:r>
        <w:rPr/>
        <w:t>（1）验收主体</w:t>
      </w:r>
    </w:p>
    <w:p>
      <w:pPr>
        <w:pStyle w:val="null3"/>
        <w:jc w:val="both"/>
      </w:pPr>
      <w:r>
        <w:rPr/>
        <w:t>采购人（需求部门）</w:t>
      </w:r>
      <w:r>
        <w:rPr>
          <w:u w:val="single"/>
        </w:rPr>
        <w:t>办公厅</w:t>
      </w:r>
    </w:p>
    <w:p>
      <w:pPr>
        <w:pStyle w:val="null3"/>
        <w:jc w:val="both"/>
      </w:pPr>
      <w:r>
        <w:rPr/>
        <w:t>采购人（需求部门）拟邀请（</w:t>
      </w:r>
      <w:r>
        <w:rPr/>
        <w:t>项目供应商</w:t>
      </w:r>
      <w:r>
        <w:rPr/>
        <w:t>）</w:t>
      </w:r>
    </w:p>
    <w:p>
      <w:pPr>
        <w:pStyle w:val="null3"/>
        <w:jc w:val="both"/>
      </w:pPr>
      <w:r>
        <w:rPr/>
        <w:t>（2）验收时间</w:t>
      </w:r>
      <w:r>
        <w:rPr>
          <w:u w:val="single"/>
        </w:rPr>
        <w:t>交货时间：合同生效之日起10个工作日内。 初步验收时间：系统上线且满足初步验收条件起10个工作日内。 最终验收时间：初步验收合格后，进入不少于3个月的连续试运行，试运行结束且满足最终验收条件起10个工作日内。 免费质量保证期：自最终验收之日起1年。 合同履行期限：自合同签订之日起至合同全部权利义务履行完毕之日止。</w:t>
      </w:r>
    </w:p>
    <w:p>
      <w:pPr>
        <w:pStyle w:val="null3"/>
        <w:jc w:val="both"/>
      </w:pPr>
      <w:r>
        <w:rPr/>
        <w:t>（3）验收方式</w:t>
      </w:r>
      <w:r>
        <w:rPr>
          <w:u w:val="single"/>
        </w:rPr>
        <w:t>分阶段验收</w:t>
      </w:r>
    </w:p>
    <w:p>
      <w:pPr>
        <w:pStyle w:val="null3"/>
        <w:jc w:val="both"/>
      </w:pPr>
      <w:r>
        <w:rPr/>
        <w:t>（4）验收程序</w:t>
      </w:r>
      <w:r>
        <w:rPr>
          <w:u w:val="single"/>
        </w:rPr>
        <w:t>供应商按照验收时间要求，向需求单位发起验收申请，并提供有关验收材料。需求单位验收通过后，双方签订《验收合格单》，完成验收。</w:t>
      </w:r>
    </w:p>
    <w:p>
      <w:pPr>
        <w:pStyle w:val="null3"/>
        <w:jc w:val="both"/>
      </w:pPr>
      <w:r>
        <w:rPr/>
        <w:t>（5）验收内容</w:t>
      </w:r>
      <w:r>
        <w:rPr>
          <w:u w:val="single"/>
        </w:rPr>
        <w:t>① 初步验收：供应商提交软件产品和定制开发功能是否满足技术要求和性能要求；供应商是否配合系统投产上线前的各类安全测试，就发现问题进行整改，安排人员进行技术保障，提交全部产品资料和上线文档等方面。 ② 最终验收：系统上线后未发现阻断性问题；供应商是否在系统试运行期间及时解决用户反馈问题等方面。 ③ 质量保证期验收：在质保期内，供应商提供服务是否与合同涉及内容一致；服务响应时效是否满足合同要求；服务期内产生的问题是否均已解决；服务人员的专业水平、工作质量和态度是否符合要求等方面。</w:t>
      </w:r>
    </w:p>
    <w:p>
      <w:pPr>
        <w:pStyle w:val="null3"/>
        <w:jc w:val="both"/>
      </w:pPr>
      <w:r>
        <w:rPr/>
        <w:t>（6）验收标准</w:t>
      </w:r>
      <w:r>
        <w:rPr>
          <w:u w:val="single"/>
        </w:rPr>
        <w:t>① 初步验收：供应商根据用户需求配合完成测试、部署工作，依据用户要求提交全部资料和上线材料，系统通过用户单位的业务测试和安全测试，并正式投产上线，供应商可向用户提出初验申请。用户确认系统满足初验标准后与供应商签订《验收合格单》，完成初步验收。 ② 最终验收：初步验收合格后，进入不少于3个月的连续试运行，试运行期间所有问题均被解决，供应商可向用户提出终验申请。用户确认系统满足最终验收标准后与供应商签订《验收合格单》，完成最终验收。 ③ 质量保证期验收：自最终验收结束之日起1年后，供应商提供技术服务报告等验收材料，经用户确认后与供应商签订《验收合格单》，完成质量保证期验收。</w:t>
      </w:r>
    </w:p>
    <w:p>
      <w:pPr>
        <w:pStyle w:val="null3"/>
        <w:jc w:val="both"/>
      </w:pPr>
      <w:r>
        <w:rPr/>
        <w:t>（7）其他事项（如有）</w:t>
      </w:r>
      <w:r>
        <w:rPr>
          <w:u w:val="single"/>
        </w:rPr>
        <w:t>无</w:t>
      </w:r>
      <w:r>
        <w:br/>
      </w:r>
    </w:p>
    <w:p>
      <w:pPr>
        <w:pStyle w:val="null3"/>
        <w:jc w:val="left"/>
        <w:outlineLvl w:val="2"/>
      </w:pPr>
      <w:r>
        <w:rPr>
          <w:sz w:val="28"/>
          <w:b/>
        </w:rPr>
        <w:t>3.5 其他</w:t>
      </w:r>
    </w:p>
    <w:p>
      <w:pPr>
        <w:pStyle w:val="null3"/>
        <w:jc w:val="both"/>
      </w:pPr>
      <w:r>
        <w:rPr/>
        <w:t>无</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ind w:firstLine="480"/>
        <w:jc w:val="left"/>
      </w:pPr>
      <w:r>
        <w:rPr/>
        <w:t>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（2）投标（响应）报价低于通过符合性审查的次低报价供应商投标（响应）报价50%的，即投标（响应）报价&lt;通过符合性审查的次低报价供应商投标（响应）报价×50%；</w:t>
        <w:br/>
        <w:t>（3）投标（响应）报价低于采购项目最高限价45%的，即投标（响应）报价&lt;采购项目最高限价×45%；未设定最高限价的采购项目，以采购项目预算金额作为最高限价；如果采购预算、最高限价均未公开，则不做此条审查；</w:t>
        <w:br/>
        <w:t>（4）评审委员会基于专业判断，认为供应商报价过低，有可能影响产品质量或者不能诚信履约的其他情形。</w:t>
        <w:br/>
      </w:r>
    </w:p>
    <w:p>
      <w:pPr>
        <w:pStyle w:val="null3"/>
        <w:ind w:firstLine="480"/>
        <w:jc w:val="left"/>
      </w:pPr>
      <w:r>
        <w:rPr/>
        <w:t>评审委员会启动异常低价投标（响应）审查后，属于前述第1项至第4项情形的，应当要求相关供应商在评审现场合理的时间内通过项目电子化交易系统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80"/>
        <w:jc w:val="left"/>
      </w:pPr>
      <w: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both"/>
      </w:pPr>
      <w:r>
        <w:rPr/>
        <w:t>（五）投标人应通过项目电子化交易系统随时关注评标消息提示，及时响应评标委员会发出的澄清、说明或更正要求。投标人未能及时响应的，自行承担不利后果。</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pPr>
            <w:r>
              <w:rPr/>
              <w:t>技术部分45.00分</w:t>
            </w:r>
          </w:p>
          <w:p>
            <w:pPr>
              <w:pStyle w:val="null3"/>
            </w:pPr>
            <w:r>
              <w:rPr/>
              <w:t>商务部分45.00分</w:t>
            </w:r>
          </w:p>
          <w:p>
            <w:pPr>
              <w:pStyle w:val="null3"/>
            </w:pPr>
            <w:r>
              <w:rPr/>
              <w:t>报价得分10.00分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pPr>
            <w:r>
              <w:rPr/>
              <w:t>技术评审</w:t>
            </w:r>
          </w:p>
        </w:tc>
        <w:tc>
          <w:tcPr>
            <w:tcW w:type="dxa" w:w="2076"/>
          </w:tcPr>
          <w:p>
            <w:pPr>
              <w:pStyle w:val="null3"/>
            </w:pPr>
            <w:r>
              <w:rPr/>
              <w:t>系统演示</w:t>
            </w:r>
          </w:p>
        </w:tc>
        <w:tc>
          <w:tcPr>
            <w:tcW w:type="dxa" w:w="2769"/>
          </w:tcPr>
          <w:p>
            <w:pPr>
              <w:pStyle w:val="null3"/>
            </w:pPr>
            <w:r>
              <w:rPr/>
              <w:t>投标人应提供总时长不超过15分钟的demo演示，包括以下功能点：分级管理、印模管理、印章申请、印章制作、印章备案、印章注销、印章有效期、签章标准化接口、签章形式、签章方式、报表统计、用户管理、机构管理、角色管理。每个功能点得1分，满分14分。</w:t>
            </w:r>
          </w:p>
        </w:tc>
        <w:tc>
          <w:tcPr>
            <w:tcW w:type="dxa" w:w="692"/>
          </w:tcPr>
          <w:p>
            <w:pPr>
              <w:pStyle w:val="null3"/>
              <w:jc w:val="right"/>
            </w:pPr>
            <w:r>
              <w:rPr/>
              <w:t>14.00</w:t>
            </w:r>
          </w:p>
        </w:tc>
        <w:tc>
          <w:tcPr>
            <w:tcW w:type="dxa" w:w="692"/>
          </w:tcPr>
          <w:p>
            <w:pPr>
              <w:pStyle w:val="null3"/>
            </w:pPr>
            <w:r>
              <w:rPr/>
              <w:t>客观</w:t>
            </w:r>
          </w:p>
        </w:tc>
      </w:tr>
      <w:tr>
        <w:tc>
          <w:tcPr>
            <w:tcW w:type="dxa" w:w="692"/>
            <w:vMerge/>
          </w:tcPr>
          <w:p/>
        </w:tc>
        <w:tc>
          <w:tcPr>
            <w:tcW w:type="dxa" w:w="2076"/>
          </w:tcPr>
          <w:p>
            <w:pPr>
              <w:pStyle w:val="null3"/>
            </w:pPr>
            <w:r>
              <w:rPr/>
              <w:t>系统演示2</w:t>
            </w:r>
          </w:p>
        </w:tc>
        <w:tc>
          <w:tcPr>
            <w:tcW w:type="dxa" w:w="2769"/>
          </w:tcPr>
          <w:p>
            <w:pPr>
              <w:pStyle w:val="null3"/>
            </w:pPr>
            <w:r>
              <w:rPr/>
              <w:t>投标人应在投标文件中提供与demo演示一致的上述功能清晰截图，每提供一个功能点清晰截图得0.5分，不清晰或未提供的得0分，满分6分。</w:t>
            </w:r>
          </w:p>
        </w:tc>
        <w:tc>
          <w:tcPr>
            <w:tcW w:type="dxa" w:w="692"/>
          </w:tcPr>
          <w:p>
            <w:pPr>
              <w:pStyle w:val="null3"/>
              <w:jc w:val="right"/>
            </w:pPr>
            <w:r>
              <w:rPr/>
              <w:t>6.00</w:t>
            </w:r>
          </w:p>
        </w:tc>
        <w:tc>
          <w:tcPr>
            <w:tcW w:type="dxa" w:w="692"/>
          </w:tcPr>
          <w:p>
            <w:pPr>
              <w:pStyle w:val="null3"/>
            </w:pPr>
            <w:r>
              <w:rPr/>
              <w:t>客观</w:t>
            </w:r>
          </w:p>
        </w:tc>
      </w:tr>
      <w:tr>
        <w:tc>
          <w:tcPr>
            <w:tcW w:type="dxa" w:w="692"/>
            <w:vMerge/>
          </w:tcPr>
          <w:p/>
        </w:tc>
        <w:tc>
          <w:tcPr>
            <w:tcW w:type="dxa" w:w="2076"/>
          </w:tcPr>
          <w:p>
            <w:pPr>
              <w:pStyle w:val="null3"/>
            </w:pPr>
            <w:r>
              <w:rPr/>
              <w:t>系统等保级别</w:t>
            </w:r>
          </w:p>
        </w:tc>
        <w:tc>
          <w:tcPr>
            <w:tcW w:type="dxa" w:w="2769"/>
          </w:tcPr>
          <w:p>
            <w:pPr>
              <w:pStyle w:val="null3"/>
            </w:pPr>
            <w:r>
              <w:rPr/>
              <w:t>提供公安机关颁发的等保三级及以上备案证明或公安机关认证的测评机构出具的通过等保三级及以上的测评报告并加盖公章得5分，不符合或未提供得0分，满分5分。</w:t>
            </w:r>
          </w:p>
        </w:tc>
        <w:tc>
          <w:tcPr>
            <w:tcW w:type="dxa" w:w="692"/>
          </w:tcPr>
          <w:p>
            <w:pPr>
              <w:pStyle w:val="null3"/>
              <w:jc w:val="right"/>
            </w:pPr>
            <w:r>
              <w:rPr/>
              <w:t>5.00</w:t>
            </w:r>
          </w:p>
        </w:tc>
        <w:tc>
          <w:tcPr>
            <w:tcW w:type="dxa" w:w="692"/>
          </w:tcPr>
          <w:p>
            <w:pPr>
              <w:pStyle w:val="null3"/>
            </w:pPr>
            <w:r>
              <w:rPr/>
              <w:t>客观</w:t>
            </w:r>
          </w:p>
        </w:tc>
      </w:tr>
      <w:tr>
        <w:tc>
          <w:tcPr>
            <w:tcW w:type="dxa" w:w="692"/>
            <w:vMerge/>
          </w:tcPr>
          <w:p/>
        </w:tc>
        <w:tc>
          <w:tcPr>
            <w:tcW w:type="dxa" w:w="2076"/>
          </w:tcPr>
          <w:p>
            <w:pPr>
              <w:pStyle w:val="null3"/>
            </w:pPr>
            <w:r>
              <w:rPr/>
              <w:t>文件格式转换</w:t>
            </w:r>
          </w:p>
        </w:tc>
        <w:tc>
          <w:tcPr>
            <w:tcW w:type="dxa" w:w="2769"/>
          </w:tcPr>
          <w:p>
            <w:pPr>
              <w:pStyle w:val="null3"/>
            </w:pPr>
            <w:r>
              <w:rPr/>
              <w:t>提供承诺并加盖公章得5分，未提供得0分，满分5分。</w:t>
            </w:r>
          </w:p>
        </w:tc>
        <w:tc>
          <w:tcPr>
            <w:tcW w:type="dxa" w:w="692"/>
          </w:tcPr>
          <w:p>
            <w:pPr>
              <w:pStyle w:val="null3"/>
              <w:jc w:val="right"/>
            </w:pPr>
            <w:r>
              <w:rPr/>
              <w:t>5.00</w:t>
            </w:r>
          </w:p>
        </w:tc>
        <w:tc>
          <w:tcPr>
            <w:tcW w:type="dxa" w:w="692"/>
          </w:tcPr>
          <w:p>
            <w:pPr>
              <w:pStyle w:val="null3"/>
            </w:pPr>
            <w:r>
              <w:rPr/>
              <w:t>客观</w:t>
            </w:r>
          </w:p>
        </w:tc>
      </w:tr>
      <w:tr>
        <w:tc>
          <w:tcPr>
            <w:tcW w:type="dxa" w:w="692"/>
            <w:vMerge/>
          </w:tcPr>
          <w:p/>
        </w:tc>
        <w:tc>
          <w:tcPr>
            <w:tcW w:type="dxa" w:w="2076"/>
          </w:tcPr>
          <w:p>
            <w:pPr>
              <w:pStyle w:val="null3"/>
            </w:pPr>
            <w:r>
              <w:rPr/>
              <w:t>电子印章到期提醒</w:t>
            </w:r>
          </w:p>
        </w:tc>
        <w:tc>
          <w:tcPr>
            <w:tcW w:type="dxa" w:w="2769"/>
          </w:tcPr>
          <w:p>
            <w:pPr>
              <w:pStyle w:val="null3"/>
            </w:pPr>
            <w:r>
              <w:rPr/>
              <w:t>提供承诺并加盖公章得5分，未提供得0分，满分5分。</w:t>
            </w:r>
          </w:p>
        </w:tc>
        <w:tc>
          <w:tcPr>
            <w:tcW w:type="dxa" w:w="692"/>
          </w:tcPr>
          <w:p>
            <w:pPr>
              <w:pStyle w:val="null3"/>
              <w:jc w:val="right"/>
            </w:pPr>
            <w:r>
              <w:rPr/>
              <w:t>5.00</w:t>
            </w:r>
          </w:p>
        </w:tc>
        <w:tc>
          <w:tcPr>
            <w:tcW w:type="dxa" w:w="692"/>
          </w:tcPr>
          <w:p>
            <w:pPr>
              <w:pStyle w:val="null3"/>
            </w:pPr>
            <w:r>
              <w:rPr/>
              <w:t>客观</w:t>
            </w:r>
          </w:p>
        </w:tc>
      </w:tr>
      <w:tr>
        <w:tc>
          <w:tcPr>
            <w:tcW w:type="dxa" w:w="692"/>
            <w:vMerge/>
          </w:tcPr>
          <w:p/>
        </w:tc>
        <w:tc>
          <w:tcPr>
            <w:tcW w:type="dxa" w:w="2076"/>
          </w:tcPr>
          <w:p>
            <w:pPr>
              <w:pStyle w:val="null3"/>
            </w:pPr>
            <w:r>
              <w:rPr/>
              <w:t>自动盖章</w:t>
            </w:r>
          </w:p>
        </w:tc>
        <w:tc>
          <w:tcPr>
            <w:tcW w:type="dxa" w:w="2769"/>
          </w:tcPr>
          <w:p>
            <w:pPr>
              <w:pStyle w:val="null3"/>
            </w:pPr>
            <w:r>
              <w:rPr/>
              <w:t>提供承诺并加盖公章得5分，未提供得0分，满分5分。</w:t>
            </w:r>
          </w:p>
        </w:tc>
        <w:tc>
          <w:tcPr>
            <w:tcW w:type="dxa" w:w="692"/>
          </w:tcPr>
          <w:p>
            <w:pPr>
              <w:pStyle w:val="null3"/>
              <w:jc w:val="right"/>
            </w:pPr>
            <w:r>
              <w:rPr/>
              <w:t>5.00</w:t>
            </w:r>
          </w:p>
        </w:tc>
        <w:tc>
          <w:tcPr>
            <w:tcW w:type="dxa" w:w="692"/>
          </w:tcPr>
          <w:p>
            <w:pPr>
              <w:pStyle w:val="null3"/>
            </w:pPr>
            <w:r>
              <w:rPr/>
              <w:t>客观</w:t>
            </w:r>
          </w:p>
        </w:tc>
      </w:tr>
      <w:tr>
        <w:tc>
          <w:tcPr>
            <w:tcW w:type="dxa" w:w="692"/>
            <w:vMerge/>
          </w:tcPr>
          <w:p/>
        </w:tc>
        <w:tc>
          <w:tcPr>
            <w:tcW w:type="dxa" w:w="2076"/>
          </w:tcPr>
          <w:p>
            <w:pPr>
              <w:pStyle w:val="null3"/>
            </w:pPr>
            <w:r>
              <w:rPr/>
              <w:t>部署方式</w:t>
            </w:r>
          </w:p>
        </w:tc>
        <w:tc>
          <w:tcPr>
            <w:tcW w:type="dxa" w:w="2769"/>
          </w:tcPr>
          <w:p>
            <w:pPr>
              <w:pStyle w:val="null3"/>
            </w:pPr>
            <w:r>
              <w:rPr/>
              <w:t>提供承诺并加盖公章得5分，未提供得0分，满分5分。</w:t>
            </w:r>
          </w:p>
        </w:tc>
        <w:tc>
          <w:tcPr>
            <w:tcW w:type="dxa" w:w="692"/>
          </w:tcPr>
          <w:p>
            <w:pPr>
              <w:pStyle w:val="null3"/>
              <w:jc w:val="right"/>
            </w:pPr>
            <w:r>
              <w:rPr/>
              <w:t>5.00</w:t>
            </w:r>
          </w:p>
        </w:tc>
        <w:tc>
          <w:tcPr>
            <w:tcW w:type="dxa" w:w="692"/>
          </w:tcPr>
          <w:p>
            <w:pPr>
              <w:pStyle w:val="null3"/>
            </w:pPr>
            <w:r>
              <w:rPr/>
              <w:t>客观</w:t>
            </w:r>
          </w:p>
        </w:tc>
      </w:tr>
      <w:tr>
        <w:tc>
          <w:tcPr>
            <w:tcW w:type="dxa" w:w="692"/>
            <w:vMerge w:val="restart"/>
          </w:tcPr>
          <w:p>
            <w:pPr>
              <w:pStyle w:val="null3"/>
            </w:pPr>
            <w:r>
              <w:rPr/>
              <w:t>商务评审</w:t>
            </w:r>
          </w:p>
        </w:tc>
        <w:tc>
          <w:tcPr>
            <w:tcW w:type="dxa" w:w="2076"/>
          </w:tcPr>
          <w:p>
            <w:pPr>
              <w:pStyle w:val="null3"/>
            </w:pPr>
            <w:r>
              <w:rPr/>
              <w:t>以往业绩</w:t>
            </w:r>
          </w:p>
        </w:tc>
        <w:tc>
          <w:tcPr>
            <w:tcW w:type="dxa" w:w="2769"/>
          </w:tcPr>
          <w:p>
            <w:pPr>
              <w:pStyle w:val="null3"/>
            </w:pPr>
            <w:r>
              <w:rPr/>
              <w:t>供应商需提供自2021年1月1日起电子印章平台私有化部署或含定制开发服务的客户案例。每个得1分，最高得10分。 投标人须提供主要业绩的服务合同首页、体现服务标的（内容）关键页、金额页、合同双方签字盖章页并加盖公章等页面的复印件，不满足要求或因项目信息不全而不能体现案例情况的证明材料，不予认可。</w:t>
            </w:r>
          </w:p>
        </w:tc>
        <w:tc>
          <w:tcPr>
            <w:tcW w:type="dxa" w:w="692"/>
          </w:tcPr>
          <w:p>
            <w:pPr>
              <w:pStyle w:val="null3"/>
              <w:jc w:val="right"/>
            </w:pPr>
            <w:r>
              <w:rPr/>
              <w:t>10.00</w:t>
            </w:r>
          </w:p>
        </w:tc>
        <w:tc>
          <w:tcPr>
            <w:tcW w:type="dxa" w:w="692"/>
          </w:tcPr>
          <w:p>
            <w:pPr>
              <w:pStyle w:val="null3"/>
            </w:pPr>
            <w:r>
              <w:rPr/>
              <w:t>客观</w:t>
            </w:r>
          </w:p>
        </w:tc>
      </w:tr>
      <w:tr>
        <w:tc>
          <w:tcPr>
            <w:tcW w:type="dxa" w:w="692"/>
            <w:vMerge/>
          </w:tcPr>
          <w:p/>
        </w:tc>
        <w:tc>
          <w:tcPr>
            <w:tcW w:type="dxa" w:w="2076"/>
          </w:tcPr>
          <w:p>
            <w:pPr>
              <w:pStyle w:val="null3"/>
            </w:pPr>
            <w:r>
              <w:rPr/>
              <w:t>投标文件编制</w:t>
            </w:r>
          </w:p>
        </w:tc>
        <w:tc>
          <w:tcPr>
            <w:tcW w:type="dxa" w:w="2769"/>
          </w:tcPr>
          <w:p>
            <w:pPr>
              <w:pStyle w:val="null3"/>
            </w:pPr>
            <w:r>
              <w:rPr/>
              <w:t>对供应商的投标文件编制情况进行综合评价是否具备有效的目录索引、页码连续无错乱、排版整齐、证书复印清晰。以上要求全部满足得4分，每发现1项不满足要求扣1分。</w:t>
            </w:r>
          </w:p>
        </w:tc>
        <w:tc>
          <w:tcPr>
            <w:tcW w:type="dxa" w:w="692"/>
          </w:tcPr>
          <w:p>
            <w:pPr>
              <w:pStyle w:val="null3"/>
              <w:jc w:val="right"/>
            </w:pPr>
            <w:r>
              <w:rPr/>
              <w:t>4.00</w:t>
            </w:r>
          </w:p>
        </w:tc>
        <w:tc>
          <w:tcPr>
            <w:tcW w:type="dxa" w:w="692"/>
          </w:tcPr>
          <w:p>
            <w:pPr>
              <w:pStyle w:val="null3"/>
            </w:pPr>
            <w:r>
              <w:rPr/>
              <w:t>主观</w:t>
            </w:r>
          </w:p>
        </w:tc>
      </w:tr>
      <w:tr>
        <w:tc>
          <w:tcPr>
            <w:tcW w:type="dxa" w:w="692"/>
            <w:vMerge/>
          </w:tcPr>
          <w:p/>
        </w:tc>
        <w:tc>
          <w:tcPr>
            <w:tcW w:type="dxa" w:w="2076"/>
          </w:tcPr>
          <w:p>
            <w:pPr>
              <w:pStyle w:val="null3"/>
            </w:pPr>
            <w:r>
              <w:rPr/>
              <w:t>项目团队要求</w:t>
            </w:r>
          </w:p>
        </w:tc>
        <w:tc>
          <w:tcPr>
            <w:tcW w:type="dxa" w:w="2769"/>
          </w:tcPr>
          <w:p>
            <w:pPr>
              <w:pStyle w:val="null3"/>
            </w:pPr>
            <w:r>
              <w:rPr/>
              <w:t>项目团队人员设置合理，人员稳定性、专业性强，得3分；项目团队人员设置针对性不强，人员稳定性、专业性一般，得1.5分；项目团队人员设置不能满足项目需求，人员稳定性、专业性较差，不得分。</w:t>
            </w:r>
          </w:p>
        </w:tc>
        <w:tc>
          <w:tcPr>
            <w:tcW w:type="dxa" w:w="692"/>
          </w:tcPr>
          <w:p>
            <w:pPr>
              <w:pStyle w:val="null3"/>
              <w:jc w:val="right"/>
            </w:pPr>
            <w:r>
              <w:rPr/>
              <w:t>3.00</w:t>
            </w:r>
          </w:p>
        </w:tc>
        <w:tc>
          <w:tcPr>
            <w:tcW w:type="dxa" w:w="692"/>
          </w:tcPr>
          <w:p>
            <w:pPr>
              <w:pStyle w:val="null3"/>
            </w:pPr>
            <w:r>
              <w:rPr/>
              <w:t>主观</w:t>
            </w:r>
          </w:p>
        </w:tc>
      </w:tr>
      <w:tr>
        <w:tc>
          <w:tcPr>
            <w:tcW w:type="dxa" w:w="692"/>
            <w:vMerge/>
          </w:tcPr>
          <w:p/>
        </w:tc>
        <w:tc>
          <w:tcPr>
            <w:tcW w:type="dxa" w:w="2076"/>
          </w:tcPr>
          <w:p>
            <w:pPr>
              <w:pStyle w:val="null3"/>
            </w:pPr>
            <w:r>
              <w:rPr/>
              <w:t>项目团队要求2</w:t>
            </w:r>
          </w:p>
        </w:tc>
        <w:tc>
          <w:tcPr>
            <w:tcW w:type="dxa" w:w="2769"/>
          </w:tcPr>
          <w:p>
            <w:pPr>
              <w:pStyle w:val="null3"/>
            </w:pPr>
            <w:r>
              <w:rPr/>
              <w:t>项目经理：需有3年项目开发管理经验，得2分；不满足得0分。项目经理在2022年1月1日至今，参与过私有化部署项目的，每有1个有效案例得1分，满分3分。</w:t>
            </w:r>
          </w:p>
        </w:tc>
        <w:tc>
          <w:tcPr>
            <w:tcW w:type="dxa" w:w="692"/>
          </w:tcPr>
          <w:p>
            <w:pPr>
              <w:pStyle w:val="null3"/>
              <w:jc w:val="right"/>
            </w:pPr>
            <w:r>
              <w:rPr/>
              <w:t>5.00</w:t>
            </w:r>
          </w:p>
        </w:tc>
        <w:tc>
          <w:tcPr>
            <w:tcW w:type="dxa" w:w="692"/>
          </w:tcPr>
          <w:p>
            <w:pPr>
              <w:pStyle w:val="null3"/>
            </w:pPr>
            <w:r>
              <w:rPr/>
              <w:t>客观</w:t>
            </w:r>
          </w:p>
        </w:tc>
      </w:tr>
      <w:tr>
        <w:tc>
          <w:tcPr>
            <w:tcW w:type="dxa" w:w="692"/>
            <w:vMerge/>
          </w:tcPr>
          <w:p/>
        </w:tc>
        <w:tc>
          <w:tcPr>
            <w:tcW w:type="dxa" w:w="2076"/>
          </w:tcPr>
          <w:p>
            <w:pPr>
              <w:pStyle w:val="null3"/>
            </w:pPr>
            <w:r>
              <w:rPr/>
              <w:t>项目团队要求3</w:t>
            </w:r>
          </w:p>
        </w:tc>
        <w:tc>
          <w:tcPr>
            <w:tcW w:type="dxa" w:w="2769"/>
          </w:tcPr>
          <w:p>
            <w:pPr>
              <w:pStyle w:val="null3"/>
            </w:pPr>
            <w:r>
              <w:rPr/>
              <w:t>核心成员要求：项目建设主要负责人、主要业务人员应保持稳定，承诺服务地点在北京，提供承诺书并加盖公章，得2分；未能提供，得0分。</w:t>
            </w:r>
          </w:p>
        </w:tc>
        <w:tc>
          <w:tcPr>
            <w:tcW w:type="dxa" w:w="692"/>
          </w:tcPr>
          <w:p>
            <w:pPr>
              <w:pStyle w:val="null3"/>
              <w:jc w:val="right"/>
            </w:pPr>
            <w:r>
              <w:rPr/>
              <w:t>2.00</w:t>
            </w:r>
          </w:p>
        </w:tc>
        <w:tc>
          <w:tcPr>
            <w:tcW w:type="dxa" w:w="692"/>
          </w:tcPr>
          <w:p>
            <w:pPr>
              <w:pStyle w:val="null3"/>
            </w:pPr>
            <w:r>
              <w:rPr/>
              <w:t>客观</w:t>
            </w:r>
          </w:p>
        </w:tc>
      </w:tr>
      <w:tr>
        <w:tc>
          <w:tcPr>
            <w:tcW w:type="dxa" w:w="692"/>
            <w:vMerge/>
          </w:tcPr>
          <w:p/>
        </w:tc>
        <w:tc>
          <w:tcPr>
            <w:tcW w:type="dxa" w:w="2076"/>
          </w:tcPr>
          <w:p>
            <w:pPr>
              <w:pStyle w:val="null3"/>
            </w:pPr>
            <w:r>
              <w:rPr/>
              <w:t>技术方案</w:t>
            </w:r>
          </w:p>
        </w:tc>
        <w:tc>
          <w:tcPr>
            <w:tcW w:type="dxa" w:w="2769"/>
          </w:tcPr>
          <w:p>
            <w:pPr>
              <w:pStyle w:val="null3"/>
            </w:pPr>
            <w:r>
              <w:rPr/>
              <w:t>供应商需提供完整的技术方案，内容至少包括：技术要求阐述、方案设计、关键点分析等。 1.方案要素完整（完全包含以上服务内容），得2分；方案要素不完整有缺失的，得0分。</w:t>
            </w:r>
          </w:p>
        </w:tc>
        <w:tc>
          <w:tcPr>
            <w:tcW w:type="dxa" w:w="692"/>
          </w:tcPr>
          <w:p>
            <w:pPr>
              <w:pStyle w:val="null3"/>
              <w:jc w:val="right"/>
            </w:pPr>
            <w:r>
              <w:rPr/>
              <w:t>2.00</w:t>
            </w:r>
          </w:p>
        </w:tc>
        <w:tc>
          <w:tcPr>
            <w:tcW w:type="dxa" w:w="692"/>
          </w:tcPr>
          <w:p>
            <w:pPr>
              <w:pStyle w:val="null3"/>
            </w:pPr>
            <w:r>
              <w:rPr/>
              <w:t>客观</w:t>
            </w:r>
          </w:p>
        </w:tc>
      </w:tr>
      <w:tr>
        <w:tc>
          <w:tcPr>
            <w:tcW w:type="dxa" w:w="692"/>
            <w:vMerge/>
          </w:tcPr>
          <w:p/>
        </w:tc>
        <w:tc>
          <w:tcPr>
            <w:tcW w:type="dxa" w:w="2076"/>
          </w:tcPr>
          <w:p>
            <w:pPr>
              <w:pStyle w:val="null3"/>
            </w:pPr>
            <w:r>
              <w:rPr/>
              <w:t>技术方案2</w:t>
            </w:r>
          </w:p>
        </w:tc>
        <w:tc>
          <w:tcPr>
            <w:tcW w:type="dxa" w:w="2769"/>
          </w:tcPr>
          <w:p>
            <w:pPr>
              <w:pStyle w:val="null3"/>
            </w:pPr>
            <w:r>
              <w:rPr/>
              <w:t>技术要求阐述透彻，方案设计完整合理，关键点分析到位、针对性强，方案可行，得7分； 技术要求阐述充分，方案设计基本完整合理，方案可行，得5分； 技术要求阐述较差，方案设计较为合理，具有基本的关键点分析，方案基本可行，得3分； 技术要求阐述不充分，方案设计不完整，关键点分析不相关，得1分； 未提供相关内容得0分。</w:t>
            </w:r>
          </w:p>
        </w:tc>
        <w:tc>
          <w:tcPr>
            <w:tcW w:type="dxa" w:w="692"/>
          </w:tcPr>
          <w:p>
            <w:pPr>
              <w:pStyle w:val="null3"/>
              <w:jc w:val="right"/>
            </w:pPr>
            <w:r>
              <w:rPr/>
              <w:t>7.00</w:t>
            </w:r>
          </w:p>
        </w:tc>
        <w:tc>
          <w:tcPr>
            <w:tcW w:type="dxa" w:w="692"/>
          </w:tcPr>
          <w:p>
            <w:pPr>
              <w:pStyle w:val="null3"/>
            </w:pPr>
            <w:r>
              <w:rPr/>
              <w:t>主观</w:t>
            </w:r>
          </w:p>
        </w:tc>
      </w:tr>
      <w:tr>
        <w:tc>
          <w:tcPr>
            <w:tcW w:type="dxa" w:w="692"/>
            <w:vMerge/>
          </w:tcPr>
          <w:p/>
        </w:tc>
        <w:tc>
          <w:tcPr>
            <w:tcW w:type="dxa" w:w="2076"/>
          </w:tcPr>
          <w:p>
            <w:pPr>
              <w:pStyle w:val="null3"/>
            </w:pPr>
            <w:r>
              <w:rPr/>
              <w:t>服务方案</w:t>
            </w:r>
          </w:p>
        </w:tc>
        <w:tc>
          <w:tcPr>
            <w:tcW w:type="dxa" w:w="2769"/>
          </w:tcPr>
          <w:p>
            <w:pPr>
              <w:pStyle w:val="null3"/>
            </w:pPr>
            <w:r>
              <w:rPr/>
              <w:t>供应商应针对本项目提供详细的服务方案，包括总体目标、项目进度安排、质量保障方案、项目重点及难点解析、维保服务方案等内容。方案要素完整（完全包含以上内容），得2分；方案要素不完整有缺失的，得0分。</w:t>
            </w:r>
          </w:p>
        </w:tc>
        <w:tc>
          <w:tcPr>
            <w:tcW w:type="dxa" w:w="692"/>
          </w:tcPr>
          <w:p>
            <w:pPr>
              <w:pStyle w:val="null3"/>
              <w:jc w:val="right"/>
            </w:pPr>
            <w:r>
              <w:rPr/>
              <w:t>2.00</w:t>
            </w:r>
          </w:p>
        </w:tc>
        <w:tc>
          <w:tcPr>
            <w:tcW w:type="dxa" w:w="692"/>
          </w:tcPr>
          <w:p>
            <w:pPr>
              <w:pStyle w:val="null3"/>
            </w:pPr>
            <w:r>
              <w:rPr/>
              <w:t>客观</w:t>
            </w:r>
          </w:p>
        </w:tc>
      </w:tr>
      <w:tr>
        <w:tc>
          <w:tcPr>
            <w:tcW w:type="dxa" w:w="692"/>
            <w:vMerge/>
          </w:tcPr>
          <w:p/>
        </w:tc>
        <w:tc>
          <w:tcPr>
            <w:tcW w:type="dxa" w:w="2076"/>
          </w:tcPr>
          <w:p>
            <w:pPr>
              <w:pStyle w:val="null3"/>
            </w:pPr>
            <w:r>
              <w:rPr/>
              <w:t>服务方案2</w:t>
            </w:r>
          </w:p>
        </w:tc>
        <w:tc>
          <w:tcPr>
            <w:tcW w:type="dxa" w:w="2769"/>
          </w:tcPr>
          <w:p>
            <w:pPr>
              <w:pStyle w:val="null3"/>
            </w:pPr>
            <w:r>
              <w:rPr/>
              <w:t>方案内容详尽，方案具有可行性、针对性，得3分；方案内容详尽但可行性、针对性不足的，得1.5分；方案内容简单笼统，得0分。</w:t>
            </w:r>
          </w:p>
        </w:tc>
        <w:tc>
          <w:tcPr>
            <w:tcW w:type="dxa" w:w="692"/>
          </w:tcPr>
          <w:p>
            <w:pPr>
              <w:pStyle w:val="null3"/>
              <w:jc w:val="right"/>
            </w:pPr>
            <w:r>
              <w:rPr/>
              <w:t>3.00</w:t>
            </w:r>
          </w:p>
        </w:tc>
        <w:tc>
          <w:tcPr>
            <w:tcW w:type="dxa" w:w="692"/>
          </w:tcPr>
          <w:p>
            <w:pPr>
              <w:pStyle w:val="null3"/>
            </w:pPr>
            <w:r>
              <w:rPr/>
              <w:t>主观</w:t>
            </w:r>
          </w:p>
        </w:tc>
      </w:tr>
      <w:tr>
        <w:tc>
          <w:tcPr>
            <w:tcW w:type="dxa" w:w="692"/>
            <w:vMerge/>
          </w:tcPr>
          <w:p/>
        </w:tc>
        <w:tc>
          <w:tcPr>
            <w:tcW w:type="dxa" w:w="2076"/>
          </w:tcPr>
          <w:p>
            <w:pPr>
              <w:pStyle w:val="null3"/>
            </w:pPr>
            <w:r>
              <w:rPr/>
              <w:t>应急预案</w:t>
            </w:r>
          </w:p>
        </w:tc>
        <w:tc>
          <w:tcPr>
            <w:tcW w:type="dxa" w:w="2769"/>
          </w:tcPr>
          <w:p>
            <w:pPr>
              <w:pStyle w:val="null3"/>
            </w:pPr>
            <w:r>
              <w:rPr/>
              <w:t>供应商应针对本项目提供详细的应急预案，包括项目风险预测、风险识别与评估、应急预案制定与更新、技术和人员保障等内容。 1.方案要素完整（完全包含以上内容），得2分；方案要素不完整有缺失的，得0分。</w:t>
            </w:r>
          </w:p>
        </w:tc>
        <w:tc>
          <w:tcPr>
            <w:tcW w:type="dxa" w:w="692"/>
          </w:tcPr>
          <w:p>
            <w:pPr>
              <w:pStyle w:val="null3"/>
              <w:jc w:val="right"/>
            </w:pPr>
            <w:r>
              <w:rPr/>
              <w:t>2.00</w:t>
            </w:r>
          </w:p>
        </w:tc>
        <w:tc>
          <w:tcPr>
            <w:tcW w:type="dxa" w:w="692"/>
          </w:tcPr>
          <w:p>
            <w:pPr>
              <w:pStyle w:val="null3"/>
            </w:pPr>
            <w:r>
              <w:rPr/>
              <w:t>客观</w:t>
            </w:r>
          </w:p>
        </w:tc>
      </w:tr>
      <w:tr>
        <w:tc>
          <w:tcPr>
            <w:tcW w:type="dxa" w:w="692"/>
            <w:vMerge/>
          </w:tcPr>
          <w:p/>
        </w:tc>
        <w:tc>
          <w:tcPr>
            <w:tcW w:type="dxa" w:w="2076"/>
          </w:tcPr>
          <w:p>
            <w:pPr>
              <w:pStyle w:val="null3"/>
            </w:pPr>
            <w:r>
              <w:rPr/>
              <w:t>应急预案2</w:t>
            </w:r>
          </w:p>
        </w:tc>
        <w:tc>
          <w:tcPr>
            <w:tcW w:type="dxa" w:w="2769"/>
          </w:tcPr>
          <w:p>
            <w:pPr>
              <w:pStyle w:val="null3"/>
            </w:pPr>
            <w:r>
              <w:rPr/>
              <w:t>方案内容详尽，方案具有可行性、针对性，得2分；方案内容详尽但可行性、针对性不足的，得1分；方案内容简单笼统，得0分。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保密方案2</w:t>
            </w:r>
          </w:p>
        </w:tc>
        <w:tc>
          <w:tcPr>
            <w:tcW w:type="dxa" w:w="2769"/>
          </w:tcPr>
          <w:p>
            <w:pPr>
              <w:pStyle w:val="null3"/>
            </w:pPr>
            <w:r>
              <w:rPr/>
              <w:t>供应商应针对本项目提供详细的保密方案，包括保密管理体系建设、人员保密制度建设、数据安全管理、泄密惩罚制度等内容。 1.方案要素完整（完全包含以上内容），得1分；方案要素不完整有缺失的，得0分。</w:t>
            </w:r>
          </w:p>
        </w:tc>
        <w:tc>
          <w:tcPr>
            <w:tcW w:type="dxa" w:w="692"/>
          </w:tcPr>
          <w:p>
            <w:pPr>
              <w:pStyle w:val="null3"/>
              <w:jc w:val="right"/>
            </w:pPr>
            <w:r>
              <w:rPr/>
              <w:t>1.00</w:t>
            </w:r>
          </w:p>
        </w:tc>
        <w:tc>
          <w:tcPr>
            <w:tcW w:type="dxa" w:w="692"/>
          </w:tcPr>
          <w:p>
            <w:pPr>
              <w:pStyle w:val="null3"/>
            </w:pPr>
            <w:r>
              <w:rPr/>
              <w:t>客观</w:t>
            </w:r>
          </w:p>
        </w:tc>
      </w:tr>
      <w:tr>
        <w:tc>
          <w:tcPr>
            <w:tcW w:type="dxa" w:w="692"/>
            <w:vMerge/>
          </w:tcPr>
          <w:p/>
        </w:tc>
        <w:tc>
          <w:tcPr>
            <w:tcW w:type="dxa" w:w="2076"/>
          </w:tcPr>
          <w:p>
            <w:pPr>
              <w:pStyle w:val="null3"/>
            </w:pPr>
            <w:r>
              <w:rPr/>
              <w:t>保密方案</w:t>
            </w:r>
          </w:p>
        </w:tc>
        <w:tc>
          <w:tcPr>
            <w:tcW w:type="dxa" w:w="2769"/>
          </w:tcPr>
          <w:p>
            <w:pPr>
              <w:pStyle w:val="null3"/>
            </w:pPr>
            <w:r>
              <w:rPr/>
              <w:t>方案内容详尽，方案具有可行性、针对性，得2分；方案内容详尽但可行性、针对性不足的，得1分；方案内容简单笼统，得0分。</w:t>
            </w:r>
          </w:p>
        </w:tc>
        <w:tc>
          <w:tcPr>
            <w:tcW w:type="dxa" w:w="692"/>
          </w:tcPr>
          <w:p>
            <w:pPr>
              <w:pStyle w:val="null3"/>
              <w:jc w:val="right"/>
            </w:pPr>
            <w:r>
              <w:rPr/>
              <w:t>2.00</w:t>
            </w:r>
          </w:p>
        </w:tc>
        <w:tc>
          <w:tcPr>
            <w:tcW w:type="dxa" w:w="692"/>
          </w:tcPr>
          <w:p>
            <w:pPr>
              <w:pStyle w:val="null3"/>
            </w:pPr>
            <w:r>
              <w:rPr/>
              <w:t>主观</w:t>
            </w:r>
          </w:p>
        </w:tc>
      </w:tr>
      <w:tr>
        <w:tc>
          <w:tcPr>
            <w:tcW w:type="dxa" w:w="692"/>
          </w:tcPr>
          <w:p>
            <w:pPr>
              <w:pStyle w:val="null3"/>
            </w:pPr>
            <w:r>
              <w:rPr/>
              <w:t>价格分</w:t>
            </w:r>
          </w:p>
        </w:tc>
        <w:tc>
          <w:tcPr>
            <w:tcW w:type="dxa" w:w="2076"/>
          </w:tcPr>
          <w:p>
            <w:pPr>
              <w:pStyle w:val="null3"/>
            </w:pPr>
            <w:r>
              <w:rPr/>
              <w:t>价格分</w:t>
            </w:r>
          </w:p>
        </w:tc>
        <w:tc>
          <w:tcPr>
            <w:tcW w:type="dxa" w:w="2769"/>
          </w:tcPr>
          <w:p>
            <w:pPr>
              <w:pStyle w:val="null3"/>
            </w:pPr>
            <w:r>
              <w:rPr/>
              <w:t>以所有有效投标报价中的最低报价为基准价，其价格为满分。对参与投标的中小企业进行价格扣除，其他投标人的价格分按照公式计算：价格分=（基准价/投标报价）×10%×100。</w:t>
            </w:r>
          </w:p>
        </w:tc>
        <w:tc>
          <w:tcPr>
            <w:tcW w:type="dxa" w:w="692"/>
          </w:tcPr>
          <w:p>
            <w:pPr>
              <w:pStyle w:val="null3"/>
              <w:jc w:val="right"/>
            </w:pPr>
            <w:r>
              <w:rPr/>
              <w:t>10.00</w:t>
            </w:r>
          </w:p>
        </w:tc>
        <w:tc>
          <w:tcPr>
            <w:tcW w:type="dxa" w:w="692"/>
          </w:tcPr>
          <w:p>
            <w:pPr>
              <w:pStyle w:val="null3"/>
            </w:pPr>
            <w:r>
              <w:rPr/>
              <w:t>客观</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1"/>
          </w:tcPr>
          <w:p>
            <w:pPr>
              <w:pStyle w:val="null3"/>
            </w:pPr>
            <w:r>
              <w:rPr/>
              <w:t>1</w:t>
            </w:r>
          </w:p>
        </w:tc>
        <w:tc>
          <w:tcPr>
            <w:tcW w:type="dxa" w:w="1661"/>
          </w:tcPr>
          <w:p>
            <w:pPr>
              <w:pStyle w:val="null3"/>
            </w:pPr>
            <w:r>
              <w:rPr/>
              <w:t>促进中小企业发展相关政策</w:t>
            </w:r>
          </w:p>
        </w:tc>
        <w:tc>
          <w:tcPr>
            <w:tcW w:type="dxa" w:w="1661"/>
          </w:tcPr>
          <w:p/>
        </w:tc>
        <w:tc>
          <w:tcPr>
            <w:tcW w:type="dxa" w:w="831"/>
          </w:tcPr>
          <w:p>
            <w:pPr>
              <w:pStyle w:val="null3"/>
              <w:jc w:val="right"/>
            </w:pPr>
            <w:r>
              <w:rPr/>
              <w:t>10.00%</w:t>
            </w:r>
          </w:p>
        </w:tc>
        <w:tc>
          <w:tcPr>
            <w:tcW w:type="dxa" w:w="3322"/>
          </w:tcPr>
          <w:p>
            <w:pPr>
              <w:pStyle w:val="null3"/>
            </w:pPr>
            <w:r>
              <w:rPr/>
              <w:t>本项目对属于小型和微型企业的投标人的投标报价给予相应百分比的扣除，用扣除后的价格参与评审。残疾人福利性单位视同小型、微型企业，享受同等价格扣除，但同时属于残疾人福利性单位和小微企业的，不重复价格扣除。</w:t>
            </w:r>
          </w:p>
        </w:tc>
      </w:tr>
      <w:tr>
        <w:tc>
          <w:tcPr>
            <w:tcW w:type="dxa" w:w="831"/>
          </w:tcPr>
          <w:p>
            <w:pPr>
              <w:pStyle w:val="null3"/>
            </w:pPr>
            <w:r>
              <w:rPr/>
              <w:t>2</w:t>
            </w:r>
          </w:p>
        </w:tc>
        <w:tc>
          <w:tcPr>
            <w:tcW w:type="dxa" w:w="1661"/>
          </w:tcPr>
          <w:p>
            <w:pPr>
              <w:pStyle w:val="null3"/>
            </w:pPr>
            <w:r>
              <w:rPr/>
              <w:t>落实本国产品标准及相关政策</w:t>
            </w:r>
          </w:p>
        </w:tc>
        <w:tc>
          <w:tcPr>
            <w:tcW w:type="dxa" w:w="1661"/>
          </w:tcPr>
          <w:p/>
        </w:tc>
        <w:tc>
          <w:tcPr>
            <w:tcW w:type="dxa" w:w="831"/>
          </w:tcPr>
          <w:p>
            <w:pPr>
              <w:pStyle w:val="null3"/>
              <w:jc w:val="right"/>
            </w:pPr>
            <w:r>
              <w:rPr/>
              <w:t>20.00%</w:t>
            </w:r>
          </w:p>
        </w:tc>
        <w:tc>
          <w:tcPr>
            <w:tcW w:type="dxa" w:w="3322"/>
          </w:tcPr>
          <w:p>
            <w:pPr>
              <w:pStyle w:val="null3"/>
            </w:pPr>
            <w:r>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注：本国产品标准适用于货物，包括政府采购货物项目和服务项目中涉及的货物</w:t>
            </w:r>
          </w:p>
        </w:tc>
      </w:tr>
    </w:tbl>
    <w:p>
      <w:pPr>
        <w:pStyle w:val="null3"/>
        <w:jc w:val="left"/>
        <w:outlineLvl w:val="2"/>
      </w:pPr>
      <w:r>
        <w:rPr>
          <w:sz w:val="28"/>
          <w:b/>
        </w:rPr>
        <w:t>5.6 确定中标程序</w:t>
      </w:r>
    </w:p>
    <w:p>
      <w:pPr>
        <w:pStyle w:val="null3"/>
        <w:jc w:val="both"/>
      </w:pPr>
      <w:r>
        <w:rPr/>
        <w:t>一、公示中标候选人</w:t>
      </w:r>
    </w:p>
    <w:p>
      <w:pPr>
        <w:pStyle w:val="null3"/>
        <w:jc w:val="both"/>
      </w:pPr>
      <w:r>
        <w:rPr/>
        <w:t>无。</w:t>
      </w:r>
    </w:p>
    <w:p>
      <w:pPr>
        <w:pStyle w:val="null3"/>
        <w:jc w:val="both"/>
      </w:pPr>
      <w:r>
        <w:rPr/>
        <w:t>二、确定中标方式</w:t>
      </w:r>
    </w:p>
    <w:p>
      <w:pPr>
        <w:pStyle w:val="null3"/>
        <w:jc w:val="both"/>
      </w:pPr>
      <w:r>
        <w:rPr/>
        <w:t>确定中标方式详见本招标文件第二章投标人须知前格式中“确认中标方式”。</w:t>
      </w:r>
    </w:p>
    <w:p>
      <w:pPr>
        <w:pStyle w:val="null3"/>
        <w:jc w:val="both"/>
      </w:pPr>
      <w:r>
        <w:rPr/>
        <w:t>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详见附件：服务说明一览表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详见附件：法人或者其他组织的营业执照等证明文件，自然人的身份证明</w:t>
      </w:r>
    </w:p>
    <w:p>
      <w:pPr>
        <w:pStyle w:val="null3"/>
        <w:ind w:firstLine="960"/>
      </w:pPr>
      <w:r>
        <w:rPr/>
        <w:t>详见附件：关于符合本国产品标准的声明函</w:t>
      </w:r>
    </w:p>
    <w:p>
      <w:pPr>
        <w:pStyle w:val="null3"/>
        <w:ind w:firstLine="960"/>
      </w:pPr>
      <w:r>
        <w:rPr/>
        <w:t>详见附件：异常低价情形第3项的相关书面说明及必要的证明材料</w:t>
      </w:r>
    </w:p>
    <w:p>
      <w:pPr>
        <w:pStyle w:val="null3"/>
        <w:ind w:firstLine="960"/>
      </w:pPr>
      <w:r>
        <w:rPr/>
        <w:t>详见附件：符合本国产品标准的产品成本之和占所提供全部产品成本之和的比例的声明函</w:t>
      </w:r>
    </w:p>
    <w:p>
      <w:pPr>
        <w:pStyle w:val="null3"/>
        <w:ind w:firstLine="960"/>
      </w:pPr>
      <w:r>
        <w:rPr/>
        <w:t>详见附件：技术条款第1条证明文件</w:t>
      </w:r>
    </w:p>
    <w:p>
      <w:pPr>
        <w:pStyle w:val="null3"/>
        <w:ind w:firstLine="960"/>
      </w:pPr>
      <w:r>
        <w:rPr/>
        <w:t>详见附件：技术条款第15条证明文件</w:t>
      </w:r>
    </w:p>
    <w:p>
      <w:pPr>
        <w:pStyle w:val="null3"/>
        <w:ind w:firstLine="960"/>
      </w:pPr>
      <w:r>
        <w:rPr/>
        <w:t>详见附件：技术条款第16条证明文件</w:t>
      </w:r>
    </w:p>
    <w:p>
      <w:pPr>
        <w:pStyle w:val="null3"/>
        <w:ind w:firstLine="960"/>
      </w:pPr>
      <w:r>
        <w:rPr/>
        <w:t>详见附件：技术条款第17条证明文件</w:t>
      </w:r>
    </w:p>
    <w:p>
      <w:pPr>
        <w:pStyle w:val="null3"/>
        <w:ind w:firstLine="960"/>
      </w:pPr>
      <w:r>
        <w:rPr/>
        <w:t>详见附件：技术条款第18条证明文件</w:t>
      </w:r>
    </w:p>
    <w:p>
      <w:pPr>
        <w:pStyle w:val="null3"/>
        <w:ind w:firstLine="960"/>
      </w:pPr>
      <w:r>
        <w:rPr/>
        <w:t>详见附件：技术条款第19条证明文件</w:t>
      </w:r>
    </w:p>
    <w:p>
      <w:pPr>
        <w:pStyle w:val="null3"/>
        <w:ind w:firstLine="960"/>
      </w:pPr>
      <w:r>
        <w:rPr/>
        <w:t>详见附件：技术条款第20条证明文件</w:t>
      </w:r>
    </w:p>
    <w:p>
      <w:pPr>
        <w:pStyle w:val="null3"/>
        <w:ind w:firstLine="960"/>
      </w:pPr>
      <w:r>
        <w:rPr/>
        <w:t>详见附件：商务条款第1条证明文件</w:t>
      </w:r>
    </w:p>
    <w:p>
      <w:pPr>
        <w:pStyle w:val="null3"/>
        <w:ind w:firstLine="960"/>
      </w:pPr>
      <w:r>
        <w:rPr/>
        <w:t>详见附件：商务条款第2条证明文件</w:t>
      </w:r>
    </w:p>
    <w:p>
      <w:pPr>
        <w:pStyle w:val="null3"/>
        <w:ind w:firstLine="960"/>
      </w:pPr>
      <w:r>
        <w:rPr/>
        <w:t>详见附件：商务条款第4条证明文件</w:t>
      </w:r>
    </w:p>
    <w:p>
      <w:pPr>
        <w:pStyle w:val="null3"/>
        <w:ind w:firstLine="960"/>
      </w:pPr>
      <w:r>
        <w:rPr/>
        <w:t>详见附件：商务条款第6条证明文件</w:t>
      </w:r>
    </w:p>
    <w:p>
      <w:pPr>
        <w:pStyle w:val="null3"/>
        <w:ind w:firstLine="960"/>
      </w:pPr>
      <w:r>
        <w:rPr/>
        <w:t>详见附件：商务条款第7条证明文件</w:t>
      </w:r>
    </w:p>
    <w:p>
      <w:pPr>
        <w:pStyle w:val="null3"/>
        <w:ind w:firstLine="960"/>
      </w:pPr>
      <w:r>
        <w:rPr/>
        <w:t>详见附件：商务条款第8条证明文件</w:t>
      </w:r>
    </w:p>
    <w:p>
      <w:pPr>
        <w:pStyle w:val="null3"/>
        <w:ind w:firstLine="960"/>
      </w:pPr>
      <w:r>
        <w:rPr/>
        <w:t>详见附件：商务条款第9条证明文件</w:t>
      </w:r>
    </w:p>
    <w:p>
      <w:pPr>
        <w:pStyle w:val="null3"/>
        <w:ind w:firstLine="960"/>
      </w:pPr>
      <w:r>
        <w:rPr/>
        <w:t>详见附件：商务条款第10条证明文件</w:t>
      </w:r>
    </w:p>
    <w:p>
      <w:pPr>
        <w:pStyle w:val="null3"/>
        <w:ind w:firstLine="960"/>
      </w:pPr>
      <w:r>
        <w:rPr/>
        <w:t>详见附件：商务条款第14条证明文件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t>详见附件：中国人民银行电子印章公共服务平台建设项目采购合同-20260527.docx</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本招标文件未尽事宜 </w:t>
      </w:r>
      <w:r>
        <w:rPr/>
        <w:t>按照</w:t>
      </w:r>
      <w:r>
        <w:rPr/>
        <w:t xml:space="preserve">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