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中国印钞造币2026年第一批服务器采购项目-包2（GPU服务器(ARM)</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056GSH2026065</w:t>
      </w:r>
      <w:r>
        <w:br/>
      </w:r>
      <w:r>
        <w:br/>
      </w:r>
      <w:r>
        <w:br/>
      </w:r>
    </w:p>
    <w:p>
      <w:pPr>
        <w:pStyle w:val="null3"/>
        <w:jc w:val="center"/>
      </w:pPr>
      <w:r>
        <w:rPr/>
        <w:t>中国人民银行集中采购中心</w:t>
      </w:r>
    </w:p>
    <w:p>
      <w:pPr>
        <w:pStyle w:val="null3"/>
        <w:jc w:val="center"/>
      </w:pPr>
      <w:r>
        <w:rPr/>
        <w:t>2026年07月14日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中国印钞造币2026年第一批服务器采购项目-包2（GPU服务器(ARM)</w:t>
      </w:r>
      <w:r>
        <w:rPr/>
        <w:t xml:space="preserve"> ”（项目编号： </w:t>
      </w:r>
      <w:r>
        <w:rPr/>
        <w:t>056GSH2026065</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1,900,000.00</w:t>
      </w:r>
    </w:p>
    <w:p>
      <w:pPr>
        <w:pStyle w:val="null3"/>
        <w:jc w:val="left"/>
      </w:pPr>
      <w:r>
        <w:rPr/>
        <w:t>采购包最高限价（元）: 1,900,000.00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GPU服务器A(ARM)</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1.00</w:t>
            </w:r>
          </w:p>
        </w:tc>
        <w:tc>
          <w:tcPr>
            <w:tcW w:type="dxa" w:w="593"/>
          </w:tcPr>
          <w:p>
            <w:pPr>
              <w:pStyle w:val="null3"/>
              <w:jc w:val="left"/>
            </w:pPr>
            <w:r>
              <w:rPr/>
              <w:t>工业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1,380,000.00</w:t>
            </w:r>
          </w:p>
        </w:tc>
        <w:tc>
          <w:tcPr>
            <w:tcW w:type="dxa" w:w="593"/>
          </w:tcPr>
          <w:p/>
        </w:tc>
      </w:tr>
      <w:tr>
        <w:tc>
          <w:tcPr>
            <w:tcW w:type="dxa" w:w="593"/>
          </w:tcPr>
          <w:p>
            <w:pPr>
              <w:pStyle w:val="null3"/>
              <w:jc w:val="left"/>
            </w:pPr>
            <w:r>
              <w:rPr/>
              <w:t>2</w:t>
            </w:r>
          </w:p>
        </w:tc>
        <w:tc>
          <w:tcPr>
            <w:tcW w:type="dxa" w:w="593"/>
          </w:tcPr>
          <w:p>
            <w:pPr>
              <w:pStyle w:val="null3"/>
              <w:jc w:val="left"/>
            </w:pPr>
            <w:r>
              <w:rPr/>
              <w:t>GPU服务器A(ARM)</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520,000.00</w:t>
            </w:r>
          </w:p>
        </w:tc>
        <w:tc>
          <w:tcPr>
            <w:tcW w:type="dxa" w:w="593"/>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金先生</w:t>
      </w:r>
    </w:p>
    <w:p>
      <w:pPr>
        <w:pStyle w:val="null3"/>
        <w:jc w:val="left"/>
      </w:pPr>
      <w:r>
        <w:rPr/>
        <w:t xml:space="preserve"> 联系电话： </w:t>
      </w:r>
      <w:r>
        <w:rPr/>
        <w:t>010-88016742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010-669195317</w:t>
      </w:r>
    </w:p>
    <w:p>
      <w:pPr>
        <w:pStyle w:val="null3"/>
        <w:jc w:val="left"/>
      </w:pPr>
      <w:r>
        <w:rPr/>
        <w:t xml:space="preserve"> 联系人（开、评标咨询）： </w:t>
      </w:r>
      <w:r>
        <w:rPr/>
        <w:t>冯先生</w:t>
      </w:r>
    </w:p>
    <w:p>
      <w:pPr>
        <w:pStyle w:val="null3"/>
        <w:jc w:val="left"/>
      </w:pPr>
      <w:r>
        <w:rPr/>
        <w:t xml:space="preserve"> 联系电话（开、评标咨询）： </w:t>
      </w:r>
      <w:r>
        <w:rPr/>
        <w:t>010-66194772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 xml:space="preserve"> 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w:t>
            </w:r>
          </w:p>
          <w:p>
            <w:pPr>
              <w:pStyle w:val="null3"/>
            </w:pPr>
            <w:r>
              <w:rPr/>
              <w:t xml:space="preserve"> 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根据信创工作计划和相关项目建设需求，对2026年第一批服务器采购项目发起采购。</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企业集中采购项目立项党委会决议、企业年度综合计划。</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通过采购服务器资源，满足中国印钞造币集团有限公司及所属企业信创建设按期完成，满足国产虚拟化、超融合平台新增节点扩容需要。</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2台国产ARM芯片服务器的供货、安装、调试及质保服务。其中包括：中钞印制技术研究院有限公司1台GPU服务器A(ARM)和1台GPU服务器B(ARM)。</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应用于中国印钞造币集团公司本部及其12家所属企业的多个业务系统。</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为完成企业业务系统信创改造目标及项目建设需求，考虑采购符合国家安全可靠测评要求的服务器。</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本技术要求共有“★”指标108个，”#”指标4个，“▲”指标44个。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a）供应商给出 CPU 信息，包含 CPU 型号、物理核心数、主频、末级缓存容量、线程数、热设计功耗及支持内存的最高速率、通道数和位宽；b）实配≥4颗ARM架构国产芯片的处理器</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a）供应商给出主板支持的 CPU 和内存的型号数量；b）≥4颗 CPU 且≥16条内存</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内存槽位支持≥16</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支持 SATA、SAS、M.2等存储接口</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PCIe5.0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提供 8个物理PCIe x16插槽，空间上需能容纳 8张全高全长双宽GPU卡，并配备GPU专用的独立散热风道</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GPU服务器A（ARM）</w:t>
            </w:r>
          </w:p>
        </w:tc>
        <w:tc>
          <w:tcPr>
            <w:tcW w:type="dxa" w:w="1038"/>
          </w:tcPr>
          <w:p/>
        </w:tc>
        <w:tc>
          <w:tcPr>
            <w:tcW w:type="dxa" w:w="1038"/>
          </w:tcPr>
          <w:p>
            <w:pPr>
              <w:pStyle w:val="null3"/>
            </w:pPr>
            <w:r>
              <w:rPr/>
              <w:t>*主板规格</w:t>
            </w:r>
          </w:p>
        </w:tc>
        <w:tc>
          <w:tcPr>
            <w:tcW w:type="dxa" w:w="1038"/>
          </w:tcPr>
          <w:p>
            <w:pPr>
              <w:pStyle w:val="null3"/>
            </w:pPr>
            <w:r>
              <w:rPr/>
              <w:t>特殊孔位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GPU服务器A（ARM）</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GPU服务器A（ARM）</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≥16</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≥32GB DDR4</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 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GPU服务器A（ARM）</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a)实配2块 960GB SATA SSD盘； b)实配2块 7.68TB NVMe SSD盘； c)实配6块 3.84TB SATA SSD盘。</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GPU服务器A（ARM）</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a)实配2块 960GB SATA SSD盘； b)实配2块 7.68TB NVMe SSD盘； c)实配6块 3.84TB SATA SSD盘。</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2.5 英寸或3.5 英寸硬盘，硬盘槽位数不少于12。</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GPU服务器A（ARM）</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RAID卡规格（若支持 RAID卡）</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GPU服务器A（ARM）</w:t>
            </w:r>
          </w:p>
        </w:tc>
        <w:tc>
          <w:tcPr>
            <w:tcW w:type="dxa" w:w="1038"/>
          </w:tcPr>
          <w:p/>
        </w:tc>
        <w:tc>
          <w:tcPr>
            <w:tcW w:type="dxa" w:w="1038"/>
          </w:tcPr>
          <w:p>
            <w:pPr>
              <w:pStyle w:val="null3"/>
            </w:pPr>
            <w:r>
              <w:rPr/>
              <w:t>SAS 直通卡规格 (若支持SAS直通卡)</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GPU服务器A（ARM）</w:t>
            </w:r>
          </w:p>
        </w:tc>
        <w:tc>
          <w:tcPr>
            <w:tcW w:type="dxa" w:w="1038"/>
          </w:tcPr>
          <w:p/>
        </w:tc>
        <w:tc>
          <w:tcPr>
            <w:tcW w:type="dxa" w:w="1038"/>
          </w:tcPr>
          <w:p>
            <w:pPr>
              <w:pStyle w:val="null3"/>
            </w:pPr>
            <w:r>
              <w:rPr/>
              <w:t>HBA 卡规格 (若支持HBA直通卡)</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实配2块双口25G网卡；2块单口100G网卡；配套多模光模块，配套连接线缆</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GPU服务器A（ARM）</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GPU服务器A（ARM）</w:t>
            </w:r>
          </w:p>
        </w:tc>
        <w:tc>
          <w:tcPr>
            <w:tcW w:type="dxa" w:w="1038"/>
          </w:tcP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GPU服务器A（ARM）</w:t>
            </w:r>
          </w:p>
        </w:tc>
        <w:tc>
          <w:tcPr>
            <w:tcW w:type="dxa" w:w="1038"/>
          </w:tcP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GPU服务器A（ARM）</w:t>
            </w:r>
          </w:p>
        </w:tc>
        <w:tc>
          <w:tcPr>
            <w:tcW w:type="dxa" w:w="1038"/>
          </w:tcP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显示接口类型至少提供VGA</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w:t>
            </w:r>
          </w:p>
        </w:tc>
        <w:tc>
          <w:tcPr>
            <w:tcW w:type="dxa" w:w="1038"/>
          </w:tcPr>
          <w:p>
            <w:pPr>
              <w:pStyle w:val="null3"/>
            </w:pPr>
            <w:r>
              <w:rPr/>
              <w:t>至少配备2个USB 接口，如USB2.0、USB3.0 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GPU服务器A（ARM）</w:t>
            </w:r>
          </w:p>
        </w:tc>
        <w:tc>
          <w:tcPr>
            <w:tcW w:type="dxa" w:w="1038"/>
          </w:tcPr>
          <w:p/>
        </w:tc>
        <w:tc>
          <w:tcPr>
            <w:tcW w:type="dxa" w:w="1038"/>
          </w:tcPr>
          <w:p>
            <w:pPr>
              <w:pStyle w:val="null3"/>
            </w:pPr>
            <w:r>
              <w:rPr/>
              <w:t>*外部接口规格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GPU服务器A（ARM）</w:t>
            </w:r>
          </w:p>
        </w:tc>
        <w:tc>
          <w:tcPr>
            <w:tcW w:type="dxa" w:w="1038"/>
          </w:tcPr>
          <w:p/>
        </w:tc>
        <w:tc>
          <w:tcPr>
            <w:tcW w:type="dxa" w:w="1038"/>
          </w:tcPr>
          <w:p>
            <w:pPr>
              <w:pStyle w:val="null3"/>
            </w:pPr>
            <w:r>
              <w:rPr/>
              <w:t>*外部接口规格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GPU服务器A（ARM）</w:t>
            </w:r>
          </w:p>
        </w:tc>
        <w:tc>
          <w:tcPr>
            <w:tcW w:type="dxa" w:w="1038"/>
          </w:tcP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支持N+N冗余配置，3000W</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GPU服务器A（ARM）</w:t>
            </w:r>
          </w:p>
        </w:tc>
        <w:tc>
          <w:tcPr>
            <w:tcW w:type="dxa" w:w="1038"/>
          </w:tcP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产品表面不应有明显的凹痕、划伤、裂缝、变形和污染等。表面涂层均匀，不应起泡、龟裂、脱落和磨损，金属零部件无锈蚀及其它机械损伤。</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*尺寸（高×宽×深）</w:t>
            </w:r>
          </w:p>
        </w:tc>
        <w:tc>
          <w:tcPr>
            <w:tcW w:type="dxa" w:w="1038"/>
          </w:tcPr>
          <w:p>
            <w:pPr>
              <w:pStyle w:val="null3"/>
            </w:pPr>
            <w:r>
              <w:rPr/>
              <w:t>标准19寸机架式服务器并配置导轨或托盘，高度≥4U。</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GPU服务器A（ARM）</w:t>
            </w:r>
          </w:p>
        </w:tc>
        <w:tc>
          <w:tcPr>
            <w:tcW w:type="dxa" w:w="1038"/>
          </w:tcPr>
          <w:p/>
        </w:tc>
        <w:tc>
          <w:tcPr>
            <w:tcW w:type="dxa" w:w="1038"/>
          </w:tcPr>
          <w:p>
            <w:pPr>
              <w:pStyle w:val="null3"/>
            </w:pPr>
            <w:r>
              <w:rPr/>
              <w:t>*整机规格</w:t>
            </w:r>
          </w:p>
        </w:tc>
        <w:tc>
          <w:tcPr>
            <w:tcW w:type="dxa" w:w="1038"/>
          </w:tcPr>
          <w:p>
            <w:pPr>
              <w:pStyle w:val="null3"/>
            </w:pPr>
            <w:r>
              <w:rPr/>
              <w:t>服务器导轨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GPU服务器A（ARM）</w:t>
            </w:r>
          </w:p>
        </w:tc>
        <w:tc>
          <w:tcPr>
            <w:tcW w:type="dxa" w:w="1038"/>
          </w:tcPr>
          <w:p/>
        </w:tc>
        <w:tc>
          <w:tcPr>
            <w:tcW w:type="dxa" w:w="1038"/>
          </w:tcPr>
          <w:p>
            <w:pPr>
              <w:pStyle w:val="null3"/>
            </w:pPr>
            <w:r>
              <w:rPr/>
              <w:t>*整机规格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*环境适应性</w:t>
            </w:r>
          </w:p>
        </w:tc>
        <w:tc>
          <w:tcPr>
            <w:tcW w:type="dxa" w:w="1038"/>
          </w:tcPr>
          <w:p>
            <w:pPr>
              <w:pStyle w:val="null3"/>
            </w:pPr>
            <w:r>
              <w:rPr/>
              <w:t>气候环境适应性应符合GB/T9813.3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GPU服务器A（ARM）</w:t>
            </w:r>
          </w:p>
        </w:tc>
        <w:tc>
          <w:tcPr>
            <w:tcW w:type="dxa" w:w="1038"/>
          </w:tcPr>
          <w:p/>
        </w:tc>
        <w:tc>
          <w:tcPr>
            <w:tcW w:type="dxa" w:w="1038"/>
          </w:tcPr>
          <w:p>
            <w:pPr>
              <w:pStyle w:val="null3"/>
            </w:pPr>
            <w:r>
              <w:rPr/>
              <w:t>*整机规格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*噪声</w:t>
            </w:r>
          </w:p>
        </w:tc>
        <w:tc>
          <w:tcPr>
            <w:tcW w:type="dxa" w:w="1038"/>
          </w:tcPr>
          <w:p>
            <w:pPr>
              <w:pStyle w:val="null3"/>
            </w:pPr>
            <w:r>
              <w:rPr/>
              <w:t>符合GB/T 9813.3 的有关规定，在产品说明中给出具体测试值塔式服务器噪声在空闲状态下不大于50dB。</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配备8颗AI芯片，应符合如下要求:a)同一型号； b)单颗GPU芯片配置需满足单精度FP16峰值算力≥280 TFLOPS、INT8峰值算力≥560 TOPS，搭载≥32GB HBM2e high-bandwidth显存、显存带宽≥392GB/s</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GPU服务器A（ARM）</w:t>
            </w:r>
          </w:p>
        </w:tc>
        <w:tc>
          <w:tcPr>
            <w:tcW w:type="dxa" w:w="1038"/>
          </w:tcPr>
          <w:p/>
        </w:tc>
        <w:tc>
          <w:tcPr>
            <w:tcW w:type="dxa" w:w="1038"/>
          </w:tcPr>
          <w:p>
            <w:pPr>
              <w:pStyle w:val="null3"/>
            </w:pPr>
            <w:r>
              <w:rPr/>
              <w:t>AI 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无需配备机柜，所投产品可放入标准19寸机柜。</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GPU服务器A（ARM）</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GPU服务器A（ARM）</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支持USB、显示、BMC管理等接口。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GPU服务器A（ARM）</w:t>
            </w:r>
          </w:p>
        </w:tc>
        <w:tc>
          <w:tcPr>
            <w:tcW w:type="dxa" w:w="1038"/>
          </w:tcP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GPU服务器A（ARM）</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 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的相关规定，或芯片密码模块应符合GB/T37092 或 GM/T 0028 的相关规定；实配 CPU 内置安全处理器，基于国密算法进行加密、层次化逐级认证，保障系统安全启动。</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GPU服务器A（ARM）</w:t>
            </w:r>
          </w:p>
        </w:tc>
        <w:tc>
          <w:tcPr>
            <w:tcW w:type="dxa" w:w="1038"/>
          </w:tcP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GPU服务器A（ARM）</w:t>
            </w:r>
          </w:p>
        </w:tc>
        <w:tc>
          <w:tcPr>
            <w:tcW w:type="dxa" w:w="1038"/>
          </w:tcP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GPU服务器A（ARM）</w:t>
            </w:r>
          </w:p>
        </w:tc>
        <w:tc>
          <w:tcPr>
            <w:tcW w:type="dxa" w:w="1038"/>
          </w:tcPr>
          <w:p/>
        </w:tc>
        <w:tc>
          <w:tcPr>
            <w:tcW w:type="dxa" w:w="1038"/>
          </w:tcPr>
          <w:p>
            <w:pPr>
              <w:pStyle w:val="null3"/>
            </w:pPr>
            <w:r>
              <w:rPr/>
              <w:t>存储功能</w:t>
            </w:r>
          </w:p>
        </w:tc>
        <w:tc>
          <w:tcPr>
            <w:tcW w:type="dxa" w:w="1038"/>
          </w:tcPr>
          <w:p>
            <w:pPr>
              <w:pStyle w:val="null3"/>
            </w:pPr>
            <w:r>
              <w:rPr/>
              <w:t>SATA SSD单 die 故障隔离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卡RAID 级别支持</w:t>
            </w:r>
          </w:p>
        </w:tc>
        <w:tc>
          <w:tcPr>
            <w:tcW w:type="dxa" w:w="1038"/>
          </w:tcPr>
          <w:p>
            <w:pPr>
              <w:pStyle w:val="null3"/>
            </w:pPr>
            <w:r>
              <w:rPr/>
              <w:t>RAID 模式支持 RAID 0/1/5/6/10</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GPU服务器A（ARM）</w:t>
            </w:r>
          </w:p>
        </w:tc>
        <w:tc>
          <w:tcPr>
            <w:tcW w:type="dxa" w:w="1038"/>
          </w:tcPr>
          <w:p/>
        </w:tc>
        <w:tc>
          <w:tcPr>
            <w:tcW w:type="dxa" w:w="1038"/>
          </w:tcPr>
          <w:p>
            <w:pPr>
              <w:pStyle w:val="null3"/>
            </w:pPr>
            <w:r>
              <w:rPr/>
              <w:t>RAID卡功能（若支持 RAID卡）</w:t>
            </w:r>
          </w:p>
        </w:tc>
        <w:tc>
          <w:tcPr>
            <w:tcW w:type="dxa" w:w="1038"/>
          </w:tcPr>
          <w:p>
            <w:pPr>
              <w:pStyle w:val="null3"/>
            </w:pPr>
            <w:r>
              <w:rPr/>
              <w:t>RAID 卡BBU 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GPU服务器A（ARM）</w:t>
            </w:r>
          </w:p>
        </w:tc>
        <w:tc>
          <w:tcPr>
            <w:tcW w:type="dxa" w:w="1038"/>
          </w:tcPr>
          <w:p/>
        </w:tc>
        <w:tc>
          <w:tcPr>
            <w:tcW w:type="dxa" w:w="1038"/>
          </w:tcPr>
          <w:p>
            <w:pPr>
              <w:pStyle w:val="null3"/>
            </w:pPr>
            <w:r>
              <w:rPr/>
              <w:t>光驱功能</w:t>
            </w:r>
          </w:p>
        </w:tc>
        <w:tc>
          <w:tcPr>
            <w:tcW w:type="dxa" w:w="1038"/>
          </w:tcPr>
          <w:p>
            <w:pPr>
              <w:pStyle w:val="null3"/>
            </w:pPr>
            <w:r>
              <w:rPr/>
              <w:t>光驱类型（是否支持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支持风冷或液冷等散热方式，风扇数量满配，风扇支持冗余热插拔功能。</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GPU服务器A（ARM）</w:t>
            </w:r>
          </w:p>
        </w:tc>
        <w:tc>
          <w:tcPr>
            <w:tcW w:type="dxa" w:w="1038"/>
          </w:tcP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1）支持DHCP 设置网络功能；2）支持静态IP 设置网络功能；3）支持设备日志记录，包括但不限于登录日志、操作日志和报警日志等功能；4）支持日志信息导出和记录删除功能；5)支持通过管理接口向外输出准确的报警信息功能；6)设备的BMC 管理软件应能够按报警的严重程度进行区分；7)支持IPMI2.0、SNMP 或Redfish 等接口功能；8)支持键盘、鼠标和视频的重定向、文本控制台的重定向、远程虚拟媒体、高可靠的硬件监控和管理功能；9)支持基于网络开启、关闭和重启设备的功能，并查询当前设备开机运行状态；10)支持故障提示功能，并可通过接口读取服务器故障信息；11)支持基于网络的固件更新功能，6包括BMC 和BIOS 等；12)支持基于网络安装操作系统的功能，并可通过网络控制台访问设备；13)支持通过本地的硬盘或光驱等存储设备，基于网络完成设备的操作系统安装功能；14)支持通过浏览器打开管理界面并登录功能；15)支持设置口令策略功能；16)支持访问权限设置功能，并通过日志记录访问事件；17)支持对出厂默认的用户名及口令进行安全保护功能，并提供默认口令修改提示；18)支持读取设备主板的工作环境温度功能；19)支持读取服务器CPU 等核心器件的温度功能；20)支持通过外部管理工具进行 BMC参数设置的功能，并可基于网络通过外部管理工具对BMC 进行管理；21)应支持固件版本查询、固件升级；22)支持基于网络实现开关机和复位控制的功能；23)BMC 启动时间应不超过 180s，实现功能包括网络、IPMI、散热、传感器服务可用；24)支持BMC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GPU服务器A（ARM）</w:t>
            </w:r>
          </w:p>
        </w:tc>
        <w:tc>
          <w:tcPr>
            <w:tcW w:type="dxa" w:w="1038"/>
          </w:tcPr>
          <w:p/>
        </w:tc>
        <w:tc>
          <w:tcPr>
            <w:tcW w:type="dxa" w:w="1038"/>
          </w:tcPr>
          <w:p>
            <w:pPr>
              <w:pStyle w:val="null3"/>
            </w:pPr>
            <w:r>
              <w:rPr/>
              <w:t>*管理系统功能</w:t>
            </w:r>
          </w:p>
        </w:tc>
        <w:tc>
          <w:tcPr>
            <w:tcW w:type="dxa" w:w="1038"/>
          </w:tcPr>
          <w:p>
            <w:pPr>
              <w:pStyle w:val="null3"/>
            </w:pPr>
            <w:r>
              <w:rPr/>
              <w:t>BMC 固件增强功能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*BIOS 固件基础功能</w:t>
            </w:r>
          </w:p>
        </w:tc>
        <w:tc>
          <w:tcPr>
            <w:tcW w:type="dxa" w:w="1038"/>
          </w:tcPr>
          <w:p>
            <w:pPr>
              <w:pStyle w:val="null3"/>
            </w:pPr>
            <w:r>
              <w:rPr/>
              <w:t>1）支持查看固件版本、内存信息、主板信息、处理器信息和系统时间信息功能；2）支持上电初始化界面显示 CPU 信息、内存信息、固件版本和部分快捷键信息功能；3）支持设置界面中英文显示切换功能；4）支持查看 PCIe 设备信息，SATA 设备信息功能；5）支持操作系统安装和引导功能， 并向操作系统提供计算机主板信息和服务接口；6）支持设置启动顺序，并按照设置的启动顺序启动功能；7）支持安全启动功能；8）支持设置口令、修改口令、验证口令功能；9）支持板载显示控制或独立显卡的显示控制功能；10）支持 RAID 识别和启动功能；11）支持串口重定向功能；12）支持固件更新功能；13）支持 BIOS 固件设置的恢复出厂功能；14）支持网络引导启用和关闭功能。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GPU服务器A（ARM）</w:t>
            </w:r>
          </w:p>
        </w:tc>
        <w:tc>
          <w:tcPr>
            <w:tcW w:type="dxa" w:w="1038"/>
          </w:tcP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支持访问控制、安全审计、网络接入鉴别等功能；操作系统其他功能应满足操作系统政府采购需求标准中的指标要求。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GPU服务器A（ARM）</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GPU服务器A（ARM）</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GPU服务器A（ARM）</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rFonts w:ascii="仿宋_gb2312" w:hAnsi="仿宋_gb2312" w:cs="仿宋_gb2312" w:eastAsia="仿宋_gb2312"/>
                <w:sz w:val="32"/>
              </w:rPr>
              <w:t>CPU</w:t>
            </w:r>
            <w:r>
              <w:rPr>
                <w:rFonts w:ascii="仿宋_gb2312" w:hAnsi="仿宋_gb2312" w:cs="仿宋_gb2312" w:eastAsia="仿宋_gb2312"/>
                <w:sz w:val="32"/>
              </w:rPr>
              <w:t>、GPU（人工智能训练推理芯片）和操作系统等关键部件应符合安全可靠测评要求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GPU服务器A（ARM）</w:t>
            </w:r>
          </w:p>
        </w:tc>
        <w:tc>
          <w:tcPr>
            <w:tcW w:type="dxa" w:w="1038"/>
          </w:tcP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GPU服务器A（ARM）</w:t>
            </w:r>
          </w:p>
        </w:tc>
        <w:tc>
          <w:tcPr>
            <w:tcW w:type="dxa" w:w="1038"/>
          </w:tcP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GPU服务器A（ARM）</w:t>
            </w:r>
          </w:p>
        </w:tc>
        <w:tc>
          <w:tcPr>
            <w:tcW w:type="dxa" w:w="1038"/>
          </w:tcP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GPU服务器A（ARM）</w:t>
            </w:r>
          </w:p>
        </w:tc>
        <w:tc>
          <w:tcPr>
            <w:tcW w:type="dxa" w:w="1038"/>
          </w:tcP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 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投标人承诺，生产商已建立从需求、设计、开发、测试、维护端到端的开发流程管理机制，输出和保存开发流程中每个阶段的产品需求清单、设计文档、开发文档、测试记录等材料，保证各个流程可追溯。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GPU服务器A（ARM）</w:t>
            </w:r>
          </w:p>
        </w:tc>
        <w:tc>
          <w:tcPr>
            <w:tcW w:type="dxa" w:w="1038"/>
          </w:tcP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GPU服务器A（ARM）</w:t>
            </w:r>
          </w:p>
        </w:tc>
        <w:tc>
          <w:tcPr>
            <w:tcW w:type="dxa" w:w="1038"/>
          </w:tcP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GPU服务器A（ARM）</w:t>
            </w:r>
          </w:p>
        </w:tc>
        <w:tc>
          <w:tcPr>
            <w:tcW w:type="dxa" w:w="1038"/>
          </w:tcP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限用物质的限量应符合GB/T 26572 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≥48</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≥48MB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≥2933MT/s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GPU服务器A（ARM）</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GPU服务器A（ARM）</w:t>
            </w:r>
          </w:p>
        </w:tc>
        <w:tc>
          <w:tcPr>
            <w:tcW w:type="dxa" w:w="1038"/>
          </w:tcPr>
          <w:p/>
        </w:tc>
        <w:tc>
          <w:tcPr>
            <w:tcW w:type="dxa" w:w="1038"/>
          </w:tcPr>
          <w:p>
            <w:pPr>
              <w:pStyle w:val="null3"/>
            </w:pPr>
            <w:r>
              <w:rPr/>
              <w:t>RAID卡性能</w:t>
            </w:r>
          </w:p>
        </w:tc>
        <w:tc>
          <w:tcPr>
            <w:tcW w:type="dxa" w:w="1038"/>
          </w:tcPr>
          <w:p>
            <w:pPr>
              <w:pStyle w:val="null3"/>
            </w:pPr>
            <w:r>
              <w:rPr/>
              <w:t>RAID 卡缓存容量大小</w:t>
            </w:r>
          </w:p>
        </w:tc>
        <w:tc>
          <w:tcPr>
            <w:tcW w:type="dxa" w:w="1038"/>
          </w:tcPr>
          <w:p>
            <w:pPr>
              <w:pStyle w:val="null3"/>
            </w:pPr>
            <w:r>
              <w:rPr/>
              <w:t>配置磁盘阵列卡不小于1块，≥16口独立SAS RAID控制器，支持RAID0/1/5/6/10，磁盘直通模式，速率≥6G/s，Cache 缓存≥4GB，支持掉电保护。</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GPU服务器A（ARM）</w:t>
            </w:r>
          </w:p>
        </w:tc>
        <w:tc>
          <w:tcPr>
            <w:tcW w:type="dxa" w:w="1038"/>
          </w:tcPr>
          <w:p/>
        </w:tc>
        <w:tc>
          <w:tcPr>
            <w:tcW w:type="dxa" w:w="1038"/>
          </w:tcPr>
          <w:p>
            <w:pPr>
              <w:pStyle w:val="null3"/>
            </w:pPr>
            <w:r>
              <w:rPr/>
              <w:t>FC HBA卡性能</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GPU服务器A（ARM）</w:t>
            </w:r>
          </w:p>
        </w:tc>
        <w:tc>
          <w:tcPr>
            <w:tcW w:type="dxa" w:w="1038"/>
          </w:tcP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GPU服务器A（ARM）</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 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GPU服务器A（ARM）</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GPU服务器A（ARM）</w:t>
            </w:r>
          </w:p>
        </w:tc>
        <w:tc>
          <w:tcPr>
            <w:tcW w:type="dxa" w:w="1038"/>
          </w:tcP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 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 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GPU服务器A（ARM）</w:t>
            </w:r>
          </w:p>
        </w:tc>
        <w:tc>
          <w:tcPr>
            <w:tcW w:type="dxa" w:w="1038"/>
          </w:tcP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GPU服务器A（ARM）</w:t>
            </w:r>
          </w:p>
        </w:tc>
        <w:tc>
          <w:tcPr>
            <w:tcW w:type="dxa" w:w="1038"/>
          </w:tcP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值（MTBF的不可接受值）不得低于 100000h。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a）提供电话、电子邮件、远程连接等多种形式服务；b）提供同城 4h、异地 12h 技术响应服务，2 个工作日解决问题，对于未能解决的问题和故障应提供可行的升级方案，并提供周转设备；c）建立全国技术服务体系和服务 团体，符合专业服务体系标准要求， 提供原厂中文服务；d）服务周期内提供产品的维修、换件和升级服务。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投标人提供培训材料、产品手册、培训视频等培训相关内容。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提供3年原厂质保服务，5×8×4小时工程师带备件上门的原厂质保服务，硬盘免回收;在质保服务年限内，提供每年2次原厂巡检服务。</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投标人提供设置服务器硬件、辅助操作系统安装等功能的辅助工具和管理软件。且随附软件应具有合法授权或版权。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GPU服务器A（ARM）</w:t>
            </w:r>
          </w:p>
        </w:tc>
        <w:tc>
          <w:tcPr>
            <w:tcW w:type="dxa" w:w="1038"/>
          </w:tcP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投标人提供出厂安装的配件所需的驱动程序，形式包括但不限于驱动光盘、驱动下载链接等。其他配件应提供指引。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GPU服务器A（ARM）</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GPU服务器A（ARM）</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GPU服务器A（ARM）</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GPU服务器A（ARM）</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投标人提供原厂级的部件/软件产品升级和扩容能力。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GPU服务器A（ARM）</w:t>
            </w:r>
          </w:p>
        </w:tc>
        <w:tc>
          <w:tcPr>
            <w:tcW w:type="dxa" w:w="1038"/>
          </w:tcP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1.投标人提供算力需求评估服务，根据模型参数量（7B/13B/70B/671B）、并发请求数、训练吞吐目标，精确测算所需 GPU 卡数及显存容量。 2.投标人提供算力存储架构规划服务，包括并行文件系统选型（Lustre/GPFS/WekaFS），NVMe SSD 全闪存方案，分级存储策略（热/温/冷数据）。 3.投标人需提供裸机部署与驱动安装服务：操作系统基线定制与加固（openEuler/Ubuntu指定版本并锁定内核）；NPU驱动与固件匹配安装验证（npu-smi info全卡健康）；CANN全栈部署及环境变量标准化；HCCL多卡组网（RoCE IP/MTU/防火墙）；容器运行时设备透传配置；并提供自动化部署脚本（Ansible/Shell）及健康检查报告模板。4.投标人提供推理框架部署：MindIE（模型加载、TP/PP并行、OpenAI API）、vLLM-Ascend容器多卡（PagedAttention、KVCache）、性能调优（批处理/前缀缓存/动态拆分/NPU分析）、服务编排（systemd/compose管理，含健康检查与滚动更新）。5.投标人应基于 CANN + torch_npu + MindSpeed Core 完成分布式训练环境构建，提供：(a) MindSpeed/Megatron-LM 的 TP/PP/DP 配置模板与实测吞吐报告；(b) DeepSpeed ZeRO-1/2/3 在HCCL通信路径下的可用性验证（含offload策略的IO基准）；(c) FSDP对照方案；并输出多节点强扩展/弱扩展曲线与 HCCL 通信瓶颈分析。6.投标人提供信创适配认证服务，包括信创目录兼容性验证（麒麟 V10/统信 UOS）、达梦/人大金仓数据库适配、东方通中间件集成测试。供应商具备提供上门服务的能力(可收费)。</w:t>
            </w:r>
          </w:p>
        </w:tc>
        <w:tc>
          <w:tcPr>
            <w:tcW w:type="dxa" w:w="1038"/>
          </w:tcPr>
          <w:p>
            <w:pPr>
              <w:pStyle w:val="null3"/>
            </w:pPr>
            <w:r>
              <w:rPr/>
              <w:t>是</w:t>
            </w:r>
          </w:p>
        </w:tc>
        <w:tc>
          <w:tcPr>
            <w:tcW w:type="dxa" w:w="1038"/>
          </w:tcPr>
          <w:p>
            <w:pPr>
              <w:pStyle w:val="null3"/>
            </w:pPr>
            <w:r>
              <w:rPr/>
              <w:t>投标人提供承诺函，并加盖投标人公章</w:t>
            </w:r>
          </w:p>
        </w:tc>
      </w:tr>
      <w:tr>
        <w:tc>
          <w:tcPr>
            <w:tcW w:type="dxa" w:w="1038"/>
          </w:tcPr>
          <w:p>
            <w:pPr>
              <w:pStyle w:val="null3"/>
            </w:pPr>
            <w:r>
              <w:rPr/>
              <w:t>143</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供应商提供针对特定业务场景性能优化服务及整体架构升级服务：投标人可提供面向国产AI加速芯片的完整性能优化服务：在推理吞吐方面，基于国产AI计算架构开放API及开源推理框架适配路径，实现连续批处理（Continuous Batching）、PagedAttention内存池管理、KV Cache量化压缩及多LoRA适配器并发调度；在分布式训练方面，基于国产化适配的PyTorch版本与集合通信库，开展数据并行/张量并行/流水线并行的策略组合调优、通信-计算重叠优化及梯度累积与Micro Batch参数整定；在显存优化方面，实施激活值重计算（Activation Checkpointing）、基于国产芯片Device-Host内存带宽特征的显存卸载（ZeRO-Offload）性价比调优，以及内存池预分配与缓存块回收调度策略；在编译与算子优化方面，提供基于国产化AI框架的图编译调优、基于开放开发接口的自动算子融合与高性能Transformer加速库配置，以及对标FlashAttention v2/v3的高性能注意力机制集成。</w:t>
            </w:r>
          </w:p>
        </w:tc>
        <w:tc>
          <w:tcPr>
            <w:tcW w:type="dxa" w:w="1038"/>
          </w:tcPr>
          <w:p>
            <w:pPr>
              <w:pStyle w:val="null3"/>
            </w:pPr>
            <w:r>
              <w:rPr/>
              <w:t>是</w:t>
            </w:r>
          </w:p>
        </w:tc>
        <w:tc>
          <w:tcPr>
            <w:tcW w:type="dxa" w:w="1038"/>
          </w:tcPr>
          <w:p>
            <w:pPr>
              <w:pStyle w:val="null3"/>
            </w:pPr>
            <w:r>
              <w:rPr/>
              <w:t>投标人提供承诺函，并加盖投标人公章</w:t>
            </w:r>
          </w:p>
        </w:tc>
      </w:tr>
      <w:tr>
        <w:tc>
          <w:tcPr>
            <w:tcW w:type="dxa" w:w="1038"/>
          </w:tcPr>
          <w:p>
            <w:pPr>
              <w:pStyle w:val="null3"/>
            </w:pPr>
            <w:r>
              <w:rPr/>
              <w:t>144</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GPU服务器A（ARM）</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投标人提供服务器CPU原厂提供的针对本项目的供应链稳定承诺书，确保产品的关键部件在产品服务周期内稳定供货。</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a）供应商给出 CPU 信息，包含 CPU 型号、物理核心数、主频、末级缓存容量、线程数、热设计功耗及支持内存的最高速率、通道数和位宽；b）实配≥2颗ARM架构国产芯片的处理器</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a）供应商给出主板支持的 CPU 和内存的型号数量；b）≥2颗 CPU 且≥16条内存</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内存槽位支持≥16</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支持 SATA、SAS、M.2等存储接口</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PCIe5.0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提供 8个物理PCIe x16插槽，空间上需能容纳 8张全高全长双宽GPU卡，并配备GPU专用的独立散热风道</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GPU服务器B（ARM）</w:t>
            </w:r>
          </w:p>
        </w:tc>
        <w:tc>
          <w:tcPr>
            <w:tcW w:type="dxa" w:w="1038"/>
          </w:tcPr>
          <w:p/>
        </w:tc>
        <w:tc>
          <w:tcPr>
            <w:tcW w:type="dxa" w:w="1038"/>
          </w:tcPr>
          <w:p>
            <w:pPr>
              <w:pStyle w:val="null3"/>
            </w:pPr>
            <w:r>
              <w:rPr/>
              <w:t>*主板规格</w:t>
            </w:r>
          </w:p>
        </w:tc>
        <w:tc>
          <w:tcPr>
            <w:tcW w:type="dxa" w:w="1038"/>
          </w:tcPr>
          <w:p>
            <w:pPr>
              <w:pStyle w:val="null3"/>
            </w:pPr>
            <w:r>
              <w:rPr/>
              <w:t>特殊孔位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GPU服务器B（ARM）</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GPU服务器B（ARM）</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≥16</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≥32GB DDR4</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 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GPU服务器B（ARM）</w:t>
            </w:r>
          </w:p>
        </w:tc>
        <w:tc>
          <w:tcPr>
            <w:tcW w:type="dxa" w:w="1038"/>
          </w:tcP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a)实配2块 480GB SATA SSD盘； b)实配2块 3.84TB NVMe SSD盘。</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GPU服务器B（ARM）</w:t>
            </w:r>
          </w:p>
        </w:tc>
        <w:tc>
          <w:tcPr>
            <w:tcW w:type="dxa" w:w="1038"/>
          </w:tcP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a)实配2块 480GB SATA SSD盘； b)实配2块 3.84TB NVMe SSD盘。</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2.5 英寸或3.5 英寸硬盘，硬盘槽位数不少于12。</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GPU服务器B（ARM）</w:t>
            </w:r>
          </w:p>
        </w:tc>
        <w:tc>
          <w:tcPr>
            <w:tcW w:type="dxa" w:w="1038"/>
          </w:tcP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RAID卡规格（若支持 RAID卡）</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GPU服务器B（ARM）</w:t>
            </w:r>
          </w:p>
        </w:tc>
        <w:tc>
          <w:tcPr>
            <w:tcW w:type="dxa" w:w="1038"/>
          </w:tcPr>
          <w:p/>
        </w:tc>
        <w:tc>
          <w:tcPr>
            <w:tcW w:type="dxa" w:w="1038"/>
          </w:tcPr>
          <w:p>
            <w:pPr>
              <w:pStyle w:val="null3"/>
            </w:pPr>
            <w:r>
              <w:rPr/>
              <w:t>SAS 直通卡规格 (若支持SAS直通卡)</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GPU服务器B（ARM）</w:t>
            </w:r>
          </w:p>
        </w:tc>
        <w:tc>
          <w:tcPr>
            <w:tcW w:type="dxa" w:w="1038"/>
          </w:tcPr>
          <w:p/>
        </w:tc>
        <w:tc>
          <w:tcPr>
            <w:tcW w:type="dxa" w:w="1038"/>
          </w:tcPr>
          <w:p>
            <w:pPr>
              <w:pStyle w:val="null3"/>
            </w:pPr>
            <w:r>
              <w:rPr/>
              <w:t>HBA 卡规格 (若支持HBA直通卡)</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实配≥4口千兆电口网卡，≥2块双口25G网卡；配套多模光模块，配套连接线缆</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GPU服务器B（ARM）</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GPU服务器B（ARM）</w:t>
            </w:r>
          </w:p>
        </w:tc>
        <w:tc>
          <w:tcPr>
            <w:tcW w:type="dxa" w:w="1038"/>
          </w:tcP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GPU服务器B（ARM）</w:t>
            </w:r>
          </w:p>
        </w:tc>
        <w:tc>
          <w:tcPr>
            <w:tcW w:type="dxa" w:w="1038"/>
          </w:tcP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GPU服务器B（ARM）</w:t>
            </w:r>
          </w:p>
        </w:tc>
        <w:tc>
          <w:tcPr>
            <w:tcW w:type="dxa" w:w="1038"/>
          </w:tcP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显示接口类型至少提供VGA</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w:t>
            </w:r>
          </w:p>
        </w:tc>
        <w:tc>
          <w:tcPr>
            <w:tcW w:type="dxa" w:w="1038"/>
          </w:tcPr>
          <w:p>
            <w:pPr>
              <w:pStyle w:val="null3"/>
            </w:pPr>
            <w:r>
              <w:rPr/>
              <w:t>至少配备2个USB 接口，如USB2.0、USB3.0 等。</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GPU服务器B（ARM）</w:t>
            </w:r>
          </w:p>
        </w:tc>
        <w:tc>
          <w:tcPr>
            <w:tcW w:type="dxa" w:w="1038"/>
          </w:tcPr>
          <w:p/>
        </w:tc>
        <w:tc>
          <w:tcPr>
            <w:tcW w:type="dxa" w:w="1038"/>
          </w:tcPr>
          <w:p>
            <w:pPr>
              <w:pStyle w:val="null3"/>
            </w:pPr>
            <w:r>
              <w:rPr/>
              <w:t>*外部接口规格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GPU服务器B（ARM）</w:t>
            </w:r>
          </w:p>
        </w:tc>
        <w:tc>
          <w:tcPr>
            <w:tcW w:type="dxa" w:w="1038"/>
          </w:tcPr>
          <w:p/>
        </w:tc>
        <w:tc>
          <w:tcPr>
            <w:tcW w:type="dxa" w:w="1038"/>
          </w:tcPr>
          <w:p>
            <w:pPr>
              <w:pStyle w:val="null3"/>
            </w:pPr>
            <w:r>
              <w:rPr/>
              <w:t>*外部接口规格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GPU服务器B（ARM）</w:t>
            </w:r>
          </w:p>
        </w:tc>
        <w:tc>
          <w:tcPr>
            <w:tcW w:type="dxa" w:w="1038"/>
          </w:tcP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支持N+N冗余配置，2000W</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GPU服务器B（ARM）</w:t>
            </w:r>
          </w:p>
        </w:tc>
        <w:tc>
          <w:tcPr>
            <w:tcW w:type="dxa" w:w="1038"/>
          </w:tcP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产品表面不应有明显的凹痕、划伤、裂缝、变形和污染等。表面涂层均匀，不应起泡、龟裂、脱落和磨损，金属零部件无锈蚀及其它机械损伤。</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*尺寸（高×宽×深）</w:t>
            </w:r>
          </w:p>
        </w:tc>
        <w:tc>
          <w:tcPr>
            <w:tcW w:type="dxa" w:w="1038"/>
          </w:tcPr>
          <w:p>
            <w:pPr>
              <w:pStyle w:val="null3"/>
            </w:pPr>
            <w:r>
              <w:rPr/>
              <w:t>标准19寸机架式服务器并配置导轨或托盘，高度≥4U。</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GPU服务器B（ARM）</w:t>
            </w:r>
          </w:p>
        </w:tc>
        <w:tc>
          <w:tcPr>
            <w:tcW w:type="dxa" w:w="1038"/>
          </w:tcPr>
          <w:p/>
        </w:tc>
        <w:tc>
          <w:tcPr>
            <w:tcW w:type="dxa" w:w="1038"/>
          </w:tcPr>
          <w:p>
            <w:pPr>
              <w:pStyle w:val="null3"/>
            </w:pPr>
            <w:r>
              <w:rPr/>
              <w:t>*整机规格</w:t>
            </w:r>
          </w:p>
        </w:tc>
        <w:tc>
          <w:tcPr>
            <w:tcW w:type="dxa" w:w="1038"/>
          </w:tcPr>
          <w:p>
            <w:pPr>
              <w:pStyle w:val="null3"/>
            </w:pPr>
            <w:r>
              <w:rPr/>
              <w:t>服务器导轨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GPU服务器B（ARM）</w:t>
            </w:r>
          </w:p>
        </w:tc>
        <w:tc>
          <w:tcPr>
            <w:tcW w:type="dxa" w:w="1038"/>
          </w:tcPr>
          <w:p/>
        </w:tc>
        <w:tc>
          <w:tcPr>
            <w:tcW w:type="dxa" w:w="1038"/>
          </w:tcPr>
          <w:p>
            <w:pPr>
              <w:pStyle w:val="null3"/>
            </w:pPr>
            <w:r>
              <w:rPr/>
              <w:t>*整机规格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*环境适应性</w:t>
            </w:r>
          </w:p>
        </w:tc>
        <w:tc>
          <w:tcPr>
            <w:tcW w:type="dxa" w:w="1038"/>
          </w:tcPr>
          <w:p>
            <w:pPr>
              <w:pStyle w:val="null3"/>
            </w:pPr>
            <w:r>
              <w:rPr/>
              <w:t>气候环境适应性应符合GB/T9813.3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GPU服务器B（ARM）</w:t>
            </w:r>
          </w:p>
        </w:tc>
        <w:tc>
          <w:tcPr>
            <w:tcW w:type="dxa" w:w="1038"/>
          </w:tcPr>
          <w:p/>
        </w:tc>
        <w:tc>
          <w:tcPr>
            <w:tcW w:type="dxa" w:w="1038"/>
          </w:tcPr>
          <w:p>
            <w:pPr>
              <w:pStyle w:val="null3"/>
            </w:pPr>
            <w:r>
              <w:rPr/>
              <w:t>*整机规格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*噪声</w:t>
            </w:r>
          </w:p>
        </w:tc>
        <w:tc>
          <w:tcPr>
            <w:tcW w:type="dxa" w:w="1038"/>
          </w:tcPr>
          <w:p>
            <w:pPr>
              <w:pStyle w:val="null3"/>
            </w:pPr>
            <w:r>
              <w:rPr/>
              <w:t>符合GB/T 9813.3 的有关规定，在产品说明中给出具体测试值塔式服务器噪声在空闲状态下不大于50dB。</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配备8颗AI芯片，应符合如下要求:a)同一型号PCIe标卡；b)单卡的配置需满足FP16峰值算力≥140 TFLOPS，INT8≥280TOPS，显存≥96GB，最大功耗≤150W</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GPU服务器B（ARM）</w:t>
            </w:r>
          </w:p>
        </w:tc>
        <w:tc>
          <w:tcPr>
            <w:tcW w:type="dxa" w:w="1038"/>
          </w:tcPr>
          <w:p/>
        </w:tc>
        <w:tc>
          <w:tcPr>
            <w:tcW w:type="dxa" w:w="1038"/>
          </w:tcPr>
          <w:p>
            <w:pPr>
              <w:pStyle w:val="null3"/>
            </w:pPr>
            <w:r>
              <w:rPr/>
              <w:t>AI 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无需配备机柜，所投产品可放入标准19寸机柜。</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GPU服务器B（ARM）</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GPU服务器B（ARM）</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支持USB、显示、BMC管理等接口。</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GPU服务器B（ARM）</w:t>
            </w:r>
          </w:p>
        </w:tc>
        <w:tc>
          <w:tcPr>
            <w:tcW w:type="dxa" w:w="1038"/>
          </w:tcP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GPU服务器B（ARM）</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 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的相关规定，或芯片密码模块应符合GB/T37092 或 GM/T 0028 的相关规定；实配 CPU 内置安全处理器，基于国密算法进行加密、层次化逐级认证，保障系统安全启动。</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GPU服务器B（ARM）</w:t>
            </w:r>
          </w:p>
        </w:tc>
        <w:tc>
          <w:tcPr>
            <w:tcW w:type="dxa" w:w="1038"/>
          </w:tcP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GPU服务器B（ARM）</w:t>
            </w:r>
          </w:p>
        </w:tc>
        <w:tc>
          <w:tcPr>
            <w:tcW w:type="dxa" w:w="1038"/>
          </w:tcP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GPU服务器B（ARM）</w:t>
            </w:r>
          </w:p>
        </w:tc>
        <w:tc>
          <w:tcPr>
            <w:tcW w:type="dxa" w:w="1038"/>
          </w:tcPr>
          <w:p/>
        </w:tc>
        <w:tc>
          <w:tcPr>
            <w:tcW w:type="dxa" w:w="1038"/>
          </w:tcPr>
          <w:p>
            <w:pPr>
              <w:pStyle w:val="null3"/>
            </w:pPr>
            <w:r>
              <w:rPr/>
              <w:t>存储功能</w:t>
            </w:r>
          </w:p>
        </w:tc>
        <w:tc>
          <w:tcPr>
            <w:tcW w:type="dxa" w:w="1038"/>
          </w:tcPr>
          <w:p>
            <w:pPr>
              <w:pStyle w:val="null3"/>
            </w:pPr>
            <w:r>
              <w:rPr/>
              <w:t>SATA SSD单 die 故障隔离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卡RAID 级别支持</w:t>
            </w:r>
          </w:p>
        </w:tc>
        <w:tc>
          <w:tcPr>
            <w:tcW w:type="dxa" w:w="1038"/>
          </w:tcPr>
          <w:p>
            <w:pPr>
              <w:pStyle w:val="null3"/>
            </w:pPr>
            <w:r>
              <w:rPr/>
              <w:t>RAID 模式支持 RAID 0/1/5/6/10</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GPU服务器B（ARM）</w:t>
            </w:r>
          </w:p>
        </w:tc>
        <w:tc>
          <w:tcPr>
            <w:tcW w:type="dxa" w:w="1038"/>
          </w:tcPr>
          <w:p/>
        </w:tc>
        <w:tc>
          <w:tcPr>
            <w:tcW w:type="dxa" w:w="1038"/>
          </w:tcPr>
          <w:p>
            <w:pPr>
              <w:pStyle w:val="null3"/>
            </w:pPr>
            <w:r>
              <w:rPr/>
              <w:t>RAID卡功能（若支持 RAID卡）</w:t>
            </w:r>
          </w:p>
        </w:tc>
        <w:tc>
          <w:tcPr>
            <w:tcW w:type="dxa" w:w="1038"/>
          </w:tcPr>
          <w:p>
            <w:pPr>
              <w:pStyle w:val="null3"/>
            </w:pPr>
            <w:r>
              <w:rPr/>
              <w:t>RAID 卡BBU 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GPU服务器B（ARM）</w:t>
            </w:r>
          </w:p>
        </w:tc>
        <w:tc>
          <w:tcPr>
            <w:tcW w:type="dxa" w:w="1038"/>
          </w:tcPr>
          <w:p/>
        </w:tc>
        <w:tc>
          <w:tcPr>
            <w:tcW w:type="dxa" w:w="1038"/>
          </w:tcPr>
          <w:p>
            <w:pPr>
              <w:pStyle w:val="null3"/>
            </w:pPr>
            <w:r>
              <w:rPr/>
              <w:t>光驱功能</w:t>
            </w:r>
          </w:p>
        </w:tc>
        <w:tc>
          <w:tcPr>
            <w:tcW w:type="dxa" w:w="1038"/>
          </w:tcPr>
          <w:p>
            <w:pPr>
              <w:pStyle w:val="null3"/>
            </w:pPr>
            <w:r>
              <w:rPr/>
              <w:t>光驱类型（是否支持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支持风冷或液冷等散热方式，风扇数量满配，风扇支持冗余热插拔功能。</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GPU服务器B（ARM）</w:t>
            </w:r>
          </w:p>
        </w:tc>
        <w:tc>
          <w:tcPr>
            <w:tcW w:type="dxa" w:w="1038"/>
          </w:tcP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1）支持DHCP 设置网络功能；2）支持静态IP 设置网络功能；3）支持设备日志记录，包括但不限于登录日志、操作日志和报警日志等功能；4）支持日志信息导出和记录删除功能；5)支持通过管理接口向外输出准确的报警信息功能；6)设备的BMC 管理软件应能够按报警的严重程度进行区分；7)支持IPMI2.0、SNMP 或Redfish 等接口功能；8)支持键盘、鼠标和视频的重定向、文本控制台的重定向、远程虚拟媒体、高可靠的硬件监控和管理功能；9)支持基于网络开启、关闭和重启设备的功能，并查询当前设备开机运行状态；10)支持故障提示功能，并可通过接口读取服务器故障信息；11)支持基于网络的固件更新功能，6包括BMC 和BIOS 等；12)支持基于网络安装操作系统的功能，并可通过网络控制台访问设备；13)支持通过本地的硬盘或光驱等存储设备，基于网络完成设备的操作系统安装功能；14)支持通过浏览器打开管理界面并登录功能；15)支持设置口令策略功能；16)支持访问权限设置功能，并通过日志记录访问事件；17)支持对出厂默认的用户名及口令进行安全保护功能，并提供默认口令修改提示；18)支持读取设备主板的工作环境温度功能；19)支持读取服务器CPU 等核心器件的温度功能；20)支持通过外部管理工具进行 BMC参数设置的功能，并可基于网络通过外部管理工具对BMC 进行管理；21)应支持固件版本查询、固件升级；22)支持基于网络实现开关机和复位控制的功能；23)BMC 启动时间应不超过 180s，实现功能包括网络、IPMI、散热、传感器服务可用；24)支持BMC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GPU服务器B（ARM）</w:t>
            </w:r>
          </w:p>
        </w:tc>
        <w:tc>
          <w:tcPr>
            <w:tcW w:type="dxa" w:w="1038"/>
          </w:tcPr>
          <w:p/>
        </w:tc>
        <w:tc>
          <w:tcPr>
            <w:tcW w:type="dxa" w:w="1038"/>
          </w:tcPr>
          <w:p>
            <w:pPr>
              <w:pStyle w:val="null3"/>
            </w:pPr>
            <w:r>
              <w:rPr/>
              <w:t>*管理系统功能</w:t>
            </w:r>
          </w:p>
        </w:tc>
        <w:tc>
          <w:tcPr>
            <w:tcW w:type="dxa" w:w="1038"/>
          </w:tcPr>
          <w:p>
            <w:pPr>
              <w:pStyle w:val="null3"/>
            </w:pPr>
            <w:r>
              <w:rPr/>
              <w:t>BMC 固件增强功能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*BIOS 固件基础功能</w:t>
            </w:r>
          </w:p>
        </w:tc>
        <w:tc>
          <w:tcPr>
            <w:tcW w:type="dxa" w:w="1038"/>
          </w:tcPr>
          <w:p>
            <w:pPr>
              <w:pStyle w:val="null3"/>
            </w:pPr>
            <w:r>
              <w:rPr/>
              <w:t>1）支持查看固件版本、内存信息、主板信息、处理器信息和系统时间信息功能；2）支持上电初始化界面显示 CPU 信息、内存信息、固件版本和部分快捷键信息功能；3）支持设置界面中英文显示切换功能；4）支持查看 PCIe 设备信息，SATA 设备信息功能；5）支持操作系统安装和引导功能， 并向操作系统提供计算机主板信息和服务接口；6）支持设置启动顺序，并按照设置的启动顺序启动功能；7）支持安全启动功能；8）支持设置口令、修改口令、验证口令功能；9）支持板载显示控制或独立显卡的显示控制功能；10）支持 RAID 识别和启动功能；11）支持串口重定向功能；12）支持固件更新功能；13）支持 BIOS 固件设置的恢复出厂功能；14）支持网络引导启用和关闭功能。</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GPU服务器B（ARM）</w:t>
            </w:r>
          </w:p>
        </w:tc>
        <w:tc>
          <w:tcPr>
            <w:tcW w:type="dxa" w:w="1038"/>
          </w:tcP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支持访问控制、安全审计、网络接入鉴别等功能；操作系统其他功能应满足操作系统政府采购需求标准中的指标要求。</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GPU服务器B（ARM）</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GPU服务器B（ARM）</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GPU服务器B（ARM）</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CPU、GPU（人工智能训练推理芯片）和操作系统等关键部件应符合安全可靠测评要求</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GPU服务器B（ARM）</w:t>
            </w:r>
          </w:p>
        </w:tc>
        <w:tc>
          <w:tcPr>
            <w:tcW w:type="dxa" w:w="1038"/>
          </w:tcP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GPU服务器B（ARM）</w:t>
            </w:r>
          </w:p>
        </w:tc>
        <w:tc>
          <w:tcPr>
            <w:tcW w:type="dxa" w:w="1038"/>
          </w:tcP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GPU服务器B（ARM）</w:t>
            </w:r>
          </w:p>
        </w:tc>
        <w:tc>
          <w:tcPr>
            <w:tcW w:type="dxa" w:w="1038"/>
          </w:tcP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GPU服务器B（ARM）</w:t>
            </w:r>
          </w:p>
        </w:tc>
        <w:tc>
          <w:tcPr>
            <w:tcW w:type="dxa" w:w="1038"/>
          </w:tcP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 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投标人承诺，生产商已建立从需求、设计、开发、测试、维护端到端的开发流程管理机制，输出和保存开发流程中每个阶段的产品需求清单、设计文档、开发文档、测试记录等材料，保证各个流程可追溯。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GPU服务器B（ARM）</w:t>
            </w:r>
          </w:p>
        </w:tc>
        <w:tc>
          <w:tcPr>
            <w:tcW w:type="dxa" w:w="1038"/>
          </w:tcP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GPU服务器B（ARM）</w:t>
            </w:r>
          </w:p>
        </w:tc>
        <w:tc>
          <w:tcPr>
            <w:tcW w:type="dxa" w:w="1038"/>
          </w:tcP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GPU服务器B（ARM）</w:t>
            </w:r>
          </w:p>
        </w:tc>
        <w:tc>
          <w:tcPr>
            <w:tcW w:type="dxa" w:w="1038"/>
          </w:tcP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限用物质的限量应符合GB/T 26572 的要求。</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≥48</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≥48MB</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≥2933MT/s</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GPU服务器B（ARM）</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GPU服务器B（ARM）</w:t>
            </w:r>
          </w:p>
        </w:tc>
        <w:tc>
          <w:tcPr>
            <w:tcW w:type="dxa" w:w="1038"/>
          </w:tcPr>
          <w:p/>
        </w:tc>
        <w:tc>
          <w:tcPr>
            <w:tcW w:type="dxa" w:w="1038"/>
          </w:tcPr>
          <w:p>
            <w:pPr>
              <w:pStyle w:val="null3"/>
            </w:pPr>
            <w:r>
              <w:rPr/>
              <w:t>RAID卡性能</w:t>
            </w:r>
          </w:p>
        </w:tc>
        <w:tc>
          <w:tcPr>
            <w:tcW w:type="dxa" w:w="1038"/>
          </w:tcPr>
          <w:p>
            <w:pPr>
              <w:pStyle w:val="null3"/>
            </w:pPr>
            <w:r>
              <w:rPr/>
              <w:t>RAID 卡缓存容量大小</w:t>
            </w:r>
          </w:p>
        </w:tc>
        <w:tc>
          <w:tcPr>
            <w:tcW w:type="dxa" w:w="1038"/>
          </w:tcPr>
          <w:p>
            <w:pPr>
              <w:pStyle w:val="null3"/>
            </w:pPr>
            <w:r>
              <w:rPr/>
              <w:t>配置磁盘阵列卡不小于1块，≥16口独立SAS RAID控制器，支持RAID0/1/5/6/10，磁盘直通模式，速率≥6G/s，Cache 缓存≥4GB，支持掉电保护。</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GPU服务器B（ARM）</w:t>
            </w:r>
          </w:p>
        </w:tc>
        <w:tc>
          <w:tcPr>
            <w:tcW w:type="dxa" w:w="1038"/>
          </w:tcPr>
          <w:p/>
        </w:tc>
        <w:tc>
          <w:tcPr>
            <w:tcW w:type="dxa" w:w="1038"/>
          </w:tcPr>
          <w:p>
            <w:pPr>
              <w:pStyle w:val="null3"/>
            </w:pPr>
            <w:r>
              <w:rPr/>
              <w:t>FC HBA卡性能</w:t>
            </w:r>
          </w:p>
        </w:tc>
        <w:tc>
          <w:tcPr>
            <w:tcW w:type="dxa" w:w="1038"/>
          </w:tcPr>
          <w:p>
            <w:pPr>
              <w:pStyle w:val="null3"/>
            </w:pPr>
            <w:r>
              <w:rPr/>
              <w:t>FC HBA 卡速率</w:t>
            </w:r>
          </w:p>
        </w:tc>
        <w:tc>
          <w:tcPr>
            <w:tcW w:type="dxa" w:w="1038"/>
          </w:tcPr>
          <w:p>
            <w:pPr>
              <w:pStyle w:val="null3"/>
            </w:pPr>
            <w:r>
              <w:rPr/>
              <w:t>无</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GPU服务器B（ARM）</w:t>
            </w:r>
          </w:p>
        </w:tc>
        <w:tc>
          <w:tcPr>
            <w:tcW w:type="dxa" w:w="1038"/>
          </w:tcP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GPU服务器B（ARM）</w:t>
            </w:r>
          </w:p>
        </w:tc>
        <w:tc>
          <w:tcPr>
            <w:tcW w:type="dxa" w:w="1038"/>
          </w:tcP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 且均不低于产品支持的内存规格。</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GPU服务器B（ARM）</w:t>
            </w:r>
          </w:p>
        </w:tc>
        <w:tc>
          <w:tcPr>
            <w:tcW w:type="dxa" w:w="1038"/>
          </w:tcP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GPU服务器B（ARM）</w:t>
            </w:r>
          </w:p>
        </w:tc>
        <w:tc>
          <w:tcPr>
            <w:tcW w:type="dxa" w:w="1038"/>
          </w:tcP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 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 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GPU服务器B（ARM）</w:t>
            </w:r>
          </w:p>
        </w:tc>
        <w:tc>
          <w:tcPr>
            <w:tcW w:type="dxa" w:w="1038"/>
          </w:tcP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GPU服务器B（ARM）</w:t>
            </w:r>
          </w:p>
        </w:tc>
        <w:tc>
          <w:tcPr>
            <w:tcW w:type="dxa" w:w="1038"/>
          </w:tcP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值（MTBF的不可接受值）不得低于 100000h。</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a）提供电话、电子邮件、远程连接等多种形式服务；b）提供同城 4h、异地 12h 技术响应服务，2 个工作日解决问题，对于未能解决的问题和故障应提供可行的升级方案，并提供周转设备；c）建立全国技术服务体系和服务 团体，符合专业服务体系标准要求， 提供原厂中文服务；d）服务周期内提供产品的维修、换件和升级服务。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投标人提供培训材料、产品手册、培训视频等培训相关内容。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提供3年原厂质保服务，5×8×4小时工程师带备件上门的原厂质保服务，硬盘免回收;在质保服务年限内，提供每年2次原厂巡检服务。</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投标人提供设置服务器硬件、辅助操作系统安装等功能的辅助工具和管理软件。且随附软件应具有合法授权或版权。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GPU服务器B（ARM）</w:t>
            </w:r>
          </w:p>
        </w:tc>
        <w:tc>
          <w:tcPr>
            <w:tcW w:type="dxa" w:w="1038"/>
          </w:tcP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投标人提供出厂安装的配件所需的驱动程序，形式包括但不限于驱动光盘、驱动下载链接等。其他配件应提供指引。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GPU服务器B（ARM）</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GPU服务器B（ARM）</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GPU服务器B（ARM）</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GPU服务器B（ARM）</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投标人提供原厂级的部件/软件产品升级和扩容能力。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GPU服务器B（ARM）</w:t>
            </w:r>
          </w:p>
        </w:tc>
        <w:tc>
          <w:tcPr>
            <w:tcW w:type="dxa" w:w="1038"/>
          </w:tcP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1.投标人提供算力需求评估服务，根据模型参数量（7B/13B/70B/671B）、并发请求数、训练吞吐目标，精确测算所需 GPU 卡数及显存容量。 2.投标人提供算力存储架构规划服务，包括并行文件系统选型（Lustre/GPFS/WekaFS），NVMe SSD 全闪存方案，分级存储策略（热/温/冷数据）。 3.投标人需提供裸机部署与驱动安装服务：操作系统基线定制与加固（openEuler/Ubuntu指定版本并锁定内核）；NPU驱动与固件匹配安装验证（npu-smi info全卡健康）；CANN全栈部署及环境变量标准化；HCCL多卡组网（RoCE IP/MTU/防火墙）；容器运行时设备透传配置；并提供自动化部署脚本（Ansible/Shell）及健康检查报告模板。4.投标人提供推理框架部署：MindIE（模型加载、TP/PP并行、OpenAI API）、vLLM-Ascend容器多卡（PagedAttention、KVCache）、性能调优（批处理/前缀缓存/动态拆分/NPU分析）、服务编排（systemd/compose管理，含健康检查与滚动更新）。5.投标人应基于 CANN + torch_npu + MindSpeed Core 完成分布式训练环境构建，提供：(a) MindSpeed/Megatron-LM 的 TP/PP/DP 配置模板与实测吞吐报告；(b) DeepSpeed ZeRO-1/2/3 在HCCL通信路径下的可用性验证（含offload策略的IO基准）；(c) FSDP对照方案；并输出多节点强扩展/弱扩展曲线与 HCCL 通信瓶颈分析。6.投标人提供信创适配认证服务，包括信创目录兼容性验证（麒麟 V10/统信 UOS）、达梦/人大金仓数据库适配、东方通中间件集成测试。供应商具备提供上门服务的能力(可收费)。</w:t>
            </w:r>
          </w:p>
        </w:tc>
        <w:tc>
          <w:tcPr>
            <w:tcW w:type="dxa" w:w="1038"/>
          </w:tcPr>
          <w:p>
            <w:pPr>
              <w:pStyle w:val="null3"/>
            </w:pPr>
            <w:r>
              <w:rPr/>
              <w:t>是</w:t>
            </w:r>
          </w:p>
        </w:tc>
        <w:tc>
          <w:tcPr>
            <w:tcW w:type="dxa" w:w="1038"/>
          </w:tcPr>
          <w:p>
            <w:pPr>
              <w:pStyle w:val="null3"/>
            </w:pPr>
            <w:r>
              <w:rPr/>
              <w:t>投标人提供承诺函，并加盖投标人公章</w:t>
            </w:r>
          </w:p>
        </w:tc>
      </w:tr>
      <w:tr>
        <w:tc>
          <w:tcPr>
            <w:tcW w:type="dxa" w:w="1038"/>
          </w:tcPr>
          <w:p>
            <w:pPr>
              <w:pStyle w:val="null3"/>
            </w:pPr>
            <w:r>
              <w:rPr/>
              <w:t>288</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供应商提供针对特定业务场景性能优化服务及整体架构升级服务：投标人可提供面向国产AI加速芯片的完整性能优化服务：在推理吞吐方面，基于国产AI计算架构开放API及开源推理框架适配路径，实现连续批处理（Continuous Batching）、PagedAttention内存池管理、KV Cache量化压缩及多LoRA适配器并发调度；在分布式训练方面，基于国产化适配的PyTorch版本与集合通信库，开展数据并行/张量并行/流水线并行的策略组合调优、通信-计算重叠优化及梯度累积与Micro Batch参数整定；在显存优化方面，实施激活值重计算（Activation Checkpointing）、基于国产芯片Device-Host内存带宽特征的显存卸载（ZeRO-Offload）性价比调优，以及内存池预分配与缓存块回收调度策略；在编译与算子优化方面，提供基于国产化AI框架的图编译调优、基于开放开发接口的自动算子融合与高性能Transformer加速库配置，以及对标FlashAttention v2/v3的高性能注意力机制集成。</w:t>
            </w:r>
          </w:p>
        </w:tc>
        <w:tc>
          <w:tcPr>
            <w:tcW w:type="dxa" w:w="1038"/>
          </w:tcPr>
          <w:p>
            <w:pPr>
              <w:pStyle w:val="null3"/>
            </w:pPr>
            <w:r>
              <w:rPr/>
              <w:t>是</w:t>
            </w:r>
          </w:p>
        </w:tc>
        <w:tc>
          <w:tcPr>
            <w:tcW w:type="dxa" w:w="1038"/>
          </w:tcPr>
          <w:p>
            <w:pPr>
              <w:pStyle w:val="null3"/>
            </w:pPr>
            <w:r>
              <w:rPr/>
              <w:t>投标人提供承诺函，并加盖投标人公章</w:t>
            </w:r>
          </w:p>
        </w:tc>
      </w:tr>
      <w:tr>
        <w:tc>
          <w:tcPr>
            <w:tcW w:type="dxa" w:w="1038"/>
          </w:tcPr>
          <w:p>
            <w:pPr>
              <w:pStyle w:val="null3"/>
            </w:pPr>
            <w:r>
              <w:rPr/>
              <w:t>289</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GPU服务器B（ARM）</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投标人提供服务器CPU原厂提供的针对本项目的供应链稳定承诺书，确保产品的关键部件在产品服务周期内稳定供货。</w:t>
            </w:r>
          </w:p>
        </w:tc>
        <w:tc>
          <w:tcPr>
            <w:tcW w:type="dxa" w:w="1038"/>
          </w:tcPr>
          <w:p>
            <w:pPr>
              <w:pStyle w:val="null3"/>
            </w:pPr>
            <w:r>
              <w:rPr/>
              <w:t>否</w:t>
            </w:r>
          </w:p>
        </w:tc>
        <w:tc>
          <w:tcPr>
            <w:tcW w:type="dxa" w:w="1038"/>
          </w:tcPr>
          <w:p/>
        </w:tc>
      </w:tr>
    </w:tbl>
    <w:p>
      <w:pPr>
        <w:pStyle w:val="null3"/>
        <w:jc w:val="both"/>
      </w:pPr>
      <w:r>
        <w:rPr/>
        <w:t>本商务要求共有“★”指标5个，”#”指标1个，“▲”指标8个。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产品交付地点</w:t>
            </w:r>
          </w:p>
        </w:tc>
        <w:tc>
          <w:tcPr>
            <w:tcW w:type="dxa" w:w="1038"/>
          </w:tcPr>
          <w:p/>
        </w:tc>
        <w:tc>
          <w:tcPr>
            <w:tcW w:type="dxa" w:w="1038"/>
          </w:tcPr>
          <w:p>
            <w:pPr>
              <w:pStyle w:val="null3"/>
            </w:pPr>
            <w:r>
              <w:rPr>
                <w:rFonts w:ascii="仿宋" w:hAnsi="仿宋" w:cs="仿宋" w:eastAsia="仿宋"/>
                <w:sz w:val="18"/>
                <w:color w:val="000000"/>
              </w:rPr>
              <w:t>1台GPU服务器A(ARM)、1台GPU服务器B(ARM)的交付地点为北京。</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产品运输</w:t>
            </w:r>
          </w:p>
        </w:tc>
        <w:tc>
          <w:tcPr>
            <w:tcW w:type="dxa" w:w="1038"/>
          </w:tcPr>
          <w:p/>
        </w:tc>
        <w:tc>
          <w:tcPr>
            <w:tcW w:type="dxa" w:w="1038"/>
          </w:tcPr>
          <w:p>
            <w:pPr>
              <w:pStyle w:val="null3"/>
            </w:pPr>
            <w:r>
              <w:rPr>
                <w:rFonts w:ascii="仿宋" w:hAnsi="仿宋" w:cs="仿宋" w:eastAsia="仿宋"/>
                <w:sz w:val="18"/>
                <w:color w:val="000000"/>
              </w:rPr>
              <w:t>供应商应负责所有货物运输</w:t>
            </w:r>
            <w:r>
              <w:rPr>
                <w:rFonts w:ascii="仿宋" w:hAnsi="仿宋" w:cs="仿宋" w:eastAsia="仿宋"/>
                <w:sz w:val="18"/>
                <w:color w:val="000000"/>
              </w:rPr>
              <w:t>至所有实施地点，以及相关运输</w:t>
            </w:r>
            <w:r>
              <w:rPr>
                <w:rFonts w:ascii="仿宋" w:hAnsi="仿宋" w:cs="仿宋" w:eastAsia="仿宋"/>
                <w:sz w:val="18"/>
                <w:color w:val="000000"/>
              </w:rPr>
              <w:t>保险等一切</w:t>
            </w:r>
            <w:r>
              <w:rPr>
                <w:rFonts w:ascii="仿宋" w:hAnsi="仿宋" w:cs="仿宋" w:eastAsia="仿宋"/>
                <w:sz w:val="18"/>
                <w:color w:val="000000"/>
              </w:rPr>
              <w:t>到货前发生的</w:t>
            </w:r>
            <w:r>
              <w:rPr>
                <w:rFonts w:ascii="仿宋" w:hAnsi="仿宋" w:cs="仿宋" w:eastAsia="仿宋"/>
                <w:sz w:val="18"/>
                <w:color w:val="000000"/>
              </w:rPr>
              <w:t>费用。</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产品附件</w:t>
            </w:r>
          </w:p>
        </w:tc>
        <w:tc>
          <w:tcPr>
            <w:tcW w:type="dxa" w:w="1038"/>
          </w:tcPr>
          <w:p/>
        </w:tc>
        <w:tc>
          <w:tcPr>
            <w:tcW w:type="dxa" w:w="1038"/>
          </w:tcPr>
          <w:p>
            <w:pPr>
              <w:pStyle w:val="null3"/>
            </w:pPr>
            <w:r>
              <w:rPr>
                <w:rFonts w:ascii="仿宋" w:hAnsi="仿宋" w:cs="仿宋" w:eastAsia="仿宋"/>
                <w:sz w:val="18"/>
                <w:color w:val="000000"/>
              </w:rPr>
              <w:t>应在合同规定的交货期内提供所有产品及附件，附件应包括全部的介质、配件、相关资料（包括但不限于产品说明书、产品操作手册、故障诊断手册等）以及装箱单等。</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实施团队要求</w:t>
            </w:r>
          </w:p>
        </w:tc>
        <w:tc>
          <w:tcPr>
            <w:tcW w:type="dxa" w:w="1038"/>
          </w:tcPr>
          <w:p/>
        </w:tc>
        <w:tc>
          <w:tcPr>
            <w:tcW w:type="dxa" w:w="1038"/>
          </w:tcPr>
          <w:p>
            <w:pPr>
              <w:pStyle w:val="null3"/>
            </w:pPr>
            <w:r>
              <w:rPr>
                <w:rFonts w:ascii="仿宋" w:hAnsi="仿宋" w:cs="仿宋" w:eastAsia="仿宋"/>
                <w:sz w:val="18"/>
                <w:color w:val="000000"/>
              </w:rPr>
              <w:t>投标人应派遣有经验的技术人员组成项目组完成实施技术服务，包括但不限于文档编写、验证测试、设备安装、软硬件的调试和调优服务等。</w:t>
            </w:r>
            <w:r>
              <w:rPr>
                <w:rFonts w:ascii="仿宋" w:hAnsi="仿宋" w:cs="仿宋" w:eastAsia="仿宋"/>
                <w:sz w:val="18"/>
                <w:color w:val="000000"/>
              </w:rPr>
              <w:t>项目</w:t>
            </w:r>
            <w:r>
              <w:rPr>
                <w:rFonts w:ascii="仿宋" w:hAnsi="仿宋" w:cs="仿宋" w:eastAsia="仿宋"/>
                <w:sz w:val="18"/>
                <w:color w:val="000000"/>
              </w:rPr>
              <w:t>组至少由</w:t>
            </w:r>
            <w:r>
              <w:rPr>
                <w:rFonts w:ascii="仿宋" w:hAnsi="仿宋" w:cs="仿宋" w:eastAsia="仿宋"/>
                <w:sz w:val="18"/>
                <w:color w:val="000000"/>
              </w:rPr>
              <w:t>2</w:t>
            </w:r>
            <w:r>
              <w:rPr>
                <w:rFonts w:ascii="仿宋" w:hAnsi="仿宋" w:cs="仿宋" w:eastAsia="仿宋"/>
                <w:sz w:val="18"/>
                <w:color w:val="000000"/>
              </w:rPr>
              <w:t>人组成，包括项目经理</w:t>
            </w:r>
            <w:r>
              <w:rPr>
                <w:rFonts w:ascii="仿宋" w:hAnsi="仿宋" w:cs="仿宋" w:eastAsia="仿宋"/>
                <w:sz w:val="18"/>
                <w:color w:val="000000"/>
              </w:rPr>
              <w:t>1人和至少技术人员</w:t>
            </w:r>
            <w:r>
              <w:rPr>
                <w:rFonts w:ascii="仿宋" w:hAnsi="仿宋" w:cs="仿宋" w:eastAsia="仿宋"/>
                <w:sz w:val="18"/>
                <w:color w:val="000000"/>
              </w:rPr>
              <w:t>1</w:t>
            </w:r>
            <w:r>
              <w:rPr>
                <w:rFonts w:ascii="仿宋" w:hAnsi="仿宋" w:cs="仿宋" w:eastAsia="仿宋"/>
                <w:sz w:val="18"/>
                <w:color w:val="000000"/>
              </w:rPr>
              <w:t>名。其中</w:t>
            </w:r>
            <w:r>
              <w:rPr>
                <w:rFonts w:ascii="仿宋" w:hAnsi="仿宋" w:cs="仿宋" w:eastAsia="仿宋"/>
                <w:sz w:val="18"/>
                <w:color w:val="000000"/>
              </w:rPr>
              <w:t>：</w:t>
            </w:r>
            <w:r>
              <w:rPr>
                <w:rFonts w:ascii="仿宋" w:hAnsi="仿宋" w:cs="仿宋" w:eastAsia="仿宋"/>
                <w:sz w:val="18"/>
                <w:color w:val="000000"/>
              </w:rPr>
              <w:t>项目经理需至少有两个以上</w:t>
            </w:r>
            <w:r>
              <w:rPr>
                <w:rFonts w:ascii="仿宋" w:hAnsi="仿宋" w:cs="仿宋" w:eastAsia="仿宋"/>
                <w:sz w:val="18"/>
                <w:color w:val="000000"/>
              </w:rPr>
              <w:t>GPU服务器硬件集成的项目管理经验，技术人员</w:t>
            </w:r>
            <w:r>
              <w:rPr>
                <w:rFonts w:ascii="仿宋" w:hAnsi="仿宋" w:cs="仿宋" w:eastAsia="仿宋"/>
                <w:sz w:val="18"/>
                <w:color w:val="000000"/>
              </w:rPr>
              <w:t>应</w:t>
            </w:r>
            <w:r>
              <w:rPr>
                <w:rFonts w:ascii="仿宋" w:hAnsi="仿宋" w:cs="仿宋" w:eastAsia="仿宋"/>
                <w:sz w:val="18"/>
                <w:color w:val="000000"/>
              </w:rPr>
              <w:t>具备服务器领域的硬件集成专业技能，对所投设备有一定了解，可对故障进行快速分析定位。项目实施过程中人员原则上不允许更换，如需更换，必须经招标人同意。</w:t>
            </w:r>
            <w:r>
              <w:rPr>
                <w:rFonts w:ascii="仿宋" w:hAnsi="仿宋" w:cs="仿宋" w:eastAsia="仿宋"/>
                <w:sz w:val="18"/>
                <w:color w:val="000000"/>
              </w:rPr>
              <w:t>如项目经理与其他技术人员不能满足实施需要，招标人可以提出更换要求，并得到投标人满足。</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集成实施要求</w:t>
            </w:r>
          </w:p>
        </w:tc>
        <w:tc>
          <w:tcPr>
            <w:tcW w:type="dxa" w:w="1038"/>
          </w:tcPr>
          <w:p/>
        </w:tc>
        <w:tc>
          <w:tcPr>
            <w:tcW w:type="dxa" w:w="1038"/>
          </w:tcPr>
          <w:p>
            <w:pPr>
              <w:pStyle w:val="null3"/>
            </w:pPr>
            <w:r>
              <w:rPr>
                <w:rFonts w:ascii="仿宋" w:hAnsi="仿宋" w:cs="仿宋" w:eastAsia="仿宋"/>
                <w:sz w:val="18"/>
                <w:color w:val="000000"/>
              </w:rPr>
              <w:t>1.自到货验收合格日起，</w:t>
            </w:r>
            <w:r>
              <w:rPr>
                <w:rFonts w:ascii="仿宋" w:hAnsi="仿宋" w:cs="仿宋" w:eastAsia="仿宋"/>
                <w:sz w:val="18"/>
                <w:color w:val="000000"/>
              </w:rPr>
              <w:t>6</w:t>
            </w:r>
            <w:r>
              <w:rPr>
                <w:rFonts w:ascii="仿宋" w:hAnsi="仿宋" w:cs="仿宋" w:eastAsia="仿宋"/>
                <w:sz w:val="18"/>
                <w:color w:val="000000"/>
              </w:rPr>
              <w:t>0个日历日内完成设备上架、网络接入调试、与上层软件联调测试等工作。</w:t>
            </w:r>
            <w:r>
              <w:rPr>
                <w:rFonts w:ascii="仿宋" w:hAnsi="仿宋" w:cs="仿宋" w:eastAsia="仿宋"/>
                <w:sz w:val="18"/>
                <w:color w:val="000000"/>
              </w:rPr>
              <w:t>2.安装调试过程中，中标人应配合招标人完成对货物的功能测试、性能测试、漏洞扫描等工作。3.安装调试过程中若发现货物不满足招标文件中列明的技术要求，由中标人负责免费解决；如货物出现故障，中标人必须免费更换新的产品，不接受设备维修。4.当出现以下情形时，招标人有权退货并保留索赔的权利。a)货物更换2次（含2次）以上,仍不能完全满足招标文件中列明的技术要求；b）未能在规定时间内完成安装调试且超出规定时间30个日历日。</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集成实施方案</w:t>
            </w:r>
          </w:p>
        </w:tc>
        <w:tc>
          <w:tcPr>
            <w:tcW w:type="dxa" w:w="1038"/>
          </w:tcPr>
          <w:p/>
        </w:tc>
        <w:tc>
          <w:tcPr>
            <w:tcW w:type="dxa" w:w="1038"/>
          </w:tcPr>
          <w:p>
            <w:pPr>
              <w:pStyle w:val="null3"/>
            </w:pPr>
            <w:r>
              <w:rPr>
                <w:rFonts w:ascii="仿宋" w:hAnsi="仿宋" w:cs="仿宋" w:eastAsia="仿宋"/>
                <w:sz w:val="18"/>
                <w:color w:val="000000"/>
              </w:rPr>
              <w:t>提供的</w:t>
            </w:r>
            <w:r>
              <w:rPr>
                <w:rFonts w:ascii="仿宋" w:hAnsi="仿宋" w:cs="仿宋" w:eastAsia="仿宋"/>
                <w:sz w:val="18"/>
                <w:color w:val="000000"/>
              </w:rPr>
              <w:t>集成</w:t>
            </w:r>
            <w:r>
              <w:rPr>
                <w:rFonts w:ascii="仿宋" w:hAnsi="仿宋" w:cs="仿宋" w:eastAsia="仿宋"/>
                <w:sz w:val="18"/>
                <w:color w:val="000000"/>
              </w:rPr>
              <w:t>实施方案</w:t>
            </w:r>
            <w:r>
              <w:rPr>
                <w:rFonts w:ascii="仿宋" w:hAnsi="仿宋" w:cs="仿宋" w:eastAsia="仿宋"/>
                <w:sz w:val="18"/>
                <w:color w:val="000000"/>
              </w:rPr>
              <w:t>，</w:t>
            </w:r>
            <w:r>
              <w:rPr>
                <w:rFonts w:ascii="仿宋" w:hAnsi="仿宋" w:cs="仿宋" w:eastAsia="仿宋"/>
                <w:sz w:val="18"/>
                <w:color w:val="000000"/>
              </w:rPr>
              <w:t>内容包括：实施准备及设备到货、设备上架安装、系统调试与配套网络设备的联合调试、相关线缆提供及机架布线、试运行技术支持</w:t>
            </w:r>
            <w:r>
              <w:rPr>
                <w:rFonts w:ascii="仿宋" w:hAnsi="仿宋" w:cs="仿宋" w:eastAsia="仿宋"/>
                <w:sz w:val="18"/>
                <w:color w:val="000000"/>
              </w:rPr>
              <w:t>、重难点分析及解决方案，共</w:t>
            </w:r>
            <w:r>
              <w:rPr>
                <w:rFonts w:ascii="仿宋" w:hAnsi="仿宋" w:cs="仿宋" w:eastAsia="仿宋"/>
                <w:sz w:val="18"/>
                <w:color w:val="000000"/>
              </w:rPr>
              <w:t>6部分。</w:t>
            </w:r>
          </w:p>
        </w:tc>
        <w:tc>
          <w:tcPr>
            <w:tcW w:type="dxa" w:w="1038"/>
          </w:tcPr>
          <w:p>
            <w:pPr>
              <w:pStyle w:val="null3"/>
            </w:pPr>
            <w:r>
              <w:rPr/>
              <w:t>是</w:t>
            </w:r>
          </w:p>
        </w:tc>
        <w:tc>
          <w:tcPr>
            <w:tcW w:type="dxa" w:w="1038"/>
          </w:tcPr>
          <w:p>
            <w:pPr>
              <w:pStyle w:val="null3"/>
            </w:pPr>
            <w:r>
              <w:rPr/>
              <w:t>提供集成实施方案</w:t>
            </w: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验收标准</w:t>
            </w:r>
          </w:p>
        </w:tc>
        <w:tc>
          <w:tcPr>
            <w:tcW w:type="dxa" w:w="1038"/>
          </w:tcPr>
          <w:p/>
        </w:tc>
        <w:tc>
          <w:tcPr>
            <w:tcW w:type="dxa" w:w="1038"/>
          </w:tcPr>
          <w:p>
            <w:pPr>
              <w:pStyle w:val="null3"/>
            </w:pPr>
            <w:r>
              <w:rPr>
                <w:rFonts w:ascii="仿宋" w:hAnsi="仿宋" w:cs="仿宋" w:eastAsia="仿宋"/>
                <w:sz w:val="18"/>
                <w:color w:val="000000"/>
              </w:rPr>
              <w:t>集成实施完成后由招标人组织最终验收。</w:t>
            </w:r>
            <w:r>
              <w:rPr>
                <w:rFonts w:ascii="仿宋" w:hAnsi="仿宋" w:cs="仿宋" w:eastAsia="仿宋"/>
                <w:sz w:val="18"/>
                <w:color w:val="000000"/>
              </w:rPr>
              <w:t>若验收过程中发现问题，由中标人负责免费解决，招标人保留退货及索赔权利。</w:t>
            </w:r>
            <w:r>
              <w:rPr>
                <w:rFonts w:ascii="仿宋" w:hAnsi="仿宋" w:cs="仿宋" w:eastAsia="仿宋"/>
                <w:sz w:val="18"/>
                <w:color w:val="000000"/>
              </w:rPr>
              <w:t>验收合格后，由招标人开具最终验收的验收单</w:t>
            </w:r>
            <w:r>
              <w:rPr>
                <w:rFonts w:ascii="仿宋" w:hAnsi="仿宋" w:cs="仿宋" w:eastAsia="仿宋"/>
                <w:sz w:val="18"/>
                <w:color w:val="000000"/>
              </w:rPr>
              <w:t>/报告，双方签字盖章</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售后服务要求</w:t>
            </w:r>
          </w:p>
        </w:tc>
        <w:tc>
          <w:tcPr>
            <w:tcW w:type="dxa" w:w="1038"/>
          </w:tcPr>
          <w:p/>
        </w:tc>
        <w:tc>
          <w:tcPr>
            <w:tcW w:type="dxa" w:w="1038"/>
          </w:tcPr>
          <w:p>
            <w:pPr>
              <w:pStyle w:val="null3"/>
            </w:pPr>
            <w:r>
              <w:rPr>
                <w:rFonts w:ascii="仿宋" w:hAnsi="仿宋" w:cs="仿宋" w:eastAsia="仿宋"/>
                <w:sz w:val="18"/>
                <w:color w:val="000000"/>
              </w:rPr>
              <w:t>安装调试阶段及质量保障期内的技术支持与售后服务内容应包括但不限于下述内容：技术咨询服务、维护服务、版本升级服务、巡检服务、补丁安装、性能调优、故障修复和故障修复所需的备件更换（含备件本身）、电话支持服务、电子邮件支持服务等。</w:t>
            </w:r>
            <w:r>
              <w:rPr>
                <w:rFonts w:ascii="仿宋" w:hAnsi="仿宋" w:cs="仿宋" w:eastAsia="仿宋"/>
                <w:sz w:val="18"/>
                <w:color w:val="000000"/>
              </w:rPr>
              <w:t>1.技术咨询服务：提供产品终身的技术咨询服务，包括新产品新技术通报，软硬件技术咨询，系统改进意见，提供技术方案，项目长远规划，研究解决技术难题等。 2.维护服务：技术服务提供商应协助招标人完成日常系统及应用的维护工作，保证系统的正常运行。 3.版本升级服务：技术服务提供商应配合招标人分析软硬件运行状态，提出修正性的软件版本升级的建议，提供软件升级报告及升级方案，并在质量保障期内提供软件版本升级服务。 4.巡检服务：技术服务提供商定期派合格工程师到招标人现场对设备进行巡检，全面检查设备的软、硬件运行情况，记录设备的错误，排除故障隐患，进行设备保养工作。在质量保障期内，巡检频率为1次/半年。每次巡检，技术服务提供商须分析设备运行情况，提供系统日常运行维护建议并形成巡检报告提交给招标人，报告须经招标人签字确认。 5.补丁安装：技术服务提供商应为用户的软件版本以及硬件固件更新信息提供通知及安装服务，对软硬件的新发现的缺陷或漏洞、新发布的修复更新和面临的风险隐患进行及时的通知，防止因未及时修复缺陷或漏洞从而造成招标人整体系统运行风险隐患，甚至导致信息安全事件的发生。补丁安装须提供以下信息：漏洞描述、修复目标、修复计划、影响分析、准备工作、修复步骤、修复测试结果。 6.性能调优：性能调优指当招标人软硬件设备出现运行不能达到预期目标时，技术服务提供商应为招标人提供性能优化服务直至软硬件设备运行达到较佳水平。性能调优服务包括为招标人建立性能基线、分析软硬件历史正常运行数据、对软硬件配置提出优化建议等。 7.故障修复： ①故障修复指当招标人的设备出现故障（如服务中断、数据丢失、设备不能正常工作等）时，技术服务提供商须为招标人提供硬件设备修复、备件更换及系统软件故障排除的服务。 ②技术服务提供商应为招标人提供7*24的故障修复服务。当软硬件发生故障时，技术服务提供商应在接到招标人申请后1小时内作出实质性反应，并派出工程师在2小时内到达现场。如需进行硬件更换，技术服务提供商应在接到招标人申请后1小时内作出实质性反应，并在4小时内将需要更换的备件送达现场。 ③技术服务提供商应以书面形式告知招标人故障申请的方式、申请的流程，以及申请过程中需要招标人准备的设备信息（如产品序列号等）。 ④当软硬件设备发生故障时，技术服务提供商需在6小时内修复故障，如6小时内未能修复故障，则须在此6小时内提出解决此类问题的紧急预案方案，以恢复系统的正常运行。 ⑤当软硬件设备发生故障时，技术服务提供商须启动公司的多层技术资源支持，帮助招标人排查问题，直到问题最终获得妥善处理。对于招标人系统的重要问题，至少每天汇报一次问题解决情况，须协助招标人进行问题定位，就解决问题所需要相关系统信息的收集方法，指导招标人的技术人员。 ⑥技术服务提供商须帮助招标人进行问题根源的分析和诊断，提出解决问题的建议方案。 ⑦在故障修复过程中，如需更换故障部件，必须提供制造商生产的同型号全新部件或者制造商生产的兼容型号的全新部件，每次更换硬件部件时应出示该部件为制造商生产证明，如技术服务提供商采用不符合要求的部件替换故障部件，招标人有权要求服务提供商更换，给招标人造成损失的，招标人有权要求给予损失赔偿。 ⑧从硬件设备到货之日起，所有硬件设备中的一切存储介质（如磁盘、固态盘等一切记录用户信息的产品）出现损坏，在进行维修时，应及时更换损坏的存储介质外，损坏的存储介质归招标人所有，设备厂商及投标人不得回收，所需费用应包含在投标总价中，磁介质更换时不收取额外费用。 8.电话支持服务：技术服务提供商应为招标人提供7*24的电话支持服务，受理故障报修，解答招标人技术人员的技术咨询问题。技术服务提供商须以书面形式告知招标人有效的支持服务联系电话，以及提供支持服务过程中需要招标人准备的设备信息（如产品序列号等）。服务支持联系电话除指定一个固定电话号码外，须另提供一个手机号码。如电话号码有变动，技术服务提供商须提前以书面形式通知招标人。电话支持服务内容包含设备的所有硬件、软件和配置问题。 9.电子邮件支持服务：技术服务提供商应为招标人提供7*24的电子邮件支持服务，以书面形式告知招标人有效的支持服务电子邮箱，以及提供支持服务过程中需要招标人准备的信息（如产品序列号等），如电子邮箱有变动须提前书面通知招标人。电子邮件支持服务内容包含设备的所有硬件、软件和配置问题。</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技术文档要求</w:t>
            </w:r>
          </w:p>
        </w:tc>
        <w:tc>
          <w:tcPr>
            <w:tcW w:type="dxa" w:w="1038"/>
          </w:tcPr>
          <w:p/>
        </w:tc>
        <w:tc>
          <w:tcPr>
            <w:tcW w:type="dxa" w:w="1038"/>
          </w:tcPr>
          <w:p>
            <w:pPr>
              <w:pStyle w:val="null3"/>
            </w:pPr>
            <w:r>
              <w:rPr>
                <w:rFonts w:ascii="仿宋" w:hAnsi="仿宋" w:cs="仿宋" w:eastAsia="仿宋"/>
                <w:sz w:val="18"/>
                <w:color w:val="000000"/>
              </w:rPr>
              <w:t>中标人所提交的技术文档必须是正式出版和装订的</w:t>
            </w:r>
            <w:r>
              <w:rPr>
                <w:rFonts w:ascii="仿宋" w:hAnsi="仿宋" w:cs="仿宋" w:eastAsia="仿宋"/>
                <w:sz w:val="18"/>
                <w:color w:val="000000"/>
              </w:rPr>
              <w:t>(可以为电子版)，电子文档交付格式要求：WORD、EXCEL、POWERPOINT、VISIO、MS_PROJECT等原始电子文档形式，对于关键性的电子文档，同时提交PDF文件，其费用应包括在该品目的基本报价中。为了培训的目的，招标人有权复制这些资料而不受限制和另付费用。所有技术文档以实际需求为准，包括但不限于如下内容： 1.安装指南：中标人应向招标人提供安装调试过程中的各种文档资料,以便招标人能掌握操作方法和维护方法。有关产品正确安装与详细配置（包括安装方法、安装步骤及各种配置参数等）资料要以易理解的方式（包括详细说明及图示）形成中文文档，交于招标人。 2.技术文件：产品说明书、产品操作手册（包括开关机、密码修改操作指南等）、产品维护手册（包括故障诊断指南）等。 3.系统配置说明书：中标人应提供系统配置说明书，包括配置图和配件/模块清单。配置图要说明设备型号，标出全部端口和连接标准及连接部件产品的型号。</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pPr>
            <w:r>
              <w:rPr>
                <w:rFonts w:ascii="仿宋" w:hAnsi="仿宋" w:cs="仿宋" w:eastAsia="仿宋"/>
                <w:sz w:val="18"/>
              </w:rPr>
              <w:t>中标人和制造商应与招标人签订保密协议，在招标人规定的保密期内不发生失泄密。如果参与人员在规定的保密期内发生失泄密行为，中标人及制造商应承担全部责任。</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环保要求</w:t>
            </w:r>
          </w:p>
        </w:tc>
        <w:tc>
          <w:tcPr>
            <w:tcW w:type="dxa" w:w="1038"/>
          </w:tcPr>
          <w:p/>
        </w:tc>
        <w:tc>
          <w:tcPr>
            <w:tcW w:type="dxa" w:w="1038"/>
          </w:tcPr>
          <w:p>
            <w:pPr>
              <w:pStyle w:val="null3"/>
            </w:pPr>
            <w:r>
              <w:rPr>
                <w:rFonts w:ascii="仿宋" w:hAnsi="仿宋" w:cs="仿宋" w:eastAsia="仿宋"/>
                <w:sz w:val="18"/>
                <w:color w:val="000000"/>
              </w:rPr>
              <w:t>根据《财政部发展改革委生态环境部市场监管总局关于调整优化节能产品、环境标志产品政府采购执行机制的通知》（财库〔</w:t>
            </w:r>
            <w:r>
              <w:rPr>
                <w:rFonts w:ascii="仿宋" w:hAnsi="仿宋" w:cs="仿宋" w:eastAsia="仿宋"/>
                <w:sz w:val="18"/>
                <w:color w:val="000000"/>
              </w:rPr>
              <w:t>2019〕9号）、《关于印发环境标志产品政府采购品目清单的通知》（财库〔2019〕18号）、《关于印发节能产品政府采购品目清单的通知》（财库〔2019〕19号），国家市场监督管理总局公告16号文有关规定，服务器属于《环境标志产品政府采购品目清单》中产品，投标时请提供所投产品的相关证书。</w:t>
            </w:r>
          </w:p>
        </w:tc>
        <w:tc>
          <w:tcPr>
            <w:tcW w:type="dxa" w:w="1038"/>
          </w:tcPr>
          <w:p>
            <w:pPr>
              <w:pStyle w:val="null3"/>
            </w:pPr>
            <w:r>
              <w:rPr/>
              <w:t>是</w:t>
            </w:r>
          </w:p>
        </w:tc>
        <w:tc>
          <w:tcPr>
            <w:tcW w:type="dxa" w:w="1038"/>
          </w:tcPr>
          <w:p>
            <w:pPr>
              <w:pStyle w:val="null3"/>
            </w:pPr>
            <w:r>
              <w:rPr/>
              <w:t>提供投标产品获得国家确定的认证机构出具的、处于有效期内的环境标志产品认证证书复印件并加盖投标人公章。</w:t>
            </w:r>
          </w:p>
        </w:tc>
      </w:tr>
      <w:tr>
        <w:tc>
          <w:tcPr>
            <w:tcW w:type="dxa" w:w="1038"/>
          </w:tcPr>
          <w:p>
            <w:pPr>
              <w:pStyle w:val="null3"/>
            </w:pPr>
            <w:r>
              <w:rPr/>
              <w:t>12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授权情况</w:t>
            </w:r>
          </w:p>
        </w:tc>
        <w:tc>
          <w:tcPr>
            <w:tcW w:type="dxa" w:w="1038"/>
          </w:tcPr>
          <w:p/>
        </w:tc>
        <w:tc>
          <w:tcPr>
            <w:tcW w:type="dxa" w:w="1038"/>
          </w:tcPr>
          <w:p>
            <w:pPr>
              <w:pStyle w:val="null3"/>
            </w:pPr>
            <w:r>
              <w:rPr>
                <w:rFonts w:ascii="仿宋" w:hAnsi="仿宋" w:cs="仿宋" w:eastAsia="仿宋"/>
                <w:sz w:val="18"/>
              </w:rPr>
              <w:t>1、投标人出具所投产品的原厂商授权书原件，并加盖原厂商公章。 2、投标人出具所投产品的原厂商服务承诺函原件，并加盖原厂商公章。 3、投标人出具所投产品关键芯片（CPU 芯片）的生产厂商对本项目的芯片授权书，并加盖CPU厂商公章。</w:t>
            </w:r>
          </w:p>
        </w:tc>
        <w:tc>
          <w:tcPr>
            <w:tcW w:type="dxa" w:w="1038"/>
          </w:tcPr>
          <w:p>
            <w:pPr>
              <w:pStyle w:val="null3"/>
            </w:pPr>
            <w:r>
              <w:rPr/>
              <w:t>是</w:t>
            </w:r>
          </w:p>
        </w:tc>
        <w:tc>
          <w:tcPr>
            <w:tcW w:type="dxa" w:w="1038"/>
          </w:tcPr>
          <w:p>
            <w:pPr>
              <w:pStyle w:val="null3"/>
            </w:pPr>
            <w:r>
              <w:rPr/>
              <w:t>提供原厂授权或承诺函，并加盖原厂公章。</w:t>
            </w:r>
          </w:p>
        </w:tc>
      </w:tr>
      <w:tr>
        <w:tc>
          <w:tcPr>
            <w:tcW w:type="dxa" w:w="1038"/>
          </w:tcPr>
          <w:p>
            <w:pPr>
              <w:pStyle w:val="null3"/>
            </w:pPr>
            <w:r>
              <w:rPr/>
              <w:t>13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类似产品销售案例</w:t>
            </w:r>
          </w:p>
        </w:tc>
        <w:tc>
          <w:tcPr>
            <w:tcW w:type="dxa" w:w="1038"/>
          </w:tcPr>
          <w:p/>
        </w:tc>
        <w:tc>
          <w:tcPr>
            <w:tcW w:type="dxa" w:w="1038"/>
          </w:tcPr>
          <w:p>
            <w:pPr>
              <w:pStyle w:val="null3"/>
            </w:pPr>
            <w:r>
              <w:rPr>
                <w:rFonts w:ascii="仿宋" w:hAnsi="仿宋" w:cs="仿宋" w:eastAsia="仿宋"/>
                <w:sz w:val="18"/>
              </w:rPr>
              <w:t>投标人提供本标段所投产品自</w:t>
            </w:r>
            <w:r>
              <w:rPr>
                <w:rFonts w:ascii="仿宋" w:hAnsi="仿宋" w:cs="仿宋" w:eastAsia="仿宋"/>
                <w:sz w:val="18"/>
              </w:rPr>
              <w:t>2023年1月1日起至投标截止之日（以合同签订时间为准）的</w:t>
            </w:r>
            <w:r>
              <w:rPr>
                <w:rFonts w:ascii="仿宋" w:hAnsi="仿宋" w:cs="仿宋" w:eastAsia="仿宋"/>
                <w:sz w:val="18"/>
              </w:rPr>
              <w:t>类似产品销售</w:t>
            </w:r>
            <w:r>
              <w:rPr>
                <w:rFonts w:ascii="仿宋" w:hAnsi="仿宋" w:cs="仿宋" w:eastAsia="仿宋"/>
                <w:sz w:val="18"/>
              </w:rPr>
              <w:t>案例。</w:t>
            </w:r>
            <w:r>
              <w:rPr>
                <w:rFonts w:ascii="仿宋" w:hAnsi="仿宋" w:cs="仿宋" w:eastAsia="仿宋"/>
                <w:sz w:val="18"/>
              </w:rPr>
              <w:t>类似产品指的是与</w:t>
            </w:r>
            <w:r>
              <w:rPr>
                <w:rFonts w:ascii="仿宋" w:hAnsi="仿宋" w:cs="仿宋" w:eastAsia="仿宋"/>
                <w:sz w:val="18"/>
              </w:rPr>
              <w:t>所投服务器同型号或同系列产品</w:t>
            </w:r>
            <w:r>
              <w:rPr>
                <w:rFonts w:ascii="仿宋" w:hAnsi="仿宋" w:cs="仿宋" w:eastAsia="仿宋"/>
                <w:sz w:val="18"/>
              </w:rPr>
              <w:t>（服务器品牌相同、</w:t>
            </w:r>
            <w:r>
              <w:rPr>
                <w:rFonts w:ascii="仿宋" w:hAnsi="仿宋" w:cs="仿宋" w:eastAsia="仿宋"/>
                <w:sz w:val="18"/>
              </w:rPr>
              <w:t>CPU芯片品牌相同）</w:t>
            </w:r>
            <w:r>
              <w:rPr>
                <w:rFonts w:ascii="仿宋" w:hAnsi="仿宋" w:cs="仿宋" w:eastAsia="仿宋"/>
                <w:sz w:val="18"/>
              </w:rPr>
              <w:t>的任一应用案例</w:t>
            </w:r>
            <w:r>
              <w:rPr>
                <w:rFonts w:ascii="仿宋" w:hAnsi="仿宋" w:cs="仿宋" w:eastAsia="仿宋"/>
                <w:sz w:val="18"/>
              </w:rPr>
              <w:t>。</w:t>
            </w:r>
          </w:p>
        </w:tc>
        <w:tc>
          <w:tcPr>
            <w:tcW w:type="dxa" w:w="1038"/>
          </w:tcPr>
          <w:p>
            <w:pPr>
              <w:pStyle w:val="null3"/>
            </w:pPr>
            <w:r>
              <w:rPr/>
              <w:t>是</w:t>
            </w:r>
          </w:p>
        </w:tc>
        <w:tc>
          <w:tcPr>
            <w:tcW w:type="dxa" w:w="1038"/>
          </w:tcPr>
          <w:p>
            <w:pPr>
              <w:pStyle w:val="null3"/>
            </w:pPr>
            <w:r>
              <w:rPr/>
              <w:t>提供案例证明材料（采购合同关键页复印件），并加盖投标人公章。</w:t>
            </w:r>
          </w:p>
        </w:tc>
      </w:tr>
      <w:tr>
        <w:tc>
          <w:tcPr>
            <w:tcW w:type="dxa" w:w="1038"/>
          </w:tcPr>
          <w:p>
            <w:pPr>
              <w:pStyle w:val="null3"/>
            </w:pPr>
            <w:r>
              <w:rPr/>
              <w:t>14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免费质保期承诺</w:t>
            </w:r>
          </w:p>
        </w:tc>
        <w:tc>
          <w:tcPr>
            <w:tcW w:type="dxa" w:w="1038"/>
          </w:tcPr>
          <w:p/>
        </w:tc>
        <w:tc>
          <w:tcPr>
            <w:tcW w:type="dxa" w:w="1038"/>
          </w:tcPr>
          <w:p>
            <w:pPr>
              <w:pStyle w:val="null3"/>
            </w:pPr>
            <w:r>
              <w:rPr>
                <w:rFonts w:ascii="仿宋" w:hAnsi="仿宋" w:cs="仿宋" w:eastAsia="仿宋"/>
                <w:sz w:val="18"/>
                <w:color w:val="000000"/>
              </w:rPr>
              <w:t>投标人承诺所投产品提供</w:t>
            </w:r>
            <w:r>
              <w:rPr>
                <w:rFonts w:ascii="仿宋" w:hAnsi="仿宋" w:cs="仿宋" w:eastAsia="仿宋"/>
                <w:sz w:val="18"/>
                <w:color w:val="000000"/>
              </w:rPr>
              <w:t>3</w:t>
            </w:r>
            <w:r>
              <w:rPr>
                <w:rFonts w:ascii="仿宋" w:hAnsi="仿宋" w:cs="仿宋" w:eastAsia="仿宋"/>
                <w:sz w:val="18"/>
                <w:color w:val="000000"/>
              </w:rPr>
              <w:t>年原厂</w:t>
            </w:r>
            <w:r>
              <w:rPr>
                <w:rFonts w:ascii="仿宋" w:hAnsi="仿宋" w:cs="仿宋" w:eastAsia="仿宋"/>
                <w:sz w:val="18"/>
                <w:color w:val="000000"/>
              </w:rPr>
              <w:t>质保</w:t>
            </w:r>
            <w:r>
              <w:rPr>
                <w:rFonts w:ascii="仿宋" w:hAnsi="仿宋" w:cs="仿宋" w:eastAsia="仿宋"/>
                <w:sz w:val="18"/>
                <w:color w:val="000000"/>
              </w:rPr>
              <w:t>服务基础上，免费提供原厂</w:t>
            </w:r>
            <w:r>
              <w:rPr>
                <w:rFonts w:ascii="仿宋" w:hAnsi="仿宋" w:cs="仿宋" w:eastAsia="仿宋"/>
                <w:sz w:val="18"/>
                <w:color w:val="000000"/>
              </w:rPr>
              <w:t>质保</w:t>
            </w:r>
            <w:r>
              <w:rPr>
                <w:rFonts w:ascii="仿宋" w:hAnsi="仿宋" w:cs="仿宋" w:eastAsia="仿宋"/>
                <w:sz w:val="18"/>
                <w:color w:val="000000"/>
              </w:rPr>
              <w:t>服务</w:t>
            </w:r>
            <w:r>
              <w:rPr>
                <w:rFonts w:ascii="仿宋" w:hAnsi="仿宋" w:cs="仿宋" w:eastAsia="仿宋"/>
                <w:sz w:val="18"/>
                <w:color w:val="000000"/>
              </w:rPr>
              <w:t>延长服务</w:t>
            </w:r>
            <w:r>
              <w:rPr>
                <w:rFonts w:ascii="仿宋" w:hAnsi="仿宋" w:cs="仿宋" w:eastAsia="仿宋"/>
                <w:sz w:val="18"/>
                <w:color w:val="000000"/>
              </w:rPr>
              <w:t>。</w:t>
            </w:r>
          </w:p>
        </w:tc>
        <w:tc>
          <w:tcPr>
            <w:tcW w:type="dxa" w:w="1038"/>
          </w:tcPr>
          <w:p>
            <w:pPr>
              <w:pStyle w:val="null3"/>
            </w:pPr>
            <w:r>
              <w:rPr/>
              <w:t>是</w:t>
            </w:r>
          </w:p>
        </w:tc>
        <w:tc>
          <w:tcPr>
            <w:tcW w:type="dxa" w:w="1038"/>
          </w:tcPr>
          <w:p>
            <w:pPr>
              <w:pStyle w:val="null3"/>
            </w:pPr>
            <w:r>
              <w:rPr/>
              <w:t>提供免费质保期承诺函并加盖投标人公章。</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到货验收合格</w:t>
            </w:r>
          </w:p>
        </w:tc>
        <w:tc>
          <w:tcPr>
            <w:tcW w:type="dxa" w:w="1384"/>
          </w:tcPr>
          <w:p>
            <w:pPr>
              <w:pStyle w:val="null3"/>
              <w:jc w:val="left"/>
            </w:pPr>
            <w:r>
              <w:rPr/>
              <w:t xml:space="preserve"> 乙方按约定时间将合同设备全部运到甲方指定的交货地点，通过到货验收，并向甲方提供本次付款金额等额且合法有效的增值税专用发票、设备清单、质量检验合格证明、技术资料等文件，甲方收到上述材料10个工作日内，向乙方支付合同价款总金额60%的款项</w:t>
            </w:r>
          </w:p>
        </w:tc>
        <w:tc>
          <w:tcPr>
            <w:tcW w:type="dxa" w:w="1384"/>
          </w:tcPr>
          <w:p>
            <w:pPr>
              <w:pStyle w:val="null3"/>
              <w:jc w:val="left"/>
            </w:pPr>
            <w:r>
              <w:rPr/>
              <w:t>60.00</w:t>
            </w:r>
            <w:r>
              <w:rPr/>
              <w:t>%</w:t>
            </w:r>
          </w:p>
        </w:tc>
        <w:tc>
          <w:tcPr>
            <w:tcW w:type="dxa" w:w="1384"/>
          </w:tcPr>
          <w:p>
            <w:pPr>
              <w:pStyle w:val="null3"/>
              <w:jc w:val="left"/>
            </w:pPr>
            <w:r>
              <w:rPr/>
              <w:t>银行转账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最终验收合格</w:t>
            </w:r>
          </w:p>
        </w:tc>
        <w:tc>
          <w:tcPr>
            <w:tcW w:type="dxa" w:w="1384"/>
          </w:tcPr>
          <w:p>
            <w:pPr>
              <w:pStyle w:val="null3"/>
              <w:jc w:val="left"/>
            </w:pPr>
            <w:r>
              <w:rPr/>
              <w:t>全部合同设备安装、调试完毕后经初步验收、最终验收合格，乙方向甲方提供与本次付款金额等额且合法有效的增值税专用发票，并向甲方提供合同总金额5%的质保金保函（银行保函，期限覆盖质保期），之后10个工作日内。</w:t>
            </w:r>
          </w:p>
        </w:tc>
        <w:tc>
          <w:tcPr>
            <w:tcW w:type="dxa" w:w="1384"/>
          </w:tcPr>
          <w:p>
            <w:pPr>
              <w:pStyle w:val="null3"/>
              <w:jc w:val="left"/>
            </w:pPr>
            <w:r>
              <w:rPr/>
              <w:t>40.00</w:t>
            </w:r>
            <w:r>
              <w:rPr/>
              <w:t>%</w:t>
            </w:r>
          </w:p>
        </w:tc>
        <w:tc>
          <w:tcPr>
            <w:tcW w:type="dxa" w:w="1384"/>
          </w:tcPr>
          <w:p>
            <w:pPr>
              <w:pStyle w:val="null3"/>
              <w:jc w:val="left"/>
            </w:pPr>
            <w:r>
              <w:rPr/>
              <w:t>银行转账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 xml:space="preserve"> 中钞印制技术研究院有限公司的信息部门</w:t>
      </w:r>
    </w:p>
    <w:p>
      <w:pPr>
        <w:pStyle w:val="null3"/>
        <w:jc w:val="both"/>
      </w:pPr>
      <w:r>
        <w:rPr/>
        <w:t>采购人（需求部门）拟邀请（</w:t>
      </w:r>
      <w:r>
        <w:rPr/>
        <w:t>）</w:t>
      </w:r>
    </w:p>
    <w:p>
      <w:pPr>
        <w:pStyle w:val="null3"/>
        <w:jc w:val="both"/>
      </w:pPr>
      <w:r>
        <w:rPr/>
        <w:t>（2）验收时间</w:t>
      </w:r>
      <w:r>
        <w:rPr>
          <w:u w:val="single"/>
        </w:rPr>
        <w:t>交货时间：乙方应在合同签订并收到甲方供货通知后，30个日历日内将供货通知内所有货物送至甲方指定地点； 到货验收时间：货物到货且收到乙方验收申请后10个日历日内双方完成到货验收； 初步验收时间：乙方自到货验收合格起 60个日历日内完成安装与调试，甲方收到乙方验收申请后10个工作日内双方完成初步验收； 最终验收时间：自初步验收合格之日起计，试运行期满3个月，甲方收到乙方验收申请后20个工作日内双方完成最终验收。 因项目实际情况，在甲乙方协商一致后，可对验收时间进行调整。 免费质量保证期：自最终验收合格的验收报告中验收日期之日起 3 年，投标免费质保期超过3年的，以投标文件为准。 合同履行期限：自合同签订之日至合同全部权利义务履行完毕之日止。</w:t>
      </w:r>
    </w:p>
    <w:p>
      <w:pPr>
        <w:pStyle w:val="null3"/>
        <w:jc w:val="both"/>
      </w:pPr>
      <w:r>
        <w:rPr/>
        <w:t>（3）验收方式</w:t>
      </w:r>
      <w:r>
        <w:rPr>
          <w:u w:val="single"/>
        </w:rPr>
        <w:t>分阶段验收</w:t>
      </w:r>
    </w:p>
    <w:p>
      <w:pPr>
        <w:pStyle w:val="null3"/>
        <w:jc w:val="both"/>
      </w:pPr>
      <w:r>
        <w:rPr/>
        <w:t>（4）验收程序</w:t>
      </w:r>
      <w:r>
        <w:rPr>
          <w:u w:val="single"/>
        </w:rPr>
        <w:t>采购人需求部门组织成立验收小组，验收小组按照合同和招投标文件对乙方提供的设备进行到货验收、初步验收、最终验收，出具验收报告，形成验收结论。</w:t>
      </w:r>
    </w:p>
    <w:p>
      <w:pPr>
        <w:pStyle w:val="null3"/>
        <w:jc w:val="both"/>
      </w:pPr>
      <w:r>
        <w:rPr/>
        <w:t>（5）验收内容</w:t>
      </w:r>
      <w:r>
        <w:rPr>
          <w:u w:val="single"/>
        </w:rPr>
        <w:t>验收采购需求条款的每一项技术商务要求，以及供应商响应、承诺的相关内容的履约情况。包括但不限于:到货验收，检查设备外包装、核对设备货物包装清单、查验设备加电启动状态、核查设备运行参数与配置清单一致性等;设备初步验收，检查设备硬件安装情况，检查设备线缆接入情况，检查设备运行状况，检查设备系统配置情况，在IPMI带外管理中检查配置信息和运行状态;项目最终验收，检查项目实施工作报告，检查项目实施情况，检查项目合同履约情况，检查设备配置手册或随机资料等。</w:t>
      </w:r>
    </w:p>
    <w:p>
      <w:pPr>
        <w:pStyle w:val="null3"/>
        <w:jc w:val="both"/>
      </w:pPr>
      <w:r>
        <w:rPr/>
        <w:t>（6）验收标准</w:t>
      </w:r>
      <w:r>
        <w:rPr>
          <w:u w:val="single"/>
        </w:rPr>
        <w:t>乙方提供的产品及服务是否符合采购需求中对应的技术商务要求以及列入采购合同的供应商响应、承诺内容。</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（2）投标（响应）报价低于通过符合性审查的次低报价供应商投标（响应）报价65%的，即投标（响应）报价&lt;通过符合性审查的次低报价供应商投标（响应）报价×65%；</w:t>
        <w:br/>
        <w:t>（3）投标（响应）报价低于采购项目最高限价65%的，即投标（响应）报价&lt;采购项目最高限价×65%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技术部分40.00分</w:t>
            </w:r>
          </w:p>
          <w:p>
            <w:pPr>
              <w:pStyle w:val="null3"/>
              <w:jc w:val="left"/>
            </w:pPr>
            <w:r>
              <w:rPr/>
              <w:t>商务部分20.00分</w:t>
            </w:r>
          </w:p>
          <w:p>
            <w:pPr>
              <w:pStyle w:val="null3"/>
              <w:jc w:val="left"/>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jc w:val="left"/>
            </w:pPr>
            <w:r>
              <w:rPr/>
              <w:t>技术评审</w:t>
            </w:r>
          </w:p>
        </w:tc>
        <w:tc>
          <w:tcPr>
            <w:tcW w:type="dxa" w:w="2076"/>
          </w:tcPr>
          <w:p>
            <w:pPr>
              <w:pStyle w:val="null3"/>
              <w:jc w:val="left"/>
            </w:pPr>
            <w:r>
              <w:rPr/>
              <w:t>集成实施方案</w:t>
            </w:r>
          </w:p>
        </w:tc>
        <w:tc>
          <w:tcPr>
            <w:tcW w:type="dxa" w:w="2769"/>
          </w:tcPr>
          <w:p>
            <w:pPr>
              <w:pStyle w:val="null3"/>
              <w:jc w:val="left"/>
            </w:pPr>
            <w:r>
              <w:rPr/>
              <w:t>根据投标人提供的集成实施方案，就方案要素（实施准备及设备到货、设备上架安装、系统调试与配套网络设备的联合调试、相关线缆提供及机架布线、试运行技术支持 、重难点分析及解决方案等6部分）齐全程度打分： 1.集成实施方案6部分要素齐全，得10分； 2.集成实施方案要素缺一部分，得6分； 3.实施方案要素缺两部分，得2分； 4.实施方案要素缺三部分及以上，或未提供实施方案，得0 分。 本项指标为客观评价，满分10分。</w:t>
            </w:r>
          </w:p>
        </w:tc>
        <w:tc>
          <w:tcPr>
            <w:tcW w:type="dxa" w:w="692"/>
          </w:tcPr>
          <w:p>
            <w:pPr>
              <w:pStyle w:val="null3"/>
              <w:jc w:val="right"/>
            </w:pPr>
            <w:r>
              <w:rPr/>
              <w:t>10.00</w:t>
            </w:r>
          </w:p>
        </w:tc>
        <w:tc>
          <w:tcPr>
            <w:tcW w:type="dxa" w:w="692"/>
          </w:tcPr>
          <w:p>
            <w:pPr>
              <w:pStyle w:val="null3"/>
              <w:jc w:val="left"/>
            </w:pPr>
            <w:r>
              <w:rPr/>
              <w:t>客观</w:t>
            </w:r>
          </w:p>
        </w:tc>
      </w:tr>
      <w:tr>
        <w:tc>
          <w:tcPr>
            <w:tcW w:type="dxa" w:w="692"/>
            <w:vMerge/>
          </w:tcPr>
          <w:p/>
        </w:tc>
        <w:tc>
          <w:tcPr>
            <w:tcW w:type="dxa" w:w="2076"/>
          </w:tcPr>
          <w:p>
            <w:pPr>
              <w:pStyle w:val="null3"/>
              <w:jc w:val="left"/>
            </w:pPr>
            <w:r>
              <w:rPr/>
              <w:t>免费质保期</w:t>
            </w:r>
          </w:p>
        </w:tc>
        <w:tc>
          <w:tcPr>
            <w:tcW w:type="dxa" w:w="2769"/>
          </w:tcPr>
          <w:p>
            <w:pPr>
              <w:pStyle w:val="null3"/>
              <w:jc w:val="left"/>
            </w:pPr>
            <w:r>
              <w:rPr/>
              <w:t>根据投标人提供的免费质保期承诺函进行评分：3年原厂质保服务基础上，所有投标产品每多1年免费原厂质保服务加3分，最多得6分。</w:t>
            </w:r>
          </w:p>
        </w:tc>
        <w:tc>
          <w:tcPr>
            <w:tcW w:type="dxa" w:w="692"/>
          </w:tcPr>
          <w:p>
            <w:pPr>
              <w:pStyle w:val="null3"/>
              <w:jc w:val="right"/>
            </w:pPr>
            <w:r>
              <w:rPr/>
              <w:t>6.00</w:t>
            </w:r>
          </w:p>
        </w:tc>
        <w:tc>
          <w:tcPr>
            <w:tcW w:type="dxa" w:w="692"/>
          </w:tcPr>
          <w:p>
            <w:pPr>
              <w:pStyle w:val="null3"/>
              <w:jc w:val="left"/>
            </w:pPr>
            <w:r>
              <w:rPr/>
              <w:t>客观</w:t>
            </w:r>
          </w:p>
        </w:tc>
      </w:tr>
      <w:tr>
        <w:tc>
          <w:tcPr>
            <w:tcW w:type="dxa" w:w="692"/>
            <w:vMerge/>
          </w:tcPr>
          <w:p/>
        </w:tc>
        <w:tc>
          <w:tcPr>
            <w:tcW w:type="dxa" w:w="2076"/>
          </w:tcPr>
          <w:p>
            <w:pPr>
              <w:pStyle w:val="null3"/>
              <w:jc w:val="left"/>
            </w:pPr>
            <w:r>
              <w:rPr/>
              <w:t>技术指标响应情况</w:t>
            </w:r>
          </w:p>
        </w:tc>
        <w:tc>
          <w:tcPr>
            <w:tcW w:type="dxa" w:w="2769"/>
          </w:tcPr>
          <w:p>
            <w:pPr>
              <w:pStyle w:val="null3"/>
              <w:jc w:val="left"/>
            </w:pPr>
            <w:r>
              <w:rPr/>
              <w:t>根据“技术商务要求”中的“技术要求”的响应情况进行评分，除★指标外，其余可作为评分因素。1.每满足1条#（#号）条款的，得3分，本项最高得12分；2.每满足1条▲（▲号）条款的，得0.25分，本项最高得11分； 本项最低得0分，最高得23分。</w:t>
            </w:r>
          </w:p>
        </w:tc>
        <w:tc>
          <w:tcPr>
            <w:tcW w:type="dxa" w:w="692"/>
          </w:tcPr>
          <w:p>
            <w:pPr>
              <w:pStyle w:val="null3"/>
              <w:jc w:val="right"/>
            </w:pPr>
            <w:r>
              <w:rPr/>
              <w:t>23.00</w:t>
            </w:r>
          </w:p>
        </w:tc>
        <w:tc>
          <w:tcPr>
            <w:tcW w:type="dxa" w:w="692"/>
          </w:tcPr>
          <w:p>
            <w:pPr>
              <w:pStyle w:val="null3"/>
              <w:jc w:val="left"/>
            </w:pPr>
            <w:r>
              <w:rPr/>
              <w:t>客观</w:t>
            </w:r>
          </w:p>
        </w:tc>
      </w:tr>
      <w:tr>
        <w:tc>
          <w:tcPr>
            <w:tcW w:type="dxa" w:w="692"/>
            <w:vMerge/>
          </w:tcPr>
          <w:p/>
        </w:tc>
        <w:tc>
          <w:tcPr>
            <w:tcW w:type="dxa" w:w="2076"/>
          </w:tcPr>
          <w:p>
            <w:pPr>
              <w:pStyle w:val="null3"/>
              <w:jc w:val="left"/>
            </w:pPr>
            <w:r>
              <w:rPr/>
              <w:t>环保要求</w:t>
            </w:r>
          </w:p>
        </w:tc>
        <w:tc>
          <w:tcPr>
            <w:tcW w:type="dxa" w:w="2769"/>
          </w:tcPr>
          <w:p>
            <w:pPr>
              <w:pStyle w:val="null3"/>
              <w:jc w:val="left"/>
            </w:pPr>
            <w:r>
              <w:rPr/>
              <w:t>根据财库[2019]9号、18号文，国家市场监督管理总局公告16号文要求，服务器产品属于政府采购环境标志产品实施品目清单范围，投标人所投所有服务器产品应有指定认证机构出具的、有效的环境标志产品认证证书，得1分；否则0分。 投标人需提供认证证书复印件，否则不予承认。 关于节能产品、环境标志产品的相关规定请参见: 《财政部发展改革委生态环境部市场监管总局关于调整优化节能产品环境标志产品政府采购执行机制的通知》（财库〔2019〕9号） 《关于印发环境标志产品政府采购品目清单的通知》（财库〔2019〕18号） 《市场监管总局关于发布参与实施政府采购节能产品、环境标志产品认证机构名录的公告》（2019年第16号）</w:t>
            </w:r>
          </w:p>
        </w:tc>
        <w:tc>
          <w:tcPr>
            <w:tcW w:type="dxa" w:w="692"/>
          </w:tcPr>
          <w:p>
            <w:pPr>
              <w:pStyle w:val="null3"/>
              <w:jc w:val="right"/>
            </w:pPr>
            <w:r>
              <w:rPr/>
              <w:t>1.00</w:t>
            </w:r>
          </w:p>
        </w:tc>
        <w:tc>
          <w:tcPr>
            <w:tcW w:type="dxa" w:w="692"/>
          </w:tcPr>
          <w:p>
            <w:pPr>
              <w:pStyle w:val="null3"/>
              <w:jc w:val="left"/>
            </w:pPr>
            <w:r>
              <w:rPr/>
              <w:t>客观</w:t>
            </w:r>
          </w:p>
        </w:tc>
      </w:tr>
      <w:tr>
        <w:tc>
          <w:tcPr>
            <w:tcW w:type="dxa" w:w="692"/>
            <w:vMerge w:val="restart"/>
          </w:tcPr>
          <w:p>
            <w:pPr>
              <w:pStyle w:val="null3"/>
              <w:jc w:val="left"/>
            </w:pPr>
            <w:r>
              <w:rPr/>
              <w:t>商务评审</w:t>
            </w:r>
          </w:p>
        </w:tc>
        <w:tc>
          <w:tcPr>
            <w:tcW w:type="dxa" w:w="2076"/>
          </w:tcPr>
          <w:p>
            <w:pPr>
              <w:pStyle w:val="null3"/>
              <w:jc w:val="left"/>
            </w:pPr>
            <w:r>
              <w:rPr/>
              <w:t>类似产品销售案例</w:t>
            </w:r>
          </w:p>
        </w:tc>
        <w:tc>
          <w:tcPr>
            <w:tcW w:type="dxa" w:w="2769"/>
          </w:tcPr>
          <w:p>
            <w:pPr>
              <w:pStyle w:val="null3"/>
              <w:jc w:val="left"/>
            </w:pPr>
            <w:r>
              <w:rPr/>
              <w:t>供应商自2023年1月1日至递交投标文件截止日（以合同签订时间为准），每提供一个所投服务器产品或其同系列服务器产品（服务器品牌相同、CPU芯片品牌相同），在国内的销售案例得1分（不限数量），最高得6分。 案例要求： 1. 投标人需提供案例证明文件，至少包含合同名称页、采购内容和金额页/数量页（或提供可体现产品采购清单）、签字盖章页等合同主要页的复印件。证明材料不全无法确定为相关业绩的，不予认可。合同原件备查；仅提供案例列表的不得分； 2.使用同系列产品案例的须由投标人出具产品系列表，以证明业绩案例中的服务器产品与所投服务器产品为同系列产品，评审现场仅通过产品系列表确认业绩案例中的服务器产品与所投服务器产品为同系列产品，未提供产品系列表或产品系列表中无法证明为同系列产品的该同系列产品案例不得分； 3.所投产品或同系列产品销售案例合同乙方不限定必须为投标人； 4.针对同一采购人及其全资子公司、控股子公司、分公司的不同销售案例按一个案例计算，销售数量不累加计算。</w:t>
            </w:r>
          </w:p>
        </w:tc>
        <w:tc>
          <w:tcPr>
            <w:tcW w:type="dxa" w:w="692"/>
          </w:tcPr>
          <w:p>
            <w:pPr>
              <w:pStyle w:val="null3"/>
              <w:jc w:val="right"/>
            </w:pPr>
            <w:r>
              <w:rPr/>
              <w:t>6.00</w:t>
            </w:r>
          </w:p>
        </w:tc>
        <w:tc>
          <w:tcPr>
            <w:tcW w:type="dxa" w:w="692"/>
          </w:tcPr>
          <w:p>
            <w:pPr>
              <w:pStyle w:val="null3"/>
              <w:jc w:val="left"/>
            </w:pPr>
            <w:r>
              <w:rPr/>
              <w:t>客观</w:t>
            </w:r>
          </w:p>
        </w:tc>
      </w:tr>
      <w:tr>
        <w:tc>
          <w:tcPr>
            <w:tcW w:type="dxa" w:w="692"/>
            <w:vMerge/>
          </w:tcPr>
          <w:p/>
        </w:tc>
        <w:tc>
          <w:tcPr>
            <w:tcW w:type="dxa" w:w="2076"/>
          </w:tcPr>
          <w:p>
            <w:pPr>
              <w:pStyle w:val="null3"/>
              <w:jc w:val="left"/>
            </w:pPr>
            <w:r>
              <w:rPr/>
              <w:t>商务指标响应情况</w:t>
            </w:r>
          </w:p>
        </w:tc>
        <w:tc>
          <w:tcPr>
            <w:tcW w:type="dxa" w:w="2769"/>
          </w:tcPr>
          <w:p>
            <w:pPr>
              <w:pStyle w:val="null3"/>
              <w:jc w:val="left"/>
            </w:pPr>
            <w:r>
              <w:rPr/>
              <w:t>根据“技术商务要求”中的“商务要求”的响应情况进行评分，除★指标、商务要求中的序号6条、序号11条、序号12条、序号13条、序号14条外，其余可作为评分因素。1.每满足1条#（#号）条款的，得4分，本项最高得4分；2.每满足1条▲（▲号）条款的，得1分，本项最高得3分； 本项最低得0分，最高得7分。</w:t>
            </w:r>
          </w:p>
        </w:tc>
        <w:tc>
          <w:tcPr>
            <w:tcW w:type="dxa" w:w="692"/>
          </w:tcPr>
          <w:p>
            <w:pPr>
              <w:pStyle w:val="null3"/>
              <w:jc w:val="right"/>
            </w:pPr>
            <w:r>
              <w:rPr/>
              <w:t>7.00</w:t>
            </w:r>
          </w:p>
        </w:tc>
        <w:tc>
          <w:tcPr>
            <w:tcW w:type="dxa" w:w="692"/>
          </w:tcPr>
          <w:p>
            <w:pPr>
              <w:pStyle w:val="null3"/>
              <w:jc w:val="left"/>
            </w:pPr>
            <w:r>
              <w:rPr/>
              <w:t>客观</w:t>
            </w:r>
          </w:p>
        </w:tc>
      </w:tr>
      <w:tr>
        <w:tc>
          <w:tcPr>
            <w:tcW w:type="dxa" w:w="692"/>
            <w:vMerge/>
          </w:tcPr>
          <w:p/>
        </w:tc>
        <w:tc>
          <w:tcPr>
            <w:tcW w:type="dxa" w:w="2076"/>
          </w:tcPr>
          <w:p>
            <w:pPr>
              <w:pStyle w:val="null3"/>
              <w:jc w:val="left"/>
            </w:pPr>
            <w:r>
              <w:rPr/>
              <w:t>授权情况</w:t>
            </w:r>
          </w:p>
        </w:tc>
        <w:tc>
          <w:tcPr>
            <w:tcW w:type="dxa" w:w="2769"/>
          </w:tcPr>
          <w:p>
            <w:pPr>
              <w:pStyle w:val="null3"/>
              <w:jc w:val="left"/>
            </w:pPr>
            <w:r>
              <w:rPr/>
              <w:t>（1）投标人如出具所投产品的原厂商授权书原件，并加盖原厂商公章，得2分，否则0分； （2）投标人如出具所投产品的原厂商服务承诺函原件，并加盖原厂商公章，得2分，否则0分；（3）投标人如出具所投产品关键芯片（CPU 芯片）的生产厂商对本项目的芯片授权书，并加盖CPU厂商公章，得3分，否则0分。</w:t>
            </w:r>
          </w:p>
        </w:tc>
        <w:tc>
          <w:tcPr>
            <w:tcW w:type="dxa" w:w="692"/>
          </w:tcPr>
          <w:p>
            <w:pPr>
              <w:pStyle w:val="null3"/>
              <w:jc w:val="right"/>
            </w:pPr>
            <w:r>
              <w:rPr/>
              <w:t>7.00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投标总价价格评审：综合评分法中的价格分采用低价优先法计算，即满足招标文件要求且投标价格最低的投标报价为评标基准价，其价格分为满分。其他投标人的价格分统一按照下列公式计算：投标人报价得分=（评标基准价/投标报价）×价格权值×100； 本项目中价格权值=40%</w:t>
            </w:r>
          </w:p>
        </w:tc>
        <w:tc>
          <w:tcPr>
            <w:tcW w:type="dxa" w:w="692"/>
          </w:tcPr>
          <w:p>
            <w:pPr>
              <w:pStyle w:val="null3"/>
              <w:jc w:val="right"/>
            </w:pPr>
            <w:r>
              <w:rPr/>
              <w:t>40.00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代理机构应当在评标委员会提交评审报告后，在“投标人须知前格式”中的“信息公示渠道”上公示中标候选人。</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详见附件：异常低价情形第3项的相关书面说明及必要的证明材料</w:t>
      </w:r>
    </w:p>
    <w:p>
      <w:pPr>
        <w:pStyle w:val="null3"/>
        <w:ind w:firstLine="960"/>
      </w:pPr>
      <w:r>
        <w:rPr/>
        <w:t>详见附件：技术条款第142条证明文件</w:t>
      </w:r>
    </w:p>
    <w:p>
      <w:pPr>
        <w:pStyle w:val="null3"/>
        <w:ind w:firstLine="960"/>
      </w:pPr>
      <w:r>
        <w:rPr/>
        <w:t>详见附件：技术条款第143条证明文件</w:t>
      </w:r>
    </w:p>
    <w:p>
      <w:pPr>
        <w:pStyle w:val="null3"/>
        <w:ind w:firstLine="960"/>
      </w:pPr>
      <w:r>
        <w:rPr/>
        <w:t>详见附件：技术条款第287条证明文件</w:t>
      </w:r>
    </w:p>
    <w:p>
      <w:pPr>
        <w:pStyle w:val="null3"/>
        <w:ind w:firstLine="960"/>
      </w:pPr>
      <w:r>
        <w:rPr/>
        <w:t>详见附件：技术条款第288条证明文件</w:t>
      </w:r>
    </w:p>
    <w:p>
      <w:pPr>
        <w:pStyle w:val="null3"/>
        <w:ind w:firstLine="960"/>
      </w:pPr>
      <w:r>
        <w:rPr/>
        <w:t>详见附件：商务条款第6条证明文件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详见附件：合同文本-包件2.docx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