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中国人民银行干部人事管理信息系统</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001GSF2026073</w:t>
      </w:r>
      <w:r>
        <w:br/>
      </w:r>
      <w:r>
        <w:br/>
      </w:r>
      <w:r>
        <w:br/>
      </w:r>
    </w:p>
    <w:p>
      <w:pPr>
        <w:pStyle w:val="null3"/>
        <w:jc w:val="center"/>
      </w:pPr>
      <w:r>
        <w:rPr/>
        <w:t>中国人民银行集中采购中心</w:t>
      </w:r>
    </w:p>
    <w:p>
      <w:pPr>
        <w:pStyle w:val="null3"/>
        <w:jc w:val="center"/>
      </w:pPr>
      <w:r>
        <w:rPr/>
        <w:t>2026年07月23日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中国人民银行干部人事管理信息系统</w:t>
      </w:r>
      <w:r>
        <w:rPr/>
        <w:t xml:space="preserve"> ”（项目编号： </w:t>
      </w:r>
      <w:r>
        <w:rPr/>
        <w:t>001GSF2026073</w:t>
      </w:r>
      <w:r>
        <w:rPr/>
        <w:t xml:space="preserve"> ）邀请合格投标人进行密封投标。本项目 </w:t>
      </w:r>
      <w:r>
        <w:rPr/>
        <w:t>落实</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2,853,400.00</w:t>
      </w:r>
    </w:p>
    <w:p>
      <w:pPr>
        <w:pStyle w:val="null3"/>
        <w:jc w:val="left"/>
      </w:pPr>
      <w:r>
        <w:rPr/>
        <w:t>采购包最高限价（元）: 2,853,400.00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中国人民银行干部人事管理信息系统</w:t>
            </w:r>
          </w:p>
        </w:tc>
        <w:tc>
          <w:tcPr>
            <w:tcW w:type="dxa" w:w="831"/>
          </w:tcPr>
          <w:p>
            <w:pPr>
              <w:pStyle w:val="null3"/>
              <w:jc w:val="left"/>
            </w:pPr>
            <w:r>
              <w:rPr/>
              <w:t>C16010302 行业应用软件开发服务</w:t>
            </w:r>
          </w:p>
        </w:tc>
        <w:tc>
          <w:tcPr>
            <w:tcW w:type="dxa" w:w="831"/>
          </w:tcPr>
          <w:p>
            <w:pPr>
              <w:pStyle w:val="null3"/>
              <w:jc w:val="left"/>
            </w:pPr>
            <w:r>
              <w:rPr/>
              <w:t>C16010302</w:t>
            </w:r>
          </w:p>
        </w:tc>
        <w:tc>
          <w:tcPr>
            <w:tcW w:type="dxa" w:w="831"/>
          </w:tcPr>
          <w:p>
            <w:pPr>
              <w:pStyle w:val="null3"/>
              <w:jc w:val="left"/>
            </w:pPr>
            <w:r>
              <w:rPr/>
              <w:t>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left"/>
            </w:pPr>
            <w:r>
              <w:rPr/>
              <w:t>否</w:t>
            </w:r>
          </w:p>
        </w:tc>
        <w:tc>
          <w:tcPr>
            <w:tcW w:type="dxa" w:w="831"/>
          </w:tcPr>
          <w:p>
            <w:pPr>
              <w:pStyle w:val="null3"/>
              <w:jc w:val="right"/>
            </w:pPr>
            <w:r>
              <w:rPr/>
              <w:t>2,853,400.00</w:t>
            </w:r>
          </w:p>
        </w:tc>
        <w:tc>
          <w:tcPr>
            <w:tcW w:type="dxa" w:w="831"/>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软件和信息技术服务业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中国人民银行</w:t>
      </w:r>
    </w:p>
    <w:p>
      <w:pPr>
        <w:pStyle w:val="null3"/>
        <w:jc w:val="left"/>
      </w:pPr>
      <w:r>
        <w:rPr/>
        <w:t xml:space="preserve"> 地址： </w:t>
      </w:r>
      <w:r>
        <w:rPr/>
        <w:t>北京市西城区成方街32号中国人民银行人事司</w:t>
      </w:r>
    </w:p>
    <w:p>
      <w:pPr>
        <w:pStyle w:val="null3"/>
        <w:jc w:val="left"/>
      </w:pPr>
      <w:r>
        <w:rPr/>
        <w:t xml:space="preserve"> 邮编： </w:t>
      </w:r>
      <w:r>
        <w:rPr/>
        <w:t>100800</w:t>
      </w:r>
    </w:p>
    <w:p>
      <w:pPr>
        <w:pStyle w:val="null3"/>
        <w:jc w:val="left"/>
      </w:pPr>
      <w:r>
        <w:rPr/>
        <w:t xml:space="preserve"> 联系人： </w:t>
      </w:r>
      <w:r>
        <w:rPr/>
        <w:t>任先生</w:t>
      </w:r>
    </w:p>
    <w:p>
      <w:pPr>
        <w:pStyle w:val="null3"/>
        <w:jc w:val="left"/>
      </w:pPr>
      <w:r>
        <w:rPr/>
        <w:t xml:space="preserve"> 联系电话： </w:t>
      </w:r>
      <w:r>
        <w:rPr/>
        <w:t>010-66195038</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 xml:space="preserve"> 66195317</w:t>
      </w:r>
    </w:p>
    <w:p>
      <w:pPr>
        <w:pStyle w:val="null3"/>
        <w:jc w:val="left"/>
      </w:pPr>
      <w:r>
        <w:rPr/>
        <w:t xml:space="preserve"> 联系人（开、评标咨询）： </w:t>
      </w:r>
      <w:r>
        <w:rPr/>
        <w:t>冯先生</w:t>
      </w:r>
    </w:p>
    <w:p>
      <w:pPr>
        <w:pStyle w:val="null3"/>
        <w:jc w:val="left"/>
      </w:pPr>
      <w:r>
        <w:rPr/>
        <w:t xml:space="preserve"> 联系电话（开、评标咨询）： </w:t>
      </w:r>
      <w:r>
        <w:rPr/>
        <w:t>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采购人授权评标委员会按照评审原则直接确定中标供应商。</w:t>
            </w:r>
          </w:p>
          <w:p>
            <w:pPr>
              <w:pStyle w:val="null3"/>
            </w:pPr>
            <w:r>
              <w:rPr/>
              <w:t>评标委员会按照评审报告中推荐的中标候选人顺序确定第一中标候选人为中标人。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人力资源管理系统用于人民银行全辖范围内人事信息的采集、管理，实现各机构日常人事管理工作，如人员管理、人员配置、职务职位管理等。系统部署于业务网，于2012年采购相关成熟产品上线使用，现已难以适应国家信创要求、人民银行分支机构转为公务员管理、现阶段系统自动化和智能化等要求。</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《中国共产党组织工作条例》 《中华人民共和国公务员法》 《党政领导干部选拔任用工作条例》 《干部教育培训工作条例》 《中共中央组织部关于改进推动高质量发展的政绩考核的通知》</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新建人民银行干部人事管理信息系统，可以将人民银行各司局、分行、所属企事业单位等组织机构编制情况及人员信息进行全面整合，构建人民银行系统全面完整的人员信息库，实现有关组织人事业务管理的信息化。具体包括实现机构人员各种信息的统一归集和管理，对信息进行多维度展现，并具备必要的查询、统计、分析功能，为全系统组织人事工作提供信息数据支撑，提高工作的效率和水平。 该系统建成后，能全面落实信创改造要求。</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适配国家信创要求，通过干部人事管理信息系统建设，自上而下建立覆盖人民银行系统各级各单位的人员信息库，实现人员信息统一、高效、安全管理；应对新的形势任务要求，推进多项组织人事业务信息化管理，创新开发辅助决策功能，提升各级各单位组织人事部门工作质效。 建设功能包括人员信息管理、机构信息管理、编制管理、考核测评管理、干部管理、人才管理、教育培训管理、因私出国（境）管理、档案目录管理、综合查询、统计分析、辅助决策、自助管理、领导便携式查询子系统、干部业绩材料生成。</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本项目覆盖人民银行各司局、分行、所属企事业单位等。</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一是中共中央于2021年5月22日发布实施《中国共产党组织工作条例》，要求：“组织部门应当聚焦主责主业，健全工作机制，优化工作流程，注重运用互联网技术、数字技术和信息化手段，提高工作效能”。人民银行现阶段建设干部、公务员管理信息系统，可通过整合现有的干部、公务员管理信息资源，建立完整的干部、公务员数据库，实现干部、公务员日常管理工作的网络化、信息化。二是根据中央相关政策要求，总行于2022年发布关于落实深化信创工作的通知，要求逐年推动总行系统信创工作，操作系统、数据库、中间件均需采用符合信创要求的产品。三是由于机构改革，人民银行分支机构工作人员作为公务员管理，在公务员信息录入、校核、统计等方面，需要按照公务员管理要求开展相关工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需要将原有人力资源管理信息系统全部历史数据进行迁移，确保原系统数据能够及时、完整、准确迁移至新系统。</w:t>
            </w:r>
          </w:p>
        </w:tc>
      </w:tr>
    </w:tbl>
    <w:p>
      <w:pPr>
        <w:pStyle w:val="null3"/>
        <w:jc w:val="left"/>
        <w:outlineLvl w:val="2"/>
      </w:pPr>
      <w:r>
        <w:rPr>
          <w:sz w:val="28"/>
          <w:b/>
        </w:rPr>
        <w:t>3.2 技术及商务要求</w:t>
      </w:r>
    </w:p>
    <w:p>
      <w:pPr>
        <w:pStyle w:val="null3"/>
        <w:jc w:val="both"/>
      </w:pPr>
      <w:r>
        <w:rPr/>
        <w:t>本技术要求共有“★”指标2个，”#”指标26个，“▲”指标3个。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系统门户</w:t>
            </w:r>
          </w:p>
        </w:tc>
        <w:tc>
          <w:tcPr>
            <w:tcW w:type="dxa" w:w="1038"/>
          </w:tcPr>
          <w:p/>
        </w:tc>
        <w:tc>
          <w:tcPr>
            <w:tcW w:type="dxa" w:w="1038"/>
          </w:tcPr>
          <w:p>
            <w:pPr>
              <w:pStyle w:val="null3"/>
              <w:spacing w:after="165"/>
              <w:jc w:val="left"/>
            </w:pPr>
            <w:r>
              <w:rPr>
                <w:rFonts w:ascii="仿宋_gb2312" w:hAnsi="仿宋_gb2312" w:cs="仿宋_gb2312" w:eastAsia="仿宋_gb2312"/>
                <w:sz w:val="24"/>
              </w:rPr>
              <w:t>系统门户是各类用户登录系统后的主界面，为用户提供功能导航、快捷入口、信息查询、待办事项、通知公告功能以及提醒功能。</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人员信息管理</w:t>
            </w:r>
          </w:p>
        </w:tc>
        <w:tc>
          <w:tcPr>
            <w:tcW w:type="dxa" w:w="1038"/>
          </w:tcPr>
          <w:p/>
        </w:tc>
        <w:tc>
          <w:tcPr>
            <w:tcW w:type="dxa" w:w="1038"/>
          </w:tcPr>
          <w:p>
            <w:pPr>
              <w:pStyle w:val="null3"/>
              <w:jc w:val="both"/>
            </w:pPr>
            <w:r>
              <w:rPr>
                <w:rFonts w:ascii="仿宋_gb2312" w:hAnsi="仿宋_gb2312" w:cs="仿宋_gb2312" w:eastAsia="仿宋_gb2312"/>
                <w:sz w:val="24"/>
              </w:rPr>
              <w:t>建立一个统一的全系统人员基础信息库，用于管理人员基本信息和变动信息，实现人员信息查询功能、界面友好，查询、维护方便、准确、快捷，能够快速生成、导出多个定制和个性化人员信息台账、表单。主要功能包括人员信息维护、人员信息查询、职务职级管理、人员排序、信息导入导出、人员信息管理事务自动提醒等。</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机构信息管理</w:t>
            </w:r>
          </w:p>
        </w:tc>
        <w:tc>
          <w:tcPr>
            <w:tcW w:type="dxa" w:w="1038"/>
          </w:tcPr>
          <w:p/>
        </w:tc>
        <w:tc>
          <w:tcPr>
            <w:tcW w:type="dxa" w:w="1038"/>
          </w:tcPr>
          <w:p>
            <w:pPr>
              <w:pStyle w:val="null3"/>
              <w:spacing w:after="165"/>
              <w:jc w:val="left"/>
            </w:pPr>
            <w:r>
              <w:rPr>
                <w:rFonts w:ascii="仿宋_gb2312" w:hAnsi="仿宋_gb2312" w:cs="仿宋_gb2312" w:eastAsia="仿宋_gb2312"/>
                <w:sz w:val="24"/>
              </w:rPr>
              <w:t>在对标行政机关常用机构架构的基础上，管理人民银行系统各类机构基本信息和变动信息，实现机构信息方便、准确、快捷查询、维护，生成、导出各类机构管理台账、表单及组织机构架构图。主要功能包括机构信息维护、机构信息查询、整建制转移、机构排序等。</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编制管理</w:t>
            </w:r>
          </w:p>
        </w:tc>
        <w:tc>
          <w:tcPr>
            <w:tcW w:type="dxa" w:w="1038"/>
          </w:tcPr>
          <w:p/>
        </w:tc>
        <w:tc>
          <w:tcPr>
            <w:tcW w:type="dxa" w:w="1038"/>
          </w:tcPr>
          <w:p>
            <w:pPr>
              <w:pStyle w:val="null3"/>
              <w:spacing w:after="165"/>
              <w:jc w:val="left"/>
            </w:pPr>
            <w:r>
              <w:rPr>
                <w:rFonts w:ascii="仿宋_gb2312" w:hAnsi="仿宋_gb2312" w:cs="仿宋_gb2312" w:eastAsia="仿宋_gb2312"/>
                <w:sz w:val="24"/>
              </w:rPr>
              <w:t>管理人民银行各级行、所属单位人员编制、职数、规模控制数等。对人员编制、职务职数、职级职数、岗位配置、规模控制数等进行分类管理，实现编制信息方便、准确、快捷查询、维护，生成、导出各类编制管理台账等。主要功能包括编制信息维护、编制信息查询、编制使用情况自动提醒等。</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考核测评管理</w:t>
            </w:r>
          </w:p>
        </w:tc>
        <w:tc>
          <w:tcPr>
            <w:tcW w:type="dxa" w:w="1038"/>
          </w:tcPr>
          <w:p/>
        </w:tc>
        <w:tc>
          <w:tcPr>
            <w:tcW w:type="dxa" w:w="1038"/>
          </w:tcPr>
          <w:p>
            <w:pPr>
              <w:pStyle w:val="null3"/>
              <w:spacing w:after="165"/>
              <w:jc w:val="left"/>
            </w:pPr>
            <w:r>
              <w:rPr>
                <w:rFonts w:ascii="仿宋_gb2312" w:hAnsi="仿宋_gb2312" w:cs="仿宋_gb2312" w:eastAsia="仿宋_gb2312"/>
                <w:sz w:val="24"/>
              </w:rPr>
              <w:t>一是开展总行、分支机构、所属单位领导班子和领导干部年度考核，公务员分类分级考核，干部试用期考核以及民主推荐、民主测评、政治素质考察测评等测评、投票和评价。开展组织人事工作问卷调查等。主要功能包括建立测评任务，选定测评参加人员范围，实现考核测评人员在规定时段同时填写和提交测评表，指定管理员等角色汇总导出测评结果，以及常用的分析统计等功能。具体包含测评项目管理、表样管理、账号管理、数据分析等。二是批量维护各级各单位年度业绩考核、领导班子和领导干部考核等考核结果。三是批量维护各单位工作人员考核结果，同步更新人员基础信息库。</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干部管理</w:t>
            </w:r>
          </w:p>
        </w:tc>
        <w:tc>
          <w:tcPr>
            <w:tcW w:type="dxa" w:w="1038"/>
          </w:tcPr>
          <w:p/>
        </w:tc>
        <w:tc>
          <w:tcPr>
            <w:tcW w:type="dxa" w:w="1038"/>
          </w:tcPr>
          <w:p>
            <w:pPr>
              <w:pStyle w:val="null3"/>
              <w:spacing w:after="165"/>
              <w:jc w:val="left"/>
            </w:pPr>
            <w:r>
              <w:rPr>
                <w:rFonts w:ascii="仿宋_gb2312" w:hAnsi="仿宋_gb2312" w:cs="仿宋_gb2312" w:eastAsia="仿宋_gb2312"/>
                <w:sz w:val="24"/>
              </w:rPr>
              <w:t>对干部任免、挂职兼职、交流借调及援派、奖励和处理处分等信息进行管理，提高干部管理信息的准确性、及时性。主要功能包括干部任免、挂职兼职、交流借调及援派、奖惩信息、考察评价、优秀年轻干部管理、以及干部退休到龄、试用期转正、晋升资格、处理处分到期自动预警等。</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人才管理</w:t>
            </w:r>
          </w:p>
        </w:tc>
        <w:tc>
          <w:tcPr>
            <w:tcW w:type="dxa" w:w="1038"/>
          </w:tcPr>
          <w:p/>
        </w:tc>
        <w:tc>
          <w:tcPr>
            <w:tcW w:type="dxa" w:w="1038"/>
          </w:tcPr>
          <w:p>
            <w:pPr>
              <w:pStyle w:val="null3"/>
              <w:spacing w:after="165"/>
              <w:jc w:val="left"/>
            </w:pPr>
            <w:r>
              <w:rPr>
                <w:rFonts w:ascii="仿宋_gb2312" w:hAnsi="仿宋_gb2312" w:cs="仿宋_gb2312" w:eastAsia="仿宋_gb2312"/>
                <w:sz w:val="24"/>
              </w:rPr>
              <w:t>建立法治、科技、国际化等人才库，管理维护库内人员信息并实时更新，能够动态增补删减人员，快速筛选符合多重条件的人员，并生成导出人员基本信息等多个定制和个性化人才工作管理台账。主要功能包括在库人员管理、筛选查询、自定义分组、培训学时预警等。</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教育培训管理</w:t>
            </w:r>
          </w:p>
        </w:tc>
        <w:tc>
          <w:tcPr>
            <w:tcW w:type="dxa" w:w="1038"/>
          </w:tcPr>
          <w:p/>
        </w:tc>
        <w:tc>
          <w:tcPr>
            <w:tcW w:type="dxa" w:w="1038"/>
          </w:tcPr>
          <w:p>
            <w:pPr>
              <w:pStyle w:val="null3"/>
              <w:spacing w:after="165"/>
              <w:jc w:val="left"/>
            </w:pPr>
            <w:r>
              <w:rPr>
                <w:rFonts w:ascii="仿宋_gb2312" w:hAnsi="仿宋_gb2312" w:cs="仿宋_gb2312" w:eastAsia="仿宋_gb2312"/>
                <w:sz w:val="24"/>
              </w:rPr>
              <w:t>通过建立培训记录信息库，实现培训项目、培训人员信息、人员参训记录信息的批量维护和个别维护，能够便捷维护系统内、外参训情况，快速筛选符合多重条件人员。能够自定义干部人员分类，或根据日常管理中的标识来分类查询干部，对干部人员学时完成情况进行统计分析。主要功能包括培训项目管理、个人学时档案、培训学时统计、自定义分类个性化查询等。培训质量评估：对培训项目质量进行评估，在培训结束后收集并汇总参训人员对培训项目质量的评估结果，支持以台账的形式对培训质量评估结果登记录入至系统中。</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因私出国（境）管理</w:t>
            </w:r>
          </w:p>
        </w:tc>
        <w:tc>
          <w:tcPr>
            <w:tcW w:type="dxa" w:w="1038"/>
          </w:tcPr>
          <w:p/>
        </w:tc>
        <w:tc>
          <w:tcPr>
            <w:tcW w:type="dxa" w:w="1038"/>
          </w:tcPr>
          <w:p>
            <w:pPr>
              <w:pStyle w:val="null3"/>
              <w:spacing w:after="165"/>
              <w:jc w:val="left"/>
            </w:pPr>
            <w:r>
              <w:rPr>
                <w:rFonts w:ascii="仿宋_gb2312" w:hAnsi="仿宋_gb2312" w:cs="仿宋_gb2312" w:eastAsia="仿宋_gb2312"/>
                <w:sz w:val="24"/>
              </w:rPr>
              <w:t>实现因私出国（境）线上审批管理。记录人员备案情况、证件管理情况（包括出入境证件上交时间、领取时间、拟上交时间、证件收缴记录等）、因私出国（境）情况（包括出入国境时间、前往国家或地区等）。因私出国（境）管理功能主要包括审核审批、证件管理、台账管理、证件催收、出国次数限定等事务自动提醒。</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档案目录设置</w:t>
            </w:r>
          </w:p>
        </w:tc>
        <w:tc>
          <w:tcPr>
            <w:tcW w:type="dxa" w:w="1038"/>
          </w:tcPr>
          <w:p/>
        </w:tc>
        <w:tc>
          <w:tcPr>
            <w:tcW w:type="dxa" w:w="1038"/>
          </w:tcPr>
          <w:p>
            <w:pPr>
              <w:pStyle w:val="null3"/>
              <w:spacing w:after="165"/>
              <w:jc w:val="left"/>
            </w:pPr>
            <w:r>
              <w:rPr>
                <w:rFonts w:ascii="仿宋_gb2312" w:hAnsi="仿宋_gb2312" w:cs="仿宋_gb2312" w:eastAsia="仿宋_gb2312"/>
                <w:sz w:val="24"/>
              </w:rPr>
              <w:t>实现干部人事档案目录与系统中的干部个人关联，能够新建、编辑、查询、转递等。</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综合查询</w:t>
            </w:r>
          </w:p>
        </w:tc>
        <w:tc>
          <w:tcPr>
            <w:tcW w:type="dxa" w:w="1038"/>
          </w:tcPr>
          <w:p/>
        </w:tc>
        <w:tc>
          <w:tcPr>
            <w:tcW w:type="dxa" w:w="1038"/>
          </w:tcPr>
          <w:p>
            <w:pPr>
              <w:pStyle w:val="null3"/>
              <w:spacing w:after="165"/>
              <w:jc w:val="left"/>
            </w:pPr>
            <w:r>
              <w:rPr>
                <w:rFonts w:ascii="仿宋_gb2312" w:hAnsi="仿宋_gb2312" w:cs="仿宋_gb2312" w:eastAsia="仿宋_gb2312"/>
                <w:sz w:val="24"/>
              </w:rPr>
              <w:t>实现包括机构、人员查询、标签查询等多个自定义查询功能，可实现系统内人员、机构等信息的多维度查询、穿透式查询。</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统计分析</w:t>
            </w:r>
          </w:p>
        </w:tc>
        <w:tc>
          <w:tcPr>
            <w:tcW w:type="dxa" w:w="1038"/>
          </w:tcPr>
          <w:p/>
        </w:tc>
        <w:tc>
          <w:tcPr>
            <w:tcW w:type="dxa" w:w="1038"/>
          </w:tcPr>
          <w:p>
            <w:pPr>
              <w:pStyle w:val="null3"/>
              <w:spacing w:after="165"/>
              <w:jc w:val="left"/>
            </w:pPr>
            <w:r>
              <w:rPr>
                <w:rFonts w:ascii="仿宋_gb2312" w:hAnsi="仿宋_gb2312" w:cs="仿宋_gb2312" w:eastAsia="仿宋_gb2312"/>
                <w:sz w:val="24"/>
              </w:rPr>
              <w:t>通过设置查询条件在各功能模块中进行统计分析。主要功能包括根据干部业务需要对单位及人员信息进行查询、展示及归类统计分析，支持生成公务员年度统计报表并支持报表汇总、校核、导入导出和上报，以及根据其他预定义报表样式按照一定时间节点、频率自动生成存储有关机构人员情况报表并进行展示。</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辅助决策</w:t>
            </w:r>
          </w:p>
        </w:tc>
        <w:tc>
          <w:tcPr>
            <w:tcW w:type="dxa" w:w="1038"/>
          </w:tcPr>
          <w:p/>
        </w:tc>
        <w:tc>
          <w:tcPr>
            <w:tcW w:type="dxa" w:w="1038"/>
          </w:tcPr>
          <w:p>
            <w:pPr>
              <w:pStyle w:val="null3"/>
              <w:spacing w:after="165"/>
              <w:jc w:val="left"/>
            </w:pPr>
            <w:r>
              <w:rPr>
                <w:rFonts w:ascii="仿宋_gb2312" w:hAnsi="仿宋_gb2312" w:cs="仿宋_gb2312" w:eastAsia="仿宋_gb2312"/>
                <w:sz w:val="24"/>
              </w:rPr>
              <w:t>开展干部人员</w:t>
            </w:r>
            <w:r>
              <w:rPr>
                <w:rFonts w:ascii="仿宋_gb2312" w:hAnsi="仿宋_gb2312" w:cs="仿宋_gb2312" w:eastAsia="仿宋_gb2312"/>
                <w:sz w:val="24"/>
              </w:rPr>
              <w:t>“三龄两历”分析、身份标签、关系图谱、成长经历、奖惩信息、班子职务职数分析、班子成员分析、班子结构配备情况、班子考核情况分析、班子考核维度分析、班子廉政（纪检监察）、班子奖惩情况进行画像分析；实现预警管理，包含干部退休预警、干部到龄预警、超配预警、缺配预警、试用期转正预警、处理处分预警、培训学时预警、晋升资格监控、期满轮岗预警、团员到龄预警、预备党员转正预警、职数预警等，以及任职回避预警和部门交流预警，对在同一部门任职时间超过规定要求或有家庭成员在人民银行系统内工作的情况进行提示；对班子成员分管同一部门时间超过规定或存在履职回避情形的进行预警；支持对队伍数据进行总览，包含干部总数分析、领导职数空缺情况、性别占比分析、民族占比分析、学历占比分析、政治面貌分析、年龄结构分析、职务职级分布、女少非分析、任职年限分析、熟悉领域分析、经历结构分析等功能。</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系统管理</w:t>
            </w:r>
          </w:p>
        </w:tc>
        <w:tc>
          <w:tcPr>
            <w:tcW w:type="dxa" w:w="1038"/>
          </w:tcPr>
          <w:p/>
        </w:tc>
        <w:tc>
          <w:tcPr>
            <w:tcW w:type="dxa" w:w="1038"/>
          </w:tcPr>
          <w:p>
            <w:pPr>
              <w:pStyle w:val="null3"/>
              <w:spacing w:after="165"/>
              <w:jc w:val="left"/>
            </w:pPr>
            <w:r>
              <w:rPr>
                <w:rFonts w:ascii="仿宋_gb2312" w:hAnsi="仿宋_gb2312" w:cs="仿宋_gb2312" w:eastAsia="仿宋_gb2312"/>
                <w:sz w:val="24"/>
              </w:rPr>
              <w:t>实现用户管理、角色管理及分配权限功能。</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自助服务</w:t>
            </w:r>
          </w:p>
        </w:tc>
        <w:tc>
          <w:tcPr>
            <w:tcW w:type="dxa" w:w="1038"/>
          </w:tcPr>
          <w:p/>
        </w:tc>
        <w:tc>
          <w:tcPr>
            <w:tcW w:type="dxa" w:w="1038"/>
          </w:tcPr>
          <w:p>
            <w:pPr>
              <w:pStyle w:val="null3"/>
              <w:spacing w:after="165"/>
              <w:jc w:val="left"/>
            </w:pPr>
            <w:r>
              <w:rPr>
                <w:rFonts w:ascii="仿宋_gb2312" w:hAnsi="仿宋_gb2312" w:cs="仿宋_gb2312" w:eastAsia="仿宋_gb2312"/>
                <w:sz w:val="24"/>
              </w:rPr>
              <w:t>干部职工均可以通过自助服务，查询个人基本信息等；查询维护权限内的部分个人信息并提交修改请求，同时支持在线进行考核测评、因私出国（境）申请等事项的办理。</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领导便携式查询系统</w:t>
            </w:r>
          </w:p>
        </w:tc>
        <w:tc>
          <w:tcPr>
            <w:tcW w:type="dxa" w:w="1038"/>
          </w:tcPr>
          <w:p/>
        </w:tc>
        <w:tc>
          <w:tcPr>
            <w:tcW w:type="dxa" w:w="1038"/>
          </w:tcPr>
          <w:p>
            <w:pPr>
              <w:pStyle w:val="null3"/>
              <w:spacing w:after="165"/>
              <w:jc w:val="left"/>
            </w:pPr>
            <w:r>
              <w:rPr>
                <w:rFonts w:ascii="仿宋_gb2312" w:hAnsi="仿宋_gb2312" w:cs="仿宋_gb2312" w:eastAsia="仿宋_gb2312"/>
                <w:sz w:val="24"/>
              </w:rPr>
              <w:t>以干部人事信息库为基础，通过领导便携式运维管理平台生成</w:t>
            </w:r>
            <w:r>
              <w:rPr>
                <w:rFonts w:ascii="仿宋_gb2312" w:hAnsi="仿宋_gb2312" w:cs="仿宋_gb2312" w:eastAsia="仿宋_gb2312"/>
                <w:sz w:val="24"/>
              </w:rPr>
              <w:t>PAD版本所需数据包导入至领导便携式查询系统（PAD展示端），领导用户可通过领导便携式查询系统（PAD展示端）实现对全系统个人信息、单位信息、班子信息、队伍信息进行浏览、分析与查询。</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干部业绩材料生成</w:t>
            </w:r>
          </w:p>
        </w:tc>
        <w:tc>
          <w:tcPr>
            <w:tcW w:type="dxa" w:w="1038"/>
          </w:tcPr>
          <w:p/>
        </w:tc>
        <w:tc>
          <w:tcPr>
            <w:tcW w:type="dxa" w:w="1038"/>
          </w:tcPr>
          <w:p>
            <w:pPr>
              <w:pStyle w:val="null3"/>
              <w:spacing w:after="165"/>
              <w:jc w:val="left"/>
            </w:pPr>
            <w:r>
              <w:rPr>
                <w:rFonts w:ascii="仿宋_gb2312" w:hAnsi="仿宋_gb2312" w:cs="仿宋_gb2312" w:eastAsia="仿宋_gb2312"/>
                <w:sz w:val="24"/>
              </w:rPr>
              <w:t>依托于人工智能技术，领域文档解析知识、多模版生成引擎与智能校对体系，实现上传干部述职报告、谈话记录等材料，对材料进行智能解析、关键信息抽取，按照规范实现干部业绩材料的自动生成。对生成的干部业绩材料支持进行原文追溯、二次编辑、导出等。</w:t>
            </w:r>
          </w:p>
          <w:p>
            <w:pPr>
              <w:pStyle w:val="null3"/>
              <w:jc w:val="both"/>
            </w:pPr>
            <w:r>
              <w:rPr>
                <w:rFonts w:ascii="仿宋_gb2312" w:hAnsi="仿宋_gb2312" w:cs="仿宋_gb2312" w:eastAsia="仿宋_gb2312"/>
                <w:sz w:val="24"/>
              </w:rPr>
              <w:t>提供详细的功能设计方案。</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总体架构需求</w:t>
            </w:r>
          </w:p>
        </w:tc>
        <w:tc>
          <w:tcPr>
            <w:tcW w:type="dxa" w:w="1038"/>
          </w:tcPr>
          <w:p/>
        </w:tc>
        <w:tc>
          <w:tcPr>
            <w:tcW w:type="dxa" w:w="1038"/>
          </w:tcPr>
          <w:p>
            <w:pPr>
              <w:pStyle w:val="null3"/>
              <w:spacing w:after="165"/>
              <w:jc w:val="left"/>
            </w:pPr>
            <w:r>
              <w:rPr>
                <w:rFonts w:ascii="仿宋_gb2312" w:hAnsi="仿宋_gb2312" w:cs="仿宋_gb2312" w:eastAsia="仿宋_gb2312"/>
                <w:sz w:val="24"/>
              </w:rPr>
              <w:t>项目需采用信息化典型架构体系，分别为基础层、数据层、支撑层、应用层、用户层，同时遵照统一的标准规范与管理制度，执行及后续运维过程遵照电子政务应用的安全与运维保障体系。</w:t>
            </w:r>
          </w:p>
          <w:p>
            <w:pPr>
              <w:pStyle w:val="null3"/>
              <w:jc w:val="both"/>
            </w:pPr>
            <w:r>
              <w:rPr>
                <w:rFonts w:ascii="仿宋_gb2312" w:hAnsi="仿宋_gb2312" w:cs="仿宋_gb2312" w:eastAsia="仿宋_gb2312"/>
                <w:sz w:val="24"/>
              </w:rPr>
              <w:t>提供详细的总体架构设计方案。</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技术架构要求</w:t>
            </w:r>
          </w:p>
        </w:tc>
        <w:tc>
          <w:tcPr>
            <w:tcW w:type="dxa" w:w="1038"/>
          </w:tcPr>
          <w:p/>
        </w:tc>
        <w:tc>
          <w:tcPr>
            <w:tcW w:type="dxa" w:w="1038"/>
          </w:tcPr>
          <w:p>
            <w:pPr>
              <w:pStyle w:val="null3"/>
              <w:spacing w:after="165"/>
              <w:jc w:val="left"/>
            </w:pPr>
            <w:r>
              <w:rPr>
                <w:rFonts w:ascii="仿宋_gb2312" w:hAnsi="仿宋_gb2312" w:cs="仿宋_gb2312" w:eastAsia="仿宋_gb2312"/>
                <w:sz w:val="24"/>
              </w:rPr>
              <w:t>满足系统整合相关要求，接入内部网络新一代用户管理和认证平台。</w:t>
            </w:r>
          </w:p>
          <w:p>
            <w:pPr>
              <w:pStyle w:val="null3"/>
              <w:spacing w:after="165"/>
              <w:jc w:val="left"/>
            </w:pPr>
            <w:r>
              <w:rPr>
                <w:rFonts w:ascii="仿宋_gb2312" w:hAnsi="仿宋_gb2312" w:cs="仿宋_gb2312" w:eastAsia="仿宋_gb2312"/>
                <w:sz w:val="24"/>
              </w:rPr>
              <w:t>本系统须采用</w:t>
            </w:r>
            <w:r>
              <w:rPr>
                <w:rFonts w:ascii="仿宋_gb2312" w:hAnsi="仿宋_gb2312" w:cs="仿宋_gb2312" w:eastAsia="仿宋_gb2312"/>
                <w:sz w:val="24"/>
              </w:rPr>
              <w:t>J2EE技术架构路线，技术体系上选用JAVA体系结构，前后端分离，支持国产化技术路线，支持人工智能相关技术。</w:t>
            </w:r>
          </w:p>
          <w:p>
            <w:pPr>
              <w:pStyle w:val="null3"/>
              <w:spacing w:after="165"/>
              <w:jc w:val="left"/>
            </w:pPr>
            <w:r>
              <w:rPr>
                <w:rFonts w:ascii="仿宋_gb2312" w:hAnsi="仿宋_gb2312" w:cs="仿宋_gb2312" w:eastAsia="仿宋_gb2312"/>
                <w:sz w:val="24"/>
              </w:rPr>
              <w:t>将该系统部署至内部网络央行云信创环境。</w:t>
            </w:r>
          </w:p>
          <w:p>
            <w:pPr>
              <w:pStyle w:val="null3"/>
              <w:spacing w:after="165"/>
              <w:jc w:val="left"/>
            </w:pPr>
            <w:r>
              <w:rPr>
                <w:rFonts w:ascii="仿宋_gb2312" w:hAnsi="仿宋_gb2312" w:cs="仿宋_gb2312" w:eastAsia="仿宋_gb2312"/>
                <w:sz w:val="24"/>
              </w:rPr>
              <w:t>大模型部署在需求方指定环境，由需求方提供算力资源。</w:t>
            </w:r>
          </w:p>
          <w:p>
            <w:pPr>
              <w:pStyle w:val="null3"/>
              <w:jc w:val="both"/>
            </w:pPr>
            <w:r>
              <w:rPr>
                <w:rFonts w:ascii="仿宋_gb2312" w:hAnsi="仿宋_gb2312" w:cs="仿宋_gb2312" w:eastAsia="仿宋_gb2312"/>
                <w:sz w:val="24"/>
              </w:rPr>
              <w:t>提供详细的技术架构设计方案。</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部署要求</w:t>
            </w:r>
          </w:p>
        </w:tc>
        <w:tc>
          <w:tcPr>
            <w:tcW w:type="dxa" w:w="1038"/>
          </w:tcPr>
          <w:p/>
        </w:tc>
        <w:tc>
          <w:tcPr>
            <w:tcW w:type="dxa" w:w="1038"/>
          </w:tcPr>
          <w:p>
            <w:pPr>
              <w:pStyle w:val="null3"/>
              <w:spacing w:after="165"/>
              <w:jc w:val="left"/>
            </w:pPr>
            <w:r>
              <w:rPr>
                <w:rFonts w:ascii="仿宋_gb2312" w:hAnsi="仿宋_gb2312" w:cs="仿宋_gb2312" w:eastAsia="仿宋_gb2312"/>
                <w:sz w:val="24"/>
              </w:rPr>
              <w:t>系统部署于业务网的央行云基础设施，采用央行云、数据库等云</w:t>
            </w:r>
            <w:r>
              <w:rPr>
                <w:rFonts w:ascii="仿宋_gb2312" w:hAnsi="仿宋_gb2312" w:cs="仿宋_gb2312" w:eastAsia="仿宋_gb2312"/>
                <w:sz w:val="24"/>
              </w:rPr>
              <w:t>PAAS层服务。</w:t>
            </w:r>
          </w:p>
          <w:p>
            <w:pPr>
              <w:pStyle w:val="null3"/>
              <w:jc w:val="both"/>
            </w:pPr>
            <w:r>
              <w:rPr>
                <w:rFonts w:ascii="仿宋_gb2312" w:hAnsi="仿宋_gb2312" w:cs="仿宋_gb2312" w:eastAsia="仿宋_gb2312"/>
                <w:sz w:val="24"/>
              </w:rPr>
              <w:t>提供详细的部署方案。</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系统性能要求</w:t>
            </w:r>
          </w:p>
        </w:tc>
        <w:tc>
          <w:tcPr>
            <w:tcW w:type="dxa" w:w="1038"/>
          </w:tcPr>
          <w:p/>
        </w:tc>
        <w:tc>
          <w:tcPr>
            <w:tcW w:type="dxa" w:w="1038"/>
          </w:tcPr>
          <w:p>
            <w:pPr>
              <w:pStyle w:val="null3"/>
              <w:spacing w:after="165"/>
              <w:jc w:val="left"/>
            </w:pPr>
            <w:r>
              <w:rPr>
                <w:rFonts w:ascii="仿宋_gb2312" w:hAnsi="仿宋_gb2312" w:cs="仿宋_gb2312" w:eastAsia="仿宋_gb2312"/>
                <w:sz w:val="24"/>
              </w:rPr>
              <w:t>1、支持在线用户数至少支持5000个以上同时使用。</w:t>
            </w:r>
          </w:p>
          <w:p>
            <w:pPr>
              <w:pStyle w:val="null3"/>
              <w:spacing w:after="165"/>
              <w:jc w:val="left"/>
            </w:pPr>
            <w:r>
              <w:rPr>
                <w:rFonts w:ascii="仿宋_gb2312" w:hAnsi="仿宋_gb2312" w:cs="仿宋_gb2312" w:eastAsia="仿宋_gb2312"/>
                <w:sz w:val="24"/>
              </w:rPr>
              <w:t>2、页面展示响应时间要求小于3秒，普通报表展示时间要求小于5秒，多条件查询报表及复杂报表展示时间要求小于10秒。</w:t>
            </w:r>
          </w:p>
          <w:p>
            <w:pPr>
              <w:pStyle w:val="null3"/>
              <w:spacing w:after="165"/>
              <w:jc w:val="left"/>
            </w:pPr>
            <w:r>
              <w:rPr>
                <w:rFonts w:ascii="仿宋_gb2312" w:hAnsi="仿宋_gb2312" w:cs="仿宋_gb2312" w:eastAsia="仿宋_gb2312"/>
                <w:sz w:val="24"/>
              </w:rPr>
              <w:t>3、支持7X24小时不间断运行，系统的可使用率每年最低不能少于总运行时间的99.9%，系统高峰时CPU占用率不能持续一分钟超过80%。</w:t>
            </w:r>
          </w:p>
          <w:p>
            <w:pPr>
              <w:pStyle w:val="null3"/>
              <w:jc w:val="both"/>
            </w:pPr>
            <w:r>
              <w:rPr>
                <w:rFonts w:ascii="仿宋_gb2312" w:hAnsi="仿宋_gb2312" w:cs="仿宋_gb2312" w:eastAsia="仿宋_gb2312"/>
                <w:sz w:val="24"/>
              </w:rPr>
              <w:t>提供详细的系统性能设计方案。</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可靠性要求</w:t>
            </w:r>
          </w:p>
        </w:tc>
        <w:tc>
          <w:tcPr>
            <w:tcW w:type="dxa" w:w="1038"/>
          </w:tcPr>
          <w:p/>
        </w:tc>
        <w:tc>
          <w:tcPr>
            <w:tcW w:type="dxa" w:w="1038"/>
          </w:tcPr>
          <w:p>
            <w:pPr>
              <w:pStyle w:val="null3"/>
              <w:spacing w:after="165"/>
              <w:jc w:val="left"/>
            </w:pPr>
            <w:r>
              <w:rPr>
                <w:rFonts w:ascii="仿宋_gb2312" w:hAnsi="仿宋_gb2312" w:cs="仿宋_gb2312" w:eastAsia="仿宋_gb2312"/>
                <w:sz w:val="24"/>
              </w:rPr>
              <w:t>从成熟性、容错性、可恢复性等维度说明方案的可靠性。</w:t>
            </w:r>
          </w:p>
          <w:p>
            <w:pPr>
              <w:pStyle w:val="null3"/>
              <w:spacing w:after="165"/>
              <w:jc w:val="left"/>
            </w:pPr>
            <w:r>
              <w:rPr>
                <w:rFonts w:ascii="仿宋_gb2312" w:hAnsi="仿宋_gb2312" w:cs="仿宋_gb2312" w:eastAsia="仿宋_gb2312"/>
                <w:sz w:val="24"/>
              </w:rPr>
              <w:t>1、成熟性：软件故障引起的失误频率应较低。</w:t>
            </w:r>
          </w:p>
          <w:p>
            <w:pPr>
              <w:pStyle w:val="null3"/>
              <w:spacing w:after="165"/>
              <w:jc w:val="left"/>
            </w:pPr>
            <w:r>
              <w:rPr>
                <w:rFonts w:ascii="仿宋_gb2312" w:hAnsi="仿宋_gb2312" w:cs="仿宋_gb2312" w:eastAsia="仿宋_gb2312"/>
                <w:sz w:val="24"/>
              </w:rPr>
              <w:t>2、容错性：系统应有全面、完善的检验和明确的错误提示信息，系统界面被破坏或系统发生故障，系统仍能按相关指标运行。</w:t>
            </w:r>
          </w:p>
          <w:p>
            <w:pPr>
              <w:pStyle w:val="null3"/>
              <w:spacing w:after="165"/>
              <w:jc w:val="left"/>
            </w:pPr>
            <w:r>
              <w:rPr>
                <w:rFonts w:ascii="仿宋_gb2312" w:hAnsi="仿宋_gb2312" w:cs="仿宋_gb2312" w:eastAsia="仿宋_gb2312"/>
                <w:sz w:val="24"/>
              </w:rPr>
              <w:t>3、可恢复性：恢复时间目标（RTO）&lt;=4小时。恢复点目标（RPO）&lt;=1小时。</w:t>
            </w:r>
          </w:p>
          <w:p>
            <w:pPr>
              <w:pStyle w:val="null3"/>
              <w:jc w:val="both"/>
            </w:pPr>
            <w:r>
              <w:rPr>
                <w:rFonts w:ascii="仿宋_gb2312" w:hAnsi="仿宋_gb2312" w:cs="仿宋_gb2312" w:eastAsia="仿宋_gb2312"/>
                <w:sz w:val="24"/>
              </w:rPr>
              <w:t>提供详细的可靠性设计方案。</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可用性要求</w:t>
            </w:r>
          </w:p>
        </w:tc>
        <w:tc>
          <w:tcPr>
            <w:tcW w:type="dxa" w:w="1038"/>
          </w:tcPr>
          <w:p/>
        </w:tc>
        <w:tc>
          <w:tcPr>
            <w:tcW w:type="dxa" w:w="1038"/>
          </w:tcPr>
          <w:p>
            <w:pPr>
              <w:pStyle w:val="null3"/>
              <w:spacing w:after="165"/>
              <w:jc w:val="left"/>
            </w:pPr>
            <w:r>
              <w:rPr>
                <w:rFonts w:ascii="仿宋_gb2312" w:hAnsi="仿宋_gb2312" w:cs="仿宋_gb2312" w:eastAsia="仿宋_gb2312"/>
                <w:sz w:val="24"/>
              </w:rPr>
              <w:t>服务保障时间：保障全部功能</w:t>
            </w:r>
            <w:r>
              <w:rPr>
                <w:rFonts w:ascii="仿宋_gb2312" w:hAnsi="仿宋_gb2312" w:cs="仿宋_gb2312" w:eastAsia="仿宋_gb2312"/>
                <w:sz w:val="24"/>
              </w:rPr>
              <w:t>7*24可用。</w:t>
            </w:r>
          </w:p>
          <w:p>
            <w:pPr>
              <w:pStyle w:val="null3"/>
              <w:spacing w:after="165"/>
              <w:jc w:val="left"/>
            </w:pPr>
            <w:r>
              <w:rPr>
                <w:rFonts w:ascii="仿宋_gb2312" w:hAnsi="仿宋_gb2312" w:cs="仿宋_gb2312" w:eastAsia="仿宋_gb2312"/>
                <w:sz w:val="24"/>
              </w:rPr>
              <w:t>备份恢复要求：按业务连续性三级及时恢复系统运行。</w:t>
            </w:r>
          </w:p>
          <w:p>
            <w:pPr>
              <w:pStyle w:val="null3"/>
              <w:jc w:val="both"/>
            </w:pPr>
            <w:r>
              <w:rPr>
                <w:rFonts w:ascii="仿宋_gb2312" w:hAnsi="仿宋_gb2312" w:cs="仿宋_gb2312" w:eastAsia="仿宋_gb2312"/>
                <w:sz w:val="24"/>
              </w:rPr>
              <w:t>提供详细的可用性设计方案。</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信息资源体系建设要求</w:t>
            </w:r>
          </w:p>
        </w:tc>
        <w:tc>
          <w:tcPr>
            <w:tcW w:type="dxa" w:w="1038"/>
          </w:tcPr>
          <w:p/>
        </w:tc>
        <w:tc>
          <w:tcPr>
            <w:tcW w:type="dxa" w:w="1038"/>
          </w:tcPr>
          <w:p>
            <w:pPr>
              <w:pStyle w:val="null3"/>
              <w:spacing w:after="165"/>
              <w:jc w:val="left"/>
            </w:pPr>
            <w:r>
              <w:rPr>
                <w:rFonts w:ascii="仿宋_gb2312" w:hAnsi="仿宋_gb2312" w:cs="仿宋_gb2312" w:eastAsia="仿宋_gb2312"/>
                <w:sz w:val="24"/>
              </w:rPr>
              <w:t>参照中组部、中国人民银行干部人事信息资源标准，以《中共中央组织部全国组织、干部、人事管理信息系统信息结构体系》等要求为依据，建设符合相关数据标准与业务管理规范的、逻辑结构合理的、架构可扩展的干部人事信息资源库。</w:t>
            </w:r>
          </w:p>
          <w:p>
            <w:pPr>
              <w:pStyle w:val="null3"/>
              <w:spacing w:after="165"/>
              <w:jc w:val="left"/>
            </w:pPr>
            <w:r>
              <w:rPr>
                <w:rFonts w:ascii="仿宋_gb2312" w:hAnsi="仿宋_gb2312" w:cs="仿宋_gb2312" w:eastAsia="仿宋_gb2312"/>
                <w:sz w:val="24"/>
              </w:rPr>
              <w:t>在充分考虑本系统自身特点、遵循项目总体设计原则的前提下，本系统信息资源库建设需要重点考虑以下几个方面工作并提供对应的方案，包括需遵循的干部人事信息结构标准规范、信息资源目录体系建设、数据库结构设计、干部人事信息资源库设计等。</w:t>
            </w:r>
          </w:p>
          <w:p>
            <w:pPr>
              <w:pStyle w:val="null3"/>
              <w:jc w:val="both"/>
            </w:pPr>
            <w:r>
              <w:rPr>
                <w:rFonts w:ascii="仿宋_gb2312" w:hAnsi="仿宋_gb2312" w:cs="仿宋_gb2312" w:eastAsia="仿宋_gb2312"/>
                <w:sz w:val="24"/>
              </w:rPr>
              <w:t>提供详细的信息资源体系建设方案。</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系统安全要求</w:t>
            </w:r>
          </w:p>
        </w:tc>
        <w:tc>
          <w:tcPr>
            <w:tcW w:type="dxa" w:w="1038"/>
          </w:tcPr>
          <w:p/>
        </w:tc>
        <w:tc>
          <w:tcPr>
            <w:tcW w:type="dxa" w:w="1038"/>
          </w:tcPr>
          <w:p>
            <w:pPr>
              <w:pStyle w:val="null3"/>
              <w:spacing w:after="165"/>
              <w:jc w:val="left"/>
            </w:pPr>
            <w:r>
              <w:rPr>
                <w:rFonts w:ascii="仿宋_gb2312" w:hAnsi="仿宋_gb2312" w:cs="仿宋_gb2312" w:eastAsia="仿宋_gb2312"/>
                <w:sz w:val="24"/>
              </w:rPr>
              <w:t>本系统为等保二级系统，需参照《人民银行信息系统建设安全技术规范》进行系统设计，并满足《金融行业网络安全等级保护实施指引》（</w:t>
            </w:r>
            <w:r>
              <w:rPr>
                <w:rFonts w:ascii="仿宋_gb2312" w:hAnsi="仿宋_gb2312" w:cs="仿宋_gb2312" w:eastAsia="仿宋_gb2312"/>
                <w:sz w:val="24"/>
              </w:rPr>
              <w:t>JR/T 0071-2020）第二级别相关要求。</w:t>
            </w:r>
          </w:p>
          <w:p>
            <w:pPr>
              <w:pStyle w:val="null3"/>
              <w:jc w:val="both"/>
            </w:pPr>
            <w:r>
              <w:rPr>
                <w:rFonts w:ascii="仿宋_gb2312" w:hAnsi="仿宋_gb2312" w:cs="仿宋_gb2312" w:eastAsia="仿宋_gb2312"/>
                <w:sz w:val="24"/>
              </w:rPr>
              <w:t>提供详细的系统安全设计方案。</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国产化适配要求</w:t>
            </w:r>
          </w:p>
        </w:tc>
        <w:tc>
          <w:tcPr>
            <w:tcW w:type="dxa" w:w="1038"/>
          </w:tcPr>
          <w:p/>
        </w:tc>
        <w:tc>
          <w:tcPr>
            <w:tcW w:type="dxa" w:w="1038"/>
          </w:tcPr>
          <w:p>
            <w:pPr>
              <w:pStyle w:val="null3"/>
              <w:spacing w:after="165"/>
              <w:jc w:val="left"/>
            </w:pPr>
            <w:r>
              <w:rPr>
                <w:rFonts w:ascii="仿宋_gb2312" w:hAnsi="仿宋_gb2312" w:cs="仿宋_gb2312" w:eastAsia="仿宋_gb2312"/>
                <w:sz w:val="24"/>
              </w:rPr>
              <w:t>为遵循国家信息技术应用创新和国产化自主可靠的发展方向，本着统筹规划、避免重复建设的原则，本项目应参照《国家政务信息化项目建设管理办法》等国家有关法律法规进行规划、设计和建设。</w:t>
            </w:r>
          </w:p>
          <w:p>
            <w:pPr>
              <w:pStyle w:val="null3"/>
              <w:spacing w:after="165"/>
              <w:jc w:val="left"/>
            </w:pPr>
            <w:r>
              <w:rPr>
                <w:rFonts w:ascii="仿宋_gb2312" w:hAnsi="仿宋_gb2312" w:cs="仿宋_gb2312" w:eastAsia="仿宋_gb2312"/>
                <w:sz w:val="24"/>
              </w:rPr>
              <w:t>本系统需支持主流国产化技术路线，采用安全可靠的国产化软硬件产品，包括服务器、操作系统、数据库、中间件、终端等基础国产化软硬件产品。</w:t>
            </w:r>
          </w:p>
          <w:p>
            <w:pPr>
              <w:pStyle w:val="null3"/>
              <w:jc w:val="both"/>
            </w:pPr>
            <w:r>
              <w:rPr>
                <w:rFonts w:ascii="仿宋_gb2312" w:hAnsi="仿宋_gb2312" w:cs="仿宋_gb2312" w:eastAsia="仿宋_gb2312"/>
                <w:sz w:val="24"/>
              </w:rPr>
              <w:t>提供详细的国产化适配方案。</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系统平滑过渡要求</w:t>
            </w:r>
          </w:p>
        </w:tc>
        <w:tc>
          <w:tcPr>
            <w:tcW w:type="dxa" w:w="1038"/>
          </w:tcPr>
          <w:p/>
        </w:tc>
        <w:tc>
          <w:tcPr>
            <w:tcW w:type="dxa" w:w="1038"/>
          </w:tcPr>
          <w:p>
            <w:pPr>
              <w:pStyle w:val="null3"/>
              <w:spacing w:after="165"/>
              <w:jc w:val="left"/>
            </w:pPr>
            <w:r>
              <w:rPr>
                <w:rFonts w:ascii="仿宋_gb2312" w:hAnsi="仿宋_gb2312" w:cs="仿宋_gb2312" w:eastAsia="仿宋_gb2312"/>
                <w:sz w:val="24"/>
              </w:rPr>
              <w:t>在新系统上线运行前确保完成历史数据的迁移工作，确保新旧系统平滑过渡并进行完整性校验，新旧系统过渡期不影响业务开展。</w:t>
            </w:r>
          </w:p>
          <w:p>
            <w:pPr>
              <w:pStyle w:val="null3"/>
              <w:jc w:val="both"/>
            </w:pPr>
            <w:r>
              <w:rPr>
                <w:rFonts w:ascii="仿宋_gb2312" w:hAnsi="仿宋_gb2312" w:cs="仿宋_gb2312" w:eastAsia="仿宋_gb2312"/>
                <w:sz w:val="24"/>
              </w:rPr>
              <w:t>提供详细的系统平滑过渡方案。</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数据迁移要求</w:t>
            </w:r>
          </w:p>
        </w:tc>
        <w:tc>
          <w:tcPr>
            <w:tcW w:type="dxa" w:w="1038"/>
          </w:tcPr>
          <w:p/>
        </w:tc>
        <w:tc>
          <w:tcPr>
            <w:tcW w:type="dxa" w:w="1038"/>
          </w:tcPr>
          <w:p>
            <w:pPr>
              <w:pStyle w:val="null3"/>
              <w:spacing w:after="165"/>
              <w:jc w:val="left"/>
            </w:pPr>
            <w:r>
              <w:rPr>
                <w:rFonts w:ascii="仿宋_gb2312" w:hAnsi="仿宋_gb2312" w:cs="仿宋_gb2312" w:eastAsia="仿宋_gb2312"/>
                <w:sz w:val="24"/>
              </w:rPr>
              <w:t>提供完善的数据迁移、历史业务与权限兼容适配措施，明确双系统并行、灰度分批割接切换策略，同时包含全流程风险管控、应急处置及一键回退机制，保障业务连续无中断、过渡过程安全稳定。</w:t>
            </w:r>
          </w:p>
          <w:p>
            <w:pPr>
              <w:pStyle w:val="null3"/>
              <w:jc w:val="both"/>
            </w:pPr>
            <w:r>
              <w:rPr>
                <w:rFonts w:ascii="仿宋_gb2312" w:hAnsi="仿宋_gb2312" w:cs="仿宋_gb2312" w:eastAsia="仿宋_gb2312"/>
                <w:sz w:val="24"/>
              </w:rPr>
              <w:t>提供详细的数据迁移方案。</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项目管理实施要求</w:t>
            </w:r>
          </w:p>
        </w:tc>
        <w:tc>
          <w:tcPr>
            <w:tcW w:type="dxa" w:w="1038"/>
          </w:tcPr>
          <w:p/>
        </w:tc>
        <w:tc>
          <w:tcPr>
            <w:tcW w:type="dxa" w:w="1038"/>
          </w:tcPr>
          <w:p>
            <w:pPr>
              <w:pStyle w:val="null3"/>
              <w:spacing w:after="165"/>
              <w:jc w:val="left"/>
            </w:pPr>
            <w:r>
              <w:rPr>
                <w:rFonts w:ascii="仿宋_gb2312" w:hAnsi="仿宋_gb2312" w:cs="仿宋_gb2312" w:eastAsia="仿宋_gb2312"/>
                <w:sz w:val="24"/>
              </w:rPr>
              <w:t>明确项目执行所依据的项目管理体系，项目建设过程包括需求调研与分析、系统设计、系统开发、系统测试、上线、项目验收、质保服务等阶段。</w:t>
            </w:r>
          </w:p>
          <w:p>
            <w:pPr>
              <w:pStyle w:val="null3"/>
              <w:spacing w:after="165"/>
              <w:jc w:val="left"/>
            </w:pPr>
            <w:r>
              <w:rPr>
                <w:rFonts w:ascii="仿宋_gb2312" w:hAnsi="仿宋_gb2312" w:cs="仿宋_gb2312" w:eastAsia="仿宋_gb2312"/>
                <w:sz w:val="24"/>
              </w:rPr>
              <w:t>投标人应制定完备、专业的项目管理措施（包括但不限于项目进度管理、质量管理、风险管理、成本管理、人员管理、缺陷管理等）。</w:t>
            </w:r>
          </w:p>
          <w:p>
            <w:pPr>
              <w:pStyle w:val="null3"/>
              <w:jc w:val="both"/>
            </w:pPr>
            <w:r>
              <w:rPr>
                <w:rFonts w:ascii="仿宋_gb2312" w:hAnsi="仿宋_gb2312" w:cs="仿宋_gb2312" w:eastAsia="仿宋_gb2312"/>
                <w:sz w:val="24"/>
              </w:rPr>
              <w:t>提供详细的项目管理实施方案。</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项目进度要求</w:t>
            </w:r>
          </w:p>
        </w:tc>
        <w:tc>
          <w:tcPr>
            <w:tcW w:type="dxa" w:w="1038"/>
          </w:tcPr>
          <w:p/>
        </w:tc>
        <w:tc>
          <w:tcPr>
            <w:tcW w:type="dxa" w:w="1038"/>
          </w:tcPr>
          <w:p>
            <w:pPr>
              <w:pStyle w:val="null3"/>
              <w:spacing w:after="165"/>
              <w:jc w:val="left"/>
            </w:pPr>
            <w:r>
              <w:rPr>
                <w:rFonts w:ascii="仿宋_gb2312" w:hAnsi="仿宋_gb2312" w:cs="仿宋_gb2312" w:eastAsia="仿宋_gb2312"/>
                <w:sz w:val="24"/>
              </w:rPr>
              <w:t>在合同签订并生效后</w:t>
            </w:r>
            <w:r>
              <w:rPr>
                <w:rFonts w:ascii="仿宋_gb2312" w:hAnsi="仿宋_gb2312" w:cs="仿宋_gb2312" w:eastAsia="仿宋_gb2312"/>
                <w:sz w:val="24"/>
              </w:rPr>
              <w:t>6个月内完成需求调研、系统设计、系统开发、系统测试、部署上线、培训、验收等全部工作。</w:t>
            </w:r>
          </w:p>
          <w:p>
            <w:pPr>
              <w:pStyle w:val="null3"/>
              <w:jc w:val="both"/>
            </w:pPr>
            <w:r>
              <w:rPr>
                <w:rFonts w:ascii="仿宋_gb2312" w:hAnsi="仿宋_gb2312" w:cs="仿宋_gb2312" w:eastAsia="仿宋_gb2312"/>
                <w:sz w:val="24"/>
              </w:rPr>
              <w:t>提供详细的项目进度计划。</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功能指标</w:t>
            </w:r>
          </w:p>
        </w:tc>
        <w:tc>
          <w:tcPr>
            <w:tcW w:type="dxa" w:w="1038"/>
          </w:tcPr>
          <w:p>
            <w:pPr>
              <w:pStyle w:val="null3"/>
            </w:pPr>
            <w:r>
              <w:rPr/>
              <w:t>#</w:t>
            </w:r>
          </w:p>
        </w:tc>
        <w:tc>
          <w:tcPr>
            <w:tcW w:type="dxa" w:w="1038"/>
          </w:tcPr>
          <w:p>
            <w:pPr>
              <w:pStyle w:val="null3"/>
            </w:pPr>
            <w:r>
              <w:rPr/>
              <w:t>运维服务要求</w:t>
            </w:r>
          </w:p>
        </w:tc>
        <w:tc>
          <w:tcPr>
            <w:tcW w:type="dxa" w:w="1038"/>
          </w:tcPr>
          <w:p/>
        </w:tc>
        <w:tc>
          <w:tcPr>
            <w:tcW w:type="dxa" w:w="1038"/>
          </w:tcPr>
          <w:p>
            <w:pPr>
              <w:pStyle w:val="null3"/>
              <w:spacing w:after="165"/>
              <w:jc w:val="left"/>
            </w:pPr>
            <w:r>
              <w:rPr>
                <w:rFonts w:ascii="仿宋_gb2312" w:hAnsi="仿宋_gb2312" w:cs="仿宋_gb2312" w:eastAsia="仿宋_gb2312"/>
                <w:sz w:val="24"/>
              </w:rPr>
              <w:t>项目终验通过后需提供</w:t>
            </w:r>
            <w:r>
              <w:rPr>
                <w:rFonts w:ascii="仿宋_gb2312" w:hAnsi="仿宋_gb2312" w:cs="仿宋_gb2312" w:eastAsia="仿宋_gb2312"/>
                <w:sz w:val="24"/>
              </w:rPr>
              <w:t>3年系统免费维护服务，在系统维护期内，提供技术支持、技术咨询、远程技术服务、现场维修服务等技术支持服务，对急需进行解决的问题，包括但不限于应用程序宕机、系统无法登陆、登陆无法操作、数据错误等问题，在2小时内无法通过远程方式解决的，需要派技术工程师在8小时内到达现场并连续工作至故障排除。</w:t>
            </w:r>
          </w:p>
          <w:p>
            <w:pPr>
              <w:pStyle w:val="null3"/>
              <w:jc w:val="both"/>
            </w:pPr>
            <w:r>
              <w:rPr>
                <w:rFonts w:ascii="仿宋_gb2312" w:hAnsi="仿宋_gb2312" w:cs="仿宋_gb2312" w:eastAsia="仿宋_gb2312"/>
                <w:sz w:val="24"/>
              </w:rPr>
              <w:t>提供详细的运维服务方案。</w:t>
            </w:r>
          </w:p>
        </w:tc>
        <w:tc>
          <w:tcPr>
            <w:tcW w:type="dxa" w:w="1038"/>
          </w:tcPr>
          <w:p>
            <w:pPr>
              <w:pStyle w:val="null3"/>
            </w:pPr>
            <w:r>
              <w:rPr/>
              <w:t>否</w:t>
            </w:r>
          </w:p>
        </w:tc>
        <w:tc>
          <w:tcPr>
            <w:tcW w:type="dxa" w:w="1038"/>
          </w:tcPr>
          <w:p/>
        </w:tc>
      </w:tr>
    </w:tbl>
    <w:p>
      <w:pPr>
        <w:pStyle w:val="null3"/>
        <w:jc w:val="both"/>
      </w:pPr>
      <w:r>
        <w:rPr/>
        <w:t>本商务要求共有“★”指标1个，”#”指标3个，“▲”指标0个。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投标人要求</w:t>
            </w:r>
          </w:p>
        </w:tc>
        <w:tc>
          <w:tcPr>
            <w:tcW w:type="dxa" w:w="1038"/>
          </w:tcPr>
          <w:p/>
        </w:tc>
        <w:tc>
          <w:tcPr>
            <w:tcW w:type="dxa" w:w="1038"/>
          </w:tcPr>
          <w:p>
            <w:pPr>
              <w:pStyle w:val="null3"/>
              <w:jc w:val="both"/>
            </w:pPr>
            <w:r>
              <w:rPr>
                <w:rFonts w:ascii="仿宋_gb2312" w:hAnsi="仿宋_gb2312" w:cs="仿宋_gb2312" w:eastAsia="仿宋_gb2312"/>
                <w:sz w:val="24"/>
              </w:rPr>
              <w:t>1.投标人应提供系统建设对接人，负责与需求部门沟通。 2.投标人提供的服务人员熟悉金融行业系统或类似信息系统，从事相关系统开发、运行保障或者应用支持1年以上，经验丰富，具备生产问题处置能力。 3.投标人开发工作应遵照软件行业普遍使用的ISO9001行业标准。</w:t>
            </w:r>
          </w:p>
        </w:tc>
        <w:tc>
          <w:tcPr>
            <w:tcW w:type="dxa" w:w="1038"/>
          </w:tcPr>
          <w:p>
            <w:pPr>
              <w:pStyle w:val="null3"/>
            </w:pPr>
            <w:r>
              <w:rPr/>
              <w:t>是</w:t>
            </w:r>
          </w:p>
        </w:tc>
        <w:tc>
          <w:tcPr>
            <w:tcW w:type="dxa" w:w="1038"/>
          </w:tcPr>
          <w:p>
            <w:pPr>
              <w:pStyle w:val="null3"/>
            </w:pPr>
            <w:r>
              <w:rPr/>
              <w:t>1.需提供投标人为系统建设人承诺函；2.投标人提供的服务人员相关经验证明材料，不限于参与金融类信息系统或同类项目的合同、项目人员配置清单等；3.投标人具有的ISO9001资质证书复印件并加盖公章。</w:t>
            </w: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jc w:val="both"/>
            </w:pPr>
            <w:r>
              <w:rPr>
                <w:rFonts w:ascii="仿宋_gb2312" w:hAnsi="仿宋_gb2312" w:cs="仿宋_gb2312" w:eastAsia="仿宋_gb2312"/>
                <w:sz w:val="24"/>
              </w:rPr>
              <w:t>1.服务提供方应严守用户的秘密，不经招标人批准，不得以任何形式将招标人资料及信息带出工作现场或透漏给第三方。 2.服务提供方应与人民银行签订保密协议，服务人员在人民银行规定的保密期内发生泄密行为的，服务提供方应承担全部责任。</w:t>
            </w:r>
          </w:p>
        </w:tc>
        <w:tc>
          <w:tcPr>
            <w:tcW w:type="dxa" w:w="1038"/>
          </w:tcPr>
          <w:p>
            <w:pPr>
              <w:pStyle w:val="null3"/>
            </w:pPr>
            <w:r>
              <w:rPr/>
              <w:t>是</w:t>
            </w:r>
          </w:p>
        </w:tc>
        <w:tc>
          <w:tcPr>
            <w:tcW w:type="dxa" w:w="1038"/>
          </w:tcPr>
          <w:p>
            <w:pPr>
              <w:pStyle w:val="null3"/>
            </w:pPr>
            <w:r>
              <w:rPr/>
              <w:t>提供保密承诺书并加盖投标人公章</w:t>
            </w: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验收要求</w:t>
            </w:r>
          </w:p>
        </w:tc>
        <w:tc>
          <w:tcPr>
            <w:tcW w:type="dxa" w:w="1038"/>
          </w:tcPr>
          <w:p/>
        </w:tc>
        <w:tc>
          <w:tcPr>
            <w:tcW w:type="dxa" w:w="1038"/>
          </w:tcPr>
          <w:p>
            <w:pPr>
              <w:pStyle w:val="null3"/>
              <w:spacing w:after="165"/>
              <w:jc w:val="both"/>
            </w:pPr>
            <w:r>
              <w:rPr>
                <w:rFonts w:ascii="仿宋_gb2312" w:hAnsi="仿宋_gb2312" w:cs="仿宋_gb2312" w:eastAsia="仿宋_gb2312"/>
                <w:sz w:val="24"/>
              </w:rPr>
              <w:t>系统上线后，服务供应商按照验收时间要求，向需求单位提交项目履约相关报告及投产上线报告相关材料，编制《验收合格单》。需求单位确认材料后，双方在《验收合格单》上签字盖章。</w:t>
            </w:r>
          </w:p>
          <w:p>
            <w:pPr>
              <w:pStyle w:val="null3"/>
              <w:jc w:val="both"/>
            </w:pPr>
            <w:r>
              <w:rPr>
                <w:rFonts w:ascii="仿宋_gb2312" w:hAnsi="仿宋_gb2312" w:cs="仿宋_gb2312" w:eastAsia="仿宋_gb2312"/>
                <w:sz w:val="24"/>
              </w:rPr>
              <w:t>提供详细的项目验收方案。</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培训要求</w:t>
            </w:r>
          </w:p>
        </w:tc>
        <w:tc>
          <w:tcPr>
            <w:tcW w:type="dxa" w:w="1038"/>
          </w:tcPr>
          <w:p/>
        </w:tc>
        <w:tc>
          <w:tcPr>
            <w:tcW w:type="dxa" w:w="1038"/>
          </w:tcPr>
          <w:p>
            <w:pPr>
              <w:pStyle w:val="null3"/>
              <w:spacing w:after="165"/>
              <w:jc w:val="both"/>
            </w:pPr>
            <w:r>
              <w:rPr>
                <w:rFonts w:ascii="仿宋_gb2312" w:hAnsi="仿宋_gb2312" w:cs="仿宋_gb2312" w:eastAsia="仿宋_gb2312"/>
                <w:sz w:val="24"/>
              </w:rPr>
              <w:t>投标人应按需求方要求在指定时间、地点进行业务培训，培训内容应涵盖系统应用各方面，在系统正式上线前提供的累计培训不低于</w:t>
            </w:r>
            <w:r>
              <w:rPr>
                <w:rFonts w:ascii="仿宋_gb2312" w:hAnsi="仿宋_gb2312" w:cs="仿宋_gb2312" w:eastAsia="仿宋_gb2312"/>
                <w:sz w:val="24"/>
              </w:rPr>
              <w:t>150人天。</w:t>
            </w:r>
          </w:p>
          <w:p>
            <w:pPr>
              <w:pStyle w:val="null3"/>
              <w:jc w:val="both"/>
            </w:pPr>
            <w:r>
              <w:rPr>
                <w:rFonts w:ascii="仿宋_gb2312" w:hAnsi="仿宋_gb2312" w:cs="仿宋_gb2312" w:eastAsia="仿宋_gb2312"/>
                <w:sz w:val="24"/>
              </w:rPr>
              <w:t>提供详细的培训方案。</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首笔付款</w:t>
            </w:r>
          </w:p>
        </w:tc>
        <w:tc>
          <w:tcPr>
            <w:tcW w:type="dxa" w:w="1384"/>
          </w:tcPr>
          <w:p>
            <w:pPr>
              <w:pStyle w:val="null3"/>
            </w:pPr>
            <w:r>
              <w:rPr/>
              <w:t>合同正式签订后，乙方将本合同项下软件产品、授权许可以及相关技术资料交付至甲方指定地点，甲方当场清点，核对无误后，由乙方开具的合规且足额增值税发票、付款申请提交至甲方采购需求部门，收到后10个工作日内，向合同乙方支付合同总金额的30%。</w:t>
            </w:r>
          </w:p>
        </w:tc>
        <w:tc>
          <w:tcPr>
            <w:tcW w:type="dxa" w:w="1384"/>
          </w:tcPr>
          <w:p>
            <w:pPr>
              <w:pStyle w:val="null3"/>
            </w:pPr>
            <w:r>
              <w:rPr/>
              <w:t>30.00</w:t>
            </w:r>
            <w:r>
              <w:rPr/>
              <w:t>%</w:t>
            </w:r>
          </w:p>
        </w:tc>
        <w:tc>
          <w:tcPr>
            <w:tcW w:type="dxa" w:w="1384"/>
          </w:tcPr>
          <w:p>
            <w:pPr>
              <w:pStyle w:val="null3"/>
            </w:pPr>
            <w:r>
              <w:rPr/>
              <w:t>汇款</w:t>
            </w:r>
          </w:p>
        </w:tc>
        <w:tc>
          <w:tcPr>
            <w:tcW w:type="dxa" w:w="1384"/>
          </w:tcPr>
          <w:p>
            <w:pPr>
              <w:pStyle w:val="null3"/>
            </w:pPr>
            <w:r>
              <w:rPr/>
              <w:t>无</w:t>
            </w:r>
          </w:p>
        </w:tc>
      </w:tr>
      <w:tr>
        <w:tc>
          <w:tcPr>
            <w:tcW w:type="dxa" w:w="1384"/>
          </w:tcPr>
          <w:p>
            <w:pPr>
              <w:pStyle w:val="null3"/>
            </w:pPr>
            <w:r>
              <w:rPr/>
              <w:t>2</w:t>
            </w:r>
          </w:p>
        </w:tc>
        <w:tc>
          <w:tcPr>
            <w:tcW w:type="dxa" w:w="1384"/>
          </w:tcPr>
          <w:p>
            <w:pPr>
              <w:pStyle w:val="null3"/>
            </w:pPr>
            <w:r>
              <w:rPr/>
              <w:t>初验付款</w:t>
            </w:r>
          </w:p>
        </w:tc>
        <w:tc>
          <w:tcPr>
            <w:tcW w:type="dxa" w:w="1384"/>
          </w:tcPr>
          <w:p>
            <w:pPr>
              <w:pStyle w:val="null3"/>
            </w:pPr>
            <w:r>
              <w:rPr/>
              <w:t>乙方按照甲方的标准和要求派遣实施项目组到现场实施技术服务，安装调试完成后，经过甲方的认可后，由甲方组织初步验收。采购需求部门收到乙方提交的经需求单位签字盖章的《初步验收合格单》以及开具的合规且足额增值税发票、付款申请后，10个工作日内，向合同乙方支付款项。</w:t>
            </w:r>
          </w:p>
        </w:tc>
        <w:tc>
          <w:tcPr>
            <w:tcW w:type="dxa" w:w="1384"/>
          </w:tcPr>
          <w:p>
            <w:pPr>
              <w:pStyle w:val="null3"/>
            </w:pPr>
            <w:r>
              <w:rPr/>
              <w:t>40.00</w:t>
            </w:r>
            <w:r>
              <w:rPr/>
              <w:t>%</w:t>
            </w:r>
          </w:p>
        </w:tc>
        <w:tc>
          <w:tcPr>
            <w:tcW w:type="dxa" w:w="1384"/>
          </w:tcPr>
          <w:p>
            <w:pPr>
              <w:pStyle w:val="null3"/>
            </w:pPr>
            <w:r>
              <w:rPr/>
              <w:t>汇款</w:t>
            </w:r>
          </w:p>
        </w:tc>
        <w:tc>
          <w:tcPr>
            <w:tcW w:type="dxa" w:w="1384"/>
          </w:tcPr>
          <w:p>
            <w:pPr>
              <w:pStyle w:val="null3"/>
            </w:pPr>
            <w:r>
              <w:rPr/>
              <w:t>无</w:t>
            </w:r>
          </w:p>
        </w:tc>
      </w:tr>
      <w:tr>
        <w:tc>
          <w:tcPr>
            <w:tcW w:type="dxa" w:w="1384"/>
          </w:tcPr>
          <w:p>
            <w:pPr>
              <w:pStyle w:val="null3"/>
            </w:pPr>
            <w:r>
              <w:rPr/>
              <w:t>3</w:t>
            </w:r>
          </w:p>
        </w:tc>
        <w:tc>
          <w:tcPr>
            <w:tcW w:type="dxa" w:w="1384"/>
          </w:tcPr>
          <w:p>
            <w:pPr>
              <w:pStyle w:val="null3"/>
            </w:pPr>
            <w:r>
              <w:rPr/>
              <w:t>尾款</w:t>
            </w:r>
          </w:p>
        </w:tc>
        <w:tc>
          <w:tcPr>
            <w:tcW w:type="dxa" w:w="1384"/>
          </w:tcPr>
          <w:p>
            <w:pPr>
              <w:pStyle w:val="null3"/>
            </w:pPr>
            <w:r>
              <w:rPr/>
              <w:t>试运行期满且乙方提供的软件产品稳定运行，经过甲方的认可后，由甲方组织最终验收。采购需求部门收到乙方提交的经需求单位验收通过的《系统最终验收合格单》以及开具的合规且足额增值税发票后，10个工作日内，向合同乙方支付款项。</w:t>
            </w:r>
          </w:p>
        </w:tc>
        <w:tc>
          <w:tcPr>
            <w:tcW w:type="dxa" w:w="1384"/>
          </w:tcPr>
          <w:p>
            <w:pPr>
              <w:pStyle w:val="null3"/>
            </w:pPr>
            <w:r>
              <w:rPr/>
              <w:t>30.00</w:t>
            </w:r>
            <w:r>
              <w:rPr/>
              <w:t>%</w:t>
            </w:r>
          </w:p>
        </w:tc>
        <w:tc>
          <w:tcPr>
            <w:tcW w:type="dxa" w:w="1384"/>
          </w:tcPr>
          <w:p>
            <w:pPr>
              <w:pStyle w:val="null3"/>
            </w:pPr>
            <w:r>
              <w:rPr/>
              <w:t>汇款</w:t>
            </w:r>
          </w:p>
        </w:tc>
        <w:tc>
          <w:tcPr>
            <w:tcW w:type="dxa" w:w="1384"/>
          </w:tcPr>
          <w:p>
            <w:pPr>
              <w:pStyle w:val="null3"/>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中国人民银行人事司</w:t>
      </w:r>
    </w:p>
    <w:p>
      <w:pPr>
        <w:pStyle w:val="null3"/>
        <w:jc w:val="both"/>
      </w:pPr>
      <w:r>
        <w:rPr/>
        <w:t>采购人（需求部门）拟邀请（</w:t>
      </w:r>
      <w:r>
        <w:rPr/>
        <w:t>项目供应商</w:t>
      </w:r>
      <w:r>
        <w:rPr/>
        <w:t>）</w:t>
      </w:r>
    </w:p>
    <w:p>
      <w:pPr>
        <w:pStyle w:val="null3"/>
        <w:jc w:val="both"/>
      </w:pPr>
      <w:r>
        <w:rPr/>
        <w:t>（2）验收时间</w:t>
      </w:r>
      <w:r>
        <w:rPr>
          <w:u w:val="single"/>
        </w:rPr>
        <w:t>1、交货时间：合同签订后30个日历日内完成到货。 2、初步验收时间：到货验收通过后，120个日历日内完成实施技术服务，安装调试完成后，经过甲方的认可后，由甲方组织初步验收，初步验收通过后，进入30个日历日的试运行。 3、最终验收时间：试运行期满且乙方提供的软件产品稳定运行，经过甲方的认可后，由甲方组织最终验收。 4、免费质量保证期：自最终验收合格之日起3年。</w:t>
      </w:r>
    </w:p>
    <w:p>
      <w:pPr>
        <w:pStyle w:val="null3"/>
        <w:jc w:val="both"/>
      </w:pPr>
      <w:r>
        <w:rPr/>
        <w:t>（3）验收方式</w:t>
      </w:r>
      <w:r>
        <w:rPr>
          <w:u w:val="single"/>
        </w:rPr>
        <w:t>分阶段验收</w:t>
      </w:r>
    </w:p>
    <w:p>
      <w:pPr>
        <w:pStyle w:val="null3"/>
        <w:jc w:val="both"/>
      </w:pPr>
      <w:r>
        <w:rPr/>
        <w:t>（4）验收程序</w:t>
      </w:r>
      <w:r>
        <w:rPr>
          <w:u w:val="single"/>
        </w:rPr>
        <w:t>到货验收程序：乙方将本合同项下软件产品、授权许可以及相关技术资料交付至甲方指定地点，甲方当场清点，核对。 初步验收程序：乙方按照甲方的标准和要求派遣实施项目组到现场实施技术服务，安装调试完成后，经过甲方的认可后，由甲方组织初步验收。 最终验收程序：试运行期满且乙方提供的软件产品稳定运行，经过甲方的认可后，由甲方组织最终验收。</w:t>
      </w:r>
    </w:p>
    <w:p>
      <w:pPr>
        <w:pStyle w:val="null3"/>
        <w:jc w:val="both"/>
      </w:pPr>
      <w:r>
        <w:rPr/>
        <w:t>（5）验收内容</w:t>
      </w:r>
      <w:r>
        <w:rPr>
          <w:u w:val="single"/>
        </w:rPr>
        <w:t>到货验收内容：甲方确认交货软件产品数量、型号、版本等内容与合同清单中一致并且正常运行。 初步验收内容：乙方完成对软件产品安装、调试和调优服务、设备更新等工作后，甲方依照合同中技术商务要求查看是否满足建设目标。 最终验收内容：经甲方查验乙方提供的软件产品是否存在宕机等影响系统运行的异常情况，并依照合同查看乙方是否完成合同约定的全部工作。</w:t>
      </w:r>
    </w:p>
    <w:p>
      <w:pPr>
        <w:pStyle w:val="null3"/>
        <w:jc w:val="both"/>
      </w:pPr>
      <w:r>
        <w:rPr/>
        <w:t>（6）验收标准</w:t>
      </w:r>
      <w:r>
        <w:rPr>
          <w:u w:val="single"/>
        </w:rPr>
        <w:t>到货验收标准：1）乙方所交付软件的版本、使用许可与合同文件一致。2）已在指定环境中完成安装、调试，并且能够正常运行使用。3）中标人向招标人提交了制造商出具的包含以下内容的承诺书（要求加盖制造商公章）：制造商承诺，所提供分布式数据库、集中式数据库、应用服务器中间件、备份软件质量保障期到期后，以不高于本次响应的单价提供后续技术支持服务。验收合格后，由甲方开具《货物到货验收合格单》，双方签字盖章。 初步验收标准：1）完成软件调试、调优等工作，软件能够正常运行，满足招标文件中列明的技术要求。2）构建于本项目所采购的软件之上的软件系统能够正常运行。验收合格后，由甲方开具《货物初步验收合格单》，双方签字盖章。 最终验收标准：1）乙方按合同要求提供了全部货物和资料；2）软件在试运行期间表现满足招标文件中列明的技术要求；3）乙方和制造商按合同要求提供了技术支持服务，且试运行期间出现的问题已被解决；4）乙方向甲方提交了加盖原厂商公章的《原厂足期维保承诺函》原件。验收合格后，由甲方开具《货物最终验收合格单》，双方签字盖章。</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技术部分74.00分</w:t>
            </w:r>
          </w:p>
          <w:p>
            <w:pPr>
              <w:pStyle w:val="null3"/>
            </w:pPr>
            <w:r>
              <w:rPr/>
              <w:t>商务部分16.00分</w:t>
            </w:r>
          </w:p>
          <w:p>
            <w:pPr>
              <w:pStyle w:val="null3"/>
            </w:pPr>
            <w:r>
              <w:rPr/>
              <w:t>报价得分10.00分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投标人相关资质</w:t>
            </w:r>
          </w:p>
        </w:tc>
        <w:tc>
          <w:tcPr>
            <w:tcW w:type="dxa" w:w="2769"/>
          </w:tcPr>
          <w:p>
            <w:pPr>
              <w:pStyle w:val="null3"/>
            </w:pPr>
            <w:r>
              <w:rPr/>
              <w:t>1.具有ISO/IEC27001信息安全管理体系认证证书，得1分，不具备得0分； 2.具有信息技术服务管理体系认证书（ISO/IEC20000-1:2011），得1分，不具备得0分； 3.具有ITSS信息技术服务标准认证三级及以上资质，得1分，不具备得0分。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投标人业绩</w:t>
            </w:r>
          </w:p>
        </w:tc>
        <w:tc>
          <w:tcPr>
            <w:tcW w:type="dxa" w:w="2769"/>
          </w:tcPr>
          <w:p>
            <w:pPr>
              <w:pStyle w:val="null3"/>
            </w:pPr>
            <w:r>
              <w:rPr/>
              <w:t>投标人自2022年1月1日以来（以合同签订日期为准），独立承担过与本项目相似，包括党政机关干部管理类、人事管理类相关软件开发项目的经验，提供相关项目的证明材料，与本项目相似业绩每提供一个，得1.5分，最高得7.5分。 （投标文件内以提供的合同复印件为准，要求必须提供与最终用户签订的合同首页、及其金额所在页、签字盖章页及相关证明页复印件作为证明并加盖公章，未提供或不符合要求的不得分）。</w:t>
            </w:r>
          </w:p>
        </w:tc>
        <w:tc>
          <w:tcPr>
            <w:tcW w:type="dxa" w:w="692"/>
          </w:tcPr>
          <w:p>
            <w:pPr>
              <w:pStyle w:val="null3"/>
              <w:jc w:val="right"/>
            </w:pPr>
            <w:r>
              <w:rPr/>
              <w:t>7.50</w:t>
            </w:r>
          </w:p>
        </w:tc>
        <w:tc>
          <w:tcPr>
            <w:tcW w:type="dxa" w:w="692"/>
          </w:tcPr>
          <w:p>
            <w:pPr>
              <w:pStyle w:val="null3"/>
            </w:pPr>
            <w:r>
              <w:rPr/>
              <w:t>客观</w:t>
            </w:r>
          </w:p>
        </w:tc>
      </w:tr>
      <w:tr>
        <w:tc>
          <w:tcPr>
            <w:tcW w:type="dxa" w:w="692"/>
            <w:vMerge/>
          </w:tcPr>
          <w:p/>
        </w:tc>
        <w:tc>
          <w:tcPr>
            <w:tcW w:type="dxa" w:w="2076"/>
          </w:tcPr>
          <w:p>
            <w:pPr>
              <w:pStyle w:val="null3"/>
            </w:pPr>
            <w:r>
              <w:rPr/>
              <w:t>投标人能力</w:t>
            </w:r>
          </w:p>
        </w:tc>
        <w:tc>
          <w:tcPr>
            <w:tcW w:type="dxa" w:w="2769"/>
          </w:tcPr>
          <w:p>
            <w:pPr>
              <w:pStyle w:val="null3"/>
            </w:pPr>
            <w:r>
              <w:rPr/>
              <w:t>投标人具备本项目中相关系统的关键业务应用技术能力，并能够提供干部信息管理系统、综合人事智能工作平台、决策分析系统软件著作权证明材料，每具备一类软件著作权得1分，每一类软件著作权最多得1分，本项最多得3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指标响应情况</w:t>
            </w:r>
          </w:p>
        </w:tc>
        <w:tc>
          <w:tcPr>
            <w:tcW w:type="dxa" w:w="2769"/>
          </w:tcPr>
          <w:p>
            <w:pPr>
              <w:pStyle w:val="null3"/>
            </w:pPr>
            <w:r>
              <w:rPr/>
              <w:t>本文件技术商务需求中，★代表实质性要求，不满足的将导致投标被拒绝；#代表重要指标，满足或优于该指标得1分，共计29项，共计29分；△表示一般指标项，满足或优于该指标得0.5分，共计3项，共计1.5分。</w:t>
            </w:r>
          </w:p>
        </w:tc>
        <w:tc>
          <w:tcPr>
            <w:tcW w:type="dxa" w:w="692"/>
          </w:tcPr>
          <w:p>
            <w:pPr>
              <w:pStyle w:val="null3"/>
              <w:jc w:val="right"/>
            </w:pPr>
            <w:r>
              <w:rPr/>
              <w:t>30.50</w:t>
            </w:r>
          </w:p>
        </w:tc>
        <w:tc>
          <w:tcPr>
            <w:tcW w:type="dxa" w:w="692"/>
          </w:tcPr>
          <w:p>
            <w:pPr>
              <w:pStyle w:val="null3"/>
            </w:pPr>
            <w:r>
              <w:rPr/>
              <w:t>客观</w:t>
            </w:r>
          </w:p>
        </w:tc>
      </w:tr>
      <w:tr>
        <w:tc>
          <w:tcPr>
            <w:tcW w:type="dxa" w:w="692"/>
            <w:vMerge/>
          </w:tcPr>
          <w:p/>
        </w:tc>
        <w:tc>
          <w:tcPr>
            <w:tcW w:type="dxa" w:w="2076"/>
          </w:tcPr>
          <w:p>
            <w:pPr>
              <w:pStyle w:val="null3"/>
            </w:pPr>
            <w:r>
              <w:rPr/>
              <w:t>需求理解</w:t>
            </w:r>
          </w:p>
        </w:tc>
        <w:tc>
          <w:tcPr>
            <w:tcW w:type="dxa" w:w="2769"/>
          </w:tcPr>
          <w:p>
            <w:pPr>
              <w:pStyle w:val="null3"/>
            </w:pPr>
            <w:r>
              <w:rPr/>
              <w:t>投标人对本项目建设需求进行分析，提供需求理解方案，对用户群分析、功能需求、核心业务流程分析进行综合评分。 1、需求理解全面，项目内容完全符合要求得5分； 2、需求理解有较少欠缺，项目内容部分符合需求，得2分； 3、需求理解有较多欠缺，项目内容不符合需求，得0分。</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总体设计</w:t>
            </w:r>
          </w:p>
        </w:tc>
        <w:tc>
          <w:tcPr>
            <w:tcW w:type="dxa" w:w="2769"/>
          </w:tcPr>
          <w:p>
            <w:pPr>
              <w:pStyle w:val="null3"/>
            </w:pPr>
            <w:r>
              <w:rPr/>
              <w:t>总体设计包括软件整体技术架构、技术路线、功能架构、部署架构、大模型设计等。需提供总体设计方案，根据设计的完整性、合理性、充分性及对项目的理解等进行综合评分。 1、总体设计完整清晰，整体技术架构、技术路线、功能架构、部署架构等设计全面得当，充分考虑项目基础和本项目结合要求，得5分； 2、总体设计有较少缺失但可用，整体技术架构、技术路线、功能架构、部署架构设计有较少缺失但可用，有考虑现有项目基础和本项目结合要求，得3分； 3、总体设计有缺失，整体技术架构、技术路线、功能架构、部署架构等设计有缺失，不符合总体设计要求，得0分。</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信息资源体系设计</w:t>
            </w:r>
          </w:p>
        </w:tc>
        <w:tc>
          <w:tcPr>
            <w:tcW w:type="dxa" w:w="2769"/>
          </w:tcPr>
          <w:p>
            <w:pPr>
              <w:pStyle w:val="null3"/>
            </w:pPr>
            <w:r>
              <w:rPr/>
              <w:t>考虑系统内数据库建设内容，并在此基础上开展对本项目信息资源体系建设，提供信息资源体系设计方案，包括信息资源总体设计、目录体系、数据库核心信息表结构设计等。根据方案设计全面性、数据库表结构合理性、内容准确性等方案进行综合评分。 1、信息资源体系设设计详尽、合理，得5分； 2、比较详尽、基本合理，得2分； 3、不详尽、不合理，得0分。</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系统安全方案</w:t>
            </w:r>
          </w:p>
        </w:tc>
        <w:tc>
          <w:tcPr>
            <w:tcW w:type="dxa" w:w="2769"/>
          </w:tcPr>
          <w:p>
            <w:pPr>
              <w:pStyle w:val="null3"/>
            </w:pPr>
            <w:r>
              <w:rPr/>
              <w:t>按照系统安全整体要求，提供应用系统安全防护、信息资源体系安全防护方案。 1、提供具体的安全设计方案。设计方案考虑全面，得3分； 2、设计方案考虑有部分欠缺，得1分； 3、未考虑安全设计方案，得0分。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功能设计</w:t>
            </w:r>
          </w:p>
        </w:tc>
        <w:tc>
          <w:tcPr>
            <w:tcW w:type="dxa" w:w="2769"/>
          </w:tcPr>
          <w:p>
            <w:pPr>
              <w:pStyle w:val="null3"/>
            </w:pPr>
            <w:r>
              <w:rPr/>
              <w:t>结合业务及功能需求，进行本项目的功能设计，提供功能设计方案，针对功能设计方案中的系统模块、系统功能设计进行综合评分。 1、功能设计全面得当、模块设计完整，完全满足设计要求，提供所有功能的原型设计图，得12分； 2、功能设计较全面、模块设计较完整，基本满足设计要求，提供部分功能原型设计图，得6分； 3、功能设计不全面有缺失、模块设计简单，不满足设计要求，未提供功能原型设计图，得0分。</w:t>
            </w:r>
          </w:p>
        </w:tc>
        <w:tc>
          <w:tcPr>
            <w:tcW w:type="dxa" w:w="692"/>
          </w:tcPr>
          <w:p>
            <w:pPr>
              <w:pStyle w:val="null3"/>
              <w:jc w:val="right"/>
            </w:pPr>
            <w:r>
              <w:rPr/>
              <w:t>12.00</w:t>
            </w:r>
          </w:p>
        </w:tc>
        <w:tc>
          <w:tcPr>
            <w:tcW w:type="dxa" w:w="692"/>
          </w:tcPr>
          <w:p>
            <w:pPr>
              <w:pStyle w:val="null3"/>
            </w:pPr>
            <w:r>
              <w:rPr/>
              <w:t>主观</w:t>
            </w:r>
          </w:p>
        </w:tc>
      </w:tr>
      <w:tr>
        <w:tc>
          <w:tcPr>
            <w:tcW w:type="dxa" w:w="692"/>
            <w:vMerge w:val="restart"/>
          </w:tcPr>
          <w:p>
            <w:pPr>
              <w:pStyle w:val="null3"/>
            </w:pPr>
            <w:r>
              <w:rPr/>
              <w:t>商务评审</w:t>
            </w:r>
          </w:p>
        </w:tc>
        <w:tc>
          <w:tcPr>
            <w:tcW w:type="dxa" w:w="2076"/>
          </w:tcPr>
          <w:p>
            <w:pPr>
              <w:pStyle w:val="null3"/>
            </w:pPr>
            <w:r>
              <w:rPr/>
              <w:t>项目团队</w:t>
            </w:r>
          </w:p>
        </w:tc>
        <w:tc>
          <w:tcPr>
            <w:tcW w:type="dxa" w:w="2769"/>
          </w:tcPr>
          <w:p>
            <w:pPr>
              <w:pStyle w:val="null3"/>
            </w:pPr>
            <w:r>
              <w:rPr/>
              <w:t>项目经理： （1）在投标人单位工作5年以上（需提供劳动合同复印件及社保中心出具的投标截止时间前三个月内的社保证明，加盖单位公章）； （2）获得信息系统项目管理师（高级）相关资质证书的年限达5 年以上（需提供证书扫描件），有3年及以上项目开发管理经验。 全部满足并提供相关证明材料得5分，否则得0分。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项目团队</w:t>
            </w:r>
          </w:p>
        </w:tc>
        <w:tc>
          <w:tcPr>
            <w:tcW w:type="dxa" w:w="2769"/>
          </w:tcPr>
          <w:p>
            <w:pPr>
              <w:pStyle w:val="null3"/>
            </w:pPr>
            <w:r>
              <w:rPr/>
              <w:t>项目团队成员：1. 应组建稳定的项目服务团队，核心人员应为10人及以上（需提供社保中心出具的投标截止时间前三个月内的社保证明，并加盖公章），并应承诺服务地点在北京（该条为本标准的首要满足条件）。 2.除项目经理外，投入本项目团队成员具有信息系统项目管理师、系统分析师、高级程序员、IT服务项目经理证书任一种的，每提供1个证书得1分（一个人有多种证书的，按一种计算，不得重复得分），最多得4分。 注：以上均须提供资质证书复印件并加盖公章，否则无效。</w:t>
            </w:r>
          </w:p>
        </w:tc>
        <w:tc>
          <w:tcPr>
            <w:tcW w:type="dxa" w:w="692"/>
          </w:tcPr>
          <w:p>
            <w:pPr>
              <w:pStyle w:val="null3"/>
              <w:jc w:val="right"/>
            </w:pPr>
            <w:r>
              <w:rPr/>
              <w:t>4.00</w:t>
            </w:r>
          </w:p>
        </w:tc>
        <w:tc>
          <w:tcPr>
            <w:tcW w:type="dxa" w:w="692"/>
          </w:tcPr>
          <w:p>
            <w:pPr>
              <w:pStyle w:val="null3"/>
            </w:pPr>
            <w:r>
              <w:rPr/>
              <w:t>客观</w:t>
            </w:r>
          </w:p>
        </w:tc>
      </w:tr>
      <w:tr>
        <w:tc>
          <w:tcPr>
            <w:tcW w:type="dxa" w:w="692"/>
            <w:vMerge/>
          </w:tcPr>
          <w:p/>
        </w:tc>
        <w:tc>
          <w:tcPr>
            <w:tcW w:type="dxa" w:w="2076"/>
          </w:tcPr>
          <w:p>
            <w:pPr>
              <w:pStyle w:val="null3"/>
            </w:pPr>
            <w:r>
              <w:rPr/>
              <w:t>项目实施管理方案</w:t>
            </w:r>
          </w:p>
        </w:tc>
        <w:tc>
          <w:tcPr>
            <w:tcW w:type="dxa" w:w="2769"/>
          </w:tcPr>
          <w:p>
            <w:pPr>
              <w:pStyle w:val="null3"/>
            </w:pPr>
            <w:r>
              <w:rPr/>
              <w:t>根据项目实施管理需求，根据项目管理和质量控制方案设计的详尽性、合理性、可行性等以及组织实施计划、项目团队组成和各项保障措施的完整性、合理性、保障性、可行性等情况进行综合评分。 1、提供设计方案全面详细的得4分； 2、提供设计方案有部较少欠缺，得2分； 3、提供设计方案有较多欠缺，得0分。</w:t>
            </w:r>
          </w:p>
        </w:tc>
        <w:tc>
          <w:tcPr>
            <w:tcW w:type="dxa" w:w="692"/>
          </w:tcPr>
          <w:p>
            <w:pPr>
              <w:pStyle w:val="null3"/>
              <w:jc w:val="right"/>
            </w:pPr>
            <w:r>
              <w:rPr/>
              <w:t>4.00</w:t>
            </w:r>
          </w:p>
        </w:tc>
        <w:tc>
          <w:tcPr>
            <w:tcW w:type="dxa" w:w="692"/>
          </w:tcPr>
          <w:p>
            <w:pPr>
              <w:pStyle w:val="null3"/>
            </w:pPr>
            <w:r>
              <w:rPr/>
              <w:t>主观</w:t>
            </w:r>
          </w:p>
        </w:tc>
      </w:tr>
      <w:tr>
        <w:tc>
          <w:tcPr>
            <w:tcW w:type="dxa" w:w="692"/>
            <w:vMerge/>
          </w:tcPr>
          <w:p/>
        </w:tc>
        <w:tc>
          <w:tcPr>
            <w:tcW w:type="dxa" w:w="2076"/>
          </w:tcPr>
          <w:p>
            <w:pPr>
              <w:pStyle w:val="null3"/>
            </w:pPr>
            <w:r>
              <w:rPr/>
              <w:t>售后服务方案</w:t>
            </w:r>
          </w:p>
        </w:tc>
        <w:tc>
          <w:tcPr>
            <w:tcW w:type="dxa" w:w="2769"/>
          </w:tcPr>
          <w:p>
            <w:pPr>
              <w:pStyle w:val="null3"/>
            </w:pPr>
            <w:r>
              <w:rPr/>
              <w:t>根据售后服务需求提供售后服务方案，对投标人售后服务方案进行评价。主要针对售后服务措施、系统维护服务、响应时间等方面进行综合评分。 1、服务措施完善，具有完备的服务流程，具有服务质量控制、服务应急预案措施，结合本项目特点，提出完善的服务方案，实用性强，得3分； 2、服务措施良好，结合本项目特点，提出服务方案完整、基本可行，得1分； 3、服务措施一般，未结合本项目特点，提出服务方案一般，实用性差，得0分。</w:t>
            </w:r>
          </w:p>
        </w:tc>
        <w:tc>
          <w:tcPr>
            <w:tcW w:type="dxa" w:w="692"/>
          </w:tcPr>
          <w:p>
            <w:pPr>
              <w:pStyle w:val="null3"/>
              <w:jc w:val="right"/>
            </w:pPr>
            <w:r>
              <w:rPr/>
              <w:t>3.00</w:t>
            </w:r>
          </w:p>
        </w:tc>
        <w:tc>
          <w:tcPr>
            <w:tcW w:type="dxa" w:w="692"/>
          </w:tcPr>
          <w:p>
            <w:pPr>
              <w:pStyle w:val="null3"/>
            </w:pPr>
            <w:r>
              <w:rPr/>
              <w:t>主观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根据投标人投标总价进行评估。综合评分法中的价格分采用低价优先法计算，即满足招标文件要求且投标价格最低的投标报价为评标基准价，其价格分为满分。其他投标人的价格分统一按照下列公式计算： 投标人投标总价得分＝（评标基准价/投标总价）×价格权值×100； 本项目中价格权值＝10％。 符合财政部、工信部文件（财库[2020]46号）、（财库[2022]19号）规定的小微企业可享受10%的价格扣除。符合财政部、司法部文件（财库[2014]68号）规定的监狱企业及符合财政部、民政部、中国残联文件（财库[2017]141号）规定的残疾人福利性单位亦可享受前述扶持政策。投标人为小型、微型企业的，须附《中小企业声明函》作为证明文件；监狱和戒毒企业（以下简称监狱企业）视同小型、微型企业。投标人须提供由省级以上监狱管理局、戒毒管理局（含新疆生产建设兵团）出具的属于监狱企业的证明文件；残疾人福利性单位视同小型、微型企业，投标人须附《残疾人福利性单位声明函》作为证明文件。上述3种情况不重复享受政策。</w:t>
            </w:r>
          </w:p>
        </w:tc>
        <w:tc>
          <w:tcPr>
            <w:tcW w:type="dxa" w:w="692"/>
          </w:tcPr>
          <w:p>
            <w:pPr>
              <w:pStyle w:val="null3"/>
              <w:jc w:val="right"/>
            </w:pPr>
            <w:r>
              <w:rPr/>
              <w:t>10.00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1"/>
          </w:tcPr>
          <w:p>
            <w:pPr>
              <w:pStyle w:val="null3"/>
            </w:pPr>
            <w:r>
              <w:rPr/>
              <w:t>1</w:t>
            </w:r>
          </w:p>
        </w:tc>
        <w:tc>
          <w:tcPr>
            <w:tcW w:type="dxa" w:w="1661"/>
          </w:tcPr>
          <w:p>
            <w:pPr>
              <w:pStyle w:val="null3"/>
            </w:pPr>
            <w:r>
              <w:rPr/>
              <w:t>促进中小企业发展相关政策</w:t>
            </w:r>
          </w:p>
        </w:tc>
        <w:tc>
          <w:tcPr>
            <w:tcW w:type="dxa" w:w="1661"/>
          </w:tcPr>
          <w:p/>
        </w:tc>
        <w:tc>
          <w:tcPr>
            <w:tcW w:type="dxa" w:w="831"/>
          </w:tcPr>
          <w:p>
            <w:pPr>
              <w:pStyle w:val="null3"/>
              <w:jc w:val="right"/>
            </w:pPr>
            <w:r>
              <w:rPr/>
              <w:t>10.00%</w:t>
            </w:r>
          </w:p>
        </w:tc>
        <w:tc>
          <w:tcPr>
            <w:tcW w:type="dxa" w:w="3322"/>
          </w:tcPr>
          <w:p>
            <w:pPr>
              <w:pStyle w:val="null3"/>
            </w:pPr>
            <w:r>
              <w:rPr/>
              <w:t>本项目对属于小型和微型企业的投标人的投标报价给予相应百分比的扣除，用扣除后的价格参与评审。残疾人福利性单位视同小型、微型企业，享受同等价格扣除，但同时属于残疾人福利性单位和小微企业的，不重复价格扣除。</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无。</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详见附件：法人或者其他组织的营业执照等证明文件，自然人的身份证明</w:t>
      </w:r>
    </w:p>
    <w:p>
      <w:pPr>
        <w:pStyle w:val="null3"/>
        <w:ind w:firstLine="960"/>
      </w:pPr>
      <w:r>
        <w:rPr/>
        <w:t>详见附件：异常低价情形第3项的相关书面说明及必要的证明材料</w:t>
      </w:r>
    </w:p>
    <w:p>
      <w:pPr>
        <w:pStyle w:val="null3"/>
        <w:ind w:firstLine="960"/>
      </w:pPr>
      <w:r>
        <w:rPr/>
        <w:t>详见附件：商务条款第1条证明文件</w:t>
      </w:r>
    </w:p>
    <w:p>
      <w:pPr>
        <w:pStyle w:val="null3"/>
        <w:ind w:firstLine="960"/>
      </w:pPr>
      <w:r>
        <w:rPr/>
        <w:t>详见附件：商务条款第2条证明文件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详见附件：中国人民银行干部人事管理信息系统采购项目采购合同.docx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