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供应商需提供保密等级认定材料，或者在2年内服务过国家部委或副部级及以上单位或国企央企总部及子公司的服务承诺书。</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