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租赁合同书</w:t>
      </w:r>
    </w:p>
    <w:p>
      <w:pPr>
        <w:jc w:val="center"/>
        <w:rPr>
          <w:rFonts w:hint="eastAsia" w:ascii="仿宋_GB2312" w:hAnsi="仿宋_GB2312" w:eastAsia="仿宋_GB2312" w:cs="仿宋_GB2312"/>
          <w:b/>
          <w:color w:val="000000"/>
          <w:sz w:val="21"/>
          <w:szCs w:val="21"/>
        </w:rPr>
      </w:pPr>
    </w:p>
    <w:p>
      <w:pPr>
        <w:wordWrap/>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甲方（出租人）：</w:t>
      </w:r>
    </w:p>
    <w:p>
      <w:pPr>
        <w:wordWrap/>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统一社会信用代码：</w:t>
      </w:r>
    </w:p>
    <w:p>
      <w:pPr>
        <w:wordWrap/>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地址：</w:t>
      </w:r>
    </w:p>
    <w:p>
      <w:pPr>
        <w:wordWrap/>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法定代表人：</w:t>
      </w:r>
    </w:p>
    <w:p>
      <w:pPr>
        <w:wordWrap/>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乙方（承租人）：中国人民银行机关服务中心</w:t>
      </w:r>
    </w:p>
    <w:p>
      <w:pPr>
        <w:wordWrap/>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统一社会信用代码：</w:t>
      </w:r>
      <w:r>
        <w:rPr>
          <w:rFonts w:hint="eastAsia" w:ascii="仿宋_GB2312" w:hAnsi="仿宋_GB2312" w:eastAsia="仿宋_GB2312" w:cs="仿宋_GB2312"/>
          <w:b/>
          <w:color w:val="000000"/>
          <w:sz w:val="21"/>
          <w:szCs w:val="21"/>
          <w:lang w:val="en-US" w:eastAsia="zh-CN"/>
        </w:rPr>
        <w:t>1210 0000 4000 1761 0A</w:t>
      </w:r>
    </w:p>
    <w:p>
      <w:pPr>
        <w:wordWrap/>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地址：</w:t>
      </w:r>
      <w:r>
        <w:rPr>
          <w:rFonts w:hint="eastAsia" w:ascii="仿宋_GB2312" w:hAnsi="仿宋_GB2312" w:eastAsia="仿宋_GB2312" w:cs="仿宋_GB2312"/>
          <w:b/>
          <w:color w:val="000000"/>
          <w:sz w:val="21"/>
          <w:szCs w:val="21"/>
          <w:lang w:eastAsia="zh-CN"/>
        </w:rPr>
        <w:t>西城区成方街</w:t>
      </w:r>
      <w:r>
        <w:rPr>
          <w:rFonts w:hint="eastAsia" w:ascii="仿宋_GB2312" w:hAnsi="仿宋_GB2312" w:eastAsia="仿宋_GB2312" w:cs="仿宋_GB2312"/>
          <w:b/>
          <w:color w:val="000000"/>
          <w:sz w:val="21"/>
          <w:szCs w:val="21"/>
          <w:lang w:val="en-US" w:eastAsia="zh-CN"/>
        </w:rPr>
        <w:t>32号</w:t>
      </w:r>
    </w:p>
    <w:p>
      <w:pPr>
        <w:wordWrap/>
        <w:spacing w:line="240" w:lineRule="auto"/>
        <w:ind w:left="0" w:leftChars="0" w:right="0"/>
        <w:rPr>
          <w:rFonts w:hint="eastAsia" w:ascii="仿宋_GB2312" w:hAnsi="仿宋_GB2312" w:eastAsia="仿宋_GB2312" w:cs="仿宋_GB2312"/>
          <w:color w:val="000000"/>
          <w:sz w:val="21"/>
          <w:szCs w:val="21"/>
        </w:rPr>
      </w:pPr>
      <w:r>
        <w:rPr>
          <w:rFonts w:hint="eastAsia" w:ascii="仿宋_GB2312" w:hAnsi="仿宋_GB2312" w:eastAsia="仿宋_GB2312" w:cs="仿宋_GB2312"/>
          <w:b/>
          <w:color w:val="000000"/>
          <w:sz w:val="21"/>
          <w:szCs w:val="21"/>
        </w:rPr>
        <w:t>法定代表人：</w:t>
      </w:r>
      <w:r>
        <w:rPr>
          <w:rFonts w:hint="eastAsia" w:ascii="仿宋_GB2312" w:hAnsi="仿宋_GB2312" w:eastAsia="仿宋_GB2312" w:cs="仿宋_GB2312"/>
          <w:b/>
          <w:color w:val="000000"/>
          <w:sz w:val="21"/>
          <w:szCs w:val="21"/>
          <w:lang w:eastAsia="zh-CN"/>
        </w:rPr>
        <w:t>马进军</w:t>
      </w:r>
    </w:p>
    <w:p>
      <w:pPr>
        <w:wordWrap/>
        <w:spacing w:line="240" w:lineRule="auto"/>
        <w:ind w:left="0" w:leftChars="0" w:right="0"/>
        <w:rPr>
          <w:rFonts w:hint="eastAsia" w:ascii="仿宋_GB2312" w:hAnsi="仿宋_GB2312" w:eastAsia="仿宋_GB2312" w:cs="仿宋_GB2312"/>
          <w:color w:val="000000"/>
          <w:sz w:val="21"/>
          <w:szCs w:val="21"/>
        </w:rPr>
      </w:pPr>
      <w:r>
        <w:rPr>
          <w:rFonts w:hint="eastAsia" w:ascii="仿宋_GB2312" w:hAnsi="仿宋_GB2312" w:eastAsia="仿宋_GB2312" w:cs="仿宋_GB2312"/>
          <w:b/>
          <w:color w:val="000000"/>
          <w:sz w:val="21"/>
          <w:szCs w:val="21"/>
        </w:rPr>
        <w:t>签约日期：本租赁合同书（以下简称“本合同”）由签约双方于【】年【 】月【 】日签订。</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根据《中华人民共和国民法典》及有关规定，甲、乙双方在平等、自愿、公平和诚实信用原则的基础上，经协商一致，就乙方向甲方承租</w:t>
      </w:r>
      <w:r>
        <w:rPr>
          <w:rFonts w:hint="eastAsia" w:ascii="仿宋_GB2312" w:hAnsi="仿宋_GB2312" w:eastAsia="仿宋_GB2312" w:cs="仿宋_GB2312"/>
          <w:color w:val="000000"/>
          <w:sz w:val="21"/>
          <w:szCs w:val="21"/>
          <w:u w:val="single"/>
          <w:lang w:val="en-US" w:eastAsia="zh-CN"/>
        </w:rPr>
        <w:t xml:space="preserve">      </w:t>
      </w:r>
      <w:r>
        <w:rPr>
          <w:rFonts w:hint="eastAsia" w:ascii="仿宋_GB2312" w:hAnsi="仿宋_GB2312" w:eastAsia="仿宋_GB2312" w:cs="仿宋_GB2312"/>
          <w:color w:val="000000"/>
          <w:sz w:val="21"/>
          <w:szCs w:val="21"/>
        </w:rPr>
        <w:t>事宜，订立本合同，以资双方共同遵守。</w:t>
      </w:r>
    </w:p>
    <w:p>
      <w:pPr>
        <w:wordWrap/>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第一条  定义</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1.标的物</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出租人同意出租，承租人同意承租的标的物位于</w:t>
      </w:r>
      <w:r>
        <w:rPr>
          <w:rFonts w:hint="eastAsia" w:ascii="仿宋_GB2312" w:hAnsi="仿宋_GB2312" w:eastAsia="仿宋_GB2312" w:cs="仿宋_GB2312"/>
          <w:color w:val="000000"/>
          <w:sz w:val="21"/>
          <w:szCs w:val="21"/>
          <w:u w:val="single"/>
          <w:lang w:val="en-US" w:eastAsia="zh-CN"/>
        </w:rPr>
        <w:t xml:space="preserve">      </w:t>
      </w:r>
      <w:r>
        <w:rPr>
          <w:rFonts w:hint="eastAsia" w:ascii="仿宋_GB2312" w:hAnsi="仿宋_GB2312" w:eastAsia="仿宋_GB2312" w:cs="仿宋_GB2312"/>
          <w:color w:val="000000"/>
          <w:sz w:val="21"/>
          <w:szCs w:val="21"/>
        </w:rPr>
        <w:t>。</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2.租期和租金</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租期详列在第三条，承租人须在租期内支付详列于第四条的租金，具体支付办法见第六条约定。</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3.其他费用</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承租人须根据出租人或出租人指定的物业管理单位提供的账单及时支付以所租标的物内的各类费用以及承租人产生的且由承租人承担的其他费用。</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具体支付办法见第六条约定。</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4.法律费用</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双方各自承担其法律费用。</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5.租赁用途</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所租标的物主要作为承租人办公和配套服务之用。</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6. 起租日</w:t>
      </w:r>
    </w:p>
    <w:p>
      <w:pPr>
        <w:wordWrap/>
        <w:spacing w:line="240" w:lineRule="auto"/>
        <w:ind w:left="0" w:leftChars="0" w:right="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起租日为开始计算租金之日。</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xml:space="preserve">7.关联方 </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就任何公司、企业或自然人而言，一方控制、共同控制另一方或对另一方施加重大影响，以及两方或两方以上同受一方控制、共同控制或重大影响的，构成关联方。</w:t>
      </w:r>
    </w:p>
    <w:p>
      <w:pPr>
        <w:wordWrap/>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第二条  标的物</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1.区域：</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2.计租面积：【</w:t>
      </w:r>
      <w:r>
        <w:rPr>
          <w:rFonts w:hint="eastAsia" w:ascii="仿宋_GB2312" w:hAnsi="仿宋_GB2312" w:eastAsia="仿宋_GB2312" w:cs="仿宋_GB2312"/>
          <w:color w:val="000000"/>
          <w:sz w:val="21"/>
          <w:szCs w:val="21"/>
          <w:lang w:val="en-US" w:eastAsia="zh-CN"/>
        </w:rPr>
        <w:t>660.8</w:t>
      </w:r>
      <w:r>
        <w:rPr>
          <w:rFonts w:hint="eastAsia" w:ascii="仿宋_GB2312" w:hAnsi="仿宋_GB2312" w:eastAsia="仿宋_GB2312" w:cs="仿宋_GB2312"/>
          <w:color w:val="000000"/>
          <w:sz w:val="21"/>
          <w:szCs w:val="21"/>
        </w:rPr>
        <w:t>】平方米（建筑面积）（以下简称“计租面积”）。</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3.具体位置：见附件一</w:t>
      </w:r>
    </w:p>
    <w:p>
      <w:pPr>
        <w:wordWrap/>
        <w:spacing w:line="240" w:lineRule="auto"/>
        <w:ind w:left="0" w:leftChars="0" w:right="0"/>
        <w:rPr>
          <w:rFonts w:hint="eastAsia" w:ascii="仿宋_GB2312" w:hAnsi="仿宋_GB2312" w:eastAsia="仿宋_GB2312" w:cs="仿宋_GB2312"/>
          <w:color w:val="000000"/>
          <w:sz w:val="21"/>
          <w:szCs w:val="21"/>
        </w:rPr>
      </w:pPr>
    </w:p>
    <w:p>
      <w:pPr>
        <w:wordWrap/>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第三条  租赁期限</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en-US" w:eastAsia="zh-CN"/>
        </w:rPr>
        <w:t>1</w:t>
      </w:r>
      <w:r>
        <w:rPr>
          <w:rFonts w:hint="eastAsia" w:ascii="仿宋_GB2312" w:hAnsi="仿宋_GB2312" w:eastAsia="仿宋_GB2312" w:cs="仿宋_GB2312"/>
          <w:color w:val="000000"/>
          <w:sz w:val="21"/>
          <w:szCs w:val="21"/>
        </w:rPr>
        <w:t>.起租日：【202</w:t>
      </w:r>
      <w:r>
        <w:rPr>
          <w:rFonts w:hint="eastAsia" w:ascii="仿宋_GB2312" w:hAnsi="仿宋_GB2312" w:eastAsia="仿宋_GB2312" w:cs="仿宋_GB2312"/>
          <w:color w:val="000000"/>
          <w:sz w:val="21"/>
          <w:szCs w:val="21"/>
          <w:lang w:val="en-US" w:eastAsia="zh-CN"/>
        </w:rPr>
        <w:t>6</w:t>
      </w:r>
      <w:r>
        <w:rPr>
          <w:rFonts w:hint="eastAsia" w:ascii="仿宋_GB2312" w:hAnsi="仿宋_GB2312" w:eastAsia="仿宋_GB2312" w:cs="仿宋_GB2312"/>
          <w:color w:val="000000"/>
          <w:sz w:val="21"/>
          <w:szCs w:val="21"/>
        </w:rPr>
        <w:t>】年【</w:t>
      </w:r>
      <w:r>
        <w:rPr>
          <w:rFonts w:hint="eastAsia" w:ascii="仿宋_GB2312" w:hAnsi="仿宋_GB2312" w:eastAsia="仿宋_GB2312" w:cs="仿宋_GB2312"/>
          <w:color w:val="000000"/>
          <w:sz w:val="21"/>
          <w:szCs w:val="21"/>
          <w:lang w:val="en-US" w:eastAsia="zh-CN"/>
        </w:rPr>
        <w:t>8</w:t>
      </w:r>
      <w:r>
        <w:rPr>
          <w:rFonts w:hint="eastAsia" w:ascii="仿宋_GB2312" w:hAnsi="仿宋_GB2312" w:eastAsia="仿宋_GB2312" w:cs="仿宋_GB2312"/>
          <w:color w:val="000000"/>
          <w:sz w:val="21"/>
          <w:szCs w:val="21"/>
        </w:rPr>
        <w:t>】月【1】日。</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en-US" w:eastAsia="zh-CN"/>
        </w:rPr>
        <w:t>2</w:t>
      </w:r>
      <w:r>
        <w:rPr>
          <w:rFonts w:hint="eastAsia" w:ascii="仿宋_GB2312" w:hAnsi="仿宋_GB2312" w:eastAsia="仿宋_GB2312" w:cs="仿宋_GB2312"/>
          <w:color w:val="000000"/>
          <w:sz w:val="21"/>
          <w:szCs w:val="21"/>
        </w:rPr>
        <w:t>.终止日：【202</w:t>
      </w:r>
      <w:r>
        <w:rPr>
          <w:rFonts w:hint="eastAsia" w:ascii="仿宋_GB2312" w:hAnsi="仿宋_GB2312" w:eastAsia="仿宋_GB2312" w:cs="仿宋_GB2312"/>
          <w:color w:val="000000"/>
          <w:sz w:val="21"/>
          <w:szCs w:val="21"/>
          <w:lang w:val="en-US" w:eastAsia="zh-CN"/>
        </w:rPr>
        <w:t>7</w:t>
      </w:r>
      <w:r>
        <w:rPr>
          <w:rFonts w:hint="eastAsia" w:ascii="仿宋_GB2312" w:hAnsi="仿宋_GB2312" w:eastAsia="仿宋_GB2312" w:cs="仿宋_GB2312"/>
          <w:color w:val="000000"/>
          <w:sz w:val="21"/>
          <w:szCs w:val="21"/>
        </w:rPr>
        <w:t>】年【7】月【31】日。</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（租赁期限为起租日至终止日的时间）</w:t>
      </w:r>
    </w:p>
    <w:p>
      <w:pPr>
        <w:wordWrap/>
        <w:spacing w:line="240" w:lineRule="auto"/>
        <w:ind w:left="0" w:leftChars="0" w:right="0" w:firstLine="420" w:firstLineChars="200"/>
        <w:rPr>
          <w:rFonts w:hint="eastAsia" w:ascii="仿宋_GB2312" w:hAnsi="仿宋_GB2312" w:eastAsia="仿宋_GB2312" w:cs="仿宋_GB2312"/>
          <w:b/>
          <w:bCs/>
          <w:color w:val="000000"/>
          <w:sz w:val="21"/>
          <w:szCs w:val="21"/>
          <w:lang w:val="en-US" w:eastAsia="zh-CN"/>
        </w:rPr>
      </w:pPr>
      <w:r>
        <w:rPr>
          <w:rFonts w:hint="eastAsia" w:ascii="仿宋_GB2312" w:hAnsi="仿宋_GB2312" w:eastAsia="仿宋_GB2312" w:cs="仿宋_GB2312"/>
          <w:sz w:val="21"/>
          <w:szCs w:val="21"/>
          <w:lang w:val="en-US" w:eastAsia="zh-CN"/>
        </w:rPr>
        <w:t>3</w:t>
      </w:r>
      <w:r>
        <w:rPr>
          <w:rFonts w:hint="eastAsia" w:ascii="仿宋_GB2312" w:hAnsi="仿宋_GB2312" w:eastAsia="仿宋_GB2312" w:cs="仿宋_GB2312"/>
          <w:sz w:val="21"/>
          <w:szCs w:val="21"/>
        </w:rPr>
        <w:t>. 返还期：</w:t>
      </w:r>
      <w:r>
        <w:rPr>
          <w:rFonts w:hint="eastAsia" w:ascii="仿宋_GB2312" w:hAnsi="仿宋_GB2312" w:eastAsia="仿宋_GB2312" w:cs="仿宋_GB2312"/>
          <w:color w:val="000000"/>
          <w:sz w:val="21"/>
          <w:szCs w:val="21"/>
        </w:rPr>
        <w:t>租赁期限届满之日后1个月或本合同因除承租人原因之外而终止之日后1个月为返还期</w:t>
      </w:r>
      <w:r>
        <w:rPr>
          <w:rFonts w:hint="eastAsia" w:ascii="仿宋_GB2312" w:hAnsi="仿宋_GB2312" w:eastAsia="仿宋_GB2312" w:cs="仿宋_GB2312"/>
          <w:color w:val="000000"/>
          <w:sz w:val="21"/>
          <w:szCs w:val="21"/>
          <w:lang w:eastAsia="zh-CN"/>
        </w:rPr>
        <w:t>。</w:t>
      </w:r>
    </w:p>
    <w:p>
      <w:pPr>
        <w:wordWrap/>
        <w:spacing w:line="240" w:lineRule="auto"/>
        <w:ind w:left="0" w:leftChars="0" w:right="0"/>
        <w:rPr>
          <w:rFonts w:hint="eastAsia"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t>第四条  租金</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标的物的租赁费用，计租建筑面积、租金单价、租金总额见《租金明细表》，租金自起租日起计算，按照实际租赁时间计算。</w:t>
      </w:r>
    </w:p>
    <w:p>
      <w:pPr>
        <w:wordWrap/>
        <w:spacing w:line="240" w:lineRule="auto"/>
        <w:ind w:left="0" w:leftChars="0" w:right="0"/>
        <w:jc w:val="center"/>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租金明细表</w:t>
      </w:r>
    </w:p>
    <w:tbl>
      <w:tblPr>
        <w:tblStyle w:val="3"/>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3244"/>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975" w:type="dxa"/>
            <w:vMerge w:val="restart"/>
            <w:vAlign w:val="center"/>
          </w:tcPr>
          <w:p>
            <w:pPr>
              <w:wordWrap/>
              <w:spacing w:line="240" w:lineRule="auto"/>
              <w:ind w:left="0" w:leftChars="0" w:right="0"/>
              <w:jc w:val="center"/>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所在楼层</w:t>
            </w:r>
          </w:p>
        </w:tc>
        <w:tc>
          <w:tcPr>
            <w:tcW w:w="3244" w:type="dxa"/>
            <w:vAlign w:val="center"/>
          </w:tcPr>
          <w:p>
            <w:pPr>
              <w:wordWrap/>
              <w:spacing w:line="240" w:lineRule="auto"/>
              <w:ind w:left="0" w:leftChars="0" w:right="0"/>
              <w:jc w:val="center"/>
              <w:rPr>
                <w:rFonts w:hint="eastAsia" w:ascii="仿宋_GB2312" w:hAnsi="仿宋_GB2312" w:eastAsia="仿宋_GB2312" w:cs="仿宋_GB2312"/>
                <w:b/>
                <w:bCs/>
                <w:color w:val="auto"/>
                <w:kern w:val="0"/>
                <w:sz w:val="21"/>
                <w:szCs w:val="21"/>
              </w:rPr>
            </w:pPr>
            <w:r>
              <w:rPr>
                <w:rFonts w:hint="eastAsia" w:ascii="仿宋_GB2312" w:hAnsi="仿宋_GB2312" w:eastAsia="仿宋_GB2312" w:cs="仿宋_GB2312"/>
                <w:b/>
                <w:bCs/>
                <w:color w:val="auto"/>
                <w:kern w:val="0"/>
                <w:sz w:val="21"/>
                <w:szCs w:val="21"/>
              </w:rPr>
              <w:t>计租建筑面积</w:t>
            </w:r>
          </w:p>
        </w:tc>
        <w:tc>
          <w:tcPr>
            <w:tcW w:w="1985" w:type="dxa"/>
            <w:vAlign w:val="center"/>
          </w:tcPr>
          <w:p>
            <w:pPr>
              <w:wordWrap/>
              <w:spacing w:line="240" w:lineRule="auto"/>
              <w:ind w:left="0" w:leftChars="0" w:right="0"/>
              <w:jc w:val="center"/>
              <w:rPr>
                <w:rFonts w:hint="eastAsia" w:ascii="仿宋_GB2312" w:hAnsi="仿宋_GB2312" w:eastAsia="仿宋_GB2312" w:cs="仿宋_GB2312"/>
                <w:b/>
                <w:bCs/>
                <w:color w:val="auto"/>
                <w:kern w:val="0"/>
                <w:sz w:val="21"/>
                <w:szCs w:val="21"/>
              </w:rPr>
            </w:pPr>
            <w:r>
              <w:rPr>
                <w:rFonts w:hint="eastAsia" w:ascii="仿宋_GB2312" w:hAnsi="仿宋_GB2312" w:eastAsia="仿宋_GB2312" w:cs="仿宋_GB2312"/>
                <w:b/>
                <w:bCs/>
                <w:color w:val="auto"/>
                <w:kern w:val="0"/>
                <w:sz w:val="21"/>
                <w:szCs w:val="21"/>
              </w:rPr>
              <w:t>租金单价</w:t>
            </w:r>
          </w:p>
        </w:tc>
        <w:tc>
          <w:tcPr>
            <w:tcW w:w="2126" w:type="dxa"/>
            <w:vAlign w:val="center"/>
          </w:tcPr>
          <w:p>
            <w:pPr>
              <w:wordWrap/>
              <w:spacing w:line="240" w:lineRule="auto"/>
              <w:ind w:left="0" w:leftChars="0" w:right="0"/>
              <w:jc w:val="center"/>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租金总额（元）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wordWrap/>
              <w:spacing w:line="240" w:lineRule="auto"/>
              <w:ind w:left="0" w:leftChars="0" w:right="0"/>
              <w:jc w:val="center"/>
              <w:rPr>
                <w:rFonts w:hint="eastAsia" w:ascii="仿宋_GB2312" w:hAnsi="仿宋_GB2312" w:eastAsia="仿宋_GB2312" w:cs="仿宋_GB2312"/>
                <w:b/>
                <w:color w:val="auto"/>
                <w:sz w:val="21"/>
                <w:szCs w:val="21"/>
              </w:rPr>
            </w:pPr>
          </w:p>
        </w:tc>
        <w:tc>
          <w:tcPr>
            <w:tcW w:w="3244" w:type="dxa"/>
            <w:vAlign w:val="center"/>
          </w:tcPr>
          <w:p>
            <w:pPr>
              <w:wordWrap/>
              <w:spacing w:line="240" w:lineRule="auto"/>
              <w:ind w:left="0" w:leftChars="0" w:right="0"/>
              <w:jc w:val="center"/>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平方米</w:t>
            </w:r>
          </w:p>
        </w:tc>
        <w:tc>
          <w:tcPr>
            <w:tcW w:w="1985" w:type="dxa"/>
            <w:vAlign w:val="center"/>
          </w:tcPr>
          <w:p>
            <w:pPr>
              <w:wordWrap/>
              <w:spacing w:line="240" w:lineRule="auto"/>
              <w:ind w:left="0" w:leftChars="0" w:right="0"/>
              <w:jc w:val="center"/>
              <w:rPr>
                <w:rFonts w:hint="eastAsia" w:ascii="仿宋_GB2312" w:hAnsi="仿宋_GB2312" w:eastAsia="仿宋_GB2312" w:cs="仿宋_GB2312"/>
                <w:b/>
                <w:bCs/>
                <w:color w:val="auto"/>
                <w:kern w:val="0"/>
                <w:sz w:val="21"/>
                <w:szCs w:val="21"/>
              </w:rPr>
            </w:pPr>
            <w:r>
              <w:rPr>
                <w:rFonts w:hint="eastAsia" w:ascii="仿宋_GB2312" w:hAnsi="仿宋_GB2312" w:eastAsia="仿宋_GB2312" w:cs="仿宋_GB2312"/>
                <w:b/>
                <w:bCs/>
                <w:color w:val="auto"/>
                <w:kern w:val="0"/>
                <w:sz w:val="21"/>
                <w:szCs w:val="21"/>
              </w:rPr>
              <w:t>元/平方米/天</w:t>
            </w:r>
          </w:p>
        </w:tc>
        <w:tc>
          <w:tcPr>
            <w:tcW w:w="2126" w:type="dxa"/>
            <w:vAlign w:val="center"/>
          </w:tcPr>
          <w:p>
            <w:pPr>
              <w:wordWrap/>
              <w:spacing w:line="240" w:lineRule="auto"/>
              <w:ind w:left="0" w:leftChars="0" w:right="0"/>
              <w:jc w:val="center"/>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含税价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Align w:val="center"/>
          </w:tcPr>
          <w:p>
            <w:pPr>
              <w:wordWrap/>
              <w:spacing w:line="240" w:lineRule="auto"/>
              <w:ind w:left="0" w:leftChars="0" w:right="0"/>
              <w:jc w:val="center"/>
              <w:rPr>
                <w:rFonts w:hint="eastAsia" w:ascii="仿宋_GB2312" w:hAnsi="仿宋_GB2312" w:eastAsia="仿宋_GB2312" w:cs="仿宋_GB2312"/>
                <w:b/>
                <w:color w:val="auto"/>
                <w:sz w:val="21"/>
                <w:szCs w:val="21"/>
              </w:rPr>
            </w:pPr>
          </w:p>
        </w:tc>
        <w:tc>
          <w:tcPr>
            <w:tcW w:w="3244" w:type="dxa"/>
            <w:vAlign w:val="center"/>
          </w:tcPr>
          <w:p>
            <w:pPr>
              <w:wordWrap/>
              <w:spacing w:line="240" w:lineRule="auto"/>
              <w:ind w:left="0" w:leftChars="0" w:right="0"/>
              <w:jc w:val="center"/>
              <w:rPr>
                <w:rFonts w:hint="eastAsia" w:ascii="仿宋_GB2312" w:hAnsi="仿宋_GB2312" w:eastAsia="仿宋_GB2312" w:cs="仿宋_GB2312"/>
                <w:b/>
                <w:color w:val="auto"/>
                <w:sz w:val="21"/>
                <w:szCs w:val="21"/>
              </w:rPr>
            </w:pPr>
            <w:r>
              <w:rPr>
                <w:rFonts w:hint="eastAsia" w:ascii="仿宋_GB2312" w:hAnsi="仿宋_GB2312" w:eastAsia="仿宋_GB2312" w:cs="仿宋_GB2312"/>
                <w:lang w:val="en-US" w:eastAsia="zh-CN"/>
              </w:rPr>
              <w:t>660</w:t>
            </w:r>
            <w:r>
              <w:rPr>
                <w:rFonts w:ascii="仿宋_GB2312" w:hAnsi="仿宋_GB2312" w:eastAsia="仿宋_GB2312" w:cs="仿宋_GB2312"/>
              </w:rPr>
              <w:t>.</w:t>
            </w:r>
            <w:r>
              <w:rPr>
                <w:rFonts w:hint="eastAsia" w:ascii="仿宋_GB2312" w:hAnsi="仿宋_GB2312" w:eastAsia="仿宋_GB2312" w:cs="仿宋_GB2312"/>
                <w:lang w:val="en-US" w:eastAsia="zh-CN"/>
              </w:rPr>
              <w:t>8</w:t>
            </w:r>
          </w:p>
        </w:tc>
        <w:tc>
          <w:tcPr>
            <w:tcW w:w="1985" w:type="dxa"/>
            <w:vMerge w:val="restart"/>
            <w:vAlign w:val="center"/>
          </w:tcPr>
          <w:p>
            <w:pPr>
              <w:wordWrap/>
              <w:spacing w:line="240" w:lineRule="auto"/>
              <w:ind w:left="0" w:leftChars="0" w:right="0"/>
              <w:jc w:val="center"/>
              <w:rPr>
                <w:rFonts w:hint="eastAsia" w:ascii="仿宋_GB2312" w:hAnsi="仿宋_GB2312" w:eastAsia="仿宋_GB2312" w:cs="仿宋_GB2312"/>
                <w:b/>
                <w:color w:val="auto"/>
                <w:sz w:val="21"/>
                <w:szCs w:val="21"/>
              </w:rPr>
            </w:pPr>
          </w:p>
        </w:tc>
        <w:tc>
          <w:tcPr>
            <w:tcW w:w="2126" w:type="dxa"/>
            <w:vMerge w:val="restart"/>
            <w:vAlign w:val="center"/>
          </w:tcPr>
          <w:p>
            <w:pPr>
              <w:wordWrap/>
              <w:spacing w:line="240" w:lineRule="auto"/>
              <w:ind w:left="0" w:leftChars="0" w:right="0"/>
              <w:jc w:val="center"/>
              <w:rPr>
                <w:rFonts w:hint="eastAsia" w:ascii="仿宋_GB2312" w:hAnsi="仿宋_GB2312" w:eastAsia="仿宋_GB2312" w:cs="仿宋_GB2312"/>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Align w:val="center"/>
          </w:tcPr>
          <w:p>
            <w:pPr>
              <w:wordWrap/>
              <w:spacing w:line="240" w:lineRule="auto"/>
              <w:ind w:left="0" w:leftChars="0" w:right="0"/>
              <w:jc w:val="center"/>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合计</w:t>
            </w:r>
          </w:p>
        </w:tc>
        <w:tc>
          <w:tcPr>
            <w:tcW w:w="3244" w:type="dxa"/>
            <w:vAlign w:val="center"/>
          </w:tcPr>
          <w:p>
            <w:pPr>
              <w:wordWrap/>
              <w:spacing w:line="240" w:lineRule="auto"/>
              <w:ind w:left="0" w:leftChars="0" w:right="0"/>
              <w:jc w:val="center"/>
              <w:rPr>
                <w:rFonts w:hint="eastAsia" w:ascii="仿宋_GB2312" w:hAnsi="仿宋_GB2312" w:eastAsia="仿宋_GB2312" w:cs="仿宋_GB2312"/>
                <w:b/>
                <w:color w:val="auto"/>
                <w:sz w:val="21"/>
                <w:szCs w:val="21"/>
              </w:rPr>
            </w:pPr>
            <w:r>
              <w:rPr>
                <w:rFonts w:hint="eastAsia" w:ascii="仿宋_GB2312" w:hAnsi="仿宋_GB2312" w:eastAsia="仿宋_GB2312" w:cs="仿宋_GB2312"/>
                <w:lang w:val="en-US" w:eastAsia="zh-CN"/>
              </w:rPr>
              <w:t>660</w:t>
            </w:r>
            <w:r>
              <w:rPr>
                <w:rFonts w:ascii="仿宋_GB2312" w:hAnsi="仿宋_GB2312" w:eastAsia="仿宋_GB2312" w:cs="仿宋_GB2312"/>
              </w:rPr>
              <w:t>.</w:t>
            </w:r>
            <w:r>
              <w:rPr>
                <w:rFonts w:hint="eastAsia" w:ascii="仿宋_GB2312" w:hAnsi="仿宋_GB2312" w:eastAsia="仿宋_GB2312" w:cs="仿宋_GB2312"/>
                <w:lang w:val="en-US" w:eastAsia="zh-CN"/>
              </w:rPr>
              <w:t>8</w:t>
            </w:r>
          </w:p>
        </w:tc>
        <w:tc>
          <w:tcPr>
            <w:tcW w:w="1985" w:type="dxa"/>
            <w:vMerge w:val="continue"/>
            <w:vAlign w:val="center"/>
          </w:tcPr>
          <w:p>
            <w:pPr>
              <w:wordWrap/>
              <w:spacing w:line="240" w:lineRule="auto"/>
              <w:ind w:left="0" w:leftChars="0" w:right="0"/>
              <w:jc w:val="center"/>
              <w:rPr>
                <w:rFonts w:hint="eastAsia" w:ascii="仿宋_GB2312" w:hAnsi="仿宋_GB2312" w:eastAsia="仿宋_GB2312" w:cs="仿宋_GB2312"/>
                <w:b/>
                <w:color w:val="auto"/>
                <w:sz w:val="21"/>
                <w:szCs w:val="21"/>
              </w:rPr>
            </w:pPr>
          </w:p>
        </w:tc>
        <w:tc>
          <w:tcPr>
            <w:tcW w:w="2126" w:type="dxa"/>
            <w:vMerge w:val="continue"/>
            <w:vAlign w:val="center"/>
          </w:tcPr>
          <w:p>
            <w:pPr>
              <w:wordWrap/>
              <w:spacing w:line="240" w:lineRule="auto"/>
              <w:ind w:left="0" w:leftChars="0" w:right="0"/>
              <w:jc w:val="center"/>
              <w:rPr>
                <w:rFonts w:hint="eastAsia" w:ascii="仿宋_GB2312" w:hAnsi="仿宋_GB2312" w:eastAsia="仿宋_GB2312" w:cs="仿宋_GB2312"/>
                <w:b/>
                <w:color w:val="auto"/>
                <w:sz w:val="21"/>
                <w:szCs w:val="21"/>
              </w:rPr>
            </w:pPr>
          </w:p>
        </w:tc>
      </w:tr>
    </w:tbl>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auto"/>
          <w:sz w:val="21"/>
          <w:szCs w:val="21"/>
        </w:rPr>
        <w:t>租金（含税价）合计为：人民币【</w:t>
      </w:r>
      <w:r>
        <w:rPr>
          <w:rFonts w:hint="eastAsia" w:ascii="仿宋_GB2312" w:hAnsi="仿宋_GB2312" w:eastAsia="仿宋_GB2312" w:cs="仿宋_GB2312"/>
          <w:b/>
          <w:color w:val="auto"/>
          <w:sz w:val="21"/>
          <w:szCs w:val="21"/>
          <w:lang w:val="en-US" w:eastAsia="zh-CN"/>
        </w:rPr>
        <w:t xml:space="preserve">   </w:t>
      </w:r>
      <w:r>
        <w:rPr>
          <w:rFonts w:hint="eastAsia" w:ascii="仿宋_GB2312" w:hAnsi="仿宋_GB2312" w:eastAsia="仿宋_GB2312" w:cs="仿宋_GB2312"/>
          <w:color w:val="auto"/>
          <w:sz w:val="21"/>
          <w:szCs w:val="21"/>
        </w:rPr>
        <w:t>】元，大写：【】（税率：   %，租金（不含税价）：    ，税金：      ）</w:t>
      </w:r>
      <w:r>
        <w:rPr>
          <w:rFonts w:hint="eastAsia" w:ascii="仿宋_GB2312" w:hAnsi="仿宋_GB2312" w:eastAsia="仿宋_GB2312" w:cs="仿宋_GB2312"/>
          <w:color w:val="000000"/>
          <w:sz w:val="21"/>
          <w:szCs w:val="21"/>
        </w:rPr>
        <w:t>。若未来国家税务对增值税税率有调整，则租金（含税价）不变，其他据实进行调整。</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为免异议，双方在此明确本合同约定的计租面积已经双方共同确认。如有调整则应另行签订补充协议加以约定。</w:t>
      </w:r>
    </w:p>
    <w:p>
      <w:pPr>
        <w:wordWrap/>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第五条  押金</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经双方友好协商，出租人不收取押金。</w:t>
      </w:r>
    </w:p>
    <w:p>
      <w:pPr>
        <w:wordWrap/>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第六条  租金及其他费用的支付</w:t>
      </w:r>
    </w:p>
    <w:p>
      <w:pPr>
        <w:wordWrap/>
        <w:spacing w:line="240" w:lineRule="auto"/>
        <w:ind w:left="0" w:leftChars="0" w:right="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color w:val="000000"/>
          <w:sz w:val="21"/>
          <w:szCs w:val="21"/>
        </w:rPr>
        <w:t>1.</w:t>
      </w:r>
      <w:r>
        <w:rPr>
          <w:rFonts w:hint="eastAsia" w:ascii="仿宋_GB2312" w:hAnsi="仿宋_GB2312" w:eastAsia="仿宋_GB2312" w:cs="仿宋_GB2312"/>
          <w:sz w:val="21"/>
          <w:szCs w:val="21"/>
        </w:rPr>
        <w:t>租金支付方式：</w:t>
      </w:r>
    </w:p>
    <w:p>
      <w:pPr>
        <w:wordWrap/>
        <w:spacing w:line="240" w:lineRule="auto"/>
        <w:ind w:left="0" w:leftChars="0" w:right="0"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对于【202</w:t>
      </w:r>
      <w:r>
        <w:rPr>
          <w:rFonts w:hint="eastAsia" w:ascii="仿宋_GB2312" w:hAnsi="仿宋_GB2312" w:eastAsia="仿宋_GB2312" w:cs="仿宋_GB2312"/>
          <w:color w:val="auto"/>
          <w:sz w:val="21"/>
          <w:szCs w:val="21"/>
          <w:lang w:val="en-US" w:eastAsia="zh-CN"/>
        </w:rPr>
        <w:t>6</w:t>
      </w:r>
      <w:r>
        <w:rPr>
          <w:rFonts w:hint="eastAsia" w:ascii="仿宋_GB2312" w:hAnsi="仿宋_GB2312" w:eastAsia="仿宋_GB2312" w:cs="仿宋_GB2312"/>
          <w:color w:val="auto"/>
          <w:sz w:val="21"/>
          <w:szCs w:val="21"/>
        </w:rPr>
        <w:t>】年【</w:t>
      </w:r>
      <w:r>
        <w:rPr>
          <w:rFonts w:hint="eastAsia" w:ascii="仿宋_GB2312" w:hAnsi="仿宋_GB2312" w:eastAsia="仿宋_GB2312" w:cs="仿宋_GB2312"/>
          <w:color w:val="auto"/>
          <w:sz w:val="21"/>
          <w:szCs w:val="21"/>
          <w:lang w:val="en-US" w:eastAsia="zh-CN"/>
        </w:rPr>
        <w:t>8</w:t>
      </w:r>
      <w:r>
        <w:rPr>
          <w:rFonts w:hint="eastAsia" w:ascii="仿宋_GB2312" w:hAnsi="仿宋_GB2312" w:eastAsia="仿宋_GB2312" w:cs="仿宋_GB2312"/>
          <w:color w:val="auto"/>
          <w:sz w:val="21"/>
          <w:szCs w:val="21"/>
        </w:rPr>
        <w:t>】月【1】日—【202</w:t>
      </w:r>
      <w:r>
        <w:rPr>
          <w:rFonts w:hint="eastAsia" w:ascii="仿宋_GB2312" w:hAnsi="仿宋_GB2312" w:eastAsia="仿宋_GB2312" w:cs="仿宋_GB2312"/>
          <w:color w:val="auto"/>
          <w:sz w:val="21"/>
          <w:szCs w:val="21"/>
          <w:lang w:val="en-US" w:eastAsia="zh-CN"/>
        </w:rPr>
        <w:t>7</w:t>
      </w:r>
      <w:r>
        <w:rPr>
          <w:rFonts w:hint="eastAsia" w:ascii="仿宋_GB2312" w:hAnsi="仿宋_GB2312" w:eastAsia="仿宋_GB2312" w:cs="仿宋_GB2312"/>
          <w:color w:val="auto"/>
          <w:sz w:val="21"/>
          <w:szCs w:val="21"/>
        </w:rPr>
        <w:t>】年【7】月【31】日租金即人民币【】元，大写：【】，经出租人与承租人商定后一次性支付，出租人提出付款申请并出具正式发票，承租人经审核无误后在</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rPr>
        <w:t>年</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rPr>
        <w:t>月</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rPr>
        <w:t>日前将租金支付至出租人指定账户。各阶段付款条件为“收到供应商开具的等额、合法、合格增值税专用发票后的10个工作日内完成支付”。</w:t>
      </w:r>
    </w:p>
    <w:p>
      <w:pPr>
        <w:wordWrap/>
        <w:spacing w:line="240" w:lineRule="auto"/>
        <w:ind w:left="0" w:leftChars="0" w:right="0"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2.承租人应根据出租人或其指定的物业管理单位的</w:t>
      </w:r>
      <w:bookmarkStart w:id="0" w:name="_GoBack"/>
      <w:bookmarkEnd w:id="0"/>
      <w:r>
        <w:rPr>
          <w:rFonts w:hint="eastAsia" w:ascii="仿宋_GB2312" w:hAnsi="仿宋_GB2312" w:eastAsia="仿宋_GB2312" w:cs="仿宋_GB2312"/>
          <w:color w:val="auto"/>
          <w:sz w:val="21"/>
          <w:szCs w:val="21"/>
        </w:rPr>
        <w:t>要求【按月】向出租人或其指定的物业管理单位缴纳届时发生的其他费用。出租人或其指定的物业管理单位须为承租人开具发票。</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3.承租人应支付法律、法规规定应属承租人交纳的税费或费用，但土地使用费及房产税无须承租人缴付。</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4.所租标的物租金支付至出租人如下账户：</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xml:space="preserve">开户银行：             </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xml:space="preserve">账户名称：                  </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银行账号：</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出租人确认其提供的账户信息准确无误，如出租人需变更前述账户的，应于承租人支付租金前【10】个工作日书面通知承租人。出租人因未及时书面通知承租人账户变更信息或账户信息有误造成的损失由出租人承担。</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5.承租人的开票信息：</w:t>
      </w:r>
    </w:p>
    <w:p>
      <w:pPr>
        <w:wordWrap/>
        <w:spacing w:line="240" w:lineRule="auto"/>
        <w:ind w:left="0" w:leftChars="0" w:right="0" w:firstLine="420" w:firstLineChars="200"/>
        <w:rPr>
          <w:rFonts w:hint="default"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名称：中国人民银行机关</w:t>
      </w:r>
      <w:r>
        <w:rPr>
          <w:rFonts w:hint="eastAsia" w:ascii="仿宋_GB2312" w:hAnsi="仿宋_GB2312" w:eastAsia="仿宋_GB2312" w:cs="仿宋_GB2312"/>
          <w:color w:val="auto"/>
          <w:sz w:val="21"/>
          <w:szCs w:val="21"/>
          <w:lang w:eastAsia="zh-CN"/>
        </w:rPr>
        <w:t>服务</w:t>
      </w:r>
      <w:r>
        <w:rPr>
          <w:rFonts w:hint="default" w:ascii="仿宋_GB2312" w:hAnsi="仿宋_GB2312" w:eastAsia="仿宋_GB2312" w:cs="仿宋_GB2312"/>
          <w:color w:val="auto"/>
          <w:sz w:val="21"/>
          <w:szCs w:val="21"/>
          <w:lang w:eastAsia="zh-CN"/>
        </w:rPr>
        <w:t>局</w:t>
      </w:r>
    </w:p>
    <w:p>
      <w:pPr>
        <w:wordWrap/>
        <w:spacing w:line="240" w:lineRule="auto"/>
        <w:ind w:left="0" w:leftChars="0" w:right="0"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单位地址：</w:t>
      </w:r>
      <w:r>
        <w:rPr>
          <w:rFonts w:hint="eastAsia" w:ascii="仿宋_GB2312" w:hAnsi="仿宋_GB2312" w:eastAsia="仿宋_GB2312" w:cs="仿宋_GB2312"/>
          <w:color w:val="auto"/>
          <w:sz w:val="21"/>
          <w:szCs w:val="21"/>
          <w:lang w:eastAsia="zh-CN"/>
        </w:rPr>
        <w:t>西城区成方街</w:t>
      </w:r>
      <w:r>
        <w:rPr>
          <w:rFonts w:hint="eastAsia" w:ascii="仿宋_GB2312" w:hAnsi="仿宋_GB2312" w:eastAsia="仿宋_GB2312" w:cs="仿宋_GB2312"/>
          <w:color w:val="auto"/>
          <w:sz w:val="21"/>
          <w:szCs w:val="21"/>
          <w:lang w:val="en-US" w:eastAsia="zh-CN"/>
        </w:rPr>
        <w:t>32号院</w:t>
      </w:r>
    </w:p>
    <w:p>
      <w:pPr>
        <w:wordWrap/>
        <w:spacing w:line="240" w:lineRule="auto"/>
        <w:ind w:left="0" w:leftChars="0" w:right="0"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电话：</w:t>
      </w:r>
      <w:r>
        <w:rPr>
          <w:rFonts w:hint="eastAsia" w:ascii="仿宋_GB2312" w:hAnsi="仿宋_GB2312" w:eastAsia="仿宋_GB2312" w:cs="仿宋_GB2312"/>
          <w:color w:val="auto"/>
          <w:sz w:val="21"/>
          <w:szCs w:val="21"/>
          <w:lang w:val="en-US" w:eastAsia="zh-CN"/>
        </w:rPr>
        <w:t>010-66195597</w:t>
      </w:r>
    </w:p>
    <w:p>
      <w:pPr>
        <w:wordWrap/>
        <w:spacing w:line="240" w:lineRule="auto"/>
        <w:ind w:left="0" w:leftChars="0" w:right="0" w:firstLine="420" w:firstLineChars="200"/>
        <w:rPr>
          <w:rFonts w:hint="default"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银行账户：</w:t>
      </w:r>
      <w:r>
        <w:rPr>
          <w:rFonts w:hint="default" w:ascii="仿宋_GB2312" w:hAnsi="仿宋_GB2312" w:eastAsia="仿宋_GB2312" w:cs="仿宋_GB2312"/>
          <w:color w:val="auto"/>
          <w:sz w:val="21"/>
          <w:szCs w:val="21"/>
        </w:rPr>
        <w:t>1109 0207 6710 001</w:t>
      </w:r>
    </w:p>
    <w:p>
      <w:pPr>
        <w:wordWrap/>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第七条  标的物的装修、维护与维修</w:t>
      </w:r>
    </w:p>
    <w:p>
      <w:pPr>
        <w:wordWrap/>
        <w:spacing w:line="240" w:lineRule="auto"/>
        <w:ind w:left="0" w:leftChars="0" w:right="0" w:firstLine="420" w:firstLineChars="200"/>
        <w:rPr>
          <w:rFonts w:hint="eastAsia" w:ascii="仿宋_GB2312" w:hAnsi="仿宋_GB2312" w:eastAsia="仿宋_GB2312" w:cs="仿宋_GB2312"/>
          <w:color w:val="FF0000"/>
          <w:sz w:val="21"/>
          <w:szCs w:val="21"/>
        </w:rPr>
      </w:pPr>
      <w:r>
        <w:rPr>
          <w:rFonts w:hint="eastAsia" w:ascii="仿宋_GB2312" w:hAnsi="仿宋_GB2312" w:eastAsia="仿宋_GB2312" w:cs="仿宋_GB2312"/>
          <w:color w:val="000000"/>
          <w:sz w:val="21"/>
          <w:szCs w:val="21"/>
        </w:rPr>
        <w:t>1.标的物在交付前已具备符合承租人实际需求的基础装修。</w:t>
      </w:r>
    </w:p>
    <w:p>
      <w:pPr>
        <w:wordWrap/>
        <w:spacing w:line="240" w:lineRule="auto"/>
        <w:ind w:left="0" w:leftChars="0" w:right="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color w:val="000000"/>
          <w:sz w:val="21"/>
          <w:szCs w:val="21"/>
        </w:rPr>
        <w:t>2.承租人在不损害标的物主体结构的情况下，可以根据自身办公需要添置安装设备，该费用由承租人自行承担。</w:t>
      </w:r>
      <w:r>
        <w:rPr>
          <w:rFonts w:hint="eastAsia" w:ascii="仿宋_GB2312" w:hAnsi="仿宋_GB2312" w:eastAsia="仿宋_GB2312" w:cs="仿宋_GB2312"/>
          <w:sz w:val="21"/>
          <w:szCs w:val="21"/>
        </w:rPr>
        <w:t>如果承租人需要对标的物的主体结构、主管道（包括但不限于上下水主管道、燃气天然气主管道、暖气主管道）或承重结构进行改造或者扩建或者实施任何须获得政府有关部门批准后方可进行的装修的，须要与出租人协商一致并获得政府有关部门批准同意后，方可施工。</w:t>
      </w:r>
    </w:p>
    <w:p>
      <w:pPr>
        <w:wordWrap/>
        <w:spacing w:line="240" w:lineRule="auto"/>
        <w:ind w:left="0" w:leftChars="0" w:right="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承租人应当按照政府有关部门的要求，拆除标的物内的承租人建造的不符合法律法规规定的结构物、建筑物及其他改建物，期间产生的拆改费用由承租人承担。</w:t>
      </w:r>
    </w:p>
    <w:p>
      <w:pPr>
        <w:wordWrap/>
        <w:spacing w:line="240" w:lineRule="auto"/>
        <w:ind w:left="0" w:leftChars="0" w:right="0" w:firstLine="420" w:firstLineChars="200"/>
        <w:rPr>
          <w:rFonts w:hint="eastAsia" w:ascii="仿宋_GB2312" w:hAnsi="仿宋_GB2312" w:eastAsia="仿宋_GB2312" w:cs="仿宋_GB2312"/>
          <w:color w:val="FF0000"/>
          <w:sz w:val="21"/>
          <w:szCs w:val="21"/>
        </w:rPr>
      </w:pPr>
      <w:r>
        <w:rPr>
          <w:rFonts w:hint="eastAsia" w:ascii="仿宋_GB2312" w:hAnsi="仿宋_GB2312" w:eastAsia="仿宋_GB2312" w:cs="仿宋_GB2312"/>
          <w:color w:val="000000"/>
          <w:sz w:val="21"/>
          <w:szCs w:val="21"/>
        </w:rPr>
        <w:t>承租人添置安装设备所形成的资产所有权归属于承租人。当租赁期届满或因承租人原因导致本合同提前终止，承租人可将添置安装设备形成的资产予以搬迁或拆除，如确实已与房屋原有部分结合在一起无法拆除，该部分资产，出租人不给予任何补偿。</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3.标的物主体结构、外立面、玻璃幕墙、门窗、上下水主管道、燃气天然气主管道、暖气主管道、主机房、配电设备、中央空调、消安防设备、水泵、电梯等主要设备，非因承租人原因的自然损坏，出租人或其指定的物业管理单位应当在接到承租人报修后及时联系相关方维修。出租人未及时维修、更换的，承租人可代为维修、更换，费用由出租人承担。因维修、更换影响承租人使用标的物的，双方应及时协商解决，否则根据约定承担相应的违约责任。</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4.出租人交付的标的物及其设备设施因达到一定的使用年限或出现不能正常运行的非人为损坏而需要维修维护，需要更换主体部分、主要部件，承租人应当及时通知出租人，由出租人负责，承担相应费用。出租人未及时维修、更换的，承租人可代为维修、更换，费用由出租人承担。因维修、更换影响承租人使用标的物的，双方应及时协商解决，否则根据约定承担相应的违约责任。</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承租人自行添置安装的设备设施由承租人自行维护保养及维修，并承担相应费用。</w:t>
      </w:r>
    </w:p>
    <w:p>
      <w:pPr>
        <w:wordWrap/>
        <w:spacing w:line="240" w:lineRule="auto"/>
        <w:ind w:left="0" w:leftChars="0" w:right="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5.出租人交付的标的物及装修物、安装的设备设施，无论是保修期内还是保修期外，都由出租人承担质量责任。由于承租人原因导致的损坏除外。</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6.标的物之内属于出租人提供的部分和承租人添设的部分并包括全部门窗、墙壁、设备设施和管道等，承租人都应正常使用并保持清洁卫生的状态，但自然损耗不在此限。</w:t>
      </w:r>
    </w:p>
    <w:p>
      <w:pPr>
        <w:wordWrap/>
        <w:spacing w:line="240" w:lineRule="auto"/>
        <w:ind w:left="0" w:leftChars="0" w:right="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7.承租人自行添置安装的设备，都由承租人承担质量责任以及造成人员伤亡或财产损失的赔偿责任。如果承租人安装的电力设备、线路或管道发生危险或不安全时或当出租人或有关市政公司合理地提出这种要求时，承租人应维修或更换上述设备、线路或管道，费用由承租人承担。由于承租人在标的物内安装的电力设备、线路、管道以及线路的故障或维修不善而造成的索赔、费用、损害或法律诉讼，应由承租人承担一切损失，造成出租人损失的，出租人有权向承租人索赔。</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8.由于承租人、其雇员、承包商、代理或来访者不慎打破或损坏窗户、玻璃或玻璃幕墙，由承租人或相关责任人维修，如果需要出租人或其指定的物业管理单位维修，维修费用由承租人或相关责任人承担。</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sz w:val="21"/>
          <w:szCs w:val="21"/>
        </w:rPr>
        <w:t>9.在出租人或其指定的物业管理单位须要对承租人所租标的物内结构、设备设施等的状态进行检查和进行必要的修理或维修时，经事先通知，承租人应允许出租人或其指定的物业管理单位在合理时间内进入所租标的物。出租人或其指定的物业管理单位在行使这项权利时，应尽可能不对承租人造成任何干扰。若遇紧急情况，事先无法与承租人取得联系时，出租人或其指定的物业管理单位可不经承租人许可进入所租标的物以采取必要措施；如有特别危急情况，出租人或其指定的物业管理单位可以强行进入标的物。出租人或其指定的物业管理单位在行使这项权利时，应保证承租人及其人员的人身及财产安全，并应在事后及时告知承租人。</w:t>
      </w:r>
    </w:p>
    <w:p>
      <w:pPr>
        <w:wordWrap/>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第八条  出租人的权利与义务</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1.出租人应保证对该标的物享有合法、独立、完整、排他的不动产出租权，并按照约定将标的物交付承租人，并在租赁期限内保持标的物符合约定的用途。如第三人对标的物主张权利，致使承租人不能对标的物使用、收益的，承租人有权请求减少租金或者不支付租金。</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2.出租人应保持标的物的结构部分处于安全良好的状态。</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3.出租人应确保交付时，标的物所有电梯、灭火及出租人提供的安全设施、空调设备及其它设备处于正常运行状态，且本合同标的物及出租人提供的与之配套的水、电、暖、气等相关设施可以正常使用。</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xml:space="preserve">4.出租人保证标的物符合安全标准及质量要求，符合国家关于安全、防灾及工程强制建设标准，并已办理竣工验收手续，不存在法律规定禁止出租的情形。 </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5.出租人或其指定的物业管理单位根据本合同约定负责维持所有公共区域以及添置安装设备、原有的设施设备与系统处于完好可用状态，出租人或其指定的物业管理单位对这部分设施设备与系统应定期进行检查，及时修缮，确保房屋和室内安全。非因承租人原因导致这部分设施设备与系统需要修缮，由出租人或其指定的物业管理单位承担全部修缮费用。</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6.在接到承租人发出的故障维修通知后，出租人或其指定的物业管理单位应派人</w:t>
      </w:r>
      <w:r>
        <w:rPr>
          <w:rFonts w:hint="eastAsia" w:ascii="仿宋_GB2312" w:hAnsi="仿宋_GB2312" w:eastAsia="仿宋_GB2312" w:cs="仿宋_GB2312"/>
          <w:sz w:val="21"/>
          <w:szCs w:val="21"/>
        </w:rPr>
        <w:t>及时</w:t>
      </w:r>
      <w:r>
        <w:rPr>
          <w:rFonts w:hint="eastAsia" w:ascii="仿宋_GB2312" w:hAnsi="仿宋_GB2312" w:eastAsia="仿宋_GB2312" w:cs="仿宋_GB2312"/>
          <w:color w:val="000000"/>
          <w:sz w:val="21"/>
          <w:szCs w:val="21"/>
        </w:rPr>
        <w:t>维修。</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7.出租人应保障标的物内水管、煤气管道、电气线路或装置、固定设备或出租人提供的其它设施的正常使用，因管理不善造成承租人财产或人身伤害的，出租人应承担相应责任。</w:t>
      </w:r>
    </w:p>
    <w:p>
      <w:pPr>
        <w:wordWrap/>
        <w:spacing w:line="240" w:lineRule="auto"/>
        <w:ind w:left="0" w:leftChars="0" w:right="0" w:firstLine="420" w:firstLineChars="200"/>
        <w:rPr>
          <w:rFonts w:hint="eastAsia" w:ascii="仿宋_GB2312" w:hAnsi="仿宋_GB2312" w:eastAsia="仿宋_GB2312" w:cs="仿宋_GB2312"/>
          <w:b/>
          <w:color w:val="000000"/>
          <w:sz w:val="21"/>
          <w:szCs w:val="21"/>
        </w:rPr>
      </w:pPr>
      <w:r>
        <w:rPr>
          <w:rFonts w:hint="eastAsia" w:ascii="仿宋_GB2312" w:hAnsi="仿宋_GB2312" w:eastAsia="仿宋_GB2312" w:cs="仿宋_GB2312"/>
          <w:color w:val="000000"/>
          <w:sz w:val="21"/>
          <w:szCs w:val="21"/>
        </w:rPr>
        <w:t>8.在本合同租期届满前6个月内，或本合同解除之日前2个月内，或本合同解除之日至承租人未实际搬离期间，出租人事先与承租人协商时间后（若承租人超过出租人给予合理的搬离期的，出租人无需与承租人协商时间），出租人可以陪同潜在承租人或使用者前来看房，但出租人应提前与承租人沟通好看房时间，尽量避免对承租人工作造成干扰。</w:t>
      </w:r>
    </w:p>
    <w:p>
      <w:pPr>
        <w:wordWrap/>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第九条  承租人的权利与义务</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1.在签署本合同之前，承租人按照本合同附件三格式填写承租人信息登记表并向出租人出示事业单位法人证书，作为本合同附件三提供。</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2.合同有效期内，承租人应在国家法律、法规、政策允许的范围内进行经营活动，对标的物及相关设施拥有合法使用权。</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3.当承租人按照本合同约定的方式和数额支付租金以及其他费用，并且遵守和履行本合同所载的应由承租人遵守和履行的条款和条件后，承租人在租期内合法占用和使用所租标的物，不受出租人干扰。</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4.承租人有权与出租人及其它享有相同权利的人共同正常使用建筑物的公用出入口、楼梯、平台、通道、公用洗手间、茶水间及清洁间等，共同使用为标的物服务的电梯及中央空调等设备。</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5.承租人须根据本合同的约定按时支付租金及其他费用。</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6.租赁期内，未经出租人书面同意，承租人不得擅自改变标的物的相关设施（包括楼梯、消防通道、设备用房、电梯厅等）的设计用途，也不得采取封堵或阻挡等方式使其无法实现其设计用途。</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7.承租人应合理使用标的物所在大厦公用装置/设备/系统（其中包括但不限于空调/取暖装置、消防/警报装置、电缆、电线以及布线管道），避免人为破坏，如因承租人原因造成的损坏由承租人赔偿。</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8.承租人应当采取合理必要的预防措施以免使所租标的物遭风暴、大雨、大雪或类似恶劣天气的侵袭。</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9.承租人不得影响其他承租人的办公或经营，不得对其他承租人造成损害。</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10.承租人不得占用其他承租人的专用停车位。</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11.遵守政府或其它有关部门关于规范承租人在所租标的物内的行为及业务开展的所有法规、规定和要求，以及关于规范承租人、其雇员、代理商、承包商或来访者的行动、行为、事务或事情的所有法规、规定和要求。如因违反这些法规、规定和要求而使出租人遭受损失，出租人有权追究相关责任人赔偿责任。</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12.承租人承诺遵守标的物所在大厦的物业管理规定、出租人或其指定的物业管理单位提出的合理的房屋使用要求（包括设施设备的使用要求）。大厦公共区域统一由出租人或其指定的物业管理单位管理，承租人不得不当占用。</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13.承租人发现水管、煤气管道、电气线路或装置、固定设备或出租人提供的其它设施的事故或缺陷后，应及时通知出租人所租标的物的损坏和人员的损伤情况。如有火警或其他意外事件发生，承租人发现情况后应当及时报警并采取必要措施，同时及时通知出租人。因承租人应通知而未通知造成财产损失或人身损害扩大的，承租人应承担相应责任。</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14.承租人应在本合同终止时根据附件二的标准将标的物交还出租人。</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15.承租人应当于租期届满或本合同提前终止之日起</w:t>
      </w:r>
      <w:r>
        <w:rPr>
          <w:rFonts w:hint="eastAsia" w:ascii="仿宋_GB2312" w:hAnsi="仿宋_GB2312" w:eastAsia="仿宋_GB2312" w:cs="仿宋_GB2312"/>
          <w:sz w:val="21"/>
          <w:szCs w:val="21"/>
        </w:rPr>
        <w:t>十五（15）个工作日</w:t>
      </w:r>
      <w:r>
        <w:rPr>
          <w:rFonts w:hint="eastAsia" w:ascii="仿宋_GB2312" w:hAnsi="仿宋_GB2312" w:eastAsia="仿宋_GB2312" w:cs="仿宋_GB2312"/>
          <w:color w:val="000000"/>
          <w:sz w:val="21"/>
          <w:szCs w:val="21"/>
        </w:rPr>
        <w:t>内，办妥以所租标的物为注册地址或营业地址进行工商登记的注销或变更手续。</w:t>
      </w:r>
    </w:p>
    <w:p>
      <w:pPr>
        <w:wordWrap/>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第十条  物业管理</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为保证大楼安全和规范管理，标的物的物业管理由出租人</w:t>
      </w:r>
      <w:r>
        <w:rPr>
          <w:rFonts w:hint="eastAsia" w:ascii="仿宋_GB2312" w:hAnsi="仿宋_GB2312" w:eastAsia="仿宋_GB2312" w:cs="仿宋_GB2312"/>
          <w:color w:val="000000"/>
          <w:sz w:val="21"/>
          <w:szCs w:val="21"/>
          <w:lang w:eastAsia="zh-CN"/>
        </w:rPr>
        <w:t>指定的</w:t>
      </w:r>
      <w:r>
        <w:rPr>
          <w:rFonts w:hint="eastAsia" w:ascii="仿宋_GB2312" w:hAnsi="仿宋_GB2312" w:eastAsia="仿宋_GB2312" w:cs="仿宋_GB2312"/>
          <w:color w:val="000000"/>
          <w:sz w:val="21"/>
          <w:szCs w:val="21"/>
        </w:rPr>
        <w:t>物业管理公司（以下简称“物业</w:t>
      </w:r>
      <w:r>
        <w:rPr>
          <w:rFonts w:hint="eastAsia" w:ascii="仿宋_GB2312" w:hAnsi="仿宋_GB2312" w:eastAsia="仿宋_GB2312" w:cs="仿宋_GB2312"/>
          <w:color w:val="000000"/>
          <w:sz w:val="21"/>
          <w:szCs w:val="21"/>
          <w:lang w:eastAsia="zh-CN"/>
        </w:rPr>
        <w:t>公司</w:t>
      </w:r>
      <w:r>
        <w:rPr>
          <w:rFonts w:hint="eastAsia" w:ascii="仿宋_GB2312" w:hAnsi="仿宋_GB2312" w:eastAsia="仿宋_GB2312" w:cs="仿宋_GB2312"/>
          <w:color w:val="000000"/>
          <w:sz w:val="21"/>
          <w:szCs w:val="21"/>
        </w:rPr>
        <w:t>”）负责，服务范围包括标的物公共区域和承租人专属区域。</w:t>
      </w:r>
    </w:p>
    <w:p>
      <w:pPr>
        <w:wordWrap/>
        <w:spacing w:line="240" w:lineRule="auto"/>
        <w:ind w:left="0" w:leftChars="0" w:right="0"/>
        <w:rPr>
          <w:rFonts w:hint="eastAsia" w:ascii="仿宋_GB2312" w:hAnsi="仿宋_GB2312" w:eastAsia="仿宋_GB2312" w:cs="仿宋_GB2312"/>
          <w:color w:val="000000"/>
          <w:sz w:val="21"/>
          <w:szCs w:val="21"/>
        </w:rPr>
      </w:pPr>
      <w:r>
        <w:rPr>
          <w:rFonts w:hint="eastAsia" w:ascii="仿宋_GB2312" w:hAnsi="仿宋_GB2312" w:eastAsia="仿宋_GB2312" w:cs="仿宋_GB2312"/>
          <w:b/>
          <w:color w:val="000000"/>
          <w:sz w:val="21"/>
          <w:szCs w:val="21"/>
        </w:rPr>
        <w:t xml:space="preserve">第十一条  </w:t>
      </w:r>
      <w:r>
        <w:rPr>
          <w:rFonts w:hint="eastAsia" w:ascii="仿宋_GB2312" w:hAnsi="仿宋_GB2312" w:eastAsia="仿宋_GB2312" w:cs="仿宋_GB2312"/>
          <w:b/>
          <w:bCs/>
          <w:color w:val="000000"/>
          <w:sz w:val="21"/>
          <w:szCs w:val="21"/>
        </w:rPr>
        <w:t>牌匾标识、标示牌、名录牌</w:t>
      </w:r>
    </w:p>
    <w:p>
      <w:pPr>
        <w:tabs>
          <w:tab w:val="left" w:pos="312"/>
        </w:tabs>
        <w:wordWrap/>
        <w:spacing w:line="240" w:lineRule="auto"/>
        <w:ind w:left="0" w:leftChars="0" w:right="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承租人不得擅自在大厦外立面安装或陈列标注承租人或其关联方单位名称的牌匾标识，如需安装或陈列，承租人应提前将该等牌匾标识的设置方案、内容、拟安装或陈列的位置等提供给出租人并经出租人书面确认后方可安装或陈列。</w:t>
      </w:r>
    </w:p>
    <w:p>
      <w:pPr>
        <w:tabs>
          <w:tab w:val="left" w:pos="312"/>
        </w:tabs>
        <w:wordWrap/>
        <w:spacing w:line="240" w:lineRule="auto"/>
        <w:ind w:left="0" w:leftChars="0" w:right="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2.出租人允许地上一层商铺的承租人在其租赁相应位置的外立面挂店铺牌匾标识，但是牌匾标识的大小、拟安装或陈列的位置须事先与出租人协商一致。</w:t>
      </w:r>
    </w:p>
    <w:p>
      <w:pPr>
        <w:tabs>
          <w:tab w:val="left" w:pos="312"/>
        </w:tabs>
        <w:wordWrap/>
        <w:spacing w:line="240" w:lineRule="auto"/>
        <w:ind w:left="0" w:leftChars="0" w:right="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承租人如需在大厦东西两个出入口、大堂安装或陈列标注承租人或其关联方单位名称的标示牌、标识牌、告示牌、标志，须事先与出租人协商，由出租人统一制作、安装、修理、更换、拆卸，相关费用由承租人承担。</w:t>
      </w:r>
    </w:p>
    <w:p>
      <w:pPr>
        <w:wordWrap/>
        <w:spacing w:line="240" w:lineRule="auto"/>
        <w:ind w:left="0" w:leftChars="0" w:right="0" w:firstLine="420" w:firstLineChars="200"/>
        <w:rPr>
          <w:rFonts w:hint="eastAsia" w:ascii="仿宋_GB2312" w:hAnsi="仿宋_GB2312" w:eastAsia="仿宋_GB2312" w:cs="仿宋_GB2312"/>
          <w:b/>
          <w:color w:val="000000"/>
          <w:sz w:val="21"/>
          <w:szCs w:val="21"/>
        </w:rPr>
      </w:pPr>
      <w:r>
        <w:rPr>
          <w:rFonts w:hint="eastAsia" w:ascii="仿宋_GB2312" w:hAnsi="仿宋_GB2312" w:eastAsia="仿宋_GB2312" w:cs="仿宋_GB2312"/>
          <w:sz w:val="21"/>
          <w:szCs w:val="21"/>
        </w:rPr>
        <w:t>4. 大厦名录牌由出租人统一制作、安装、修理、更换、拆卸，相关费用由承租人承担。</w:t>
      </w:r>
    </w:p>
    <w:p>
      <w:pPr>
        <w:wordWrap/>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第十二条  限制及禁止</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1.出租人保证标的物不存在安全隐患且无拒不整改的情况，承租人按要求在租赁期内合理使用标的物，不改变标的物用途或将所租标的物用于非法用途。</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2.未经出租人事先书面同意，承租人不得转让、出让、转租标的物，也不允许任何安排或交易，其结果使不是合同的一方获取或享有所租标的物的使用权、租用权和占有权，而不论这种获取是否已付租金或其它对价。</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3.承租人不做也不得允许使标的物所投保的财产保险及公众责任险无效或可能使其无效的任何行为和事情。</w:t>
      </w:r>
    </w:p>
    <w:p>
      <w:pPr>
        <w:wordWrap/>
        <w:spacing w:line="240" w:lineRule="auto"/>
        <w:ind w:left="0" w:leftChars="0" w:right="0" w:firstLine="420" w:firstLineChars="200"/>
        <w:rPr>
          <w:rFonts w:hint="eastAsia" w:ascii="仿宋_GB2312" w:hAnsi="仿宋_GB2312" w:eastAsia="仿宋_GB2312" w:cs="仿宋_GB2312"/>
          <w:b/>
          <w:color w:val="000000"/>
          <w:sz w:val="21"/>
          <w:szCs w:val="21"/>
        </w:rPr>
      </w:pPr>
      <w:r>
        <w:rPr>
          <w:rFonts w:hint="eastAsia" w:ascii="仿宋_GB2312" w:hAnsi="仿宋_GB2312" w:eastAsia="仿宋_GB2312" w:cs="仿宋_GB2312"/>
          <w:color w:val="000000"/>
          <w:sz w:val="21"/>
          <w:szCs w:val="21"/>
        </w:rPr>
        <w:t>4.承租人不得在所租标的物内存放或允许存放任何武器、弹药、硝酸钾、煤油或其它易爆、易燃或危险物品。</w:t>
      </w:r>
    </w:p>
    <w:p>
      <w:pPr>
        <w:wordWrap/>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第十三条  特别约定</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1.所租标的物的接收</w:t>
      </w:r>
    </w:p>
    <w:p>
      <w:pPr>
        <w:wordWrap/>
        <w:spacing w:line="240" w:lineRule="auto"/>
        <w:ind w:left="0" w:leftChars="0" w:right="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color w:val="000000"/>
          <w:sz w:val="21"/>
          <w:szCs w:val="21"/>
        </w:rPr>
        <w:t>租赁标的物应依照约定的相关程序办理交付和接收。出租人应在交付日将所租标的物交付给承租人。承租人自交付日开始，可以进入所租标的物添置安装设备。若标的物符合交付标准，出租人与承租人应在合理期限内办理交付和接收手续，无正当理由拒绝办理交付和接收手续给对方造成损失的，应承担相应赔偿责任。</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2.政府税费及其它杂费</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有关签订、登记和执行本合同的一切税费，应按所适用的中国法律、法规之规定办理。</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3.承租人接收所租标的物的条件</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出租人应将所租标的物交给承租人，并且已经完成相关政府部门的验收程序，即已确认所租标的物处于适租状态，符合本合同之约定。承租人对本合同约定的标的物区域及面积均无异议。</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4.涉税条款</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（1）出租人为增值税一般纳税人，适用增值税税率为9%。本合同约定的出租人应收到的租金价款为含增值税金额。</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（2）出租人向承租人开具发票之前，承租人必须向出租人提供准确的信息（包括单位名称，纳税人识别号，地址及电话，开户行及账号等资料），供开具发票之用。</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（3）出租人按照承租人提供的准确信息开具发票。</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4）如承租人开票信息变更（包括但不限于变更承租人单位名称、纳税人识别号、地址或电话、开户行或账号等资料）或承租人纳税人主体地位变更（如增值税小规模纳税人变更为一般纳税人等），承租人应书面通知出租人。出租人应根据变更情况及时调整承租人新的开票信息之后的各期租金发票。</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（5）承租人确认，本合同所涉及的税费（包括但不限于法律法规规定的税种、税率及/或政府部门的任何收费项目及其收费标准）发生变更的，承租人同意依法依规执行。</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（6）因本合同解除或本合同约定，出租人应向承租人退还全部或部分本合同款项的，在承租人配合出租人办理完毕退税手续后，出租人向承租人退还该款项。</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5.计租面积</w:t>
      </w:r>
    </w:p>
    <w:p>
      <w:pPr>
        <w:wordWrap/>
        <w:spacing w:line="240" w:lineRule="auto"/>
        <w:ind w:left="0" w:leftChars="0" w:right="0" w:firstLine="48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本合同内所述承租区域的计租面积暂按产权证面积为依据计算，待承租区域装修施工竣工验收后，由出租人和房屋产权人共同聘请具备测绘资质的单位依据竣工图纸，测量承租区域的建筑面积，承租人同意依据该建筑面积签订补充协议重新计算所租区域的租金，单位面积租金价格及租金计算方法保持不变。</w:t>
      </w:r>
    </w:p>
    <w:p>
      <w:pPr>
        <w:wordWrap/>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第十四条  违约责任</w:t>
      </w:r>
    </w:p>
    <w:p>
      <w:pPr>
        <w:numPr>
          <w:ilvl w:val="0"/>
          <w:numId w:val="1"/>
        </w:num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因出租人未履行合同约定的义务，或交付给承租人的标的物及装修的设备设施，造成承租人、使用者或其他人的人身或财产的损失或损坏，由出租人承担全部赔偿责任，但由于承租人原因导致的除外。如发生出租人延迟交付或交付后标的物无法满足承租人正常租赁、办公、使用需求等情形，双方应及时协商，协商不成的，出租人承担相应违约责任，向承租人支付违约金，违约金为前一个月的租金金额，出租人还应对超出违约金以外的承租人损失进行赔偿。 </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2.因承租人在承租期内自行添置安装的设备设施的原因，造成出租人、承租人、使用者或其他人的人身或财产的损失或损坏，由承租人承担相应的责任。</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3.承租人如果没有按照本合同约定的时间支付租金以及出租人代付的其他费用，则承租人须向出租人承担相应违约责任，即</w:t>
      </w:r>
      <w:r>
        <w:rPr>
          <w:rFonts w:hint="eastAsia" w:ascii="仿宋_GB2312" w:hAnsi="仿宋_GB2312" w:eastAsia="仿宋_GB2312" w:cs="仿宋_GB2312"/>
          <w:sz w:val="21"/>
          <w:szCs w:val="21"/>
        </w:rPr>
        <w:t>承租人须按应缴付金额的0.5‰/日（万分之五/日）支付滞纳金，该滞纳金自应缴付日起逐日计算至实际缴付日止，</w:t>
      </w:r>
      <w:r>
        <w:rPr>
          <w:rFonts w:hint="eastAsia" w:ascii="仿宋_GB2312" w:hAnsi="仿宋_GB2312" w:eastAsia="仿宋_GB2312" w:cs="仿宋_GB2312"/>
          <w:color w:val="000000"/>
          <w:sz w:val="21"/>
          <w:szCs w:val="21"/>
        </w:rPr>
        <w:t>但由于出租人原因导致的除外。</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sz w:val="21"/>
          <w:szCs w:val="21"/>
        </w:rPr>
        <w:t>承租人逾期支付租金或其他费用，超过十五（15）个工作日的，出租人可向承租人发出书面的催款函或支付令，经过出租人书面催告，承租人仍不缴纳的，出租人可以对所租标的物暂停部分或全部能源供应，直至承租人付清相应费用为止。如承租人在收到出租人关于租金的书面催款函或支付令之日起三十（30）个工作日内，仍未支付租金，出租人有权解除本合同</w:t>
      </w:r>
      <w:r>
        <w:rPr>
          <w:rFonts w:hint="eastAsia" w:ascii="仿宋_GB2312" w:hAnsi="仿宋_GB2312" w:eastAsia="仿宋_GB2312" w:cs="仿宋_GB2312"/>
          <w:color w:val="000000"/>
          <w:sz w:val="21"/>
          <w:szCs w:val="21"/>
        </w:rPr>
        <w:t>，按承租人违约处理，违约金为本合同解除前一个月的租金金额，承租人还应对超出违约金以外的出租人损失进行赔偿。由于出租人原因导致的除外。</w:t>
      </w:r>
    </w:p>
    <w:p>
      <w:pPr>
        <w:wordWrap/>
        <w:spacing w:line="240" w:lineRule="auto"/>
        <w:ind w:left="0" w:leftChars="0" w:right="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color w:val="000000"/>
          <w:sz w:val="21"/>
          <w:szCs w:val="21"/>
        </w:rPr>
        <w:t>4.由于承租人、其雇员、承包商、代理商单方行为而导致在所租标的物内发生死亡，人身受伤或财产损失事件，出租人无需承担相应责任，但出租人存在过错的，应按照过错程度承担相应责任。若因承租人及其雇员原因使出租人或其他承租人遭受损失时，承租人应向出租人或其他承租人承担赔偿责任。由于承租人及其雇员对标的物或相关设施设备造成损失的，承租人应负责维修并承担相关费用。</w:t>
      </w:r>
      <w:r>
        <w:rPr>
          <w:rFonts w:hint="eastAsia" w:ascii="仿宋_GB2312" w:hAnsi="仿宋_GB2312" w:eastAsia="仿宋_GB2312" w:cs="仿宋_GB2312"/>
          <w:sz w:val="21"/>
          <w:szCs w:val="21"/>
        </w:rPr>
        <w:t>出租人或其指定的物业管理单位因此受到第三方索赔的，则出租人或其指定的物业管理单位有权向承租人或其他责任人追偿损失。</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sz w:val="21"/>
          <w:szCs w:val="21"/>
        </w:rPr>
        <w:t>5. 若承租人未能在返还期满时将所租标的物按照约定交还给出租人，承租人须按逾期天数向出租人缴纳占用费，每天的占用费额度与本合同约定的日租金相同。</w:t>
      </w:r>
    </w:p>
    <w:p>
      <w:pPr>
        <w:wordWrap/>
        <w:spacing w:line="240" w:lineRule="auto"/>
        <w:ind w:left="0" w:leftChars="0" w:right="0"/>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第十五条  合同的解除</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1.因不可归责于承租人的事由,致使标的物部分或者全部毁损、灭失的,承租人可以请求减少租金或者不支付租金；因标的物部分或者全部毁损、灭失,致使不能实现合同目的的,承租人可以解除合同，出租人返还未履行部分的租金。如果是出租人原因导致的，对于承租人的损失，出租人予以赔偿；如果是承租人的原因导致的，对于出租人的损失，承租人予以赔偿。</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2.除本合同另有约定外，未经双方协商一致并达成书面协议，一方擅自调整租金的，另一方有权解除合同。若出租人违反本款约定的，应返还未履行部分的租金，支付本合同终止前一个月的租金作为违约金，还应对超出部分的承租人损失进行赔偿；若承租人违反本款约定的，向出租人支付本合同终止前一个月的租金作为违约金，还应对超出部分的出租人损失进行赔偿。</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3.如果承租人利用或者允许他人利用所租标的物进行违反中国法律、法规活动危及社会安全或重大公共利益，出租人可解除合同。承租人支付本合同终止前一个月的租金作为违约金，还应对超出违约金以外的出租人损失进行赔偿。</w:t>
      </w:r>
      <w:r>
        <w:rPr>
          <w:rFonts w:hint="eastAsia" w:ascii="仿宋_GB2312" w:hAnsi="仿宋_GB2312" w:eastAsia="仿宋_GB2312" w:cs="仿宋_GB2312"/>
          <w:sz w:val="21"/>
          <w:szCs w:val="21"/>
        </w:rPr>
        <w:t>出租人因此受到第三方索赔的，则出租人有权向承租人追偿损失。</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4. 如果承租人有严重影响其他承租人正常办公或经营的行为，且拒不整改，出租人可解除合同。承租人支付本合同终止前一个月的租金作为违约金，还应对超出违约金以外的出租人损失进行赔偿。</w:t>
      </w:r>
      <w:r>
        <w:rPr>
          <w:rFonts w:hint="eastAsia" w:ascii="仿宋_GB2312" w:hAnsi="仿宋_GB2312" w:eastAsia="仿宋_GB2312" w:cs="仿宋_GB2312"/>
          <w:sz w:val="21"/>
          <w:szCs w:val="21"/>
        </w:rPr>
        <w:t>出租人因此受到第三方索赔的，则出租人有权向承租人追偿损失。</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5. 如果承租人有严重损害租赁标的物的行为或有其他严重侵害出租人权益的行为，出租人可解除合同。承租人支付本合同终止前一个月的租金作为违约金，还应对超出违约金以外的出租人损失进行赔偿。</w:t>
      </w:r>
      <w:r>
        <w:rPr>
          <w:rFonts w:hint="eastAsia" w:ascii="仿宋_GB2312" w:hAnsi="仿宋_GB2312" w:eastAsia="仿宋_GB2312" w:cs="仿宋_GB2312"/>
          <w:sz w:val="21"/>
          <w:szCs w:val="21"/>
        </w:rPr>
        <w:t>出租人因此受到第三方索赔的，则出租人有权向承租人追偿损失。</w:t>
      </w:r>
    </w:p>
    <w:p>
      <w:pPr>
        <w:wordWrap/>
        <w:spacing w:line="240" w:lineRule="auto"/>
        <w:ind w:left="0" w:leftChars="0" w:right="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color w:val="000000"/>
          <w:sz w:val="21"/>
          <w:szCs w:val="21"/>
        </w:rPr>
        <w:t>6.合同有效期内，除本合同另有约定外，因出租人原因导致提前解除合同的，应提前陆（6）个月通知承租人，返还未履行部分的租金，并向承租人支付本合同终止</w:t>
      </w:r>
      <w:r>
        <w:rPr>
          <w:rFonts w:hint="eastAsia" w:ascii="仿宋_GB2312" w:hAnsi="仿宋_GB2312" w:eastAsia="仿宋_GB2312" w:cs="仿宋_GB2312"/>
          <w:sz w:val="21"/>
          <w:szCs w:val="21"/>
        </w:rPr>
        <w:t>前一个月的租金作为违约金，还应对超出部分的损失进行赔偿，且承租人用于</w:t>
      </w:r>
      <w:r>
        <w:rPr>
          <w:rFonts w:hint="eastAsia" w:ascii="仿宋_GB2312" w:hAnsi="仿宋_GB2312" w:eastAsia="仿宋_GB2312" w:cs="仿宋_GB2312"/>
          <w:color w:val="000000"/>
          <w:sz w:val="21"/>
          <w:szCs w:val="21"/>
        </w:rPr>
        <w:t>添置安装设备</w:t>
      </w:r>
      <w:r>
        <w:rPr>
          <w:rFonts w:hint="eastAsia" w:ascii="仿宋_GB2312" w:hAnsi="仿宋_GB2312" w:eastAsia="仿宋_GB2312" w:cs="仿宋_GB2312"/>
          <w:sz w:val="21"/>
          <w:szCs w:val="21"/>
        </w:rPr>
        <w:t>的费用出租人予以补偿。</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sz w:val="21"/>
          <w:szCs w:val="21"/>
        </w:rPr>
        <w:t>7.合同有效期内，除本合同另有约定外，因承租人原因导致提前解除合同的，应提前陆（6）个月通知出租人，租金按实际使用时间计算多退少补</w:t>
      </w:r>
      <w:r>
        <w:rPr>
          <w:rFonts w:hint="eastAsia" w:ascii="仿宋_GB2312" w:hAnsi="仿宋_GB2312" w:eastAsia="仿宋_GB2312" w:cs="仿宋_GB2312"/>
          <w:color w:val="000000"/>
          <w:sz w:val="21"/>
          <w:szCs w:val="21"/>
        </w:rPr>
        <w:t>。</w:t>
      </w:r>
      <w:r>
        <w:rPr>
          <w:rFonts w:hint="eastAsia" w:ascii="仿宋_GB2312" w:hAnsi="仿宋_GB2312" w:eastAsia="仿宋_GB2312" w:cs="仿宋_GB2312"/>
          <w:sz w:val="21"/>
          <w:szCs w:val="21"/>
        </w:rPr>
        <w:t>承租人向出租人支付本合同终止前一个月的租金</w:t>
      </w:r>
      <w:r>
        <w:rPr>
          <w:rFonts w:hint="eastAsia" w:ascii="仿宋_GB2312" w:hAnsi="仿宋_GB2312" w:eastAsia="仿宋_GB2312" w:cs="仿宋_GB2312"/>
          <w:color w:val="000000"/>
          <w:sz w:val="21"/>
          <w:szCs w:val="21"/>
        </w:rPr>
        <w:t>作为违约金，还应对超出部分的损失进行赔偿，且承租人添置安装设备的费用出租人不予补偿。</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8、合同有效期内，如出租人存在违反法律法规、合同约定或其他任何原因导致承租人无法正常租赁、办公、使用等情形，致使合同目的无法实现的，双方应及时协商，如协商不成，承租人有权解除合同且无需承担任何赔偿责任，由此产生的责任由出租人自行承担。</w:t>
      </w:r>
    </w:p>
    <w:p>
      <w:pPr>
        <w:wordWrap/>
        <w:spacing w:line="240" w:lineRule="auto"/>
        <w:ind w:left="0" w:leftChars="0" w:right="0"/>
        <w:rPr>
          <w:rFonts w:hint="eastAsia" w:ascii="仿宋_GB2312" w:hAnsi="仿宋_GB2312" w:eastAsia="仿宋_GB2312" w:cs="仿宋_GB2312"/>
          <w:color w:val="000000"/>
          <w:sz w:val="21"/>
          <w:szCs w:val="21"/>
        </w:rPr>
      </w:pPr>
      <w:r>
        <w:rPr>
          <w:rFonts w:hint="eastAsia" w:ascii="仿宋_GB2312" w:hAnsi="仿宋_GB2312" w:eastAsia="仿宋_GB2312" w:cs="仿宋_GB2312"/>
          <w:b/>
          <w:color w:val="000000"/>
          <w:sz w:val="21"/>
          <w:szCs w:val="21"/>
        </w:rPr>
        <w:t>第十六条  不可抗力</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1.因不可抗力（包括标的物所在地发生地震、塌方、陷落、洪水、恶劣天气、台风等自然灾害；非因出租人或承租人原因而发生的火灾、爆炸以及战争、社会动乱或动荡；法律、行政法规的变化以及政府征收、征用等原因）而造成的所租标的物及其任何部分毁坏或致使所租标的物不适于使用或租用时（在该种情形下，承租人应及时通知出租人），经双方协商同意后，承租人可以对因不可抗力导致标的物不适于使用或租用的部分停止支付租金，直至所租标的物得到修复和复原。在这种情况下，出租人交付给承租人的标的物及装修的设备设施的损坏，由出租人负责修复和复原；承租人自行添置安装的设备设施的损坏，由承租人负责修复和复原。</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2.如果所租标的物的全部或基本全部遭到破坏或不适于再使用和租用，而且在发生毁坏和破坏后的六（6）个月内未能修复或恢复，经专业的第三方机构评估鉴定并出具书面的评估鉴定报告，签约双方有权以书面形式通知对方解除合同，且互不承担违约责任。租金按实际使用时间计算，出租人须退还承租人未履行部分的租金。</w:t>
      </w:r>
    </w:p>
    <w:p>
      <w:pPr>
        <w:wordWrap/>
        <w:spacing w:line="240" w:lineRule="auto"/>
        <w:ind w:left="0" w:leftChars="0" w:right="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3.无论是标的物大厦内还是周边地区发生严重疫情或其他不可抗力情形，而影响标的物的正常使用，出租人和承租人另行商定租金减免。</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4.因政府原因需要拆除或改造标的物，或标的物被征收、征用的，或标的物土地使用权依法提前收回，造成双方损失的，双方互不承担违约责任。租金按实际使用时间计算，出租人须退还承租人未履行部分的租金。</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5.标的物因不可抗力毁损、灭失而被鉴定为危险房屋的，本合同终止，双方互不承担责任，租金按实际使用时间计算，出租人须退还承租人未履行部分的租金。</w:t>
      </w:r>
    </w:p>
    <w:p>
      <w:pPr>
        <w:wordWrap/>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第十七条  标的物的返还</w:t>
      </w:r>
    </w:p>
    <w:p>
      <w:pPr>
        <w:widowControl/>
        <w:wordWrap/>
        <w:autoSpaceDE w:val="0"/>
        <w:autoSpaceDN w:val="0"/>
        <w:spacing w:line="240" w:lineRule="auto"/>
        <w:ind w:left="0" w:leftChars="0" w:right="0" w:firstLine="420" w:firstLineChars="200"/>
        <w:textAlignment w:val="bottom"/>
        <w:outlineLvl w:val="1"/>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1.本合同项下之租赁期限届满之日后1个月或本合同因除承租人原因之外而终止之日后1个月为返还期，</w:t>
      </w:r>
      <w:r>
        <w:rPr>
          <w:rFonts w:hint="eastAsia" w:ascii="仿宋_GB2312" w:hAnsi="仿宋_GB2312" w:eastAsia="仿宋_GB2312" w:cs="仿宋_GB2312"/>
          <w:sz w:val="21"/>
          <w:szCs w:val="21"/>
        </w:rPr>
        <w:t>在返还期内，承租</w:t>
      </w:r>
      <w:r>
        <w:rPr>
          <w:rFonts w:hint="eastAsia" w:ascii="仿宋_GB2312" w:hAnsi="仿宋_GB2312" w:eastAsia="仿宋_GB2312" w:cs="仿宋_GB2312"/>
          <w:color w:val="000000"/>
          <w:sz w:val="21"/>
          <w:szCs w:val="21"/>
        </w:rPr>
        <w:t>人须将租赁标的物内的办公家具、办公设备、办公电器等承租人自己所添置安装的设备物品搬离标的物。</w:t>
      </w:r>
    </w:p>
    <w:p>
      <w:pPr>
        <w:wordWrap/>
        <w:adjustRightInd w:val="0"/>
        <w:snapToGrid w:val="0"/>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2.返还期满的前</w:t>
      </w:r>
      <w:r>
        <w:rPr>
          <w:rFonts w:hint="eastAsia" w:ascii="仿宋_GB2312" w:hAnsi="仿宋_GB2312" w:eastAsia="仿宋_GB2312" w:cs="仿宋_GB2312"/>
          <w:color w:val="000000"/>
          <w:sz w:val="21"/>
          <w:szCs w:val="21"/>
          <w:lang w:val="en-US" w:eastAsia="zh-CN"/>
        </w:rPr>
        <w:t>5</w:t>
      </w:r>
      <w:r>
        <w:rPr>
          <w:rFonts w:hint="eastAsia" w:ascii="仿宋_GB2312" w:hAnsi="仿宋_GB2312" w:eastAsia="仿宋_GB2312" w:cs="仿宋_GB2312"/>
          <w:color w:val="000000"/>
          <w:sz w:val="21"/>
          <w:szCs w:val="21"/>
        </w:rPr>
        <w:t>个工作日内，承租人会同出租人对返还的标的物以及各个组成部分进行查验清点，承租人须将标的物恢复至附件二约定的状态，查验清点无异议后，返还期最后一天，承租人同时将进入大厦大门以及各部分的锁匙(如有)交还出租人。</w:t>
      </w:r>
    </w:p>
    <w:p>
      <w:pPr>
        <w:wordWrap/>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3.承租人未经出租人同意，对标的物进行的改善或增设他物的，双方经过协商一致的情况下，出租人可以请求承租人恢复原状或由承租人支付合理费用而免于承担所租标的物恢复原状的义务。</w:t>
      </w:r>
    </w:p>
    <w:p>
      <w:pPr>
        <w:wordWrap/>
        <w:adjustRightInd w:val="0"/>
        <w:snapToGrid w:val="0"/>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4.若承租人已经实际撤离该房屋之后，或承租人未能在本合同约定时间向出租人返还标的物的，承租人仍有家具、设备、电器、物品、固定附着物或装置遗留在所租标的物内，承租人在此声明放弃该财物的所有权，由出租人对该遗留财物自由处置。</w:t>
      </w:r>
    </w:p>
    <w:p>
      <w:pPr>
        <w:wordWrap/>
        <w:adjustRightInd w:val="0"/>
        <w:snapToGrid w:val="0"/>
        <w:spacing w:line="240" w:lineRule="auto"/>
        <w:ind w:left="0" w:leftChars="0" w:right="0" w:firstLine="422" w:firstLineChars="20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第十八条  保密</w:t>
      </w:r>
    </w:p>
    <w:p>
      <w:pPr>
        <w:wordWrap/>
        <w:adjustRightInd w:val="0"/>
        <w:snapToGrid w:val="0"/>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双方同意严格对本合同条款内容、租赁标的物的施工过程和竣工图纸等资料进行保密，不得向任何第三方披露，但双方的关联方、专业顾问公司因合理原因需知悉相关内容的除外，但前提是披露方应要求前述人士也严格遵守本条保密义务并对前述人士的行为负责。尽管有前述约定，但双方均同意，如一方因法律法规要求、政府部门或监管部门要求、潜在投/融资伙伴要求或者尽职调查需要而披露本合同条款内容的情况不受前述条款限制。本保密条款不因本合同终止而失效。</w:t>
      </w:r>
    </w:p>
    <w:p>
      <w:pPr>
        <w:wordWrap/>
        <w:adjustRightInd w:val="0"/>
        <w:snapToGrid w:val="0"/>
        <w:spacing w:line="240" w:lineRule="auto"/>
        <w:ind w:left="0" w:leftChars="0" w:right="0"/>
        <w:rPr>
          <w:rFonts w:hint="eastAsia" w:ascii="仿宋_GB2312" w:hAnsi="仿宋_GB2312" w:eastAsia="仿宋_GB2312" w:cs="仿宋_GB2312"/>
          <w:color w:val="000000"/>
          <w:sz w:val="21"/>
          <w:szCs w:val="21"/>
        </w:rPr>
      </w:pPr>
      <w:r>
        <w:rPr>
          <w:rFonts w:hint="eastAsia" w:ascii="仿宋_GB2312" w:hAnsi="仿宋_GB2312" w:eastAsia="仿宋_GB2312" w:cs="仿宋_GB2312"/>
          <w:b/>
          <w:color w:val="000000"/>
          <w:sz w:val="21"/>
          <w:szCs w:val="21"/>
        </w:rPr>
        <w:t>第十九条  法律适用及争议解决方式</w:t>
      </w:r>
    </w:p>
    <w:p>
      <w:pPr>
        <w:wordWrap/>
        <w:adjustRightInd w:val="0"/>
        <w:snapToGrid w:val="0"/>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1.本合同的订立、效力、解释、履行以及争议解决等均应遵守中华人民共和国法律。</w:t>
      </w:r>
    </w:p>
    <w:p>
      <w:pPr>
        <w:wordWrap/>
        <w:adjustRightInd w:val="0"/>
        <w:snapToGrid w:val="0"/>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2.凡因本合同引起的或者与本合同有关的任何争议，双方首先应当通过友好协商及时加以解决。协商不成时，双方可通过法律诉讼手段解决，通过诉讼途径解决时，任何一方均可向北京市西城区人民法院提起诉讼。</w:t>
      </w:r>
    </w:p>
    <w:p>
      <w:pPr>
        <w:wordWrap/>
        <w:adjustRightInd w:val="0"/>
        <w:snapToGrid w:val="0"/>
        <w:spacing w:line="240" w:lineRule="auto"/>
        <w:ind w:left="0" w:leftChars="0" w:right="0" w:firstLine="420" w:firstLineChars="200"/>
        <w:rPr>
          <w:rFonts w:hint="eastAsia" w:ascii="仿宋_GB2312" w:hAnsi="仿宋_GB2312" w:eastAsia="仿宋_GB2312" w:cs="仿宋_GB2312"/>
          <w:b/>
          <w:color w:val="000000"/>
          <w:sz w:val="21"/>
          <w:szCs w:val="21"/>
        </w:rPr>
      </w:pPr>
      <w:r>
        <w:rPr>
          <w:rFonts w:hint="eastAsia" w:ascii="仿宋_GB2312" w:hAnsi="仿宋_GB2312" w:eastAsia="仿宋_GB2312" w:cs="仿宋_GB2312"/>
          <w:color w:val="000000"/>
          <w:sz w:val="21"/>
          <w:szCs w:val="21"/>
        </w:rPr>
        <w:t>3.上述争议发生期间以及协商、诉讼期间，除与争议有关的事项外，本合同双方仍应当行使各自在本合同项下的其他权利并履行各自在本合同项下的其他义务。</w:t>
      </w:r>
    </w:p>
    <w:p>
      <w:pPr>
        <w:wordWrap/>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第二十条  通知及送达</w:t>
      </w:r>
    </w:p>
    <w:p>
      <w:pPr>
        <w:wordWrap/>
        <w:adjustRightInd w:val="0"/>
        <w:snapToGrid w:val="0"/>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任何一方根据本合同的约定需向对方发出的任何通知或书面文件，均应以中文书写，并以下列任一种指定方式迅速发往或寄往本合同附件四中对方的指定通讯地址，且上述通知和其他函件应被视为在以下日期有效送达：</w:t>
      </w:r>
    </w:p>
    <w:p>
      <w:pPr>
        <w:wordWrap/>
        <w:adjustRightInd w:val="0"/>
        <w:snapToGrid w:val="0"/>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1.如用快递服务公司递交的信件发出，信件签收日被视为收件日期；</w:t>
      </w:r>
    </w:p>
    <w:p>
      <w:pPr>
        <w:wordWrap/>
        <w:adjustRightInd w:val="0"/>
        <w:snapToGrid w:val="0"/>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2.如以人手传送发出，在人手递交之日视为已送达；</w:t>
      </w:r>
    </w:p>
    <w:p>
      <w:pPr>
        <w:wordWrap/>
        <w:adjustRightInd w:val="0"/>
        <w:snapToGrid w:val="0"/>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3.如用电子邮件发出，电子邮件发出之日视为收件日期。</w:t>
      </w:r>
    </w:p>
    <w:p>
      <w:pPr>
        <w:wordWrap/>
        <w:spacing w:line="240" w:lineRule="auto"/>
        <w:ind w:left="0" w:leftChars="0" w:right="0" w:firstLine="420" w:firstLineChars="200"/>
        <w:rPr>
          <w:rFonts w:hint="eastAsia" w:ascii="仿宋_GB2312" w:hAnsi="仿宋_GB2312" w:eastAsia="仿宋_GB2312" w:cs="仿宋_GB2312"/>
          <w:b/>
          <w:color w:val="000000"/>
          <w:sz w:val="21"/>
          <w:szCs w:val="21"/>
        </w:rPr>
      </w:pPr>
      <w:r>
        <w:rPr>
          <w:rFonts w:hint="eastAsia" w:ascii="仿宋_GB2312" w:hAnsi="仿宋_GB2312" w:eastAsia="仿宋_GB2312" w:cs="仿宋_GB2312"/>
          <w:color w:val="000000"/>
          <w:sz w:val="21"/>
          <w:szCs w:val="21"/>
        </w:rPr>
        <w:t>任何一方变更附件四的内容时，应以书面形式及时事先通知对方，否则应承担由此产生的一切后果。</w:t>
      </w:r>
    </w:p>
    <w:p>
      <w:pPr>
        <w:wordWrap/>
        <w:adjustRightInd w:val="0"/>
        <w:snapToGrid w:val="0"/>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第二十一条  补充协议及附件</w:t>
      </w:r>
    </w:p>
    <w:p>
      <w:pPr>
        <w:wordWrap/>
        <w:adjustRightInd w:val="0"/>
        <w:snapToGrid w:val="0"/>
        <w:spacing w:line="240" w:lineRule="auto"/>
        <w:ind w:left="0" w:leftChars="0" w:right="0" w:firstLine="422" w:firstLineChars="200"/>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1.本合同计租面积为基于房产证面积计算，后期实测后如有微调，补充协议中计租面积以实测面积为准。</w:t>
      </w:r>
    </w:p>
    <w:p>
      <w:pPr>
        <w:wordWrap/>
        <w:adjustRightInd w:val="0"/>
        <w:snapToGrid w:val="0"/>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2.对本合同所作的任何修订、补充、删减或变更，均应采取书面形式进行，由双方订立书面补充协议，并经双方法定代表人或授权代表签字及加盖各自的公章后方才生效。补充协议为本合同不可分割的组成部分，与本合同具有同等法律效力。补充协议与本合同相冲突的，以补充协议的约定为准。</w:t>
      </w:r>
    </w:p>
    <w:p>
      <w:pPr>
        <w:wordWrap/>
        <w:adjustRightInd w:val="0"/>
        <w:snapToGrid w:val="0"/>
        <w:spacing w:line="240" w:lineRule="auto"/>
        <w:ind w:left="0" w:leftChars="0" w:right="0" w:firstLine="420" w:firstLineChars="200"/>
        <w:rPr>
          <w:rFonts w:hint="eastAsia" w:ascii="仿宋_GB2312" w:hAnsi="仿宋_GB2312" w:eastAsia="仿宋_GB2312" w:cs="仿宋_GB2312"/>
          <w:color w:val="FF0000"/>
          <w:sz w:val="21"/>
          <w:szCs w:val="21"/>
        </w:rPr>
      </w:pPr>
      <w:r>
        <w:rPr>
          <w:rFonts w:hint="eastAsia" w:ascii="仿宋_GB2312" w:hAnsi="仿宋_GB2312" w:eastAsia="仿宋_GB2312" w:cs="仿宋_GB2312"/>
          <w:color w:val="auto"/>
          <w:sz w:val="21"/>
          <w:szCs w:val="21"/>
        </w:rPr>
        <w:t>3.本合同附件为本合同不可分割的组成部分，与本合同具有同等法律效力。</w:t>
      </w:r>
    </w:p>
    <w:p>
      <w:pPr>
        <w:wordWrap/>
        <w:adjustRightInd w:val="0"/>
        <w:snapToGrid w:val="0"/>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本合同的附件包括：</w:t>
      </w:r>
    </w:p>
    <w:p>
      <w:pPr>
        <w:wordWrap/>
        <w:adjustRightInd w:val="0"/>
        <w:snapToGrid w:val="0"/>
        <w:spacing w:line="240" w:lineRule="auto"/>
        <w:ind w:left="0" w:leftChars="0" w:right="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附件一.位置示意图</w:t>
      </w:r>
    </w:p>
    <w:p>
      <w:pPr>
        <w:wordWrap/>
        <w:adjustRightInd w:val="0"/>
        <w:snapToGrid w:val="0"/>
        <w:spacing w:line="240" w:lineRule="auto"/>
        <w:ind w:left="0" w:leftChars="0" w:right="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附件二.标的物退租还原标准</w:t>
      </w:r>
    </w:p>
    <w:p>
      <w:pPr>
        <w:wordWrap/>
        <w:adjustRightInd w:val="0"/>
        <w:snapToGrid w:val="0"/>
        <w:spacing w:line="240" w:lineRule="auto"/>
        <w:ind w:left="0" w:leftChars="0" w:right="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附件三.承租人信息登记表</w:t>
      </w:r>
    </w:p>
    <w:p>
      <w:pPr>
        <w:wordWrap/>
        <w:adjustRightInd w:val="0"/>
        <w:snapToGrid w:val="0"/>
        <w:spacing w:line="240" w:lineRule="auto"/>
        <w:ind w:left="0" w:leftChars="0" w:right="0" w:firstLine="420" w:firstLineChars="200"/>
        <w:rPr>
          <w:rFonts w:hint="eastAsia" w:ascii="仿宋_GB2312" w:hAnsi="仿宋_GB2312" w:eastAsia="仿宋_GB2312" w:cs="仿宋_GB2312"/>
          <w:b/>
          <w:color w:val="000000"/>
          <w:sz w:val="21"/>
          <w:szCs w:val="21"/>
        </w:rPr>
      </w:pPr>
      <w:r>
        <w:rPr>
          <w:rFonts w:hint="eastAsia" w:ascii="仿宋_GB2312" w:hAnsi="仿宋_GB2312" w:eastAsia="仿宋_GB2312" w:cs="仿宋_GB2312"/>
          <w:sz w:val="21"/>
          <w:szCs w:val="21"/>
        </w:rPr>
        <w:t>附件四.通知送达信息表</w:t>
      </w:r>
    </w:p>
    <w:p>
      <w:pPr>
        <w:wordWrap/>
        <w:spacing w:line="240" w:lineRule="auto"/>
        <w:ind w:left="0" w:leftChars="0" w:right="0"/>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sz w:val="21"/>
          <w:szCs w:val="21"/>
        </w:rPr>
        <w:t>第二十二条  其它</w:t>
      </w:r>
    </w:p>
    <w:p>
      <w:pPr>
        <w:wordWrap/>
        <w:adjustRightInd w:val="0"/>
        <w:snapToGrid w:val="0"/>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1.旁注、标题和索引仅作为指导之用而不构成本合同的一部分。在解释或阐述本合同的任何条款时也不应考虑它们或受其影响或限制。</w:t>
      </w:r>
    </w:p>
    <w:p>
      <w:pPr>
        <w:wordWrap/>
        <w:adjustRightInd w:val="0"/>
        <w:snapToGrid w:val="0"/>
        <w:spacing w:line="240" w:lineRule="auto"/>
        <w:ind w:left="0" w:leftChars="0" w:right="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2.本合同经双方法定代表人或授权代表签字并加盖各自的公章后生效，授权代表签字的应将被授权书作为合同附件。</w:t>
      </w:r>
    </w:p>
    <w:p>
      <w:pPr>
        <w:wordWrap/>
        <w:adjustRightInd w:val="0"/>
        <w:snapToGrid w:val="0"/>
        <w:spacing w:line="240" w:lineRule="auto"/>
        <w:ind w:left="0" w:leftChars="0" w:right="0"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3.本合同及其附件一式陆份，出租人持叁份，承租人持叁份，具有同等效力</w:t>
      </w:r>
    </w:p>
    <w:p>
      <w:pPr>
        <w:widowControl w:val="0"/>
        <w:wordWrap/>
        <w:adjustRightInd w:val="0"/>
        <w:snapToGrid w:val="0"/>
        <w:spacing w:line="240" w:lineRule="auto"/>
        <w:ind w:left="0" w:leftChars="0" w:right="0" w:firstLine="420" w:firstLineChars="200"/>
        <w:jc w:val="both"/>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 xml:space="preserve">出租人（公章）： </w:t>
      </w:r>
    </w:p>
    <w:p>
      <w:pPr>
        <w:widowControl w:val="0"/>
        <w:wordWrap/>
        <w:adjustRightInd w:val="0"/>
        <w:snapToGrid w:val="0"/>
        <w:spacing w:line="240" w:lineRule="auto"/>
        <w:ind w:left="0" w:leftChars="0" w:right="0" w:firstLine="420" w:firstLineChars="200"/>
        <w:jc w:val="both"/>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 xml:space="preserve">法定代表人或授权代表签字:                  </w:t>
      </w:r>
    </w:p>
    <w:p>
      <w:pPr>
        <w:widowControl w:val="0"/>
        <w:wordWrap/>
        <w:spacing w:line="240" w:lineRule="auto"/>
        <w:ind w:left="0" w:leftChars="0" w:right="0" w:firstLine="420" w:firstLineChars="200"/>
        <w:jc w:val="both"/>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签订日期</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u w:val="single"/>
        </w:rPr>
        <w:t xml:space="preserve">    </w:t>
      </w:r>
      <w:r>
        <w:rPr>
          <w:rFonts w:hint="eastAsia" w:ascii="仿宋_GB2312" w:hAnsi="仿宋_GB2312" w:eastAsia="仿宋_GB2312" w:cs="仿宋_GB2312"/>
          <w:color w:val="auto"/>
          <w:sz w:val="21"/>
          <w:szCs w:val="21"/>
        </w:rPr>
        <w:t>年</w:t>
      </w:r>
      <w:r>
        <w:rPr>
          <w:rFonts w:hint="eastAsia" w:ascii="仿宋_GB2312" w:hAnsi="仿宋_GB2312" w:eastAsia="仿宋_GB2312" w:cs="仿宋_GB2312"/>
          <w:color w:val="auto"/>
          <w:sz w:val="21"/>
          <w:szCs w:val="21"/>
          <w:u w:val="single"/>
        </w:rPr>
        <w:t xml:space="preserve">    </w:t>
      </w:r>
      <w:r>
        <w:rPr>
          <w:rFonts w:hint="eastAsia" w:ascii="仿宋_GB2312" w:hAnsi="仿宋_GB2312" w:eastAsia="仿宋_GB2312" w:cs="仿宋_GB2312"/>
          <w:color w:val="auto"/>
          <w:sz w:val="21"/>
          <w:szCs w:val="21"/>
        </w:rPr>
        <w:t>月</w:t>
      </w:r>
      <w:r>
        <w:rPr>
          <w:rFonts w:hint="eastAsia" w:ascii="仿宋_GB2312" w:hAnsi="仿宋_GB2312" w:eastAsia="仿宋_GB2312" w:cs="仿宋_GB2312"/>
          <w:color w:val="auto"/>
          <w:sz w:val="21"/>
          <w:szCs w:val="21"/>
          <w:u w:val="single"/>
        </w:rPr>
        <w:t xml:space="preserve">    </w:t>
      </w:r>
      <w:r>
        <w:rPr>
          <w:rFonts w:hint="eastAsia" w:ascii="仿宋_GB2312" w:hAnsi="仿宋_GB2312" w:eastAsia="仿宋_GB2312" w:cs="仿宋_GB2312"/>
          <w:color w:val="auto"/>
          <w:sz w:val="21"/>
          <w:szCs w:val="21"/>
        </w:rPr>
        <w:t>日</w:t>
      </w:r>
    </w:p>
    <w:p>
      <w:pPr>
        <w:widowControl w:val="0"/>
        <w:wordWrap/>
        <w:spacing w:line="240" w:lineRule="auto"/>
        <w:ind w:left="0" w:leftChars="0" w:right="0" w:firstLine="420" w:firstLineChars="200"/>
        <w:jc w:val="both"/>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 xml:space="preserve">承租人（公章）： </w:t>
      </w:r>
    </w:p>
    <w:p>
      <w:pPr>
        <w:widowControl w:val="0"/>
        <w:wordWrap/>
        <w:spacing w:line="240" w:lineRule="auto"/>
        <w:ind w:left="0" w:leftChars="0" w:right="0" w:firstLine="420" w:firstLineChars="200"/>
        <w:jc w:val="both"/>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 xml:space="preserve">法定代表人或授权代表签字:                   </w:t>
      </w:r>
    </w:p>
    <w:p>
      <w:pPr>
        <w:widowControl w:val="0"/>
        <w:wordWrap/>
        <w:spacing w:line="240" w:lineRule="auto"/>
        <w:ind w:left="0" w:leftChars="0" w:right="0" w:firstLine="420" w:firstLineChars="200"/>
        <w:jc w:val="both"/>
        <w:textAlignment w:val="auto"/>
        <w:outlineLvl w:val="9"/>
        <w:rPr>
          <w:rFonts w:ascii="仿宋_GB2312" w:hAnsi="仿宋_GB2312" w:eastAsia="仿宋_GB2312" w:cs="仿宋_GB2312"/>
        </w:rPr>
      </w:pPr>
      <w:r>
        <w:rPr>
          <w:rFonts w:hint="eastAsia" w:ascii="仿宋_GB2312" w:hAnsi="仿宋_GB2312" w:eastAsia="仿宋_GB2312" w:cs="仿宋_GB2312"/>
          <w:color w:val="auto"/>
          <w:sz w:val="21"/>
          <w:szCs w:val="21"/>
        </w:rPr>
        <w:t>签订日期：</w:t>
      </w:r>
      <w:r>
        <w:rPr>
          <w:rFonts w:hint="eastAsia" w:ascii="仿宋_GB2312" w:hAnsi="仿宋_GB2312" w:eastAsia="仿宋_GB2312" w:cs="仿宋_GB2312"/>
          <w:color w:val="auto"/>
          <w:sz w:val="21"/>
          <w:szCs w:val="21"/>
          <w:u w:val="single"/>
        </w:rPr>
        <w:t xml:space="preserve">    </w:t>
      </w:r>
      <w:r>
        <w:rPr>
          <w:rFonts w:hint="eastAsia" w:ascii="仿宋_GB2312" w:hAnsi="仿宋_GB2312" w:eastAsia="仿宋_GB2312" w:cs="仿宋_GB2312"/>
          <w:color w:val="auto"/>
          <w:sz w:val="21"/>
          <w:szCs w:val="21"/>
        </w:rPr>
        <w:t>年</w:t>
      </w:r>
      <w:r>
        <w:rPr>
          <w:rFonts w:hint="eastAsia" w:ascii="仿宋_GB2312" w:hAnsi="仿宋_GB2312" w:eastAsia="仿宋_GB2312" w:cs="仿宋_GB2312"/>
          <w:color w:val="auto"/>
          <w:sz w:val="21"/>
          <w:szCs w:val="21"/>
          <w:u w:val="single"/>
        </w:rPr>
        <w:t xml:space="preserve">    </w:t>
      </w:r>
      <w:r>
        <w:rPr>
          <w:rFonts w:hint="eastAsia" w:ascii="仿宋_GB2312" w:hAnsi="仿宋_GB2312" w:eastAsia="仿宋_GB2312" w:cs="仿宋_GB2312"/>
          <w:color w:val="auto"/>
          <w:sz w:val="21"/>
          <w:szCs w:val="21"/>
        </w:rPr>
        <w:t>月</w:t>
      </w:r>
      <w:r>
        <w:rPr>
          <w:rFonts w:hint="eastAsia" w:ascii="仿宋_GB2312" w:hAnsi="仿宋_GB2312" w:eastAsia="仿宋_GB2312" w:cs="仿宋_GB2312"/>
          <w:color w:val="auto"/>
          <w:sz w:val="21"/>
          <w:szCs w:val="21"/>
          <w:u w:val="single"/>
        </w:rPr>
        <w:t xml:space="preserve">    </w:t>
      </w:r>
      <w:r>
        <w:rPr>
          <w:rFonts w:hint="eastAsia" w:ascii="仿宋_GB2312" w:hAnsi="仿宋_GB2312" w:eastAsia="仿宋_GB2312" w:cs="仿宋_GB2312"/>
          <w:color w:val="auto"/>
          <w:sz w:val="21"/>
          <w:szCs w:val="21"/>
        </w:rPr>
        <w:t>日</w:t>
      </w:r>
    </w:p>
    <w:p>
      <w:pPr>
        <w:rPr>
          <w:rFonts w:hint="eastAsia" w:ascii="仿宋_GB2312" w:hAnsi="仿宋_GB2312" w:eastAsia="仿宋_GB2312" w:cs="仿宋_GB2312"/>
          <w:lang w:val="en-US" w:eastAsia="zh-CN" w:bidi="ar-SA"/>
        </w:rPr>
      </w:pPr>
    </w:p>
    <w:p>
      <w:pPr>
        <w:widowControl/>
        <w:wordWrap/>
        <w:adjustRightInd/>
        <w:snapToGrid/>
        <w:spacing w:line="240" w:lineRule="auto"/>
        <w:ind w:left="0" w:leftChars="0" w:right="0" w:firstLine="0" w:firstLineChars="0"/>
        <w:jc w:val="left"/>
        <w:textAlignment w:val="auto"/>
        <w:outlineLvl w:val="9"/>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（四）履约验收方案</w:t>
      </w:r>
    </w:p>
    <w:p>
      <w:pPr>
        <w:widowControl/>
        <w:wordWrap/>
        <w:adjustRightInd/>
        <w:snapToGrid/>
        <w:spacing w:line="240" w:lineRule="auto"/>
        <w:ind w:left="0" w:leftChars="0" w:right="0" w:firstLine="0" w:firstLineChars="0"/>
        <w:jc w:val="left"/>
        <w:textAlignment w:val="auto"/>
        <w:outlineLvl w:val="9"/>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1.包 1</w:t>
      </w:r>
    </w:p>
    <w:p>
      <w:pPr>
        <w:widowControl/>
        <w:wordWrap/>
        <w:adjustRightInd/>
        <w:snapToGrid/>
        <w:spacing w:line="240" w:lineRule="auto"/>
        <w:ind w:left="0" w:leftChars="0" w:right="0" w:firstLine="0" w:firstLineChars="0"/>
        <w:jc w:val="left"/>
        <w:textAlignment w:val="auto"/>
        <w:outlineLvl w:val="9"/>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（1）验收主体</w:t>
      </w:r>
    </w:p>
    <w:p>
      <w:pPr>
        <w:widowControl/>
        <w:wordWrap/>
        <w:adjustRightInd/>
        <w:snapToGrid/>
        <w:spacing w:line="240" w:lineRule="auto"/>
        <w:ind w:left="0" w:leftChars="0" w:right="0" w:firstLine="0" w:firstLineChars="0"/>
        <w:jc w:val="left"/>
        <w:textAlignment w:val="auto"/>
        <w:outlineLvl w:val="9"/>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采购人（需求部门）</w:t>
      </w:r>
      <w:r>
        <w:rPr>
          <w:rFonts w:hint="eastAsia" w:ascii="仿宋_GB2312" w:hAnsi="仿宋_GB2312" w:eastAsia="仿宋_GB2312" w:cs="仿宋_GB2312"/>
          <w:u w:val="single"/>
          <w:lang w:val="en-US" w:eastAsia="zh-CN" w:bidi="ar-SA"/>
        </w:rPr>
        <w:t>中国人民银行机关服务中心</w:t>
      </w:r>
    </w:p>
    <w:p>
      <w:pPr>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采购人（需求部门）拟邀请（）</w:t>
      </w:r>
    </w:p>
    <w:p>
      <w:pPr>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（2）验收时间</w:t>
      </w:r>
      <w:r>
        <w:rPr>
          <w:rFonts w:hint="eastAsia" w:ascii="仿宋_GB2312" w:hAnsi="仿宋_GB2312" w:eastAsia="仿宋_GB2312" w:cs="仿宋_GB2312"/>
          <w:u w:val="single"/>
          <w:lang w:val="en-US" w:eastAsia="zh-CN" w:bidi="ar-SA"/>
        </w:rPr>
        <w:t>2026年8月1日。</w:t>
      </w:r>
    </w:p>
    <w:p>
      <w:pPr>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（3）验收方式</w:t>
      </w:r>
      <w:r>
        <w:rPr>
          <w:rFonts w:hint="eastAsia" w:ascii="仿宋_GB2312" w:hAnsi="仿宋_GB2312" w:eastAsia="仿宋_GB2312" w:cs="仿宋_GB2312"/>
          <w:u w:val="single"/>
          <w:lang w:val="en-US" w:eastAsia="zh-CN" w:bidi="ar-SA"/>
        </w:rPr>
        <w:t>一次性验收</w:t>
      </w:r>
    </w:p>
    <w:p>
      <w:pPr>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（4）验收程序</w:t>
      </w:r>
      <w:r>
        <w:rPr>
          <w:rFonts w:hint="eastAsia" w:ascii="仿宋_GB2312" w:hAnsi="仿宋_GB2312" w:eastAsia="仿宋_GB2312" w:cs="仿宋_GB2312"/>
          <w:u w:val="single"/>
          <w:lang w:val="en-US" w:eastAsia="zh-CN" w:bidi="ar-SA"/>
        </w:rPr>
        <w:t>需求部门根据合同内容现场验收。</w:t>
      </w:r>
    </w:p>
    <w:p>
      <w:pPr>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（5）验收内容</w:t>
      </w:r>
      <w:r>
        <w:rPr>
          <w:rFonts w:hint="eastAsia" w:ascii="仿宋_GB2312" w:hAnsi="仿宋_GB2312" w:eastAsia="仿宋_GB2312" w:cs="仿宋_GB2312"/>
          <w:u w:val="single"/>
          <w:lang w:val="en-US" w:eastAsia="zh-CN" w:bidi="ar-SA"/>
        </w:rPr>
        <w:t>业务用房的改造是否满足</w:t>
      </w:r>
      <w:r>
        <w:rPr>
          <w:rFonts w:hint="default" w:ascii="仿宋_GB2312" w:hAnsi="仿宋_GB2312" w:eastAsia="仿宋_GB2312" w:cs="仿宋_GB2312"/>
          <w:u w:val="single"/>
          <w:lang w:val="en-US" w:eastAsia="zh-CN" w:bidi="ar-SA"/>
        </w:rPr>
        <w:t>总行</w:t>
      </w:r>
      <w:r>
        <w:rPr>
          <w:rFonts w:hint="eastAsia" w:ascii="仿宋_GB2312" w:hAnsi="仿宋_GB2312" w:eastAsia="仿宋_GB2312" w:cs="仿宋_GB2312"/>
          <w:u w:val="single"/>
          <w:lang w:val="en-US" w:eastAsia="zh-CN" w:bidi="ar-SA"/>
        </w:rPr>
        <w:t>电子设备、信息网络业务开展需求，保密管理要求以及信息网络集中管理、业务集中办理要求；是否具备</w:t>
      </w:r>
      <w:r>
        <w:rPr>
          <w:rFonts w:hint="default" w:ascii="仿宋_GB2312" w:hAnsi="仿宋_GB2312" w:eastAsia="仿宋_GB2312" w:cs="仿宋_GB2312"/>
          <w:u w:val="single"/>
          <w:lang w:val="en-US" w:eastAsia="zh-CN" w:bidi="ar-SA"/>
        </w:rPr>
        <w:t>总行</w:t>
      </w:r>
      <w:r>
        <w:rPr>
          <w:rFonts w:hint="eastAsia" w:ascii="仿宋_GB2312" w:hAnsi="仿宋_GB2312" w:eastAsia="仿宋_GB2312" w:cs="仿宋_GB2312"/>
          <w:u w:val="single"/>
          <w:lang w:val="en-US" w:eastAsia="zh-CN" w:bidi="ar-SA"/>
        </w:rPr>
        <w:t>办公网、业务网、互联网三网合一搭建条件；房间环境是否收拾的干净整洁，房间内部地板是否平整，内外墙面是否完好；是否出现漏水漏风等问题；区域内的水、电、网络线路是否畅通，空调、消防、监控等设施设备是否具备正常运行条件，防火、防盗等安保措施是否齐备。</w:t>
      </w:r>
    </w:p>
    <w:p>
      <w:pPr>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（6）验收标准</w:t>
      </w:r>
      <w:r>
        <w:rPr>
          <w:rFonts w:hint="eastAsia" w:ascii="仿宋_GB2312" w:hAnsi="仿宋_GB2312" w:eastAsia="仿宋_GB2312" w:cs="仿宋_GB2312"/>
          <w:u w:val="single"/>
          <w:lang w:val="en-US" w:eastAsia="zh-CN" w:bidi="ar-SA"/>
        </w:rPr>
        <w:t>业务用房的改造满足</w:t>
      </w:r>
      <w:r>
        <w:rPr>
          <w:rFonts w:hint="default" w:ascii="仿宋_GB2312" w:hAnsi="仿宋_GB2312" w:eastAsia="仿宋_GB2312" w:cs="仿宋_GB2312"/>
          <w:u w:val="single"/>
          <w:lang w:val="en-US" w:eastAsia="zh-CN" w:bidi="ar-SA"/>
        </w:rPr>
        <w:t>总行</w:t>
      </w:r>
      <w:r>
        <w:rPr>
          <w:rFonts w:hint="eastAsia" w:ascii="仿宋_GB2312" w:hAnsi="仿宋_GB2312" w:eastAsia="仿宋_GB2312" w:cs="仿宋_GB2312"/>
          <w:u w:val="single"/>
          <w:lang w:val="en-US" w:eastAsia="zh-CN" w:bidi="ar-SA"/>
        </w:rPr>
        <w:t>电子设备、信息网络业务开展需求，保密管理要求以及信息网络集中管理、业务集中办理要求；具备</w:t>
      </w:r>
      <w:r>
        <w:rPr>
          <w:rFonts w:hint="default" w:ascii="仿宋_GB2312" w:hAnsi="仿宋_GB2312" w:eastAsia="仿宋_GB2312" w:cs="仿宋_GB2312"/>
          <w:u w:val="single"/>
          <w:lang w:val="en-US" w:eastAsia="zh-CN" w:bidi="ar-SA"/>
        </w:rPr>
        <w:t>总行</w:t>
      </w:r>
      <w:r>
        <w:rPr>
          <w:rFonts w:hint="eastAsia" w:ascii="仿宋_GB2312" w:hAnsi="仿宋_GB2312" w:eastAsia="仿宋_GB2312" w:cs="仿宋_GB2312"/>
          <w:u w:val="single"/>
          <w:lang w:val="en-US" w:eastAsia="zh-CN" w:bidi="ar-SA"/>
        </w:rPr>
        <w:t>办公网、业务网、互联网三网合一搭建条件；房间环境干净整洁，房间内部地板平整，内外墙面完好；未出现漏水漏风等问题；区域内的水、电、网络线路畅通，空调、消防、监控等设施设备具备正常运行条件，防火、防盗等安保措施齐备。</w:t>
      </w:r>
    </w:p>
    <w:p>
      <w:pPr>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（7）其他事项（如有）</w:t>
      </w:r>
      <w:r>
        <w:rPr>
          <w:rFonts w:hint="eastAsia" w:ascii="仿宋_GB2312" w:hAnsi="仿宋_GB2312" w:eastAsia="仿宋_GB2312" w:cs="仿宋_GB2312"/>
          <w:u w:val="single"/>
          <w:lang w:val="en-US" w:eastAsia="zh-CN" w:bidi="ar-SA"/>
        </w:rPr>
        <w:t>需要供应商保证提供可接入人民银行总行办公网、业务网、互联网三网的基础设施设备和符合保密管理要求的封闭设备间、档案室等特殊房间。</w:t>
      </w:r>
    </w:p>
    <w:p>
      <w:pPr>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（五）风险管理控制</w:t>
      </w:r>
    </w:p>
    <w:p>
      <w:pPr>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1.包 1</w:t>
      </w:r>
    </w:p>
    <w:p>
      <w:pPr>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（1）国家政策变化风险的应对措施:</w:t>
      </w:r>
    </w:p>
    <w:p>
      <w:pPr>
        <w:rPr>
          <w:rFonts w:hint="eastAsia" w:ascii="Calibri" w:hAnsi="Calibri" w:eastAsia="宋体" w:cs="Times New Roman"/>
          <w:lang w:val="en-US" w:eastAsia="zh-CN" w:bidi="ar-SA"/>
        </w:rPr>
      </w:pPr>
      <w:r>
        <w:rPr>
          <w:rFonts w:hint="eastAsia" w:ascii="仿宋_GB2312" w:hAnsi="仿宋_GB2312" w:eastAsia="仿宋_GB2312" w:cs="仿宋_GB2312"/>
          <w:u w:val="single"/>
          <w:lang w:val="en-US" w:eastAsia="zh-CN" w:bidi="ar-SA"/>
        </w:rPr>
        <w:t>按照最新政策要求开展工作。</w:t>
      </w:r>
    </w:p>
    <w:p>
      <w:pPr>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（2）实施环境变化风险的应对措施:</w:t>
      </w:r>
    </w:p>
    <w:p>
      <w:pPr>
        <w:rPr>
          <w:rFonts w:hint="eastAsia" w:ascii="Calibri" w:hAnsi="Calibri" w:eastAsia="宋体" w:cs="Times New Roman"/>
          <w:lang w:val="en-US" w:eastAsia="zh-CN" w:bidi="ar-SA"/>
        </w:rPr>
      </w:pPr>
      <w:r>
        <w:rPr>
          <w:rFonts w:hint="eastAsia" w:ascii="仿宋_GB2312" w:hAnsi="仿宋_GB2312" w:eastAsia="仿宋_GB2312" w:cs="仿宋_GB2312"/>
          <w:u w:val="single"/>
          <w:lang w:val="en-US" w:eastAsia="zh-CN" w:bidi="ar-SA"/>
        </w:rPr>
        <w:t>综合考量环境变化带来的风险，在不违反规章制度的前提下开展工作。</w:t>
      </w:r>
    </w:p>
    <w:p>
      <w:pPr>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（3）重大技术变化风险的应对措施:</w:t>
      </w:r>
    </w:p>
    <w:p>
      <w:pPr>
        <w:rPr>
          <w:rFonts w:hint="eastAsia" w:ascii="Calibri" w:hAnsi="Calibri" w:eastAsia="宋体" w:cs="Times New Roman"/>
          <w:lang w:val="en-US" w:eastAsia="zh-CN" w:bidi="ar-SA"/>
        </w:rPr>
      </w:pPr>
      <w:r>
        <w:rPr>
          <w:rFonts w:hint="eastAsia" w:ascii="仿宋_GB2312" w:hAnsi="仿宋_GB2312" w:eastAsia="仿宋_GB2312" w:cs="仿宋_GB2312"/>
          <w:u w:val="single"/>
          <w:lang w:val="en-US" w:eastAsia="zh-CN" w:bidi="ar-SA"/>
        </w:rPr>
        <w:t>综合考量重大技术变化带来的风险，在不违反规章制度的前提下开展工作。</w:t>
      </w:r>
    </w:p>
    <w:p>
      <w:pPr>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（4）出现安全漏洞的应对措施:</w:t>
      </w:r>
    </w:p>
    <w:p>
      <w:pPr>
        <w:rPr>
          <w:rFonts w:hint="eastAsia" w:ascii="Calibri" w:hAnsi="Calibri" w:eastAsia="宋体" w:cs="Times New Roman"/>
          <w:lang w:val="en-US" w:eastAsia="zh-CN" w:bidi="ar-SA"/>
        </w:rPr>
      </w:pPr>
      <w:r>
        <w:rPr>
          <w:rFonts w:hint="eastAsia" w:ascii="仿宋_GB2312" w:hAnsi="仿宋_GB2312" w:eastAsia="仿宋_GB2312" w:cs="仿宋_GB2312"/>
          <w:u w:val="single"/>
          <w:lang w:val="en-US" w:eastAsia="zh-CN" w:bidi="ar-SA"/>
        </w:rPr>
        <w:t>及时与委托代理单位联系，妥善解决安全漏洞。</w:t>
      </w:r>
    </w:p>
    <w:p>
      <w:pPr>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（5）预算项目调整风险的应对措施:</w:t>
      </w:r>
    </w:p>
    <w:p>
      <w:pPr>
        <w:rPr>
          <w:rFonts w:hint="eastAsia" w:ascii="Calibri" w:hAnsi="Calibri" w:eastAsia="宋体" w:cs="Times New Roman"/>
          <w:lang w:val="en-US" w:eastAsia="zh-CN" w:bidi="ar-SA"/>
        </w:rPr>
      </w:pPr>
      <w:r>
        <w:rPr>
          <w:rFonts w:hint="eastAsia" w:ascii="仿宋_GB2312" w:hAnsi="仿宋_GB2312" w:eastAsia="仿宋_GB2312" w:cs="仿宋_GB2312"/>
          <w:u w:val="single"/>
          <w:lang w:val="en-US" w:eastAsia="zh-CN" w:bidi="ar-SA"/>
        </w:rPr>
        <w:t>坚持预算管理要求和“过紧日子”要求，严守财经纪律底线红线。</w:t>
      </w:r>
    </w:p>
    <w:p>
      <w:pPr>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（6）因质疑投诉影响采购进度风险的应对措施:</w:t>
      </w:r>
    </w:p>
    <w:p>
      <w:pPr>
        <w:rPr>
          <w:rFonts w:hint="eastAsia" w:ascii="Calibri" w:hAnsi="Calibri" w:eastAsia="宋体" w:cs="Times New Roman"/>
          <w:lang w:val="en-US" w:eastAsia="zh-CN" w:bidi="ar-SA"/>
        </w:rPr>
      </w:pPr>
      <w:r>
        <w:rPr>
          <w:rFonts w:hint="eastAsia" w:ascii="仿宋_GB2312" w:hAnsi="仿宋_GB2312" w:eastAsia="仿宋_GB2312" w:cs="仿宋_GB2312"/>
          <w:u w:val="single"/>
          <w:lang w:val="en-US" w:eastAsia="zh-CN" w:bidi="ar-SA"/>
        </w:rPr>
        <w:t>与委托代理单位加强沟通，合规妥善解决质疑投诉。</w:t>
      </w:r>
    </w:p>
    <w:p>
      <w:pPr>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（7）采购失败风险的应对措施:</w:t>
      </w:r>
    </w:p>
    <w:p>
      <w:pPr>
        <w:rPr>
          <w:rFonts w:hint="eastAsia" w:ascii="Calibri" w:hAnsi="Calibri" w:eastAsia="宋体" w:cs="Times New Roman"/>
          <w:lang w:val="en-US" w:eastAsia="zh-CN" w:bidi="ar-SA"/>
        </w:rPr>
      </w:pPr>
      <w:r>
        <w:rPr>
          <w:rFonts w:hint="eastAsia" w:ascii="仿宋_GB2312" w:hAnsi="仿宋_GB2312" w:eastAsia="仿宋_GB2312" w:cs="仿宋_GB2312"/>
          <w:u w:val="single"/>
          <w:lang w:val="en-US" w:eastAsia="zh-CN" w:bidi="ar-SA"/>
        </w:rPr>
        <w:t>严格遵守采购流程，尊重采购结果。</w:t>
      </w:r>
    </w:p>
    <w:p>
      <w:pPr>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（8）不按规定签订或者履行合同风险的应对措施:</w:t>
      </w:r>
    </w:p>
    <w:p>
      <w:pPr>
        <w:rPr>
          <w:rFonts w:hint="eastAsia" w:ascii="Calibri" w:hAnsi="Calibri" w:eastAsia="宋体" w:cs="Times New Roman"/>
          <w:lang w:val="en-US" w:eastAsia="zh-CN" w:bidi="ar-SA"/>
        </w:rPr>
      </w:pPr>
      <w:r>
        <w:rPr>
          <w:rFonts w:hint="eastAsia" w:ascii="仿宋_GB2312" w:hAnsi="仿宋_GB2312" w:eastAsia="仿宋_GB2312" w:cs="仿宋_GB2312"/>
          <w:u w:val="single"/>
          <w:lang w:val="en-US" w:eastAsia="zh-CN" w:bidi="ar-SA"/>
        </w:rPr>
        <w:t>遵守采购流程和采购管理办法，如有必要，及时终止采购。</w:t>
      </w:r>
    </w:p>
    <w:p>
      <w:pPr>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（9）出现损害国家利益和社会公共利益情形风险的应对措施:</w:t>
      </w:r>
    </w:p>
    <w:p>
      <w:pPr>
        <w:rPr>
          <w:rFonts w:hint="eastAsia" w:ascii="Calibri" w:hAnsi="Calibri" w:eastAsia="宋体" w:cs="Times New Roman"/>
          <w:lang w:val="en-US" w:eastAsia="zh-CN" w:bidi="ar-SA"/>
        </w:rPr>
      </w:pPr>
      <w:r>
        <w:rPr>
          <w:rFonts w:hint="eastAsia" w:ascii="仿宋_GB2312" w:hAnsi="仿宋_GB2312" w:eastAsia="仿宋_GB2312" w:cs="仿宋_GB2312"/>
          <w:u w:val="single"/>
          <w:lang w:val="en-US" w:eastAsia="zh-CN" w:bidi="ar-SA"/>
        </w:rPr>
        <w:t>及时终止采购。</w:t>
      </w:r>
    </w:p>
    <w:p>
      <w:pPr>
        <w:rPr>
          <w:rFonts w:hint="eastAsia" w:ascii="Calibri" w:hAnsi="Calibri" w:eastAsia="宋体" w:cs="Times New Roman"/>
          <w:lang w:val="en-US" w:eastAsia="zh-CN" w:bidi="ar-SA"/>
        </w:rPr>
      </w:pPr>
      <w:r>
        <w:rPr>
          <w:rFonts w:hint="eastAsia" w:ascii="仿宋_GB2312" w:hAnsi="仿宋_GB2312" w:eastAsia="仿宋_GB2312" w:cs="仿宋_GB2312"/>
          <w:lang w:val="en-US" w:eastAsia="zh-CN" w:bidi="ar-SA"/>
        </w:rPr>
        <w:t>（10）其他采购和合同履行过程的风险及应对措施:</w:t>
      </w:r>
    </w:p>
    <w:p>
      <w:pPr>
        <w:rPr>
          <w:rFonts w:hint="eastAsia" w:ascii="Calibri" w:hAnsi="Calibri" w:eastAsia="宋体" w:cs="Times New Roman"/>
          <w:lang w:val="en-US" w:eastAsia="zh-CN" w:bidi="ar-SA"/>
        </w:rPr>
      </w:pPr>
      <w:r>
        <w:rPr>
          <w:rFonts w:hint="eastAsia" w:ascii="仿宋_GB2312" w:hAnsi="仿宋_GB2312" w:eastAsia="仿宋_GB2312" w:cs="仿宋_GB2312"/>
          <w:u w:val="single"/>
          <w:lang w:val="en-US" w:eastAsia="zh-CN" w:bidi="ar-SA"/>
        </w:rPr>
        <w:t>严格按照采购管理规定和合同规定开展工作，如有必要，及时终止采购和合作。</w:t>
      </w:r>
    </w:p>
    <w:p>
      <w:pPr>
        <w:rPr>
          <w:rFonts w:hint="eastAsia" w:ascii="Calibri" w:hAnsi="Calibri" w:eastAsia="宋体" w:cs="Times New Roman"/>
          <w:lang w:val="en-US" w:eastAsia="zh-CN" w:bidi="ar-SA"/>
        </w:rPr>
      </w:pPr>
    </w:p>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ascii="Calibri" w:hAnsi="Calibri" w:eastAsia="宋体" w:cs="Times New Roman"/>
                              <w:sz w:val="18"/>
                              <w:lang w:eastAsia="zh-CN"/>
                            </w:rPr>
                          </w:pPr>
                          <w:r>
                            <w:rPr>
                              <w:rFonts w:hint="eastAsia" w:ascii="Calibri" w:hAnsi="Calibri" w:eastAsia="宋体" w:cs="Times New Roman"/>
                              <w:sz w:val="18"/>
                              <w:lang w:eastAsia="zh-CN"/>
                            </w:rPr>
                            <w:fldChar w:fldCharType="begin"/>
                          </w:r>
                          <w:r>
                            <w:rPr>
                              <w:rFonts w:hint="eastAsia" w:ascii="Calibri" w:hAnsi="Calibri" w:eastAsia="宋体" w:cs="Times New Roman"/>
                              <w:sz w:val="18"/>
                              <w:lang w:eastAsia="zh-CN"/>
                            </w:rPr>
                            <w:instrText xml:space="preserve"> PAGE  \* MERGEFORMAT </w:instrText>
                          </w:r>
                          <w:r>
                            <w:rPr>
                              <w:rFonts w:hint="eastAsia" w:ascii="Calibri" w:hAnsi="Calibri" w:eastAsia="宋体" w:cs="Times New Roman"/>
                              <w:sz w:val="18"/>
                              <w:lang w:eastAsia="zh-CN"/>
                            </w:rPr>
                            <w:fldChar w:fldCharType="separate"/>
                          </w:r>
                          <w:r>
                            <w:rPr>
                              <w:rFonts w:ascii="Calibri" w:hAnsi="Calibri" w:eastAsia="宋体" w:cs="Times New Roman"/>
                              <w:sz w:val="18"/>
                            </w:rPr>
                            <w:t>1</w:t>
                          </w:r>
                          <w:r>
                            <w:rPr>
                              <w:rFonts w:hint="eastAsia" w:ascii="Calibri" w:hAnsi="Calibri" w:eastAsia="宋体" w:cs="Times New Roman"/>
                              <w:sz w:val="18"/>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CKLCCisQEA&#10;AE4DAAAOAAAAAAAAAAEAIAAAAB4BAABkcnMvZTJvRG9jLnhtbFBLBQYAAAAABgAGAFkBAABBBQAA&#10;AAA=&#10;">
              <v:fill on="f" focussize="0,0"/>
              <v:stroke on="f"/>
              <v:imagedata o:title=""/>
              <o:lock v:ext="edit" aspectratio="f"/>
              <v:textbox inset="0mm,0mm,0mm,0mm" style="mso-fit-shape-to-text:t;">
                <w:txbxContent>
                  <w:p>
                    <w:pPr>
                      <w:snapToGrid w:val="0"/>
                      <w:rPr>
                        <w:rFonts w:hint="eastAsia" w:ascii="Calibri" w:hAnsi="Calibri" w:eastAsia="宋体" w:cs="Times New Roman"/>
                        <w:sz w:val="18"/>
                        <w:lang w:eastAsia="zh-CN"/>
                      </w:rPr>
                    </w:pPr>
                    <w:r>
                      <w:rPr>
                        <w:rFonts w:hint="eastAsia" w:ascii="Calibri" w:hAnsi="Calibri" w:eastAsia="宋体" w:cs="Times New Roman"/>
                        <w:sz w:val="18"/>
                        <w:lang w:eastAsia="zh-CN"/>
                      </w:rPr>
                      <w:fldChar w:fldCharType="begin"/>
                    </w:r>
                    <w:r>
                      <w:rPr>
                        <w:rFonts w:hint="eastAsia" w:ascii="Calibri" w:hAnsi="Calibri" w:eastAsia="宋体" w:cs="Times New Roman"/>
                        <w:sz w:val="18"/>
                        <w:lang w:eastAsia="zh-CN"/>
                      </w:rPr>
                      <w:instrText xml:space="preserve"> PAGE  \* MERGEFORMAT </w:instrText>
                    </w:r>
                    <w:r>
                      <w:rPr>
                        <w:rFonts w:hint="eastAsia" w:ascii="Calibri" w:hAnsi="Calibri" w:eastAsia="宋体" w:cs="Times New Roman"/>
                        <w:sz w:val="18"/>
                        <w:lang w:eastAsia="zh-CN"/>
                      </w:rPr>
                      <w:fldChar w:fldCharType="separate"/>
                    </w:r>
                    <w:r>
                      <w:rPr>
                        <w:rFonts w:ascii="Calibri" w:hAnsi="Calibri" w:eastAsia="宋体" w:cs="Times New Roman"/>
                        <w:sz w:val="18"/>
                      </w:rPr>
                      <w:t>1</w:t>
                    </w:r>
                    <w:r>
                      <w:rPr>
                        <w:rFonts w:hint="eastAsia" w:ascii="Calibri" w:hAnsi="Calibri" w:eastAsia="宋体" w:cs="Times New Roman"/>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rPr>
        <w:rFonts w:ascii="Times New Roman" w:hAnsi="Times New Roman" w:eastAsia="宋体" w:cs="Times New Roman"/>
        <w:kern w:val="2"/>
        <w:sz w:val="18"/>
        <w:szCs w:val="24"/>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D9BC9B"/>
    <w:multiLevelType w:val="singleLevel"/>
    <w:tmpl w:val="78D9BC9B"/>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084932"/>
    <w:rsid w:val="2E2A1F6D"/>
    <w:rsid w:val="70084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2026-07-01T09:06:00Z</dcterms:created>
  <dc:creator>马添水</dc:creator>
  <cp:lastModifiedBy>马添水</cp:lastModifiedBy>
  <dcterms:modified xsi:type="dcterms:W3CDTF">2026-07-06T03:02:01Z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