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2026年国家反洗钱数据库智能化平台软硬件采购项目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007GSH2026074</w:t>
      </w:r>
      <w:r>
        <w:br/>
      </w:r>
      <w:r>
        <w:br/>
      </w:r>
      <w:r>
        <w:br/>
      </w:r>
    </w:p>
    <w:p>
      <w:pPr>
        <w:pStyle w:val="null3"/>
        <w:jc w:val="center"/>
      </w:pPr>
      <w:r>
        <w:rPr/>
        <w:t>中国人民银行集中采购中心</w:t>
      </w:r>
    </w:p>
    <w:p>
      <w:pPr>
        <w:pStyle w:val="null3"/>
        <w:jc w:val="center"/>
      </w:pPr>
      <w:r>
        <w:rPr/>
        <w:t>2026年08月12日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2026年国家反洗钱数据库智能化平台软硬件采购项目</w:t>
      </w:r>
      <w:r>
        <w:rPr/>
        <w:t xml:space="preserve"> ”（项目编号： </w:t>
      </w:r>
      <w:r>
        <w:rPr/>
        <w:t>007GSH2026074</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8,000,000.00</w:t>
      </w:r>
    </w:p>
    <w:p>
      <w:pPr>
        <w:pStyle w:val="null3"/>
        <w:jc w:val="left"/>
      </w:pPr>
      <w:r>
        <w:rPr/>
        <w:t>采购包最高限价（元）: 8,000,000.00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AI服务器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6,600,000.00</w:t>
            </w:r>
          </w:p>
        </w:tc>
        <w:tc>
          <w:tcPr>
            <w:tcW w:type="dxa" w:w="593"/>
          </w:tcPr>
          <w:p/>
        </w:tc>
      </w:tr>
      <w:tr>
        <w:tc>
          <w:tcPr>
            <w:tcW w:type="dxa" w:w="593"/>
          </w:tcPr>
          <w:p>
            <w:pPr>
              <w:pStyle w:val="null3"/>
              <w:jc w:val="left"/>
            </w:pPr>
            <w:r>
              <w:rPr/>
              <w:t>2</w:t>
            </w:r>
          </w:p>
        </w:tc>
        <w:tc>
          <w:tcPr>
            <w:tcW w:type="dxa" w:w="593"/>
          </w:tcPr>
          <w:p>
            <w:pPr>
              <w:pStyle w:val="null3"/>
              <w:jc w:val="left"/>
            </w:pPr>
            <w:r>
              <w:rPr/>
              <w:t>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1,000,000.00</w:t>
            </w:r>
          </w:p>
        </w:tc>
        <w:tc>
          <w:tcPr>
            <w:tcW w:type="dxa" w:w="593"/>
          </w:tcPr>
          <w:p/>
        </w:tc>
      </w:tr>
      <w:tr>
        <w:tc>
          <w:tcPr>
            <w:tcW w:type="dxa" w:w="593"/>
          </w:tcPr>
          <w:p>
            <w:pPr>
              <w:pStyle w:val="null3"/>
              <w:jc w:val="left"/>
            </w:pPr>
            <w:r>
              <w:rPr/>
              <w:t>3</w:t>
            </w:r>
          </w:p>
        </w:tc>
        <w:tc>
          <w:tcPr>
            <w:tcW w:type="dxa" w:w="593"/>
          </w:tcPr>
          <w:p>
            <w:pPr>
              <w:pStyle w:val="null3"/>
              <w:jc w:val="left"/>
            </w:pPr>
            <w:r>
              <w:rPr/>
              <w:t>操作系统</w:t>
            </w:r>
          </w:p>
        </w:tc>
        <w:tc>
          <w:tcPr>
            <w:tcW w:type="dxa" w:w="593"/>
          </w:tcPr>
          <w:p>
            <w:pPr>
              <w:pStyle w:val="null3"/>
              <w:jc w:val="left"/>
            </w:pPr>
            <w:r>
              <w:rPr/>
              <w:t>A08060301 基础软件</w:t>
            </w:r>
          </w:p>
        </w:tc>
        <w:tc>
          <w:tcPr>
            <w:tcW w:type="dxa" w:w="593"/>
          </w:tcPr>
          <w:p>
            <w:pPr>
              <w:pStyle w:val="null3"/>
              <w:jc w:val="left"/>
            </w:pPr>
            <w:r>
              <w:rPr/>
              <w:t>A08060301</w:t>
            </w:r>
          </w:p>
        </w:tc>
        <w:tc>
          <w:tcPr>
            <w:tcW w:type="dxa" w:w="593"/>
          </w:tcPr>
          <w:p>
            <w:pPr>
              <w:pStyle w:val="null3"/>
              <w:jc w:val="left"/>
            </w:pPr>
            <w:r>
              <w:rPr/>
              <w:t>货物</w:t>
            </w:r>
          </w:p>
        </w:tc>
        <w:tc>
          <w:tcPr>
            <w:tcW w:type="dxa" w:w="593"/>
          </w:tcPr>
          <w:p>
            <w:pPr>
              <w:pStyle w:val="null3"/>
              <w:jc w:val="left"/>
            </w:pPr>
            <w:r>
              <w:rPr/>
              <w:t>套</w:t>
            </w:r>
          </w:p>
        </w:tc>
        <w:tc>
          <w:tcPr>
            <w:tcW w:type="dxa" w:w="593"/>
          </w:tcPr>
          <w:p>
            <w:pPr>
              <w:pStyle w:val="null3"/>
              <w:jc w:val="right"/>
            </w:pPr>
            <w:r>
              <w:rPr/>
              <w:t>4.00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32,000.00</w:t>
            </w:r>
          </w:p>
        </w:tc>
        <w:tc>
          <w:tcPr>
            <w:tcW w:type="dxa" w:w="593"/>
          </w:tcPr>
          <w:p/>
        </w:tc>
      </w:tr>
      <w:tr>
        <w:tc>
          <w:tcPr>
            <w:tcW w:type="dxa" w:w="593"/>
          </w:tcPr>
          <w:p>
            <w:pPr>
              <w:pStyle w:val="null3"/>
              <w:jc w:val="left"/>
            </w:pPr>
            <w:r>
              <w:rPr/>
              <w:t>4</w:t>
            </w:r>
          </w:p>
        </w:tc>
        <w:tc>
          <w:tcPr>
            <w:tcW w:type="dxa" w:w="593"/>
          </w:tcPr>
          <w:p>
            <w:pPr>
              <w:pStyle w:val="null3"/>
              <w:jc w:val="left"/>
            </w:pPr>
            <w:r>
              <w:rPr/>
              <w:t>AI平台软件</w:t>
            </w:r>
          </w:p>
        </w:tc>
        <w:tc>
          <w:tcPr>
            <w:tcW w:type="dxa" w:w="593"/>
          </w:tcPr>
          <w:p>
            <w:pPr>
              <w:pStyle w:val="null3"/>
              <w:jc w:val="left"/>
            </w:pPr>
            <w:r>
              <w:rPr/>
              <w:t>A08060301 基础软件</w:t>
            </w:r>
          </w:p>
        </w:tc>
        <w:tc>
          <w:tcPr>
            <w:tcW w:type="dxa" w:w="593"/>
          </w:tcPr>
          <w:p>
            <w:pPr>
              <w:pStyle w:val="null3"/>
              <w:jc w:val="left"/>
            </w:pPr>
            <w:r>
              <w:rPr/>
              <w:t>A08060301</w:t>
            </w:r>
          </w:p>
        </w:tc>
        <w:tc>
          <w:tcPr>
            <w:tcW w:type="dxa" w:w="593"/>
          </w:tcPr>
          <w:p>
            <w:pPr>
              <w:pStyle w:val="null3"/>
              <w:jc w:val="left"/>
            </w:pPr>
            <w:r>
              <w:rPr/>
              <w:t>货物</w:t>
            </w:r>
          </w:p>
        </w:tc>
        <w:tc>
          <w:tcPr>
            <w:tcW w:type="dxa" w:w="593"/>
          </w:tcPr>
          <w:p>
            <w:pPr>
              <w:pStyle w:val="null3"/>
              <w:jc w:val="left"/>
            </w:pPr>
            <w:r>
              <w:rPr/>
              <w:t>套</w:t>
            </w:r>
          </w:p>
        </w:tc>
        <w:tc>
          <w:tcPr>
            <w:tcW w:type="dxa" w:w="593"/>
          </w:tcPr>
          <w:p>
            <w:pPr>
              <w:pStyle w:val="null3"/>
              <w:jc w:val="right"/>
            </w:pPr>
            <w:r>
              <w:rPr/>
              <w:t>1.00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368,000.00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中国反洗钱监测分析中心</w:t>
      </w:r>
    </w:p>
    <w:p>
      <w:pPr>
        <w:pStyle w:val="null3"/>
        <w:jc w:val="left"/>
      </w:pPr>
      <w:r>
        <w:rPr/>
        <w:t xml:space="preserve"> 地址： </w:t>
      </w:r>
      <w:r>
        <w:rPr/>
        <w:t>北京市西城区成方街32中国人民银行总行3层</w:t>
      </w:r>
    </w:p>
    <w:p>
      <w:pPr>
        <w:pStyle w:val="null3"/>
        <w:jc w:val="left"/>
      </w:pPr>
      <w:r>
        <w:rPr/>
        <w:t xml:space="preserve"> 邮编： </w:t>
      </w:r>
      <w:r>
        <w:rPr/>
        <w:t>110032</w:t>
      </w:r>
    </w:p>
    <w:p>
      <w:pPr>
        <w:pStyle w:val="null3"/>
        <w:jc w:val="left"/>
      </w:pPr>
      <w:r>
        <w:rPr/>
        <w:t xml:space="preserve"> 联系人： </w:t>
      </w:r>
      <w:r>
        <w:rPr/>
        <w:t>何先生</w:t>
      </w:r>
    </w:p>
    <w:p>
      <w:pPr>
        <w:pStyle w:val="null3"/>
        <w:jc w:val="left"/>
      </w:pPr>
      <w:r>
        <w:rPr/>
        <w:t xml:space="preserve"> 联系电话： </w:t>
      </w:r>
      <w:r>
        <w:rPr/>
        <w:t>010-66199191</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中标人签订采购合同时，应向采购人提交金额为合同总金额的5.00%的履约保证金。</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拟采购4台AI服务器及配套软硬件产品解决国家反洗钱数据库AI算力不足问题。</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内部立项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通过采购4台AI服务器及配套软硬件，搭建稳定、高效、可扩展的专属AI算力平台，解决现有AI算力不足问题，保障各类智能模型高效稳定运行。</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本项目核心内容为采购4台高性能AI服务器，同时采购配套的交换机1台，操作系统4套，AI平台软件1套。</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采购4台高性能AI服务器，同时采购配套的交换机1台，操作系统4套，AI平台软件1套并完成软硬件集成。</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搭建稳定、高效、可扩展的专属AI算力平台，解决现有AI算力不足问题，保障各类智能模型高效稳定运行。</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本技术要求共有“★”指标285个，”#”指标5个，“▲”指标5个。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是</w:t>
            </w:r>
          </w:p>
        </w:tc>
        <w:tc>
          <w:tcPr>
            <w:tcW w:type="dxa" w:w="1038"/>
          </w:tcPr>
          <w:p>
            <w:pPr>
              <w:pStyle w:val="null3"/>
            </w:pPr>
            <w:r>
              <w:rPr/>
              <w:t>加盖投标人公章的CPU信息说明。</w:t>
            </w:r>
          </w:p>
        </w:tc>
      </w:tr>
      <w:tr>
        <w:tc>
          <w:tcPr>
            <w:tcW w:type="dxa" w:w="1038"/>
          </w:tcPr>
          <w:p>
            <w:pPr>
              <w:pStyle w:val="null3"/>
            </w:pPr>
            <w:r>
              <w:rPr/>
              <w:t>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供应商给出主板支持的CPU和内存的型号数量</w:t>
            </w:r>
          </w:p>
        </w:tc>
        <w:tc>
          <w:tcPr>
            <w:tcW w:type="dxa" w:w="1038"/>
          </w:tcPr>
          <w:p>
            <w:pPr>
              <w:pStyle w:val="null3"/>
            </w:pPr>
            <w:r>
              <w:rPr/>
              <w:t>是</w:t>
            </w:r>
          </w:p>
        </w:tc>
        <w:tc>
          <w:tcPr>
            <w:tcW w:type="dxa" w:w="1038"/>
          </w:tcPr>
          <w:p>
            <w:pPr>
              <w:pStyle w:val="null3"/>
            </w:pPr>
            <w:r>
              <w:rPr/>
              <w:t>加盖投标人公章的主板支持的CPU和内存情况说明。</w:t>
            </w:r>
          </w:p>
        </w:tc>
      </w:tr>
      <w:tr>
        <w:tc>
          <w:tcPr>
            <w:tcW w:type="dxa" w:w="1038"/>
          </w:tcPr>
          <w:p>
            <w:pPr>
              <w:pStyle w:val="null3"/>
            </w:pPr>
            <w:r>
              <w:rPr/>
              <w:t>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非板载内存的可扩展插槽数量应不少于16个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至少支持SATA、SAS、M.2、U.2等存储接口中的1种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*PCIe插槽接口</w:t>
            </w:r>
          </w:p>
        </w:tc>
        <w:tc>
          <w:tcPr>
            <w:tcW w:type="dxa" w:w="1038"/>
          </w:tcPr>
          <w:p>
            <w:pPr>
              <w:pStyle w:val="null3"/>
            </w:pPr>
            <w:r>
              <w:rPr/>
              <w:t>符合PCIe4.0或以上的高速串行计算机扩展总线标准，PCIe的接口速率与位宽需保证向下兼容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整机原生支持同时满配≥8个AI模组加速卡；主板额外预留不少于2个PCIe4.0/5.0x16插槽。</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AI服务器</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AI服务器</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AI服务器</w:t>
            </w:r>
          </w:p>
        </w:tc>
        <w:tc>
          <w:tcPr>
            <w:tcW w:type="dxa" w:w="1038"/>
          </w:tcPr>
          <w:p/>
        </w:tc>
        <w:tc>
          <w:tcPr>
            <w:tcW w:type="dxa" w:w="1038"/>
          </w:tcPr>
          <w:p>
            <w:pPr>
              <w:pStyle w:val="null3"/>
            </w:pPr>
            <w:r>
              <w:rPr/>
              <w:t>*主板规格</w:t>
            </w:r>
          </w:p>
        </w:tc>
        <w:tc>
          <w:tcPr>
            <w:tcW w:type="dxa" w:w="1038"/>
          </w:tcPr>
          <w:p>
            <w:pPr>
              <w:pStyle w:val="null3"/>
            </w:pPr>
            <w:r>
              <w:rPr/>
              <w:t>主板OCP插槽数量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支持多个内存接口通道，每个通道可支持1DPC或2DPC，当支持2DPC时，印制电路板上应具备插槽的序号标识，具体通道数应在随机文件中明确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AI服务器</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960G及以上SATASSD磁盘、3.84T及以上NVMeSSD磁盘</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AI服务器</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配置不少于2块SATASSD磁盘、2块NVMeSSD磁盘</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a)供应商应给出配置的硬盘尺寸，如2.5英寸、3.5英寸硬磁盘；b)机箱高度为88.9mm的服务器可支持的硬盘数量应不少于8块，机箱高度为44.45mm的服务器可支持的硬盘数量应不少于4块。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AI服务器</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配置不少于4个200GE或以上高速网络物理端口，所有高速网络物理端口不占用标准PCIe物理插槽，且必须支持RDMA/RoCEv2等高性能无损网络协议，并满配相应速率的多模光模块及连接线缆；b)配置不少于1个独立的千兆（1GE）或以上带外管理网络物理端口（用于BMC/IPMI管理）；c)配置不少于2个2.5万兆（25GE）业务访问网络物理端口</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AI服务器</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AI服务器</w:t>
            </w:r>
          </w:p>
        </w:tc>
        <w:tc>
          <w:tcPr>
            <w:tcW w:type="dxa" w:w="1038"/>
          </w:tcP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AI服务器</w:t>
            </w:r>
          </w:p>
        </w:tc>
        <w:tc>
          <w:tcPr>
            <w:tcW w:type="dxa" w:w="1038"/>
          </w:tcP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AI服务器</w:t>
            </w:r>
          </w:p>
        </w:tc>
        <w:tc>
          <w:tcPr>
            <w:tcW w:type="dxa" w:w="1038"/>
          </w:tcP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显示接口类型应不少于1种，如：VGA、DP、HDMI等</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*USB接口</w:t>
            </w:r>
          </w:p>
        </w:tc>
        <w:tc>
          <w:tcPr>
            <w:tcW w:type="dxa" w:w="1038"/>
          </w:tcPr>
          <w:p>
            <w:pPr>
              <w:pStyle w:val="null3"/>
            </w:pPr>
            <w:r>
              <w:rPr/>
              <w:t>配备USB接口，如USB2.0、USB3.0等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AI服务器</w:t>
            </w:r>
          </w:p>
        </w:tc>
        <w:tc>
          <w:tcPr>
            <w:tcW w:type="dxa" w:w="1038"/>
          </w:tcPr>
          <w:p/>
        </w:tc>
        <w:tc>
          <w:tcPr>
            <w:tcW w:type="dxa" w:w="1038"/>
          </w:tcPr>
          <w:p>
            <w:pPr>
              <w:pStyle w:val="null3"/>
            </w:pPr>
            <w:r>
              <w:rPr/>
              <w:t>*外部接口规格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AI服务器</w:t>
            </w:r>
          </w:p>
        </w:tc>
        <w:tc>
          <w:tcPr>
            <w:tcW w:type="dxa" w:w="1038"/>
          </w:tcPr>
          <w:p/>
        </w:tc>
        <w:tc>
          <w:tcPr>
            <w:tcW w:type="dxa" w:w="1038"/>
          </w:tcPr>
          <w:p>
            <w:pPr>
              <w:pStyle w:val="null3"/>
            </w:pPr>
            <w:r>
              <w:rPr/>
              <w:t>*外部接口规格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AI服务器</w:t>
            </w:r>
          </w:p>
        </w:tc>
        <w:tc>
          <w:tcPr>
            <w:tcW w:type="dxa" w:w="1038"/>
          </w:tcP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AI服务器</w:t>
            </w:r>
          </w:p>
        </w:tc>
        <w:tc>
          <w:tcPr>
            <w:tcW w:type="dxa" w:w="1038"/>
          </w:tcP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服务器的零部件应紧固无松动，可插拔部件应可靠连接，开关、按钮和其它控制部件应灵活可靠，布局应方便使用；b)产品表面不应有明显的凹痕、划伤、裂缝、变形和污染等。表面涂层均匀，不应起泡、龟裂、脱落和磨损，金属零部件无锈蚀及其它机械损伤；c)产品表面说明功能的文字、符号和标志应清晰、端正且牢固；d)应在服务器的显著位置提供运行状态的指示功能，并在随机文件中明确具体含义；e)机架、机箱的尺寸应符合通用机柜的安装要求，插入总线插座的电路板接口外形尺寸应符合有关总线标准的规定，将机箱固定在机柜上，机箱底面最大下垂变形不得干涉相邻机体；f)高密度服务器应给出CPU个数与机柜高度；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AI服务器</w:t>
            </w:r>
          </w:p>
        </w:tc>
        <w:tc>
          <w:tcPr>
            <w:tcW w:type="dxa" w:w="1038"/>
          </w:tcPr>
          <w:p/>
        </w:tc>
        <w:tc>
          <w:tcPr>
            <w:tcW w:type="dxa" w:w="1038"/>
          </w:tcPr>
          <w:p>
            <w:pPr>
              <w:pStyle w:val="null3"/>
            </w:pPr>
            <w:r>
              <w:rPr/>
              <w:t>*整机规格</w:t>
            </w:r>
          </w:p>
        </w:tc>
        <w:tc>
          <w:tcPr>
            <w:tcW w:type="dxa" w:w="1038"/>
          </w:tcPr>
          <w:p>
            <w:pPr>
              <w:pStyle w:val="null3"/>
            </w:pPr>
            <w:r>
              <w:rPr/>
              <w:t>服务器导轨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AI服务器</w:t>
            </w:r>
          </w:p>
        </w:tc>
        <w:tc>
          <w:tcPr>
            <w:tcW w:type="dxa" w:w="1038"/>
          </w:tcPr>
          <w:p/>
        </w:tc>
        <w:tc>
          <w:tcPr>
            <w:tcW w:type="dxa" w:w="1038"/>
          </w:tcPr>
          <w:p>
            <w:pPr>
              <w:pStyle w:val="null3"/>
            </w:pPr>
            <w:r>
              <w:rPr/>
              <w:t>*整机规格</w:t>
            </w:r>
          </w:p>
        </w:tc>
        <w:tc>
          <w:tcPr>
            <w:tcW w:type="dxa" w:w="1038"/>
          </w:tcPr>
          <w:p>
            <w:pPr>
              <w:pStyle w:val="null3"/>
            </w:pPr>
            <w:r>
              <w:rPr/>
              <w:t>CPU个数与机柜高度单位(U)比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气候环境适应性应符合GB/T9813.3的有关规定，工作温度10～35℃，贮存运输温度-40～55℃；工作相对湿度35%～80%，贮存运输相对湿度20％～93%（40℃）；大气压86～106kPa</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AI服务器</w:t>
            </w:r>
          </w:p>
        </w:tc>
        <w:tc>
          <w:tcPr>
            <w:tcW w:type="dxa" w:w="1038"/>
          </w:tcPr>
          <w:p/>
        </w:tc>
        <w:tc>
          <w:tcPr>
            <w:tcW w:type="dxa" w:w="1038"/>
          </w:tcPr>
          <w:p>
            <w:pPr>
              <w:pStyle w:val="null3"/>
            </w:pPr>
            <w:r>
              <w:rPr/>
              <w:t>*整机规格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*机械环境适应性</w:t>
            </w:r>
          </w:p>
        </w:tc>
        <w:tc>
          <w:tcPr>
            <w:tcW w:type="dxa" w:w="1038"/>
          </w:tcPr>
          <w:p>
            <w:pPr>
              <w:pStyle w:val="null3"/>
            </w:pPr>
            <w:r>
              <w:rPr/>
              <w:t>机械环境适应性应符合GB/T9813.3的有关规定</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*噪声</w:t>
            </w:r>
          </w:p>
        </w:tc>
        <w:tc>
          <w:tcPr>
            <w:tcW w:type="dxa" w:w="1038"/>
          </w:tcPr>
          <w:p>
            <w:pPr>
              <w:pStyle w:val="null3"/>
            </w:pPr>
            <w:r>
              <w:rPr/>
              <w:t>符合GB/T9813.3的有关规定，在产品说明中给出具体测试值塔式服务器噪声在空闲状态下不大于50dB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AI计算单元规格</w:t>
            </w:r>
          </w:p>
        </w:tc>
        <w:tc>
          <w:tcPr>
            <w:tcW w:type="dxa" w:w="1038"/>
          </w:tcPr>
          <w:p>
            <w:pPr>
              <w:pStyle w:val="null3"/>
            </w:pPr>
            <w:r>
              <w:rPr/>
              <w:t>AI计算单元</w:t>
            </w:r>
          </w:p>
        </w:tc>
        <w:tc>
          <w:tcPr>
            <w:tcW w:type="dxa" w:w="1038"/>
          </w:tcPr>
          <w:p>
            <w:pPr>
              <w:pStyle w:val="null3"/>
            </w:pPr>
            <w:r>
              <w:rPr/>
              <w:t>具备人工智能加速处理器，计算精度至少支持FP16、BF16、FP32、FP64、INT8和INT16等中的1种</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AI服务器</w:t>
            </w:r>
          </w:p>
        </w:tc>
        <w:tc>
          <w:tcPr>
            <w:tcW w:type="dxa" w:w="1038"/>
          </w:tcPr>
          <w:p/>
        </w:tc>
        <w:tc>
          <w:tcPr>
            <w:tcW w:type="dxa" w:w="1038"/>
          </w:tcPr>
          <w:p>
            <w:pPr>
              <w:pStyle w:val="null3"/>
            </w:pPr>
            <w:r>
              <w:rPr/>
              <w:t>AI计算单元规格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AI服务器</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AI服务器</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支持USB、显示、管理等接口，如：VGA、DP、HDMI、USB3.0、PS/2接口、BMC管理端口</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AI服务器</w:t>
            </w:r>
          </w:p>
        </w:tc>
        <w:tc>
          <w:tcPr>
            <w:tcW w:type="dxa" w:w="1038"/>
          </w:tcP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AI服务器</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CPU芯片应符合GM/T0008的相关规定，或芯片密码模块应符合GB/T37092或GM/T0028的相关规定</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AI服务器</w:t>
            </w:r>
          </w:p>
        </w:tc>
        <w:tc>
          <w:tcPr>
            <w:tcW w:type="dxa" w:w="1038"/>
          </w:tcP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AI服务器</w:t>
            </w:r>
          </w:p>
        </w:tc>
        <w:tc>
          <w:tcPr>
            <w:tcW w:type="dxa" w:w="1038"/>
          </w:tcPr>
          <w:p/>
        </w:tc>
        <w:tc>
          <w:tcPr>
            <w:tcW w:type="dxa" w:w="1038"/>
          </w:tcPr>
          <w:p>
            <w:pPr>
              <w:pStyle w:val="null3"/>
            </w:pPr>
            <w:r>
              <w:rPr/>
              <w:t>存储功能</w:t>
            </w:r>
          </w:p>
        </w:tc>
        <w:tc>
          <w:tcPr>
            <w:tcW w:type="dxa" w:w="1038"/>
          </w:tcPr>
          <w:p>
            <w:pPr>
              <w:pStyle w:val="null3"/>
            </w:pPr>
            <w:r>
              <w:rPr/>
              <w:t>SATASSDNAND健康状态上报</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AI服务器</w:t>
            </w:r>
          </w:p>
        </w:tc>
        <w:tc>
          <w:tcPr>
            <w:tcW w:type="dxa" w:w="1038"/>
          </w:tcPr>
          <w:p/>
        </w:tc>
        <w:tc>
          <w:tcPr>
            <w:tcW w:type="dxa" w:w="1038"/>
          </w:tcPr>
          <w:p>
            <w:pPr>
              <w:pStyle w:val="null3"/>
            </w:pPr>
            <w:r>
              <w:rPr/>
              <w:t>存储功能</w:t>
            </w:r>
          </w:p>
        </w:tc>
        <w:tc>
          <w:tcPr>
            <w:tcW w:type="dxa" w:w="1038"/>
          </w:tcPr>
          <w:p>
            <w:pPr>
              <w:pStyle w:val="null3"/>
            </w:pPr>
            <w:r>
              <w:rPr/>
              <w:t>SATASSD单die故障隔离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RAID模式支持RAID0/1/10/5</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AI服务器</w:t>
            </w:r>
          </w:p>
        </w:tc>
        <w:tc>
          <w:tcPr>
            <w:tcW w:type="dxa" w:w="1038"/>
          </w:tcPr>
          <w:p/>
        </w:tc>
        <w:tc>
          <w:tcPr>
            <w:tcW w:type="dxa" w:w="1038"/>
          </w:tcPr>
          <w:p>
            <w:pPr>
              <w:pStyle w:val="null3"/>
            </w:pPr>
            <w:r>
              <w:rPr/>
              <w:t>RAID卡功能（若支持RAID卡）</w:t>
            </w:r>
          </w:p>
        </w:tc>
        <w:tc>
          <w:tcPr>
            <w:tcW w:type="dxa" w:w="1038"/>
          </w:tcPr>
          <w:p>
            <w:pPr>
              <w:pStyle w:val="null3"/>
            </w:pPr>
            <w:r>
              <w:rPr/>
              <w:t>RAID卡BBU单元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AI服务器</w:t>
            </w:r>
          </w:p>
        </w:tc>
        <w:tc>
          <w:tcPr>
            <w:tcW w:type="dxa" w:w="1038"/>
          </w:tcPr>
          <w:p/>
        </w:tc>
        <w:tc>
          <w:tcPr>
            <w:tcW w:type="dxa" w:w="1038"/>
          </w:tcPr>
          <w:p>
            <w:pPr>
              <w:pStyle w:val="null3"/>
            </w:pPr>
            <w:r>
              <w:rPr/>
              <w:t>光驱功能</w:t>
            </w:r>
          </w:p>
        </w:tc>
        <w:tc>
          <w:tcPr>
            <w:tcW w:type="dxa" w:w="1038"/>
          </w:tcPr>
          <w:p>
            <w:pPr>
              <w:pStyle w:val="null3"/>
            </w:pPr>
            <w:r>
              <w:rPr/>
              <w:t>光驱类型（是否支持RW，以及光盘类型CD/DVD）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AI服务器</w:t>
            </w:r>
          </w:p>
        </w:tc>
        <w:tc>
          <w:tcPr>
            <w:tcW w:type="dxa" w:w="1038"/>
          </w:tcP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*BMC固件基础功能</w:t>
            </w:r>
          </w:p>
        </w:tc>
        <w:tc>
          <w:tcPr>
            <w:tcW w:type="dxa" w:w="1038"/>
          </w:tcPr>
          <w:p>
            <w:pPr>
              <w:pStyle w:val="null3"/>
            </w:pPr>
            <w:r>
              <w:rPr/>
              <w:t>1)支持DHCP设置网络功能；2)支持静态IP设置网络功能；3)支持设备日志记录，包括但不限于登录日志、操作日志和报警日志等功能；4)支持日志信息导出和记录删除功能；5)支持通过管理接口向外输出准确的报警信息功能；6)设备的BMC管理软件应能够按报警的严重程度进行区分；7)支持IPMI2.0、SNMP或Redfish等接口功能；8)支持键盘、鼠标和视频的重定向、文本控制台的重定向、远程虚拟媒体、高可靠的硬件监控和管理功能；9)支持基于网络开启、关闭和重启设备的功能，并查询当前设备开机运行状态；10)支持故障提示功能，并可通过接口读取服务器故障信息；11)支持基于网络的固件更新功能，包括BMC和BIOS等；12)支持基于网络安装操作系统的功能，并可通过网络控制台访问设备；13)支持通过本地的硬盘或光驱等存储设备，基于网络完成设备的操作系统安装功能；14)支持通过浏览器打开管理界面并登录功能；15)支持设置口令策略功能；16)支持访问权限设置功能，并通过日志记录访问事件；17)支持对出厂默认的用户名及口令进行安全保护功能，并提供默认口令修改提示；18)支持读取设备主板的工作环境温度功能；19)支持读取服务器CPU等核心器件的温度功能；20)支持通过外部管理工具进行BMC参数设置的功能，并可基于网络通过外部管理工具对BMC进行管理；21)应支持固件版本查询、固件升级22)支持基于网络实现开关机和复位控制的功能；23)BMC启动时间应不超过180s，实现功能包括网络、IPMI、散热、传感器服务可用；24)支持BMC固件设置的恢复出厂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AI服务器</w:t>
            </w:r>
          </w:p>
        </w:tc>
        <w:tc>
          <w:tcPr>
            <w:tcW w:type="dxa" w:w="1038"/>
          </w:tcPr>
          <w:p/>
        </w:tc>
        <w:tc>
          <w:tcPr>
            <w:tcW w:type="dxa" w:w="1038"/>
          </w:tcPr>
          <w:p>
            <w:pPr>
              <w:pStyle w:val="null3"/>
            </w:pPr>
            <w:r>
              <w:rPr/>
              <w:t>*管理系统功能</w:t>
            </w:r>
          </w:p>
        </w:tc>
        <w:tc>
          <w:tcPr>
            <w:tcW w:type="dxa" w:w="1038"/>
          </w:tcPr>
          <w:p>
            <w:pPr>
              <w:pStyle w:val="null3"/>
            </w:pPr>
            <w:r>
              <w:rPr/>
              <w:t>BMC固件增强功能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*BIOS固件基础功能</w:t>
            </w:r>
          </w:p>
        </w:tc>
        <w:tc>
          <w:tcPr>
            <w:tcW w:type="dxa" w:w="1038"/>
          </w:tcPr>
          <w:p>
            <w:pPr>
              <w:pStyle w:val="null3"/>
            </w:pPr>
            <w:r>
              <w:rPr/>
              <w:t>a）支持查看固件版本、内存信息、主板信息、处理器信息和系统时间信息功能；b）支持上电初始化界面显示CPU信息、内存信息、固件版本和部分快捷键信息功能；c）支持设置界面中英文显示切换功能；d）支持查看PCIe设备信息，SATA设备信息功能；e）支持操作系统安装和引导功能，应并向操作系统提供计算机主板信息和服务接口；f）支持设置启动顺序，并按照设置的启动顺序启动功能；g）支持安全启动功能；h）支持设置口令、修改口令、验证口令功能；i）支持板载显示控制或独立显卡的显示控制功能；j）支持RAID识别和启动功能；k）支持串口重定向功能；l）支持固件更新功能；m）支持BIOS固件设置的恢复出厂功能；n）支持网络引导启用和关闭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AI服务器</w:t>
            </w:r>
          </w:p>
        </w:tc>
        <w:tc>
          <w:tcPr>
            <w:tcW w:type="dxa" w:w="1038"/>
          </w:tcP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a)支持访问控制、安全审计、网络接入鉴别等功能；b)操作系统其他功能应满足操作系统政府采购需求标准中加*的指标要求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符合GB18030的有关规定</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AI服务器</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AI服务器</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AI服务器</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中央处理器（CPU）、人工智能训练推理芯片、操作系统等关键部件符合安全可靠测评要求</w:t>
            </w:r>
          </w:p>
        </w:tc>
        <w:tc>
          <w:tcPr>
            <w:tcW w:type="dxa" w:w="1038"/>
          </w:tcPr>
          <w:p>
            <w:pPr>
              <w:pStyle w:val="null3"/>
            </w:pPr>
            <w:r>
              <w:rPr/>
              <w:t>是</w:t>
            </w:r>
          </w:p>
        </w:tc>
        <w:tc>
          <w:tcPr>
            <w:tcW w:type="dxa" w:w="1038"/>
          </w:tcPr>
          <w:p>
            <w:pPr>
              <w:pStyle w:val="null3"/>
            </w:pPr>
            <w:r>
              <w:rPr/>
              <w:t>《安全可靠测评结果公告》截图及型号对应说明</w:t>
            </w:r>
          </w:p>
        </w:tc>
      </w:tr>
      <w:tr>
        <w:tc>
          <w:tcPr>
            <w:tcW w:type="dxa" w:w="1038"/>
          </w:tcPr>
          <w:p>
            <w:pPr>
              <w:pStyle w:val="null3"/>
            </w:pPr>
            <w:r>
              <w:rPr/>
              <w:t>73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PCIe链路故障智能诊断</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CPU核重启隔离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AI服务器</w:t>
            </w:r>
          </w:p>
        </w:tc>
        <w:tc>
          <w:tcPr>
            <w:tcW w:type="dxa" w:w="1038"/>
          </w:tcP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AI服务器</w:t>
            </w:r>
          </w:p>
        </w:tc>
        <w:tc>
          <w:tcPr>
            <w:tcW w:type="dxa" w:w="1038"/>
          </w:tcPr>
          <w:p/>
        </w:tc>
        <w:tc>
          <w:tcPr>
            <w:tcW w:type="dxa" w:w="1038"/>
          </w:tcPr>
          <w:p>
            <w:pPr>
              <w:pStyle w:val="null3"/>
            </w:pPr>
            <w:r>
              <w:rPr/>
              <w:t>*系统安全要求</w:t>
            </w:r>
          </w:p>
        </w:tc>
        <w:tc>
          <w:tcPr>
            <w:tcW w:type="dxa" w:w="1038"/>
          </w:tcPr>
          <w:p>
            <w:pPr>
              <w:pStyle w:val="null3"/>
            </w:pPr>
            <w:r>
              <w:rPr/>
              <w:t>syslog双向鉴别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支持基于时间、IP或MAC白名单访问控制</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AI服务器</w:t>
            </w:r>
          </w:p>
        </w:tc>
        <w:tc>
          <w:tcPr>
            <w:tcW w:type="dxa" w:w="1038"/>
          </w:tcP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AI服务器</w:t>
            </w:r>
          </w:p>
        </w:tc>
        <w:tc>
          <w:tcPr>
            <w:tcW w:type="dxa" w:w="1038"/>
          </w:tcP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支持使用安全的传输加密协议（如SSH或HTTPS等）传输用户的敏感信息</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AI服务器</w:t>
            </w:r>
          </w:p>
        </w:tc>
        <w:tc>
          <w:tcPr>
            <w:tcW w:type="dxa" w:w="1038"/>
          </w:tcP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AI服务器</w:t>
            </w:r>
          </w:p>
        </w:tc>
        <w:tc>
          <w:tcPr>
            <w:tcW w:type="dxa" w:w="1038"/>
          </w:tcP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AI服务器</w:t>
            </w:r>
          </w:p>
        </w:tc>
        <w:tc>
          <w:tcPr>
            <w:tcW w:type="dxa" w:w="1038"/>
          </w:tcP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安全要求应符合GB4943.1的规定</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限用物质的限量应符合GB/T26572的要求</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*单CPU核数</w:t>
            </w:r>
          </w:p>
        </w:tc>
        <w:tc>
          <w:tcPr>
            <w:tcW w:type="dxa" w:w="1038"/>
          </w:tcPr>
          <w:p>
            <w:pPr>
              <w:pStyle w:val="null3"/>
            </w:pPr>
            <w:r>
              <w:rPr/>
              <w:t>≥48</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*单CPU末级缓存容量</w:t>
            </w:r>
          </w:p>
        </w:tc>
        <w:tc>
          <w:tcPr>
            <w:tcW w:type="dxa" w:w="1038"/>
          </w:tcPr>
          <w:p>
            <w:pPr>
              <w:pStyle w:val="null3"/>
            </w:pPr>
            <w:r>
              <w:rPr/>
              <w:t>≥48MB</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AI服务器</w:t>
            </w:r>
          </w:p>
        </w:tc>
        <w:tc>
          <w:tcPr>
            <w:tcW w:type="dxa" w:w="1038"/>
          </w:tcP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AI服务器</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容量不少于2GB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AI服务器</w:t>
            </w:r>
          </w:p>
        </w:tc>
        <w:tc>
          <w:tcPr>
            <w:tcW w:type="dxa" w:w="1038"/>
          </w:tcPr>
          <w:p/>
        </w:tc>
        <w:tc>
          <w:tcPr>
            <w:tcW w:type="dxa" w:w="1038"/>
          </w:tcPr>
          <w:p>
            <w:pPr>
              <w:pStyle w:val="null3"/>
            </w:pPr>
            <w:r>
              <w:rPr/>
              <w:t>FCHBA卡性能</w:t>
            </w:r>
          </w:p>
        </w:tc>
        <w:tc>
          <w:tcPr>
            <w:tcW w:type="dxa" w:w="1038"/>
          </w:tcPr>
          <w:p>
            <w:pPr>
              <w:pStyle w:val="null3"/>
            </w:pPr>
            <w:r>
              <w:rPr/>
              <w:t>FCHBA卡速率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AI服务器</w:t>
            </w:r>
          </w:p>
        </w:tc>
        <w:tc>
          <w:tcPr>
            <w:tcW w:type="dxa" w:w="1038"/>
          </w:tcP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AI服务器</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符合GB/T9813.3的有关规定</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适配3种及以上厂商的内存产品，且均不低于产品支持的内存规格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适配3种或以上厂商的固态存储产品，且均不低于产品支持的固态存储设备规格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AI服务器</w:t>
            </w:r>
          </w:p>
        </w:tc>
        <w:tc>
          <w:tcPr>
            <w:tcW w:type="dxa" w:w="1038"/>
          </w:tcPr>
          <w:p/>
        </w:tc>
        <w:tc>
          <w:tcPr>
            <w:tcW w:type="dxa" w:w="1038"/>
          </w:tcPr>
          <w:p>
            <w:pPr>
              <w:pStyle w:val="null3"/>
            </w:pPr>
            <w:r>
              <w:rPr/>
              <w:t>*部件兼容性要求</w:t>
            </w:r>
          </w:p>
        </w:tc>
        <w:tc>
          <w:tcPr>
            <w:tcW w:type="dxa" w:w="1038"/>
          </w:tcPr>
          <w:p>
            <w:pPr>
              <w:pStyle w:val="null3"/>
            </w:pPr>
            <w:r>
              <w:rPr/>
              <w:t>FCHBA卡兼容性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AI服务器</w:t>
            </w:r>
          </w:p>
        </w:tc>
        <w:tc>
          <w:tcPr>
            <w:tcW w:type="dxa" w:w="1038"/>
          </w:tcPr>
          <w:p/>
        </w:tc>
        <w:tc>
          <w:tcPr>
            <w:tcW w:type="dxa" w:w="1038"/>
          </w:tcPr>
          <w:p>
            <w:pPr>
              <w:pStyle w:val="null3"/>
            </w:pPr>
            <w:r>
              <w:rPr/>
              <w:t>*部件兼容性要求</w:t>
            </w:r>
          </w:p>
        </w:tc>
        <w:tc>
          <w:tcPr>
            <w:tcW w:type="dxa" w:w="1038"/>
          </w:tcPr>
          <w:p>
            <w:pPr>
              <w:pStyle w:val="null3"/>
            </w:pPr>
            <w:r>
              <w:rPr/>
              <w:t>RAID卡兼容性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兼容多种主流生产商的外部设备，包括显示器、键盘、鼠标、闪存盘、移动硬盘、USB光驱及KVM等，要求使用不同厂商的外部设备时，系统均能正常识别和安装驱动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兼容3个及以上厂商的数据库产品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兼容3个及以上厂商的中间件产品</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兼容3个及以上厂商的大数据平台</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AI服务器</w:t>
            </w:r>
          </w:p>
        </w:tc>
        <w:tc>
          <w:tcPr>
            <w:tcW w:type="dxa" w:w="1038"/>
          </w:tcP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AI服务器</w:t>
            </w:r>
          </w:p>
        </w:tc>
        <w:tc>
          <w:tcPr>
            <w:tcW w:type="dxa" w:w="1038"/>
          </w:tcPr>
          <w:p/>
        </w:tc>
        <w:tc>
          <w:tcPr>
            <w:tcW w:type="dxa" w:w="1038"/>
          </w:tcPr>
          <w:p>
            <w:pPr>
              <w:pStyle w:val="null3"/>
            </w:pPr>
            <w:r>
              <w:rPr/>
              <w:t>存储可靠性要求</w:t>
            </w:r>
          </w:p>
        </w:tc>
        <w:tc>
          <w:tcPr>
            <w:tcW w:type="dxa" w:w="1038"/>
          </w:tcPr>
          <w:p>
            <w:pPr>
              <w:pStyle w:val="null3"/>
            </w:pPr>
            <w:r>
              <w:rPr/>
              <w:t>SATASSD可靠性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m1值（MTBF的不可接受值）不得低于30000h</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风扇寿命应不低于40000h</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符合GB/T9813.3和商品包装政府采购需求标准的相关规定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提供电话、电子邮件、远程连接等多种形式服务；b)提供同城4h、异地12h技术响应服务，2个工作日解决问题，对于未能解决的问题和故障应提供可行的升级方案，并提供周转设备；c)建立全国技术服务体系和服务团体，符合专业服务体系标准要求，提供原厂中文服务；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产品免费服务周期（含换件和维修）应不小于4年；b)设备停产后继续提供质量保障服务（含备品备件），服务终止时间与最后一批设备交付时间间隔不低于5年；c)产品停止服务时间应提前1年告知客户；d)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AI服务器</w:t>
            </w:r>
          </w:p>
        </w:tc>
        <w:tc>
          <w:tcPr>
            <w:tcW w:type="dxa" w:w="1038"/>
          </w:tcP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AI服务器</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AI服务器</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AI服务器</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AI服务器</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AI服务器</w:t>
            </w:r>
          </w:p>
        </w:tc>
        <w:tc>
          <w:tcPr>
            <w:tcW w:type="dxa" w:w="1038"/>
          </w:tcP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AI服务器</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配置≥2颗物理CPU</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内存容量</w:t>
            </w:r>
          </w:p>
        </w:tc>
        <w:tc>
          <w:tcPr>
            <w:tcW w:type="dxa" w:w="1038"/>
          </w:tcPr>
          <w:p>
            <w:pPr>
              <w:pStyle w:val="null3"/>
            </w:pPr>
            <w:r>
              <w:rPr/>
              <w:t>≥1024GB</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RAID卡规格</w:t>
            </w:r>
          </w:p>
        </w:tc>
        <w:tc>
          <w:tcPr>
            <w:tcW w:type="dxa" w:w="1038"/>
          </w:tcPr>
          <w:p>
            <w:pPr>
              <w:pStyle w:val="null3"/>
            </w:pPr>
            <w:r>
              <w:rPr/>
              <w:t>RAID卡数量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RAID卡接口速率大小</w:t>
            </w:r>
          </w:p>
        </w:tc>
        <w:tc>
          <w:tcPr>
            <w:tcW w:type="dxa" w:w="1038"/>
          </w:tcPr>
          <w:p>
            <w:pPr>
              <w:pStyle w:val="null3"/>
            </w:pPr>
            <w:r>
              <w:rPr/>
              <w:t>接口速率≥12Gb/s</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AI计算单元规格</w:t>
            </w:r>
          </w:p>
        </w:tc>
        <w:tc>
          <w:tcPr>
            <w:tcW w:type="dxa" w:w="1038"/>
          </w:tcPr>
          <w:p>
            <w:pPr>
              <w:pStyle w:val="null3"/>
            </w:pPr>
            <w:r>
              <w:rPr/>
              <w:t>AI模组加速卡</w:t>
            </w:r>
          </w:p>
        </w:tc>
        <w:tc>
          <w:tcPr>
            <w:tcW w:type="dxa" w:w="1038"/>
          </w:tcPr>
          <w:p>
            <w:pPr>
              <w:pStyle w:val="null3"/>
            </w:pPr>
            <w:r>
              <w:rPr/>
              <w:t>a)配置≥8个AI模组加速卡; b)AI模组加速卡互联带宽≥300GB/s; c) 整机AI算力：FP16≥2.0PFLOPS; d)HBM总容量≥512GB;e) HBM带宽≥1600GB/s</w:t>
            </w:r>
          </w:p>
        </w:tc>
        <w:tc>
          <w:tcPr>
            <w:tcW w:type="dxa" w:w="1038"/>
          </w:tcPr>
          <w:p>
            <w:pPr>
              <w:pStyle w:val="null3"/>
            </w:pPr>
            <w:r>
              <w:rPr/>
              <w:t>是</w:t>
            </w:r>
          </w:p>
        </w:tc>
        <w:tc>
          <w:tcPr>
            <w:tcW w:type="dxa" w:w="1038"/>
          </w:tcPr>
          <w:p>
            <w:pPr>
              <w:pStyle w:val="null3"/>
            </w:pPr>
            <w:r>
              <w:rPr/>
              <w:t>提供产品官方公开彩页、官网截图，或加盖投标人公章的第三方检测机构（具备CMA或CNAS资质）出具的覆盖全部参数的专项检测报告复印件。</w:t>
            </w:r>
          </w:p>
        </w:tc>
      </w:tr>
      <w:tr>
        <w:tc>
          <w:tcPr>
            <w:tcW w:type="dxa" w:w="1038"/>
          </w:tcPr>
          <w:p>
            <w:pPr>
              <w:pStyle w:val="null3"/>
            </w:pPr>
            <w:r>
              <w:rPr/>
              <w:t>148</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内存高级功能</w:t>
            </w:r>
          </w:p>
        </w:tc>
        <w:tc>
          <w:tcPr>
            <w:tcW w:type="dxa" w:w="1038"/>
          </w:tcPr>
          <w:p>
            <w:pPr>
              <w:pStyle w:val="null3"/>
            </w:pPr>
            <w:r>
              <w:rPr/>
              <w:t>内存规格≥DDR5，具备高级ECC功能，内存巡检、内存地址奇偶检测保护、内存镜像、数据加扰、SDDC等功能</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企业级存储</w:t>
            </w:r>
          </w:p>
        </w:tc>
        <w:tc>
          <w:tcPr>
            <w:tcW w:type="dxa" w:w="1038"/>
          </w:tcPr>
          <w:p>
            <w:pPr>
              <w:pStyle w:val="null3"/>
            </w:pPr>
            <w:r>
              <w:rPr/>
              <w:t>a）SATASSD磁盘为企业级SATASSD硬盘 ;b）NVMeSSD磁盘为企业级SSD硬盘</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高速网络物理端口</w:t>
            </w:r>
          </w:p>
        </w:tc>
        <w:tc>
          <w:tcPr>
            <w:tcW w:type="dxa" w:w="1038"/>
          </w:tcPr>
          <w:p>
            <w:pPr>
              <w:pStyle w:val="null3"/>
            </w:pPr>
            <w:r>
              <w:rPr/>
              <w:t>以下两项满足任意一项： 1.配置不少于4个400GE或以上高速网络物理端口 2.配置不少于8个200GE或以上高速网络物理端口</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AI计算单元规格</w:t>
            </w:r>
          </w:p>
        </w:tc>
        <w:tc>
          <w:tcPr>
            <w:tcW w:type="dxa" w:w="1038"/>
          </w:tcPr>
          <w:p>
            <w:pPr>
              <w:pStyle w:val="null3"/>
            </w:pPr>
            <w:r>
              <w:rPr/>
              <w:t>AI模组加速卡互联带宽</w:t>
            </w:r>
          </w:p>
        </w:tc>
        <w:tc>
          <w:tcPr>
            <w:tcW w:type="dxa" w:w="1038"/>
          </w:tcPr>
          <w:p>
            <w:pPr>
              <w:pStyle w:val="null3"/>
            </w:pPr>
            <w:r>
              <w:rPr/>
              <w:t>AI模组加速卡互联带宽≥350GB/s</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AI服务器</w:t>
            </w:r>
          </w:p>
        </w:tc>
        <w:tc>
          <w:tcPr>
            <w:tcW w:type="dxa" w:w="1038"/>
          </w:tcPr>
          <w:p>
            <w:pPr>
              <w:pStyle w:val="null3"/>
            </w:pPr>
            <w:r>
              <w:rPr/>
              <w:t>#</w:t>
            </w:r>
          </w:p>
        </w:tc>
        <w:tc>
          <w:tcPr>
            <w:tcW w:type="dxa" w:w="1038"/>
          </w:tcPr>
          <w:p>
            <w:pPr>
              <w:pStyle w:val="null3"/>
            </w:pPr>
            <w:r>
              <w:rPr/>
              <w:t>AI计算单元规格</w:t>
            </w:r>
          </w:p>
        </w:tc>
        <w:tc>
          <w:tcPr>
            <w:tcW w:type="dxa" w:w="1038"/>
          </w:tcPr>
          <w:p>
            <w:pPr>
              <w:pStyle w:val="null3"/>
            </w:pPr>
            <w:r>
              <w:rPr/>
              <w:t>整机AI算力</w:t>
            </w:r>
          </w:p>
        </w:tc>
        <w:tc>
          <w:tcPr>
            <w:tcW w:type="dxa" w:w="1038"/>
          </w:tcPr>
          <w:p>
            <w:pPr>
              <w:pStyle w:val="null3"/>
            </w:pPr>
            <w:r>
              <w:rPr/>
              <w:t>整机AI算力：FP16≥2.2PFLOPS</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转发性能</w:t>
            </w:r>
          </w:p>
        </w:tc>
        <w:tc>
          <w:tcPr>
            <w:tcW w:type="dxa" w:w="1038"/>
          </w:tcPr>
          <w:p/>
        </w:tc>
        <w:tc>
          <w:tcPr>
            <w:tcW w:type="dxa" w:w="1038"/>
          </w:tcPr>
          <w:p>
            <w:pPr>
              <w:pStyle w:val="null3"/>
            </w:pPr>
            <w:r>
              <w:rPr/>
              <w:t>交换容量≥25Tbps</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转发性能</w:t>
            </w:r>
          </w:p>
        </w:tc>
        <w:tc>
          <w:tcPr>
            <w:tcW w:type="dxa" w:w="1038"/>
          </w:tcPr>
          <w:p/>
        </w:tc>
        <w:tc>
          <w:tcPr>
            <w:tcW w:type="dxa" w:w="1038"/>
          </w:tcPr>
          <w:p>
            <w:pPr>
              <w:pStyle w:val="null3"/>
            </w:pPr>
            <w:r>
              <w:rPr/>
              <w:t>包转发率≥8000Mpps</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硬件规格</w:t>
            </w:r>
          </w:p>
        </w:tc>
        <w:tc>
          <w:tcPr>
            <w:tcW w:type="dxa" w:w="1038"/>
          </w:tcPr>
          <w:p/>
        </w:tc>
        <w:tc>
          <w:tcPr>
            <w:tcW w:type="dxa" w:w="1038"/>
          </w:tcPr>
          <w:p>
            <w:pPr>
              <w:pStyle w:val="null3"/>
            </w:pPr>
            <w:r>
              <w:rPr/>
              <w:t>高度≤1U，固定接口交换机</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硬件规格</w:t>
            </w:r>
          </w:p>
        </w:tc>
        <w:tc>
          <w:tcPr>
            <w:tcW w:type="dxa" w:w="1038"/>
          </w:tcPr>
          <w:p/>
        </w:tc>
        <w:tc>
          <w:tcPr>
            <w:tcW w:type="dxa" w:w="1038"/>
          </w:tcPr>
          <w:p>
            <w:pPr>
              <w:pStyle w:val="null3"/>
            </w:pPr>
            <w:r>
              <w:rPr/>
              <w:t>电源模块槽位≥2个，电源1+1备份；</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硬件规格</w:t>
            </w:r>
          </w:p>
        </w:tc>
        <w:tc>
          <w:tcPr>
            <w:tcW w:type="dxa" w:w="1038"/>
          </w:tcPr>
          <w:p/>
        </w:tc>
        <w:tc>
          <w:tcPr>
            <w:tcW w:type="dxa" w:w="1038"/>
          </w:tcPr>
          <w:p>
            <w:pPr>
              <w:pStyle w:val="null3"/>
            </w:pPr>
            <w:r>
              <w:rPr/>
              <w:t>风扇模块槽位≥6个，支持5+1备份</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硬件规格</w:t>
            </w:r>
          </w:p>
        </w:tc>
        <w:tc>
          <w:tcPr>
            <w:tcW w:type="dxa" w:w="1038"/>
          </w:tcPr>
          <w:p/>
        </w:tc>
        <w:tc>
          <w:tcPr>
            <w:tcW w:type="dxa" w:w="1038"/>
          </w:tcPr>
          <w:p>
            <w:pPr>
              <w:pStyle w:val="null3"/>
            </w:pPr>
            <w:r>
              <w:rPr/>
              <w:t>CPU（处理器）、交换芯片均为国产芯片</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端口配置要求</w:t>
            </w:r>
          </w:p>
        </w:tc>
        <w:tc>
          <w:tcPr>
            <w:tcW w:type="dxa" w:w="1038"/>
          </w:tcPr>
          <w:p/>
        </w:tc>
        <w:tc>
          <w:tcPr>
            <w:tcW w:type="dxa" w:w="1038"/>
          </w:tcPr>
          <w:p>
            <w:pPr>
              <w:pStyle w:val="null3"/>
            </w:pPr>
            <w:r>
              <w:rPr/>
              <w:t>400GE光接口≥32个（兼容200GE/100GE/40GE），配置32个400GE多模光模块，支持10GE≥2个</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二层功能</w:t>
            </w:r>
          </w:p>
        </w:tc>
        <w:tc>
          <w:tcPr>
            <w:tcW w:type="dxa" w:w="1038"/>
          </w:tcPr>
          <w:p/>
        </w:tc>
        <w:tc>
          <w:tcPr>
            <w:tcW w:type="dxa" w:w="1038"/>
          </w:tcPr>
          <w:p>
            <w:pPr>
              <w:pStyle w:val="null3"/>
            </w:pPr>
            <w:r>
              <w:rPr/>
              <w:t>支持M-LAG或vPC或DRNI等跨机箱链路捆绑技术</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二层功能</w:t>
            </w:r>
          </w:p>
        </w:tc>
        <w:tc>
          <w:tcPr>
            <w:tcW w:type="dxa" w:w="1038"/>
          </w:tcPr>
          <w:p/>
        </w:tc>
        <w:tc>
          <w:tcPr>
            <w:tcW w:type="dxa" w:w="1038"/>
          </w:tcPr>
          <w:p>
            <w:pPr>
              <w:pStyle w:val="null3"/>
            </w:pPr>
            <w:r>
              <w:rPr/>
              <w:t>支持动态MAC、静态MAC和黑洞MAC表项</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三层功能</w:t>
            </w:r>
          </w:p>
        </w:tc>
        <w:tc>
          <w:tcPr>
            <w:tcW w:type="dxa" w:w="1038"/>
          </w:tcPr>
          <w:p/>
        </w:tc>
        <w:tc>
          <w:tcPr>
            <w:tcW w:type="dxa" w:w="1038"/>
          </w:tcPr>
          <w:p>
            <w:pPr>
              <w:pStyle w:val="null3"/>
            </w:pPr>
            <w:r>
              <w:rPr/>
              <w:t>支持RIP、OSPF、ISIS、BGP等IPv4动态路由协议</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三层功能</w:t>
            </w:r>
          </w:p>
        </w:tc>
        <w:tc>
          <w:tcPr>
            <w:tcW w:type="dxa" w:w="1038"/>
          </w:tcPr>
          <w:p/>
        </w:tc>
        <w:tc>
          <w:tcPr>
            <w:tcW w:type="dxa" w:w="1038"/>
          </w:tcPr>
          <w:p>
            <w:pPr>
              <w:pStyle w:val="null3"/>
            </w:pPr>
            <w:r>
              <w:rPr/>
              <w:t>支持RIPng、OSPFv3、ISISv6、BGP4+等IPv6动态路由协议</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支持无损网络特性，支持PFC、ECN及DCBX，满足RoCEv2部署需求。</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支持硬件BFD，最小发包间隔≤3.3ms。</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支持静默故障识别/检测功能，能够发现并定位网络中的静默丢包或链路故障</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支持MacSec国密算法</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支持用户分级管理；支持802.1X，支持AAA认证；支持Radius，支持HWTACACS/TACACS+，支持使用AAA服务器认证；支持基于端口和VLAN的ACL。支持入方向和出方向的双向ACL策略。</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支持口令安全增强：首次登陆应强制设置高安全账号口令，支持弱口令字典检查</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算力与资源管理</w:t>
            </w:r>
          </w:p>
        </w:tc>
        <w:tc>
          <w:tcPr>
            <w:tcW w:type="dxa" w:w="1038"/>
          </w:tcPr>
          <w:p/>
        </w:tc>
        <w:tc>
          <w:tcPr>
            <w:tcW w:type="dxa" w:w="1038"/>
          </w:tcPr>
          <w:p>
            <w:pPr>
              <w:pStyle w:val="null3"/>
            </w:pPr>
            <w:r>
              <w:rPr/>
              <w:t>提供算力管理平台，支持算力池化、资源调度与监控；支持至少3种及以上主流品牌AI加速卡的统一调度管理，提供适配证明，支持多任务资源分配</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多集群异构管理</w:t>
            </w:r>
          </w:p>
        </w:tc>
        <w:tc>
          <w:tcPr>
            <w:tcW w:type="dxa" w:w="1038"/>
          </w:tcPr>
          <w:p/>
        </w:tc>
        <w:tc>
          <w:tcPr>
            <w:tcW w:type="dxa" w:w="1038"/>
          </w:tcPr>
          <w:p>
            <w:pPr>
              <w:pStyle w:val="null3"/>
            </w:pPr>
            <w:r>
              <w:rPr/>
              <w:t>平台支持多集群管理，支持X86、ARM异构集群统一管理，支持异构算力加速卡多集群统一管理，平台多集群异构纳管异构算力功能</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资源监控可视化</w:t>
            </w:r>
          </w:p>
        </w:tc>
        <w:tc>
          <w:tcPr>
            <w:tcW w:type="dxa" w:w="1038"/>
          </w:tcPr>
          <w:p/>
        </w:tc>
        <w:tc>
          <w:tcPr>
            <w:tcW w:type="dxa" w:w="1038"/>
          </w:tcPr>
          <w:p>
            <w:pPr>
              <w:pStyle w:val="null3"/>
            </w:pPr>
            <w:r>
              <w:rPr/>
              <w:t>提供可视化资源展示，支持节点级（CPU、内存、GPU、存储）和任务级资源使用监控；支持用户查看自身资源占用情况</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数据处理能力</w:t>
            </w:r>
          </w:p>
        </w:tc>
        <w:tc>
          <w:tcPr>
            <w:tcW w:type="dxa" w:w="1038"/>
          </w:tcPr>
          <w:p/>
        </w:tc>
        <w:tc>
          <w:tcPr>
            <w:tcW w:type="dxa" w:w="1038"/>
          </w:tcPr>
          <w:p>
            <w:pPr>
              <w:pStyle w:val="null3"/>
            </w:pPr>
            <w:r>
              <w:rPr/>
              <w:t>支持文本类（SFT、DPO）和图片类（分类、目标检测）数据标注；</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算法开发环境</w:t>
            </w:r>
          </w:p>
        </w:tc>
        <w:tc>
          <w:tcPr>
            <w:tcW w:type="dxa" w:w="1038"/>
          </w:tcPr>
          <w:p/>
        </w:tc>
        <w:tc>
          <w:tcPr>
            <w:tcW w:type="dxa" w:w="1038"/>
          </w:tcPr>
          <w:p>
            <w:pPr>
              <w:pStyle w:val="null3"/>
            </w:pPr>
            <w:r>
              <w:rPr/>
              <w:t>提供Web在线Notebook交互式编程环境（如Jupyter）；支持本地IDE（PyCharm、VSCode等）与平台对接调试</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模型训练管理</w:t>
            </w:r>
          </w:p>
        </w:tc>
        <w:tc>
          <w:tcPr>
            <w:tcW w:type="dxa" w:w="1038"/>
          </w:tcPr>
          <w:p/>
        </w:tc>
        <w:tc>
          <w:tcPr>
            <w:tcW w:type="dxa" w:w="1038"/>
          </w:tcPr>
          <w:p>
            <w:pPr>
              <w:pStyle w:val="null3"/>
            </w:pPr>
            <w:r>
              <w:rPr/>
              <w:t>支持通过模板创建训练任务，可保存、编辑任务模板；</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模型全生命周期管理</w:t>
            </w:r>
          </w:p>
        </w:tc>
        <w:tc>
          <w:tcPr>
            <w:tcW w:type="dxa" w:w="1038"/>
          </w:tcPr>
          <w:p/>
        </w:tc>
        <w:tc>
          <w:tcPr>
            <w:tcW w:type="dxa" w:w="1038"/>
          </w:tcPr>
          <w:p>
            <w:pPr>
              <w:pStyle w:val="null3"/>
            </w:pPr>
            <w:r>
              <w:rPr/>
              <w:t>提供模型仓库，支持模型版本管理（上传、下载、部署、删除等）；提供预置模型库（包含主流开源大模型），支持模型的浏览、筛选和一键部署。</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模型微调</w:t>
            </w:r>
          </w:p>
        </w:tc>
        <w:tc>
          <w:tcPr>
            <w:tcW w:type="dxa" w:w="1038"/>
          </w:tcPr>
          <w:p/>
        </w:tc>
        <w:tc>
          <w:tcPr>
            <w:tcW w:type="dxa" w:w="1038"/>
          </w:tcPr>
          <w:p>
            <w:pPr>
              <w:pStyle w:val="null3"/>
            </w:pPr>
            <w:r>
              <w:rPr/>
              <w:t>支持LoRA等主流微调方式，支持SFT训练范式</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推理部署</w:t>
            </w:r>
          </w:p>
        </w:tc>
        <w:tc>
          <w:tcPr>
            <w:tcW w:type="dxa" w:w="1038"/>
          </w:tcPr>
          <w:p/>
        </w:tc>
        <w:tc>
          <w:tcPr>
            <w:tcW w:type="dxa" w:w="1038"/>
          </w:tcPr>
          <w:p>
            <w:pPr>
              <w:pStyle w:val="null3"/>
            </w:pPr>
            <w:r>
              <w:rPr/>
              <w:t>支持高性能推理引擎部署推理服务；</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API服务与监控</w:t>
            </w:r>
          </w:p>
        </w:tc>
        <w:tc>
          <w:tcPr>
            <w:tcW w:type="dxa" w:w="1038"/>
          </w:tcPr>
          <w:p/>
        </w:tc>
        <w:tc>
          <w:tcPr>
            <w:tcW w:type="dxa" w:w="1038"/>
          </w:tcPr>
          <w:p>
            <w:pPr>
              <w:pStyle w:val="null3"/>
            </w:pPr>
            <w:r>
              <w:rPr/>
              <w:t>支持API-Key创建与权限管理，基于APIKey进行访问控制；支持推理服务调用统计（调用量、Token数、成功率、时延等）。</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AI平台软件</w:t>
            </w:r>
          </w:p>
        </w:tc>
        <w:tc>
          <w:tcPr>
            <w:tcW w:type="dxa" w:w="1038"/>
          </w:tcPr>
          <w:p>
            <w:pPr>
              <w:pStyle w:val="null3"/>
            </w:pPr>
            <w:r>
              <w:rPr/>
              <w:t>★</w:t>
            </w:r>
          </w:p>
        </w:tc>
        <w:tc>
          <w:tcPr>
            <w:tcW w:type="dxa" w:w="1038"/>
          </w:tcPr>
          <w:p>
            <w:pPr>
              <w:pStyle w:val="null3"/>
            </w:pPr>
            <w:r>
              <w:rPr/>
              <w:t>许可数与兼容性</w:t>
            </w:r>
          </w:p>
        </w:tc>
        <w:tc>
          <w:tcPr>
            <w:tcW w:type="dxa" w:w="1038"/>
          </w:tcPr>
          <w:p/>
        </w:tc>
        <w:tc>
          <w:tcPr>
            <w:tcW w:type="dxa" w:w="1038"/>
          </w:tcPr>
          <w:p>
            <w:pPr>
              <w:pStyle w:val="null3"/>
            </w:pPr>
            <w:r>
              <w:rPr/>
              <w:t>提供的软件许可须满足本次采购全部GPU服务器节点的纳管与调度使用，能在本次采购的GPU服务器上稳定运行</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*操作系统支持多CPU架构</w:t>
            </w:r>
          </w:p>
        </w:tc>
        <w:tc>
          <w:tcPr>
            <w:tcW w:type="dxa" w:w="1038"/>
          </w:tcPr>
          <w:p>
            <w:pPr>
              <w:pStyle w:val="null3"/>
            </w:pPr>
            <w:r>
              <w:rPr/>
              <w:t>*同源兼容多CPU平台架构</w:t>
            </w:r>
          </w:p>
        </w:tc>
        <w:tc>
          <w:tcPr>
            <w:tcW w:type="dxa" w:w="1038"/>
          </w:tcPr>
          <w:p>
            <w:pPr>
              <w:pStyle w:val="null3"/>
            </w:pPr>
            <w:r>
              <w:rPr/>
              <w:t>操作系统支持同源兼容ARM、LoongArch、MIPS、SW64、x86架构的CPU</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*操作系统支持CPU内置功能</w:t>
            </w:r>
          </w:p>
        </w:tc>
        <w:tc>
          <w:tcPr>
            <w:tcW w:type="dxa" w:w="1038"/>
          </w:tcPr>
          <w:p>
            <w:pPr>
              <w:pStyle w:val="null3"/>
            </w:pPr>
            <w:r>
              <w:rPr/>
              <w:t>*多核支持</w:t>
            </w:r>
          </w:p>
        </w:tc>
        <w:tc>
          <w:tcPr>
            <w:tcW w:type="dxa" w:w="1038"/>
          </w:tcPr>
          <w:p>
            <w:pPr>
              <w:pStyle w:val="null3"/>
            </w:pPr>
            <w:r>
              <w:rPr/>
              <w:t>操作系统支持双核及多核处理器，包括核间负载均衡、线程绑定等，并提供接口，通过访问接口获取运行状态和控制多核调度</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*操作系统支持CPU内置功能</w:t>
            </w:r>
          </w:p>
        </w:tc>
        <w:tc>
          <w:tcPr>
            <w:tcW w:type="dxa" w:w="1038"/>
          </w:tcPr>
          <w:p>
            <w:pPr>
              <w:pStyle w:val="null3"/>
            </w:pPr>
            <w:r>
              <w:rPr/>
              <w:t>*CPU虚拟化支持</w:t>
            </w:r>
          </w:p>
        </w:tc>
        <w:tc>
          <w:tcPr>
            <w:tcW w:type="dxa" w:w="1038"/>
          </w:tcPr>
          <w:p>
            <w:pPr>
              <w:pStyle w:val="null3"/>
            </w:pPr>
            <w:r>
              <w:rPr/>
              <w:t>操作系统支持CPU虚拟化技术</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*操作系统支持CPU内置功能</w:t>
            </w:r>
          </w:p>
        </w:tc>
        <w:tc>
          <w:tcPr>
            <w:tcW w:type="dxa" w:w="1038"/>
          </w:tcPr>
          <w:p>
            <w:pPr>
              <w:pStyle w:val="null3"/>
            </w:pPr>
            <w:r>
              <w:rPr/>
              <w:t>*动态调节CPU运行频率</w:t>
            </w:r>
          </w:p>
        </w:tc>
        <w:tc>
          <w:tcPr>
            <w:tcW w:type="dxa" w:w="1038"/>
          </w:tcPr>
          <w:p>
            <w:pPr>
              <w:pStyle w:val="null3"/>
            </w:pPr>
            <w:r>
              <w:rPr/>
              <w:t>操作系统根据负载情况，自动调节CPU的运行频率</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*操作系统支持CPU内置功能</w:t>
            </w:r>
          </w:p>
        </w:tc>
        <w:tc>
          <w:tcPr>
            <w:tcW w:type="dxa" w:w="1038"/>
          </w:tcPr>
          <w:p>
            <w:pPr>
              <w:pStyle w:val="null3"/>
            </w:pPr>
            <w:r>
              <w:rPr/>
              <w:t>*支持多CPU</w:t>
            </w:r>
          </w:p>
        </w:tc>
        <w:tc>
          <w:tcPr>
            <w:tcW w:type="dxa" w:w="1038"/>
          </w:tcPr>
          <w:p>
            <w:pPr>
              <w:pStyle w:val="null3"/>
            </w:pPr>
            <w:r>
              <w:rPr/>
              <w:t>支持跨路内存访问，支持CPU间负载均衡，支持并优化NUMA体系架构</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*操作系统支持CPU内置功能</w:t>
            </w:r>
          </w:p>
        </w:tc>
        <w:tc>
          <w:tcPr>
            <w:tcW w:type="dxa" w:w="1038"/>
          </w:tcPr>
          <w:p>
            <w:pPr>
              <w:pStyle w:val="null3"/>
            </w:pPr>
            <w:r>
              <w:rPr/>
              <w:t>*支持CPU内置安全功能</w:t>
            </w:r>
          </w:p>
        </w:tc>
        <w:tc>
          <w:tcPr>
            <w:tcW w:type="dxa" w:w="1038"/>
          </w:tcPr>
          <w:p>
            <w:pPr>
              <w:pStyle w:val="null3"/>
            </w:pPr>
            <w:r>
              <w:rPr/>
              <w:t>操作系统支持CPU硬件密码运算与随机数生成等功能；提供编程接口供应用程序调用；支持通过硬件指令判别临界区冲突；支持调用CPU指令，实现自旋锁</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*安装方式</w:t>
            </w:r>
          </w:p>
        </w:tc>
        <w:tc>
          <w:tcPr>
            <w:tcW w:type="dxa" w:w="1038"/>
          </w:tcPr>
          <w:p>
            <w:pPr>
              <w:pStyle w:val="null3"/>
            </w:pPr>
            <w:r>
              <w:rPr/>
              <w:t>操作系统支持光盘安装、USB闪存盘安装、网络安装和无人值守安装</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*安装模式</w:t>
            </w:r>
          </w:p>
        </w:tc>
        <w:tc>
          <w:tcPr>
            <w:tcW w:type="dxa" w:w="1038"/>
          </w:tcPr>
          <w:p>
            <w:pPr>
              <w:pStyle w:val="null3"/>
            </w:pPr>
            <w:r>
              <w:rPr/>
              <w:t>操作系统支持图形或文本安装模式</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*安装过程配置</w:t>
            </w:r>
          </w:p>
        </w:tc>
        <w:tc>
          <w:tcPr>
            <w:tcW w:type="dxa" w:w="1038"/>
          </w:tcPr>
          <w:p>
            <w:pPr>
              <w:pStyle w:val="null3"/>
            </w:pPr>
            <w:r>
              <w:rPr/>
              <w:t>操作系统支持安装界面文种设置、逻辑分区配置（如LVM）、自定义分区设置、安装组件设置、时区设置、键盘布局设置、初始用户设置、计算机名设置和网络设置，支持通过USB闪存盘等方式加载硬件驱动、支持设置加密文件系统</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*系统引导</w:t>
            </w:r>
          </w:p>
        </w:tc>
        <w:tc>
          <w:tcPr>
            <w:tcW w:type="dxa" w:w="1038"/>
          </w:tcPr>
          <w:p>
            <w:pPr>
              <w:pStyle w:val="null3"/>
            </w:pPr>
            <w:r>
              <w:rPr/>
              <w:t>a)操作系统应支持UEFI2.0及以上规范固件引导，当计算机以UEFI模式启动安装时，安装程序应分配ESP，并在ESP中放置启动引导文件，使系统能以UEFI模式引导；b)支持bootloader引导，支持MBR及GPT</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*引导修复</w:t>
            </w:r>
          </w:p>
        </w:tc>
        <w:tc>
          <w:tcPr>
            <w:tcW w:type="dxa" w:w="1038"/>
          </w:tcPr>
          <w:p>
            <w:pPr>
              <w:pStyle w:val="null3"/>
            </w:pPr>
            <w:r>
              <w:rPr/>
              <w:t>操作系统安装媒体提供系统引导修复功能，当已安装的系统引导被破坏时，可重建系统引导</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*引导参数编辑</w:t>
            </w:r>
          </w:p>
        </w:tc>
        <w:tc>
          <w:tcPr>
            <w:tcW w:type="dxa" w:w="1038"/>
          </w:tcPr>
          <w:p>
            <w:pPr>
              <w:pStyle w:val="null3"/>
            </w:pPr>
            <w:r>
              <w:rPr/>
              <w:t>操作系统支持用户编辑引导参数，支持GRUB口令保护</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*数据保护</w:t>
            </w:r>
          </w:p>
        </w:tc>
        <w:tc>
          <w:tcPr>
            <w:tcW w:type="dxa" w:w="1038"/>
          </w:tcPr>
          <w:p>
            <w:pPr>
              <w:pStyle w:val="null3"/>
            </w:pPr>
            <w:r>
              <w:rPr/>
              <w:t>安装程序在安装执行前明确提示用户可能会删除已有数据，并提供退出/取消功能，当用户取消安装时，不改变硬盘上已有数据</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*分辨率自适应</w:t>
            </w:r>
          </w:p>
        </w:tc>
        <w:tc>
          <w:tcPr>
            <w:tcW w:type="dxa" w:w="1038"/>
          </w:tcPr>
          <w:p>
            <w:pPr>
              <w:pStyle w:val="null3"/>
            </w:pPr>
            <w:r>
              <w:rPr/>
              <w:t>操作系统安装完成后应自动适配显示器最佳分辨率(文本模式除外)</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*安装部署</w:t>
            </w:r>
          </w:p>
        </w:tc>
        <w:tc>
          <w:tcPr>
            <w:tcW w:type="dxa" w:w="1038"/>
          </w:tcPr>
          <w:p>
            <w:pPr>
              <w:pStyle w:val="null3"/>
            </w:pPr>
            <w:r>
              <w:rPr/>
              <w:t>*安装配置正确性校验</w:t>
            </w:r>
          </w:p>
        </w:tc>
        <w:tc>
          <w:tcPr>
            <w:tcW w:type="dxa" w:w="1038"/>
          </w:tcPr>
          <w:p>
            <w:pPr>
              <w:pStyle w:val="null3"/>
            </w:pPr>
            <w:r>
              <w:rPr/>
              <w:t>操作系统安装和配置过程中，如用户自定义的某些配置可能会影响系统启动或正常使用，予以明确提示</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*系统内核</w:t>
            </w:r>
          </w:p>
        </w:tc>
        <w:tc>
          <w:tcPr>
            <w:tcW w:type="dxa" w:w="1038"/>
          </w:tcPr>
          <w:p>
            <w:pPr>
              <w:pStyle w:val="null3"/>
            </w:pPr>
            <w:r>
              <w:rPr/>
              <w:t>*内核要求</w:t>
            </w:r>
          </w:p>
        </w:tc>
        <w:tc>
          <w:tcPr>
            <w:tcW w:type="dxa" w:w="1038"/>
          </w:tcPr>
          <w:p>
            <w:pPr>
              <w:pStyle w:val="null3"/>
            </w:pPr>
            <w:r>
              <w:rPr/>
              <w:t>a)若操作系统是基于Linux内核的服务器操作系统应兼容4.19版内核b)若操作系统属于其他类型内核不做要求</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*进程、线程调度</w:t>
            </w:r>
          </w:p>
        </w:tc>
        <w:tc>
          <w:tcPr>
            <w:tcW w:type="dxa" w:w="1038"/>
          </w:tcPr>
          <w:p>
            <w:pPr>
              <w:pStyle w:val="null3"/>
            </w:pPr>
            <w:r>
              <w:rPr/>
              <w:t>*NUMA</w:t>
            </w:r>
          </w:p>
        </w:tc>
        <w:tc>
          <w:tcPr>
            <w:tcW w:type="dxa" w:w="1038"/>
          </w:tcPr>
          <w:p>
            <w:pPr>
              <w:pStyle w:val="null3"/>
            </w:pPr>
            <w:r>
              <w:rPr/>
              <w:t>操作系统支持基于NUMA的亲和调度</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*进程、线程调度</w:t>
            </w:r>
          </w:p>
        </w:tc>
        <w:tc>
          <w:tcPr>
            <w:tcW w:type="dxa" w:w="1038"/>
          </w:tcPr>
          <w:p>
            <w:pPr>
              <w:pStyle w:val="null3"/>
            </w:pPr>
            <w:r>
              <w:rPr/>
              <w:t>*多核轮询</w:t>
            </w:r>
          </w:p>
        </w:tc>
        <w:tc>
          <w:tcPr>
            <w:tcW w:type="dxa" w:w="1038"/>
          </w:tcPr>
          <w:p>
            <w:pPr>
              <w:pStyle w:val="null3"/>
            </w:pPr>
            <w:r>
              <w:rPr/>
              <w:t>操作系统支持CPU多核轮询调度</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*进程、线程调度</w:t>
            </w:r>
          </w:p>
        </w:tc>
        <w:tc>
          <w:tcPr>
            <w:tcW w:type="dxa" w:w="1038"/>
          </w:tcPr>
          <w:p>
            <w:pPr>
              <w:pStyle w:val="null3"/>
            </w:pPr>
            <w:r>
              <w:rPr/>
              <w:t>*进程调度</w:t>
            </w:r>
          </w:p>
        </w:tc>
        <w:tc>
          <w:tcPr>
            <w:tcW w:type="dxa" w:w="1038"/>
          </w:tcPr>
          <w:p>
            <w:pPr>
              <w:pStyle w:val="null3"/>
            </w:pPr>
            <w:r>
              <w:rPr/>
              <w:t>操作系统具备进程优先级动态调整能力，允许在进程运行时对优先级进行调整；区分实时进程与非实时进程，分别进行调度；支持进程运行状态检查</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*内存管理</w:t>
            </w:r>
          </w:p>
        </w:tc>
        <w:tc>
          <w:tcPr>
            <w:tcW w:type="dxa" w:w="1038"/>
          </w:tcPr>
          <w:p>
            <w:pPr>
              <w:pStyle w:val="null3"/>
            </w:pPr>
            <w:r>
              <w:rPr/>
              <w:t>*内存容量</w:t>
            </w:r>
          </w:p>
        </w:tc>
        <w:tc>
          <w:tcPr>
            <w:tcW w:type="dxa" w:w="1038"/>
          </w:tcPr>
          <w:p>
            <w:pPr>
              <w:pStyle w:val="null3"/>
            </w:pPr>
            <w:r>
              <w:rPr/>
              <w:t>操作系统支持最大内存不小于4TB</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*内存管理</w:t>
            </w:r>
          </w:p>
        </w:tc>
        <w:tc>
          <w:tcPr>
            <w:tcW w:type="dxa" w:w="1038"/>
          </w:tcPr>
          <w:p>
            <w:pPr>
              <w:pStyle w:val="null3"/>
            </w:pPr>
            <w:r>
              <w:rPr/>
              <w:t>*内存大页管理</w:t>
            </w:r>
          </w:p>
        </w:tc>
        <w:tc>
          <w:tcPr>
            <w:tcW w:type="dxa" w:w="1038"/>
          </w:tcPr>
          <w:p>
            <w:pPr>
              <w:pStyle w:val="null3"/>
            </w:pPr>
            <w:r>
              <w:rPr/>
              <w:t>操作系统允许应用申请内存大页降低页表转换</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*内存管理</w:t>
            </w:r>
          </w:p>
        </w:tc>
        <w:tc>
          <w:tcPr>
            <w:tcW w:type="dxa" w:w="1038"/>
          </w:tcPr>
          <w:p>
            <w:pPr>
              <w:pStyle w:val="null3"/>
            </w:pPr>
            <w:r>
              <w:rPr/>
              <w:t>*NUMA</w:t>
            </w:r>
          </w:p>
        </w:tc>
        <w:tc>
          <w:tcPr>
            <w:tcW w:type="dxa" w:w="1038"/>
          </w:tcPr>
          <w:p>
            <w:pPr>
              <w:pStyle w:val="null3"/>
            </w:pPr>
            <w:r>
              <w:rPr/>
              <w:t>操作系统支持NUMA近节点优化</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*内存管理</w:t>
            </w:r>
          </w:p>
        </w:tc>
        <w:tc>
          <w:tcPr>
            <w:tcW w:type="dxa" w:w="1038"/>
          </w:tcPr>
          <w:p>
            <w:pPr>
              <w:pStyle w:val="null3"/>
            </w:pPr>
            <w:r>
              <w:rPr/>
              <w:t>内存超分</w:t>
            </w:r>
          </w:p>
        </w:tc>
        <w:tc>
          <w:tcPr>
            <w:tcW w:type="dxa" w:w="1038"/>
          </w:tcPr>
          <w:p>
            <w:pPr>
              <w:pStyle w:val="null3"/>
            </w:pPr>
            <w:r>
              <w:rPr/>
              <w:t>操作系统支持虚拟内存超分，提升内存的使用率</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*RAID支持</w:t>
            </w:r>
          </w:p>
        </w:tc>
        <w:tc>
          <w:tcPr>
            <w:tcW w:type="dxa" w:w="1038"/>
          </w:tcPr>
          <w:p>
            <w:pPr>
              <w:pStyle w:val="null3"/>
            </w:pPr>
            <w:r>
              <w:rPr/>
              <w:t>操作系统支持硬RAID和软RAID，支持软RAID级别0、1、5、6、10</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*虚拟文件系统</w:t>
            </w:r>
          </w:p>
        </w:tc>
        <w:tc>
          <w:tcPr>
            <w:tcW w:type="dxa" w:w="1038"/>
          </w:tcPr>
          <w:p>
            <w:pPr>
              <w:pStyle w:val="null3"/>
            </w:pPr>
            <w:r>
              <w:rPr/>
              <w:t>操作系统支持将不同功能的外部设备抽象为统一的文件操作接口，包括存储、输入输出设备</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*文件管理</w:t>
            </w:r>
          </w:p>
        </w:tc>
        <w:tc>
          <w:tcPr>
            <w:tcW w:type="dxa" w:w="1038"/>
          </w:tcPr>
          <w:p>
            <w:pPr>
              <w:pStyle w:val="null3"/>
            </w:pPr>
            <w:r>
              <w:rPr/>
              <w:t>操作系统支持文件存储、检索和共享</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*可移动存储</w:t>
            </w:r>
          </w:p>
        </w:tc>
        <w:tc>
          <w:tcPr>
            <w:tcW w:type="dxa" w:w="1038"/>
          </w:tcPr>
          <w:p>
            <w:pPr>
              <w:pStyle w:val="null3"/>
            </w:pPr>
            <w:r>
              <w:rPr/>
              <w:t>操作系统支持对可移动外部存储的管理，包括启停、禁用、恢复等</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*外部独立存储</w:t>
            </w:r>
          </w:p>
        </w:tc>
        <w:tc>
          <w:tcPr>
            <w:tcW w:type="dxa" w:w="1038"/>
          </w:tcPr>
          <w:p>
            <w:pPr>
              <w:pStyle w:val="null3"/>
            </w:pPr>
            <w:r>
              <w:rPr/>
              <w:t>操作系统支持使用外部独立存储设备</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*多路径聚合</w:t>
            </w:r>
          </w:p>
        </w:tc>
        <w:tc>
          <w:tcPr>
            <w:tcW w:type="dxa" w:w="1038"/>
          </w:tcPr>
          <w:p>
            <w:pPr>
              <w:pStyle w:val="null3"/>
            </w:pPr>
            <w:r>
              <w:rPr/>
              <w:t>操作系统支持存储多路径聚合及I/O动态负载均衡</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*故障检测</w:t>
            </w:r>
          </w:p>
        </w:tc>
        <w:tc>
          <w:tcPr>
            <w:tcW w:type="dxa" w:w="1038"/>
          </w:tcPr>
          <w:p>
            <w:pPr>
              <w:pStyle w:val="null3"/>
            </w:pPr>
            <w:r>
              <w:rPr/>
              <w:t>操作系统支持硬盘损坏或老化检测及信息收集</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*虚拟内存</w:t>
            </w:r>
          </w:p>
        </w:tc>
        <w:tc>
          <w:tcPr>
            <w:tcW w:type="dxa" w:w="1038"/>
          </w:tcPr>
          <w:p>
            <w:pPr>
              <w:pStyle w:val="null3"/>
            </w:pPr>
            <w:r>
              <w:rPr/>
              <w:t>操作系统支持将硬盘的特定分区或文件作为虚拟扩展内存用于存放内存数据，支持虚拟内存压缩</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*网络块设备挂载</w:t>
            </w:r>
          </w:p>
        </w:tc>
        <w:tc>
          <w:tcPr>
            <w:tcW w:type="dxa" w:w="1038"/>
          </w:tcPr>
          <w:p>
            <w:pPr>
              <w:pStyle w:val="null3"/>
            </w:pPr>
            <w:r>
              <w:rPr/>
              <w:t>操作系统支持FCoE、iSCSI，支持将Ceph块设备视为常规存储设备挂载到某个目录并作为标准文件系统使用</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存储缓存</w:t>
            </w:r>
          </w:p>
        </w:tc>
        <w:tc>
          <w:tcPr>
            <w:tcW w:type="dxa" w:w="1038"/>
          </w:tcPr>
          <w:p>
            <w:pPr>
              <w:pStyle w:val="null3"/>
            </w:pPr>
            <w:r>
              <w:rPr/>
              <w:t>操作系统支持快速块设备作为慢速块设备缓存以加速I/O</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*网络管理</w:t>
            </w:r>
          </w:p>
        </w:tc>
        <w:tc>
          <w:tcPr>
            <w:tcW w:type="dxa" w:w="1038"/>
          </w:tcPr>
          <w:p>
            <w:pPr>
              <w:pStyle w:val="null3"/>
            </w:pPr>
            <w:r>
              <w:rPr/>
              <w:t>*网络链路检测</w:t>
            </w:r>
          </w:p>
        </w:tc>
        <w:tc>
          <w:tcPr>
            <w:tcW w:type="dxa" w:w="1038"/>
          </w:tcPr>
          <w:p>
            <w:pPr>
              <w:pStyle w:val="null3"/>
            </w:pPr>
            <w:r>
              <w:rPr/>
              <w:t>操作系统支持网络链路故障检测、链路事件通知和链路状态查询</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*网络管理</w:t>
            </w:r>
          </w:p>
        </w:tc>
        <w:tc>
          <w:tcPr>
            <w:tcW w:type="dxa" w:w="1038"/>
          </w:tcPr>
          <w:p>
            <w:pPr>
              <w:pStyle w:val="null3"/>
            </w:pPr>
            <w:r>
              <w:rPr/>
              <w:t>*TCP卸载引擎</w:t>
            </w:r>
          </w:p>
        </w:tc>
        <w:tc>
          <w:tcPr>
            <w:tcW w:type="dxa" w:w="1038"/>
          </w:tcPr>
          <w:p>
            <w:pPr>
              <w:pStyle w:val="null3"/>
            </w:pPr>
            <w:r>
              <w:rPr/>
              <w:t>操作系统支持运行TCP协议卸载引擎的网卡</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*网络管理</w:t>
            </w:r>
          </w:p>
        </w:tc>
        <w:tc>
          <w:tcPr>
            <w:tcW w:type="dxa" w:w="1038"/>
          </w:tcPr>
          <w:p>
            <w:pPr>
              <w:pStyle w:val="null3"/>
            </w:pPr>
            <w:r>
              <w:rPr/>
              <w:t>*网络协议</w:t>
            </w:r>
          </w:p>
        </w:tc>
        <w:tc>
          <w:tcPr>
            <w:tcW w:type="dxa" w:w="1038"/>
          </w:tcPr>
          <w:p>
            <w:pPr>
              <w:pStyle w:val="null3"/>
            </w:pPr>
            <w:r>
              <w:rPr/>
              <w:t>操作系统支持IPv4、IPv6</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*网络管理</w:t>
            </w:r>
          </w:p>
        </w:tc>
        <w:tc>
          <w:tcPr>
            <w:tcW w:type="dxa" w:w="1038"/>
          </w:tcPr>
          <w:p>
            <w:pPr>
              <w:pStyle w:val="null3"/>
            </w:pPr>
            <w:r>
              <w:rPr/>
              <w:t>*多网卡绑定</w:t>
            </w:r>
          </w:p>
        </w:tc>
        <w:tc>
          <w:tcPr>
            <w:tcW w:type="dxa" w:w="1038"/>
          </w:tcPr>
          <w:p>
            <w:pPr>
              <w:pStyle w:val="null3"/>
            </w:pPr>
            <w:r>
              <w:rPr/>
              <w:t>操作系统支持多网卡绑定</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*网络管理</w:t>
            </w:r>
          </w:p>
        </w:tc>
        <w:tc>
          <w:tcPr>
            <w:tcW w:type="dxa" w:w="1038"/>
          </w:tcPr>
          <w:p>
            <w:pPr>
              <w:pStyle w:val="null3"/>
            </w:pPr>
            <w:r>
              <w:rPr/>
              <w:t>用户态TCP/IP协议栈</w:t>
            </w:r>
          </w:p>
        </w:tc>
        <w:tc>
          <w:tcPr>
            <w:tcW w:type="dxa" w:w="1038"/>
          </w:tcPr>
          <w:p>
            <w:pPr>
              <w:pStyle w:val="null3"/>
            </w:pPr>
            <w:r>
              <w:rPr/>
              <w:t>操作系统支持用户态TCP/IP协议栈</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*文件系统</w:t>
            </w:r>
          </w:p>
        </w:tc>
        <w:tc>
          <w:tcPr>
            <w:tcW w:type="dxa" w:w="1038"/>
          </w:tcPr>
          <w:p>
            <w:pPr>
              <w:pStyle w:val="null3"/>
            </w:pPr>
            <w:r>
              <w:rPr/>
              <w:t>*文件系统支持</w:t>
            </w:r>
          </w:p>
        </w:tc>
        <w:tc>
          <w:tcPr>
            <w:tcW w:type="dxa" w:w="1038"/>
          </w:tcPr>
          <w:p>
            <w:pPr>
              <w:pStyle w:val="null3"/>
            </w:pPr>
            <w:r>
              <w:rPr/>
              <w:t>操作系统支持XFS、EXT3、EXT4、NTFS、FAT32等文件系统，支持相应格式分区创建、删除、格式化等</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*文件系统</w:t>
            </w:r>
          </w:p>
        </w:tc>
        <w:tc>
          <w:tcPr>
            <w:tcW w:type="dxa" w:w="1038"/>
          </w:tcPr>
          <w:p>
            <w:pPr>
              <w:pStyle w:val="null3"/>
            </w:pPr>
            <w:r>
              <w:rPr/>
              <w:t>*日志式文件系统</w:t>
            </w:r>
          </w:p>
        </w:tc>
        <w:tc>
          <w:tcPr>
            <w:tcW w:type="dxa" w:w="1038"/>
          </w:tcPr>
          <w:p>
            <w:pPr>
              <w:pStyle w:val="null3"/>
            </w:pPr>
            <w:r>
              <w:rPr/>
              <w:t>操作系统支持日志式文件系统</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*文件系统</w:t>
            </w:r>
          </w:p>
        </w:tc>
        <w:tc>
          <w:tcPr>
            <w:tcW w:type="dxa" w:w="1038"/>
          </w:tcPr>
          <w:p>
            <w:pPr>
              <w:pStyle w:val="null3"/>
            </w:pPr>
            <w:r>
              <w:rPr/>
              <w:t>*文件处理能力</w:t>
            </w:r>
          </w:p>
        </w:tc>
        <w:tc>
          <w:tcPr>
            <w:tcW w:type="dxa" w:w="1038"/>
          </w:tcPr>
          <w:p>
            <w:pPr>
              <w:pStyle w:val="null3"/>
            </w:pPr>
            <w:r>
              <w:rPr/>
              <w:t>操作系统支持最大文件不小于4TB，最大分区与文件系统不小于10PB，最大文件名长度不小于255字节</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*文件系统</w:t>
            </w:r>
          </w:p>
        </w:tc>
        <w:tc>
          <w:tcPr>
            <w:tcW w:type="dxa" w:w="1038"/>
          </w:tcPr>
          <w:p>
            <w:pPr>
              <w:pStyle w:val="null3"/>
            </w:pPr>
            <w:r>
              <w:rPr/>
              <w:t>*分区大小调整</w:t>
            </w:r>
          </w:p>
        </w:tc>
        <w:tc>
          <w:tcPr>
            <w:tcW w:type="dxa" w:w="1038"/>
          </w:tcPr>
          <w:p>
            <w:pPr>
              <w:pStyle w:val="null3"/>
            </w:pPr>
            <w:r>
              <w:rPr/>
              <w:t>操作系统支持动态调整分区大小，对系统分区容量进行改变</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授权激活</w:t>
            </w:r>
          </w:p>
        </w:tc>
        <w:tc>
          <w:tcPr>
            <w:tcW w:type="dxa" w:w="1038"/>
          </w:tcPr>
          <w:p>
            <w:pPr>
              <w:pStyle w:val="null3"/>
            </w:pPr>
            <w:r>
              <w:rPr/>
              <w:t>产品许可机制</w:t>
            </w:r>
          </w:p>
        </w:tc>
        <w:tc>
          <w:tcPr>
            <w:tcW w:type="dxa" w:w="1038"/>
          </w:tcPr>
          <w:p>
            <w:pPr>
              <w:pStyle w:val="null3"/>
            </w:pPr>
            <w:r>
              <w:rPr/>
              <w:t>a)操作系统支持序列号授权、批量激活服务、场地授权等方式；未激活期间，系统不得频繁提示干扰用户正常使用；未激活系统不得影响用户数据安全与完整性；b)免激活的系统不适用</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*应用开发运行环境</w:t>
            </w:r>
          </w:p>
        </w:tc>
        <w:tc>
          <w:tcPr>
            <w:tcW w:type="dxa" w:w="1038"/>
          </w:tcPr>
          <w:p>
            <w:pPr>
              <w:pStyle w:val="null3"/>
            </w:pPr>
            <w:r>
              <w:rPr/>
              <w:t>*集成开发环境/开发框架</w:t>
            </w:r>
          </w:p>
        </w:tc>
        <w:tc>
          <w:tcPr>
            <w:tcW w:type="dxa" w:w="1038"/>
          </w:tcPr>
          <w:p>
            <w:pPr>
              <w:pStyle w:val="null3"/>
            </w:pPr>
            <w:r>
              <w:rPr/>
              <w:t>操作系统通过内置、软件仓库或附加光盘等方式提供开发环境，包括Qt、Eclipse、VSCode等</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*应用开发运行环境</w:t>
            </w:r>
          </w:p>
        </w:tc>
        <w:tc>
          <w:tcPr>
            <w:tcW w:type="dxa" w:w="1038"/>
          </w:tcPr>
          <w:p>
            <w:pPr>
              <w:pStyle w:val="null3"/>
            </w:pPr>
            <w:r>
              <w:rPr/>
              <w:t>*开发工具库</w:t>
            </w:r>
          </w:p>
        </w:tc>
        <w:tc>
          <w:tcPr>
            <w:tcW w:type="dxa" w:w="1038"/>
          </w:tcPr>
          <w:p>
            <w:pPr>
              <w:pStyle w:val="null3"/>
            </w:pPr>
            <w:r>
              <w:rPr/>
              <w:t>操作系统通过内置、软件仓库或附加光盘等方式提供开发库，包括GNUC、GNUC++、Java、Qt、Gtk+、Cairo、OpenGL、Perl、Python、Ruby、Rust、Golang、JS等</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*应用开发运行环境</w:t>
            </w:r>
          </w:p>
        </w:tc>
        <w:tc>
          <w:tcPr>
            <w:tcW w:type="dxa" w:w="1038"/>
          </w:tcPr>
          <w:p>
            <w:pPr>
              <w:pStyle w:val="null3"/>
            </w:pPr>
            <w:r>
              <w:rPr/>
              <w:t>*编译器开发工具</w:t>
            </w:r>
          </w:p>
        </w:tc>
        <w:tc>
          <w:tcPr>
            <w:tcW w:type="dxa" w:w="1038"/>
          </w:tcPr>
          <w:p>
            <w:pPr>
              <w:pStyle w:val="null3"/>
            </w:pPr>
            <w:r>
              <w:rPr/>
              <w:t>操作系统通过内置、软件仓库或附加光盘等方式提供编译开发工具，包括GCC、G++、Binutils、GDB、Make、CMake等</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*应用开发运行环境</w:t>
            </w:r>
          </w:p>
        </w:tc>
        <w:tc>
          <w:tcPr>
            <w:tcW w:type="dxa" w:w="1038"/>
          </w:tcPr>
          <w:p>
            <w:pPr>
              <w:pStyle w:val="null3"/>
            </w:pPr>
            <w:r>
              <w:rPr/>
              <w:t>*文本编辑工具</w:t>
            </w:r>
          </w:p>
        </w:tc>
        <w:tc>
          <w:tcPr>
            <w:tcW w:type="dxa" w:w="1038"/>
          </w:tcPr>
          <w:p>
            <w:pPr>
              <w:pStyle w:val="null3"/>
            </w:pPr>
            <w:r>
              <w:rPr/>
              <w:t>操作系统通过内置、软件仓库或附加光盘等方式提供文本编辑工具，包括Emacs、Vim等</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*应用开发运行环境</w:t>
            </w:r>
          </w:p>
        </w:tc>
        <w:tc>
          <w:tcPr>
            <w:tcW w:type="dxa" w:w="1038"/>
          </w:tcPr>
          <w:p>
            <w:pPr>
              <w:pStyle w:val="null3"/>
            </w:pPr>
            <w:r>
              <w:rPr/>
              <w:t>*软件包管理</w:t>
            </w:r>
          </w:p>
        </w:tc>
        <w:tc>
          <w:tcPr>
            <w:tcW w:type="dxa" w:w="1038"/>
          </w:tcPr>
          <w:p>
            <w:pPr>
              <w:pStyle w:val="null3"/>
            </w:pPr>
            <w:r>
              <w:rPr/>
              <w:t>操作系统支持查询软件包描述和包含文件，以及软件包依赖；支持在安装时自动提示并下载安装缺失的依赖软件包</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*应用开发运行环境</w:t>
            </w:r>
          </w:p>
        </w:tc>
        <w:tc>
          <w:tcPr>
            <w:tcW w:type="dxa" w:w="1038"/>
          </w:tcPr>
          <w:p>
            <w:pPr>
              <w:pStyle w:val="null3"/>
            </w:pPr>
            <w:r>
              <w:rPr/>
              <w:t>*开发文档</w:t>
            </w:r>
          </w:p>
        </w:tc>
        <w:tc>
          <w:tcPr>
            <w:tcW w:type="dxa" w:w="1038"/>
          </w:tcPr>
          <w:p>
            <w:pPr>
              <w:pStyle w:val="null3"/>
            </w:pPr>
            <w:r>
              <w:rPr/>
              <w:t>供应商应提供软件开发参考文档、驱动开发参考文档、应用移植开发文档、API文档</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*网络服务</w:t>
            </w:r>
          </w:p>
        </w:tc>
        <w:tc>
          <w:tcPr>
            <w:tcW w:type="dxa" w:w="1038"/>
          </w:tcPr>
          <w:p>
            <w:pPr>
              <w:pStyle w:val="null3"/>
            </w:pPr>
            <w:r>
              <w:rPr/>
              <w:t>操作系统支持TCP/UDP</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*网络共享</w:t>
            </w:r>
          </w:p>
        </w:tc>
        <w:tc>
          <w:tcPr>
            <w:tcW w:type="dxa" w:w="1038"/>
          </w:tcPr>
          <w:p>
            <w:pPr>
              <w:pStyle w:val="null3"/>
            </w:pPr>
            <w:r>
              <w:rPr/>
              <w:t>操作系统支持基于NFS、SMB、FTP、CIFS等协议的数据网络共享服务</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*WEB服务</w:t>
            </w:r>
          </w:p>
        </w:tc>
        <w:tc>
          <w:tcPr>
            <w:tcW w:type="dxa" w:w="1038"/>
          </w:tcPr>
          <w:p>
            <w:pPr>
              <w:pStyle w:val="null3"/>
            </w:pPr>
            <w:r>
              <w:rPr/>
              <w:t>操作系统支持基于HTTP、HTTPS、FastCGI等协议WEB服务</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*加密传输服务</w:t>
            </w:r>
          </w:p>
        </w:tc>
        <w:tc>
          <w:tcPr>
            <w:tcW w:type="dxa" w:w="1038"/>
          </w:tcPr>
          <w:p>
            <w:pPr>
              <w:pStyle w:val="null3"/>
            </w:pPr>
            <w:r>
              <w:rPr/>
              <w:t>操作系统支持基于IPSec和SSL协议的隧道加密传输服务</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*数字证书服务</w:t>
            </w:r>
          </w:p>
        </w:tc>
        <w:tc>
          <w:tcPr>
            <w:tcW w:type="dxa" w:w="1038"/>
          </w:tcPr>
          <w:p>
            <w:pPr>
              <w:pStyle w:val="null3"/>
            </w:pPr>
            <w:r>
              <w:rPr/>
              <w:t>操作系统支持基于PKI体系的数字证书服务</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*访问控制服务</w:t>
            </w:r>
          </w:p>
        </w:tc>
        <w:tc>
          <w:tcPr>
            <w:tcW w:type="dxa" w:w="1038"/>
          </w:tcPr>
          <w:p>
            <w:pPr>
              <w:pStyle w:val="null3"/>
            </w:pPr>
            <w:r>
              <w:rPr/>
              <w:t>操作系统支持基于RBAC(基于角色的访问控制)机制的访问控制服务</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*网络管理服务</w:t>
            </w:r>
          </w:p>
        </w:tc>
        <w:tc>
          <w:tcPr>
            <w:tcW w:type="dxa" w:w="1038"/>
          </w:tcPr>
          <w:p>
            <w:pPr>
              <w:pStyle w:val="null3"/>
            </w:pPr>
            <w:r>
              <w:rPr/>
              <w:t>操作系统支持基于SNMP、NETCONF、ESTCONF等协议的网络管理服务</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*时间同步服务</w:t>
            </w:r>
          </w:p>
        </w:tc>
        <w:tc>
          <w:tcPr>
            <w:tcW w:type="dxa" w:w="1038"/>
          </w:tcPr>
          <w:p>
            <w:pPr>
              <w:pStyle w:val="null3"/>
            </w:pPr>
            <w:r>
              <w:rPr/>
              <w:t>操作系统支持基于NTP协议网络时间同步服务</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*远程连接服务</w:t>
            </w:r>
          </w:p>
        </w:tc>
        <w:tc>
          <w:tcPr>
            <w:tcW w:type="dxa" w:w="1038"/>
          </w:tcPr>
          <w:p>
            <w:pPr>
              <w:pStyle w:val="null3"/>
            </w:pPr>
            <w:r>
              <w:rPr/>
              <w:t>操作系统支持RPC、rsync、SSH等远程服务</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*邮件服务</w:t>
            </w:r>
          </w:p>
        </w:tc>
        <w:tc>
          <w:tcPr>
            <w:tcW w:type="dxa" w:w="1038"/>
          </w:tcPr>
          <w:p>
            <w:pPr>
              <w:pStyle w:val="null3"/>
            </w:pPr>
            <w:r>
              <w:rPr/>
              <w:t>操作系统支持基于SMTP、POP3、IMAP等的邮件服务</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*身份鉴别服务</w:t>
            </w:r>
          </w:p>
        </w:tc>
        <w:tc>
          <w:tcPr>
            <w:tcW w:type="dxa" w:w="1038"/>
          </w:tcPr>
          <w:p>
            <w:pPr>
              <w:pStyle w:val="null3"/>
            </w:pPr>
            <w:r>
              <w:rPr/>
              <w:t>操作系统支持基于轻量级目录访问协议的统一身份鉴别服务</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*数据存储和查询服务</w:t>
            </w:r>
          </w:p>
        </w:tc>
        <w:tc>
          <w:tcPr>
            <w:tcW w:type="dxa" w:w="1038"/>
          </w:tcPr>
          <w:p>
            <w:pPr>
              <w:pStyle w:val="null3"/>
            </w:pPr>
            <w:r>
              <w:rPr/>
              <w:t>操作系统支持结构化和非结构化格式数据的存储和查询服务</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*数据存储和查询服务</w:t>
            </w:r>
          </w:p>
        </w:tc>
        <w:tc>
          <w:tcPr>
            <w:tcW w:type="dxa" w:w="1038"/>
          </w:tcPr>
          <w:p>
            <w:pPr>
              <w:pStyle w:val="null3"/>
            </w:pPr>
            <w:r>
              <w:rPr/>
              <w:t>操作系统支持块、文件、对象等类型的数据存储服务</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*数据存储和查询服务</w:t>
            </w:r>
          </w:p>
        </w:tc>
        <w:tc>
          <w:tcPr>
            <w:tcW w:type="dxa" w:w="1038"/>
          </w:tcPr>
          <w:p>
            <w:pPr>
              <w:pStyle w:val="null3"/>
            </w:pPr>
            <w:r>
              <w:rPr/>
              <w:t>操作系统支持SQL、NoSQL、键值等类型的数据库</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*存储服务</w:t>
            </w:r>
          </w:p>
        </w:tc>
        <w:tc>
          <w:tcPr>
            <w:tcW w:type="dxa" w:w="1038"/>
          </w:tcPr>
          <w:p>
            <w:pPr>
              <w:pStyle w:val="null3"/>
            </w:pPr>
            <w:r>
              <w:rPr/>
              <w:t>操作系统支持多种传输速率和存储协议的SAN和NAS存储</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*集群支持</w:t>
            </w:r>
          </w:p>
        </w:tc>
        <w:tc>
          <w:tcPr>
            <w:tcW w:type="dxa" w:w="1038"/>
          </w:tcPr>
          <w:p>
            <w:pPr>
              <w:pStyle w:val="null3"/>
            </w:pPr>
            <w:r>
              <w:rPr/>
              <w:t>操作系统支持服务基于主备机制的分布式集群、高可用集群的部署模式</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*集群支持</w:t>
            </w:r>
          </w:p>
        </w:tc>
        <w:tc>
          <w:tcPr>
            <w:tcW w:type="dxa" w:w="1038"/>
          </w:tcPr>
          <w:p>
            <w:pPr>
              <w:pStyle w:val="null3"/>
            </w:pPr>
            <w:r>
              <w:rPr/>
              <w:t>操作系统支持服务基于分布式通信协议的分布式集群、高可用集群的部署模式</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*集群支持</w:t>
            </w:r>
          </w:p>
        </w:tc>
        <w:tc>
          <w:tcPr>
            <w:tcW w:type="dxa" w:w="1038"/>
          </w:tcPr>
          <w:p>
            <w:pPr>
              <w:pStyle w:val="null3"/>
            </w:pPr>
            <w:r>
              <w:rPr/>
              <w:t>操作系统支持基于虚拟路由器冗余协议的高可用集群部署模式</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*分布式服务</w:t>
            </w:r>
          </w:p>
        </w:tc>
        <w:tc>
          <w:tcPr>
            <w:tcW w:type="dxa" w:w="1038"/>
          </w:tcPr>
          <w:p>
            <w:pPr>
              <w:pStyle w:val="null3"/>
            </w:pPr>
            <w:r>
              <w:rPr/>
              <w:t>操作系统支持基于同步、异步请求处理机制的分布式服务</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*负载均衡模式</w:t>
            </w:r>
          </w:p>
        </w:tc>
        <w:tc>
          <w:tcPr>
            <w:tcW w:type="dxa" w:w="1038"/>
          </w:tcPr>
          <w:p>
            <w:pPr>
              <w:pStyle w:val="null3"/>
            </w:pPr>
            <w:r>
              <w:rPr/>
              <w:t>操作系统支持基于OSI模型的4/7层和链路层的负载均衡模式</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*负载均衡模式</w:t>
            </w:r>
          </w:p>
        </w:tc>
        <w:tc>
          <w:tcPr>
            <w:tcW w:type="dxa" w:w="1038"/>
          </w:tcPr>
          <w:p>
            <w:pPr>
              <w:pStyle w:val="null3"/>
            </w:pPr>
            <w:r>
              <w:rPr/>
              <w:t>操作系统支持基于不同调度算法的负载均衡模式</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*服务支持</w:t>
            </w:r>
          </w:p>
        </w:tc>
        <w:tc>
          <w:tcPr>
            <w:tcW w:type="dxa" w:w="1038"/>
          </w:tcPr>
          <w:p>
            <w:pPr>
              <w:pStyle w:val="null3"/>
            </w:pPr>
            <w:r>
              <w:rPr/>
              <w:t>*高可用服务</w:t>
            </w:r>
          </w:p>
        </w:tc>
        <w:tc>
          <w:tcPr>
            <w:tcW w:type="dxa" w:w="1038"/>
          </w:tcPr>
          <w:p>
            <w:pPr>
              <w:pStyle w:val="null3"/>
            </w:pPr>
            <w:r>
              <w:rPr/>
              <w:t>操作系统提供对HA的支持，支持多种集群配置模式，包括主主模式、主备模式、N+1模式和N+M模式，支持资源及节点故障检测</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开源数据库</w:t>
            </w:r>
          </w:p>
        </w:tc>
        <w:tc>
          <w:tcPr>
            <w:tcW w:type="dxa" w:w="1038"/>
          </w:tcPr>
          <w:p>
            <w:pPr>
              <w:pStyle w:val="null3"/>
            </w:pPr>
            <w:r>
              <w:rPr/>
              <w:t>供应商可通过安装镜像内置、软件仓库或附加光盘等方式提供开源数据库，并对提供的开源组件进行签名认证，确保组件的安全性、稳定性、可靠性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开源中间件</w:t>
            </w:r>
          </w:p>
        </w:tc>
        <w:tc>
          <w:tcPr>
            <w:tcW w:type="dxa" w:w="1038"/>
          </w:tcPr>
          <w:p>
            <w:pPr>
              <w:pStyle w:val="null3"/>
            </w:pPr>
            <w:r>
              <w:rPr/>
              <w:t>供应商可通过安装镜像内置、软件仓库或附加光盘等方式提供开源中间件，并对提供的开源组件进行签名认证，确保组件的安全性、稳定性、可靠性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单机虚拟化管理</w:t>
            </w:r>
          </w:p>
        </w:tc>
        <w:tc>
          <w:tcPr>
            <w:tcW w:type="dxa" w:w="1038"/>
          </w:tcPr>
          <w:p>
            <w:pPr>
              <w:pStyle w:val="null3"/>
            </w:pPr>
            <w:r>
              <w:rPr/>
              <w:t>供应商可通过安装镜像内置、软件仓库或附加光盘等方式提供开源单机虚拟化管理软件，并对提供的开源组件进行签名认证，确保组件的安全性、稳定性、可靠性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容器虚拟化软件</w:t>
            </w:r>
          </w:p>
        </w:tc>
        <w:tc>
          <w:tcPr>
            <w:tcW w:type="dxa" w:w="1038"/>
          </w:tcPr>
          <w:p>
            <w:pPr>
              <w:pStyle w:val="null3"/>
            </w:pPr>
            <w:r>
              <w:rPr/>
              <w:t>供应商可通过安装镜像内置、软件仓库或附加光盘等方式提供开源容器虚拟化软件，并对提供的开源组件进行签名认证，确保组件的安全性、稳定性、可靠性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容器管理工具</w:t>
            </w:r>
          </w:p>
        </w:tc>
        <w:tc>
          <w:tcPr>
            <w:tcW w:type="dxa" w:w="1038"/>
          </w:tcPr>
          <w:p>
            <w:pPr>
              <w:pStyle w:val="null3"/>
            </w:pPr>
            <w:r>
              <w:rPr/>
              <w:t>供应商可通过安装镜像内置、软件仓库或附加光盘等方式提供开源容器管理工具，并对提供的开源组件进行签名认证，确保组件的安全性、稳定性、可靠性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分布式存储软件</w:t>
            </w:r>
          </w:p>
        </w:tc>
        <w:tc>
          <w:tcPr>
            <w:tcW w:type="dxa" w:w="1038"/>
          </w:tcPr>
          <w:p>
            <w:pPr>
              <w:pStyle w:val="null3"/>
            </w:pPr>
            <w:r>
              <w:rPr/>
              <w:t>供应商可通过安装镜像内置、软件仓库或附加光盘等方式提供开源分布式存储软件，并对提供的开源组件进行签名认证，确保组件的安全性、稳定性、可靠性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开源组件</w:t>
            </w:r>
          </w:p>
        </w:tc>
        <w:tc>
          <w:tcPr>
            <w:tcW w:type="dxa" w:w="1038"/>
          </w:tcPr>
          <w:p>
            <w:pPr>
              <w:pStyle w:val="null3"/>
            </w:pPr>
            <w:r>
              <w:rPr/>
              <w:t>云计算管理平台</w:t>
            </w:r>
          </w:p>
        </w:tc>
        <w:tc>
          <w:tcPr>
            <w:tcW w:type="dxa" w:w="1038"/>
          </w:tcPr>
          <w:p>
            <w:pPr>
              <w:pStyle w:val="null3"/>
            </w:pPr>
            <w:r>
              <w:rPr/>
              <w:t>供应商可通过安装镜像内置、软件仓库或附加光盘等方式提供开源云计算管理平台，并对提供的开源组件进行签名认证，确保组件的安全性、稳定性、可靠性</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*虚拟化</w:t>
            </w:r>
          </w:p>
        </w:tc>
        <w:tc>
          <w:tcPr>
            <w:tcW w:type="dxa" w:w="1038"/>
          </w:tcPr>
          <w:p>
            <w:pPr>
              <w:pStyle w:val="null3"/>
            </w:pPr>
            <w:r>
              <w:rPr/>
              <w:t>*虚拟化部署</w:t>
            </w:r>
          </w:p>
        </w:tc>
        <w:tc>
          <w:tcPr>
            <w:tcW w:type="dxa" w:w="1038"/>
          </w:tcPr>
          <w:p>
            <w:pPr>
              <w:pStyle w:val="null3"/>
            </w:pPr>
            <w:r>
              <w:rPr/>
              <w:t>操作系统支持在KVM、Xen、Hyper-V虚拟机上安装部署操作系统</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*虚拟化</w:t>
            </w:r>
          </w:p>
        </w:tc>
        <w:tc>
          <w:tcPr>
            <w:tcW w:type="dxa" w:w="1038"/>
          </w:tcPr>
          <w:p>
            <w:pPr>
              <w:pStyle w:val="null3"/>
            </w:pPr>
            <w:r>
              <w:rPr/>
              <w:t>*内核虚拟化(KVM)</w:t>
            </w:r>
          </w:p>
        </w:tc>
        <w:tc>
          <w:tcPr>
            <w:tcW w:type="dxa" w:w="1038"/>
          </w:tcPr>
          <w:p>
            <w:pPr>
              <w:pStyle w:val="null3"/>
            </w:pPr>
            <w:r>
              <w:rPr/>
              <w:t>操作系统支持KVM虚拟化：对虚拟机进行启、停等管理操作；对虚拟机硬盘做快照并从快照恢复；兼容qemu、libvirt标准接口；支持UEFI或legacyBIOS方式启动；支持虚拟时钟arch-timer；支持虚拟鼠标、键盘、触控板、声卡、显卡、硬盘、CDROM、串口pty/pipe/file等设备；支持Virtio协议下的虚拟设备，包括串口、blk驱动硬盘、SCSI驱动硬盘、不同后端控制器类型的Virtio网卡(包括内核态、用户态、qemu)、GPU、vsock设备等；支持硬盘和网卡选择类型VFIO设备；支持虚拟机CPU、内存、网卡、硬盘等离线调整；支持虚拟机网卡、硬盘、USB设备热插拔；支持PCI/PCIE设备直通；支持虚拟机热迁移和加密传输；支持虚拟机远程访问；支持虚拟机CPU和I/O线程绑定</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*虚拟化</w:t>
            </w:r>
          </w:p>
        </w:tc>
        <w:tc>
          <w:tcPr>
            <w:tcW w:type="dxa" w:w="1038"/>
          </w:tcPr>
          <w:p>
            <w:pPr>
              <w:pStyle w:val="null3"/>
            </w:pPr>
            <w:r>
              <w:rPr/>
              <w:t>*KVM虚拟机管理</w:t>
            </w:r>
          </w:p>
        </w:tc>
        <w:tc>
          <w:tcPr>
            <w:tcW w:type="dxa" w:w="1038"/>
          </w:tcPr>
          <w:p>
            <w:pPr>
              <w:pStyle w:val="null3"/>
            </w:pPr>
            <w:r>
              <w:rPr/>
              <w:t>操作系统支持虚拟机对主机的访问控制；虚拟机可以拥有独立的物理资源，且各个虚拟机之间严格隔离；支持大页内存运行虚拟机；支持三种CPU型号模拟模式，包括直通、宿主模型、自定义；支持虚拟机资源调配控制，包括Numa、CPU、内存、I/O、网卡；支持CPU拓扑模拟和透传</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*容器</w:t>
            </w:r>
          </w:p>
        </w:tc>
        <w:tc>
          <w:tcPr>
            <w:tcW w:type="dxa" w:w="1038"/>
          </w:tcPr>
          <w:p>
            <w:pPr>
              <w:pStyle w:val="null3"/>
            </w:pPr>
            <w:r>
              <w:rPr/>
              <w:t>*容器虚拟化</w:t>
            </w:r>
          </w:p>
        </w:tc>
        <w:tc>
          <w:tcPr>
            <w:tcW w:type="dxa" w:w="1038"/>
          </w:tcPr>
          <w:p>
            <w:pPr>
              <w:pStyle w:val="null3"/>
            </w:pPr>
            <w:r>
              <w:rPr/>
              <w:t>操作系统支持OCI；支持进程命名空间隔离技术包括不限于mnt、pid、ipc、uts、user、network等；支持在同CPU指令架构下的不同规格硬件上无缝分发，保障运行兼容性；支持沙箱扩展；支持面向容器的独立逻辑文件管理，具备在容器创建时指定专用根文件夹，容器内进程文件访问重定向等功能；支持日志查询功能；支持通过控制终端对容器内主进程的标准输入输出对接交互；支持通过控制终端对容器内新建进程的标准输入输出对接交互；支持容器存储卷管理（新增、删除、卷容量配置、自动回收）、卷共享；支持面向容器的网络设备资源分配和使用；支持CNI；支持容器获取物理节点资源信息</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*容器</w:t>
            </w:r>
          </w:p>
        </w:tc>
        <w:tc>
          <w:tcPr>
            <w:tcW w:type="dxa" w:w="1038"/>
          </w:tcPr>
          <w:p>
            <w:pPr>
              <w:pStyle w:val="null3"/>
            </w:pPr>
            <w:r>
              <w:rPr/>
              <w:t>*容器镜像和存储管理</w:t>
            </w:r>
          </w:p>
        </w:tc>
        <w:tc>
          <w:tcPr>
            <w:tcW w:type="dxa" w:w="1038"/>
          </w:tcPr>
          <w:p>
            <w:pPr>
              <w:pStyle w:val="null3"/>
            </w:pPr>
            <w:r>
              <w:rPr/>
              <w:t>操作系统支持容器镜像导入、导出；支持容器镜像分层保存、导入</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*容器</w:t>
            </w:r>
          </w:p>
        </w:tc>
        <w:tc>
          <w:tcPr>
            <w:tcW w:type="dxa" w:w="1038"/>
          </w:tcPr>
          <w:p>
            <w:pPr>
              <w:pStyle w:val="null3"/>
            </w:pPr>
            <w:r>
              <w:rPr/>
              <w:t>*容器资源隔离和调配</w:t>
            </w:r>
          </w:p>
        </w:tc>
        <w:tc>
          <w:tcPr>
            <w:tcW w:type="dxa" w:w="1038"/>
          </w:tcPr>
          <w:p>
            <w:pPr>
              <w:pStyle w:val="null3"/>
            </w:pPr>
            <w:r>
              <w:rPr/>
              <w:t>操作系统支持容器资源在线调整，包括CPU资源、内存资源、I/O资源等；支持文件配额分配、存储带宽资源使用量监控等机制，实现容器级I/O控制能力；支持面向容器的网络带宽调度策略，实现容器级网络带宽分配、使用量监控等机制；支持面向容器的存储空间使用监控、分配机制；支持容器CPU核独占；支持面向容器的CPU时间片资源按需划分机制；支持面向容器的内存分配和回收机制，实现内存使用量跟踪和管理；支持同一集群在线、离线业务混合部署；支持对容器的编排、负载均衡、调度等能力；支持根据容器在线与离线混合部署状态进行资源优先调度，提高计算机资源利用率</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*中文支持</w:t>
            </w:r>
          </w:p>
        </w:tc>
        <w:tc>
          <w:tcPr>
            <w:tcW w:type="dxa" w:w="1038"/>
          </w:tcPr>
          <w:p>
            <w:pPr>
              <w:pStyle w:val="null3"/>
            </w:pPr>
            <w:r>
              <w:rPr/>
              <w:t>*字符编码集</w:t>
            </w:r>
          </w:p>
        </w:tc>
        <w:tc>
          <w:tcPr>
            <w:tcW w:type="dxa" w:w="1038"/>
          </w:tcPr>
          <w:p>
            <w:pPr>
              <w:pStyle w:val="null3"/>
            </w:pPr>
            <w:r>
              <w:rPr/>
              <w:t>操作系统应符合GB18030的要求</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*中文支持</w:t>
            </w:r>
          </w:p>
        </w:tc>
        <w:tc>
          <w:tcPr>
            <w:tcW w:type="dxa" w:w="1038"/>
          </w:tcPr>
          <w:p>
            <w:pPr>
              <w:pStyle w:val="null3"/>
            </w:pPr>
            <w:r>
              <w:rPr/>
              <w:t>*中文帮助文档</w:t>
            </w:r>
          </w:p>
        </w:tc>
        <w:tc>
          <w:tcPr>
            <w:tcW w:type="dxa" w:w="1038"/>
          </w:tcPr>
          <w:p>
            <w:pPr>
              <w:pStyle w:val="null3"/>
            </w:pPr>
            <w:r>
              <w:rPr/>
              <w:t>操作系统内置中文帮助文档</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*中文支持</w:t>
            </w:r>
          </w:p>
        </w:tc>
        <w:tc>
          <w:tcPr>
            <w:tcW w:type="dxa" w:w="1038"/>
          </w:tcPr>
          <w:p>
            <w:pPr>
              <w:pStyle w:val="null3"/>
            </w:pPr>
            <w:r>
              <w:rPr/>
              <w:t>多语言图形界面</w:t>
            </w:r>
          </w:p>
        </w:tc>
        <w:tc>
          <w:tcPr>
            <w:tcW w:type="dxa" w:w="1038"/>
          </w:tcPr>
          <w:p>
            <w:pPr>
              <w:pStyle w:val="null3"/>
            </w:pPr>
            <w:r>
              <w:rPr/>
              <w:t>操作系统的多文种图形用户界面应支持GB18030规定</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*中文支持</w:t>
            </w:r>
          </w:p>
        </w:tc>
        <w:tc>
          <w:tcPr>
            <w:tcW w:type="dxa" w:w="1038"/>
          </w:tcPr>
          <w:p>
            <w:pPr>
              <w:pStyle w:val="null3"/>
            </w:pPr>
            <w:r>
              <w:rPr/>
              <w:t>中文图形界面</w:t>
            </w:r>
          </w:p>
        </w:tc>
        <w:tc>
          <w:tcPr>
            <w:tcW w:type="dxa" w:w="1038"/>
          </w:tcPr>
          <w:p>
            <w:pPr>
              <w:pStyle w:val="null3"/>
            </w:pPr>
            <w:r>
              <w:rPr/>
              <w:t>操作系统支持中文图形操作界面</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*系统信息查看工具</w:t>
            </w:r>
          </w:p>
        </w:tc>
        <w:tc>
          <w:tcPr>
            <w:tcW w:type="dxa" w:w="1038"/>
          </w:tcPr>
          <w:p>
            <w:pPr>
              <w:pStyle w:val="null3"/>
            </w:pPr>
            <w:r>
              <w:rPr/>
              <w:t>操作系统支持查看系统版本、内核版本、内存容量、CPU型号等信息</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*网络管理工具</w:t>
            </w:r>
          </w:p>
        </w:tc>
        <w:tc>
          <w:tcPr>
            <w:tcW w:type="dxa" w:w="1038"/>
          </w:tcPr>
          <w:p>
            <w:pPr>
              <w:pStyle w:val="null3"/>
            </w:pPr>
            <w:r>
              <w:rPr/>
              <w:t>操作系统支持多网口自动连接、网络地址（常被称为“IP地址”）设置、DNS设置、路由设置；支持多网卡链路聚合，模式类型包括但不仅限于轮询、主备、802.3AD动态链路聚合</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*日期和时间管理工具</w:t>
            </w:r>
          </w:p>
        </w:tc>
        <w:tc>
          <w:tcPr>
            <w:tcW w:type="dxa" w:w="1038"/>
          </w:tcPr>
          <w:p>
            <w:pPr>
              <w:pStyle w:val="null3"/>
            </w:pPr>
            <w:r>
              <w:rPr/>
              <w:t>操作系统可设置时间同步服务器地址，支持局域网和广域网的同步设置</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*日志服务管理工具</w:t>
            </w:r>
          </w:p>
        </w:tc>
        <w:tc>
          <w:tcPr>
            <w:tcW w:type="dxa" w:w="1038"/>
          </w:tcPr>
          <w:p>
            <w:pPr>
              <w:pStyle w:val="null3"/>
            </w:pPr>
            <w:r>
              <w:rPr/>
              <w:t>操作系统支持收集系统日志</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*帐户管理工具</w:t>
            </w:r>
          </w:p>
        </w:tc>
        <w:tc>
          <w:tcPr>
            <w:tcW w:type="dxa" w:w="1038"/>
          </w:tcPr>
          <w:p>
            <w:pPr>
              <w:pStyle w:val="null3"/>
            </w:pPr>
            <w:r>
              <w:rPr/>
              <w:t>操作系统支持帐户添加、删除、属性修改等</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*用户操作审计工具</w:t>
            </w:r>
          </w:p>
        </w:tc>
        <w:tc>
          <w:tcPr>
            <w:tcW w:type="dxa" w:w="1038"/>
          </w:tcPr>
          <w:p>
            <w:pPr>
              <w:pStyle w:val="null3"/>
            </w:pPr>
            <w:r>
              <w:rPr/>
              <w:t>操作系统支持用户操作痕迹查询</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*存储管理工具</w:t>
            </w:r>
          </w:p>
        </w:tc>
        <w:tc>
          <w:tcPr>
            <w:tcW w:type="dxa" w:w="1038"/>
          </w:tcPr>
          <w:p>
            <w:pPr>
              <w:pStyle w:val="null3"/>
            </w:pPr>
            <w:r>
              <w:rPr/>
              <w:t>操作系统支持EXT、XFS、NTFS、FAT、SWAP等多种格式的分区管理</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*SNMP协议工具包</w:t>
            </w:r>
          </w:p>
        </w:tc>
        <w:tc>
          <w:tcPr>
            <w:tcW w:type="dxa" w:w="1038"/>
          </w:tcPr>
          <w:p>
            <w:pPr>
              <w:pStyle w:val="null3"/>
            </w:pPr>
            <w:r>
              <w:rPr/>
              <w:t>操作系统支持SNMP设备和操作信息检索</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*文本终端连接工具</w:t>
            </w:r>
          </w:p>
        </w:tc>
        <w:tc>
          <w:tcPr>
            <w:tcW w:type="dxa" w:w="1038"/>
          </w:tcPr>
          <w:p>
            <w:pPr>
              <w:pStyle w:val="null3"/>
            </w:pPr>
            <w:r>
              <w:rPr/>
              <w:t>操作系统支持多终端协同管理</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*服务管理工具集</w:t>
            </w:r>
          </w:p>
        </w:tc>
        <w:tc>
          <w:tcPr>
            <w:tcW w:type="dxa" w:w="1038"/>
          </w:tcPr>
          <w:p>
            <w:pPr>
              <w:pStyle w:val="null3"/>
            </w:pPr>
            <w:r>
              <w:rPr/>
              <w:t>操作系统支持服务启动与停止，查看服务状态及日志，查询服务启动顺序及依赖关系</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*配置管理工具</w:t>
            </w:r>
          </w:p>
        </w:tc>
        <w:tc>
          <w:tcPr>
            <w:tcW w:type="dxa" w:w="1038"/>
          </w:tcPr>
          <w:p>
            <w:pPr>
              <w:pStyle w:val="null3"/>
            </w:pPr>
            <w:r>
              <w:rPr/>
              <w:t>操作系统提供配置管理工具，可以简化任务配置及服务管理</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*监控管理工具</w:t>
            </w:r>
          </w:p>
        </w:tc>
        <w:tc>
          <w:tcPr>
            <w:tcW w:type="dxa" w:w="1038"/>
          </w:tcPr>
          <w:p>
            <w:pPr>
              <w:pStyle w:val="null3"/>
            </w:pPr>
            <w:r>
              <w:rPr/>
              <w:t>操作系统支持监控系统资源使用情况，包含CPU、内存、存储I/O、网络I/O等</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*管理工具</w:t>
            </w:r>
          </w:p>
        </w:tc>
        <w:tc>
          <w:tcPr>
            <w:tcW w:type="dxa" w:w="1038"/>
          </w:tcPr>
          <w:p>
            <w:pPr>
              <w:pStyle w:val="null3"/>
            </w:pPr>
            <w:r>
              <w:rPr/>
              <w:t>*守护进程</w:t>
            </w:r>
          </w:p>
        </w:tc>
        <w:tc>
          <w:tcPr>
            <w:tcW w:type="dxa" w:w="1038"/>
          </w:tcPr>
          <w:p>
            <w:pPr>
              <w:pStyle w:val="null3"/>
            </w:pPr>
            <w:r>
              <w:rPr/>
              <w:t>操作系统支持按需启动守护进程，用户可自定义设定需求守护的进程，如遇异常可重新加载，实现应用持续运行</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*基础组件兼容</w:t>
            </w:r>
          </w:p>
        </w:tc>
        <w:tc>
          <w:tcPr>
            <w:tcW w:type="dxa" w:w="1038"/>
          </w:tcPr>
          <w:p>
            <w:pPr>
              <w:pStyle w:val="null3"/>
            </w:pPr>
            <w:r>
              <w:rPr/>
              <w:t>*版本兼容</w:t>
            </w:r>
          </w:p>
        </w:tc>
        <w:tc>
          <w:tcPr>
            <w:tcW w:type="dxa" w:w="1038"/>
          </w:tcPr>
          <w:p>
            <w:pPr>
              <w:pStyle w:val="null3"/>
            </w:pPr>
            <w:r>
              <w:rPr/>
              <w:t>操作系统基础运行库或开发环境向后（向下）兼容，即系统版本升级后，能兼容上一版本所运行的软件与设备</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*基础组件兼容</w:t>
            </w:r>
          </w:p>
        </w:tc>
        <w:tc>
          <w:tcPr>
            <w:tcW w:type="dxa" w:w="1038"/>
          </w:tcPr>
          <w:p>
            <w:pPr>
              <w:pStyle w:val="null3"/>
            </w:pPr>
            <w:r>
              <w:rPr/>
              <w:t>*兼容周期</w:t>
            </w:r>
          </w:p>
        </w:tc>
        <w:tc>
          <w:tcPr>
            <w:tcW w:type="dxa" w:w="1038"/>
          </w:tcPr>
          <w:p>
            <w:pPr>
              <w:pStyle w:val="null3"/>
            </w:pPr>
            <w:r>
              <w:rPr/>
              <w:t>操作系统主版本兼容维护时间自发布之日起不低于5年，包括但不限于安全修复、功能升级、新硬件支持等</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*基础组件兼容</w:t>
            </w:r>
          </w:p>
        </w:tc>
        <w:tc>
          <w:tcPr>
            <w:tcW w:type="dxa" w:w="1038"/>
          </w:tcPr>
          <w:p>
            <w:pPr>
              <w:pStyle w:val="null3"/>
            </w:pPr>
            <w:r>
              <w:rPr/>
              <w:t>兼容方式</w:t>
            </w:r>
          </w:p>
        </w:tc>
        <w:tc>
          <w:tcPr>
            <w:tcW w:type="dxa" w:w="1038"/>
          </w:tcPr>
          <w:p>
            <w:pPr>
              <w:pStyle w:val="null3"/>
            </w:pPr>
            <w:r>
              <w:rPr/>
              <w:t>操作系统支持以增量升级包的方式实现版本更新</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*运行环境</w:t>
            </w:r>
          </w:p>
        </w:tc>
        <w:tc>
          <w:tcPr>
            <w:tcW w:type="dxa" w:w="1038"/>
          </w:tcPr>
          <w:p>
            <w:pPr>
              <w:pStyle w:val="null3"/>
            </w:pPr>
            <w:r>
              <w:rPr/>
              <w:t>*文件系统层次结构</w:t>
            </w:r>
          </w:p>
        </w:tc>
        <w:tc>
          <w:tcPr>
            <w:tcW w:type="dxa" w:w="1038"/>
          </w:tcPr>
          <w:p>
            <w:pPr>
              <w:pStyle w:val="null3"/>
            </w:pPr>
            <w:r>
              <w:rPr/>
              <w:t>供应商应给出长期兼容支持的文件系统层次结构</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*运行环境</w:t>
            </w:r>
          </w:p>
        </w:tc>
        <w:tc>
          <w:tcPr>
            <w:tcW w:type="dxa" w:w="1038"/>
          </w:tcPr>
          <w:p>
            <w:pPr>
              <w:pStyle w:val="null3"/>
            </w:pPr>
            <w:r>
              <w:rPr/>
              <w:t>*运行库</w:t>
            </w:r>
          </w:p>
        </w:tc>
        <w:tc>
          <w:tcPr>
            <w:tcW w:type="dxa" w:w="1038"/>
          </w:tcPr>
          <w:p>
            <w:pPr>
              <w:pStyle w:val="null3"/>
            </w:pPr>
            <w:r>
              <w:rPr/>
              <w:t>供应商应给出长期兼容支持的运行库</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*运行环境</w:t>
            </w:r>
          </w:p>
        </w:tc>
        <w:tc>
          <w:tcPr>
            <w:tcW w:type="dxa" w:w="1038"/>
          </w:tcPr>
          <w:p>
            <w:pPr>
              <w:pStyle w:val="null3"/>
            </w:pPr>
            <w:r>
              <w:rPr/>
              <w:t>*命令</w:t>
            </w:r>
          </w:p>
        </w:tc>
        <w:tc>
          <w:tcPr>
            <w:tcW w:type="dxa" w:w="1038"/>
          </w:tcPr>
          <w:p>
            <w:pPr>
              <w:pStyle w:val="null3"/>
            </w:pPr>
            <w:r>
              <w:rPr/>
              <w:t>供应商应给出长期兼容支持的常用命令</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软件包格式</w:t>
            </w:r>
          </w:p>
        </w:tc>
        <w:tc>
          <w:tcPr>
            <w:tcW w:type="dxa" w:w="1038"/>
          </w:tcPr>
          <w:p>
            <w:pPr>
              <w:pStyle w:val="null3"/>
            </w:pPr>
            <w:r>
              <w:rPr/>
              <w:t>软件包格式转换</w:t>
            </w:r>
          </w:p>
        </w:tc>
        <w:tc>
          <w:tcPr>
            <w:tcW w:type="dxa" w:w="1038"/>
          </w:tcPr>
          <w:p>
            <w:pPr>
              <w:pStyle w:val="null3"/>
            </w:pPr>
            <w:r>
              <w:rPr/>
              <w:t>操作系统支持RPM或DEB格式的软件包，当系统不支持RPM或DEB格式的软件包时，提供工具对软件包格式进行转换</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*集群软件</w:t>
            </w:r>
          </w:p>
        </w:tc>
        <w:tc>
          <w:tcPr>
            <w:tcW w:type="dxa" w:w="1038"/>
          </w:tcPr>
          <w:p>
            <w:pPr>
              <w:pStyle w:val="null3"/>
            </w:pPr>
            <w:r>
              <w:rPr/>
              <w:t>供应商提供兼容的集群软件清单，且至少兼容一款产品</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*虚拟化云平台</w:t>
            </w:r>
          </w:p>
        </w:tc>
        <w:tc>
          <w:tcPr>
            <w:tcW w:type="dxa" w:w="1038"/>
          </w:tcPr>
          <w:p>
            <w:pPr>
              <w:pStyle w:val="null3"/>
            </w:pPr>
            <w:r>
              <w:rPr/>
              <w:t>供应商提供兼容的虚拟化平台软件清单，且至少兼容三款产品，支持主流云平台华为云、阿里云、腾讯云等</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*容器云</w:t>
            </w:r>
          </w:p>
        </w:tc>
        <w:tc>
          <w:tcPr>
            <w:tcW w:type="dxa" w:w="1038"/>
          </w:tcPr>
          <w:p>
            <w:pPr>
              <w:pStyle w:val="null3"/>
            </w:pPr>
            <w:r>
              <w:rPr/>
              <w:t>供应商提供兼容的容器云软件清单，且至少兼容三款产品</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*存储软件</w:t>
            </w:r>
          </w:p>
        </w:tc>
        <w:tc>
          <w:tcPr>
            <w:tcW w:type="dxa" w:w="1038"/>
          </w:tcPr>
          <w:p>
            <w:pPr>
              <w:pStyle w:val="null3"/>
            </w:pPr>
            <w:r>
              <w:rPr/>
              <w:t>供应商提供兼容的存储软件清单，且至少兼容一款产品</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*数据库管理系统</w:t>
            </w:r>
          </w:p>
        </w:tc>
        <w:tc>
          <w:tcPr>
            <w:tcW w:type="dxa" w:w="1038"/>
          </w:tcPr>
          <w:p>
            <w:pPr>
              <w:pStyle w:val="null3"/>
            </w:pPr>
            <w:r>
              <w:rPr/>
              <w:t>供应商提供兼容的数据库软件清单，且至少兼容三款产品</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*中间件</w:t>
            </w:r>
          </w:p>
        </w:tc>
        <w:tc>
          <w:tcPr>
            <w:tcW w:type="dxa" w:w="1038"/>
          </w:tcPr>
          <w:p>
            <w:pPr>
              <w:pStyle w:val="null3"/>
            </w:pPr>
            <w:r>
              <w:rPr/>
              <w:t>供应商提供兼容的中间件软件清单，且至少兼容三款产品</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*运维平台</w:t>
            </w:r>
          </w:p>
        </w:tc>
        <w:tc>
          <w:tcPr>
            <w:tcW w:type="dxa" w:w="1038"/>
          </w:tcPr>
          <w:p>
            <w:pPr>
              <w:pStyle w:val="null3"/>
            </w:pPr>
            <w:r>
              <w:rPr/>
              <w:t>供应商提供兼容的运维平台软件清单，且至少兼容一款产品</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*备份软件</w:t>
            </w:r>
          </w:p>
        </w:tc>
        <w:tc>
          <w:tcPr>
            <w:tcW w:type="dxa" w:w="1038"/>
          </w:tcPr>
          <w:p>
            <w:pPr>
              <w:pStyle w:val="null3"/>
            </w:pPr>
            <w:r>
              <w:rPr/>
              <w:t>供应商提供兼容的备份恢复软件清单，且至少兼容一款产品</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*大数据平台</w:t>
            </w:r>
          </w:p>
        </w:tc>
        <w:tc>
          <w:tcPr>
            <w:tcW w:type="dxa" w:w="1038"/>
          </w:tcPr>
          <w:p>
            <w:pPr>
              <w:pStyle w:val="null3"/>
            </w:pPr>
            <w:r>
              <w:rPr/>
              <w:t>供应商提供兼容的大数据平台软件清单，且至少兼容一款产品</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*终端防护及杀毒</w:t>
            </w:r>
          </w:p>
        </w:tc>
        <w:tc>
          <w:tcPr>
            <w:tcW w:type="dxa" w:w="1038"/>
          </w:tcPr>
          <w:p>
            <w:pPr>
              <w:pStyle w:val="null3"/>
            </w:pPr>
            <w:r>
              <w:rPr/>
              <w:t>供应商提供兼容的终端防护及杀毒软件清单，且至少兼容一款产品</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*网络防护</w:t>
            </w:r>
          </w:p>
        </w:tc>
        <w:tc>
          <w:tcPr>
            <w:tcW w:type="dxa" w:w="1038"/>
          </w:tcPr>
          <w:p>
            <w:pPr>
              <w:pStyle w:val="null3"/>
            </w:pPr>
            <w:r>
              <w:rPr/>
              <w:t>供应商提供兼容的网络防护软件清单，且至少兼容一款产品</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*软件兼容</w:t>
            </w:r>
          </w:p>
        </w:tc>
        <w:tc>
          <w:tcPr>
            <w:tcW w:type="dxa" w:w="1038"/>
          </w:tcPr>
          <w:p>
            <w:pPr>
              <w:pStyle w:val="null3"/>
            </w:pPr>
            <w:r>
              <w:rPr/>
              <w:t>*身份认证</w:t>
            </w:r>
          </w:p>
        </w:tc>
        <w:tc>
          <w:tcPr>
            <w:tcW w:type="dxa" w:w="1038"/>
          </w:tcPr>
          <w:p>
            <w:pPr>
              <w:pStyle w:val="null3"/>
            </w:pPr>
            <w:r>
              <w:rPr/>
              <w:t>供应商提供兼容的身份认证软件清单，且至少兼容一款产品</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*硬件兼容</w:t>
            </w:r>
          </w:p>
        </w:tc>
        <w:tc>
          <w:tcPr>
            <w:tcW w:type="dxa" w:w="1038"/>
          </w:tcPr>
          <w:p>
            <w:pPr>
              <w:pStyle w:val="null3"/>
            </w:pPr>
            <w:r>
              <w:rPr/>
              <w:t>*服务器整机</w:t>
            </w:r>
          </w:p>
        </w:tc>
        <w:tc>
          <w:tcPr>
            <w:tcW w:type="dxa" w:w="1038"/>
          </w:tcPr>
          <w:p>
            <w:pPr>
              <w:pStyle w:val="null3"/>
            </w:pPr>
            <w:r>
              <w:rPr/>
              <w:t>供应商提供兼容的服务器整机品牌及型号清单，且至少兼容一款产品</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*硬件兼容</w:t>
            </w:r>
          </w:p>
        </w:tc>
        <w:tc>
          <w:tcPr>
            <w:tcW w:type="dxa" w:w="1038"/>
          </w:tcPr>
          <w:p>
            <w:pPr>
              <w:pStyle w:val="null3"/>
            </w:pPr>
            <w:r>
              <w:rPr/>
              <w:t>*AI服务器</w:t>
            </w:r>
          </w:p>
        </w:tc>
        <w:tc>
          <w:tcPr>
            <w:tcW w:type="dxa" w:w="1038"/>
          </w:tcPr>
          <w:p>
            <w:pPr>
              <w:pStyle w:val="null3"/>
            </w:pPr>
            <w:r>
              <w:rPr/>
              <w:t>供应商提供兼容的AI服务器整机品牌及型号清单，且至少兼容一款产品</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*硬件兼容</w:t>
            </w:r>
          </w:p>
        </w:tc>
        <w:tc>
          <w:tcPr>
            <w:tcW w:type="dxa" w:w="1038"/>
          </w:tcPr>
          <w:p>
            <w:pPr>
              <w:pStyle w:val="null3"/>
            </w:pPr>
            <w:r>
              <w:rPr/>
              <w:t>*存储</w:t>
            </w:r>
          </w:p>
        </w:tc>
        <w:tc>
          <w:tcPr>
            <w:tcW w:type="dxa" w:w="1038"/>
          </w:tcPr>
          <w:p>
            <w:pPr>
              <w:pStyle w:val="null3"/>
            </w:pPr>
            <w:r>
              <w:rPr/>
              <w:t>供应商提供兼容的存储服务器整机品牌及型号清单，且至少兼容一款产品</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*硬件兼容</w:t>
            </w:r>
          </w:p>
        </w:tc>
        <w:tc>
          <w:tcPr>
            <w:tcW w:type="dxa" w:w="1038"/>
          </w:tcPr>
          <w:p>
            <w:pPr>
              <w:pStyle w:val="null3"/>
            </w:pPr>
            <w:r>
              <w:rPr/>
              <w:t>*部件兼容</w:t>
            </w:r>
          </w:p>
        </w:tc>
        <w:tc>
          <w:tcPr>
            <w:tcW w:type="dxa" w:w="1038"/>
          </w:tcPr>
          <w:p>
            <w:pPr>
              <w:pStyle w:val="null3"/>
            </w:pPr>
            <w:r>
              <w:rPr/>
              <w:t>供应商提供兼容的系统总线、HBA卡、RAID卡、网卡、光纤卡、AI加速卡、GPU、NPU等品牌及型号清单</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*稳定性</w:t>
            </w:r>
          </w:p>
        </w:tc>
        <w:tc>
          <w:tcPr>
            <w:tcW w:type="dxa" w:w="1038"/>
          </w:tcPr>
          <w:p>
            <w:pPr>
              <w:pStyle w:val="null3"/>
            </w:pPr>
            <w:r>
              <w:rPr/>
              <w:t>*操作系统连续运行168小时</w:t>
            </w:r>
          </w:p>
        </w:tc>
        <w:tc>
          <w:tcPr>
            <w:tcW w:type="dxa" w:w="1038"/>
          </w:tcPr>
          <w:p>
            <w:pPr>
              <w:pStyle w:val="null3"/>
            </w:pPr>
            <w:r>
              <w:rPr/>
              <w:t>操作系统高负载下连续常态运行168小时无故障</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*备份还原</w:t>
            </w:r>
          </w:p>
        </w:tc>
        <w:tc>
          <w:tcPr>
            <w:tcW w:type="dxa" w:w="1038"/>
          </w:tcPr>
          <w:p>
            <w:pPr>
              <w:pStyle w:val="null3"/>
            </w:pPr>
            <w:r>
              <w:rPr/>
              <w:t>*备份还原</w:t>
            </w:r>
          </w:p>
        </w:tc>
        <w:tc>
          <w:tcPr>
            <w:tcW w:type="dxa" w:w="1038"/>
          </w:tcPr>
          <w:p>
            <w:pPr>
              <w:pStyle w:val="null3"/>
            </w:pPr>
            <w:r>
              <w:rPr/>
              <w:t>操作系统提供备份还原功能，支持生成系统状态快照及恢复系统状态</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*内存纠错</w:t>
            </w:r>
          </w:p>
        </w:tc>
        <w:tc>
          <w:tcPr>
            <w:tcW w:type="dxa" w:w="1038"/>
          </w:tcPr>
          <w:p>
            <w:pPr>
              <w:pStyle w:val="null3"/>
            </w:pPr>
            <w:r>
              <w:rPr/>
              <w:t>*内存纠错</w:t>
            </w:r>
          </w:p>
        </w:tc>
        <w:tc>
          <w:tcPr>
            <w:tcW w:type="dxa" w:w="1038"/>
          </w:tcPr>
          <w:p>
            <w:pPr>
              <w:pStyle w:val="null3"/>
            </w:pPr>
            <w:r>
              <w:rPr/>
              <w:t>操作系统支持DDR3、DDR4等内存上的ECC查错、纠错</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*热插拔</w:t>
            </w:r>
          </w:p>
        </w:tc>
        <w:tc>
          <w:tcPr>
            <w:tcW w:type="dxa" w:w="1038"/>
          </w:tcPr>
          <w:p>
            <w:pPr>
              <w:pStyle w:val="null3"/>
            </w:pPr>
            <w:r>
              <w:rPr/>
              <w:t>CPU热插拔</w:t>
            </w:r>
          </w:p>
        </w:tc>
        <w:tc>
          <w:tcPr>
            <w:tcW w:type="dxa" w:w="1038"/>
          </w:tcPr>
          <w:p>
            <w:pPr>
              <w:pStyle w:val="null3"/>
            </w:pPr>
            <w:r>
              <w:rPr/>
              <w:t>硬件支持时，操作系统支持CPU热插拔</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*热插拔</w:t>
            </w:r>
          </w:p>
        </w:tc>
        <w:tc>
          <w:tcPr>
            <w:tcW w:type="dxa" w:w="1038"/>
          </w:tcPr>
          <w:p>
            <w:pPr>
              <w:pStyle w:val="null3"/>
            </w:pPr>
            <w:r>
              <w:rPr/>
              <w:t>内存热插拔</w:t>
            </w:r>
          </w:p>
        </w:tc>
        <w:tc>
          <w:tcPr>
            <w:tcW w:type="dxa" w:w="1038"/>
          </w:tcPr>
          <w:p>
            <w:pPr>
              <w:pStyle w:val="null3"/>
            </w:pPr>
            <w:r>
              <w:rPr/>
              <w:t>硬件支持时，操作系统支持内存热插拔</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*热插拔</w:t>
            </w:r>
          </w:p>
        </w:tc>
        <w:tc>
          <w:tcPr>
            <w:tcW w:type="dxa" w:w="1038"/>
          </w:tcPr>
          <w:p>
            <w:pPr>
              <w:pStyle w:val="null3"/>
            </w:pPr>
            <w:r>
              <w:rPr/>
              <w:t>*硬盘热插拔</w:t>
            </w:r>
          </w:p>
        </w:tc>
        <w:tc>
          <w:tcPr>
            <w:tcW w:type="dxa" w:w="1038"/>
          </w:tcPr>
          <w:p>
            <w:pPr>
              <w:pStyle w:val="null3"/>
            </w:pPr>
            <w:r>
              <w:rPr/>
              <w:t>硬件支持时，操作系统支持硬盘热插拔</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*维护工具</w:t>
            </w:r>
          </w:p>
        </w:tc>
        <w:tc>
          <w:tcPr>
            <w:tcW w:type="dxa" w:w="1038"/>
          </w:tcPr>
          <w:p>
            <w:pPr>
              <w:pStyle w:val="null3"/>
            </w:pPr>
            <w:r>
              <w:rPr/>
              <w:t>*远程维护</w:t>
            </w:r>
          </w:p>
        </w:tc>
        <w:tc>
          <w:tcPr>
            <w:tcW w:type="dxa" w:w="1038"/>
          </w:tcPr>
          <w:p>
            <w:pPr>
              <w:pStyle w:val="null3"/>
            </w:pPr>
            <w:r>
              <w:rPr/>
              <w:t>操作系统提供远程控制管理工具，支持RDP、SSH、SPICE、VNC等协议，方便用户进行文本或图形化形式的远程连接及维护</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*维护工具</w:t>
            </w:r>
          </w:p>
        </w:tc>
        <w:tc>
          <w:tcPr>
            <w:tcW w:type="dxa" w:w="1038"/>
          </w:tcPr>
          <w:p>
            <w:pPr>
              <w:pStyle w:val="null3"/>
            </w:pPr>
            <w:r>
              <w:rPr/>
              <w:t>*文件完整检查</w:t>
            </w:r>
          </w:p>
        </w:tc>
        <w:tc>
          <w:tcPr>
            <w:tcW w:type="dxa" w:w="1038"/>
          </w:tcPr>
          <w:p>
            <w:pPr>
              <w:pStyle w:val="null3"/>
            </w:pPr>
            <w:r>
              <w:rPr/>
              <w:t>操作系统提供文件系统检查工具，对文件系统完整性进行检测和修复</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*维护工具</w:t>
            </w:r>
          </w:p>
        </w:tc>
        <w:tc>
          <w:tcPr>
            <w:tcW w:type="dxa" w:w="1038"/>
          </w:tcPr>
          <w:p>
            <w:pPr>
              <w:pStyle w:val="null3"/>
            </w:pPr>
            <w:r>
              <w:rPr/>
              <w:t>*内核分析</w:t>
            </w:r>
          </w:p>
        </w:tc>
        <w:tc>
          <w:tcPr>
            <w:tcW w:type="dxa" w:w="1038"/>
          </w:tcPr>
          <w:p>
            <w:pPr>
              <w:pStyle w:val="null3"/>
            </w:pPr>
            <w:r>
              <w:rPr/>
              <w:t>操作系统提供内核性能分析工具，提供性能分析框架，支持对内核函数层面进行分析；提供内核探测工具，支持对内核及用户态程序动态追踪</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*维护工具</w:t>
            </w:r>
          </w:p>
        </w:tc>
        <w:tc>
          <w:tcPr>
            <w:tcW w:type="dxa" w:w="1038"/>
          </w:tcPr>
          <w:p>
            <w:pPr>
              <w:pStyle w:val="null3"/>
            </w:pPr>
            <w:r>
              <w:rPr/>
              <w:t>集中管可控</w:t>
            </w:r>
          </w:p>
        </w:tc>
        <w:tc>
          <w:tcPr>
            <w:tcW w:type="dxa" w:w="1038"/>
          </w:tcPr>
          <w:p>
            <w:pPr>
              <w:pStyle w:val="null3"/>
            </w:pPr>
            <w:r>
              <w:rPr/>
              <w:t>操作系统提供集中管控工具，支持对区域内服务器操作系统进行集中管理维护</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*维护工具</w:t>
            </w:r>
          </w:p>
        </w:tc>
        <w:tc>
          <w:tcPr>
            <w:tcW w:type="dxa" w:w="1038"/>
          </w:tcPr>
          <w:p>
            <w:pPr>
              <w:pStyle w:val="null3"/>
            </w:pPr>
            <w:r>
              <w:rPr/>
              <w:t>兼容性评价</w:t>
            </w:r>
          </w:p>
        </w:tc>
        <w:tc>
          <w:tcPr>
            <w:tcW w:type="dxa" w:w="1038"/>
          </w:tcPr>
          <w:p>
            <w:pPr>
              <w:pStyle w:val="null3"/>
            </w:pPr>
            <w:r>
              <w:rPr/>
              <w:t>操作系统提供软硬件兼容性检查工具，自动分析应用软件、硬件兼容性，定位兼容性问题；提供操作系统跨版本兼容性分析工具，在迁移前检查分析软硬件，定位兼容性问题。</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*维护工具</w:t>
            </w:r>
          </w:p>
        </w:tc>
        <w:tc>
          <w:tcPr>
            <w:tcW w:type="dxa" w:w="1038"/>
          </w:tcPr>
          <w:p>
            <w:pPr>
              <w:pStyle w:val="null3"/>
            </w:pPr>
            <w:r>
              <w:rPr/>
              <w:t>性能调优</w:t>
            </w:r>
          </w:p>
        </w:tc>
        <w:tc>
          <w:tcPr>
            <w:tcW w:type="dxa" w:w="1038"/>
          </w:tcPr>
          <w:p>
            <w:pPr>
              <w:pStyle w:val="null3"/>
            </w:pPr>
            <w:r>
              <w:rPr/>
              <w:t>操作系统提供性能测试调优工具，按系统工作特点（如计算为主、存储为主等）自动优化系统配置</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*日志管理</w:t>
            </w:r>
          </w:p>
        </w:tc>
        <w:tc>
          <w:tcPr>
            <w:tcW w:type="dxa" w:w="1038"/>
          </w:tcPr>
          <w:p>
            <w:pPr>
              <w:pStyle w:val="null3"/>
            </w:pPr>
            <w:r>
              <w:rPr/>
              <w:t>*日志记录与存储</w:t>
            </w:r>
          </w:p>
        </w:tc>
        <w:tc>
          <w:tcPr>
            <w:tcW w:type="dxa" w:w="1038"/>
          </w:tcPr>
          <w:p>
            <w:pPr>
              <w:pStyle w:val="null3"/>
            </w:pPr>
            <w:r>
              <w:rPr/>
              <w:t>操作系统支持对安全事件的日志记录，包括帐户增删改、成功登录、失败登录、敏感服务开启关闭、配置修改等，日志信息详实，包括所属用户、访问时间、访问地址等；支持内核异常日志信息的记录和存储；支持内核崩溃转储机制，系统崩溃时可收集整个内存信息；支持配置远程日志功能，可将指定日志内容归档到日志服务器；支持对日志功能进行访问控制，防止未经授权的访问</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*日志管理</w:t>
            </w:r>
          </w:p>
        </w:tc>
        <w:tc>
          <w:tcPr>
            <w:tcW w:type="dxa" w:w="1038"/>
          </w:tcPr>
          <w:p>
            <w:pPr>
              <w:pStyle w:val="null3"/>
            </w:pPr>
            <w:r>
              <w:rPr/>
              <w:t>*日志处理与分析</w:t>
            </w:r>
          </w:p>
        </w:tc>
        <w:tc>
          <w:tcPr>
            <w:tcW w:type="dxa" w:w="1038"/>
          </w:tcPr>
          <w:p>
            <w:pPr>
              <w:pStyle w:val="null3"/>
            </w:pPr>
            <w:r>
              <w:rPr/>
              <w:t>操作系统提供系统错误问题回溯分析工具，对系统崩溃问题及错误问题进行回溯；支持日志切分、一键收集、转储、同步机制</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*脆弱性管理</w:t>
            </w:r>
          </w:p>
        </w:tc>
        <w:tc>
          <w:tcPr>
            <w:tcW w:type="dxa" w:w="1038"/>
          </w:tcPr>
          <w:p>
            <w:pPr>
              <w:pStyle w:val="null3"/>
            </w:pPr>
            <w:r>
              <w:rPr/>
              <w:t>*脆弱性管理</w:t>
            </w:r>
          </w:p>
        </w:tc>
        <w:tc>
          <w:tcPr>
            <w:tcW w:type="dxa" w:w="1038"/>
          </w:tcPr>
          <w:p>
            <w:pPr>
              <w:pStyle w:val="null3"/>
            </w:pPr>
            <w:r>
              <w:rPr/>
              <w:t>操作系统提供故障管理框架，内置故障分析专家系统，可与外部同类型系统互联；具备故障响应、故障警告功能，提供用户接口，支持故障响应、警告信息分发；支持故障管理守护进程，使用统一的传输信道或机制上报故障信息；具备硬件故障信息捕获、紧急处理功能，包括CPU、内存及PCIe设备等硬件的故障；支持诊断/响应组件动态加载机制；提供或支持第三方远程诊断框架及调测工具集，实现远程诊断及调试断点功能；支持物理机、虚拟机中操作系统的故障恢复</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*热补丁</w:t>
            </w:r>
          </w:p>
        </w:tc>
        <w:tc>
          <w:tcPr>
            <w:tcW w:type="dxa" w:w="1038"/>
          </w:tcPr>
          <w:p>
            <w:pPr>
              <w:pStyle w:val="null3"/>
            </w:pPr>
            <w:r>
              <w:rPr/>
              <w:t>*热补丁</w:t>
            </w:r>
          </w:p>
        </w:tc>
        <w:tc>
          <w:tcPr>
            <w:tcW w:type="dxa" w:w="1038"/>
          </w:tcPr>
          <w:p>
            <w:pPr>
              <w:pStyle w:val="null3"/>
            </w:pPr>
            <w:r>
              <w:rPr/>
              <w:t>操作系统支持对内核热补丁进行编号，每个热补丁拥有独立编号；支持增量修复以及回滚机制；提供热补丁合法性和一致性校验功能；提供热补丁管理机制和工具，功能至少覆盖补丁查询、安装、移除；提供热补丁升级和回滚系统日志，便于查询或回溯</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*系统升级</w:t>
            </w:r>
          </w:p>
        </w:tc>
        <w:tc>
          <w:tcPr>
            <w:tcW w:type="dxa" w:w="1038"/>
          </w:tcPr>
          <w:p>
            <w:pPr>
              <w:pStyle w:val="null3"/>
            </w:pPr>
            <w:r>
              <w:rPr/>
              <w:t>*升级内容</w:t>
            </w:r>
          </w:p>
        </w:tc>
        <w:tc>
          <w:tcPr>
            <w:tcW w:type="dxa" w:w="1038"/>
          </w:tcPr>
          <w:p>
            <w:pPr>
              <w:pStyle w:val="null3"/>
            </w:pPr>
            <w:r>
              <w:rPr/>
              <w:t>操作系统支持系统增量升级功能，对系统部件、安全补丁等升级</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*系统升级</w:t>
            </w:r>
          </w:p>
        </w:tc>
        <w:tc>
          <w:tcPr>
            <w:tcW w:type="dxa" w:w="1038"/>
          </w:tcPr>
          <w:p>
            <w:pPr>
              <w:pStyle w:val="null3"/>
            </w:pPr>
            <w:r>
              <w:rPr/>
              <w:t>*升级方式</w:t>
            </w:r>
          </w:p>
        </w:tc>
        <w:tc>
          <w:tcPr>
            <w:tcW w:type="dxa" w:w="1038"/>
          </w:tcPr>
          <w:p>
            <w:pPr>
              <w:pStyle w:val="null3"/>
            </w:pPr>
            <w:r>
              <w:rPr/>
              <w:t>操作系统支持在线升级和离线升级</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*系统升级</w:t>
            </w:r>
          </w:p>
        </w:tc>
        <w:tc>
          <w:tcPr>
            <w:tcW w:type="dxa" w:w="1038"/>
          </w:tcPr>
          <w:p>
            <w:pPr>
              <w:pStyle w:val="null3"/>
            </w:pPr>
            <w:r>
              <w:rPr/>
              <w:t>*数据保护</w:t>
            </w:r>
          </w:p>
        </w:tc>
        <w:tc>
          <w:tcPr>
            <w:tcW w:type="dxa" w:w="1038"/>
          </w:tcPr>
          <w:p>
            <w:pPr>
              <w:pStyle w:val="null3"/>
            </w:pPr>
            <w:r>
              <w:rPr/>
              <w:t>操作系统升级不得修改破坏用户数据</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*系统升级</w:t>
            </w:r>
          </w:p>
        </w:tc>
        <w:tc>
          <w:tcPr>
            <w:tcW w:type="dxa" w:w="1038"/>
          </w:tcPr>
          <w:p>
            <w:pPr>
              <w:pStyle w:val="null3"/>
            </w:pPr>
            <w:r>
              <w:rPr/>
              <w:t>*兼容性</w:t>
            </w:r>
          </w:p>
        </w:tc>
        <w:tc>
          <w:tcPr>
            <w:tcW w:type="dxa" w:w="1038"/>
          </w:tcPr>
          <w:p>
            <w:pPr>
              <w:pStyle w:val="null3"/>
            </w:pPr>
            <w:r>
              <w:rPr/>
              <w:t>操作系统升级不得影响原有软硬件兼容性，如有影响应显式的提示告知用户</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*系统升级</w:t>
            </w:r>
          </w:p>
        </w:tc>
        <w:tc>
          <w:tcPr>
            <w:tcW w:type="dxa" w:w="1038"/>
          </w:tcPr>
          <w:p>
            <w:pPr>
              <w:pStyle w:val="null3"/>
            </w:pPr>
            <w:r>
              <w:rPr/>
              <w:t>*回退</w:t>
            </w:r>
          </w:p>
        </w:tc>
        <w:tc>
          <w:tcPr>
            <w:tcW w:type="dxa" w:w="1038"/>
          </w:tcPr>
          <w:p>
            <w:pPr>
              <w:pStyle w:val="null3"/>
            </w:pPr>
            <w:r>
              <w:rPr/>
              <w:t>操作系统提供升级回退机制，能卸载已升级的软件包，恢复系统原有状态，如升级为不可回退，则系统升级前以显式的提示告知用户</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*交付方式</w:t>
            </w:r>
          </w:p>
        </w:tc>
        <w:tc>
          <w:tcPr>
            <w:tcW w:type="dxa" w:w="1038"/>
          </w:tcPr>
          <w:p>
            <w:pPr>
              <w:pStyle w:val="null3"/>
            </w:pPr>
            <w:r>
              <w:rPr/>
              <w:t>*交付方式</w:t>
            </w:r>
          </w:p>
        </w:tc>
        <w:tc>
          <w:tcPr>
            <w:tcW w:type="dxa" w:w="1038"/>
          </w:tcPr>
          <w:p>
            <w:pPr>
              <w:pStyle w:val="null3"/>
            </w:pPr>
            <w:r>
              <w:rPr/>
              <w:t>供应商提供光盘、USB闪存盘、镜像文件（下载）等交付方式</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*产品维护周期</w:t>
            </w:r>
          </w:p>
        </w:tc>
        <w:tc>
          <w:tcPr>
            <w:tcW w:type="dxa" w:w="1038"/>
          </w:tcPr>
          <w:p>
            <w:pPr>
              <w:pStyle w:val="null3"/>
            </w:pPr>
            <w:r>
              <w:rPr/>
              <w:t>产品自发布之日起至产品停止功能升级（包含不限于新特性、新硬件支持、问题修复、安全补丁等）之日止≥5年</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*产品延伸服务周期</w:t>
            </w:r>
          </w:p>
        </w:tc>
        <w:tc>
          <w:tcPr>
            <w:tcW w:type="dxa" w:w="1038"/>
          </w:tcPr>
          <w:p>
            <w:pPr>
              <w:pStyle w:val="null3"/>
            </w:pPr>
            <w:r>
              <w:rPr/>
              <w:t>产品停止功能升级之日起至产品停止功能维护（包括问题修复、安全补丁等）之日止≥5年</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*产品延伸安全服务周期</w:t>
            </w:r>
          </w:p>
        </w:tc>
        <w:tc>
          <w:tcPr>
            <w:tcW w:type="dxa" w:w="1038"/>
          </w:tcPr>
          <w:p>
            <w:pPr>
              <w:pStyle w:val="null3"/>
            </w:pPr>
            <w:r>
              <w:rPr/>
              <w:t>≥3年</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*售后服务最小保障期</w:t>
            </w:r>
          </w:p>
        </w:tc>
        <w:tc>
          <w:tcPr>
            <w:tcW w:type="dxa" w:w="1038"/>
          </w:tcPr>
          <w:p>
            <w:pPr>
              <w:pStyle w:val="null3"/>
            </w:pPr>
            <w:r>
              <w:rPr/>
              <w:t>≥8年</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*售后服务</w:t>
            </w:r>
          </w:p>
        </w:tc>
        <w:tc>
          <w:tcPr>
            <w:tcW w:type="dxa" w:w="1038"/>
          </w:tcPr>
          <w:p>
            <w:pPr>
              <w:pStyle w:val="null3"/>
            </w:pPr>
            <w:r>
              <w:rPr/>
              <w:t>*原厂服务</w:t>
            </w:r>
          </w:p>
        </w:tc>
        <w:tc>
          <w:tcPr>
            <w:tcW w:type="dxa" w:w="1038"/>
          </w:tcPr>
          <w:p>
            <w:pPr>
              <w:pStyle w:val="null3"/>
            </w:pPr>
            <w:r>
              <w:rPr/>
              <w:t>服务由操作系统厂商的正式员工提供，不由代理商提供</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*售后服务</w:t>
            </w:r>
          </w:p>
        </w:tc>
        <w:tc>
          <w:tcPr>
            <w:tcW w:type="dxa" w:w="1038"/>
          </w:tcPr>
          <w:p>
            <w:pPr>
              <w:pStyle w:val="null3"/>
            </w:pPr>
            <w:r>
              <w:rPr/>
              <w:t>*服务热线电话</w:t>
            </w:r>
          </w:p>
        </w:tc>
        <w:tc>
          <w:tcPr>
            <w:tcW w:type="dxa" w:w="1038"/>
          </w:tcPr>
          <w:p>
            <w:pPr>
              <w:pStyle w:val="null3"/>
            </w:pPr>
            <w:r>
              <w:rPr/>
              <w:t>操作系统厂商为最终用户提供工作日每日不少于8h（覆盖一般工作时间，具体时间由企业标准给出）中文技术服务热线</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*售后服务</w:t>
            </w:r>
          </w:p>
        </w:tc>
        <w:tc>
          <w:tcPr>
            <w:tcW w:type="dxa" w:w="1038"/>
          </w:tcPr>
          <w:p>
            <w:pPr>
              <w:pStyle w:val="null3"/>
            </w:pPr>
            <w:r>
              <w:rPr/>
              <w:t>*技术服务标准</w:t>
            </w:r>
          </w:p>
        </w:tc>
        <w:tc>
          <w:tcPr>
            <w:tcW w:type="dxa" w:w="1038"/>
          </w:tcPr>
          <w:p>
            <w:pPr>
              <w:pStyle w:val="null3"/>
            </w:pPr>
            <w:r>
              <w:rPr/>
              <w:t>操作系统厂商提供工作日每日不少于8h技术支持服务</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*售后服务</w:t>
            </w:r>
          </w:p>
        </w:tc>
        <w:tc>
          <w:tcPr>
            <w:tcW w:type="dxa" w:w="1038"/>
          </w:tcPr>
          <w:p>
            <w:pPr>
              <w:pStyle w:val="null3"/>
            </w:pPr>
            <w:r>
              <w:rPr/>
              <w:t>定制优化增值服务</w:t>
            </w:r>
          </w:p>
        </w:tc>
        <w:tc>
          <w:tcPr>
            <w:tcW w:type="dxa" w:w="1038"/>
          </w:tcPr>
          <w:p>
            <w:pPr>
              <w:pStyle w:val="null3"/>
            </w:pPr>
            <w:r>
              <w:rPr/>
              <w:t>操作系统厂商提供代码级定制优化服务</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*售后服务</w:t>
            </w:r>
          </w:p>
        </w:tc>
        <w:tc>
          <w:tcPr>
            <w:tcW w:type="dxa" w:w="1038"/>
          </w:tcPr>
          <w:p>
            <w:pPr>
              <w:pStyle w:val="null3"/>
            </w:pPr>
            <w:r>
              <w:rPr/>
              <w:t>*技术服务时效</w:t>
            </w:r>
          </w:p>
        </w:tc>
        <w:tc>
          <w:tcPr>
            <w:tcW w:type="dxa" w:w="1038"/>
          </w:tcPr>
          <w:p>
            <w:pPr>
              <w:pStyle w:val="null3"/>
            </w:pPr>
            <w:r>
              <w:rPr/>
              <w:t>操作系统厂商满足同城4h、异地12h响要求，两个工作日解决问题，对于未能解决的问题和故障提供可行的升级方案</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*售后服务</w:t>
            </w:r>
          </w:p>
        </w:tc>
        <w:tc>
          <w:tcPr>
            <w:tcW w:type="dxa" w:w="1038"/>
          </w:tcPr>
          <w:p>
            <w:pPr>
              <w:pStyle w:val="null3"/>
            </w:pPr>
            <w:r>
              <w:rPr/>
              <w:t>*技术服务保障</w:t>
            </w:r>
          </w:p>
        </w:tc>
        <w:tc>
          <w:tcPr>
            <w:tcW w:type="dxa" w:w="1038"/>
          </w:tcPr>
          <w:p>
            <w:pPr>
              <w:pStyle w:val="null3"/>
            </w:pPr>
            <w:r>
              <w:rPr/>
              <w:t>发生非人为因素故障，在七日内由操作系统厂商原厂人员免费对产品进行补充或更换</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*现场交付与安装调试</w:t>
            </w:r>
          </w:p>
        </w:tc>
        <w:tc>
          <w:tcPr>
            <w:tcW w:type="dxa" w:w="1038"/>
          </w:tcPr>
          <w:p>
            <w:pPr>
              <w:pStyle w:val="null3"/>
            </w:pPr>
            <w:r>
              <w:rPr/>
              <w:t>*现场安装调试</w:t>
            </w:r>
          </w:p>
        </w:tc>
        <w:tc>
          <w:tcPr>
            <w:tcW w:type="dxa" w:w="1038"/>
          </w:tcPr>
          <w:p>
            <w:pPr>
              <w:pStyle w:val="null3"/>
            </w:pPr>
            <w:r>
              <w:rPr/>
              <w:t>操作系统厂商提供产品安装与现场调试，并提供安装与调试所需的工具和设备</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*现场交付与安装调试</w:t>
            </w:r>
          </w:p>
        </w:tc>
        <w:tc>
          <w:tcPr>
            <w:tcW w:type="dxa" w:w="1038"/>
          </w:tcPr>
          <w:p>
            <w:pPr>
              <w:pStyle w:val="null3"/>
            </w:pPr>
            <w:r>
              <w:rPr/>
              <w:t>*配套资料</w:t>
            </w:r>
          </w:p>
        </w:tc>
        <w:tc>
          <w:tcPr>
            <w:tcW w:type="dxa" w:w="1038"/>
          </w:tcPr>
          <w:p>
            <w:pPr>
              <w:pStyle w:val="null3"/>
            </w:pPr>
            <w:r>
              <w:rPr/>
              <w:t>交付产品时操作系统厂商提供配套的技术资料，包括但不限于系统说明文件、用户手册（用户安装、操作、维护、故障排除）等</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*系统更换</w:t>
            </w:r>
          </w:p>
        </w:tc>
        <w:tc>
          <w:tcPr>
            <w:tcW w:type="dxa" w:w="1038"/>
          </w:tcPr>
          <w:p>
            <w:pPr>
              <w:pStyle w:val="null3"/>
            </w:pPr>
            <w:r>
              <w:rPr/>
              <w:t>*系统更换</w:t>
            </w:r>
          </w:p>
        </w:tc>
        <w:tc>
          <w:tcPr>
            <w:tcW w:type="dxa" w:w="1038"/>
          </w:tcPr>
          <w:p>
            <w:pPr>
              <w:pStyle w:val="null3"/>
            </w:pPr>
            <w:r>
              <w:rPr/>
              <w:t>服务期内，操作系统厂商支持版本免费更换（注：更换后不延长服务期）</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*厂商能力要求</w:t>
            </w:r>
          </w:p>
        </w:tc>
        <w:tc>
          <w:tcPr>
            <w:tcW w:type="dxa" w:w="1038"/>
          </w:tcPr>
          <w:p>
            <w:pPr>
              <w:pStyle w:val="null3"/>
            </w:pPr>
            <w:r>
              <w:rPr/>
              <w:t>*服务团队</w:t>
            </w:r>
          </w:p>
        </w:tc>
        <w:tc>
          <w:tcPr>
            <w:tcW w:type="dxa" w:w="1038"/>
          </w:tcPr>
          <w:p>
            <w:pPr>
              <w:pStyle w:val="null3"/>
            </w:pPr>
            <w:r>
              <w:rPr/>
              <w:t>操作系统厂商建立全国技术服务体系和服务团队，为客户提供专业的原厂中文服务</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*数据安全保障</w:t>
            </w:r>
          </w:p>
        </w:tc>
        <w:tc>
          <w:tcPr>
            <w:tcW w:type="dxa" w:w="1038"/>
          </w:tcPr>
          <w:p>
            <w:pPr>
              <w:pStyle w:val="null3"/>
            </w:pPr>
            <w:r>
              <w:rPr/>
              <w:t>*数据收集安全保障</w:t>
            </w:r>
          </w:p>
        </w:tc>
        <w:tc>
          <w:tcPr>
            <w:tcW w:type="dxa" w:w="1038"/>
          </w:tcPr>
          <w:p>
            <w:pPr>
              <w:pStyle w:val="null3"/>
            </w:pPr>
            <w:r>
              <w:rPr/>
              <w:t>除用户授权采集的信息外不采集其他数据，相关信息采集无安全风险，相关数据存储在大陆境内</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*数据安全保障</w:t>
            </w:r>
          </w:p>
        </w:tc>
        <w:tc>
          <w:tcPr>
            <w:tcW w:type="dxa" w:w="1038"/>
          </w:tcPr>
          <w:p>
            <w:pPr>
              <w:pStyle w:val="null3"/>
            </w:pPr>
            <w:r>
              <w:rPr/>
              <w:t>*数据供给安全保障</w:t>
            </w:r>
          </w:p>
        </w:tc>
        <w:tc>
          <w:tcPr>
            <w:tcW w:type="dxa" w:w="1038"/>
          </w:tcPr>
          <w:p>
            <w:pPr>
              <w:pStyle w:val="null3"/>
            </w:pPr>
            <w:r>
              <w:rPr/>
              <w:t>涉及数据下载的线上服务物理服务器不出境，包括代码仓库、系统补丁、安全补丁、服务网站等</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*代码无风险</w:t>
            </w:r>
          </w:p>
        </w:tc>
        <w:tc>
          <w:tcPr>
            <w:tcW w:type="dxa" w:w="1038"/>
          </w:tcPr>
          <w:p>
            <w:pPr>
              <w:pStyle w:val="null3"/>
            </w:pPr>
            <w:r>
              <w:rPr/>
              <w:t>*代码无风险</w:t>
            </w:r>
          </w:p>
        </w:tc>
        <w:tc>
          <w:tcPr>
            <w:tcW w:type="dxa" w:w="1038"/>
          </w:tcPr>
          <w:p>
            <w:pPr>
              <w:pStyle w:val="null3"/>
            </w:pPr>
            <w:r>
              <w:rPr/>
              <w:t>操作系统厂商提供源代码，源代码可供第三方机构审查，开源许可合规，代码知识产权无风险，无恶意安全漏洞或后门，代码可追溯、可重构</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工程构建体系</w:t>
            </w:r>
          </w:p>
        </w:tc>
        <w:tc>
          <w:tcPr>
            <w:tcW w:type="dxa" w:w="1038"/>
          </w:tcPr>
          <w:p>
            <w:pPr>
              <w:pStyle w:val="null3"/>
            </w:pPr>
            <w:r>
              <w:rPr/>
              <w:t>工程构建体系</w:t>
            </w:r>
          </w:p>
        </w:tc>
        <w:tc>
          <w:tcPr>
            <w:tcW w:type="dxa" w:w="1038"/>
          </w:tcPr>
          <w:p>
            <w:pPr>
              <w:pStyle w:val="null3"/>
            </w:pPr>
            <w:r>
              <w:rPr/>
              <w:t>操作系统厂商具备统一的工程构建体系，能用一套操作系统源码构建用于云侧计算、边侧计算场景中部署运行的操作系统，降低部署后系统维护、使用复杂度</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*基本要求</w:t>
            </w:r>
          </w:p>
        </w:tc>
        <w:tc>
          <w:tcPr>
            <w:tcW w:type="dxa" w:w="1038"/>
          </w:tcPr>
          <w:p>
            <w:pPr>
              <w:pStyle w:val="null3"/>
            </w:pPr>
            <w:r>
              <w:rPr/>
              <w:t>*基本要求</w:t>
            </w:r>
          </w:p>
        </w:tc>
        <w:tc>
          <w:tcPr>
            <w:tcW w:type="dxa" w:w="1038"/>
          </w:tcPr>
          <w:p>
            <w:pPr>
              <w:pStyle w:val="null3"/>
            </w:pPr>
            <w:r>
              <w:rPr/>
              <w:t>操作系统应当符合安全可靠测评要求</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*密码算法支持</w:t>
            </w:r>
          </w:p>
        </w:tc>
        <w:tc>
          <w:tcPr>
            <w:tcW w:type="dxa" w:w="1038"/>
          </w:tcPr>
          <w:p>
            <w:pPr>
              <w:pStyle w:val="null3"/>
            </w:pPr>
            <w:r>
              <w:rPr/>
              <w:t>*密码算法实现</w:t>
            </w:r>
          </w:p>
        </w:tc>
        <w:tc>
          <w:tcPr>
            <w:tcW w:type="dxa" w:w="1038"/>
          </w:tcPr>
          <w:p>
            <w:pPr>
              <w:pStyle w:val="null3"/>
            </w:pPr>
            <w:r>
              <w:rPr/>
              <w:t>操作系统支持GM/T0002、GM/T0003和GM/T0004规定的密码算法运算</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*密码算法支持</w:t>
            </w:r>
          </w:p>
        </w:tc>
        <w:tc>
          <w:tcPr>
            <w:tcW w:type="dxa" w:w="1038"/>
          </w:tcPr>
          <w:p>
            <w:pPr>
              <w:pStyle w:val="null3"/>
            </w:pPr>
            <w:r>
              <w:rPr/>
              <w:t>*随机数生成</w:t>
            </w:r>
          </w:p>
        </w:tc>
        <w:tc>
          <w:tcPr>
            <w:tcW w:type="dxa" w:w="1038"/>
          </w:tcPr>
          <w:p>
            <w:pPr>
              <w:pStyle w:val="null3"/>
            </w:pPr>
            <w:r>
              <w:rPr/>
              <w:t>操作系统随机数质量符合GM/T0005《随机性检测规范》或GB/T32915《信息安全技术二元序列随机性检测方法》</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*密码算法支持</w:t>
            </w:r>
          </w:p>
        </w:tc>
        <w:tc>
          <w:tcPr>
            <w:tcW w:type="dxa" w:w="1038"/>
          </w:tcPr>
          <w:p>
            <w:pPr>
              <w:pStyle w:val="null3"/>
            </w:pPr>
            <w:r>
              <w:rPr/>
              <w:t>*内置数字证书</w:t>
            </w:r>
          </w:p>
        </w:tc>
        <w:tc>
          <w:tcPr>
            <w:tcW w:type="dxa" w:w="1038"/>
          </w:tcPr>
          <w:p>
            <w:pPr>
              <w:pStyle w:val="null3"/>
            </w:pPr>
            <w:r>
              <w:rPr/>
              <w:t>操作系统内置国家电子认证根CA的根证书</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*密码算法支持</w:t>
            </w:r>
          </w:p>
        </w:tc>
        <w:tc>
          <w:tcPr>
            <w:tcW w:type="dxa" w:w="1038"/>
          </w:tcPr>
          <w:p>
            <w:pPr>
              <w:pStyle w:val="null3"/>
            </w:pPr>
            <w:r>
              <w:rPr/>
              <w:t>*密码协议实现</w:t>
            </w:r>
          </w:p>
        </w:tc>
        <w:tc>
          <w:tcPr>
            <w:tcW w:type="dxa" w:w="1038"/>
          </w:tcPr>
          <w:p>
            <w:pPr>
              <w:pStyle w:val="null3"/>
            </w:pPr>
            <w:r>
              <w:rPr/>
              <w:t>操作系统支持符合GB/T38636—2020的TLCP</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*安全管理</w:t>
            </w:r>
          </w:p>
        </w:tc>
        <w:tc>
          <w:tcPr>
            <w:tcW w:type="dxa" w:w="1038"/>
          </w:tcPr>
          <w:p>
            <w:pPr>
              <w:pStyle w:val="null3"/>
            </w:pPr>
            <w:r>
              <w:rPr/>
              <w:t>*防火墙</w:t>
            </w:r>
          </w:p>
        </w:tc>
        <w:tc>
          <w:tcPr>
            <w:tcW w:type="dxa" w:w="1038"/>
          </w:tcPr>
          <w:p>
            <w:pPr>
              <w:pStyle w:val="null3"/>
            </w:pPr>
            <w:r>
              <w:rPr/>
              <w:t>操作系统提供防火墙配置管理工具，支持基于协议、网络地址、端口的访问控制规则配置，规则修改后立即生效；支持关闭指定服务和端口，包括但不限于关闭远程访问、共享访问等；支持防止ARP欺骗攻击</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*安全管理</w:t>
            </w:r>
          </w:p>
        </w:tc>
        <w:tc>
          <w:tcPr>
            <w:tcW w:type="dxa" w:w="1038"/>
          </w:tcPr>
          <w:p>
            <w:pPr>
              <w:pStyle w:val="null3"/>
            </w:pPr>
            <w:r>
              <w:rPr/>
              <w:t>*安全框架</w:t>
            </w:r>
          </w:p>
        </w:tc>
        <w:tc>
          <w:tcPr>
            <w:tcW w:type="dxa" w:w="1038"/>
          </w:tcPr>
          <w:p>
            <w:pPr>
              <w:pStyle w:val="null3"/>
            </w:pPr>
            <w:r>
              <w:rPr/>
              <w:t>操作系统提供统一访问控制安全框架</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*安全管理</w:t>
            </w:r>
          </w:p>
        </w:tc>
        <w:tc>
          <w:tcPr>
            <w:tcW w:type="dxa" w:w="1038"/>
          </w:tcPr>
          <w:p>
            <w:pPr>
              <w:pStyle w:val="null3"/>
            </w:pPr>
            <w:r>
              <w:rPr/>
              <w:t>三员管理</w:t>
            </w:r>
          </w:p>
        </w:tc>
        <w:tc>
          <w:tcPr>
            <w:tcW w:type="dxa" w:w="1038"/>
          </w:tcPr>
          <w:p>
            <w:pPr>
              <w:pStyle w:val="null3"/>
            </w:pPr>
            <w:r>
              <w:rPr/>
              <w:t>操作系统支持系统管理员、安全管理员、审计管理员分权管理</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*安全管理</w:t>
            </w:r>
          </w:p>
        </w:tc>
        <w:tc>
          <w:tcPr>
            <w:tcW w:type="dxa" w:w="1038"/>
          </w:tcPr>
          <w:p>
            <w:pPr>
              <w:pStyle w:val="null3"/>
            </w:pPr>
            <w:r>
              <w:rPr/>
              <w:t>文件完整性</w:t>
            </w:r>
          </w:p>
        </w:tc>
        <w:tc>
          <w:tcPr>
            <w:tcW w:type="dxa" w:w="1038"/>
          </w:tcPr>
          <w:p>
            <w:pPr>
              <w:pStyle w:val="null3"/>
            </w:pPr>
            <w:r>
              <w:rPr/>
              <w:t>操作系统支持静态文件度量（如IMA）和动态内存度量，保障特定文件及内存中运行程序的完整性</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*安全管理</w:t>
            </w:r>
          </w:p>
        </w:tc>
        <w:tc>
          <w:tcPr>
            <w:tcW w:type="dxa" w:w="1038"/>
          </w:tcPr>
          <w:p>
            <w:pPr>
              <w:pStyle w:val="null3"/>
            </w:pPr>
            <w:r>
              <w:rPr/>
              <w:t>可信计算</w:t>
            </w:r>
          </w:p>
        </w:tc>
        <w:tc>
          <w:tcPr>
            <w:tcW w:type="dxa" w:w="1038"/>
          </w:tcPr>
          <w:p>
            <w:pPr>
              <w:pStyle w:val="null3"/>
            </w:pPr>
            <w:r>
              <w:rPr/>
              <w:t>操作系统支持机密计算框架，提供机密计算SDK，能接入1种以上可信执行环境</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*安全管理</w:t>
            </w:r>
          </w:p>
        </w:tc>
        <w:tc>
          <w:tcPr>
            <w:tcW w:type="dxa" w:w="1038"/>
          </w:tcPr>
          <w:p>
            <w:pPr>
              <w:pStyle w:val="null3"/>
            </w:pPr>
            <w:r>
              <w:rPr/>
              <w:t>内核保护</w:t>
            </w:r>
          </w:p>
        </w:tc>
        <w:tc>
          <w:tcPr>
            <w:tcW w:type="dxa" w:w="1038"/>
          </w:tcPr>
          <w:p>
            <w:pPr>
              <w:pStyle w:val="null3"/>
            </w:pPr>
            <w:r>
              <w:rPr/>
              <w:t>操作系统支持内核完整性保护，保障内核不被非授权改变；提供内核模块加载黑名单机制</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*身份鉴别</w:t>
            </w:r>
          </w:p>
        </w:tc>
        <w:tc>
          <w:tcPr>
            <w:tcW w:type="dxa" w:w="1038"/>
          </w:tcPr>
          <w:p>
            <w:pPr>
              <w:pStyle w:val="null3"/>
            </w:pPr>
            <w:r>
              <w:rPr/>
              <w:t>*身份鉴别服务</w:t>
            </w:r>
          </w:p>
        </w:tc>
        <w:tc>
          <w:tcPr>
            <w:tcW w:type="dxa" w:w="1038"/>
          </w:tcPr>
          <w:p>
            <w:pPr>
              <w:pStyle w:val="null3"/>
            </w:pPr>
            <w:r>
              <w:rPr/>
              <w:t>用户标识使用帐户名和帐户ID，在操作系统的整个生存周期内用户标识具有唯一性；支持用户口令复杂度校验及强口令管理；支持用户口令有效期配置；支持口令鉴别失败控制；支持口令加密算法配置，用户口令进行加密后以不可逆的密文形式保存；支持禁止根帐户（root）远程登录设置</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*访问控制</w:t>
            </w:r>
          </w:p>
        </w:tc>
        <w:tc>
          <w:tcPr>
            <w:tcW w:type="dxa" w:w="1038"/>
          </w:tcPr>
          <w:p>
            <w:pPr>
              <w:pStyle w:val="null3"/>
            </w:pPr>
            <w:r>
              <w:rPr/>
              <w:t>*自主访问控制</w:t>
            </w:r>
          </w:p>
        </w:tc>
        <w:tc>
          <w:tcPr>
            <w:tcW w:type="dxa" w:w="1038"/>
          </w:tcPr>
          <w:p>
            <w:pPr>
              <w:pStyle w:val="null3"/>
            </w:pPr>
            <w:r>
              <w:rPr/>
              <w:t>允许客体拥有者以普通帐户决定并控制对客体的访问，并阻止非授权用户对客体的访问；普通用户缺省拥有新建、读写和删除私有目录下文件的权限；支持细粒度的自主访问控制，将访问控制的粒度控制在单个用户，对系统中的每一个客体，实现由客体拥有者以指定用户方式确定其对该客体的访问权限，而其他同组用户或非同组的用户和用户组对该客体的访问权则由客体拥有者授予</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*访问控制</w:t>
            </w:r>
          </w:p>
        </w:tc>
        <w:tc>
          <w:tcPr>
            <w:tcW w:type="dxa" w:w="1038"/>
          </w:tcPr>
          <w:p>
            <w:pPr>
              <w:pStyle w:val="null3"/>
            </w:pPr>
            <w:r>
              <w:rPr/>
              <w:t>*强制访问控制</w:t>
            </w:r>
          </w:p>
        </w:tc>
        <w:tc>
          <w:tcPr>
            <w:tcW w:type="dxa" w:w="1038"/>
          </w:tcPr>
          <w:p>
            <w:pPr>
              <w:pStyle w:val="null3"/>
            </w:pPr>
            <w:r>
              <w:rPr/>
              <w:t>操作系统支持对应用程序的访问控制与资源限制，包括对文件、网络等客体的访问控制；支持应用安装控制、应用执行控制</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*访问控制</w:t>
            </w:r>
          </w:p>
        </w:tc>
        <w:tc>
          <w:tcPr>
            <w:tcW w:type="dxa" w:w="1038"/>
          </w:tcPr>
          <w:p>
            <w:pPr>
              <w:pStyle w:val="null3"/>
            </w:pPr>
            <w:r>
              <w:rPr/>
              <w:t>*安全审计</w:t>
            </w:r>
          </w:p>
        </w:tc>
        <w:tc>
          <w:tcPr>
            <w:tcW w:type="dxa" w:w="1038"/>
          </w:tcPr>
          <w:p>
            <w:pPr>
              <w:pStyle w:val="null3"/>
            </w:pPr>
            <w:r>
              <w:rPr/>
              <w:t>操作系统能对身份鉴别的使用、自主访问控制、标记和强制访问控制策略的修改等生成审计日志；审计记录包括：事件类型、事件发生的日期、触发事件的用户、事件成功或失败等字段；支持审计日志查询和导出功能</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*漏洞管理</w:t>
            </w:r>
          </w:p>
        </w:tc>
        <w:tc>
          <w:tcPr>
            <w:tcW w:type="dxa" w:w="1038"/>
          </w:tcPr>
          <w:p>
            <w:pPr>
              <w:pStyle w:val="null3"/>
            </w:pPr>
            <w:r>
              <w:rPr/>
              <w:t>*漏洞管理</w:t>
            </w:r>
          </w:p>
        </w:tc>
        <w:tc>
          <w:tcPr>
            <w:tcW w:type="dxa" w:w="1038"/>
          </w:tcPr>
          <w:p>
            <w:pPr>
              <w:pStyle w:val="null3"/>
            </w:pPr>
            <w:r>
              <w:rPr/>
              <w:t>操作系统支持漏洞编号，每个漏洞独立编号，可直接使用NVDB、CNVD或CVE编号；漏洞提醒，发现或获悉漏洞信息时，通过系统推送、电子邮件或官方网站等方式通知用户；漏洞修复，对已发现的安全漏洞通过补丁等方式对系统漏洞进行修复；漏洞列表，提供每个版本已修复的漏洞列表，提供命令或网页等方式方便用户查询漏洞及其修复情况</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操作系统</w:t>
            </w:r>
          </w:p>
        </w:tc>
        <w:tc>
          <w:tcPr>
            <w:tcW w:type="dxa" w:w="1038"/>
          </w:tcPr>
          <w:p>
            <w:pPr>
              <w:pStyle w:val="null3"/>
            </w:pPr>
            <w:r>
              <w:rPr/>
              <w:t>★</w:t>
            </w:r>
          </w:p>
        </w:tc>
        <w:tc>
          <w:tcPr>
            <w:tcW w:type="dxa" w:w="1038"/>
          </w:tcPr>
          <w:p>
            <w:pPr>
              <w:pStyle w:val="null3"/>
            </w:pPr>
            <w:r>
              <w:rPr/>
              <w:t>产品资质</w:t>
            </w:r>
          </w:p>
        </w:tc>
        <w:tc>
          <w:tcPr>
            <w:tcW w:type="dxa" w:w="1038"/>
          </w:tcPr>
          <w:p>
            <w:pPr>
              <w:pStyle w:val="null3"/>
            </w:pPr>
            <w:r>
              <w:rPr/>
              <w:t>产品资质</w:t>
            </w:r>
          </w:p>
        </w:tc>
        <w:tc>
          <w:tcPr>
            <w:tcW w:type="dxa" w:w="1038"/>
          </w:tcPr>
          <w:p>
            <w:pPr>
              <w:pStyle w:val="null3"/>
            </w:pPr>
            <w:r>
              <w:rPr/>
              <w:t>投标产品需是《安全可靠测评结果公告》目录中的产品，且需在有效期内。</w:t>
            </w:r>
          </w:p>
        </w:tc>
        <w:tc>
          <w:tcPr>
            <w:tcW w:type="dxa" w:w="1038"/>
          </w:tcPr>
          <w:p>
            <w:pPr>
              <w:pStyle w:val="null3"/>
            </w:pPr>
            <w:r>
              <w:rPr/>
              <w:t>是</w:t>
            </w:r>
          </w:p>
        </w:tc>
        <w:tc>
          <w:tcPr>
            <w:tcW w:type="dxa" w:w="1038"/>
          </w:tcPr>
          <w:p>
            <w:pPr>
              <w:pStyle w:val="null3"/>
            </w:pPr>
            <w:r>
              <w:rPr/>
              <w:t>《安全可靠测评结果公告》截图及型号对应说明</w:t>
            </w:r>
          </w:p>
        </w:tc>
      </w:tr>
    </w:tbl>
    <w:p>
      <w:pPr>
        <w:pStyle w:val="null3"/>
        <w:jc w:val="both"/>
      </w:pPr>
      <w:r>
        <w:rPr/>
        <w:t>本商务要求共有“★”指标19个，”#”指标4个，“▲”指标5个。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如果投标人在投标过程中出现以下所列任何行为： （1）在投标文件中承诺满足招标文件要求，但经专家评审或经过后期使用发现不能满足招标文件要求的情况； （2）在投标文件中以欺骗评审专家及反洗钱中心为目的，提供虚假数据或虚假信息，使提供服务能满足招标文件要求的情况； （3）评审专家认定的其它欺骗或不良行为。 一经发现，有权取消其投标资格或中标候选人资格；如果已经签订合同，反洗钱中心保留终止合同的权利，且由此对反洗钱中心造成的损失由投标人负责。</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投标货物应由原厂提供下述服务: （1）根据反洗钱中心需求提供原厂技术服务，技术服务内容包括原厂安装调试服务、质量保证期内配套技术服务等。 （2）反洗钱中心后续购置本项目采购之服务，原厂商须提供所需服务，且服务报价不得高于本次报价。同时，后续维保服务报价不得超过本次投标货物总报价的20%。</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投标人以中文方式提供所投产品的全部文档（可为电子版）（包括但不限于技术手册、使用手册、维护手册）</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投标人应为所投软件产品提供至少 1 套正式版本安装介质。</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供应商提供的产品应为具有合法版权或使用权的正版产品且无质量瑕疵，且为该产品的当前最新版本或最适合用户的版本。同时所投产品的使用期限为“永久期限”</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集成实施服务</w:t>
            </w:r>
          </w:p>
        </w:tc>
        <w:tc>
          <w:tcPr>
            <w:tcW w:type="dxa" w:w="1038"/>
          </w:tcPr>
          <w:p/>
        </w:tc>
        <w:tc>
          <w:tcPr>
            <w:tcW w:type="dxa" w:w="1038"/>
          </w:tcPr>
          <w:p>
            <w:pPr>
              <w:pStyle w:val="null3"/>
            </w:pPr>
            <w:r>
              <w:rPr/>
              <w:t>集成实施总体目标： 该项目为采购的4节点分布式AI服务器软硬件提供基础软硬件集成服务，包括但不限于：基础软硬件安装配置、性能调优、数据备份、恢复策略、应急演练等制定详细方案并进行实施。</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原厂技术培训要求</w:t>
            </w:r>
          </w:p>
        </w:tc>
        <w:tc>
          <w:tcPr>
            <w:tcW w:type="dxa" w:w="1038"/>
          </w:tcPr>
          <w:p/>
        </w:tc>
        <w:tc>
          <w:tcPr>
            <w:tcW w:type="dxa" w:w="1038"/>
          </w:tcPr>
          <w:p>
            <w:pPr>
              <w:pStyle w:val="null3"/>
            </w:pPr>
            <w:r>
              <w:rPr/>
              <w:t>1. 技术服务提供商提供的所投软硬件产品原厂技术培训包括但不限于下述内容：产品的配置和使用方式、产品的日常运维、故障的诊断与排除、相关产品的开发工具使用、开发技术注意事项的相关问题等。 2. 本次技术培训服务课时不少于2课时。 3. 技术培训服务需由用户统一调配并批准使用。培训地点在北京，由中标人负责承担所有培训成本。 4. 培训服务结束时须填写培训服务报告，由反洗钱中心、技术服务提供商现场人员签字（一式两份，反洗钱中心、技术服务提供商各存留一份）。</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原厂维保服务要求</w:t>
            </w:r>
          </w:p>
        </w:tc>
        <w:tc>
          <w:tcPr>
            <w:tcW w:type="dxa" w:w="1038"/>
          </w:tcPr>
          <w:p/>
        </w:tc>
        <w:tc>
          <w:tcPr>
            <w:tcW w:type="dxa" w:w="1038"/>
          </w:tcPr>
          <w:p>
            <w:pPr>
              <w:pStyle w:val="null3"/>
            </w:pPr>
            <w:r>
              <w:rPr/>
              <w:t>1. 技术服务提供商提供的软硬件产品的原厂维保服务是指标准服务和 7×24 紧急救援服务。 2. 所投软硬件产品标准服务包括现场支持和远程支持两部分。 3. 所投软硬件产品标准服务中的远程支持是技术服务提供商服务人员应在收到用户需求的电话后需要及时给出响应，尽快提供解决办法并远程指导用户进行解决；若电话等支持不能解决的问题，需要现场响应并及时解决。用户需求包括但不限于下述内容：问题、故障的诊断与排除，系统配置、辅助应用系统部署、各种突发事件的应急策略等。 4. 所投软硬件产品标准服务中的现场支持主要包括巡检服务和免费提供必要的软硬件升级与补丁更新。巡检服务包括季度例行巡检和关键服务期的巡检。巡检应全面进行健康性检查，检查并分析系统日志，发现并排除错误和安全隐患，检查空间使用情况，协助进行空间规划管理，检查备份的完整性和有效性，并提供巡检报告。 5. 所投软硬件产品紧急救援服务是指技术服务提供商提供的相关软硬件产品出现故障（如服务中断、数据丢失、性能下降、无法正常启动或关闭等）时，所投软硬件产品原厂商须为反洗钱中心提供其软硬件故障分析、故障解决的服务。 6. 根据产品故障对系统的影响，分为宕机故障和非宕机故障。当发生宕机故障时，原厂商应在接到反洗钱中心申请后30分钟内做出实质性反应（实质性反应是指原厂商工程师与甲方取得联系，就问题情况进行沟通），并派出合格工程师在1小时内到达现场处理产品故障并解决故障问题。当发生非宕机故障时，原厂商应在接到反洗钱中心申请后1小时内做出实质性反应（实质性反应是指原厂商工程师与甲方取得联系，就问题情况进行沟通），并派出合格工程师在4小时内到达现场处理产品故障并解决故障问题。 7. 维保服务结束时，技术服务提供商服务人员需对技术支持过程进行详细记录并提交反洗钱中心。 8. 服务时间要求服务时效：4年期服务，开始时间：自本项目到货验收通过后，开始服务时段：7*24 9. 免费维保期外的所投软硬件产品原厂维保服务报价不得超过本次投标相关产品报价的 20%。</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备品备件要求</w:t>
            </w:r>
          </w:p>
        </w:tc>
        <w:tc>
          <w:tcPr>
            <w:tcW w:type="dxa" w:w="1038"/>
          </w:tcPr>
          <w:p/>
        </w:tc>
        <w:tc>
          <w:tcPr>
            <w:tcW w:type="dxa" w:w="1038"/>
          </w:tcPr>
          <w:p>
            <w:pPr>
              <w:pStyle w:val="null3"/>
            </w:pPr>
            <w:r>
              <w:rPr/>
              <w:t>提供自签发《到货验收合格单》之日起5年的备品备件更换服务。</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同类项目经验</w:t>
            </w:r>
          </w:p>
        </w:tc>
        <w:tc>
          <w:tcPr>
            <w:tcW w:type="dxa" w:w="1038"/>
          </w:tcPr>
          <w:p/>
        </w:tc>
        <w:tc>
          <w:tcPr>
            <w:tcW w:type="dxa" w:w="1038"/>
          </w:tcPr>
          <w:p>
            <w:pPr>
              <w:pStyle w:val="null3"/>
            </w:pPr>
            <w:r>
              <w:rPr/>
              <w:t>投标人应提供自2022年1月1日（以合同签订时间为准）以来与本项目类似的供货及服务案例，评标时将根据所提供的证明材料，给予打分。每个案例须提供合同复印件（包括首页、合同标的、盖章页、产品说明一览表等信息）。与本项目类似是指所提供案例合同中应至少包含拟投标本项目的核心产品同类型产品，合同主体应为投标人或核心产品原厂商。</w:t>
            </w:r>
          </w:p>
        </w:tc>
        <w:tc>
          <w:tcPr>
            <w:tcW w:type="dxa" w:w="1038"/>
          </w:tcPr>
          <w:p>
            <w:pPr>
              <w:pStyle w:val="null3"/>
            </w:pPr>
            <w:r>
              <w:rPr/>
              <w:t>是</w:t>
            </w:r>
          </w:p>
        </w:tc>
        <w:tc>
          <w:tcPr>
            <w:tcW w:type="dxa" w:w="1038"/>
          </w:tcPr>
          <w:p>
            <w:pPr>
              <w:pStyle w:val="null3"/>
            </w:pPr>
            <w:r>
              <w:rPr/>
              <w:t>合同复印件</w:t>
            </w: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团队人员</w:t>
            </w:r>
          </w:p>
        </w:tc>
        <w:tc>
          <w:tcPr>
            <w:tcW w:type="dxa" w:w="1038"/>
          </w:tcPr>
          <w:p/>
        </w:tc>
        <w:tc>
          <w:tcPr>
            <w:tcW w:type="dxa" w:w="1038"/>
          </w:tcPr>
          <w:p>
            <w:pPr>
              <w:pStyle w:val="null3"/>
            </w:pPr>
            <w:r>
              <w:rPr/>
              <w:t>供应商须协调技术服务提供商针对反洗钱中心使用的本项目软硬件产品派遣有经验、负责任的工程师和项目经理参与本项目工作，除项目经历外，熟悉本项目中采购的各个软硬件产品的专业技术工程师至少2人以上，并将小组成员名单、联系方式、职责、专长等体现在投标文件中。其中2人为固定联系人，用户可通过电话、电子邮件等各种方式提出支持请求，固定联系人须负责协调、组织并跟踪故障处理全过程，向用户及时反馈问题处理情况。用户有权要求更换服务人员。如因特殊情况有人员变动，供应商应提前书面通知用户并在取得用户的同意后更换人员。投标人需将小组成员名单、联系方式、职责、专长等体现在投标文件中，评标时将根据项目团队成员的从业年限进行评分。</w:t>
            </w:r>
          </w:p>
        </w:tc>
        <w:tc>
          <w:tcPr>
            <w:tcW w:type="dxa" w:w="1038"/>
          </w:tcPr>
          <w:p>
            <w:pPr>
              <w:pStyle w:val="null3"/>
            </w:pPr>
            <w:r>
              <w:rPr/>
              <w:t>是</w:t>
            </w:r>
          </w:p>
        </w:tc>
        <w:tc>
          <w:tcPr>
            <w:tcW w:type="dxa" w:w="1038"/>
          </w:tcPr>
          <w:p>
            <w:pPr>
              <w:pStyle w:val="null3"/>
            </w:pPr>
            <w:r>
              <w:rPr/>
              <w:t>包含成员工作年限信息的团队成员简历</w:t>
            </w: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核心产品原厂商资质</w:t>
            </w:r>
          </w:p>
        </w:tc>
        <w:tc>
          <w:tcPr>
            <w:tcW w:type="dxa" w:w="1038"/>
          </w:tcPr>
          <w:p/>
        </w:tc>
        <w:tc>
          <w:tcPr>
            <w:tcW w:type="dxa" w:w="1038"/>
          </w:tcPr>
          <w:p>
            <w:pPr>
              <w:pStyle w:val="null3"/>
            </w:pPr>
            <w:r>
              <w:rPr/>
              <w:t>取得ISO9001质量管理体系认证；</w:t>
            </w:r>
          </w:p>
        </w:tc>
        <w:tc>
          <w:tcPr>
            <w:tcW w:type="dxa" w:w="1038"/>
          </w:tcPr>
          <w:p>
            <w:pPr>
              <w:pStyle w:val="null3"/>
            </w:pPr>
            <w:r>
              <w:rPr/>
              <w:t>是</w:t>
            </w:r>
          </w:p>
        </w:tc>
        <w:tc>
          <w:tcPr>
            <w:tcW w:type="dxa" w:w="1038"/>
          </w:tcPr>
          <w:p>
            <w:pPr>
              <w:pStyle w:val="null3"/>
            </w:pPr>
            <w:r>
              <w:rPr/>
              <w:t>证书复印件</w:t>
            </w: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核心产品原厂商资质</w:t>
            </w:r>
          </w:p>
        </w:tc>
        <w:tc>
          <w:tcPr>
            <w:tcW w:type="dxa" w:w="1038"/>
          </w:tcPr>
          <w:p/>
        </w:tc>
        <w:tc>
          <w:tcPr>
            <w:tcW w:type="dxa" w:w="1038"/>
          </w:tcPr>
          <w:p>
            <w:pPr>
              <w:pStyle w:val="null3"/>
            </w:pPr>
            <w:r>
              <w:rPr/>
              <w:t>取得ISO20000 IT服务管理体系认证；</w:t>
            </w:r>
          </w:p>
        </w:tc>
        <w:tc>
          <w:tcPr>
            <w:tcW w:type="dxa" w:w="1038"/>
          </w:tcPr>
          <w:p>
            <w:pPr>
              <w:pStyle w:val="null3"/>
            </w:pPr>
            <w:r>
              <w:rPr/>
              <w:t>是</w:t>
            </w:r>
          </w:p>
        </w:tc>
        <w:tc>
          <w:tcPr>
            <w:tcW w:type="dxa" w:w="1038"/>
          </w:tcPr>
          <w:p>
            <w:pPr>
              <w:pStyle w:val="null3"/>
            </w:pPr>
            <w:r>
              <w:rPr/>
              <w:t>证书复印件</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核心产品原厂商资质</w:t>
            </w:r>
          </w:p>
        </w:tc>
        <w:tc>
          <w:tcPr>
            <w:tcW w:type="dxa" w:w="1038"/>
          </w:tcPr>
          <w:p/>
        </w:tc>
        <w:tc>
          <w:tcPr>
            <w:tcW w:type="dxa" w:w="1038"/>
          </w:tcPr>
          <w:p>
            <w:pPr>
              <w:pStyle w:val="null3"/>
            </w:pPr>
            <w:r>
              <w:rPr/>
              <w:t>取得ISO27001信息安全管理体系认证；</w:t>
            </w:r>
          </w:p>
        </w:tc>
        <w:tc>
          <w:tcPr>
            <w:tcW w:type="dxa" w:w="1038"/>
          </w:tcPr>
          <w:p>
            <w:pPr>
              <w:pStyle w:val="null3"/>
            </w:pPr>
            <w:r>
              <w:rPr/>
              <w:t>是</w:t>
            </w:r>
          </w:p>
        </w:tc>
        <w:tc>
          <w:tcPr>
            <w:tcW w:type="dxa" w:w="1038"/>
          </w:tcPr>
          <w:p>
            <w:pPr>
              <w:pStyle w:val="null3"/>
            </w:pPr>
            <w:r>
              <w:rPr/>
              <w:t>证书复印件</w:t>
            </w: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制造商授权</w:t>
            </w:r>
          </w:p>
        </w:tc>
        <w:tc>
          <w:tcPr>
            <w:tcW w:type="dxa" w:w="1038"/>
          </w:tcPr>
          <w:p/>
        </w:tc>
        <w:tc>
          <w:tcPr>
            <w:tcW w:type="dxa" w:w="1038"/>
          </w:tcPr>
          <w:p>
            <w:pPr>
              <w:pStyle w:val="null3"/>
            </w:pPr>
            <w:r>
              <w:rPr/>
              <w:t>投标人为所有投标货物的原厂商或原厂商授权代理商，给与加分。注：如投标人为代理商需提供生产厂家提供的授权函原件（不接受转授权），加盖投标人公章，否则不得分。</w:t>
            </w:r>
          </w:p>
        </w:tc>
        <w:tc>
          <w:tcPr>
            <w:tcW w:type="dxa" w:w="1038"/>
          </w:tcPr>
          <w:p>
            <w:pPr>
              <w:pStyle w:val="null3"/>
            </w:pPr>
            <w:r>
              <w:rPr/>
              <w:t>是</w:t>
            </w:r>
          </w:p>
        </w:tc>
        <w:tc>
          <w:tcPr>
            <w:tcW w:type="dxa" w:w="1038"/>
          </w:tcPr>
          <w:p>
            <w:pPr>
              <w:pStyle w:val="null3"/>
            </w:pPr>
            <w:r>
              <w:rPr/>
              <w:t>原厂商证明或授权书复印件</w:t>
            </w: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产品认证</w:t>
            </w:r>
          </w:p>
        </w:tc>
        <w:tc>
          <w:tcPr>
            <w:tcW w:type="dxa" w:w="1038"/>
          </w:tcPr>
          <w:p/>
        </w:tc>
        <w:tc>
          <w:tcPr>
            <w:tcW w:type="dxa" w:w="1038"/>
          </w:tcPr>
          <w:p>
            <w:pPr>
              <w:pStyle w:val="null3"/>
            </w:pPr>
            <w:r>
              <w:rPr/>
              <w:t>所有服务器产品须通过环境标志产品认证。</w:t>
            </w:r>
          </w:p>
        </w:tc>
        <w:tc>
          <w:tcPr>
            <w:tcW w:type="dxa" w:w="1038"/>
          </w:tcPr>
          <w:p>
            <w:pPr>
              <w:pStyle w:val="null3"/>
            </w:pPr>
            <w:r>
              <w:rPr/>
              <w:t>是</w:t>
            </w:r>
          </w:p>
        </w:tc>
        <w:tc>
          <w:tcPr>
            <w:tcW w:type="dxa" w:w="1038"/>
          </w:tcPr>
          <w:p>
            <w:pPr>
              <w:pStyle w:val="null3"/>
            </w:pPr>
            <w:r>
              <w:rPr/>
              <w:t>应出具依据国家确定的认证机构出具的、处于有效期内的环境标志产品认证书或复印件并加盖投标人公章</w:t>
            </w: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投标人应提供针对于本项目采购的所有软硬件提供四年免费原厂维保服务，包括不限于7*24小时紧急救援服务；免费提供软硬件升级与补丁更新；在节假日也需履行。</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投标人应提供针对于本项目采购的软硬件产品提供免费的原厂技术培训。</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供应商应详细阐述技术支持服务期内的技术支持服务的内容、方式与范围，并指出在技术支持服务期内免费和收费服务内容，对于收费服务，供应商应列出费用，并计入报价。</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根据投标技术支持服务方案完整性进行评分，包括项目需求理解、售后服务方案、集成实施方案、质量保障方案、用户培训方案</w:t>
            </w:r>
          </w:p>
        </w:tc>
        <w:tc>
          <w:tcPr>
            <w:tcW w:type="dxa" w:w="1038"/>
          </w:tcPr>
          <w:p>
            <w:pPr>
              <w:pStyle w:val="null3"/>
            </w:pPr>
            <w:r>
              <w:rPr/>
              <w:t>是</w:t>
            </w:r>
          </w:p>
        </w:tc>
        <w:tc>
          <w:tcPr>
            <w:tcW w:type="dxa" w:w="1038"/>
          </w:tcPr>
          <w:p>
            <w:pPr>
              <w:pStyle w:val="null3"/>
            </w:pPr>
            <w:r>
              <w:rPr/>
              <w:t>项目需求理解、售后服务方案、集成实施方案、质量保障方案、用户培训方案</w:t>
            </w: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到货要求</w:t>
            </w:r>
          </w:p>
        </w:tc>
        <w:tc>
          <w:tcPr>
            <w:tcW w:type="dxa" w:w="1038"/>
          </w:tcPr>
          <w:p/>
        </w:tc>
        <w:tc>
          <w:tcPr>
            <w:tcW w:type="dxa" w:w="1038"/>
          </w:tcPr>
          <w:p>
            <w:pPr>
              <w:pStyle w:val="null3"/>
            </w:pPr>
            <w:r>
              <w:rPr/>
              <w:t>1. 投标人应负责本采购文件中要求的所有货物运输、交验、保险等一切费用。 2. 投标人提供的货物应与反洗钱中心已有软件、系统和设备有良好的兼容性。 3. 本次采购货物的到货验收地点为北京市西城区成方街32号或反洗钱中心指定的北京市、上海市辖区内办公区域或机房。投标人应在合同签订并接到反洗钱中心通知后十（10）个工作日内向甲方交付全部合同货物，并提前五（5）个日历日将到货时间告知甲方。如果投标人在履行合同时不能按承诺的时间到货，将以合同违约处理，并追究投标人的有关责任。</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软硬件产品安装部署</w:t>
            </w:r>
          </w:p>
        </w:tc>
        <w:tc>
          <w:tcPr>
            <w:tcW w:type="dxa" w:w="1038"/>
          </w:tcPr>
          <w:p/>
        </w:tc>
        <w:tc>
          <w:tcPr>
            <w:tcW w:type="dxa" w:w="1038"/>
          </w:tcPr>
          <w:p>
            <w:pPr>
              <w:pStyle w:val="null3"/>
            </w:pPr>
            <w:r>
              <w:rPr/>
              <w:t>1.基本要求 1.1 软硬件产品安装、调试、系统集成等事项由中标人总负责，原厂商配合完成。 1.2 应在最终用户方要求时间以前完成本次投标软硬件产品的安装、调试、系统集成工作。本次投标软硬件产品安装、调试、系统集成的主要目标是完成软硬件的安装、调试，使相关软硬件能够在最终用户现有环境里正常运行，并完成楼层间综合布线。 2具体任务 2.1 软硬件产品安装、调试、集成的主要内容包括：制定集成计划与方案；负责货物的安装调试，并按反洗钱中心要求进行初始参数设置；对反洗钱监测分析二代系统的集成提供现场技术支持；负责货物初步验收前的初期维护。 2.2 中标人应在安装前到安装现场了解安装环境及其它系统现状；与反洗钱监测分析二代系统的相关建设单位进行积极主动的合作；应服从反洗钱中心的统一协调，在实施方案设计、产品安装、调试、集成、技术支持、运行维护等方面给予配合；应熟悉反洗钱中心现有系统或类似系统的运行情况。</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项目验收</w:t>
            </w:r>
          </w:p>
        </w:tc>
        <w:tc>
          <w:tcPr>
            <w:tcW w:type="dxa" w:w="1038"/>
          </w:tcPr>
          <w:p/>
        </w:tc>
        <w:tc>
          <w:tcPr>
            <w:tcW w:type="dxa" w:w="1038"/>
          </w:tcPr>
          <w:p>
            <w:pPr>
              <w:pStyle w:val="null3"/>
            </w:pPr>
            <w:r>
              <w:rPr/>
              <w:t>1.总体要求 1.1. 验收工作由项目单位组织实施，由项目单位、中标人共同完成。中标人应配合完成各阶段的验收工作，必要时由中标人或第三方机构按照验收要求完成测试，提交项目验收相关文档，经项目单位确认后进行项目验收。 1.2. 中标人应在项目验收、测试时提供相关的测试环境及必要的设备和工具，使用的各类支撑工具应保证项目单位在全系统合法免费使用，中标人承担由于知识产权等纠纷导致的所有责任。需要委托第三方机构进行测试的，费用由中标人承担。 1.3. 产品到货后，中标人负责验收配合性工作，包括数量清点、外观检查、开箱检验、到货记录等工作，验收工作由反洗钱中心和中标人共同完成。中标人应按照反洗钱中心订货要求进行检查、核对，提交产品到货验收相关文档，经反洗钱中心确认后进行验收。 1.4. 中标人提供的各类文档应内容完整、描述清晰、版本最新，各类方案要求实现目标明确、工作措施得力、可操作性强、具有前瞻性。产出物应提供电子和纸质两种介质，并保持版本一致。 1.5. 对验收中发现的问题，中标人应提出有效解决办法和应对措施，经项目单位确认后实施。 2.到货验收 2.1 中标人应在合同规定的交货期内提供所有产品，在反洗钱中心指定的地点进行产品交付，中标人必须保证到货的软硬件产品为采购合同中指定的版本，并在产品到货后配合反洗钱中心进行开箱检查。中标人所交付的产品应符合以下要求：（1）应包括全部的介质、配件、软件、相关资料（应包括：产品说明书、产品操作手册、产品维护手册、故障诊断手册、开发手册等）以及装箱单等。（2）必须同时持有该产品合法的正式使用许可授权，其授权数应与反洗钱中心要求相一致。 2.2 货物开箱后,目测产品应无损伤，反洗钱中心依采购合同要求核对货物清单,对货物的版本、组成、数量、包装及资料、文件（如装箱单、保修单、随箱介质等）进行到货验收。当出现上述证明文件不完整或相关手续不全、货物不符合合同要求等严重质量问题时，反洗钱中心保留索赔及退货权利。 2.3 当出现货物及介质损坏、数量不全或产品不符等问题时，由投标人负责免费解决。 2.4 货物检验/检测（包括但不限于到货、部署、加电、兼容性检测）通过后，由反洗钱中心开具《项目到货验收合格单》。 2.5 项目到货验收通过后，由用户开具《项目到货验收合格单》，并进入项目质量保证期，质量保证期为自签发《项目到货验收合格单》后的4年时间。 3初步验收 3.1 初步验收包括对已集成且安装部署的货物和对配套服务成果的验收。 3.2 在本项目所采购的货物安装部署到位，且全部完成本章节所列系统上线前需完成的技术支持服务任务，软硬件部署运行后，由中标人提出申请，反洗钱中心组织进行初步验收。 3.3 中标人提供相关文档（如《软硬件安装部署方案》、《软件产品用户手册》等），最终用户单位组织验收小组进行业务测试，并逐项进行测试评审，若评审结论和评审意见均通过，则视为初步验收通过。 3.4 初步验收通过后，由反洗钱中心开具《项目初步验收合格单》。 3.5 在货物的测试或配套服务成果的验收中出现性能指标或功能上不符合要求的，或出现严重产品质量问题时，视为未通过初步验收。 3.6 如果货物或配套服务的成果未能通过初验，中标人将采取一切补救措施以使初步验收测试能够在最终用户要求的期限内进行。再次进行初步验收测试所需的一切费用由中标人负担，并且中标人应对再次初验造成的反洗钱中心的损失向反洗钱中心进行赔偿。 4.试运行 4.1 初步验收后进入试运行阶段，连续试运行时间不少于1个月。 4.2 试运行期间，若发现软硬件产品和配套服务成果存在问题，中标人应及时予以解决。 4.3 对于所有试运行期间配套服务成果的修改和变化，中标人都应在试运行结束后提供书面说明和更新的各类电子文档。 5最终验收 5.1 试运行期届满后，由反洗钱中心对软硬件产品和配套服务成果进行最终验收。 5.2反洗钱中心组织成立项目验收小组对软硬件产品和配套服务的试运行情况进行逐项最终验收评审，并提出最终验收评审意见。若逐项验收评审意见均为通过，则最终验收通过。 5.3 如果软硬件产品和配套服务不能通过最终验收，中标人将采取一切补救措施以使最终验收测试能够尽快再次进行，再次进行最终验收测试所需的一切费用由中标人负担。中标人应对再次终验造成的反洗钱中心的损失向反洗钱中心进行赔偿。</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项目技术文档要求</w:t>
            </w:r>
          </w:p>
        </w:tc>
        <w:tc>
          <w:tcPr>
            <w:tcW w:type="dxa" w:w="1038"/>
          </w:tcPr>
          <w:p/>
        </w:tc>
        <w:tc>
          <w:tcPr>
            <w:tcW w:type="dxa" w:w="1038"/>
          </w:tcPr>
          <w:p>
            <w:pPr>
              <w:pStyle w:val="null3"/>
            </w:pPr>
            <w:r>
              <w:rPr/>
              <w:t>中标人须根据需要将软硬件相关的知识和技能通过培训和文档的形式转移给项目单位。 1. 中标人应在到货时向甲方随货物交付完整的技术文档，提交的技术文档的内容必须与所提供的产品相一致，并应尽可能详细。 2. 所提交的技术文档必须是正式出版和装订的原件，复印件无效，其费用应包括在该品目的基本报价中。为了培训的目的，甲方有权复制这些资料而不受限制或另付费用。 3. 所有技术文档包括但不限于如下内容： 1) 对产品各项技术指标的测试报告、产品合格证明书和反洗钱中心使用授权。 2) 技术文件：产品说明书、产品操作手册、产品维护手册、故障诊断手册、开发手册等。 3) 系统配置说明书：中标人应提供一个系统配置说明书，包括配置图和配件/模块清单。 4) 验收文档。 4. 中标人应向反洗钱中心提供安装调试过程中的各种文档资料,以便反洗钱中心能掌握操作方法和维护方法。例如： 1) 软硬件产品的安装、调试过程文档； 2) 软硬件的升级、补丁等说明文档； 3) 软硬件产品日常维护、技术交流和管理使用建议； 4) 各类系统应急、运行维护、巡检等操作文档； 5) 使用过程中所出现过的问题、解决方法、系统所需的关键信息等文档。 6) 产品基本参数情况、软硬件配置优化和修改指引等文档。有关货物资料要以易理解的方式（包括详细说明及图示）形成中文文档，交于反洗钱中心。</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损失处理</w:t>
            </w:r>
          </w:p>
        </w:tc>
        <w:tc>
          <w:tcPr>
            <w:tcW w:type="dxa" w:w="1038"/>
          </w:tcPr>
          <w:p/>
        </w:tc>
        <w:tc>
          <w:tcPr>
            <w:tcW w:type="dxa" w:w="1038"/>
          </w:tcPr>
          <w:p>
            <w:pPr>
              <w:pStyle w:val="null3"/>
            </w:pPr>
            <w:r>
              <w:rPr/>
              <w:t>中标供应商项目人员（包括原厂人员）在提供技术支持服务过程中由于操作失误而对项目建设单位运行正常的系统或硬件造成损坏的，应由中标人负责解决系统问题，免费对损坏的系统或硬件进行修复或更换，确保反洗钱中心的正常使用。 如果由于原厂商项目人员技术服务失误或所提供的产品出现故障而造成反洗钱中心损失，中标人除承担赔偿外，还要提供处理办法。</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知识产权要求</w:t>
            </w:r>
          </w:p>
        </w:tc>
        <w:tc>
          <w:tcPr>
            <w:tcW w:type="dxa" w:w="1038"/>
          </w:tcPr>
          <w:p/>
        </w:tc>
        <w:tc>
          <w:tcPr>
            <w:tcW w:type="dxa" w:w="1038"/>
          </w:tcPr>
          <w:p>
            <w:pPr>
              <w:pStyle w:val="null3"/>
            </w:pPr>
            <w:r>
              <w:rPr/>
              <w:t>1.项目单位（反洗钱中心）对项目实施过程中所产生的所有成果（包括发明、发现、可运行系统、源代码及相关技术资料、文档等）享有所有权，包括但不限于永久使用权、复制权和修改权。除本项目工作所需外，未经项目单位书面同意，中标人不得擅自使用、复制项目单位的商标、标志、数据信息、文档及其他资料。 2.中标人应保证在本项目中所有预装和为本项目安装的软硬件为在中国境内具有合法版权或永久使用权的正版产品且无质量瑕疵。 3.中标人保证所提供的产品及服务不侵犯第三方的知识产权，否则，由此给项目单位造成的一切损失由中标人承担。 4.中标人承诺对项目实施过程中所产生的所有成果（包括发明、发现、可运行系统、源代码及相关技术资料、文档等）不得有知识产权纠纷。</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中标人在签订服务合同的同时签署保密协议和保证函（详见附件）。中标人项目人员必须严格遵守所签署的保密协议，防止反洗钱中心涉密信息外泄。</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集成实施方案</w:t>
            </w:r>
          </w:p>
        </w:tc>
        <w:tc>
          <w:tcPr>
            <w:tcW w:type="dxa" w:w="1038"/>
          </w:tcPr>
          <w:p/>
        </w:tc>
        <w:tc>
          <w:tcPr>
            <w:tcW w:type="dxa" w:w="1038"/>
          </w:tcPr>
          <w:p>
            <w:pPr>
              <w:pStyle w:val="null3"/>
            </w:pPr>
            <w:r>
              <w:rPr/>
              <w:t>投标人须针对本项目编制集成实施方案，方案至少应包含以下内容，并作为评分依据：1.项目整体理解与架构设计：简述对AI算力集群建设目标的理解，提供整体系统逻辑架构图（需体现AI服务器、交换机、AI管理平台、操作系统的逻辑关系）。2.物理部署与网络调优方案：针对AI服务器，明确机柜供电、承重及散热（风冷/液冷）的实施要求。提供详细的网络规划（VLAN/IP规划）、PFC（基于优先级的流量控制）和ECN（显式拥塞通知）参数配置及联调调优方案，确保大模型训练时的高吞吐、低时延及零丢包。3.异构软硬件适配与联调方案：提供操作系统在不同架构下的安装部署方案。提供AI管理平台纳管异构算力资源、安装GPU驱动及网络驱动的详细步骤。提供算力连通性测试方案（如NCCL/HCCL测试）及性能压测方案。制定详细的实施失败/适配不成功的应急回退预案。4.项目管理与培训验收：提供项目实施进度甘特图，明确关键里程碑节点。识别项目实施中的技术风险及供应链风险，并制定应对预案。提供完善的培训计划及明确的系统竣工验收测试标准（包含硬件验收、软件功能验收、算力性能验收）。</w:t>
            </w:r>
          </w:p>
        </w:tc>
        <w:tc>
          <w:tcPr>
            <w:tcW w:type="dxa" w:w="1038"/>
          </w:tcPr>
          <w:p>
            <w:pPr>
              <w:pStyle w:val="null3"/>
            </w:pPr>
            <w:r>
              <w:rPr/>
              <w:t>是</w:t>
            </w:r>
          </w:p>
        </w:tc>
        <w:tc>
          <w:tcPr>
            <w:tcW w:type="dxa" w:w="1038"/>
          </w:tcPr>
          <w:p>
            <w:pPr>
              <w:pStyle w:val="null3"/>
            </w:pPr>
            <w:r>
              <w:rPr/>
              <w:t>集成实施方案</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到货付款</w:t>
            </w:r>
          </w:p>
        </w:tc>
        <w:tc>
          <w:tcPr>
            <w:tcW w:type="dxa" w:w="1384"/>
          </w:tcPr>
          <w:p>
            <w:pPr>
              <w:pStyle w:val="null3"/>
              <w:jc w:val="left"/>
            </w:pPr>
            <w:r>
              <w:rPr/>
              <w:t>合同所列全部货物到达甲方指定地点并通过甲方到货验收，由甲方出具《到货验收合格单》（加盖甲乙双方公章），且甲方收到乙方提供的付款申请与本阶段付款金额等值的正式合格有效发票后十（10）个工作日内，向乙方支付合同总金额的30％（百分之三十），即人民币----元整（大写：人民币----元整）；</w:t>
            </w:r>
          </w:p>
        </w:tc>
        <w:tc>
          <w:tcPr>
            <w:tcW w:type="dxa" w:w="1384"/>
          </w:tcPr>
          <w:p>
            <w:pPr>
              <w:pStyle w:val="null3"/>
              <w:jc w:val="left"/>
            </w:pPr>
            <w:r>
              <w:rPr/>
              <w:t>30.00</w:t>
            </w:r>
            <w:r>
              <w:rPr/>
              <w:t>%</w:t>
            </w:r>
          </w:p>
        </w:tc>
        <w:tc>
          <w:tcPr>
            <w:tcW w:type="dxa" w:w="1384"/>
          </w:tcPr>
          <w:p>
            <w:pPr>
              <w:pStyle w:val="null3"/>
              <w:jc w:val="left"/>
            </w:pPr>
            <w:r>
              <w:rPr/>
              <w:t>财政预算资金支付</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初步验收付款</w:t>
            </w:r>
          </w:p>
        </w:tc>
        <w:tc>
          <w:tcPr>
            <w:tcW w:type="dxa" w:w="1384"/>
          </w:tcPr>
          <w:p>
            <w:pPr>
              <w:pStyle w:val="null3"/>
              <w:jc w:val="left"/>
            </w:pPr>
            <w:r>
              <w:rPr/>
              <w:t>货物完成软硬件安装调试后，通过甲方组织的初步验收，并由甲方出具《初步验收合格单》（加盖甲乙双方公章），且甲方收到乙方提供的付款申请与本阶段付款金额等值的正式合格有效发票后十（10）个工作日内，向乙方支付合同总金额的 40% （百分之四十），即人民币----元整（大写：人民币----元整）。</w:t>
            </w:r>
          </w:p>
        </w:tc>
        <w:tc>
          <w:tcPr>
            <w:tcW w:type="dxa" w:w="1384"/>
          </w:tcPr>
          <w:p>
            <w:pPr>
              <w:pStyle w:val="null3"/>
              <w:jc w:val="left"/>
            </w:pPr>
            <w:r>
              <w:rPr/>
              <w:t>40.00</w:t>
            </w:r>
            <w:r>
              <w:rPr/>
              <w:t>%</w:t>
            </w:r>
          </w:p>
        </w:tc>
        <w:tc>
          <w:tcPr>
            <w:tcW w:type="dxa" w:w="1384"/>
          </w:tcPr>
          <w:p>
            <w:pPr>
              <w:pStyle w:val="null3"/>
              <w:jc w:val="left"/>
            </w:pPr>
            <w:r>
              <w:rPr/>
              <w:t>财政预算资金支付</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最终验收付款</w:t>
            </w:r>
          </w:p>
        </w:tc>
        <w:tc>
          <w:tcPr>
            <w:tcW w:type="dxa" w:w="1384"/>
          </w:tcPr>
          <w:p>
            <w:pPr>
              <w:pStyle w:val="null3"/>
              <w:jc w:val="left"/>
            </w:pPr>
            <w:r>
              <w:rPr/>
              <w:t>软硬件平稳试运行连续满1个月后，并通过甲方最终验收，由甲方出具《最终验收合格单》（加盖甲乙双方公章），且甲方收到乙方提供的付款申请与本阶段付款金额等值的正式合格有效发票后十（10）个工作日内，向乙方支付合同总金额30%（百分之三十），即人民币----元整（大写：人民币----元整）</w:t>
            </w:r>
          </w:p>
        </w:tc>
        <w:tc>
          <w:tcPr>
            <w:tcW w:type="dxa" w:w="1384"/>
          </w:tcPr>
          <w:p>
            <w:pPr>
              <w:pStyle w:val="null3"/>
              <w:jc w:val="left"/>
            </w:pPr>
            <w:r>
              <w:rPr/>
              <w:t>30.00</w:t>
            </w:r>
            <w:r>
              <w:rPr/>
              <w:t>%</w:t>
            </w:r>
          </w:p>
        </w:tc>
        <w:tc>
          <w:tcPr>
            <w:tcW w:type="dxa" w:w="1384"/>
          </w:tcPr>
          <w:p>
            <w:pPr>
              <w:pStyle w:val="null3"/>
              <w:jc w:val="left"/>
            </w:pPr>
            <w:r>
              <w:rPr/>
              <w:t>财政预算资金支付</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中国反洗钱监测分析中心</w:t>
      </w:r>
    </w:p>
    <w:p>
      <w:pPr>
        <w:pStyle w:val="null3"/>
        <w:jc w:val="both"/>
      </w:pPr>
      <w:r>
        <w:rPr/>
        <w:t>采购人（需求部门）拟邀请（</w:t>
      </w:r>
      <w:r>
        <w:rPr/>
        <w:t>项目供应商</w:t>
      </w:r>
      <w:r>
        <w:rPr/>
        <w:t>）</w:t>
      </w:r>
    </w:p>
    <w:p>
      <w:pPr>
        <w:pStyle w:val="null3"/>
        <w:jc w:val="both"/>
      </w:pPr>
      <w:r>
        <w:rPr/>
        <w:t>（2）验收时间</w:t>
      </w:r>
      <w:r>
        <w:rPr>
          <w:u w:val="single"/>
        </w:rPr>
        <w:t>交货时间：乙方应于合同生效后，6个月内完成供货（以通过到货验收时间为准） 到货验收时间：货物到货后30个日历天数内。 初步验收时间：自货物完成到货验收，完成软硬件安装调试之日起30个日历天数内。 最终验收时间：软硬件平稳试运行连续满1个月且符合合同规定要求起30个日历天数内。 免费质量保证期：自签发《到货验收合格单》起四年。 合同履行期限：自合同签订之日至合同全部权利义务履行完毕之日止。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 xml:space="preserve"> 用户单位组织验收小组进行验收评审，若评审结论意见均通过，则视为验收通过</w:t>
      </w:r>
    </w:p>
    <w:p>
      <w:pPr>
        <w:pStyle w:val="null3"/>
        <w:jc w:val="both"/>
      </w:pPr>
      <w:r>
        <w:rPr/>
        <w:t>（5）验收内容</w:t>
      </w:r>
      <w:r>
        <w:rPr>
          <w:u w:val="single"/>
        </w:rPr>
        <w:t>产品数量、运行情况、集成服务技术实现、文档提交及商务履约情况。</w:t>
      </w:r>
    </w:p>
    <w:p>
      <w:pPr>
        <w:pStyle w:val="null3"/>
        <w:jc w:val="both"/>
      </w:pPr>
      <w:r>
        <w:rPr/>
        <w:t>（6）验收标准</w:t>
      </w:r>
      <w:r>
        <w:rPr>
          <w:u w:val="single"/>
        </w:rPr>
        <w:t>详见《采购需求》商务要求部分第23条</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（1）投标（响应）报价低于全部通过符合性审查供应商投标（响应）报价平均值60%的，即投标（响应）报价&lt;全部通过符合性审查供应商投标（响应）报价平均值×60%；</w:t>
        <w:br/>
        <w:t>（2）投标（响应）报价低于通过符合性审查的次低报价供应商投标（响应）报价60%的，即投标（响应）报价&lt;通过符合性审查的次低报价供应商投标（响应）报价×60%；</w:t>
        <w:br/>
        <w:t>（3）投标（响应）报价低于采购项目最高限价55%的，即投标（响应）报价&lt;采购项目最高限价×55%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技术部分25.00分</w:t>
            </w:r>
          </w:p>
          <w:p>
            <w:pPr>
              <w:pStyle w:val="null3"/>
              <w:jc w:val="left"/>
            </w:pPr>
            <w:r>
              <w:rPr/>
              <w:t>商务部分45.00分</w:t>
            </w:r>
          </w:p>
          <w:p>
            <w:pPr>
              <w:pStyle w:val="null3"/>
              <w:jc w:val="left"/>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jc w:val="left"/>
            </w:pPr>
            <w:r>
              <w:rPr/>
              <w:t>技术评审</w:t>
            </w:r>
          </w:p>
        </w:tc>
        <w:tc>
          <w:tcPr>
            <w:tcW w:type="dxa" w:w="2076"/>
          </w:tcPr>
          <w:p>
            <w:pPr>
              <w:pStyle w:val="null3"/>
              <w:jc w:val="left"/>
            </w:pPr>
            <w:r>
              <w:rPr/>
              <w:t>技术需求部分应答</w:t>
            </w:r>
          </w:p>
        </w:tc>
        <w:tc>
          <w:tcPr>
            <w:tcW w:type="dxa" w:w="2769"/>
          </w:tcPr>
          <w:p>
            <w:pPr>
              <w:pStyle w:val="null3"/>
              <w:jc w:val="left"/>
            </w:pPr>
            <w:r>
              <w:rPr/>
              <w:t>满足技术需求文件中技术要求的全部指标得满分。 “★”号项代表关键指标，不满足该指标项将导致投标被拒绝；“#”号项为重要指标，共5项 ，分别为第148至152项，每满足一项加3分，共计15份，“▲”代表一般指标项，分别为第165、166、168、169、171，每满足一项加2分，总计10分；“#”号项和“▲”号项合计25分</w:t>
            </w:r>
          </w:p>
        </w:tc>
        <w:tc>
          <w:tcPr>
            <w:tcW w:type="dxa" w:w="692"/>
          </w:tcPr>
          <w:p>
            <w:pPr>
              <w:pStyle w:val="null3"/>
              <w:jc w:val="right"/>
            </w:pPr>
            <w:r>
              <w:rPr/>
              <w:t>25.00</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集成实施方案</w:t>
            </w:r>
          </w:p>
        </w:tc>
        <w:tc>
          <w:tcPr>
            <w:tcW w:type="dxa" w:w="2769"/>
          </w:tcPr>
          <w:p>
            <w:pPr>
              <w:pStyle w:val="null3"/>
              <w:jc w:val="left"/>
            </w:pPr>
            <w:r>
              <w:rPr/>
              <w:t>投标人须针对本项目编制集成实施方案，方案至少应包含以下内容，并作为评分依据：1.项目整体理解与架构设计：简述对AI算力集群建设目标的理解，提供整体系统逻辑架构图（需体现AI服务器、交换机、AI管理平台、操作系统的逻辑关系）。2.物理部署与网络调优方案：针对AI服务器，明确机柜供电、承重及散热（风冷/液冷）的实施要求。提供详细的网络规划（VLAN/IP规划）、PFC（基于优先级的流量控制）和ECN（显式拥塞通知）参数配置及联调调优方案，确保大模型训练时的高吞吐、低时延及零丢包。3.异构软硬件适配与联调方案：提供操作系统在不同架构下的安装部署方案。提供AI管理平台纳管异构算力资源、安装GPU驱动及网络驱动的详细步骤。提供算力连通性测试方案（如NCCL/HCCL测试）及性能压测方案。制定详细的实施失败/适配不成功的应急回退预案。4.项目管理与培训验收：提供项目实施进度甘特图，明确关键里程碑节点。识别项目实施中的技术风险及供应链风险，并制定应对预案。提供完善的培训计划及明确的系统竣工验收测试标准（包含硬件验收、软件功能验收、算力性能验收）。 提供的集成实施方案详尽、合理、可信、完全适合项目要求，为第一档得10分； 方案较为详尽、合理、可信，基本具有可执行性，为第二档得5分； 方案简单、可执行性较差或未提供兼容方案得0分。</w:t>
            </w:r>
          </w:p>
        </w:tc>
        <w:tc>
          <w:tcPr>
            <w:tcW w:type="dxa" w:w="692"/>
          </w:tcPr>
          <w:p>
            <w:pPr>
              <w:pStyle w:val="null3"/>
              <w:jc w:val="right"/>
            </w:pPr>
            <w:r>
              <w:rPr/>
              <w:t>10.00</w:t>
            </w:r>
          </w:p>
        </w:tc>
        <w:tc>
          <w:tcPr>
            <w:tcW w:type="dxa" w:w="692"/>
          </w:tcPr>
          <w:p>
            <w:pPr>
              <w:pStyle w:val="null3"/>
              <w:jc w:val="left"/>
            </w:pPr>
            <w:r>
              <w:rPr/>
              <w:t>主观</w:t>
            </w:r>
          </w:p>
        </w:tc>
      </w:tr>
      <w:tr>
        <w:tc>
          <w:tcPr>
            <w:tcW w:type="dxa" w:w="692"/>
            <w:vMerge/>
          </w:tcPr>
          <w:p/>
        </w:tc>
        <w:tc>
          <w:tcPr>
            <w:tcW w:type="dxa" w:w="2076"/>
          </w:tcPr>
          <w:p>
            <w:pPr>
              <w:pStyle w:val="null3"/>
              <w:jc w:val="left"/>
            </w:pPr>
            <w:r>
              <w:rPr/>
              <w:t>同类项目经验</w:t>
            </w:r>
          </w:p>
        </w:tc>
        <w:tc>
          <w:tcPr>
            <w:tcW w:type="dxa" w:w="2769"/>
          </w:tcPr>
          <w:p>
            <w:pPr>
              <w:pStyle w:val="null3"/>
              <w:jc w:val="left"/>
            </w:pPr>
            <w:r>
              <w:rPr/>
              <w:t>投标人应提供自2022年1月1日（以合同签订时间为准）以来与本项目类似的供货及服务案例，评标时将根据所提供的证明材料，给予打分。每个案例须提供合同复印件（包括首页、合同标的、盖章页、产品说明一览表等信息）。与本项目类似是指所提供案例合同中应至少包含拟投标本项目的核心产品同类型产品，合同主体应为投标人或核心产品原厂商。每提供1个案例得2分，最多得10分，不提供得0分。</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商务需求部分应答</w:t>
            </w:r>
          </w:p>
        </w:tc>
        <w:tc>
          <w:tcPr>
            <w:tcW w:type="dxa" w:w="2769"/>
          </w:tcPr>
          <w:p>
            <w:pPr>
              <w:pStyle w:val="null3"/>
              <w:jc w:val="left"/>
            </w:pPr>
            <w:r>
              <w:rPr/>
              <w:t>商务指标中，投标人必须满足全部“★”号项（代表关键指标），不满足“★”号项将导致投标被拒绝；“▲”号项为一般指标，即第12至16条，共5项 ，投标人每满足一项加2分，共10分。</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技术支持服务方案完整性</w:t>
            </w:r>
          </w:p>
        </w:tc>
        <w:tc>
          <w:tcPr>
            <w:tcW w:type="dxa" w:w="2769"/>
          </w:tcPr>
          <w:p>
            <w:pPr>
              <w:pStyle w:val="null3"/>
              <w:jc w:val="left"/>
            </w:pPr>
            <w:r>
              <w:rPr/>
              <w:t>技术支持服务方案全部包含得5分，每包含1项加1分，没有不加分。 （1）项目需求理解 （2）售后服务方案 （3）集成实施方案 （4）质量保障方案 （5）用户培训方案</w:t>
            </w:r>
          </w:p>
        </w:tc>
        <w:tc>
          <w:tcPr>
            <w:tcW w:type="dxa" w:w="692"/>
          </w:tcPr>
          <w:p>
            <w:pPr>
              <w:pStyle w:val="null3"/>
              <w:jc w:val="right"/>
            </w:pPr>
            <w:r>
              <w:rPr/>
              <w:t>5.00</w:t>
            </w:r>
          </w:p>
        </w:tc>
        <w:tc>
          <w:tcPr>
            <w:tcW w:type="dxa" w:w="692"/>
          </w:tcPr>
          <w:p>
            <w:pPr>
              <w:pStyle w:val="null3"/>
              <w:jc w:val="left"/>
            </w:pPr>
            <w:r>
              <w:rPr/>
              <w:t>客观</w:t>
            </w:r>
          </w:p>
        </w:tc>
      </w:tr>
      <w:tr>
        <w:tc>
          <w:tcPr>
            <w:tcW w:type="dxa" w:w="692"/>
            <w:vMerge/>
          </w:tcPr>
          <w:p/>
        </w:tc>
        <w:tc>
          <w:tcPr>
            <w:tcW w:type="dxa" w:w="2076"/>
          </w:tcPr>
          <w:p>
            <w:pPr>
              <w:pStyle w:val="null3"/>
              <w:jc w:val="left"/>
            </w:pPr>
            <w:r>
              <w:rPr/>
              <w:t>团队人员</w:t>
            </w:r>
          </w:p>
        </w:tc>
        <w:tc>
          <w:tcPr>
            <w:tcW w:type="dxa" w:w="2769"/>
          </w:tcPr>
          <w:p>
            <w:pPr>
              <w:pStyle w:val="null3"/>
              <w:jc w:val="left"/>
            </w:pPr>
            <w:r>
              <w:rPr/>
              <w:t>投标人项目团队中，从业经历超过10年的项目团队成员（含项目经理）占比50%及以上的得6分，大于等于20%小于50%得4分，大于等于10%小于20%得1分，10%以下不得分（从业经历为工作简历中的工作年限，包含在其他单位的工作年限）。</w:t>
            </w:r>
          </w:p>
        </w:tc>
        <w:tc>
          <w:tcPr>
            <w:tcW w:type="dxa" w:w="692"/>
          </w:tcPr>
          <w:p>
            <w:pPr>
              <w:pStyle w:val="null3"/>
              <w:jc w:val="right"/>
            </w:pPr>
            <w:r>
              <w:rPr/>
              <w:t>6.00</w:t>
            </w:r>
          </w:p>
        </w:tc>
        <w:tc>
          <w:tcPr>
            <w:tcW w:type="dxa" w:w="692"/>
          </w:tcPr>
          <w:p>
            <w:pPr>
              <w:pStyle w:val="null3"/>
              <w:jc w:val="left"/>
            </w:pPr>
            <w:r>
              <w:rPr/>
              <w:t>客观</w:t>
            </w:r>
          </w:p>
        </w:tc>
      </w:tr>
      <w:tr>
        <w:tc>
          <w:tcPr>
            <w:tcW w:type="dxa" w:w="692"/>
            <w:vMerge/>
          </w:tcPr>
          <w:p/>
        </w:tc>
        <w:tc>
          <w:tcPr>
            <w:tcW w:type="dxa" w:w="2076"/>
          </w:tcPr>
          <w:p>
            <w:pPr>
              <w:pStyle w:val="null3"/>
              <w:jc w:val="left"/>
            </w:pPr>
            <w:r>
              <w:rPr/>
              <w:t>集成实施方案完整性</w:t>
            </w:r>
          </w:p>
        </w:tc>
        <w:tc>
          <w:tcPr>
            <w:tcW w:type="dxa" w:w="2769"/>
          </w:tcPr>
          <w:p>
            <w:pPr>
              <w:pStyle w:val="null3"/>
              <w:jc w:val="left"/>
            </w:pPr>
            <w:r>
              <w:rPr/>
              <w:t>集成实施方案需包含以下内容，每包含1项得1分：1.项目整体理解与架构设计；2.物理部署与网络调优方案；3.异构软硬件适配与联调方案；4.项目管理与培训验收。</w:t>
            </w:r>
          </w:p>
        </w:tc>
        <w:tc>
          <w:tcPr>
            <w:tcW w:type="dxa" w:w="692"/>
          </w:tcPr>
          <w:p>
            <w:pPr>
              <w:pStyle w:val="null3"/>
              <w:jc w:val="right"/>
            </w:pPr>
            <w:r>
              <w:rPr/>
              <w:t>4.00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经评审符合招标文件要求且投标价格最低的投标报价为评标基准价，其价格为满分。 其它投标人的投标报价得分=（评标基准价/投标报价）×30%×100。 价格调整： 1.未预留份额专门面向中小企业采购的采购项目，以及预留份额项目中的非预留部分采购包，对符合《政府采购促进中小企业发展管理办法》规定的小微企业报价给予15%的扣除，用扣除后的价格参加评审。残疾人福利性单位、监狱企业视同小型、微型企业，享受评审中价格扣除的政府采购政策。 2.价格扣除比例或者价格分加分比例对小型企业和微型企业同等对待，不做区分。 注：分数计算保留到小数点后两位。</w:t>
            </w:r>
          </w:p>
        </w:tc>
        <w:tc>
          <w:tcPr>
            <w:tcW w:type="dxa" w:w="692"/>
          </w:tcPr>
          <w:p>
            <w:pPr>
              <w:pStyle w:val="null3"/>
              <w:jc w:val="right"/>
            </w:pPr>
            <w:r>
              <w:rPr/>
              <w:t>30.00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1"/>
          </w:tcPr>
          <w:p>
            <w:pPr>
              <w:pStyle w:val="null3"/>
              <w:jc w:val="left"/>
            </w:pPr>
            <w:r>
              <w:rPr/>
              <w:t>1</w:t>
            </w:r>
          </w:p>
        </w:tc>
        <w:tc>
          <w:tcPr>
            <w:tcW w:type="dxa" w:w="1661"/>
          </w:tcPr>
          <w:p>
            <w:pPr>
              <w:pStyle w:val="null3"/>
              <w:jc w:val="left"/>
            </w:pPr>
            <w:r>
              <w:rPr/>
              <w:t>促进中小企业发展相关政策</w:t>
            </w:r>
          </w:p>
        </w:tc>
        <w:tc>
          <w:tcPr>
            <w:tcW w:type="dxa" w:w="1661"/>
          </w:tcPr>
          <w:p/>
        </w:tc>
        <w:tc>
          <w:tcPr>
            <w:tcW w:type="dxa" w:w="831"/>
          </w:tcPr>
          <w:p>
            <w:pPr>
              <w:pStyle w:val="null3"/>
              <w:jc w:val="right"/>
            </w:pPr>
            <w:r>
              <w:rPr/>
              <w:t>15.00%</w:t>
            </w:r>
          </w:p>
        </w:tc>
        <w:tc>
          <w:tcPr>
            <w:tcW w:type="dxa" w:w="3322"/>
          </w:tcPr>
          <w:p>
            <w:pPr>
              <w:pStyle w:val="null3"/>
              <w:jc w:val="left"/>
            </w:pPr>
            <w:r>
              <w:rP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r>
        <w:tc>
          <w:tcPr>
            <w:tcW w:type="dxa" w:w="831"/>
          </w:tcPr>
          <w:p>
            <w:pPr>
              <w:pStyle w:val="null3"/>
              <w:jc w:val="left"/>
            </w:pPr>
            <w:r>
              <w:rPr/>
              <w:t>2</w:t>
            </w:r>
          </w:p>
        </w:tc>
        <w:tc>
          <w:tcPr>
            <w:tcW w:type="dxa" w:w="1661"/>
          </w:tcPr>
          <w:p>
            <w:pPr>
              <w:pStyle w:val="null3"/>
              <w:jc w:val="left"/>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无</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详见附件：技术条款第1条证明文件</w:t>
      </w:r>
    </w:p>
    <w:p>
      <w:pPr>
        <w:pStyle w:val="null3"/>
        <w:ind w:firstLine="960"/>
      </w:pPr>
      <w:r>
        <w:rPr/>
        <w:t>详见附件：技术条款第2条证明文件</w:t>
      </w:r>
    </w:p>
    <w:p>
      <w:pPr>
        <w:pStyle w:val="null3"/>
        <w:ind w:firstLine="960"/>
      </w:pPr>
      <w:r>
        <w:rPr/>
        <w:t>详见附件：技术条款第72条证明文件</w:t>
      </w:r>
    </w:p>
    <w:p>
      <w:pPr>
        <w:pStyle w:val="null3"/>
        <w:ind w:firstLine="960"/>
      </w:pPr>
      <w:r>
        <w:rPr/>
        <w:t>详见附件：技术条款第147条证明文件</w:t>
      </w:r>
    </w:p>
    <w:p>
      <w:pPr>
        <w:pStyle w:val="null3"/>
        <w:ind w:firstLine="960"/>
      </w:pPr>
      <w:r>
        <w:rPr/>
        <w:t>详见附件：技术条款第361条证明文件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ind w:firstLine="960"/>
      </w:pPr>
      <w:r>
        <w:rPr/>
        <w:t>详见附件：商务条款第20条证明文件</w:t>
      </w:r>
    </w:p>
    <w:p>
      <w:pPr>
        <w:pStyle w:val="null3"/>
        <w:ind w:firstLine="960"/>
      </w:pPr>
      <w:r>
        <w:rPr/>
        <w:t>详见附件：商务条款第28条证明文件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详见附件：中国反洗钱监测分析中心2026年数智化平台软硬件采购项目合同.docx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