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lang w:val="en-US" w:eastAsia="zh-Hans"/>
        </w:rPr>
      </w:pPr>
      <w:r>
        <w:br w:type="textWrapping"/>
      </w:r>
    </w:p>
    <w:p>
      <w:pPr>
        <w:pStyle w:val="4"/>
        <w:outlineLvl w:val="0"/>
      </w:pPr>
      <w:r>
        <w:rPr>
          <w:b/>
          <w:sz w:val="48"/>
        </w:rPr>
        <w:t>中国人民银行金融网络安全态势感知平台运营项目</w:t>
      </w:r>
    </w:p>
    <w:p>
      <w:pPr>
        <w:pStyle w:val="4"/>
        <w:jc w:val="center"/>
        <w:outlineLvl w:val="0"/>
      </w:pPr>
      <w:r>
        <w:rPr>
          <w:b/>
          <w:sz w:val="48"/>
        </w:rPr>
        <w:t>单一来源采购文件</w:t>
      </w:r>
    </w:p>
    <w:p>
      <w:pPr>
        <w:pStyle w:val="4"/>
        <w:jc w:val="center"/>
        <w:outlineLvl w:val="0"/>
      </w:pPr>
      <w:r>
        <w:rPr>
          <w:b/>
          <w:sz w:val="48"/>
        </w:rPr>
        <w:t>（服务类）</w:t>
      </w:r>
    </w:p>
    <w:p>
      <w:pPr>
        <w:pStyle w:val="4"/>
        <w:jc w:val="center"/>
      </w:pPr>
      <w:r>
        <w:rPr>
          <w:b/>
        </w:rPr>
        <w:t xml:space="preserve"> 项目编号： 001DSF2026085</w:t>
      </w:r>
    </w:p>
    <w:p>
      <w:pPr>
        <w:pStyle w:val="4"/>
        <w:jc w:val="center"/>
      </w:pPr>
      <w:r>
        <w:t>中国人民银行集中采购中心</w:t>
      </w:r>
    </w:p>
    <w:p>
      <w:pPr>
        <w:pStyle w:val="4"/>
        <w:jc w:val="center"/>
      </w:pPr>
      <w:r>
        <w:t>2026年09月17日</w:t>
      </w:r>
    </w:p>
    <w:p>
      <w:pPr>
        <w:pStyle w:val="4"/>
      </w:pPr>
      <w:r>
        <w:t xml:space="preserve"> </w:t>
      </w:r>
    </w:p>
    <w:p>
      <w:pPr>
        <w:pStyle w:val="4"/>
        <w:jc w:val="center"/>
        <w:outlineLvl w:val="1"/>
      </w:pPr>
      <w:r>
        <w:rPr>
          <w:b/>
          <w:sz w:val="36"/>
        </w:rPr>
        <w:t>第一章 协商邀请</w:t>
      </w:r>
    </w:p>
    <w:p>
      <w:pPr>
        <w:pStyle w:val="4"/>
        <w:ind w:firstLine="480"/>
      </w:pPr>
      <w:r>
        <w:t>中国人民银行集中采购中心现采取单一来源的方式，就“ 金融网络安全态势感知平台运营项目 ”（项目编号： 001DSF2026085 ）邀请合格投标人参加单一来源协商。本项目 落实 《政府采购法》、《政府采购法实施条例》、《政府采购促进中小企业发展管理办法》及政府采购领域相关程序。</w:t>
      </w:r>
    </w:p>
    <w:p>
      <w:pPr>
        <w:pStyle w:val="4"/>
        <w:ind w:firstLine="480"/>
        <w:jc w:val="left"/>
        <w:outlineLvl w:val="2"/>
      </w:pPr>
      <w:r>
        <w:rPr>
          <w:b/>
          <w:sz w:val="28"/>
        </w:rPr>
        <w:t>1.1 采购标的</w:t>
      </w:r>
    </w:p>
    <w:p>
      <w:pPr>
        <w:pStyle w:val="4"/>
        <w:ind w:firstLine="480"/>
        <w:jc w:val="both"/>
      </w:pPr>
      <w:r>
        <w:t>1.1.1本次协商标的</w:t>
      </w:r>
    </w:p>
    <w:p>
      <w:pPr>
        <w:pStyle w:val="4"/>
        <w:jc w:val="left"/>
      </w:pPr>
      <w:r>
        <w:t>采购包预算金额（元）: 不公开</w:t>
      </w:r>
    </w:p>
    <w:p>
      <w:pPr>
        <w:pStyle w:val="4"/>
        <w:jc w:val="left"/>
      </w:pPr>
      <w:r>
        <w:t>采购包最高限价（元）: 不公开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3"/>
        <w:gridCol w:w="713"/>
        <w:gridCol w:w="1374"/>
        <w:gridCol w:w="1374"/>
        <w:gridCol w:w="713"/>
        <w:gridCol w:w="713"/>
        <w:gridCol w:w="783"/>
        <w:gridCol w:w="713"/>
        <w:gridCol w:w="713"/>
        <w:gridCol w:w="71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left"/>
            </w:pPr>
            <w:r>
              <w:t>序号</w:t>
            </w:r>
          </w:p>
        </w:tc>
        <w:tc>
          <w:tcPr>
            <w:tcW w:w="831" w:type="dxa"/>
          </w:tcPr>
          <w:p>
            <w:pPr>
              <w:pStyle w:val="4"/>
              <w:jc w:val="left"/>
            </w:pPr>
            <w:r>
              <w:t>标的名称</w:t>
            </w:r>
          </w:p>
        </w:tc>
        <w:tc>
          <w:tcPr>
            <w:tcW w:w="831" w:type="dxa"/>
          </w:tcPr>
          <w:p>
            <w:pPr>
              <w:pStyle w:val="4"/>
              <w:jc w:val="left"/>
            </w:pPr>
            <w:r>
              <w:t>品目名称</w:t>
            </w:r>
          </w:p>
        </w:tc>
        <w:tc>
          <w:tcPr>
            <w:tcW w:w="831" w:type="dxa"/>
          </w:tcPr>
          <w:p>
            <w:pPr>
              <w:pStyle w:val="4"/>
              <w:jc w:val="left"/>
            </w:pPr>
            <w:r>
              <w:t>品目分类编码</w:t>
            </w:r>
          </w:p>
        </w:tc>
        <w:tc>
          <w:tcPr>
            <w:tcW w:w="831" w:type="dxa"/>
          </w:tcPr>
          <w:p>
            <w:pPr>
              <w:pStyle w:val="4"/>
              <w:jc w:val="left"/>
            </w:pPr>
            <w:r>
              <w:t>标的类别</w:t>
            </w:r>
          </w:p>
        </w:tc>
        <w:tc>
          <w:tcPr>
            <w:tcW w:w="831" w:type="dxa"/>
          </w:tcPr>
          <w:p>
            <w:pPr>
              <w:pStyle w:val="4"/>
              <w:jc w:val="left"/>
            </w:pPr>
            <w:r>
              <w:t>计量单位</w:t>
            </w:r>
          </w:p>
        </w:tc>
        <w:tc>
          <w:tcPr>
            <w:tcW w:w="831" w:type="dxa"/>
          </w:tcPr>
          <w:p>
            <w:pPr>
              <w:pStyle w:val="4"/>
              <w:jc w:val="left"/>
            </w:pPr>
            <w:r>
              <w:t>数量</w:t>
            </w:r>
          </w:p>
        </w:tc>
        <w:tc>
          <w:tcPr>
            <w:tcW w:w="831" w:type="dxa"/>
          </w:tcPr>
          <w:p>
            <w:pPr>
              <w:pStyle w:val="4"/>
              <w:jc w:val="left"/>
            </w:pPr>
            <w:r>
              <w:t>是否允许进口产品</w:t>
            </w:r>
          </w:p>
        </w:tc>
        <w:tc>
          <w:tcPr>
            <w:tcW w:w="831" w:type="dxa"/>
          </w:tcPr>
          <w:p>
            <w:pPr>
              <w:pStyle w:val="4"/>
              <w:jc w:val="left"/>
            </w:pPr>
            <w:r>
              <w:t>最高限价</w:t>
            </w:r>
          </w:p>
        </w:tc>
        <w:tc>
          <w:tcPr>
            <w:tcW w:w="831" w:type="dxa"/>
          </w:tcPr>
          <w:p>
            <w:pPr>
              <w:pStyle w:val="4"/>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left"/>
            </w:pPr>
            <w:r>
              <w:t>1</w:t>
            </w:r>
          </w:p>
        </w:tc>
        <w:tc>
          <w:tcPr>
            <w:tcW w:w="831" w:type="dxa"/>
          </w:tcPr>
          <w:p>
            <w:pPr>
              <w:pStyle w:val="4"/>
              <w:jc w:val="left"/>
            </w:pPr>
            <w:r>
              <w:t>金融网络安全态势感知平台运营项目</w:t>
            </w:r>
          </w:p>
        </w:tc>
        <w:tc>
          <w:tcPr>
            <w:tcW w:w="831" w:type="dxa"/>
          </w:tcPr>
          <w:p>
            <w:pPr>
              <w:pStyle w:val="4"/>
              <w:jc w:val="left"/>
            </w:pPr>
            <w:r>
              <w:t>C16080200 平台运营服务</w:t>
            </w:r>
          </w:p>
        </w:tc>
        <w:tc>
          <w:tcPr>
            <w:tcW w:w="831" w:type="dxa"/>
          </w:tcPr>
          <w:p>
            <w:pPr>
              <w:pStyle w:val="4"/>
              <w:jc w:val="left"/>
            </w:pPr>
            <w:r>
              <w:t>C16080200</w:t>
            </w:r>
          </w:p>
        </w:tc>
        <w:tc>
          <w:tcPr>
            <w:tcW w:w="831" w:type="dxa"/>
          </w:tcPr>
          <w:p>
            <w:pPr>
              <w:pStyle w:val="4"/>
              <w:jc w:val="left"/>
            </w:pPr>
            <w:r>
              <w:t>服务</w:t>
            </w:r>
          </w:p>
        </w:tc>
        <w:tc>
          <w:tcPr>
            <w:tcW w:w="831" w:type="dxa"/>
          </w:tcPr>
          <w:p>
            <w:pPr>
              <w:pStyle w:val="4"/>
              <w:jc w:val="left"/>
            </w:pPr>
            <w:r>
              <w:t>项</w:t>
            </w:r>
          </w:p>
        </w:tc>
        <w:tc>
          <w:tcPr>
            <w:tcW w:w="831" w:type="dxa"/>
          </w:tcPr>
          <w:p>
            <w:pPr>
              <w:pStyle w:val="4"/>
              <w:jc w:val="right"/>
            </w:pPr>
            <w:r>
              <w:t>1.00</w:t>
            </w:r>
          </w:p>
        </w:tc>
        <w:tc>
          <w:tcPr>
            <w:tcW w:w="831" w:type="dxa"/>
          </w:tcPr>
          <w:p>
            <w:pPr>
              <w:pStyle w:val="4"/>
              <w:jc w:val="left"/>
            </w:pPr>
            <w:r>
              <w:t>否</w:t>
            </w:r>
          </w:p>
        </w:tc>
        <w:tc>
          <w:tcPr>
            <w:tcW w:w="831" w:type="dxa"/>
          </w:tcPr>
          <w:p>
            <w:pPr>
              <w:pStyle w:val="4"/>
              <w:jc w:val="left"/>
            </w:pPr>
            <w:r>
              <w:t>不公开</w:t>
            </w:r>
          </w:p>
        </w:tc>
        <w:tc>
          <w:tcPr>
            <w:tcW w:w="831" w:type="dxa"/>
          </w:tcPr>
          <w:p/>
        </w:tc>
      </w:tr>
    </w:tbl>
    <w:p>
      <w:pPr>
        <w:pStyle w:val="4"/>
        <w:ind w:firstLine="480"/>
        <w:jc w:val="left"/>
      </w:pPr>
      <w:r>
        <w:t xml:space="preserve"> 根据《中华人民共和国政府采购法》和财政部《政府采购进口产品管理办法》的有关规定，本次协商 不允许 进口产品响应。</w:t>
      </w:r>
    </w:p>
    <w:p>
      <w:pPr>
        <w:pStyle w:val="4"/>
        <w:jc w:val="left"/>
      </w:pPr>
      <w:r>
        <w:t>1.1.2中小企业政策</w:t>
      </w:r>
    </w:p>
    <w:p>
      <w:pPr>
        <w:pStyle w:val="4"/>
        <w:ind w:firstLine="480"/>
        <w:jc w:val="both"/>
      </w:pPr>
      <w:r>
        <w:t>本项目是否专门面向中小企业采购：</w:t>
      </w:r>
    </w:p>
    <w:p>
      <w:pPr>
        <w:pStyle w:val="4"/>
        <w:jc w:val="left"/>
      </w:pPr>
      <w:r>
        <w:rPr>
          <w:color w:val="000000"/>
        </w:rPr>
        <w:t>1)</w:t>
      </w:r>
      <w:r>
        <w:t>不专门面向中小企业采购</w:t>
      </w:r>
    </w:p>
    <w:p>
      <w:pPr>
        <w:pStyle w:val="4"/>
        <w:ind w:firstLine="840"/>
        <w:jc w:val="left"/>
      </w:pPr>
      <w:r>
        <w:t>供应商根据采购文件中明确的行业所对应的划分标准，判断是否属于中小企业。国务院批准的中小企业划分标准为《中小企业划型标准规定》（工信部联企业〔2011〕300号）。符合政策要求的供应商出具的《中小企业声明函》，应当按照采购文件规定的格式完整、准确填写。《中小企业声明函》中‘（采购文件中明确的所属行业）’部分应填写采购文件明确的所属行业。</w:t>
      </w:r>
    </w:p>
    <w:p>
      <w:pPr>
        <w:pStyle w:val="4"/>
        <w:jc w:val="left"/>
      </w:pPr>
      <w:r>
        <w:t xml:space="preserve"> 本项目对应的中小企业划分标准所属行业(服务类): 软件和信息技术服务业</w:t>
      </w:r>
    </w:p>
    <w:p>
      <w:pPr>
        <w:pStyle w:val="4"/>
        <w:ind w:firstLine="480"/>
        <w:jc w:val="left"/>
        <w:outlineLvl w:val="2"/>
      </w:pPr>
      <w:r>
        <w:rPr>
          <w:b/>
          <w:sz w:val="28"/>
        </w:rPr>
        <w:t>1.2 供应商资格要求：</w:t>
      </w:r>
    </w:p>
    <w:p>
      <w:pPr>
        <w:pStyle w:val="4"/>
        <w:ind w:firstLine="480"/>
      </w:pPr>
      <w:r>
        <w:t>1.2.1信用核查</w:t>
      </w:r>
    </w:p>
    <w:p>
      <w:pPr>
        <w:pStyle w:val="4"/>
        <w:ind w:firstLine="480"/>
      </w:pPr>
      <w:r>
        <w:t>必须为未被列入信用中国网站(www.creditchina.gov.cn)、中国政府采购网(www.ccgp.gov.cn)渠道信用记录失信被执行人、重大税收违法案件当事人名单、政府采购严重违法失信行为记录名单的供应商，否则其响应将被拒绝。</w:t>
      </w:r>
    </w:p>
    <w:p>
      <w:pPr>
        <w:pStyle w:val="4"/>
        <w:ind w:firstLine="480"/>
      </w:pPr>
      <w:r>
        <w:t>1.2.2一般资格要求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 xml:space="preserve"> 序号</w:t>
            </w:r>
          </w:p>
        </w:tc>
        <w:tc>
          <w:tcPr>
            <w:tcW w:w="3322" w:type="dxa"/>
          </w:tcPr>
          <w:p>
            <w:pPr>
              <w:pStyle w:val="4"/>
              <w:jc w:val="left"/>
            </w:pPr>
            <w:r>
              <w:t xml:space="preserve"> 资格审查要求概况</w:t>
            </w:r>
          </w:p>
        </w:tc>
        <w:tc>
          <w:tcPr>
            <w:tcW w:w="4153" w:type="dxa"/>
          </w:tcPr>
          <w:p>
            <w:pPr>
              <w:pStyle w:val="4"/>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1</w:t>
            </w:r>
          </w:p>
        </w:tc>
        <w:tc>
          <w:tcPr>
            <w:tcW w:w="3322" w:type="dxa"/>
          </w:tcPr>
          <w:p>
            <w:pPr>
              <w:pStyle w:val="4"/>
              <w:jc w:val="left"/>
            </w:pPr>
            <w:r>
              <w:t>信用核查</w:t>
            </w:r>
          </w:p>
        </w:tc>
        <w:tc>
          <w:tcPr>
            <w:tcW w:w="4153" w:type="dxa"/>
          </w:tcPr>
          <w:p>
            <w:pPr>
              <w:pStyle w:val="4"/>
              <w:jc w:val="left"/>
            </w:pPr>
            <w:r>
              <w:t>必须为未被列入信用中国网站（www.creditchina.gov.cn）、中国政府采购网（www.ccgp.gov.cn）渠道信用记录失信被执行人、重大税收违法案件当事人名单、政府采购严重违法失信行为记录名单的投标人，否则其投标将被拒绝。</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2</w:t>
            </w:r>
          </w:p>
        </w:tc>
        <w:tc>
          <w:tcPr>
            <w:tcW w:w="3322" w:type="dxa"/>
          </w:tcPr>
          <w:p>
            <w:pPr>
              <w:pStyle w:val="4"/>
              <w:jc w:val="left"/>
            </w:pPr>
            <w:r>
              <w:t>法人或者其他组织的营业执照等证明文件，自然人的身份证明；</w:t>
            </w:r>
          </w:p>
        </w:tc>
        <w:tc>
          <w:tcPr>
            <w:tcW w:w="4153" w:type="dxa"/>
          </w:tcPr>
          <w:p>
            <w:pPr>
              <w:pStyle w:val="4"/>
              <w:jc w:val="left"/>
            </w:pPr>
            <w:r>
              <w:t>法人或者其他组织的营业执照等证明文件，自然人的身份证明；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left"/>
            </w:pPr>
            <w:r>
              <w:t>3</w:t>
            </w:r>
          </w:p>
        </w:tc>
        <w:tc>
          <w:tcPr>
            <w:tcW w:w="3322" w:type="dxa"/>
          </w:tcPr>
          <w:p>
            <w:pPr>
              <w:pStyle w:val="4"/>
              <w:jc w:val="left"/>
            </w:pPr>
            <w:r>
              <w:t>财务状况报告，依法缴纳税收和社会保障资金的相关材料；(供应商应提供书面承诺)</w:t>
            </w:r>
          </w:p>
        </w:tc>
        <w:tc>
          <w:tcPr>
            <w:tcW w:w="4153" w:type="dxa"/>
          </w:tcPr>
          <w:p>
            <w:pPr>
              <w:pStyle w:val="4"/>
              <w:jc w:val="left"/>
            </w:pPr>
            <w:r>
              <w:t>财务状况报告，依法缴纳税收和社会保障资金的相关材料；(供应商应提供书面承诺)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4</w:t>
            </w:r>
          </w:p>
        </w:tc>
        <w:tc>
          <w:tcPr>
            <w:tcW w:w="3322" w:type="dxa"/>
          </w:tcPr>
          <w:p>
            <w:pPr>
              <w:pStyle w:val="4"/>
              <w:jc w:val="left"/>
            </w:pPr>
            <w:r>
              <w:t>具备履行合同所必需的设备和专业技术能力的证明材料；(供应商应提供书面承诺)</w:t>
            </w:r>
          </w:p>
        </w:tc>
        <w:tc>
          <w:tcPr>
            <w:tcW w:w="4153" w:type="dxa"/>
          </w:tcPr>
          <w:p>
            <w:pPr>
              <w:pStyle w:val="4"/>
              <w:jc w:val="left"/>
            </w:pPr>
            <w:r>
              <w:t>具备履行合同所必需的设备和专业技术能力的证明材料；(供应商应提供书面承诺)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5</w:t>
            </w:r>
          </w:p>
        </w:tc>
        <w:tc>
          <w:tcPr>
            <w:tcW w:w="3322" w:type="dxa"/>
          </w:tcPr>
          <w:p>
            <w:pPr>
              <w:pStyle w:val="4"/>
              <w:jc w:val="left"/>
            </w:pPr>
            <w:r>
              <w:t>参加政府采购活动前3年内在经营活动中没有重大违法记录的书面声明；(供应商应提供书面承诺)</w:t>
            </w:r>
          </w:p>
        </w:tc>
        <w:tc>
          <w:tcPr>
            <w:tcW w:w="4153" w:type="dxa"/>
          </w:tcPr>
          <w:p>
            <w:pPr>
              <w:pStyle w:val="4"/>
              <w:jc w:val="left"/>
            </w:pPr>
            <w:r>
              <w:t>参加政府采购活动前3年内在经营活动中没有重大违法记录的书面声明；(供应商应提供书面承诺)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6</w:t>
            </w:r>
          </w:p>
        </w:tc>
        <w:tc>
          <w:tcPr>
            <w:tcW w:w="3322" w:type="dxa"/>
          </w:tcPr>
          <w:p>
            <w:pPr>
              <w:pStyle w:val="4"/>
              <w:jc w:val="left"/>
            </w:pPr>
            <w:r>
              <w:t>具备法律、行政法规规定的其他条件的证明材料。</w:t>
            </w:r>
          </w:p>
        </w:tc>
        <w:tc>
          <w:tcPr>
            <w:tcW w:w="4153" w:type="dxa"/>
          </w:tcPr>
          <w:p>
            <w:pPr>
              <w:pStyle w:val="4"/>
              <w:jc w:val="left"/>
            </w:pPr>
            <w:r>
              <w:t>具备法律、行政法规规定的其他条件的证明材料。</w:t>
            </w:r>
          </w:p>
        </w:tc>
      </w:tr>
    </w:tbl>
    <w:p>
      <w:pPr>
        <w:pStyle w:val="4"/>
        <w:ind w:firstLine="480"/>
      </w:pPr>
      <w:r>
        <w:t>1.2.3需求单位要求的资格条件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76"/>
        <w:gridCol w:w="2907"/>
        <w:gridCol w:w="1246"/>
        <w:gridCol w:w="12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 xml:space="preserve"> 序号</w:t>
            </w:r>
          </w:p>
        </w:tc>
        <w:tc>
          <w:tcPr>
            <w:tcW w:w="2076" w:type="dxa"/>
          </w:tcPr>
          <w:p>
            <w:pPr>
              <w:pStyle w:val="4"/>
              <w:jc w:val="left"/>
            </w:pPr>
            <w:r>
              <w:t xml:space="preserve"> 资格审查要求概况</w:t>
            </w:r>
          </w:p>
        </w:tc>
        <w:tc>
          <w:tcPr>
            <w:tcW w:w="2907" w:type="dxa"/>
          </w:tcPr>
          <w:p>
            <w:pPr>
              <w:pStyle w:val="4"/>
              <w:jc w:val="left"/>
            </w:pPr>
            <w:r>
              <w:t xml:space="preserve"> 评审点具体描述</w:t>
            </w:r>
          </w:p>
        </w:tc>
        <w:tc>
          <w:tcPr>
            <w:tcW w:w="1246" w:type="dxa"/>
          </w:tcPr>
          <w:p>
            <w:pPr>
              <w:pStyle w:val="4"/>
              <w:jc w:val="left"/>
            </w:pPr>
            <w:r>
              <w:t xml:space="preserve"> 是否提供证明材料</w:t>
            </w:r>
          </w:p>
        </w:tc>
        <w:tc>
          <w:tcPr>
            <w:tcW w:w="1246" w:type="dxa"/>
          </w:tcPr>
          <w:p>
            <w:pPr>
              <w:pStyle w:val="4"/>
              <w:jc w:val="left"/>
            </w:pPr>
            <w:r>
              <w:t xml:space="preserve"> 提供方式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5"/>
          </w:tcPr>
          <w:p>
            <w:pPr>
              <w:pStyle w:val="4"/>
              <w:jc w:val="left"/>
            </w:pPr>
            <w:r>
              <w:t xml:space="preserve"> 无</w:t>
            </w:r>
          </w:p>
        </w:tc>
      </w:tr>
    </w:tbl>
    <w:p>
      <w:pPr>
        <w:pStyle w:val="4"/>
        <w:ind w:firstLine="480"/>
        <w:jc w:val="left"/>
        <w:outlineLvl w:val="2"/>
      </w:pPr>
      <w:r>
        <w:rPr>
          <w:b/>
          <w:sz w:val="28"/>
        </w:rPr>
        <w:t>1.3 邀请供应商的方式</w:t>
      </w:r>
    </w:p>
    <w:p>
      <w:pPr>
        <w:pStyle w:val="4"/>
        <w:ind w:firstLine="480"/>
      </w:pPr>
      <w:r>
        <w:t>本次协商邀请由采购人通过项目电子化交易系统发送邀请书和单一来源采购文件。</w:t>
      </w:r>
    </w:p>
    <w:p>
      <w:pPr>
        <w:pStyle w:val="4"/>
        <w:ind w:firstLine="480"/>
        <w:jc w:val="left"/>
        <w:outlineLvl w:val="2"/>
      </w:pPr>
      <w:r>
        <w:rPr>
          <w:b/>
          <w:sz w:val="28"/>
        </w:rPr>
        <w:t>1.4 电子化采购相关事项</w:t>
      </w:r>
    </w:p>
    <w:p>
      <w:pPr>
        <w:pStyle w:val="4"/>
        <w:ind w:firstLine="480"/>
        <w:jc w:val="both"/>
      </w:pPr>
      <w:r>
        <w:t>本项目实行电子化采购，使用中国人民银行集中采购中心互联网采购交易系统（以下简称“项目电子化交易系统”，https://jzcg.pbc.gov.cn/）。供应商应当按照以下要求，参与本次电子化采购活动：</w:t>
      </w:r>
    </w:p>
    <w:p>
      <w:pPr>
        <w:pStyle w:val="4"/>
        <w:ind w:firstLine="480"/>
        <w:jc w:val="both"/>
      </w:pPr>
      <w:r>
        <w:t>（一）供应商参与电子化采购活动前，应在项目电子化交易系统中完成注册，完善信息。登陆项目电子化交易系统后，自行在项目交易-附件下载中查看相应的系统操作指南，并严格按照操作指南要求进行系统操作。</w:t>
      </w:r>
    </w:p>
    <w:p>
      <w:pPr>
        <w:pStyle w:val="4"/>
        <w:ind w:firstLine="480"/>
        <w:jc w:val="both"/>
      </w:pPr>
      <w:r>
        <w:t>（二）供应商应登录项目电子化交易系统获取采购文件。</w:t>
      </w:r>
    </w:p>
    <w:p>
      <w:pPr>
        <w:pStyle w:val="4"/>
        <w:ind w:firstLine="480"/>
        <w:jc w:val="both"/>
      </w:pPr>
      <w:r>
        <w:t>未按上述要求成功获取采购文件的供应商，自行承担不利后果。</w:t>
      </w:r>
    </w:p>
    <w:p>
      <w:pPr>
        <w:pStyle w:val="4"/>
        <w:ind w:firstLine="480"/>
        <w:jc w:val="both"/>
      </w:pPr>
      <w:r>
        <w:t>（三）供应商应使用系统公告-《关于供应商办理CA数字证书及电子签章的通知》中指定供应商签发的数字证书（CA）和电子签章。供应商使用数字证书(CA)及电子签章登录项目电子化交易系统进行的一切操作和资料传递，以及加盖电子签章确认采购过程中制作、交换的电子数据，均属于供应商真实意思表示，由供应商对其系统操作行为和电子签章确认的事项承担法律责任。</w:t>
      </w:r>
    </w:p>
    <w:p>
      <w:pPr>
        <w:pStyle w:val="4"/>
        <w:ind w:firstLine="480"/>
        <w:jc w:val="both"/>
      </w:pPr>
      <w:r>
        <w:t>（四）供应商应当加强数字证书(CA)及电子签章日常校验和妥善保管，确保在参加采购活动期间数字证书（CA）及签章能够正常使用；供应商应当严格数字证书（CA）及签章的内部授权管理，防止非授权操作。</w:t>
      </w:r>
    </w:p>
    <w:p>
      <w:pPr>
        <w:pStyle w:val="4"/>
        <w:ind w:firstLine="480"/>
        <w:jc w:val="both"/>
      </w:pPr>
      <w:r>
        <w:t>（五）供应商参加现场协商会议，解密响应文件。</w:t>
      </w:r>
    </w:p>
    <w:p>
      <w:pPr>
        <w:pStyle w:val="4"/>
        <w:ind w:firstLine="480"/>
        <w:jc w:val="both"/>
      </w:pPr>
      <w:r>
        <w:t>（六）项目电子化交易系统技术支持：</w:t>
      </w:r>
    </w:p>
    <w:p>
      <w:pPr>
        <w:pStyle w:val="4"/>
        <w:ind w:firstLine="480"/>
        <w:jc w:val="both"/>
      </w:pPr>
      <w:r>
        <w:t>电话：010-66195993</w:t>
      </w:r>
    </w:p>
    <w:p>
      <w:pPr>
        <w:pStyle w:val="4"/>
        <w:ind w:firstLine="480"/>
      </w:pPr>
      <w:r>
        <w:t>CA及签章服务：详见项目电子化交易系统-系统公告中《关于供应商办理CA数字证书及电子签章的通知》。</w:t>
      </w:r>
    </w:p>
    <w:p>
      <w:pPr>
        <w:pStyle w:val="4"/>
        <w:ind w:firstLine="480"/>
        <w:jc w:val="left"/>
        <w:outlineLvl w:val="2"/>
      </w:pPr>
      <w:r>
        <w:rPr>
          <w:b/>
          <w:sz w:val="28"/>
        </w:rPr>
        <w:t>1.5 单一来源采购文件获取时间、方式及地址：</w:t>
      </w:r>
    </w:p>
    <w:p>
      <w:pPr>
        <w:pStyle w:val="4"/>
        <w:ind w:firstLine="480"/>
        <w:jc w:val="both"/>
      </w:pPr>
      <w:r>
        <w:t>1.5.1单一来源采购文件获取时间：详见采购公告或邀请书。</w:t>
      </w:r>
    </w:p>
    <w:p>
      <w:pPr>
        <w:pStyle w:val="4"/>
        <w:ind w:firstLine="480"/>
        <w:jc w:val="both"/>
      </w:pPr>
      <w:r>
        <w:t>1.5.2单一来源采购文件获取方式：在单一来源采购文件获取开始时间前，采购人或代理机构将本项目采购文件上传至项目电子化交易系统，免费向供应商提供。供应商通过项目电子化交易系统获取采购文件。成功获取采购文件的，供应商将收到已获取采购文件的回执函。</w:t>
      </w:r>
    </w:p>
    <w:p>
      <w:pPr>
        <w:pStyle w:val="4"/>
        <w:ind w:firstLine="480"/>
        <w:jc w:val="both"/>
      </w:pPr>
      <w:r>
        <w:t>在响应文件提交截止时间前，采购人或者代理机构可以对已发出的采购文件进行必要的澄清或者修改。如澄清或者修改的内容可能影响响应文件编制的，采购人或代理机构将通过项目电子化交易系统发布澄清或者修改后的采购文件。供应商应当登录项目电子化交易系统重新获取采购文件。供应商未重新获取采购文件或者未按照澄清或者修改后的采购文件编制响应文件进行响应的，自行承担不利后果。</w:t>
      </w:r>
    </w:p>
    <w:p>
      <w:pPr>
        <w:pStyle w:val="4"/>
        <w:ind w:firstLine="480"/>
        <w:jc w:val="both"/>
      </w:pPr>
      <w:r>
        <w:t>注：获取的采购文件主体格式包括pdf、word两种格式版本，其中以pdf格式为准。</w:t>
      </w:r>
    </w:p>
    <w:p>
      <w:pPr>
        <w:pStyle w:val="4"/>
        <w:ind w:firstLine="480"/>
        <w:jc w:val="left"/>
        <w:outlineLvl w:val="2"/>
      </w:pPr>
      <w:r>
        <w:rPr>
          <w:b/>
          <w:sz w:val="28"/>
        </w:rPr>
        <w:t>1.6 响应文件提交截止时间及开启时间、地点、方式</w:t>
      </w:r>
    </w:p>
    <w:p>
      <w:pPr>
        <w:pStyle w:val="4"/>
        <w:ind w:firstLine="480"/>
        <w:jc w:val="both"/>
      </w:pPr>
      <w:r>
        <w:t>1.6.1响应文件提交截止时间及开启时间：详见邀请书。</w:t>
      </w:r>
    </w:p>
    <w:p>
      <w:pPr>
        <w:pStyle w:val="4"/>
        <w:ind w:firstLine="480"/>
        <w:jc w:val="both"/>
      </w:pPr>
      <w:r>
        <w:t>1.6.2响应文件开启地点：详见采购公告或邀请书。</w:t>
      </w:r>
    </w:p>
    <w:p>
      <w:pPr>
        <w:pStyle w:val="4"/>
        <w:ind w:firstLine="480"/>
        <w:jc w:val="both"/>
      </w:pPr>
      <w:r>
        <w:t>1.6.3响应文件提交方式：详见采购文件“2.4.10 响应文件的提交”</w:t>
      </w:r>
    </w:p>
    <w:p>
      <w:pPr>
        <w:pStyle w:val="4"/>
        <w:ind w:firstLine="480"/>
        <w:jc w:val="left"/>
        <w:outlineLvl w:val="2"/>
      </w:pPr>
      <w:r>
        <w:rPr>
          <w:b/>
          <w:sz w:val="28"/>
        </w:rPr>
        <w:t>1.7 协商方式</w:t>
      </w:r>
    </w:p>
    <w:p>
      <w:pPr>
        <w:pStyle w:val="4"/>
        <w:ind w:firstLine="480"/>
        <w:jc w:val="both"/>
      </w:pPr>
      <w:r>
        <w:t>本项目协商小组与供应商通过项目电子化交易系统在本采购文件规定的协商地点在线方式进行协商。协商会议由协商小组在线主持，供应商代表在线参加。供应商应随时关注项目电子化交易系统信息，及时参与在线协商。供应商登录项目电子化交易系统，与协商小组进行在线协商、提交供应商响应表，供应商响应表应加盖供应商（法定名称）电子印章。</w:t>
      </w:r>
    </w:p>
    <w:p>
      <w:pPr>
        <w:pStyle w:val="4"/>
        <w:jc w:val="left"/>
        <w:outlineLvl w:val="2"/>
      </w:pPr>
      <w:r>
        <w:rPr>
          <w:b/>
          <w:sz w:val="28"/>
        </w:rPr>
        <w:t>1.8 采购人及采购代理机构信息</w:t>
      </w:r>
    </w:p>
    <w:p>
      <w:pPr>
        <w:pStyle w:val="4"/>
        <w:ind w:firstLine="480"/>
      </w:pPr>
      <w:r>
        <w:t>1.8.1采购人：</w:t>
      </w:r>
    </w:p>
    <w:p>
      <w:pPr>
        <w:pStyle w:val="4"/>
      </w:pPr>
      <w:r>
        <w:t>中国人民银行</w:t>
      </w:r>
    </w:p>
    <w:p>
      <w:pPr>
        <w:pStyle w:val="4"/>
      </w:pPr>
      <w:r>
        <w:t xml:space="preserve"> 地址： 北京市西城区金融大街30号中国人民银行新大楼803房间</w:t>
      </w:r>
    </w:p>
    <w:p>
      <w:pPr>
        <w:pStyle w:val="4"/>
      </w:pPr>
      <w:r>
        <w:t xml:space="preserve"> 邮编： 100034</w:t>
      </w:r>
    </w:p>
    <w:p>
      <w:pPr>
        <w:pStyle w:val="4"/>
      </w:pPr>
      <w:r>
        <w:t xml:space="preserve"> 联系人： 郭先生</w:t>
      </w:r>
    </w:p>
    <w:p>
      <w:pPr>
        <w:pStyle w:val="4"/>
      </w:pPr>
      <w:r>
        <w:t xml:space="preserve"> 联系电话： 15711050344</w:t>
      </w:r>
    </w:p>
    <w:p>
      <w:pPr>
        <w:pStyle w:val="4"/>
        <w:ind w:firstLine="480"/>
      </w:pPr>
      <w:r>
        <w:t>1.8.2代理机构：</w:t>
      </w:r>
    </w:p>
    <w:p>
      <w:pPr>
        <w:pStyle w:val="4"/>
      </w:pPr>
      <w:r>
        <w:t>中国人民银行集中采购中心</w:t>
      </w:r>
    </w:p>
    <w:p>
      <w:pPr>
        <w:pStyle w:val="4"/>
      </w:pPr>
      <w:r>
        <w:t xml:space="preserve"> 地址： 北京市西城区成方街32号</w:t>
      </w:r>
    </w:p>
    <w:p>
      <w:pPr>
        <w:pStyle w:val="4"/>
      </w:pPr>
      <w:r>
        <w:t xml:space="preserve"> 邮编： 100032</w:t>
      </w:r>
    </w:p>
    <w:p>
      <w:pPr>
        <w:pStyle w:val="4"/>
      </w:pPr>
      <w:r>
        <w:t xml:space="preserve"> 联系人（文件发放、开标前咨询）： 郭先生</w:t>
      </w:r>
    </w:p>
    <w:p>
      <w:pPr>
        <w:pStyle w:val="4"/>
      </w:pPr>
      <w:r>
        <w:t xml:space="preserve"> 联系电话（文件发放、开标前咨询）： 010-66195911</w:t>
      </w:r>
    </w:p>
    <w:p>
      <w:pPr>
        <w:pStyle w:val="4"/>
      </w:pPr>
      <w:r>
        <w:t xml:space="preserve"> 联系人（开、评标咨询）： 赵女士</w:t>
      </w:r>
    </w:p>
    <w:p>
      <w:pPr>
        <w:pStyle w:val="4"/>
      </w:pPr>
      <w:r>
        <w:t xml:space="preserve"> 联系电话（开、评标咨询）： 010-66195465</w:t>
      </w:r>
    </w:p>
    <w:p>
      <w:pPr>
        <w:pStyle w:val="4"/>
      </w:pPr>
      <w:r>
        <w:t xml:space="preserve"> </w:t>
      </w:r>
    </w:p>
    <w:p>
      <w:pPr>
        <w:pStyle w:val="4"/>
        <w:jc w:val="center"/>
        <w:outlineLvl w:val="1"/>
      </w:pPr>
      <w:r>
        <w:rPr>
          <w:b/>
          <w:sz w:val="36"/>
        </w:rPr>
        <w:t>第二章 供应商须知 供应商须知附表</w:t>
      </w:r>
    </w:p>
    <w:p>
      <w:pPr>
        <w:pStyle w:val="4"/>
        <w:jc w:val="left"/>
        <w:outlineLvl w:val="2"/>
      </w:pPr>
      <w:r>
        <w:rPr>
          <w:b/>
          <w:sz w:val="28"/>
        </w:rPr>
        <w:t>2.1 供应商须知附表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2"/>
        <w:gridCol w:w="1923"/>
        <w:gridCol w:w="578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序号</w:t>
            </w:r>
          </w:p>
        </w:tc>
        <w:tc>
          <w:tcPr>
            <w:tcW w:w="1923" w:type="dxa"/>
          </w:tcPr>
          <w:p>
            <w:pPr>
              <w:pStyle w:val="4"/>
            </w:pPr>
            <w:r>
              <w:t>应知事项</w:t>
            </w:r>
          </w:p>
        </w:tc>
        <w:tc>
          <w:tcPr>
            <w:tcW w:w="5781" w:type="dxa"/>
          </w:tcPr>
          <w:p>
            <w:pPr>
              <w:pStyle w:val="4"/>
            </w:pPr>
            <w:r>
              <w:t>说明和要求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w:t>
            </w:r>
          </w:p>
        </w:tc>
        <w:tc>
          <w:tcPr>
            <w:tcW w:w="1923" w:type="dxa"/>
          </w:tcPr>
          <w:p>
            <w:pPr>
              <w:pStyle w:val="4"/>
            </w:pPr>
            <w:r>
              <w:t>响应文件制作、提交与补充、修改、撤回</w:t>
            </w:r>
          </w:p>
        </w:tc>
        <w:tc>
          <w:tcPr>
            <w:tcW w:w="5781" w:type="dxa"/>
          </w:tcPr>
          <w:p>
            <w:pPr>
              <w:pStyle w:val="4"/>
            </w:pPr>
            <w:r>
              <w:t>详见“2.4.9 响应文件的制作、签章和加密”、“2.4.10 响应文件的提交”、“2.4.11 响应文件的补充、修改、撤回”。</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2</w:t>
            </w:r>
          </w:p>
        </w:tc>
        <w:tc>
          <w:tcPr>
            <w:tcW w:w="1923" w:type="dxa"/>
          </w:tcPr>
          <w:p>
            <w:pPr>
              <w:pStyle w:val="4"/>
            </w:pPr>
            <w:r>
              <w:t>协商保证金</w:t>
            </w:r>
          </w:p>
        </w:tc>
        <w:tc>
          <w:tcPr>
            <w:tcW w:w="5781" w:type="dxa"/>
          </w:tcPr>
          <w:p>
            <w:pPr>
              <w:pStyle w:val="4"/>
            </w:pPr>
            <w:r>
              <w:t>本项目不收取协商保证金。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3</w:t>
            </w:r>
          </w:p>
        </w:tc>
        <w:tc>
          <w:tcPr>
            <w:tcW w:w="1923" w:type="dxa"/>
          </w:tcPr>
          <w:p>
            <w:pPr>
              <w:pStyle w:val="4"/>
            </w:pPr>
            <w:r>
              <w:t>采购响应文件有效期</w:t>
            </w:r>
          </w:p>
        </w:tc>
        <w:tc>
          <w:tcPr>
            <w:tcW w:w="5781" w:type="dxa"/>
          </w:tcPr>
          <w:p>
            <w:pPr>
              <w:pStyle w:val="4"/>
            </w:pPr>
            <w:r>
              <w:t>协商后90天。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4</w:t>
            </w:r>
          </w:p>
        </w:tc>
        <w:tc>
          <w:tcPr>
            <w:tcW w:w="1923" w:type="dxa"/>
          </w:tcPr>
          <w:p>
            <w:pPr>
              <w:pStyle w:val="4"/>
            </w:pPr>
            <w:r>
              <w:t>协商小组人数</w:t>
            </w:r>
          </w:p>
        </w:tc>
        <w:tc>
          <w:tcPr>
            <w:tcW w:w="5781" w:type="dxa"/>
          </w:tcPr>
          <w:p>
            <w:pPr>
              <w:pStyle w:val="4"/>
            </w:pPr>
            <w:r>
              <w:t>共3人，其中评审专家2人，采购人代表1人。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5</w:t>
            </w:r>
          </w:p>
        </w:tc>
        <w:tc>
          <w:tcPr>
            <w:tcW w:w="1923" w:type="dxa"/>
          </w:tcPr>
          <w:p>
            <w:pPr>
              <w:pStyle w:val="4"/>
            </w:pPr>
            <w:r>
              <w:t>评审方法</w:t>
            </w:r>
          </w:p>
        </w:tc>
        <w:tc>
          <w:tcPr>
            <w:tcW w:w="5781" w:type="dxa"/>
          </w:tcPr>
          <w:p>
            <w:pPr>
              <w:pStyle w:val="4"/>
            </w:pPr>
            <w:r>
              <w:t>按政府采购相关制度执行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6</w:t>
            </w:r>
          </w:p>
        </w:tc>
        <w:tc>
          <w:tcPr>
            <w:tcW w:w="1923" w:type="dxa"/>
          </w:tcPr>
          <w:p>
            <w:pPr>
              <w:pStyle w:val="4"/>
            </w:pPr>
            <w:r>
              <w:t>是否接受联合体</w:t>
            </w:r>
          </w:p>
        </w:tc>
        <w:tc>
          <w:tcPr>
            <w:tcW w:w="5781" w:type="dxa"/>
          </w:tcPr>
          <w:p>
            <w:pPr>
              <w:pStyle w:val="4"/>
            </w:pPr>
            <w:r>
              <w:t>不接受</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7</w:t>
            </w:r>
          </w:p>
        </w:tc>
        <w:tc>
          <w:tcPr>
            <w:tcW w:w="1923" w:type="dxa"/>
          </w:tcPr>
          <w:p>
            <w:pPr>
              <w:pStyle w:val="4"/>
            </w:pPr>
            <w:r>
              <w:t>是否允许合同分包</w:t>
            </w:r>
          </w:p>
        </w:tc>
        <w:tc>
          <w:tcPr>
            <w:tcW w:w="5781" w:type="dxa"/>
          </w:tcPr>
          <w:p>
            <w:pPr>
              <w:pStyle w:val="4"/>
            </w:pPr>
            <w:r>
              <w:t>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8</w:t>
            </w:r>
          </w:p>
        </w:tc>
        <w:tc>
          <w:tcPr>
            <w:tcW w:w="1923" w:type="dxa"/>
          </w:tcPr>
          <w:p>
            <w:pPr>
              <w:pStyle w:val="4"/>
            </w:pPr>
            <w:r>
              <w:t>确认成交方式</w:t>
            </w:r>
          </w:p>
        </w:tc>
        <w:tc>
          <w:tcPr>
            <w:tcW w:w="5781" w:type="dxa"/>
          </w:tcPr>
          <w:p>
            <w:pPr>
              <w:pStyle w:val="4"/>
            </w:pPr>
            <w:r>
              <w:t>采购人授权协商小组按照评审原则直接确定成交供应商。</w:t>
            </w:r>
          </w:p>
          <w:p>
            <w:pPr>
              <w:pStyle w:val="4"/>
            </w:pPr>
            <w:r>
              <w:t>无</w:t>
            </w:r>
          </w:p>
          <w:p>
            <w:pPr>
              <w:pStyle w:val="4"/>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9</w:t>
            </w:r>
          </w:p>
        </w:tc>
        <w:tc>
          <w:tcPr>
            <w:tcW w:w="1923" w:type="dxa"/>
          </w:tcPr>
          <w:p>
            <w:pPr>
              <w:pStyle w:val="4"/>
            </w:pPr>
            <w:r>
              <w:t>信息公示渠道</w:t>
            </w:r>
          </w:p>
        </w:tc>
        <w:tc>
          <w:tcPr>
            <w:tcW w:w="5781" w:type="dxa"/>
          </w:tcPr>
          <w:p>
            <w:pPr>
              <w:pStyle w:val="4"/>
            </w:pPr>
            <w:r>
              <w:t>中国人民银行集中采购中心互联网采购交易系统、中国政府采购网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10</w:t>
            </w:r>
          </w:p>
        </w:tc>
        <w:tc>
          <w:tcPr>
            <w:tcW w:w="1923" w:type="dxa"/>
          </w:tcPr>
          <w:p>
            <w:pPr>
              <w:pStyle w:val="4"/>
            </w:pPr>
            <w:r>
              <w:t>成交通知书领取</w:t>
            </w:r>
          </w:p>
        </w:tc>
        <w:tc>
          <w:tcPr>
            <w:tcW w:w="5781" w:type="dxa"/>
          </w:tcPr>
          <w:p>
            <w:pPr>
              <w:pStyle w:val="4"/>
            </w:pPr>
            <w:r>
              <w:t>采购结果公告后，采购人或代理机构通过项目电子化交易系统向成交供应商发出成交通知书；成交供应商通过项目电子化交易系统获取成交通知书。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11</w:t>
            </w:r>
          </w:p>
        </w:tc>
        <w:tc>
          <w:tcPr>
            <w:tcW w:w="1923" w:type="dxa"/>
          </w:tcPr>
          <w:p>
            <w:pPr>
              <w:pStyle w:val="4"/>
            </w:pPr>
            <w:r>
              <w:t>是否为“一签三年”项目</w:t>
            </w:r>
          </w:p>
        </w:tc>
        <w:tc>
          <w:tcPr>
            <w:tcW w:w="5781" w:type="dxa"/>
          </w:tcPr>
          <w:p>
            <w:pPr>
              <w:pStyle w:val="4"/>
            </w:pPr>
            <w:r>
              <w:t>本次为一签三年项目，采购期限为三年，每年分别签订采购合同，第2年、第3年采购金额按每一年度内提供的服务计算。</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12</w:t>
            </w:r>
          </w:p>
        </w:tc>
        <w:tc>
          <w:tcPr>
            <w:tcW w:w="1923" w:type="dxa"/>
          </w:tcPr>
          <w:p>
            <w:pPr>
              <w:pStyle w:val="4"/>
            </w:pPr>
            <w:r>
              <w:t>履约保证金</w:t>
            </w:r>
          </w:p>
        </w:tc>
        <w:tc>
          <w:tcPr>
            <w:tcW w:w="5781" w:type="dxa"/>
          </w:tcPr>
          <w:p>
            <w:pPr>
              <w:pStyle w:val="4"/>
            </w:pPr>
            <w: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13</w:t>
            </w:r>
          </w:p>
        </w:tc>
        <w:tc>
          <w:tcPr>
            <w:tcW w:w="1923" w:type="dxa"/>
          </w:tcPr>
          <w:p>
            <w:pPr>
              <w:pStyle w:val="4"/>
            </w:pPr>
            <w:r>
              <w:t>供应商质疑</w:t>
            </w:r>
          </w:p>
        </w:tc>
        <w:tc>
          <w:tcPr>
            <w:tcW w:w="5781" w:type="dxa"/>
          </w:tcPr>
          <w:p>
            <w:pPr>
              <w:pStyle w:val="4"/>
            </w:pPr>
            <w:r>
              <w:t>供应商在法定质疑期内一次性提出针对同一采购程序环节的质疑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14</w:t>
            </w:r>
          </w:p>
        </w:tc>
        <w:tc>
          <w:tcPr>
            <w:tcW w:w="1923" w:type="dxa"/>
          </w:tcPr>
          <w:p>
            <w:pPr>
              <w:pStyle w:val="4"/>
            </w:pPr>
            <w:r>
              <w:t>特殊情况</w:t>
            </w:r>
          </w:p>
        </w:tc>
        <w:tc>
          <w:tcPr>
            <w:tcW w:w="5781" w:type="dxa"/>
          </w:tcPr>
          <w:p>
            <w:pPr>
              <w:pStyle w:val="4"/>
            </w:pPr>
            <w:r>
              <w:t>出现下列情形之一的，采购人或者代理机构根据实际情况启用纸质协商文件开展：</w:t>
            </w:r>
          </w:p>
          <w:p>
            <w:pPr>
              <w:pStyle w:val="4"/>
            </w:pPr>
            <w:r>
              <w:t>交易系统发生故障（包括感染病毒、应用或数据库出错）而无法正常使用的；如启用纸质响应文件，则以纸质响应文件为准。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2" w:type="dxa"/>
          </w:tcPr>
          <w:p>
            <w:pPr>
              <w:pStyle w:val="4"/>
            </w:pPr>
            <w:r>
              <w:t>15</w:t>
            </w:r>
          </w:p>
        </w:tc>
        <w:tc>
          <w:tcPr>
            <w:tcW w:w="1923" w:type="dxa"/>
          </w:tcPr>
          <w:p>
            <w:pPr>
              <w:pStyle w:val="4"/>
            </w:pPr>
            <w:r>
              <w:t>报价/分值精确度</w:t>
            </w:r>
          </w:p>
        </w:tc>
        <w:tc>
          <w:tcPr>
            <w:tcW w:w="5781" w:type="dxa"/>
          </w:tcPr>
          <w:p>
            <w:pPr>
              <w:pStyle w:val="4"/>
            </w:pPr>
            <w:r>
              <w:t>报价/分值精确度仅保留“所有数据项默认最多可输入/展示至小数点后2位，超出小数点位的数值采用四舍五入的方式进行精确。”</w:t>
            </w:r>
          </w:p>
        </w:tc>
      </w:tr>
    </w:tbl>
    <w:p>
      <w:pPr>
        <w:pStyle w:val="4"/>
        <w:jc w:val="left"/>
        <w:outlineLvl w:val="2"/>
      </w:pPr>
      <w:r>
        <w:rPr>
          <w:b/>
          <w:sz w:val="28"/>
        </w:rPr>
        <w:t>2.2 总则</w:t>
      </w:r>
    </w:p>
    <w:p>
      <w:pPr>
        <w:pStyle w:val="4"/>
        <w:jc w:val="left"/>
        <w:outlineLvl w:val="3"/>
      </w:pPr>
      <w:r>
        <w:rPr>
          <w:b/>
          <w:sz w:val="24"/>
        </w:rPr>
        <w:t>2.2.1适用范围</w:t>
      </w:r>
    </w:p>
    <w:p>
      <w:pPr>
        <w:pStyle w:val="4"/>
        <w:ind w:firstLine="480"/>
        <w:jc w:val="both"/>
      </w:pPr>
      <w:r>
        <w:t>一、本采购文件仅适用于本次单一来源采购项目。</w:t>
      </w:r>
    </w:p>
    <w:p>
      <w:pPr>
        <w:pStyle w:val="4"/>
        <w:ind w:firstLine="480"/>
        <w:jc w:val="both"/>
      </w:pPr>
      <w:r>
        <w:t>二、本采购文件的解释权属于采购代理机构。</w:t>
      </w:r>
    </w:p>
    <w:p>
      <w:pPr>
        <w:pStyle w:val="4"/>
        <w:jc w:val="left"/>
        <w:outlineLvl w:val="3"/>
      </w:pPr>
      <w:r>
        <w:rPr>
          <w:b/>
          <w:sz w:val="24"/>
        </w:rPr>
        <w:t>2.2.2有关定义</w:t>
      </w:r>
    </w:p>
    <w:p>
      <w:pPr>
        <w:pStyle w:val="4"/>
        <w:ind w:firstLine="480"/>
        <w:jc w:val="both"/>
      </w:pPr>
      <w:r>
        <w:t>一、“供应商”是指按照采购文件规定获取采购文件，拟参加响应和向采购人提供货物或服务的法人、其他组织或自然人。</w:t>
      </w:r>
    </w:p>
    <w:p>
      <w:pPr>
        <w:pStyle w:val="4"/>
        <w:ind w:firstLine="480"/>
        <w:jc w:val="both"/>
      </w:pPr>
      <w:r>
        <w:t>二、“现场线上开启”是指代理机构通过项目电子化交易系统在线完成开启响应文件活动，供应商到达邀请书规定的开启地点，登陆项目电子化交易系统，在线完成响应文件解密。</w:t>
      </w:r>
    </w:p>
    <w:p>
      <w:pPr>
        <w:pStyle w:val="4"/>
        <w:ind w:firstLine="480"/>
        <w:jc w:val="both"/>
      </w:pPr>
      <w:r>
        <w:t>三、“电子协商”是指通过项目电子化交易系统在线完成协商小组组建，开展供应商审查、协商、出具协商报告、推荐成交候选供应商等活动。</w:t>
      </w:r>
    </w:p>
    <w:p>
      <w:pPr>
        <w:pStyle w:val="4"/>
        <w:jc w:val="left"/>
        <w:outlineLvl w:val="3"/>
      </w:pPr>
      <w:r>
        <w:rPr>
          <w:b/>
          <w:sz w:val="24"/>
        </w:rPr>
        <w:t>2.2.3协商费用</w:t>
      </w:r>
    </w:p>
    <w:p>
      <w:pPr>
        <w:pStyle w:val="4"/>
        <w:ind w:firstLine="480"/>
      </w:pPr>
      <w:r>
        <w:t>供应商应自行承担参加本次投标所涉及的一切费用。</w:t>
      </w:r>
    </w:p>
    <w:p>
      <w:pPr>
        <w:pStyle w:val="4"/>
        <w:jc w:val="left"/>
        <w:outlineLvl w:val="2"/>
      </w:pPr>
      <w:r>
        <w:rPr>
          <w:b/>
          <w:sz w:val="28"/>
        </w:rPr>
        <w:t>2.3 采购文件</w:t>
      </w:r>
    </w:p>
    <w:p>
      <w:pPr>
        <w:pStyle w:val="4"/>
        <w:jc w:val="left"/>
        <w:outlineLvl w:val="3"/>
      </w:pPr>
      <w:r>
        <w:rPr>
          <w:b/>
          <w:sz w:val="24"/>
        </w:rPr>
        <w:t>2.3.1采购文件的构成</w:t>
      </w:r>
    </w:p>
    <w:p>
      <w:pPr>
        <w:pStyle w:val="4"/>
        <w:ind w:firstLine="480"/>
        <w:jc w:val="both"/>
      </w:pPr>
      <w:r>
        <w:t>一、采购文件是供应商准备响应文件和参加响应的依据，同时也是协商的重要依据。采购文件用以阐明协商项目所需的资质、技术、服务及报价等要求、协商程序、有关规定和注意事项以及合同草案条款等。本采购文件包括以下内容：</w:t>
      </w:r>
    </w:p>
    <w:p>
      <w:pPr>
        <w:pStyle w:val="4"/>
        <w:ind w:firstLine="480"/>
      </w:pPr>
      <w:r>
        <w:t>（一）协商邀请</w:t>
      </w:r>
    </w:p>
    <w:p>
      <w:pPr>
        <w:pStyle w:val="4"/>
        <w:ind w:firstLine="480"/>
      </w:pPr>
      <w:r>
        <w:t>（二）供应商须知</w:t>
      </w:r>
    </w:p>
    <w:p>
      <w:pPr>
        <w:pStyle w:val="4"/>
        <w:ind w:firstLine="480"/>
      </w:pPr>
      <w:r>
        <w:t>（三）采购项目技术、服务、商务及其他要求</w:t>
      </w:r>
    </w:p>
    <w:p>
      <w:pPr>
        <w:pStyle w:val="4"/>
        <w:ind w:firstLine="480"/>
      </w:pPr>
      <w:r>
        <w:t>（四）协商办法</w:t>
      </w:r>
    </w:p>
    <w:p>
      <w:pPr>
        <w:pStyle w:val="4"/>
        <w:ind w:firstLine="480"/>
      </w:pPr>
      <w:r>
        <w:t>（五）响应文件格式</w:t>
      </w:r>
    </w:p>
    <w:p>
      <w:pPr>
        <w:pStyle w:val="4"/>
        <w:ind w:firstLine="480"/>
      </w:pPr>
      <w:r>
        <w:t>（六）拟签订采购的合同文本</w:t>
      </w:r>
    </w:p>
    <w:p>
      <w:pPr>
        <w:pStyle w:val="4"/>
        <w:ind w:firstLine="480"/>
        <w:jc w:val="left"/>
      </w:pPr>
      <w:r>
        <w:t>（七）附则</w:t>
      </w:r>
    </w:p>
    <w:p>
      <w:pPr>
        <w:pStyle w:val="4"/>
        <w:ind w:firstLine="480"/>
        <w:jc w:val="both"/>
      </w:pPr>
      <w:r>
        <w:t>二、供应商应认真阅读和充分理解采购文件中所有的事项、格式条款和规范要求。供应商没有对采购文件全面作出实质性响应所产生的风险由供应商承担。</w:t>
      </w:r>
    </w:p>
    <w:p>
      <w:pPr>
        <w:pStyle w:val="4"/>
        <w:jc w:val="left"/>
        <w:outlineLvl w:val="3"/>
      </w:pPr>
      <w:r>
        <w:rPr>
          <w:b/>
          <w:sz w:val="24"/>
        </w:rPr>
        <w:t>2.3.2采购文件的澄清和修改</w:t>
      </w:r>
    </w:p>
    <w:p>
      <w:pPr>
        <w:pStyle w:val="4"/>
        <w:ind w:firstLine="480"/>
        <w:jc w:val="both"/>
      </w:pPr>
      <w:r>
        <w:t>一、供应商要求澄清采购文件的，请于澄清截止期限前由参加报名的供应商持法人代表授权书，向采购代理机构正式提出（加盖单位公章的书面文件）。采购代理机构将予以答复，逾期提交的不予受理。</w:t>
      </w:r>
    </w:p>
    <w:p>
      <w:pPr>
        <w:pStyle w:val="4"/>
        <w:ind w:firstLine="480"/>
        <w:jc w:val="both"/>
      </w:pPr>
      <w:r>
        <w:t>二、在响应文件提交截止时间前，采购人或者代理机构可以对已发出的采购文件进行必要的澄清或者修改。澄清或者修改的内容为采购文件的组成部分，对采购代理机构和供应商都具有约束力。</w:t>
      </w:r>
    </w:p>
    <w:p>
      <w:pPr>
        <w:pStyle w:val="4"/>
        <w:ind w:firstLine="480"/>
        <w:jc w:val="both"/>
      </w:pPr>
      <w:r>
        <w:t>三、澄清或者修改的内容可能影响响应文件编制的，采购人或者代理机构将通过项目电子化交易系统发布更正后的采购文件，采购人或者代理机构应将澄清或者修改的内容告知所在系统中成功获取采购文件的潜在供应商。供应商应依据更正后的采购文件编制响应文件。若供应商未按前述要求进行响应的，自行承担不利后果。</w:t>
      </w:r>
    </w:p>
    <w:p>
      <w:pPr>
        <w:pStyle w:val="4"/>
        <w:jc w:val="left"/>
        <w:outlineLvl w:val="2"/>
      </w:pPr>
      <w:r>
        <w:rPr>
          <w:b/>
          <w:sz w:val="28"/>
        </w:rPr>
        <w:t>2.4 响应文件</w:t>
      </w:r>
    </w:p>
    <w:p>
      <w:pPr>
        <w:pStyle w:val="4"/>
        <w:jc w:val="left"/>
        <w:outlineLvl w:val="3"/>
      </w:pPr>
      <w:r>
        <w:rPr>
          <w:b/>
          <w:sz w:val="24"/>
        </w:rPr>
        <w:t>2.4.1响应文件的语言</w:t>
      </w:r>
    </w:p>
    <w:p>
      <w:pPr>
        <w:pStyle w:val="4"/>
        <w:ind w:firstLine="480"/>
        <w:jc w:val="both"/>
      </w:pPr>
      <w:r>
        <w:t>供应商提交的响应文件以及供应商与协商小组在协商过程中的所有来往书面文件均须使用简体中文。</w:t>
      </w:r>
    </w:p>
    <w:p>
      <w:pPr>
        <w:pStyle w:val="4"/>
        <w:jc w:val="left"/>
        <w:outlineLvl w:val="3"/>
      </w:pPr>
      <w:r>
        <w:rPr>
          <w:b/>
          <w:sz w:val="24"/>
        </w:rPr>
        <w:t>2.4.2计量单位</w:t>
      </w:r>
    </w:p>
    <w:p>
      <w:pPr>
        <w:pStyle w:val="4"/>
        <w:ind w:firstLine="480"/>
        <w:jc w:val="both"/>
      </w:pPr>
      <w:r>
        <w:t>除采购文件另有规定外，采购响应文件的计量单位应使用中华人民共和国法定计量单位。</w:t>
      </w:r>
    </w:p>
    <w:p>
      <w:pPr>
        <w:pStyle w:val="4"/>
        <w:jc w:val="left"/>
        <w:outlineLvl w:val="3"/>
      </w:pPr>
      <w:r>
        <w:rPr>
          <w:b/>
          <w:sz w:val="24"/>
        </w:rPr>
        <w:t>2.4.3响应货币</w:t>
      </w:r>
    </w:p>
    <w:p>
      <w:pPr>
        <w:pStyle w:val="4"/>
        <w:ind w:firstLine="480"/>
        <w:jc w:val="both"/>
      </w:pPr>
      <w:r>
        <w:t>本次项目总价和单价均以人民币报价。</w:t>
      </w:r>
    </w:p>
    <w:p>
      <w:pPr>
        <w:pStyle w:val="4"/>
        <w:jc w:val="left"/>
        <w:outlineLvl w:val="3"/>
      </w:pPr>
      <w:r>
        <w:rPr>
          <w:b/>
          <w:sz w:val="24"/>
        </w:rPr>
        <w:t>2.4.4知识产权</w:t>
      </w:r>
    </w:p>
    <w:p>
      <w:pPr>
        <w:pStyle w:val="4"/>
        <w:ind w:firstLine="480"/>
        <w:jc w:val="both"/>
      </w:pPr>
      <w:r>
        <w:t>一、供应商应保证在本项目中使用的任何技术、产品和服务（包括部分使用），不会产生因第三方提出侵犯其专利权、商标权或其它知识产权而引起的法律和经济纠纷，如存在前述情形，由供应商承担所有相关责任。采购人享有本项目实施过程中产生的知识成果及知识产权。</w:t>
      </w:r>
    </w:p>
    <w:p>
      <w:pPr>
        <w:pStyle w:val="4"/>
        <w:ind w:firstLine="480"/>
        <w:jc w:val="both"/>
      </w:pPr>
      <w:r>
        <w:t>二、如采用供应商所不拥有的知识产权，则在报价中必须包括合法使用该知识产权的相关费用。</w:t>
      </w:r>
    </w:p>
    <w:p>
      <w:pPr>
        <w:pStyle w:val="4"/>
        <w:jc w:val="left"/>
        <w:outlineLvl w:val="3"/>
      </w:pPr>
      <w:r>
        <w:rPr>
          <w:b/>
          <w:sz w:val="24"/>
        </w:rPr>
        <w:t>2.4.5响应文件的组成</w:t>
      </w:r>
    </w:p>
    <w:p>
      <w:pPr>
        <w:pStyle w:val="4"/>
        <w:ind w:firstLine="480"/>
      </w:pPr>
      <w:r>
        <w:t>一、供应商应按照采购文件的规定和要求编制响应文件。</w:t>
      </w:r>
    </w:p>
    <w:p>
      <w:pPr>
        <w:pStyle w:val="4"/>
        <w:ind w:firstLine="480"/>
        <w:jc w:val="both"/>
      </w:pPr>
      <w:r>
        <w:t>二、响应文件具体内容详见第五章。</w:t>
      </w:r>
    </w:p>
    <w:p>
      <w:pPr>
        <w:pStyle w:val="4"/>
        <w:jc w:val="left"/>
        <w:outlineLvl w:val="3"/>
      </w:pPr>
      <w:r>
        <w:rPr>
          <w:b/>
          <w:sz w:val="24"/>
        </w:rPr>
        <w:t>2.4.6响应文件格式</w:t>
      </w:r>
    </w:p>
    <w:p>
      <w:pPr>
        <w:pStyle w:val="4"/>
        <w:ind w:firstLine="480"/>
      </w:pPr>
      <w:r>
        <w:t>一、供应商应按照采购文件第五章中提供的“响应文件格式”填写相关内容。采购文件格式中签字、盖章等具体要求的，从其要求后，扫描成电子版，再纳入响应文件。</w:t>
      </w:r>
    </w:p>
    <w:p>
      <w:pPr>
        <w:pStyle w:val="4"/>
        <w:ind w:firstLine="480"/>
      </w:pPr>
      <w:r>
        <w:t>二、对于没有格式要求的响应文件由供应商自行编写。</w:t>
      </w:r>
    </w:p>
    <w:p>
      <w:pPr>
        <w:pStyle w:val="4"/>
        <w:jc w:val="left"/>
        <w:outlineLvl w:val="3"/>
      </w:pPr>
      <w:r>
        <w:rPr>
          <w:b/>
          <w:sz w:val="24"/>
        </w:rPr>
        <w:t>2.4.7响应报价</w:t>
      </w:r>
    </w:p>
    <w:p>
      <w:pPr>
        <w:pStyle w:val="4"/>
        <w:ind w:firstLine="480"/>
      </w:pPr>
      <w:r>
        <w:t>一、供应商按协商小组的要求在项目电子化交易系统中提供最终报价，最终报价应是响应采购项目要求的全部工作内容的价格体现，包括供应商完成本项目所需的一切费用。</w:t>
      </w:r>
    </w:p>
    <w:p>
      <w:pPr>
        <w:pStyle w:val="4"/>
        <w:ind w:firstLine="480"/>
      </w:pPr>
      <w:r>
        <w:t>二、供应商必须在“协商分项报价表”中报出拟提供服务的分项单价。对采购文件要求提供的服务，而供应商未提供分项报价的，视为已包含进合同总金额中</w:t>
      </w:r>
    </w:p>
    <w:p>
      <w:pPr>
        <w:pStyle w:val="4"/>
        <w:ind w:firstLine="480"/>
      </w:pPr>
      <w:r>
        <w:t>三、采购人不接受供应商提供的选择性报价、赠送，每种货物或服务只允许有一个报价。否则，在协商时将其视为无效响应。</w:t>
      </w:r>
    </w:p>
    <w:p>
      <w:pPr>
        <w:pStyle w:val="4"/>
        <w:ind w:firstLine="480"/>
      </w:pPr>
      <w:r>
        <w:t>四、在协商过程中，供应商可以修改其报价。供应商按协商程序规定提交最终报价后，此最终报价不得变动。</w:t>
      </w:r>
    </w:p>
    <w:p>
      <w:pPr>
        <w:pStyle w:val="4"/>
        <w:jc w:val="left"/>
        <w:outlineLvl w:val="3"/>
      </w:pPr>
      <w:r>
        <w:rPr>
          <w:b/>
          <w:sz w:val="24"/>
        </w:rPr>
        <w:t>2.4.8响应文件有效期</w:t>
      </w:r>
    </w:p>
    <w:p>
      <w:pPr>
        <w:pStyle w:val="4"/>
        <w:ind w:firstLine="480"/>
      </w:pPr>
      <w:r>
        <w:t>响应有效期详见第二章“供应商须知前附表”，响应文件未明确响应有效期或者响应有效期小于“供应商须知前附表”中响应有效期要求的，其响应文件按无效处理。</w:t>
      </w:r>
    </w:p>
    <w:p>
      <w:pPr>
        <w:pStyle w:val="4"/>
        <w:jc w:val="left"/>
        <w:outlineLvl w:val="3"/>
      </w:pPr>
      <w:r>
        <w:rPr>
          <w:b/>
          <w:sz w:val="24"/>
        </w:rPr>
        <w:t>2.4.9响应文件的制作、签章和加密</w:t>
      </w:r>
    </w:p>
    <w:p>
      <w:pPr>
        <w:pStyle w:val="4"/>
        <w:ind w:firstLine="480"/>
        <w:jc w:val="both"/>
      </w:pPr>
      <w:r>
        <w:t>一、电子响应文件的编制、签章和加密</w:t>
      </w:r>
    </w:p>
    <w:p>
      <w:pPr>
        <w:pStyle w:val="4"/>
        <w:ind w:firstLine="480"/>
        <w:jc w:val="both"/>
      </w:pPr>
      <w:r>
        <w:t>（一）编制。响应文件应当根据采购文件的规定进行编制。供应商应登陆项目电子化交易系统后，进入“项目交易”-“附件资料”下载投标（响应）客户端，按照客户端操作要求，编制响应文件。</w:t>
      </w:r>
    </w:p>
    <w:p>
      <w:pPr>
        <w:pStyle w:val="4"/>
        <w:ind w:firstLine="480"/>
        <w:jc w:val="both"/>
      </w:pPr>
      <w:r>
        <w:t>（二）签章。供应商完成响应文件编制后，应按照采购文件第一章明确的签章要求，使用供应商（法定名称）电子签章对响应文件进行签章。</w:t>
      </w:r>
    </w:p>
    <w:p>
      <w:pPr>
        <w:pStyle w:val="4"/>
        <w:ind w:firstLine="480"/>
        <w:jc w:val="both"/>
      </w:pPr>
      <w:r>
        <w:t>供应商采用联合体方式响应的，电子响应文件均需加盖供应商联合体各自单位（法定名称）电子签章。</w:t>
      </w:r>
    </w:p>
    <w:p>
      <w:pPr>
        <w:pStyle w:val="4"/>
        <w:ind w:firstLine="480"/>
        <w:jc w:val="both"/>
      </w:pPr>
      <w:r>
        <w:t>（三）加密。供应商完成响应文件签章后，使用供应商数字证书(CA）对响应文件进行加密。</w:t>
      </w:r>
    </w:p>
    <w:p>
      <w:pPr>
        <w:pStyle w:val="4"/>
        <w:ind w:firstLine="480"/>
        <w:jc w:val="both"/>
      </w:pPr>
      <w:r>
        <w:t>（四）响应文件编制工具会生成加密响应文件和密封的非加密电子响应文件。</w:t>
      </w:r>
    </w:p>
    <w:p>
      <w:pPr>
        <w:pStyle w:val="4"/>
        <w:ind w:firstLine="480"/>
        <w:jc w:val="both"/>
      </w:pPr>
      <w:r>
        <w:t>供应商须携带加密响应文件的数字证书（CA）和非加密电子响应文件参加协商会议。</w:t>
      </w:r>
    </w:p>
    <w:p>
      <w:pPr>
        <w:pStyle w:val="4"/>
        <w:ind w:firstLine="480"/>
        <w:jc w:val="both"/>
      </w:pPr>
      <w:r>
        <w:t>二、纸质响应文件</w:t>
      </w:r>
    </w:p>
    <w:p>
      <w:pPr>
        <w:pStyle w:val="4"/>
        <w:ind w:firstLine="480"/>
        <w:jc w:val="both"/>
      </w:pPr>
      <w:r>
        <w:t>（一）编制。供应商还应制作纸质响应文件1份。纸质响应文件不得行间插字、涂改或增删，如有修改，必须由供应商法人代表或经其正式授权代表签名或盖单位公章。</w:t>
      </w:r>
    </w:p>
    <w:p>
      <w:pPr>
        <w:pStyle w:val="4"/>
        <w:ind w:firstLine="480"/>
        <w:jc w:val="both"/>
      </w:pPr>
      <w:r>
        <w:t>纸质响应文件应与电子响应文件一致。因纸质响应文件与电子响应文件内容不一致而导致的不利后果由供应商承担。</w:t>
      </w:r>
    </w:p>
    <w:p>
      <w:pPr>
        <w:pStyle w:val="4"/>
        <w:ind w:firstLine="480"/>
        <w:jc w:val="both"/>
      </w:pPr>
      <w:r>
        <w:t>（二）签章。纸质响应文件应由供应商法人代表或经其正式授权代表逐页签名或逐页盖单位公章。正式授权代表签字的，响应文件中需附有“法人代表授权书”。</w:t>
      </w:r>
    </w:p>
    <w:p>
      <w:pPr>
        <w:pStyle w:val="4"/>
        <w:ind w:firstLine="480"/>
        <w:jc w:val="both"/>
      </w:pPr>
      <w:r>
        <w:t>供应商采用联合体方式响应的，纸质响应文件需加盖供应商联合体各自单位公章。</w:t>
      </w:r>
    </w:p>
    <w:p>
      <w:pPr>
        <w:pStyle w:val="4"/>
        <w:ind w:firstLine="480"/>
        <w:jc w:val="both"/>
      </w:pPr>
      <w:r>
        <w:t>纸质响应文件应由供应商法人代表或经其正式授权代表逐页签名或逐页盖单位公章。正式授权代表签字的，响应文件中需附有“法定代表人授权书”。</w:t>
      </w:r>
    </w:p>
    <w:p>
      <w:pPr>
        <w:pStyle w:val="4"/>
        <w:ind w:firstLine="480"/>
        <w:jc w:val="both"/>
      </w:pPr>
      <w:r>
        <w:t>纸质响应文件中的盖章、公章仅指与供应商名称全称相一致的标准单位公章，而非响应专用章等其他非公章。如使用响应专用章，须提供特别说明函，明确该响应专用章作为响应文件的签章其效力等同于单位公章（该特别说明函须同时加盖供应商单位公章和供应商响应专用章）。“法定代表人授权书、法定代表人和被授权人身份证明”必须按采购文件要求加盖与供应商名称全称相一致的标准单位公章。</w:t>
      </w:r>
    </w:p>
    <w:p>
      <w:pPr>
        <w:pStyle w:val="4"/>
        <w:ind w:firstLine="480"/>
        <w:jc w:val="left"/>
      </w:pPr>
      <w:r>
        <w:t>（三）纸质响应文件启用情形：</w:t>
      </w:r>
    </w:p>
    <w:p>
      <w:pPr>
        <w:pStyle w:val="4"/>
        <w:ind w:firstLine="480"/>
        <w:jc w:val="left"/>
      </w:pPr>
      <w:r>
        <w:t>当出现“供应商须知前附表”中“特殊情况”所述情形，采购人或采购代理机构根据实际情况启用纸质响应文件。</w:t>
      </w:r>
    </w:p>
    <w:p>
      <w:pPr>
        <w:pStyle w:val="4"/>
        <w:ind w:firstLine="480"/>
        <w:jc w:val="both"/>
      </w:pPr>
      <w:r>
        <w:t>三、非加密电子响应文件和纸质响应文件的密封</w:t>
      </w:r>
    </w:p>
    <w:p>
      <w:pPr>
        <w:pStyle w:val="4"/>
        <w:ind w:firstLine="480"/>
        <w:jc w:val="both"/>
      </w:pPr>
      <w:r>
        <w:t>1. 外层信封应：</w:t>
      </w:r>
    </w:p>
    <w:p>
      <w:pPr>
        <w:pStyle w:val="4"/>
        <w:ind w:firstLine="480"/>
        <w:jc w:val="both"/>
      </w:pPr>
      <w:r>
        <w:t>（1）写明项目名称、项目编号、供应商名称、地址和邮政编码，并于袋口密封处加盖公章。</w:t>
      </w:r>
    </w:p>
    <w:p>
      <w:pPr>
        <w:pStyle w:val="4"/>
        <w:ind w:firstLine="480"/>
        <w:jc w:val="both"/>
      </w:pPr>
      <w:r>
        <w:t>（2）注明 “请勿在202 年 月 日 时 00 分（开标协商时间）之前启封”的字样。</w:t>
      </w:r>
    </w:p>
    <w:p>
      <w:pPr>
        <w:pStyle w:val="4"/>
        <w:ind w:firstLine="480"/>
        <w:jc w:val="both"/>
      </w:pPr>
      <w:r>
        <w:t>2.外层包装没有按上述规定密封的纸质响应文件和非加密的电子版投标文件将会被拒绝。</w:t>
      </w:r>
    </w:p>
    <w:p>
      <w:pPr>
        <w:pStyle w:val="4"/>
        <w:ind w:firstLine="480"/>
        <w:jc w:val="both"/>
      </w:pPr>
      <w:r>
        <w:t>3.电报、电话、传真、邮件形式的纸质响应文件概不接受。</w:t>
      </w:r>
    </w:p>
    <w:p>
      <w:pPr>
        <w:pStyle w:val="4"/>
        <w:ind w:firstLine="480"/>
        <w:jc w:val="both"/>
      </w:pPr>
      <w:r>
        <w:t>未按照采购文件要求密封的，采购人、采购代理机构应当拒收。</w:t>
      </w:r>
    </w:p>
    <w:p>
      <w:pPr>
        <w:pStyle w:val="4"/>
        <w:ind w:firstLine="480"/>
        <w:jc w:val="left"/>
      </w:pPr>
      <w:r>
        <w:t>4.出现下列情况之一的采购响应文件按无效响应处理：</w:t>
      </w:r>
    </w:p>
    <w:p>
      <w:pPr>
        <w:pStyle w:val="4"/>
        <w:ind w:firstLine="480"/>
        <w:jc w:val="left"/>
      </w:pPr>
      <w:r>
        <w:t>供应商未能按采购文件要求提供采购响应文件纸质版和电子版（包括线上加密和现场递交的非加密电子版）；</w:t>
      </w:r>
    </w:p>
    <w:p>
      <w:pPr>
        <w:pStyle w:val="4"/>
        <w:ind w:firstLine="480"/>
        <w:jc w:val="left"/>
      </w:pPr>
      <w:r>
        <w:t>采购响应文件电子版未按要求加盖《关于供应商办理CA数字证书及电子签章的通知》中指定供应商签发的单位电子签章（如遇启用纸质采购响应文件时，纸质采购响应文件未按要求加盖公章）</w:t>
      </w:r>
    </w:p>
    <w:p>
      <w:pPr>
        <w:pStyle w:val="4"/>
        <w:jc w:val="left"/>
        <w:outlineLvl w:val="3"/>
      </w:pPr>
      <w:r>
        <w:rPr>
          <w:b/>
          <w:sz w:val="24"/>
        </w:rPr>
        <w:t>2.4.10响应文件的提交</w:t>
      </w:r>
    </w:p>
    <w:p>
      <w:pPr>
        <w:pStyle w:val="4"/>
        <w:ind w:firstLine="480"/>
        <w:jc w:val="both"/>
      </w:pPr>
      <w:r>
        <w:t>一、通过项目电子化交易系统上传提交</w:t>
      </w:r>
    </w:p>
    <w:p>
      <w:pPr>
        <w:pStyle w:val="4"/>
        <w:ind w:firstLine="480"/>
        <w:jc w:val="both"/>
      </w:pPr>
      <w:r>
        <w:t>供应商应当在首次响应截止时间前，通过项目电子化交易系统上传提交加密的电子响应文件1份。</w:t>
      </w:r>
    </w:p>
    <w:p>
      <w:pPr>
        <w:pStyle w:val="4"/>
        <w:ind w:firstLine="480"/>
        <w:jc w:val="both"/>
      </w:pPr>
      <w:r>
        <w:t>首次响应截止时间后，供应商未成功通过项目电子化交易系统上传提交已加密的电子响应文件的，将视为未提交响应文件，采购代理机构不再接收其他任何形式的响应文件，供应商已递交的其他任何形式的响应文件视为无效提交。</w:t>
      </w:r>
    </w:p>
    <w:p>
      <w:pPr>
        <w:pStyle w:val="4"/>
        <w:ind w:firstLine="480"/>
      </w:pPr>
      <w:r>
        <w:t>成功通过项目电子化交易系统上传提交电子加密响应文件是指在首次响应截止时间前，上传提交按照最终版本采购文件编制加密的响应文件，并获取相应的《投标（响应）文件签收回执单》。</w:t>
      </w:r>
    </w:p>
    <w:p>
      <w:pPr>
        <w:pStyle w:val="4"/>
        <w:ind w:firstLine="480"/>
      </w:pPr>
      <w:r>
        <w:t>二、现场递交</w:t>
      </w:r>
    </w:p>
    <w:p>
      <w:pPr>
        <w:pStyle w:val="4"/>
        <w:ind w:firstLine="480"/>
      </w:pPr>
      <w:r>
        <w:t>（一）供应商授权代表现场递交文件及参加协商时，应须另行单独递交法定代表人授权书（无需密封，含法定代表人、被授权人身份证复印件）。</w:t>
      </w:r>
    </w:p>
    <w:p>
      <w:pPr>
        <w:pStyle w:val="4"/>
        <w:ind w:firstLine="480"/>
      </w:pPr>
      <w:r>
        <w:t>供应商未递交法定代表人授权书、有效身份证复印件或法定代表人授权书未加盖单位公章的，其现场递交的响应文件将被拒绝。</w:t>
      </w:r>
    </w:p>
    <w:p>
      <w:pPr>
        <w:pStyle w:val="4"/>
        <w:ind w:firstLine="480"/>
        <w:jc w:val="both"/>
      </w:pPr>
      <w:r>
        <w:t>（二）现场递交响应文件</w:t>
      </w:r>
    </w:p>
    <w:p>
      <w:pPr>
        <w:pStyle w:val="4"/>
        <w:ind w:firstLine="480"/>
      </w:pPr>
      <w:r>
        <w:t>1.非加密电子响应文件：</w:t>
      </w:r>
    </w:p>
    <w:p>
      <w:pPr>
        <w:pStyle w:val="4"/>
        <w:ind w:firstLine="480"/>
        <w:jc w:val="both"/>
      </w:pPr>
      <w:r>
        <w:t>供应商成功通过项目电子化交易系统上传提交已加密的电子响应文件后，响应文件递交截止时间前，须现场递交密封的存有非加密电子响应文件的移动存储介质1份。非加密电子响应文件应与加密电子响应文件一致。</w:t>
      </w:r>
    </w:p>
    <w:p>
      <w:pPr>
        <w:pStyle w:val="4"/>
        <w:ind w:firstLine="480"/>
      </w:pPr>
      <w:r>
        <w:t>2.纸质响应文件：</w:t>
      </w:r>
    </w:p>
    <w:p>
      <w:pPr>
        <w:pStyle w:val="4"/>
        <w:ind w:firstLine="480"/>
        <w:jc w:val="both"/>
      </w:pPr>
      <w:r>
        <w:t>供应商成功通过项目电子化交易系统上传提交已加密的电子响应文件后，响应文件递交截止时间前，须现场递交密封的纸质响应文件1份。纸质响应文件应与电子响应文件一致。</w:t>
      </w:r>
    </w:p>
    <w:p>
      <w:pPr>
        <w:pStyle w:val="4"/>
        <w:jc w:val="left"/>
        <w:outlineLvl w:val="3"/>
      </w:pPr>
      <w:r>
        <w:rPr>
          <w:b/>
          <w:sz w:val="24"/>
        </w:rPr>
        <w:t>2.4.11响应文件的补充、修改、撤回</w:t>
      </w:r>
    </w:p>
    <w:p>
      <w:pPr>
        <w:pStyle w:val="4"/>
        <w:ind w:firstLine="480"/>
        <w:jc w:val="both"/>
      </w:pPr>
      <w:r>
        <w:t>首次提交响应文件截止时间前，供应商可以补充、修改或者撤回已成功通过项目电子化交易系统上传提交加密电子响应文件。</w:t>
      </w:r>
    </w:p>
    <w:p>
      <w:pPr>
        <w:pStyle w:val="4"/>
        <w:ind w:firstLine="480"/>
        <w:jc w:val="both"/>
      </w:pPr>
      <w:r>
        <w:t>对响应文件进行补充、修改的，应当先行撤回已上传提交的加密电子响应文件，通过投标（响应）文件编制工具进行补充、修改后，加盖电子签章和加密，重新通过项目电子化交易系统上传提交。</w:t>
      </w:r>
    </w:p>
    <w:p>
      <w:pPr>
        <w:pStyle w:val="4"/>
        <w:ind w:firstLine="480"/>
        <w:jc w:val="both"/>
      </w:pPr>
      <w:r>
        <w:t>供应商通过项目电子化交易系统撤回响应文件后，视为未提交过响应文件。</w:t>
      </w:r>
    </w:p>
    <w:p>
      <w:pPr>
        <w:pStyle w:val="4"/>
        <w:jc w:val="left"/>
        <w:outlineLvl w:val="2"/>
      </w:pPr>
      <w:r>
        <w:rPr>
          <w:b/>
          <w:sz w:val="28"/>
        </w:rPr>
        <w:t>2.5 开启、审查、协商和成交</w:t>
      </w:r>
    </w:p>
    <w:p>
      <w:pPr>
        <w:pStyle w:val="4"/>
        <w:jc w:val="left"/>
        <w:outlineLvl w:val="3"/>
      </w:pPr>
      <w:r>
        <w:rPr>
          <w:b/>
          <w:sz w:val="24"/>
        </w:rPr>
        <w:t>2.5.1开启程序</w:t>
      </w:r>
    </w:p>
    <w:p>
      <w:pPr>
        <w:pStyle w:val="4"/>
        <w:ind w:firstLine="480"/>
      </w:pPr>
      <w:r>
        <w:t>一、本项目在采购文件中规定的时间和地点组织协商现场通过电子化交易系统线上开启。协商时间为首次提交响应文件截止时间。</w:t>
      </w:r>
    </w:p>
    <w:p>
      <w:pPr>
        <w:pStyle w:val="4"/>
        <w:ind w:firstLine="480"/>
      </w:pPr>
      <w:r>
        <w:t>二、开启准备工作</w:t>
      </w:r>
    </w:p>
    <w:p>
      <w:pPr>
        <w:pStyle w:val="4"/>
        <w:ind w:firstLine="480"/>
      </w:pPr>
      <w:r>
        <w:t>响应文件提交截止时间前30分钟，供应商登录项目电子化交易系统-“开标/开启大厅”参与开启。</w:t>
      </w:r>
    </w:p>
    <w:p>
      <w:pPr>
        <w:pStyle w:val="4"/>
        <w:ind w:firstLine="480"/>
      </w:pPr>
      <w:r>
        <w:t>三、解密响应文件</w:t>
      </w:r>
    </w:p>
    <w:p>
      <w:pPr>
        <w:pStyle w:val="4"/>
        <w:ind w:firstLine="480"/>
      </w:pPr>
      <w:r>
        <w:t>（一）响应文件提交截止时间后，拟邀请参加本项目协商的供应商成功提交响应文件的，代理机构将启动响应文件解密程序。</w:t>
      </w:r>
    </w:p>
    <w:p>
      <w:pPr>
        <w:pStyle w:val="4"/>
        <w:ind w:firstLine="480"/>
      </w:pPr>
      <w:r>
        <w:t>（二）响应文件解密时限为30分钟；供应商应在规定的解密时限内，登录项目电子化交易系统，使用加密电子响应文件时使用的数字证书（CA)对电子响应文件解密。</w:t>
      </w:r>
    </w:p>
    <w:p>
      <w:pPr>
        <w:pStyle w:val="4"/>
        <w:ind w:firstLine="480"/>
      </w:pPr>
      <w:r>
        <w:t>如供应商在规定的解密时限内CA解密失败的，代理机构现场开封并上传供应商已现场递交的备用非加密电子响应文件。</w:t>
      </w:r>
    </w:p>
    <w:p>
      <w:pPr>
        <w:pStyle w:val="4"/>
        <w:ind w:firstLine="480"/>
      </w:pPr>
      <w:r>
        <w:t>（三）解密过程中出现下列情形，响应文件提交无效：</w:t>
      </w:r>
    </w:p>
    <w:p>
      <w:pPr>
        <w:pStyle w:val="4"/>
        <w:ind w:firstLine="480"/>
      </w:pPr>
      <w:r>
        <w:t>1. 未在规定的解密时限时间内完成解密。</w:t>
      </w:r>
    </w:p>
    <w:p>
      <w:pPr>
        <w:pStyle w:val="4"/>
        <w:ind w:firstLine="480"/>
      </w:pPr>
      <w:r>
        <w:t>2.CA解密失败且备用非加密电子响应文件上传失败。</w:t>
      </w:r>
    </w:p>
    <w:p>
      <w:pPr>
        <w:pStyle w:val="4"/>
        <w:jc w:val="left"/>
        <w:outlineLvl w:val="3"/>
      </w:pPr>
      <w:r>
        <w:rPr>
          <w:b/>
          <w:sz w:val="24"/>
        </w:rPr>
        <w:t>2.5.2查询及使用信用记录</w:t>
      </w:r>
    </w:p>
    <w:p>
      <w:pPr>
        <w:pStyle w:val="4"/>
        <w:ind w:firstLine="480"/>
      </w:pPr>
      <w:r>
        <w:t>必须为未被列入信用中国网站(www.creditchina.gov.cn)、中国政府采购网(www.ccgp.gov.cn)渠道信用记录失信被执行人、重大税收违法案件当事人名单、政府采购严重违法失信行为记录名单的供应商，否则其响应将被拒绝。</w:t>
      </w:r>
    </w:p>
    <w:p>
      <w:pPr>
        <w:pStyle w:val="4"/>
        <w:ind w:firstLine="480"/>
      </w:pPr>
      <w:r>
        <w:t>信用信息查询记录和证据留存的方式：信用信息查询记录和证据必须留存，并与该采购文件一并保存。</w:t>
      </w:r>
    </w:p>
    <w:p>
      <w:pPr>
        <w:pStyle w:val="4"/>
        <w:ind w:firstLine="480"/>
        <w:jc w:val="left"/>
      </w:pPr>
      <w:r>
        <w:t>两个以上的自然人、法人或者其他组织组成一个联合体，以一个供应商的身份共同参加政府采购活动的，将对所有联合体成员进行信用记录查询，联合体成员存在不良信用记录的，视同联合体存在不良信用记录。</w:t>
      </w:r>
    </w:p>
    <w:p>
      <w:pPr>
        <w:pStyle w:val="4"/>
        <w:jc w:val="left"/>
        <w:outlineLvl w:val="3"/>
      </w:pPr>
      <w:r>
        <w:rPr>
          <w:b/>
          <w:sz w:val="24"/>
        </w:rPr>
        <w:t>2.5.3供应商审查</w:t>
      </w:r>
    </w:p>
    <w:p>
      <w:pPr>
        <w:pStyle w:val="4"/>
        <w:ind w:firstLine="480"/>
        <w:jc w:val="both"/>
      </w:pPr>
      <w:r>
        <w:t>详见采购文件第四章。</w:t>
      </w:r>
    </w:p>
    <w:p>
      <w:pPr>
        <w:pStyle w:val="4"/>
        <w:jc w:val="left"/>
        <w:outlineLvl w:val="3"/>
      </w:pPr>
      <w:r>
        <w:rPr>
          <w:b/>
          <w:sz w:val="24"/>
        </w:rPr>
        <w:t>2.5.4协商</w:t>
      </w:r>
    </w:p>
    <w:p>
      <w:pPr>
        <w:pStyle w:val="4"/>
        <w:ind w:firstLine="480"/>
        <w:jc w:val="both"/>
      </w:pPr>
      <w:r>
        <w:t>详见采购文件第四章。</w:t>
      </w:r>
    </w:p>
    <w:p>
      <w:pPr>
        <w:pStyle w:val="4"/>
        <w:jc w:val="left"/>
        <w:outlineLvl w:val="3"/>
      </w:pPr>
      <w:r>
        <w:rPr>
          <w:b/>
          <w:sz w:val="24"/>
        </w:rPr>
        <w:t>2.5.5供应商最终报价</w:t>
      </w:r>
    </w:p>
    <w:p>
      <w:pPr>
        <w:pStyle w:val="4"/>
        <w:ind w:firstLine="480"/>
      </w:pPr>
      <w:r>
        <w:t>详见采购文件第四章。</w:t>
      </w:r>
    </w:p>
    <w:p>
      <w:pPr>
        <w:pStyle w:val="4"/>
        <w:jc w:val="left"/>
        <w:outlineLvl w:val="3"/>
      </w:pPr>
      <w:r>
        <w:rPr>
          <w:b/>
          <w:sz w:val="24"/>
        </w:rPr>
        <w:t>2.5.6成交通知书</w:t>
      </w:r>
    </w:p>
    <w:p>
      <w:pPr>
        <w:pStyle w:val="4"/>
        <w:ind w:firstLine="480"/>
        <w:jc w:val="both"/>
      </w:pPr>
      <w:r>
        <w:t>一、采购人或者协商小组确认成交供应商后，代理机构在供应商须知前附表“信息发布渠道”发布成交结果公告、通过项目电子化交易系统发出成交通知书，成交供应商通过项目电子化交易系统获取成交通知书。</w:t>
      </w:r>
    </w:p>
    <w:p>
      <w:pPr>
        <w:pStyle w:val="4"/>
        <w:ind w:firstLine="480"/>
        <w:jc w:val="both"/>
      </w:pPr>
      <w:r>
        <w:t>二、成交通知书是采购人和成交供应商签订政府采购合同的依据，是合同的有效组成部分。</w:t>
      </w:r>
    </w:p>
    <w:p>
      <w:pPr>
        <w:pStyle w:val="4"/>
        <w:ind w:firstLine="480"/>
        <w:jc w:val="both"/>
      </w:pPr>
      <w:r>
        <w:t>三、成交通知书对采购人和成交供应商均具有法律效力。</w:t>
      </w:r>
    </w:p>
    <w:p>
      <w:pPr>
        <w:pStyle w:val="4"/>
        <w:jc w:val="left"/>
        <w:outlineLvl w:val="2"/>
      </w:pPr>
      <w:r>
        <w:rPr>
          <w:b/>
          <w:sz w:val="28"/>
        </w:rPr>
        <w:t>2.6 签订及履行合同和验收 签订合同</w:t>
      </w:r>
    </w:p>
    <w:p>
      <w:pPr>
        <w:pStyle w:val="4"/>
        <w:ind w:firstLine="480"/>
        <w:jc w:val="both"/>
      </w:pPr>
      <w:r>
        <w:t>一、成交供应商应当自收到成交通知书之日起30日内，与采购人完成合同的起草和签订工作。</w:t>
      </w:r>
    </w:p>
    <w:p>
      <w:pPr>
        <w:pStyle w:val="4"/>
        <w:ind w:firstLine="480"/>
        <w:jc w:val="both"/>
      </w:pPr>
      <w:r>
        <w:t>二、采购文件、成交供应商的采购响应文件及其补充澄清文件、最终报价文件，均为合同的组成部分。</w:t>
      </w:r>
    </w:p>
    <w:p>
      <w:pPr>
        <w:pStyle w:val="4"/>
      </w:pPr>
      <w:r>
        <w:t xml:space="preserve"> </w:t>
      </w:r>
    </w:p>
    <w:p>
      <w:pPr>
        <w:pStyle w:val="4"/>
        <w:jc w:val="center"/>
        <w:outlineLvl w:val="1"/>
      </w:pPr>
      <w:r>
        <w:rPr>
          <w:b/>
          <w:sz w:val="36"/>
        </w:rPr>
        <w:t>第三章 采购项目技术、服务、商务及其他要求</w:t>
      </w:r>
    </w:p>
    <w:p>
      <w:pPr>
        <w:pStyle w:val="4"/>
        <w:ind w:firstLine="480"/>
        <w:jc w:val="left"/>
      </w:pPr>
      <w:r>
        <w:t>（带“★”的参数需求为实质性要求，供应商必须响应并满足的参数需求，采购人、采购代理机构应当根据项目实际需求合理设定，并明确具体要求。）</w:t>
      </w:r>
    </w:p>
    <w:p>
      <w:pPr>
        <w:pStyle w:val="4"/>
        <w:jc w:val="left"/>
        <w:outlineLvl w:val="2"/>
      </w:pPr>
      <w:r>
        <w:rPr>
          <w:b/>
          <w:sz w:val="28"/>
        </w:rPr>
        <w:t>3.1 项目概况</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49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b/>
              </w:rPr>
              <w:t>序号</w:t>
            </w:r>
          </w:p>
        </w:tc>
        <w:tc>
          <w:tcPr>
            <w:tcW w:w="2492" w:type="dxa"/>
          </w:tcPr>
          <w:p>
            <w:pPr>
              <w:pStyle w:val="4"/>
              <w:jc w:val="left"/>
            </w:pPr>
            <w:r>
              <w:rPr>
                <w:b/>
              </w:rPr>
              <w:t>内 容</w:t>
            </w:r>
          </w:p>
        </w:tc>
        <w:tc>
          <w:tcPr>
            <w:tcW w:w="4984" w:type="dxa"/>
          </w:tcPr>
          <w:p>
            <w:pPr>
              <w:pStyle w:val="4"/>
              <w:jc w:val="left"/>
            </w:pPr>
            <w:r>
              <w:rPr>
                <w:b/>
              </w:rPr>
              <w:t>说    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1</w:t>
            </w:r>
          </w:p>
        </w:tc>
        <w:tc>
          <w:tcPr>
            <w:tcW w:w="2492" w:type="dxa"/>
          </w:tcPr>
          <w:p>
            <w:pPr>
              <w:pStyle w:val="4"/>
              <w:jc w:val="left"/>
            </w:pPr>
            <w:r>
              <w:t>项目背景</w:t>
            </w:r>
          </w:p>
        </w:tc>
        <w:tc>
          <w:tcPr>
            <w:tcW w:w="4984" w:type="dxa"/>
          </w:tcPr>
          <w:p>
            <w:pPr>
              <w:pStyle w:val="4"/>
              <w:jc w:val="left"/>
            </w:pPr>
          </w:p>
          <w:p>
            <w:pPr>
              <w:pStyle w:val="4"/>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2</w:t>
            </w:r>
          </w:p>
        </w:tc>
        <w:tc>
          <w:tcPr>
            <w:tcW w:w="2492" w:type="dxa"/>
          </w:tcPr>
          <w:p>
            <w:pPr>
              <w:pStyle w:val="4"/>
              <w:jc w:val="left"/>
            </w:pPr>
            <w:r>
              <w:t>执行依据</w:t>
            </w:r>
          </w:p>
        </w:tc>
        <w:tc>
          <w:tcPr>
            <w:tcW w:w="4984" w:type="dxa"/>
          </w:tcPr>
          <w:p>
            <w:pPr>
              <w:pStyle w:val="4"/>
              <w:jc w:val="left"/>
            </w:pPr>
            <w:r>
              <w:t>中国人民银行集中采购项目及标准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left"/>
            </w:pPr>
            <w:r>
              <w:t>3</w:t>
            </w:r>
          </w:p>
        </w:tc>
        <w:tc>
          <w:tcPr>
            <w:tcW w:w="2492" w:type="dxa"/>
          </w:tcPr>
          <w:p>
            <w:pPr>
              <w:pStyle w:val="4"/>
              <w:jc w:val="left"/>
            </w:pPr>
            <w:r>
              <w:t>项目目标</w:t>
            </w:r>
          </w:p>
        </w:tc>
        <w:tc>
          <w:tcPr>
            <w:tcW w:w="4984" w:type="dxa"/>
          </w:tcPr>
          <w:p>
            <w:pPr>
              <w:pStyle w:val="4"/>
              <w:jc w:val="left"/>
            </w:pPr>
            <w:r>
              <w:t>通过商业化方式采购态势感知平台运营服务，有效落实金融行业的网络安全监测预警要求，保障态势感知平台持续、稳定运营，持续丰富和优化态势感知平台功能，协助开展数据采集、安全风险监测预警，部门间情报协作等工作，支撑人民银行科技履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4</w:t>
            </w:r>
          </w:p>
        </w:tc>
        <w:tc>
          <w:tcPr>
            <w:tcW w:w="2492" w:type="dxa"/>
          </w:tcPr>
          <w:p>
            <w:pPr>
              <w:pStyle w:val="4"/>
              <w:jc w:val="left"/>
            </w:pPr>
            <w:r>
              <w:t>项目内容</w:t>
            </w:r>
          </w:p>
        </w:tc>
        <w:tc>
          <w:tcPr>
            <w:tcW w:w="4984" w:type="dxa"/>
          </w:tcPr>
          <w:p>
            <w:pPr>
              <w:pStyle w:val="4"/>
              <w:jc w:val="left"/>
            </w:pPr>
            <w:r>
              <w:t>科技司为态势感知平台的所有者，乙方为态势感知平台提供日常运营服务。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5</w:t>
            </w:r>
          </w:p>
        </w:tc>
        <w:tc>
          <w:tcPr>
            <w:tcW w:w="2492" w:type="dxa"/>
          </w:tcPr>
          <w:p>
            <w:pPr>
              <w:pStyle w:val="4"/>
              <w:jc w:val="left"/>
            </w:pPr>
            <w:r>
              <w:t>项目范围</w:t>
            </w:r>
          </w:p>
        </w:tc>
        <w:tc>
          <w:tcPr>
            <w:tcW w:w="4984" w:type="dxa"/>
          </w:tcPr>
          <w:p>
            <w:pPr>
              <w:pStyle w:val="4"/>
              <w:jc w:val="left"/>
            </w:pPr>
            <w:r>
              <w:t>针对态势感知平台，提供日常运营服务。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t>6</w:t>
            </w:r>
          </w:p>
        </w:tc>
        <w:tc>
          <w:tcPr>
            <w:tcW w:w="2492" w:type="dxa"/>
          </w:tcPr>
          <w:p>
            <w:pPr>
              <w:pStyle w:val="4"/>
              <w:jc w:val="left"/>
            </w:pPr>
            <w:r>
              <w:t>重要性分析</w:t>
            </w:r>
          </w:p>
        </w:tc>
        <w:tc>
          <w:tcPr>
            <w:tcW w:w="4984" w:type="dxa"/>
          </w:tcPr>
          <w:p>
            <w:pPr>
              <w:pStyle w:val="4"/>
              <w:jc w:val="left"/>
            </w:pPr>
          </w:p>
          <w:p>
            <w:pPr>
              <w:pStyle w:val="4"/>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left"/>
            </w:pPr>
            <w:r>
              <w:t>7</w:t>
            </w:r>
          </w:p>
        </w:tc>
        <w:tc>
          <w:tcPr>
            <w:tcW w:w="2492" w:type="dxa"/>
          </w:tcPr>
          <w:p>
            <w:pPr>
              <w:pStyle w:val="4"/>
              <w:jc w:val="left"/>
            </w:pPr>
            <w:r>
              <w:t>与前期项目的关系</w:t>
            </w:r>
          </w:p>
        </w:tc>
        <w:tc>
          <w:tcPr>
            <w:tcW w:w="4984" w:type="dxa"/>
          </w:tcPr>
          <w:p>
            <w:pPr>
              <w:pStyle w:val="4"/>
              <w:jc w:val="left"/>
            </w:pPr>
            <w:r>
              <w:t>无。</w:t>
            </w:r>
          </w:p>
        </w:tc>
      </w:tr>
    </w:tbl>
    <w:p>
      <w:pPr>
        <w:pStyle w:val="4"/>
        <w:jc w:val="left"/>
        <w:outlineLvl w:val="2"/>
      </w:pPr>
      <w:r>
        <w:rPr>
          <w:b/>
          <w:sz w:val="28"/>
        </w:rPr>
        <w:t>3.2 技术及商务要求</w:t>
      </w:r>
      <w:bookmarkStart w:id="0" w:name="_GoBack"/>
      <w:bookmarkEnd w:id="0"/>
    </w:p>
    <w:p>
      <w:pPr>
        <w:pStyle w:val="4"/>
        <w:jc w:val="left"/>
      </w:pPr>
      <w:r>
        <w:t>本技术要求共有“★”指标2个，”#”指标0个，“▲”指标0个。</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 xml:space="preserve"> 序号</w:t>
            </w:r>
          </w:p>
        </w:tc>
        <w:tc>
          <w:tcPr>
            <w:tcW w:w="1038" w:type="dxa"/>
          </w:tcPr>
          <w:p>
            <w:pPr>
              <w:pStyle w:val="4"/>
              <w:jc w:val="left"/>
            </w:pPr>
            <w:r>
              <w:t xml:space="preserve"> 分类</w:t>
            </w:r>
          </w:p>
        </w:tc>
        <w:tc>
          <w:tcPr>
            <w:tcW w:w="1038" w:type="dxa"/>
          </w:tcPr>
          <w:p>
            <w:pPr>
              <w:pStyle w:val="4"/>
              <w:jc w:val="left"/>
            </w:pPr>
            <w:r>
              <w:t xml:space="preserve"> 重要性</w:t>
            </w:r>
          </w:p>
        </w:tc>
        <w:tc>
          <w:tcPr>
            <w:tcW w:w="1038" w:type="dxa"/>
          </w:tcPr>
          <w:p>
            <w:pPr>
              <w:pStyle w:val="4"/>
              <w:jc w:val="left"/>
            </w:pPr>
            <w:r>
              <w:t xml:space="preserve"> 指标项</w:t>
            </w:r>
          </w:p>
        </w:tc>
        <w:tc>
          <w:tcPr>
            <w:tcW w:w="1038" w:type="dxa"/>
          </w:tcPr>
          <w:p>
            <w:pPr>
              <w:pStyle w:val="4"/>
              <w:jc w:val="left"/>
            </w:pPr>
            <w:r>
              <w:t xml:space="preserve"> 二级指标</w:t>
            </w:r>
          </w:p>
        </w:tc>
        <w:tc>
          <w:tcPr>
            <w:tcW w:w="1038" w:type="dxa"/>
          </w:tcPr>
          <w:p>
            <w:pPr>
              <w:pStyle w:val="4"/>
              <w:jc w:val="left"/>
            </w:pPr>
            <w:r>
              <w:t xml:space="preserve"> 指标要求</w:t>
            </w:r>
          </w:p>
        </w:tc>
        <w:tc>
          <w:tcPr>
            <w:tcW w:w="1038" w:type="dxa"/>
          </w:tcPr>
          <w:p>
            <w:pPr>
              <w:pStyle w:val="4"/>
              <w:jc w:val="left"/>
            </w:pPr>
            <w:r>
              <w:t xml:space="preserve"> 是否提供证明材料</w:t>
            </w:r>
          </w:p>
        </w:tc>
        <w:tc>
          <w:tcPr>
            <w:tcW w:w="1038" w:type="dxa"/>
          </w:tcPr>
          <w:p>
            <w:pPr>
              <w:pStyle w:val="4"/>
              <w:jc w:val="left"/>
            </w:pPr>
            <w:r>
              <w:t xml:space="preserve"> 提供方式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pPr>
              <w:pStyle w:val="4"/>
              <w:jc w:val="left"/>
            </w:pPr>
            <w:r>
              <w:t>1</w:t>
            </w:r>
          </w:p>
        </w:tc>
        <w:tc>
          <w:tcPr>
            <w:tcW w:w="1038" w:type="dxa"/>
          </w:tcPr>
          <w:p/>
        </w:tc>
        <w:tc>
          <w:tcPr>
            <w:tcW w:w="1038" w:type="dxa"/>
          </w:tcPr>
          <w:p>
            <w:pPr>
              <w:pStyle w:val="4"/>
              <w:jc w:val="left"/>
            </w:pPr>
            <w:r>
              <w:t>★</w:t>
            </w:r>
          </w:p>
        </w:tc>
        <w:tc>
          <w:tcPr>
            <w:tcW w:w="1038" w:type="dxa"/>
          </w:tcPr>
          <w:p>
            <w:pPr>
              <w:pStyle w:val="4"/>
              <w:jc w:val="left"/>
            </w:pPr>
            <w:r>
              <w:t>服务内容</w:t>
            </w:r>
          </w:p>
        </w:tc>
        <w:tc>
          <w:tcPr>
            <w:tcW w:w="1038" w:type="dxa"/>
          </w:tcPr>
          <w:p/>
        </w:tc>
        <w:tc>
          <w:tcPr>
            <w:tcW w:w="1038" w:type="dxa"/>
          </w:tcPr>
          <w:p>
            <w:pPr>
              <w:pStyle w:val="4"/>
              <w:jc w:val="left"/>
            </w:pPr>
            <w:r>
              <w:t>1、数据上报采集：为科技司通过接口和页面等方式收集金融从业机构报送的网络攻击、钓鱼邮件等网络安全数据和网络安全事件、等保、互联网资产等数据，提供接口设计、需求设计、联调配合、问题排查等服务支持。</w:t>
            </w:r>
          </w:p>
          <w:p>
            <w:pPr>
              <w:pStyle w:val="4"/>
              <w:jc w:val="left"/>
            </w:pPr>
            <w:r>
              <w:t>2、业务运行监测:监测金融业运行安全总体态势感知及33类业务运行状态运行情况，在监测到异常时开展分析并及时向科技司报告。</w:t>
            </w:r>
          </w:p>
          <w:p>
            <w:pPr>
              <w:pStyle w:val="4"/>
              <w:jc w:val="left"/>
            </w:pPr>
            <w:r>
              <w:t>3、行业数据统计分析:根据态势感知平台数据，完善报告生成功能和数据分析导出功能，并按照科技司要求生成统计分析报告或统计数据。</w:t>
            </w:r>
          </w:p>
          <w:p>
            <w:pPr>
              <w:pStyle w:val="4"/>
              <w:jc w:val="left"/>
            </w:pPr>
            <w:r>
              <w:t>4、监管通知:协助科技司开展风险监测分析，发布风险预警，支持金融从业机构通过态势感知平台接收科技司发布的监测预警、通知通报信息。</w:t>
            </w:r>
          </w:p>
          <w:p>
            <w:pPr>
              <w:pStyle w:val="4"/>
              <w:jc w:val="left"/>
            </w:pPr>
            <w:r>
              <w:t>5、行业共性高危安全信息预警:及时分析处理态势感知平台情报数据，识别分析金融行业共性高危网络安全信息(如高危IP地址、通用型高危漏洞、高危服务商等)，提供给接入机构下载、分析、使用。</w:t>
            </w:r>
          </w:p>
          <w:p>
            <w:pPr>
              <w:pStyle w:val="4"/>
              <w:jc w:val="left"/>
            </w:pPr>
            <w:r>
              <w:t>6、业务连续性压力测试:为科技司开展的业务连续性压力测试工作提供功能支持和测试结果分析支持。</w:t>
            </w:r>
          </w:p>
          <w:p>
            <w:pPr>
              <w:pStyle w:val="4"/>
              <w:jc w:val="left"/>
            </w:pPr>
            <w:r>
              <w:t>7、部门间安全协作:支撑态势感知平台与网信办、公安部、工信部等部门间进行威胁情报、安全信息共享等。</w:t>
            </w:r>
          </w:p>
          <w:p>
            <w:pPr>
              <w:pStyle w:val="4"/>
              <w:jc w:val="left"/>
            </w:pPr>
            <w:r>
              <w:t>8、网络安全风险事件流程处置:支撑科技司开展网络安全风险和事件监测、预警和工单通报、总结闭环管理。</w:t>
            </w:r>
          </w:p>
          <w:p>
            <w:pPr>
              <w:pStyle w:val="4"/>
              <w:jc w:val="left"/>
            </w:pPr>
            <w:r>
              <w:t>9、日常运营及重要时期值守、监测:日常态势感知平台运营管理维护及重保、国家攻防演练等重要时期专人值守、互联网信息资产风险监测。</w:t>
            </w:r>
          </w:p>
          <w:p>
            <w:pPr>
              <w:pStyle w:val="4"/>
              <w:jc w:val="left"/>
            </w:pPr>
            <w:r>
              <w:t>10、态势感知平台数据质量监测、提升:定期配合科技司对金融从业机构数据报送质量开展抽查，发布数据质量报告，提升态势感知平台数据质量。</w:t>
            </w:r>
          </w:p>
          <w:p>
            <w:pPr>
              <w:pStyle w:val="4"/>
              <w:jc w:val="left"/>
            </w:pPr>
            <w:r>
              <w:t>11、现场技术支持:提供每年不少于1人年的现场技术支持。</w:t>
            </w:r>
          </w:p>
          <w:p>
            <w:pPr>
              <w:pStyle w:val="4"/>
              <w:jc w:val="left"/>
            </w:pPr>
            <w:r>
              <w:t>12、其他服务。根据科技司要求提供的其他服务。</w:t>
            </w:r>
          </w:p>
        </w:tc>
        <w:tc>
          <w:tcPr>
            <w:tcW w:w="1038" w:type="dxa"/>
          </w:tcPr>
          <w:p>
            <w:pPr>
              <w:pStyle w:val="4"/>
              <w:jc w:val="left"/>
            </w:pPr>
            <w:r>
              <w:t>是</w:t>
            </w:r>
          </w:p>
        </w:tc>
        <w:tc>
          <w:tcPr>
            <w:tcW w:w="1038" w:type="dxa"/>
          </w:tcPr>
          <w:p>
            <w:pPr>
              <w:pStyle w:val="4"/>
              <w:jc w:val="left"/>
            </w:pPr>
            <w:r>
              <w:t>提供承诺书和服务方案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2</w:t>
            </w:r>
          </w:p>
        </w:tc>
        <w:tc>
          <w:tcPr>
            <w:tcW w:w="1038" w:type="dxa"/>
          </w:tcPr>
          <w:p/>
        </w:tc>
        <w:tc>
          <w:tcPr>
            <w:tcW w:w="1038" w:type="dxa"/>
          </w:tcPr>
          <w:p>
            <w:pPr>
              <w:pStyle w:val="4"/>
              <w:jc w:val="left"/>
            </w:pPr>
            <w:r>
              <w:t>★</w:t>
            </w:r>
          </w:p>
        </w:tc>
        <w:tc>
          <w:tcPr>
            <w:tcW w:w="1038" w:type="dxa"/>
          </w:tcPr>
          <w:p>
            <w:pPr>
              <w:pStyle w:val="4"/>
              <w:jc w:val="left"/>
            </w:pPr>
            <w:r>
              <w:t>服务标准</w:t>
            </w:r>
          </w:p>
        </w:tc>
        <w:tc>
          <w:tcPr>
            <w:tcW w:w="1038" w:type="dxa"/>
          </w:tcPr>
          <w:p/>
        </w:tc>
        <w:tc>
          <w:tcPr>
            <w:tcW w:w="1038" w:type="dxa"/>
          </w:tcPr>
          <w:p>
            <w:pPr>
              <w:pStyle w:val="4"/>
              <w:jc w:val="left"/>
            </w:pPr>
            <w:r>
              <w:t>开展态势感知平台新增或优化功能编制、功能测试、联调配合等工作不少于4次/年;响应人民银行要求，报告重大事项、提供数据统计等不少于30次/年;开展业务连续性压力测试结果分析，次数视每年业务连续性压力测试组织情况决定;开展情报监测、分析、发布不少于2000次/年;编制、发布数据质量报告不少于4次/年;开展重要时期网络安全值守不少于2次/年。</w:t>
            </w:r>
          </w:p>
        </w:tc>
        <w:tc>
          <w:tcPr>
            <w:tcW w:w="1038" w:type="dxa"/>
          </w:tcPr>
          <w:p>
            <w:pPr>
              <w:pStyle w:val="4"/>
              <w:jc w:val="left"/>
            </w:pPr>
            <w:r>
              <w:t>是</w:t>
            </w:r>
          </w:p>
        </w:tc>
        <w:tc>
          <w:tcPr>
            <w:tcW w:w="1038" w:type="dxa"/>
          </w:tcPr>
          <w:p>
            <w:pPr>
              <w:pStyle w:val="4"/>
              <w:jc w:val="left"/>
            </w:pPr>
            <w:r>
              <w:t>提供承诺书和服务方案</w:t>
            </w:r>
          </w:p>
        </w:tc>
      </w:tr>
    </w:tbl>
    <w:p>
      <w:pPr>
        <w:pStyle w:val="4"/>
        <w:jc w:val="left"/>
      </w:pPr>
      <w:r>
        <w:t>本商务要求共有“★”指标1个，”#”指标4个，“▲”指标0个。</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 xml:space="preserve"> 序号</w:t>
            </w:r>
          </w:p>
        </w:tc>
        <w:tc>
          <w:tcPr>
            <w:tcW w:w="1038" w:type="dxa"/>
          </w:tcPr>
          <w:p>
            <w:pPr>
              <w:pStyle w:val="4"/>
              <w:jc w:val="left"/>
            </w:pPr>
            <w:r>
              <w:t xml:space="preserve"> 分类</w:t>
            </w:r>
          </w:p>
        </w:tc>
        <w:tc>
          <w:tcPr>
            <w:tcW w:w="1038" w:type="dxa"/>
          </w:tcPr>
          <w:p>
            <w:pPr>
              <w:pStyle w:val="4"/>
              <w:jc w:val="left"/>
            </w:pPr>
            <w:r>
              <w:t xml:space="preserve"> 重要性</w:t>
            </w:r>
          </w:p>
        </w:tc>
        <w:tc>
          <w:tcPr>
            <w:tcW w:w="1038" w:type="dxa"/>
          </w:tcPr>
          <w:p>
            <w:pPr>
              <w:pStyle w:val="4"/>
              <w:jc w:val="left"/>
            </w:pPr>
            <w:r>
              <w:t xml:space="preserve"> 内容</w:t>
            </w:r>
          </w:p>
        </w:tc>
        <w:tc>
          <w:tcPr>
            <w:tcW w:w="1038" w:type="dxa"/>
          </w:tcPr>
          <w:p>
            <w:pPr>
              <w:pStyle w:val="4"/>
              <w:jc w:val="left"/>
            </w:pPr>
            <w:r>
              <w:t xml:space="preserve"> 二级指标</w:t>
            </w:r>
          </w:p>
        </w:tc>
        <w:tc>
          <w:tcPr>
            <w:tcW w:w="1038" w:type="dxa"/>
          </w:tcPr>
          <w:p>
            <w:pPr>
              <w:pStyle w:val="4"/>
              <w:jc w:val="left"/>
            </w:pPr>
            <w:r>
              <w:t xml:space="preserve"> 服务要求标准</w:t>
            </w:r>
          </w:p>
        </w:tc>
        <w:tc>
          <w:tcPr>
            <w:tcW w:w="1038" w:type="dxa"/>
          </w:tcPr>
          <w:p>
            <w:pPr>
              <w:pStyle w:val="4"/>
              <w:jc w:val="left"/>
            </w:pPr>
            <w:r>
              <w:t xml:space="preserve"> 是否提供证明材料</w:t>
            </w:r>
          </w:p>
        </w:tc>
        <w:tc>
          <w:tcPr>
            <w:tcW w:w="1038" w:type="dxa"/>
          </w:tcPr>
          <w:p>
            <w:pPr>
              <w:pStyle w:val="4"/>
              <w:jc w:val="left"/>
            </w:pPr>
            <w:r>
              <w:t xml:space="preserve"> 提供方式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1</w:t>
            </w:r>
          </w:p>
        </w:tc>
        <w:tc>
          <w:tcPr>
            <w:tcW w:w="1038" w:type="dxa"/>
          </w:tcPr>
          <w:p/>
        </w:tc>
        <w:tc>
          <w:tcPr>
            <w:tcW w:w="1038" w:type="dxa"/>
          </w:tcPr>
          <w:p>
            <w:pPr>
              <w:pStyle w:val="4"/>
              <w:jc w:val="left"/>
            </w:pPr>
            <w:r>
              <w:t>#</w:t>
            </w:r>
          </w:p>
        </w:tc>
        <w:tc>
          <w:tcPr>
            <w:tcW w:w="1038" w:type="dxa"/>
          </w:tcPr>
          <w:p>
            <w:pPr>
              <w:pStyle w:val="4"/>
              <w:jc w:val="left"/>
            </w:pPr>
            <w:r>
              <w:t>服务人员要求</w:t>
            </w:r>
          </w:p>
        </w:tc>
        <w:tc>
          <w:tcPr>
            <w:tcW w:w="1038" w:type="dxa"/>
          </w:tcPr>
          <w:p/>
        </w:tc>
        <w:tc>
          <w:tcPr>
            <w:tcW w:w="1038" w:type="dxa"/>
          </w:tcPr>
          <w:p>
            <w:pPr>
              <w:pStyle w:val="4"/>
              <w:jc w:val="left"/>
            </w:pPr>
            <w:r>
              <w:t>服务团队具备态势感知平台运营经验，团队人数不少于7人；项目经理应具备态势感知平台运营经验，工作年限不少于10年；团队人员应至少有5人具备态势感知平台运营经验。</w:t>
            </w:r>
          </w:p>
        </w:tc>
        <w:tc>
          <w:tcPr>
            <w:tcW w:w="1038" w:type="dxa"/>
          </w:tcPr>
          <w:p>
            <w:pPr>
              <w:pStyle w:val="4"/>
              <w:jc w:val="left"/>
            </w:pPr>
            <w:r>
              <w:t>是</w:t>
            </w:r>
          </w:p>
        </w:tc>
        <w:tc>
          <w:tcPr>
            <w:tcW w:w="1038" w:type="dxa"/>
          </w:tcPr>
          <w:p>
            <w:pPr>
              <w:pStyle w:val="4"/>
              <w:jc w:val="left"/>
            </w:pPr>
            <w:r>
              <w:t>提供项目服务人员情况表。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2</w:t>
            </w:r>
          </w:p>
        </w:tc>
        <w:tc>
          <w:tcPr>
            <w:tcW w:w="1038" w:type="dxa"/>
          </w:tcPr>
          <w:p/>
        </w:tc>
        <w:tc>
          <w:tcPr>
            <w:tcW w:w="1038" w:type="dxa"/>
          </w:tcPr>
          <w:p>
            <w:pPr>
              <w:pStyle w:val="4"/>
              <w:jc w:val="left"/>
            </w:pPr>
            <w:r>
              <w:t>#</w:t>
            </w:r>
          </w:p>
        </w:tc>
        <w:tc>
          <w:tcPr>
            <w:tcW w:w="1038" w:type="dxa"/>
          </w:tcPr>
          <w:p>
            <w:pPr>
              <w:pStyle w:val="4"/>
              <w:jc w:val="left"/>
            </w:pPr>
            <w:r>
              <w:t>服务供应商要求</w:t>
            </w:r>
          </w:p>
        </w:tc>
        <w:tc>
          <w:tcPr>
            <w:tcW w:w="1038" w:type="dxa"/>
          </w:tcPr>
          <w:p/>
        </w:tc>
        <w:tc>
          <w:tcPr>
            <w:tcW w:w="1038" w:type="dxa"/>
          </w:tcPr>
          <w:p>
            <w:pPr>
              <w:pStyle w:val="4"/>
              <w:jc w:val="left"/>
            </w:pPr>
            <w:r>
              <w:t>服务供应商具备态势感知平台运营经验。</w:t>
            </w:r>
          </w:p>
        </w:tc>
        <w:tc>
          <w:tcPr>
            <w:tcW w:w="1038" w:type="dxa"/>
          </w:tcPr>
          <w:p>
            <w:pPr>
              <w:pStyle w:val="4"/>
              <w:jc w:val="left"/>
            </w:pPr>
            <w:r>
              <w:t>是</w:t>
            </w:r>
          </w:p>
        </w:tc>
        <w:tc>
          <w:tcPr>
            <w:tcW w:w="1038" w:type="dxa"/>
          </w:tcPr>
          <w:p>
            <w:pPr>
              <w:pStyle w:val="4"/>
              <w:jc w:val="left"/>
            </w:pPr>
            <w:r>
              <w:t>提供相关证明材料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pPr>
              <w:pStyle w:val="4"/>
              <w:jc w:val="left"/>
            </w:pPr>
            <w:r>
              <w:t>3</w:t>
            </w:r>
          </w:p>
        </w:tc>
        <w:tc>
          <w:tcPr>
            <w:tcW w:w="1038" w:type="dxa"/>
          </w:tcPr>
          <w:p/>
        </w:tc>
        <w:tc>
          <w:tcPr>
            <w:tcW w:w="1038" w:type="dxa"/>
          </w:tcPr>
          <w:p>
            <w:pPr>
              <w:pStyle w:val="4"/>
              <w:jc w:val="left"/>
            </w:pPr>
            <w:r>
              <w:t>#</w:t>
            </w:r>
          </w:p>
        </w:tc>
        <w:tc>
          <w:tcPr>
            <w:tcW w:w="1038" w:type="dxa"/>
          </w:tcPr>
          <w:p>
            <w:pPr>
              <w:pStyle w:val="4"/>
              <w:jc w:val="left"/>
            </w:pPr>
            <w:r>
              <w:t>实施服务要求</w:t>
            </w:r>
          </w:p>
        </w:tc>
        <w:tc>
          <w:tcPr>
            <w:tcW w:w="1038" w:type="dxa"/>
          </w:tcPr>
          <w:p/>
        </w:tc>
        <w:tc>
          <w:tcPr>
            <w:tcW w:w="1038" w:type="dxa"/>
          </w:tcPr>
          <w:p>
            <w:pPr>
              <w:pStyle w:val="4"/>
              <w:jc w:val="left"/>
            </w:pPr>
            <w:r>
              <w:t>服务支持方式：远程+现场相结合方式，服务团队通过电话、电子邮件、微信等开展远程技术支持，并提供每年不少于1人年的现场技术支持。</w:t>
            </w:r>
          </w:p>
          <w:p>
            <w:pPr>
              <w:pStyle w:val="4"/>
              <w:jc w:val="left"/>
            </w:pPr>
            <w:r>
              <w:t>服务时段：工作日提供5*12小时服务，5*12小时外遇到紧急事项1小时内响应。在重点时期提供7*24小时值守服务。</w:t>
            </w:r>
          </w:p>
        </w:tc>
        <w:tc>
          <w:tcPr>
            <w:tcW w:w="1038" w:type="dxa"/>
          </w:tcPr>
          <w:p>
            <w:pPr>
              <w:pStyle w:val="4"/>
              <w:jc w:val="left"/>
            </w:pPr>
            <w:r>
              <w:t>是</w:t>
            </w:r>
          </w:p>
        </w:tc>
        <w:tc>
          <w:tcPr>
            <w:tcW w:w="1038" w:type="dxa"/>
          </w:tcPr>
          <w:p>
            <w:pPr>
              <w:pStyle w:val="4"/>
              <w:jc w:val="left"/>
            </w:pPr>
            <w:r>
              <w:t>提供服务方案。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4</w:t>
            </w:r>
          </w:p>
        </w:tc>
        <w:tc>
          <w:tcPr>
            <w:tcW w:w="1038" w:type="dxa"/>
          </w:tcPr>
          <w:p/>
        </w:tc>
        <w:tc>
          <w:tcPr>
            <w:tcW w:w="1038" w:type="dxa"/>
          </w:tcPr>
          <w:p>
            <w:pPr>
              <w:pStyle w:val="4"/>
              <w:jc w:val="left"/>
            </w:pPr>
            <w:r>
              <w:t>★</w:t>
            </w:r>
          </w:p>
        </w:tc>
        <w:tc>
          <w:tcPr>
            <w:tcW w:w="1038" w:type="dxa"/>
          </w:tcPr>
          <w:p>
            <w:pPr>
              <w:pStyle w:val="4"/>
              <w:jc w:val="left"/>
            </w:pPr>
            <w:r>
              <w:t>保密和数据安全要求</w:t>
            </w:r>
          </w:p>
        </w:tc>
        <w:tc>
          <w:tcPr>
            <w:tcW w:w="1038" w:type="dxa"/>
          </w:tcPr>
          <w:p/>
        </w:tc>
        <w:tc>
          <w:tcPr>
            <w:tcW w:w="1038" w:type="dxa"/>
          </w:tcPr>
          <w:p>
            <w:pPr>
              <w:pStyle w:val="4"/>
              <w:jc w:val="left"/>
            </w:pPr>
            <w:r>
              <w:t>(1)服务提供商和服务人员严格遵守人民银行网络安全、数据安全相关要求。</w:t>
            </w:r>
            <w:r>
              <w:br w:type="textWrapping"/>
            </w:r>
            <w:r>
              <w:t xml:space="preserve"> (2)服务提供商应与采购人签订保密协议，并建立相应的保密工作制度，采购人有权实施保密监督。所有运营操作人员均为服务商正式在编人员，无临时外包人员、无关人员访问系统。</w:t>
            </w:r>
            <w:r>
              <w:br w:type="textWrapping"/>
            </w:r>
            <w:r>
              <w:t xml:space="preserve"> (3)服务提供商定期组织运营人员开展系统操作培训，重点讲解核心功能操作流程、高风险操作注意事项、误操作应急处理方法等，提升运营人员操作规范性和风险意识。</w:t>
            </w:r>
          </w:p>
        </w:tc>
        <w:tc>
          <w:tcPr>
            <w:tcW w:w="1038" w:type="dxa"/>
          </w:tcPr>
          <w:p>
            <w:pPr>
              <w:pStyle w:val="4"/>
              <w:jc w:val="left"/>
            </w:pPr>
            <w:r>
              <w:t>是</w:t>
            </w:r>
          </w:p>
        </w:tc>
        <w:tc>
          <w:tcPr>
            <w:tcW w:w="1038" w:type="dxa"/>
          </w:tcPr>
          <w:p>
            <w:pPr>
              <w:pStyle w:val="4"/>
              <w:jc w:val="left"/>
            </w:pPr>
            <w:r>
              <w:t>提供书面承诺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t>5</w:t>
            </w:r>
          </w:p>
        </w:tc>
        <w:tc>
          <w:tcPr>
            <w:tcW w:w="1038" w:type="dxa"/>
          </w:tcPr>
          <w:p/>
        </w:tc>
        <w:tc>
          <w:tcPr>
            <w:tcW w:w="1038" w:type="dxa"/>
          </w:tcPr>
          <w:p>
            <w:pPr>
              <w:pStyle w:val="4"/>
              <w:jc w:val="left"/>
            </w:pPr>
            <w:r>
              <w:t>#</w:t>
            </w:r>
          </w:p>
        </w:tc>
        <w:tc>
          <w:tcPr>
            <w:tcW w:w="1038" w:type="dxa"/>
          </w:tcPr>
          <w:p>
            <w:pPr>
              <w:pStyle w:val="4"/>
              <w:jc w:val="left"/>
            </w:pPr>
            <w:r>
              <w:t>应急管理要求</w:t>
            </w:r>
          </w:p>
        </w:tc>
        <w:tc>
          <w:tcPr>
            <w:tcW w:w="1038" w:type="dxa"/>
          </w:tcPr>
          <w:p/>
        </w:tc>
        <w:tc>
          <w:tcPr>
            <w:tcW w:w="1038" w:type="dxa"/>
          </w:tcPr>
          <w:p>
            <w:pPr>
              <w:pStyle w:val="4"/>
              <w:jc w:val="left"/>
            </w:pPr>
            <w:r>
              <w:t>（1）服务提供商在突发事件（如保密泄露）应急处理和响应方面具有相应的管理机制。</w:t>
            </w:r>
            <w:r>
              <w:br w:type="textWrapping"/>
            </w:r>
            <w:r>
              <w:t xml:space="preserve"> （2）服务提供商应根据采购人采购需求开展服务连续性管理工作，一旦出现服务质量下降或者技术人员缺失等情况，立即采取措施积极整改。</w:t>
            </w:r>
          </w:p>
        </w:tc>
        <w:tc>
          <w:tcPr>
            <w:tcW w:w="1038" w:type="dxa"/>
          </w:tcPr>
          <w:p>
            <w:pPr>
              <w:pStyle w:val="4"/>
              <w:jc w:val="left"/>
            </w:pPr>
            <w:r>
              <w:t>是</w:t>
            </w:r>
          </w:p>
        </w:tc>
        <w:tc>
          <w:tcPr>
            <w:tcW w:w="1038" w:type="dxa"/>
          </w:tcPr>
          <w:p>
            <w:pPr>
              <w:pStyle w:val="4"/>
              <w:jc w:val="left"/>
            </w:pPr>
            <w:r>
              <w:t>提供服务方案</w:t>
            </w:r>
          </w:p>
        </w:tc>
      </w:tr>
    </w:tbl>
    <w:p>
      <w:pPr>
        <w:pStyle w:val="4"/>
        <w:jc w:val="left"/>
        <w:outlineLvl w:val="2"/>
      </w:pPr>
      <w:r>
        <w:rPr>
          <w:b/>
          <w:sz w:val="28"/>
        </w:rPr>
        <w:t>3.3 付款方式</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t xml:space="preserve"> 序号</w:t>
            </w:r>
          </w:p>
        </w:tc>
        <w:tc>
          <w:tcPr>
            <w:tcW w:w="1384" w:type="dxa"/>
          </w:tcPr>
          <w:p>
            <w:pPr>
              <w:pStyle w:val="4"/>
              <w:jc w:val="left"/>
            </w:pPr>
            <w:r>
              <w:t xml:space="preserve"> 付款节点(进度)</w:t>
            </w:r>
          </w:p>
        </w:tc>
        <w:tc>
          <w:tcPr>
            <w:tcW w:w="1384" w:type="dxa"/>
          </w:tcPr>
          <w:p>
            <w:pPr>
              <w:pStyle w:val="4"/>
              <w:jc w:val="left"/>
            </w:pPr>
            <w:r>
              <w:t xml:space="preserve"> 付款条件</w:t>
            </w:r>
          </w:p>
        </w:tc>
        <w:tc>
          <w:tcPr>
            <w:tcW w:w="1384" w:type="dxa"/>
          </w:tcPr>
          <w:p>
            <w:pPr>
              <w:pStyle w:val="4"/>
              <w:jc w:val="left"/>
            </w:pPr>
            <w:r>
              <w:t xml:space="preserve"> 付款比例(或金额)</w:t>
            </w:r>
          </w:p>
        </w:tc>
        <w:tc>
          <w:tcPr>
            <w:tcW w:w="1384" w:type="dxa"/>
          </w:tcPr>
          <w:p>
            <w:pPr>
              <w:pStyle w:val="4"/>
              <w:jc w:val="left"/>
            </w:pPr>
            <w:r>
              <w:t xml:space="preserve"> 资金支付方式</w:t>
            </w:r>
          </w:p>
        </w:tc>
        <w:tc>
          <w:tcPr>
            <w:tcW w:w="1384" w:type="dxa"/>
          </w:tcPr>
          <w:p>
            <w:pPr>
              <w:pStyle w:val="4"/>
              <w:jc w:val="left"/>
            </w:pPr>
            <w:r>
              <w:t xml:space="preserve"> 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t>1</w:t>
            </w:r>
          </w:p>
        </w:tc>
        <w:tc>
          <w:tcPr>
            <w:tcW w:w="1384" w:type="dxa"/>
          </w:tcPr>
          <w:p>
            <w:pPr>
              <w:pStyle w:val="4"/>
              <w:jc w:val="left"/>
            </w:pPr>
            <w:r>
              <w:t>预付款</w:t>
            </w:r>
          </w:p>
        </w:tc>
        <w:tc>
          <w:tcPr>
            <w:tcW w:w="1384" w:type="dxa"/>
          </w:tcPr>
          <w:p>
            <w:pPr>
              <w:pStyle w:val="4"/>
              <w:jc w:val="left"/>
            </w:pPr>
            <w:r>
              <w:t>合同签署后，收到供应商开具的等额、合法、合格增值税专用发票后的10个工作日内完成支付。</w:t>
            </w:r>
          </w:p>
        </w:tc>
        <w:tc>
          <w:tcPr>
            <w:tcW w:w="1384" w:type="dxa"/>
          </w:tcPr>
          <w:p>
            <w:pPr>
              <w:pStyle w:val="4"/>
              <w:jc w:val="left"/>
            </w:pPr>
            <w:r>
              <w:t>50.00%</w:t>
            </w:r>
          </w:p>
        </w:tc>
        <w:tc>
          <w:tcPr>
            <w:tcW w:w="1384" w:type="dxa"/>
          </w:tcPr>
          <w:p>
            <w:pPr>
              <w:pStyle w:val="4"/>
              <w:jc w:val="left"/>
            </w:pPr>
            <w:r>
              <w:t>电汇</w:t>
            </w:r>
          </w:p>
        </w:tc>
        <w:tc>
          <w:tcPr>
            <w:tcW w:w="1384" w:type="dxa"/>
          </w:tcPr>
          <w:p>
            <w:pPr>
              <w:pStyle w:val="4"/>
              <w:jc w:val="left"/>
            </w:pPr>
            <w:r>
              <w:t>每年均适用本次付款规则。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t>2</w:t>
            </w:r>
          </w:p>
        </w:tc>
        <w:tc>
          <w:tcPr>
            <w:tcW w:w="1384" w:type="dxa"/>
          </w:tcPr>
          <w:p>
            <w:pPr>
              <w:pStyle w:val="4"/>
              <w:jc w:val="left"/>
            </w:pPr>
            <w:r>
              <w:t>验收付款</w:t>
            </w:r>
          </w:p>
        </w:tc>
        <w:tc>
          <w:tcPr>
            <w:tcW w:w="1384" w:type="dxa"/>
          </w:tcPr>
          <w:p>
            <w:pPr>
              <w:pStyle w:val="4"/>
              <w:jc w:val="left"/>
            </w:pPr>
            <w:r>
              <w:t>服务完成且验收通过后，收到供应商开具的等额、合法、合格增值税专用发票后的10个工作日内完成支付。</w:t>
            </w:r>
          </w:p>
        </w:tc>
        <w:tc>
          <w:tcPr>
            <w:tcW w:w="1384" w:type="dxa"/>
          </w:tcPr>
          <w:p>
            <w:pPr>
              <w:pStyle w:val="4"/>
              <w:jc w:val="left"/>
            </w:pPr>
            <w:r>
              <w:t>50.00%</w:t>
            </w:r>
          </w:p>
        </w:tc>
        <w:tc>
          <w:tcPr>
            <w:tcW w:w="1384" w:type="dxa"/>
          </w:tcPr>
          <w:p>
            <w:pPr>
              <w:pStyle w:val="4"/>
              <w:jc w:val="left"/>
            </w:pPr>
            <w:r>
              <w:t>电汇</w:t>
            </w:r>
          </w:p>
        </w:tc>
        <w:tc>
          <w:tcPr>
            <w:tcW w:w="1384" w:type="dxa"/>
          </w:tcPr>
          <w:p>
            <w:pPr>
              <w:pStyle w:val="4"/>
              <w:jc w:val="left"/>
            </w:pPr>
            <w:r>
              <w:t>每年均适用本次付款规则。</w:t>
            </w:r>
          </w:p>
        </w:tc>
      </w:tr>
    </w:tbl>
    <w:p>
      <w:pPr>
        <w:pStyle w:val="4"/>
        <w:jc w:val="left"/>
        <w:outlineLvl w:val="2"/>
      </w:pPr>
      <w:r>
        <w:rPr>
          <w:b/>
          <w:sz w:val="28"/>
        </w:rPr>
        <w:t>3.4 履约验收方案</w:t>
      </w:r>
    </w:p>
    <w:p>
      <w:pPr>
        <w:pStyle w:val="4"/>
        <w:jc w:val="left"/>
      </w:pPr>
      <w:r>
        <w:t>（1）验收主体</w:t>
      </w:r>
    </w:p>
    <w:p>
      <w:pPr>
        <w:pStyle w:val="4"/>
        <w:jc w:val="left"/>
      </w:pPr>
      <w:r>
        <w:t>采购人（需求部门）</w:t>
      </w:r>
      <w:r>
        <w:rPr>
          <w:u w:val="single"/>
        </w:rPr>
        <w:t>科技司</w:t>
      </w:r>
    </w:p>
    <w:p>
      <w:pPr>
        <w:pStyle w:val="4"/>
        <w:jc w:val="left"/>
      </w:pPr>
      <w:r>
        <w:t>采购人（需求部门）拟邀请（）</w:t>
      </w:r>
    </w:p>
    <w:p>
      <w:pPr>
        <w:pStyle w:val="4"/>
        <w:jc w:val="left"/>
      </w:pPr>
      <w:r>
        <w:t>（2）验收时间</w:t>
      </w:r>
      <w:r>
        <w:rPr>
          <w:u w:val="single"/>
        </w:rPr>
        <w:t>第一年服务验收时间：自项目第一年服务开始后11个月、乙方提交服务成果资料、服务总结报告及验收申请之日起7个工作日内。 第二年服务验收时间：自项目第二年服务开始后11个月、乙方提交服务成果资料、服务总结报告及验收申请之日起7个工作日内。 第三年服务验收时间：自项目第三年服务期满、乙方提交服务完整成果资料、服务总结报告及验收申请之日起7个工作日内。</w:t>
      </w:r>
    </w:p>
    <w:p>
      <w:pPr>
        <w:pStyle w:val="4"/>
        <w:jc w:val="left"/>
      </w:pPr>
      <w:r>
        <w:t>（3）验收方式</w:t>
      </w:r>
      <w:r>
        <w:rPr>
          <w:u w:val="single"/>
        </w:rPr>
        <w:t>一次性验收</w:t>
      </w:r>
    </w:p>
    <w:p>
      <w:pPr>
        <w:pStyle w:val="4"/>
        <w:jc w:val="left"/>
      </w:pPr>
      <w:r>
        <w:t>（4）验收程序</w:t>
      </w:r>
      <w:r>
        <w:rPr>
          <w:u w:val="single"/>
        </w:rPr>
        <w:t>1、验收申请：项目当年服务开始后11个月，乙方梳理汇总全套履约资料、完成服务总结，向需求方提交正式验收申请； 2、验收：需求方在规定时限内通过资料审核完成初步验收，出具验收报告及验收结论。如合格则通过验收，如不合格则下发整改通知进行整改复核。 3、整改复核（适用验收不合格情况）：针对验收提出的问题，乙方按要求完成全面整改优化，提交整改成果及复核申请，需求方对整改内容进行专项复核，出具验收报告及验收结论。</w:t>
      </w:r>
    </w:p>
    <w:p>
      <w:pPr>
        <w:pStyle w:val="4"/>
        <w:jc w:val="left"/>
      </w:pPr>
      <w:r>
        <w:t>（5）验收内容</w:t>
      </w:r>
      <w:r>
        <w:rPr>
          <w:u w:val="single"/>
        </w:rPr>
        <w:t>满足服务验收标准。</w:t>
      </w:r>
    </w:p>
    <w:p>
      <w:pPr>
        <w:pStyle w:val="4"/>
        <w:jc w:val="left"/>
      </w:pPr>
      <w:r>
        <w:t>（6）验收标准</w:t>
      </w:r>
      <w:r>
        <w:rPr>
          <w:u w:val="single"/>
        </w:rPr>
        <w:t>开展态势感知平台新增或优化功能编制、功能测试、联调配合等工作不少于4次/年；响应人民银行要求，报告重大事项、提供数据统计等不少于30次/年；开展业务连续性压力测试结果分析，次数视每年业务连续性压力测试组织情况决定；开展情报监测、分析、发布不少于2000次/年；编制、发布数据质量报告不少于4次/年；开展重要时期网络安全值守不少于2次/年。</w:t>
      </w:r>
    </w:p>
    <w:p>
      <w:pPr>
        <w:pStyle w:val="4"/>
        <w:jc w:val="left"/>
      </w:pPr>
      <w:r>
        <w:t>（7）其他事项（如有）</w:t>
      </w:r>
      <w:r>
        <w:rPr>
          <w:u w:val="single"/>
        </w:rPr>
        <w:t>无。</w:t>
      </w:r>
    </w:p>
    <w:p>
      <w:pPr>
        <w:pStyle w:val="4"/>
        <w:jc w:val="left"/>
        <w:outlineLvl w:val="2"/>
      </w:pPr>
      <w:r>
        <w:rPr>
          <w:b/>
          <w:sz w:val="28"/>
        </w:rPr>
        <w:t>3.5 其他</w:t>
      </w:r>
    </w:p>
    <w:p>
      <w:pPr>
        <w:pStyle w:val="4"/>
        <w:jc w:val="left"/>
      </w:pPr>
      <w:r>
        <w:t>无。</w:t>
      </w:r>
    </w:p>
    <w:p>
      <w:pPr>
        <w:pStyle w:val="4"/>
      </w:pPr>
      <w:r>
        <w:t xml:space="preserve"> </w:t>
      </w:r>
    </w:p>
    <w:p>
      <w:pPr>
        <w:pStyle w:val="4"/>
        <w:jc w:val="center"/>
        <w:outlineLvl w:val="1"/>
      </w:pPr>
      <w:r>
        <w:rPr>
          <w:b/>
          <w:sz w:val="36"/>
        </w:rPr>
        <w:t>第四章 协商办法</w:t>
      </w:r>
    </w:p>
    <w:p>
      <w:pPr>
        <w:pStyle w:val="4"/>
        <w:jc w:val="left"/>
        <w:outlineLvl w:val="2"/>
      </w:pPr>
      <w:r>
        <w:rPr>
          <w:b/>
          <w:sz w:val="28"/>
        </w:rPr>
        <w:t>4.1 总则</w:t>
      </w:r>
    </w:p>
    <w:p>
      <w:pPr>
        <w:pStyle w:val="4"/>
        <w:ind w:firstLine="480"/>
        <w:jc w:val="both"/>
      </w:pPr>
      <w:r>
        <w:t>一、根据《中华人民共和国政府采购法》《中华人民共和国政府采购法实施条例》《政府采购非招标采购方式管理办法》等法律规章，结合采购项目特点制定本办法。</w:t>
      </w:r>
    </w:p>
    <w:p>
      <w:pPr>
        <w:pStyle w:val="4"/>
        <w:ind w:firstLine="480"/>
        <w:jc w:val="both"/>
      </w:pPr>
      <w:r>
        <w:t>二、评审工作由代理机构负责组织，具体协商事务依法组建的协商小组负责。</w:t>
      </w:r>
    </w:p>
    <w:p>
      <w:pPr>
        <w:pStyle w:val="4"/>
        <w:ind w:firstLine="480"/>
        <w:jc w:val="both"/>
      </w:pPr>
      <w:r>
        <w:t>三、评审工作应遵循客观、公正、审慎的原则，并以相同的协商程序和标准对待所有的供应商。</w:t>
      </w:r>
    </w:p>
    <w:p>
      <w:pPr>
        <w:pStyle w:val="4"/>
        <w:ind w:firstLine="480"/>
        <w:jc w:val="both"/>
      </w:pPr>
      <w:r>
        <w:t>四、本项目采取电子评审，通过项目电子化交易系统完成评审工作。协商小组成员和供应商应当按照本采购文件规定和项目电子化交易系统操作要求开展或者参加协商活动。</w:t>
      </w:r>
    </w:p>
    <w:p>
      <w:pPr>
        <w:pStyle w:val="4"/>
        <w:ind w:firstLine="480"/>
        <w:jc w:val="both"/>
      </w:pPr>
      <w:r>
        <w:t>五、评审过程中的书面材料往来均通过项目电子化交易系统传递，供应商通过数字证书（CA）及签章加盖其电子印章后生效。出现无法在线签章的特殊情况，协商小组成员可以线下签署评审报告，由代理机构对原件扫描后以附件形式上传。</w:t>
      </w:r>
    </w:p>
    <w:p>
      <w:pPr>
        <w:pStyle w:val="4"/>
        <w:ind w:firstLine="480"/>
        <w:jc w:val="both"/>
      </w:pPr>
      <w:r>
        <w:t>六、评审过程应当独立、保密，任何单位和个人不得非法干预评审活动。供应商非法干预评审活动的，其响应文件将作无效处理；代理机构、采购人及其工作人员、采购人监督人员非法干预评审活动的，将依法追究其责任。</w:t>
      </w:r>
    </w:p>
    <w:p>
      <w:pPr>
        <w:pStyle w:val="4"/>
        <w:jc w:val="left"/>
        <w:outlineLvl w:val="2"/>
      </w:pPr>
      <w:r>
        <w:rPr>
          <w:b/>
          <w:sz w:val="28"/>
        </w:rPr>
        <w:t>4.2 协商小组</w:t>
      </w:r>
    </w:p>
    <w:p>
      <w:pPr>
        <w:pStyle w:val="4"/>
        <w:ind w:firstLine="480"/>
        <w:jc w:val="both"/>
      </w:pPr>
      <w:r>
        <w:t>一、本项目协商小组成员人数详见第二章“供应商须知前附表”。</w:t>
      </w:r>
    </w:p>
    <w:p>
      <w:pPr>
        <w:pStyle w:val="4"/>
        <w:ind w:firstLine="480"/>
        <w:jc w:val="both"/>
      </w:pPr>
      <w:r>
        <w:t>二、协商小组成员应当满足并适应电子化采购评审的工作需要，登录项目电子化交易系统进入项目评审功能模块确认身份、签到、推荐协商小组组长。</w:t>
      </w:r>
    </w:p>
    <w:p>
      <w:pPr>
        <w:pStyle w:val="4"/>
        <w:ind w:firstLine="480"/>
        <w:jc w:val="both"/>
      </w:pPr>
      <w:r>
        <w:t>三、协商小组成员获取解密后的响应文件，开展评审活动。出现应当回避的情形时，协商小组成员应当主动回避；代理机构按规定申请补充抽取评审专家；无法及时补充抽取的，采购人或者代理机构应当封存供应商响应文件，按规定重新组建协商小组，开展评审活动。</w:t>
      </w:r>
    </w:p>
    <w:p>
      <w:pPr>
        <w:pStyle w:val="4"/>
        <w:ind w:firstLine="480"/>
        <w:jc w:val="both"/>
      </w:pPr>
      <w:r>
        <w:t>四、采用单一来源采购方式采购的，采购人、采购代理机构应当组织协商小组与供应商商定合理的成交价格并保证采购项目质量。</w:t>
      </w:r>
    </w:p>
    <w:p>
      <w:pPr>
        <w:pStyle w:val="4"/>
        <w:jc w:val="left"/>
        <w:outlineLvl w:val="2"/>
      </w:pPr>
      <w:r>
        <w:rPr>
          <w:b/>
          <w:sz w:val="28"/>
        </w:rPr>
        <w:t>4.3 协商程序</w:t>
      </w:r>
    </w:p>
    <w:p>
      <w:pPr>
        <w:pStyle w:val="4"/>
        <w:jc w:val="left"/>
        <w:outlineLvl w:val="3"/>
      </w:pPr>
      <w:r>
        <w:rPr>
          <w:b/>
          <w:sz w:val="24"/>
        </w:rPr>
        <w:t>4.3.1确认和熟悉理解采购文件</w:t>
      </w:r>
    </w:p>
    <w:p>
      <w:pPr>
        <w:pStyle w:val="4"/>
        <w:ind w:firstLine="480"/>
      </w:pPr>
      <w:r>
        <w:t>一、协商小组正式评审前，应当对协商文件进行确认和熟悉理解，内容主要包括采购文件中供应商资格条件要求、采购项目技术、服务和商务要求、评审办法和标准、政府采购政策要求以及政府采购合同主要条款等。</w:t>
      </w:r>
    </w:p>
    <w:p>
      <w:pPr>
        <w:pStyle w:val="4"/>
        <w:jc w:val="left"/>
        <w:outlineLvl w:val="3"/>
      </w:pPr>
      <w:r>
        <w:rPr>
          <w:b/>
          <w:sz w:val="24"/>
        </w:rPr>
        <w:t>4.3.2供应商审查</w:t>
      </w:r>
    </w:p>
    <w:p>
      <w:pPr>
        <w:pStyle w:val="4"/>
        <w:ind w:firstLine="480"/>
        <w:jc w:val="both"/>
      </w:pPr>
      <w:r>
        <w:t>一、资格性审查</w:t>
      </w:r>
    </w:p>
    <w:p>
      <w:pPr>
        <w:pStyle w:val="4"/>
        <w:ind w:firstLine="480"/>
        <w:jc w:val="both"/>
      </w:pPr>
      <w:r>
        <w:t>响应文件解密完成后，由协商小组对提交响应文件的供应商进行资格性审查。协商小组在资格审查过程中，协商小组成员对供应商资格是否符合规定存在争议的，应当以少数服从多数的原则处理，但不得违反政府采购法和采购文件规定。</w:t>
      </w:r>
    </w:p>
    <w:p>
      <w:pPr>
        <w:pStyle w:val="4"/>
        <w:ind w:firstLine="480"/>
        <w:jc w:val="both"/>
      </w:pPr>
      <w:r>
        <w:t>（一）一般资格性审查：</w:t>
      </w:r>
    </w:p>
    <w:p>
      <w:pPr>
        <w:pStyle w:val="4"/>
      </w:pPr>
      <w:r>
        <w:t>详见采购文件第一章“1.2.2一般资格要求”</w:t>
      </w:r>
    </w:p>
    <w:p>
      <w:pPr>
        <w:pStyle w:val="4"/>
        <w:ind w:firstLine="480"/>
        <w:jc w:val="both"/>
      </w:pPr>
      <w:r>
        <w:t>（二）需求单位要求的资格审查：</w:t>
      </w:r>
    </w:p>
    <w:p>
      <w:pPr>
        <w:pStyle w:val="4"/>
        <w:jc w:val="both"/>
      </w:pPr>
      <w:r>
        <w:t>详见采购文件第一章“1.2.3需求单位要求的资格条件”</w:t>
      </w:r>
    </w:p>
    <w:p>
      <w:pPr>
        <w:pStyle w:val="4"/>
        <w:ind w:firstLine="480"/>
        <w:jc w:val="both"/>
      </w:pPr>
      <w:r>
        <w:t>二、实质性要求审核</w:t>
      </w:r>
    </w:p>
    <w:p>
      <w:pPr>
        <w:pStyle w:val="4"/>
        <w:ind w:firstLine="480"/>
        <w:jc w:val="both"/>
      </w:pPr>
      <w:r>
        <w:t>协商小组依据本采购文件的实质性要求，对符合资格的响应文件进行审查，以确定其是否满足本采购文件的实质性要求。本项目的符合性审查事项必须以本采购文件的明确规定的实质性要求为依据。</w:t>
      </w:r>
    </w:p>
    <w:p>
      <w:pPr>
        <w:pStyle w:val="4"/>
        <w:ind w:firstLine="480"/>
        <w:jc w:val="both"/>
      </w:pPr>
      <w:r>
        <w:t>在实质性审查过程中，如果出现协商小组成员意见不一致的情况，按照少数服从多数的原则确定，但不得违背政府采购基本原则和采购文件规定。</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pPr>
            <w:r>
              <w:t xml:space="preserve"> 序号</w:t>
            </w:r>
          </w:p>
        </w:tc>
        <w:tc>
          <w:tcPr>
            <w:tcW w:w="3322" w:type="dxa"/>
          </w:tcPr>
          <w:p>
            <w:pPr>
              <w:pStyle w:val="4"/>
            </w:pPr>
            <w:r>
              <w:t xml:space="preserve"> 符合审查要求概况</w:t>
            </w:r>
          </w:p>
        </w:tc>
        <w:tc>
          <w:tcPr>
            <w:tcW w:w="4153" w:type="dxa"/>
          </w:tcPr>
          <w:p>
            <w:pPr>
              <w:pStyle w:val="4"/>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pPr>
            <w:r>
              <w:t>1</w:t>
            </w:r>
          </w:p>
        </w:tc>
        <w:tc>
          <w:tcPr>
            <w:tcW w:w="3322" w:type="dxa"/>
          </w:tcPr>
          <w:p>
            <w:pPr>
              <w:pStyle w:val="4"/>
            </w:pPr>
            <w:r>
              <w:t>选择性报价</w:t>
            </w:r>
          </w:p>
        </w:tc>
        <w:tc>
          <w:tcPr>
            <w:tcW w:w="4153" w:type="dxa"/>
          </w:tcPr>
          <w:p>
            <w:pPr>
              <w:pStyle w:val="4"/>
            </w:pPr>
            <w:r>
              <w:t>采购人不接受供应商提供的选择性报价、赠送，每种货物或服务只允许有一个报价。否则将其视为无效响应</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pPr>
            <w:r>
              <w:t>2</w:t>
            </w:r>
          </w:p>
        </w:tc>
        <w:tc>
          <w:tcPr>
            <w:tcW w:w="3322" w:type="dxa"/>
          </w:tcPr>
          <w:p>
            <w:pPr>
              <w:pStyle w:val="4"/>
            </w:pPr>
            <w:r>
              <w:t>联合体响应</w:t>
            </w:r>
          </w:p>
        </w:tc>
        <w:tc>
          <w:tcPr>
            <w:tcW w:w="4153" w:type="dxa"/>
          </w:tcPr>
          <w:p>
            <w:pPr>
              <w:pStyle w:val="4"/>
            </w:pPr>
            <w:r>
              <w:t>本项目不接受联合体响应</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pPr>
            <w:r>
              <w:t>3</w:t>
            </w:r>
          </w:p>
        </w:tc>
        <w:tc>
          <w:tcPr>
            <w:tcW w:w="3322" w:type="dxa"/>
          </w:tcPr>
          <w:p>
            <w:pPr>
              <w:pStyle w:val="4"/>
            </w:pPr>
            <w:r>
              <w:t>本项目接受/不接受进口产品响应</w:t>
            </w:r>
          </w:p>
        </w:tc>
        <w:tc>
          <w:tcPr>
            <w:tcW w:w="4153" w:type="dxa"/>
          </w:tcPr>
          <w:p>
            <w:pPr>
              <w:pStyle w:val="4"/>
            </w:pPr>
            <w:r>
              <w:t>根据《中华人民共和国政府采购法》和财政部《政府采购进口产品管理办法》的有关规定，本项目不接受进口产品响应</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pPr>
            <w:r>
              <w:t>4</w:t>
            </w:r>
          </w:p>
        </w:tc>
        <w:tc>
          <w:tcPr>
            <w:tcW w:w="3322" w:type="dxa"/>
          </w:tcPr>
          <w:p>
            <w:pPr>
              <w:pStyle w:val="4"/>
            </w:pPr>
            <w:r>
              <w:t>本项目接受/不接受接受分包形式履行合同</w:t>
            </w:r>
          </w:p>
        </w:tc>
        <w:tc>
          <w:tcPr>
            <w:tcW w:w="4153" w:type="dxa"/>
          </w:tcPr>
          <w:p>
            <w:pPr>
              <w:pStyle w:val="4"/>
            </w:pPr>
            <w:r>
              <w:t>本项目不接受分包形式履行合同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pPr>
            <w:r>
              <w:t>5</w:t>
            </w:r>
          </w:p>
        </w:tc>
        <w:tc>
          <w:tcPr>
            <w:tcW w:w="3322" w:type="dxa"/>
          </w:tcPr>
          <w:p>
            <w:pPr>
              <w:pStyle w:val="4"/>
            </w:pPr>
            <w:r>
              <w:t>响应文件加盖电子签章或公章</w:t>
            </w:r>
          </w:p>
        </w:tc>
        <w:tc>
          <w:tcPr>
            <w:tcW w:w="4153" w:type="dxa"/>
          </w:tcPr>
          <w:p>
            <w:pPr>
              <w:pStyle w:val="4"/>
            </w:pPr>
            <w:r>
              <w:t>响应文件电子版未按要求加盖《关于供应商办理CA数字证书及电子签章的通知》中指定供应商签发的单位电子签章（如遇启用纸质响应文件时，纸质响应文件未按要求加盖公章）视为无效响应。</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pPr>
            <w:r>
              <w:t>6</w:t>
            </w:r>
          </w:p>
        </w:tc>
        <w:tc>
          <w:tcPr>
            <w:tcW w:w="3322" w:type="dxa"/>
          </w:tcPr>
          <w:p>
            <w:pPr>
              <w:pStyle w:val="4"/>
            </w:pPr>
            <w:r>
              <w:t>提供电子、纸质响应文件</w:t>
            </w:r>
          </w:p>
        </w:tc>
        <w:tc>
          <w:tcPr>
            <w:tcW w:w="4153" w:type="dxa"/>
          </w:tcPr>
          <w:p>
            <w:pPr>
              <w:pStyle w:val="4"/>
            </w:pPr>
            <w:r>
              <w:t>供应商未能按采购文件要求提供响应文件纸质版和电子版（包括线上加密和现场递交的非加密电子版）视为无效响应。</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pPr>
            <w:r>
              <w:t>7</w:t>
            </w:r>
          </w:p>
        </w:tc>
        <w:tc>
          <w:tcPr>
            <w:tcW w:w="3322" w:type="dxa"/>
          </w:tcPr>
          <w:p>
            <w:pPr>
              <w:pStyle w:val="4"/>
            </w:pPr>
            <w:r>
              <w:t>响应文件有效期的合格性</w:t>
            </w:r>
          </w:p>
        </w:tc>
        <w:tc>
          <w:tcPr>
            <w:tcW w:w="4153" w:type="dxa"/>
          </w:tcPr>
          <w:p>
            <w:pPr>
              <w:pStyle w:val="4"/>
            </w:pPr>
            <w:r>
              <w:t>响应文件有效期的合格性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pPr>
            <w:r>
              <w:t>8</w:t>
            </w:r>
          </w:p>
        </w:tc>
        <w:tc>
          <w:tcPr>
            <w:tcW w:w="3322" w:type="dxa"/>
          </w:tcPr>
          <w:p>
            <w:pPr>
              <w:pStyle w:val="4"/>
            </w:pPr>
            <w:r>
              <w:t>满足★号指标要求</w:t>
            </w:r>
          </w:p>
        </w:tc>
        <w:tc>
          <w:tcPr>
            <w:tcW w:w="4153" w:type="dxa"/>
          </w:tcPr>
          <w:p>
            <w:pPr>
              <w:pStyle w:val="4"/>
            </w:pPr>
            <w:r>
              <w:t>满足★号指标要求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pPr>
            <w:r>
              <w:t>9</w:t>
            </w:r>
          </w:p>
        </w:tc>
        <w:tc>
          <w:tcPr>
            <w:tcW w:w="3322" w:type="dxa"/>
          </w:tcPr>
          <w:p>
            <w:pPr>
              <w:pStyle w:val="4"/>
            </w:pPr>
            <w:r>
              <w:t>实质性响应采购文件要求</w:t>
            </w:r>
          </w:p>
        </w:tc>
        <w:tc>
          <w:tcPr>
            <w:tcW w:w="4153" w:type="dxa"/>
          </w:tcPr>
          <w:p>
            <w:pPr>
              <w:pStyle w:val="4"/>
            </w:pPr>
            <w:r>
              <w:t>实质性响应采购文件要求</w:t>
            </w:r>
          </w:p>
        </w:tc>
      </w:tr>
    </w:tbl>
    <w:p>
      <w:pPr>
        <w:pStyle w:val="4"/>
        <w:ind w:firstLine="480"/>
      </w:pPr>
      <w:r>
        <w:t>供应商应当按协商小组的要求进行澄清、说明或者更正。代理机构宣布评审结束之前，供应商应通过项目电子化交易系统随时关注评审消息提示，及时响应协商小组发出的澄清、说明或更正要求。供应商未能及时响应的，自行承担不利后果。</w:t>
      </w:r>
    </w:p>
    <w:p>
      <w:pPr>
        <w:pStyle w:val="4"/>
        <w:jc w:val="left"/>
        <w:outlineLvl w:val="3"/>
      </w:pPr>
      <w:r>
        <w:rPr>
          <w:b/>
          <w:sz w:val="24"/>
        </w:rPr>
        <w:t>4.3.3协商</w:t>
      </w:r>
    </w:p>
    <w:p>
      <w:pPr>
        <w:pStyle w:val="4"/>
        <w:ind w:firstLine="480"/>
        <w:jc w:val="both"/>
      </w:pPr>
      <w:r>
        <w:t>一、协商小组与供应商代表就以上采购内容进行协商（商谈、报价），协商小组可以自行决定进行商谈、报价共最多不超过三轮的协商。供应商代表对协商小组提出的质疑，应提供书面的应答或澄清材料，供应商代表也可就有关采购事项向协商小组提议协商。</w:t>
      </w:r>
    </w:p>
    <w:p>
      <w:pPr>
        <w:pStyle w:val="4"/>
        <w:ind w:firstLine="480"/>
      </w:pPr>
      <w:r>
        <w:t>二、如在本文件通知的协商时间内无法完成协商的，协商小组可以决定另行安排二次协商，但应将下次协商的时间、地点准确告知供应商代表。协商中，协商的任何一方不得透露与协商有关的其他供应商的技术资料、价格和其他信息。</w:t>
      </w:r>
    </w:p>
    <w:p>
      <w:pPr>
        <w:pStyle w:val="4"/>
        <w:ind w:firstLine="480"/>
      </w:pPr>
      <w:r>
        <w:t>三、协商过程中，供应商应随时关注项目电子化交易系统信息，及时参与在线协商。协商结束前，供应商应随时关注系统提示，及时通过项目电子化交易系统在线响应协商小组发出的协商邀请，签章并确认提交成功。未在规定时间内回复将不能提交，视为供应商自行放弃该轮协商，其损失由供应商承担。</w:t>
      </w:r>
    </w:p>
    <w:p>
      <w:pPr>
        <w:pStyle w:val="4"/>
        <w:ind w:firstLine="480"/>
      </w:pPr>
      <w:r>
        <w:t>供应商可以根据协商情况决定修改报价和其他技术、商务承诺的，通过项目电子化交易系统提交协商小组。“供应商响应内容”作为响应文件的一部分，应加盖供应商（法定名称）电子印章，否则无效。</w:t>
      </w:r>
    </w:p>
    <w:p>
      <w:pPr>
        <w:pStyle w:val="4"/>
        <w:jc w:val="left"/>
        <w:outlineLvl w:val="3"/>
      </w:pPr>
      <w:r>
        <w:rPr>
          <w:b/>
          <w:sz w:val="24"/>
        </w:rPr>
        <w:t>4.3.4供应商最后报价</w:t>
      </w:r>
    </w:p>
    <w:p>
      <w:pPr>
        <w:pStyle w:val="4"/>
        <w:ind w:firstLine="480"/>
        <w:jc w:val="both"/>
      </w:pPr>
      <w:r>
        <w:t>一、供应商应随时关注项目电子化交易系统信息，登录项目电子化交易系统，通过“等候大厅”进行报价并签章后提交。</w:t>
      </w:r>
    </w:p>
    <w:p>
      <w:pPr>
        <w:pStyle w:val="4"/>
        <w:ind w:firstLine="480"/>
        <w:jc w:val="both"/>
      </w:pPr>
      <w:r>
        <w:t>二、在终止协商后，按照协商小组要求的期限，供应商代表应出具经供应商协商代表签字的最终报价文件。</w:t>
      </w:r>
    </w:p>
    <w:p>
      <w:pPr>
        <w:pStyle w:val="4"/>
        <w:jc w:val="left"/>
        <w:outlineLvl w:val="3"/>
      </w:pPr>
      <w:r>
        <w:rPr>
          <w:b/>
          <w:sz w:val="24"/>
        </w:rPr>
        <w:t>4.3.5编写协商报告</w:t>
      </w:r>
    </w:p>
    <w:p>
      <w:pPr>
        <w:pStyle w:val="4"/>
        <w:ind w:firstLine="480"/>
      </w:pPr>
      <w:r>
        <w:t>协商小组在项目电子化交易系统中编制协商情况，生成协商报告。协商报告是协商小组根据全体成员签字的原始协商记录和协商结果编写的报告。</w:t>
      </w:r>
    </w:p>
    <w:p>
      <w:pPr>
        <w:pStyle w:val="4"/>
        <w:ind w:firstLine="480"/>
      </w:pPr>
      <w:r>
        <w:t>协商小组在协商报告上签字，对自己的意见承担法律责任。对需要共同认定的事项存在争议的，按照少数服从多数的原则做出结论。对协商报告有异议的，在协商报告上签署不同意见，并说明理由，否则视为同意协商报告。</w:t>
      </w:r>
    </w:p>
    <w:p>
      <w:pPr>
        <w:pStyle w:val="4"/>
        <w:jc w:val="left"/>
        <w:outlineLvl w:val="2"/>
      </w:pPr>
      <w:r>
        <w:rPr>
          <w:b/>
          <w:sz w:val="28"/>
        </w:rPr>
        <w:t>4.4 终止采购活动情形</w:t>
      </w:r>
    </w:p>
    <w:p>
      <w:pPr>
        <w:pStyle w:val="4"/>
        <w:ind w:firstLine="480"/>
      </w:pPr>
      <w:r>
        <w:t>出现下列情况之一的，采购人或者采购代理机构应当终止采购活动，发布项目终止公告并说明原因，重新开展采购活动：</w:t>
      </w:r>
    </w:p>
    <w:p>
      <w:pPr>
        <w:pStyle w:val="4"/>
        <w:ind w:firstLine="480"/>
      </w:pPr>
      <w:r>
        <w:t>1.因情况变化，不再符合规定的单一来源采购方式使用情形的；</w:t>
      </w:r>
    </w:p>
    <w:p>
      <w:pPr>
        <w:pStyle w:val="4"/>
        <w:ind w:firstLine="480"/>
      </w:pPr>
      <w:r>
        <w:t>2.出现影响采购公正的违法、违规行为的；</w:t>
      </w:r>
    </w:p>
    <w:p>
      <w:pPr>
        <w:pStyle w:val="4"/>
        <w:ind w:firstLine="480"/>
      </w:pPr>
      <w:r>
        <w:t>3.报价超过采购预算的。</w:t>
      </w:r>
    </w:p>
    <w:p>
      <w:pPr>
        <w:pStyle w:val="4"/>
        <w:jc w:val="left"/>
        <w:outlineLvl w:val="2"/>
      </w:pPr>
      <w:r>
        <w:rPr>
          <w:b/>
          <w:sz w:val="28"/>
        </w:rPr>
        <w:t>4.5 确定成交供应商</w:t>
      </w:r>
    </w:p>
    <w:p>
      <w:pPr>
        <w:pStyle w:val="4"/>
        <w:ind w:firstLine="480"/>
      </w:pPr>
      <w:r>
        <w:t>详见采购文件第二章“供应商须知前附表”中“确认成交方式”。</w:t>
      </w:r>
    </w:p>
    <w:p>
      <w:pPr>
        <w:pStyle w:val="4"/>
      </w:pPr>
      <w:r>
        <w:t xml:space="preserve"> </w:t>
      </w:r>
    </w:p>
    <w:p>
      <w:pPr>
        <w:pStyle w:val="4"/>
        <w:jc w:val="center"/>
        <w:outlineLvl w:val="1"/>
      </w:pPr>
      <w:r>
        <w:rPr>
          <w:b/>
          <w:sz w:val="36"/>
        </w:rPr>
        <w:t>第五章 响应文件格式</w:t>
      </w:r>
    </w:p>
    <w:p>
      <w:pPr>
        <w:pStyle w:val="4"/>
      </w:pPr>
      <w:r>
        <w:t>分册名称：投标响应文件分册</w:t>
      </w:r>
    </w:p>
    <w:p>
      <w:pPr>
        <w:pStyle w:val="4"/>
        <w:ind w:firstLine="960"/>
      </w:pPr>
      <w:r>
        <w:t>详见附件：投标（响应）文件封面</w:t>
      </w:r>
    </w:p>
    <w:p>
      <w:pPr>
        <w:pStyle w:val="4"/>
        <w:ind w:firstLine="960"/>
      </w:pPr>
      <w:r>
        <w:t>详见附件：投标（响应）函</w:t>
      </w:r>
    </w:p>
    <w:p>
      <w:pPr>
        <w:pStyle w:val="4"/>
        <w:ind w:firstLine="960"/>
      </w:pPr>
      <w:r>
        <w:t>详见附件：开标（报价）一览表</w:t>
      </w:r>
    </w:p>
    <w:p>
      <w:pPr>
        <w:pStyle w:val="4"/>
        <w:ind w:firstLine="960"/>
      </w:pPr>
      <w:r>
        <w:t>详见附件：法定代表人授权书、法定代表人和被授权人身份证明</w:t>
      </w:r>
    </w:p>
    <w:p>
      <w:pPr>
        <w:pStyle w:val="4"/>
        <w:ind w:firstLine="960"/>
      </w:pPr>
      <w:r>
        <w:t>详见附件：分项报价表</w:t>
      </w:r>
    </w:p>
    <w:p>
      <w:pPr>
        <w:pStyle w:val="4"/>
        <w:ind w:firstLine="960"/>
      </w:pPr>
      <w:r>
        <w:t>详见附件：服务说明一览表</w:t>
      </w:r>
    </w:p>
    <w:p>
      <w:pPr>
        <w:pStyle w:val="4"/>
        <w:ind w:firstLine="960"/>
      </w:pPr>
      <w:r>
        <w:t>详见附件：采购需求及技术要求、服务需求逐项应答表</w:t>
      </w:r>
    </w:p>
    <w:p>
      <w:pPr>
        <w:pStyle w:val="4"/>
        <w:ind w:firstLine="960"/>
      </w:pPr>
      <w:r>
        <w:t>详见附件：合同条款逐项应答表</w:t>
      </w:r>
    </w:p>
    <w:p>
      <w:pPr>
        <w:pStyle w:val="4"/>
        <w:ind w:firstLine="960"/>
      </w:pPr>
      <w:r>
        <w:t>详见附件：项目实施人员情况表</w:t>
      </w:r>
    </w:p>
    <w:p>
      <w:pPr>
        <w:pStyle w:val="4"/>
        <w:ind w:firstLine="960"/>
      </w:pPr>
      <w:r>
        <w:t>详见附件：同类业务案例介绍</w:t>
      </w:r>
    </w:p>
    <w:p>
      <w:pPr>
        <w:pStyle w:val="4"/>
        <w:ind w:firstLine="960"/>
      </w:pPr>
      <w:r>
        <w:t>详见附件：售后、维护服务与质量保证承诺</w:t>
      </w:r>
    </w:p>
    <w:p>
      <w:pPr>
        <w:pStyle w:val="4"/>
        <w:ind w:firstLine="960"/>
      </w:pPr>
      <w:r>
        <w:t>详见附件：投标人（供应商）资格声明文件</w:t>
      </w:r>
    </w:p>
    <w:p>
      <w:pPr>
        <w:pStyle w:val="4"/>
        <w:ind w:firstLine="960"/>
      </w:pPr>
      <w:r>
        <w:t>详见附件：投标人（供应商）信息</w:t>
      </w:r>
    </w:p>
    <w:p>
      <w:pPr>
        <w:pStyle w:val="4"/>
        <w:ind w:firstLine="960"/>
      </w:pPr>
      <w:r>
        <w:t>详见附件：投标人（供应商）资质证书及其他资质证明文件</w:t>
      </w:r>
    </w:p>
    <w:p>
      <w:pPr>
        <w:pStyle w:val="4"/>
        <w:ind w:firstLine="960"/>
      </w:pPr>
      <w:r>
        <w:t>详见附件：供应商其他证明文件</w:t>
      </w:r>
    </w:p>
    <w:p>
      <w:pPr>
        <w:pStyle w:val="4"/>
        <w:ind w:firstLine="960"/>
      </w:pPr>
      <w:r>
        <w:t>详见附件：正版软件声明</w:t>
      </w:r>
    </w:p>
    <w:p>
      <w:pPr>
        <w:pStyle w:val="4"/>
        <w:ind w:firstLine="960"/>
      </w:pPr>
      <w:r>
        <w:t>详见附件：采购需求及技术要求中规定应提交的有关技术文件材料</w:t>
      </w:r>
    </w:p>
    <w:p>
      <w:pPr>
        <w:pStyle w:val="4"/>
        <w:ind w:firstLine="960"/>
      </w:pPr>
      <w:r>
        <w:t>详见附件：中小企业声明函</w:t>
      </w:r>
    </w:p>
    <w:p>
      <w:pPr>
        <w:pStyle w:val="4"/>
        <w:ind w:firstLine="960"/>
      </w:pPr>
      <w:r>
        <w:t>详见附件：监狱企业的证明文件</w:t>
      </w:r>
    </w:p>
    <w:p>
      <w:pPr>
        <w:pStyle w:val="4"/>
        <w:ind w:firstLine="960"/>
      </w:pPr>
      <w:r>
        <w:t>详见附件：残疾人福利性单位声明函</w:t>
      </w:r>
    </w:p>
    <w:p>
      <w:pPr>
        <w:pStyle w:val="4"/>
        <w:ind w:firstLine="960"/>
      </w:pPr>
      <w:r>
        <w:t>详见附件：投标人关于在参加政府采购活动前3年内在经营活动中没有重大违法记录、具备履行合同所必需的设备和专业技术能力及依法缴纳税收和社会保障资金的承诺书</w:t>
      </w:r>
    </w:p>
    <w:p>
      <w:pPr>
        <w:pStyle w:val="4"/>
        <w:ind w:firstLine="960"/>
      </w:pPr>
      <w:r>
        <w:t>详见附件：制造商授权书</w:t>
      </w:r>
    </w:p>
    <w:p>
      <w:pPr>
        <w:pStyle w:val="4"/>
        <w:ind w:firstLine="960"/>
      </w:pPr>
      <w:r>
        <w:t>详见附件：节能产品、环境标志产品认证证书</w:t>
      </w:r>
    </w:p>
    <w:p>
      <w:pPr>
        <w:pStyle w:val="4"/>
        <w:ind w:firstLine="960"/>
      </w:pPr>
      <w:r>
        <w:t>详见附件：履约保证金保函</w:t>
      </w:r>
    </w:p>
    <w:p>
      <w:pPr>
        <w:pStyle w:val="4"/>
        <w:ind w:firstLine="960"/>
      </w:pPr>
      <w:r>
        <w:t>详见附件：法人或者其他组织的营业执照等证明文件，自然人的身份证明</w:t>
      </w:r>
    </w:p>
    <w:p>
      <w:pPr>
        <w:pStyle w:val="4"/>
        <w:ind w:firstLine="960"/>
      </w:pPr>
      <w:r>
        <w:t>详见附件：技术条款第1条证明文件</w:t>
      </w:r>
    </w:p>
    <w:p>
      <w:pPr>
        <w:pStyle w:val="4"/>
        <w:ind w:firstLine="960"/>
      </w:pPr>
      <w:r>
        <w:t>详见附件：技术条款第2条证明文件</w:t>
      </w:r>
    </w:p>
    <w:p>
      <w:pPr>
        <w:pStyle w:val="4"/>
        <w:ind w:firstLine="960"/>
      </w:pPr>
      <w:r>
        <w:t>详见附件：商务条款第1条证明文件</w:t>
      </w:r>
    </w:p>
    <w:p>
      <w:pPr>
        <w:pStyle w:val="4"/>
        <w:ind w:firstLine="960"/>
      </w:pPr>
      <w:r>
        <w:t>详见附件：商务条款第2条证明文件</w:t>
      </w:r>
    </w:p>
    <w:p>
      <w:pPr>
        <w:pStyle w:val="4"/>
        <w:ind w:firstLine="960"/>
      </w:pPr>
      <w:r>
        <w:t>详见附件：商务条款第3条证明文件</w:t>
      </w:r>
    </w:p>
    <w:p>
      <w:pPr>
        <w:pStyle w:val="4"/>
        <w:ind w:firstLine="960"/>
      </w:pPr>
      <w:r>
        <w:t>详见附件：商务条款第4条证明文件</w:t>
      </w:r>
    </w:p>
    <w:p>
      <w:pPr>
        <w:pStyle w:val="4"/>
        <w:ind w:firstLine="960"/>
      </w:pPr>
      <w:r>
        <w:t>详见附件：商务条款第5条证明文件</w:t>
      </w:r>
    </w:p>
    <w:p>
      <w:pPr>
        <w:pStyle w:val="4"/>
      </w:pPr>
      <w:r>
        <w:t xml:space="preserve"> </w:t>
      </w:r>
    </w:p>
    <w:p>
      <w:pPr>
        <w:pStyle w:val="4"/>
        <w:jc w:val="center"/>
        <w:outlineLvl w:val="1"/>
      </w:pPr>
      <w:r>
        <w:rPr>
          <w:b/>
          <w:sz w:val="36"/>
        </w:rPr>
        <w:t>第六章 拟签订的合同文本</w:t>
      </w:r>
    </w:p>
    <w:p>
      <w:pPr>
        <w:pStyle w:val="4"/>
      </w:pPr>
      <w:r>
        <w:t>详见附件：金融网络安全态势感知平台运营项目（一签三年）采购协议及约定合同0901.docx</w:t>
      </w:r>
    </w:p>
    <w:p>
      <w:pPr>
        <w:pStyle w:val="4"/>
      </w:pPr>
      <w:r>
        <w:t xml:space="preserve"> </w:t>
      </w:r>
    </w:p>
    <w:p>
      <w:pPr>
        <w:pStyle w:val="4"/>
        <w:jc w:val="center"/>
        <w:outlineLvl w:val="1"/>
      </w:pPr>
      <w:r>
        <w:rPr>
          <w:b/>
          <w:sz w:val="36"/>
        </w:rPr>
        <w:t>第七章 附 则</w:t>
      </w:r>
    </w:p>
    <w:p>
      <w:pPr>
        <w:pStyle w:val="4"/>
        <w:jc w:val="left"/>
        <w:outlineLvl w:val="2"/>
      </w:pPr>
      <w:r>
        <w:rPr>
          <w:b/>
          <w:sz w:val="28"/>
        </w:rPr>
        <w:t>7.1 解释权</w:t>
      </w:r>
    </w:p>
    <w:p>
      <w:pPr>
        <w:pStyle w:val="4"/>
        <w:ind w:firstLine="480"/>
        <w:jc w:val="both"/>
      </w:pPr>
      <w:r>
        <w:t>本采购文件的解释权属于采购代理机构。</w:t>
      </w:r>
    </w:p>
    <w:p>
      <w:pPr>
        <w:pStyle w:val="4"/>
        <w:jc w:val="left"/>
        <w:outlineLvl w:val="2"/>
      </w:pPr>
      <w:r>
        <w:rPr>
          <w:b/>
          <w:sz w:val="28"/>
        </w:rPr>
        <w:t>7.2 未尽事宜</w:t>
      </w:r>
    </w:p>
    <w:p>
      <w:pPr>
        <w:pStyle w:val="4"/>
        <w:ind w:firstLine="480"/>
      </w:pPr>
      <w:r>
        <w:t xml:space="preserve"> 本采购文件未尽事宜 按照 《中华人民共和国政府采购法》及其它有关法律法规的规定执行。</w:t>
      </w:r>
    </w:p>
    <w:p>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53B52B8D"/>
    <w:rsid w:val="77F79321"/>
    <w:rsid w:val="7FACC739"/>
    <w:rsid w:val="7FFB08BE"/>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五块钱</dc:creator>
  <cp:lastModifiedBy>administrator</cp:lastModifiedBy>
  <dcterms:modified xsi:type="dcterms:W3CDTF">2026-10-30T15:38:43Z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2052-11.8.2.1123</vt:lpwstr>
  </property>
  <property fmtid="{D5CDD505-2E9C-101B-9397-08002B2CF9AE}" pid="3" name="ICV">
    <vt:lpwstr>A602A0176CA43AD04549E46A3088359F</vt:lpwstr>
  </property>
</Properties>
</file>